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458FC" w14:paraId="2A131A54" w14:textId="77777777" w:rsidTr="008E3DCE">
        <w:trPr>
          <w:trHeight w:val="852"/>
          <w:jc w:val="center"/>
        </w:trPr>
        <w:tc>
          <w:tcPr>
            <w:tcW w:w="6940" w:type="dxa"/>
            <w:vMerge w:val="restart"/>
            <w:tcBorders>
              <w:right w:val="single" w:sz="4" w:space="0" w:color="auto"/>
            </w:tcBorders>
          </w:tcPr>
          <w:p w14:paraId="38C3D2BA" w14:textId="77777777" w:rsidR="000A03B2" w:rsidRPr="00F458FC" w:rsidRDefault="000A03B2" w:rsidP="00DE264A">
            <w:pPr>
              <w:tabs>
                <w:tab w:val="left" w:pos="-108"/>
              </w:tabs>
              <w:ind w:left="-108"/>
              <w:jc w:val="left"/>
              <w:rPr>
                <w:rFonts w:cs="Arial"/>
                <w:b/>
                <w:bCs/>
                <w:i/>
                <w:iCs/>
                <w:color w:val="000066"/>
                <w:sz w:val="12"/>
                <w:szCs w:val="12"/>
                <w:lang w:eastAsia="it-IT"/>
              </w:rPr>
            </w:pPr>
            <w:bookmarkStart w:id="0" w:name="_Hlk145068772"/>
            <w:r w:rsidRPr="00F458FC">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458FC">
              <w:rPr>
                <w:rFonts w:ascii="AdvP6960" w:hAnsi="AdvP6960" w:cs="AdvP6960"/>
                <w:color w:val="241F20"/>
                <w:szCs w:val="18"/>
                <w:lang w:eastAsia="it-IT"/>
              </w:rPr>
              <w:t xml:space="preserve"> </w:t>
            </w:r>
            <w:r w:rsidRPr="00F458FC">
              <w:rPr>
                <w:rFonts w:cs="Arial"/>
                <w:b/>
                <w:bCs/>
                <w:i/>
                <w:iCs/>
                <w:color w:val="000066"/>
                <w:sz w:val="24"/>
                <w:szCs w:val="24"/>
                <w:lang w:eastAsia="it-IT"/>
              </w:rPr>
              <w:t>CHEMICAL ENGINEERING</w:t>
            </w:r>
            <w:r w:rsidRPr="00F458FC">
              <w:rPr>
                <w:rFonts w:cs="Arial"/>
                <w:b/>
                <w:bCs/>
                <w:i/>
                <w:iCs/>
                <w:color w:val="0033FF"/>
                <w:sz w:val="24"/>
                <w:szCs w:val="24"/>
                <w:lang w:eastAsia="it-IT"/>
              </w:rPr>
              <w:t xml:space="preserve"> </w:t>
            </w:r>
            <w:r w:rsidRPr="00F458FC">
              <w:rPr>
                <w:rFonts w:cs="Arial"/>
                <w:b/>
                <w:bCs/>
                <w:i/>
                <w:iCs/>
                <w:color w:val="666666"/>
                <w:sz w:val="24"/>
                <w:szCs w:val="24"/>
                <w:lang w:eastAsia="it-IT"/>
              </w:rPr>
              <w:t>TRANSACTIONS</w:t>
            </w:r>
            <w:r w:rsidRPr="00F458FC">
              <w:rPr>
                <w:color w:val="333333"/>
                <w:sz w:val="24"/>
                <w:szCs w:val="24"/>
                <w:lang w:eastAsia="it-IT"/>
              </w:rPr>
              <w:t xml:space="preserve"> </w:t>
            </w:r>
            <w:r w:rsidRPr="00F458FC">
              <w:rPr>
                <w:rFonts w:cs="Arial"/>
                <w:b/>
                <w:bCs/>
                <w:i/>
                <w:iCs/>
                <w:color w:val="000066"/>
                <w:sz w:val="27"/>
                <w:szCs w:val="27"/>
                <w:lang w:eastAsia="it-IT"/>
              </w:rPr>
              <w:br/>
            </w:r>
          </w:p>
          <w:p w14:paraId="4B780582" w14:textId="47EF826C" w:rsidR="000A03B2" w:rsidRPr="00F458FC" w:rsidRDefault="00A76EFC" w:rsidP="001D21AF">
            <w:pPr>
              <w:tabs>
                <w:tab w:val="left" w:pos="-108"/>
              </w:tabs>
              <w:ind w:left="-108"/>
              <w:rPr>
                <w:rFonts w:cs="Arial"/>
                <w:b/>
                <w:bCs/>
                <w:i/>
                <w:iCs/>
                <w:color w:val="000066"/>
                <w:sz w:val="22"/>
                <w:szCs w:val="22"/>
                <w:lang w:eastAsia="it-IT"/>
              </w:rPr>
            </w:pPr>
            <w:r w:rsidRPr="00F458FC">
              <w:rPr>
                <w:rFonts w:cs="Arial"/>
                <w:b/>
                <w:bCs/>
                <w:i/>
                <w:iCs/>
                <w:color w:val="000066"/>
                <w:sz w:val="22"/>
                <w:szCs w:val="22"/>
                <w:lang w:eastAsia="it-IT"/>
              </w:rPr>
              <w:t>VOL.</w:t>
            </w:r>
            <w:r w:rsidR="00785BF9" w:rsidRPr="00F458FC">
              <w:rPr>
                <w:rFonts w:cs="Arial"/>
                <w:b/>
                <w:bCs/>
                <w:i/>
                <w:iCs/>
                <w:color w:val="000066"/>
                <w:sz w:val="22"/>
                <w:szCs w:val="22"/>
                <w:lang w:eastAsia="it-IT"/>
              </w:rPr>
              <w:t xml:space="preserve"> </w:t>
            </w:r>
            <w:r w:rsidR="00994C6A" w:rsidRPr="00F458FC">
              <w:rPr>
                <w:rFonts w:cs="Arial"/>
                <w:b/>
                <w:bCs/>
                <w:i/>
                <w:iCs/>
                <w:color w:val="000066"/>
                <w:sz w:val="22"/>
                <w:szCs w:val="22"/>
                <w:lang w:eastAsia="it-IT"/>
              </w:rPr>
              <w:t>xxx</w:t>
            </w:r>
            <w:r w:rsidR="007B48F9" w:rsidRPr="00F458FC">
              <w:rPr>
                <w:rFonts w:cs="Arial"/>
                <w:b/>
                <w:bCs/>
                <w:i/>
                <w:iCs/>
                <w:color w:val="000066"/>
                <w:sz w:val="22"/>
                <w:szCs w:val="22"/>
                <w:lang w:eastAsia="it-IT"/>
              </w:rPr>
              <w:t>,</w:t>
            </w:r>
            <w:r w:rsidR="00FA5F5F" w:rsidRPr="00F458FC">
              <w:rPr>
                <w:rFonts w:cs="Arial"/>
                <w:b/>
                <w:bCs/>
                <w:i/>
                <w:iCs/>
                <w:color w:val="000066"/>
                <w:sz w:val="22"/>
                <w:szCs w:val="22"/>
                <w:lang w:eastAsia="it-IT"/>
              </w:rPr>
              <w:t xml:space="preserve"> </w:t>
            </w:r>
            <w:r w:rsidR="0030152C" w:rsidRPr="00F458FC">
              <w:rPr>
                <w:rFonts w:cs="Arial"/>
                <w:b/>
                <w:bCs/>
                <w:i/>
                <w:iCs/>
                <w:color w:val="000066"/>
                <w:sz w:val="22"/>
                <w:szCs w:val="22"/>
                <w:lang w:eastAsia="it-IT"/>
              </w:rPr>
              <w:t>202</w:t>
            </w:r>
            <w:r w:rsidR="00994C6A" w:rsidRPr="00F458FC">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F458FC" w:rsidRDefault="000A03B2" w:rsidP="00CD5FE2">
            <w:pPr>
              <w:spacing w:line="140" w:lineRule="atLeast"/>
              <w:jc w:val="right"/>
              <w:rPr>
                <w:rFonts w:cs="Arial"/>
                <w:sz w:val="14"/>
                <w:szCs w:val="14"/>
              </w:rPr>
            </w:pPr>
            <w:r w:rsidRPr="00F458FC">
              <w:rPr>
                <w:rFonts w:cs="Arial"/>
                <w:sz w:val="14"/>
                <w:szCs w:val="14"/>
              </w:rPr>
              <w:t>A publication of</w:t>
            </w:r>
          </w:p>
          <w:p w14:paraId="599E5441" w14:textId="77777777" w:rsidR="000A03B2" w:rsidRPr="00F458FC" w:rsidRDefault="000A03B2" w:rsidP="00CD5FE2">
            <w:pPr>
              <w:jc w:val="right"/>
            </w:pPr>
            <w:r w:rsidRPr="00F458FC">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458FC" w14:paraId="380FA3CD" w14:textId="77777777" w:rsidTr="008E3DCE">
        <w:trPr>
          <w:trHeight w:val="567"/>
          <w:jc w:val="center"/>
        </w:trPr>
        <w:tc>
          <w:tcPr>
            <w:tcW w:w="6940" w:type="dxa"/>
            <w:vMerge/>
            <w:tcBorders>
              <w:right w:val="single" w:sz="4" w:space="0" w:color="auto"/>
            </w:tcBorders>
          </w:tcPr>
          <w:p w14:paraId="39E5E4C1" w14:textId="77777777" w:rsidR="000A03B2" w:rsidRPr="00F458F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F458FC" w:rsidRDefault="000A03B2" w:rsidP="00CD5FE2">
            <w:pPr>
              <w:spacing w:line="140" w:lineRule="atLeast"/>
              <w:jc w:val="right"/>
              <w:rPr>
                <w:rFonts w:cs="Arial"/>
                <w:sz w:val="14"/>
                <w:szCs w:val="14"/>
              </w:rPr>
            </w:pPr>
            <w:r w:rsidRPr="00F458FC">
              <w:rPr>
                <w:rFonts w:cs="Arial"/>
                <w:sz w:val="14"/>
                <w:szCs w:val="14"/>
              </w:rPr>
              <w:t>The Italian Association</w:t>
            </w:r>
          </w:p>
          <w:p w14:paraId="7522B1D2" w14:textId="77777777" w:rsidR="000A03B2" w:rsidRPr="00F458FC" w:rsidRDefault="000A03B2" w:rsidP="00CD5FE2">
            <w:pPr>
              <w:spacing w:line="140" w:lineRule="atLeast"/>
              <w:jc w:val="right"/>
              <w:rPr>
                <w:rFonts w:cs="Arial"/>
                <w:sz w:val="14"/>
                <w:szCs w:val="14"/>
              </w:rPr>
            </w:pPr>
            <w:r w:rsidRPr="00F458FC">
              <w:rPr>
                <w:rFonts w:cs="Arial"/>
                <w:sz w:val="14"/>
                <w:szCs w:val="14"/>
              </w:rPr>
              <w:t>of Chemical Engineering</w:t>
            </w:r>
          </w:p>
          <w:p w14:paraId="4F0CC5DE" w14:textId="47FDB2FC" w:rsidR="000A03B2" w:rsidRPr="00F458FC" w:rsidRDefault="000D0268" w:rsidP="00CD5FE2">
            <w:pPr>
              <w:spacing w:line="140" w:lineRule="atLeast"/>
              <w:jc w:val="right"/>
              <w:rPr>
                <w:rFonts w:cs="Arial"/>
                <w:sz w:val="13"/>
                <w:szCs w:val="13"/>
              </w:rPr>
            </w:pPr>
            <w:r w:rsidRPr="00F458FC">
              <w:rPr>
                <w:rFonts w:cs="Arial"/>
                <w:sz w:val="13"/>
                <w:szCs w:val="13"/>
              </w:rPr>
              <w:t>Online at www.cetjournal.it</w:t>
            </w:r>
          </w:p>
        </w:tc>
      </w:tr>
      <w:tr w:rsidR="000A03B2" w:rsidRPr="00F458FC" w14:paraId="2D1B7169" w14:textId="77777777" w:rsidTr="008E3DCE">
        <w:trPr>
          <w:trHeight w:val="68"/>
          <w:jc w:val="center"/>
        </w:trPr>
        <w:tc>
          <w:tcPr>
            <w:tcW w:w="8782" w:type="dxa"/>
            <w:gridSpan w:val="2"/>
          </w:tcPr>
          <w:p w14:paraId="1D8DD3C9" w14:textId="025D7B18" w:rsidR="00AA7D26" w:rsidRPr="00F458FC" w:rsidRDefault="00AA7D26" w:rsidP="007D610D">
            <w:pPr>
              <w:ind w:left="-107"/>
              <w:outlineLvl w:val="2"/>
              <w:rPr>
                <w:rFonts w:ascii="Tahoma" w:hAnsi="Tahoma" w:cs="Tahoma"/>
                <w:color w:val="000000"/>
                <w:sz w:val="14"/>
                <w:szCs w:val="14"/>
                <w:shd w:val="clear" w:color="auto" w:fill="FFFFFF"/>
              </w:rPr>
            </w:pPr>
            <w:r w:rsidRPr="00F458FC">
              <w:rPr>
                <w:rFonts w:ascii="Tahoma" w:hAnsi="Tahoma" w:cs="Tahoma"/>
                <w:iCs/>
                <w:color w:val="333333"/>
                <w:sz w:val="14"/>
                <w:szCs w:val="14"/>
                <w:lang w:eastAsia="it-IT"/>
              </w:rPr>
              <w:t>Guest Editors:</w:t>
            </w:r>
            <w:r w:rsidR="007D610D" w:rsidRPr="00F458FC">
              <w:rPr>
                <w:rFonts w:ascii="Aptos" w:eastAsiaTheme="minorHAnsi" w:hAnsi="Aptos" w:cs="Aptos"/>
                <w:sz w:val="22"/>
                <w:szCs w:val="22"/>
                <w14:ligatures w14:val="standardContextual"/>
              </w:rPr>
              <w:t xml:space="preserve"> </w:t>
            </w:r>
            <w:r w:rsidR="007D610D" w:rsidRPr="00F458FC">
              <w:rPr>
                <w:rFonts w:ascii="Tahoma" w:hAnsi="Tahoma" w:cs="Tahoma"/>
                <w:color w:val="000000"/>
                <w:sz w:val="14"/>
                <w:szCs w:val="14"/>
                <w:shd w:val="clear" w:color="auto" w:fill="FFFFFF"/>
              </w:rPr>
              <w:t xml:space="preserve">Fabrizio Bezzo, </w:t>
            </w:r>
            <w:r w:rsidR="001D3D32" w:rsidRPr="00F458FC">
              <w:rPr>
                <w:rFonts w:ascii="Tahoma" w:hAnsi="Tahoma" w:cs="Tahoma"/>
                <w:color w:val="000000"/>
                <w:sz w:val="14"/>
                <w:szCs w:val="14"/>
                <w:shd w:val="clear" w:color="auto" w:fill="FFFFFF"/>
              </w:rPr>
              <w:t>Flavio Manenti</w:t>
            </w:r>
            <w:r w:rsidR="00304CE8" w:rsidRPr="00F458FC">
              <w:rPr>
                <w:rFonts w:ascii="Tahoma" w:hAnsi="Tahoma" w:cs="Tahoma"/>
                <w:color w:val="000000"/>
                <w:sz w:val="14"/>
                <w:szCs w:val="14"/>
                <w:shd w:val="clear" w:color="auto" w:fill="FFFFFF"/>
              </w:rPr>
              <w:t>,</w:t>
            </w:r>
            <w:r w:rsidR="001D3D32" w:rsidRPr="00F458FC">
              <w:rPr>
                <w:rFonts w:ascii="Tahoma" w:hAnsi="Tahoma" w:cs="Tahoma"/>
                <w:color w:val="000000"/>
                <w:sz w:val="14"/>
                <w:szCs w:val="14"/>
                <w:shd w:val="clear" w:color="auto" w:fill="FFFFFF"/>
              </w:rPr>
              <w:t xml:space="preserve"> </w:t>
            </w:r>
            <w:r w:rsidR="007D610D" w:rsidRPr="00F458FC">
              <w:rPr>
                <w:rFonts w:ascii="Tahoma" w:hAnsi="Tahoma" w:cs="Tahoma"/>
                <w:color w:val="000000"/>
                <w:sz w:val="14"/>
                <w:szCs w:val="14"/>
                <w:shd w:val="clear" w:color="auto" w:fill="FFFFFF"/>
              </w:rPr>
              <w:t xml:space="preserve">Gabriele </w:t>
            </w:r>
            <w:proofErr w:type="spellStart"/>
            <w:r w:rsidR="007D610D" w:rsidRPr="00F458FC">
              <w:rPr>
                <w:rFonts w:ascii="Tahoma" w:hAnsi="Tahoma" w:cs="Tahoma"/>
                <w:color w:val="000000"/>
                <w:sz w:val="14"/>
                <w:szCs w:val="14"/>
                <w:shd w:val="clear" w:color="auto" w:fill="FFFFFF"/>
              </w:rPr>
              <w:t>Pannocchia</w:t>
            </w:r>
            <w:proofErr w:type="spellEnd"/>
            <w:r w:rsidR="007D610D" w:rsidRPr="00F458FC">
              <w:rPr>
                <w:rFonts w:ascii="Tahoma" w:hAnsi="Tahoma" w:cs="Tahoma"/>
                <w:color w:val="000000"/>
                <w:sz w:val="14"/>
                <w:szCs w:val="14"/>
                <w:shd w:val="clear" w:color="auto" w:fill="FFFFFF"/>
              </w:rPr>
              <w:t>, Almerinda di Benedetto</w:t>
            </w:r>
          </w:p>
          <w:p w14:paraId="1B0F1814" w14:textId="7C54DC3A" w:rsidR="000A03B2" w:rsidRPr="00F458FC" w:rsidRDefault="00AA7D26" w:rsidP="00AA7D26">
            <w:pPr>
              <w:tabs>
                <w:tab w:val="left" w:pos="-108"/>
              </w:tabs>
              <w:spacing w:line="140" w:lineRule="atLeast"/>
              <w:ind w:left="-107"/>
              <w:jc w:val="left"/>
            </w:pPr>
            <w:r w:rsidRPr="00F458FC">
              <w:rPr>
                <w:rFonts w:ascii="Tahoma" w:hAnsi="Tahoma" w:cs="Tahoma"/>
                <w:iCs/>
                <w:color w:val="333333"/>
                <w:sz w:val="14"/>
                <w:szCs w:val="14"/>
                <w:lang w:eastAsia="it-IT"/>
              </w:rPr>
              <w:t>Copyright © 202</w:t>
            </w:r>
            <w:r w:rsidR="00994C6A" w:rsidRPr="00F458FC">
              <w:rPr>
                <w:rFonts w:ascii="Tahoma" w:hAnsi="Tahoma" w:cs="Tahoma"/>
                <w:iCs/>
                <w:color w:val="333333"/>
                <w:sz w:val="14"/>
                <w:szCs w:val="14"/>
                <w:lang w:eastAsia="it-IT"/>
              </w:rPr>
              <w:t>5</w:t>
            </w:r>
            <w:r w:rsidRPr="00F458FC">
              <w:rPr>
                <w:rFonts w:ascii="Tahoma" w:hAnsi="Tahoma" w:cs="Tahoma"/>
                <w:iCs/>
                <w:color w:val="333333"/>
                <w:sz w:val="14"/>
                <w:szCs w:val="14"/>
                <w:lang w:eastAsia="it-IT"/>
              </w:rPr>
              <w:t xml:space="preserve">, AIDIC </w:t>
            </w:r>
            <w:proofErr w:type="spellStart"/>
            <w:r w:rsidRPr="00F458FC">
              <w:rPr>
                <w:rFonts w:ascii="Tahoma" w:hAnsi="Tahoma" w:cs="Tahoma"/>
                <w:iCs/>
                <w:color w:val="333333"/>
                <w:sz w:val="14"/>
                <w:szCs w:val="14"/>
                <w:lang w:eastAsia="it-IT"/>
              </w:rPr>
              <w:t>Servizi</w:t>
            </w:r>
            <w:proofErr w:type="spellEnd"/>
            <w:r w:rsidRPr="00F458FC">
              <w:rPr>
                <w:rFonts w:ascii="Tahoma" w:hAnsi="Tahoma" w:cs="Tahoma"/>
                <w:iCs/>
                <w:color w:val="333333"/>
                <w:sz w:val="14"/>
                <w:szCs w:val="14"/>
                <w:lang w:eastAsia="it-IT"/>
              </w:rPr>
              <w:t xml:space="preserve"> </w:t>
            </w:r>
            <w:proofErr w:type="spellStart"/>
            <w:r w:rsidRPr="00F458FC">
              <w:rPr>
                <w:rFonts w:ascii="Tahoma" w:hAnsi="Tahoma" w:cs="Tahoma"/>
                <w:iCs/>
                <w:color w:val="333333"/>
                <w:sz w:val="14"/>
                <w:szCs w:val="14"/>
                <w:lang w:eastAsia="it-IT"/>
              </w:rPr>
              <w:t>S.r.l</w:t>
            </w:r>
            <w:proofErr w:type="spellEnd"/>
            <w:r w:rsidRPr="00F458FC">
              <w:rPr>
                <w:rFonts w:ascii="Tahoma" w:hAnsi="Tahoma" w:cs="Tahoma"/>
                <w:iCs/>
                <w:color w:val="333333"/>
                <w:sz w:val="14"/>
                <w:szCs w:val="14"/>
                <w:lang w:eastAsia="it-IT"/>
              </w:rPr>
              <w:t>.</w:t>
            </w:r>
            <w:r w:rsidRPr="00F458FC">
              <w:rPr>
                <w:rFonts w:ascii="Tahoma" w:hAnsi="Tahoma" w:cs="Tahoma"/>
                <w:iCs/>
                <w:color w:val="333333"/>
                <w:sz w:val="14"/>
                <w:szCs w:val="14"/>
                <w:lang w:eastAsia="it-IT"/>
              </w:rPr>
              <w:br/>
            </w:r>
            <w:r w:rsidRPr="00F458FC">
              <w:rPr>
                <w:rFonts w:ascii="Tahoma" w:hAnsi="Tahoma" w:cs="Tahoma"/>
                <w:b/>
                <w:iCs/>
                <w:color w:val="000000"/>
                <w:sz w:val="14"/>
                <w:szCs w:val="14"/>
                <w:lang w:eastAsia="it-IT"/>
              </w:rPr>
              <w:t>ISBN</w:t>
            </w:r>
            <w:r w:rsidRPr="00F458FC">
              <w:rPr>
                <w:rFonts w:ascii="Tahoma" w:hAnsi="Tahoma" w:cs="Tahoma"/>
                <w:iCs/>
                <w:color w:val="000000"/>
                <w:sz w:val="14"/>
                <w:szCs w:val="14"/>
                <w:lang w:eastAsia="it-IT"/>
              </w:rPr>
              <w:t xml:space="preserve"> </w:t>
            </w:r>
            <w:r w:rsidR="003B49CD" w:rsidRPr="00F458FC">
              <w:rPr>
                <w:rFonts w:ascii="Tahoma" w:hAnsi="Tahoma" w:cs="Tahoma"/>
                <w:sz w:val="14"/>
                <w:szCs w:val="14"/>
              </w:rPr>
              <w:t>979-12-81206-1</w:t>
            </w:r>
            <w:r w:rsidR="00994C6A" w:rsidRPr="00F458FC">
              <w:rPr>
                <w:rFonts w:ascii="Tahoma" w:hAnsi="Tahoma" w:cs="Tahoma"/>
                <w:sz w:val="14"/>
                <w:szCs w:val="14"/>
              </w:rPr>
              <w:t>7</w:t>
            </w:r>
            <w:r w:rsidR="003B49CD" w:rsidRPr="00F458FC">
              <w:rPr>
                <w:rFonts w:ascii="Tahoma" w:hAnsi="Tahoma" w:cs="Tahoma"/>
                <w:sz w:val="14"/>
                <w:szCs w:val="14"/>
              </w:rPr>
              <w:t>-</w:t>
            </w:r>
            <w:r w:rsidR="00994C6A" w:rsidRPr="00F458FC">
              <w:rPr>
                <w:rFonts w:ascii="Tahoma" w:hAnsi="Tahoma" w:cs="Tahoma"/>
                <w:sz w:val="14"/>
                <w:szCs w:val="14"/>
              </w:rPr>
              <w:t>5</w:t>
            </w:r>
            <w:r w:rsidRPr="00F458FC">
              <w:rPr>
                <w:rFonts w:ascii="Tahoma" w:hAnsi="Tahoma" w:cs="Tahoma"/>
                <w:iCs/>
                <w:color w:val="333333"/>
                <w:sz w:val="14"/>
                <w:szCs w:val="14"/>
                <w:lang w:eastAsia="it-IT"/>
              </w:rPr>
              <w:t xml:space="preserve">; </w:t>
            </w:r>
            <w:r w:rsidRPr="00F458FC">
              <w:rPr>
                <w:rFonts w:ascii="Tahoma" w:hAnsi="Tahoma" w:cs="Tahoma"/>
                <w:b/>
                <w:iCs/>
                <w:color w:val="333333"/>
                <w:sz w:val="14"/>
                <w:szCs w:val="14"/>
                <w:lang w:eastAsia="it-IT"/>
              </w:rPr>
              <w:t>ISSN</w:t>
            </w:r>
            <w:r w:rsidRPr="00F458FC">
              <w:rPr>
                <w:rFonts w:ascii="Tahoma" w:hAnsi="Tahoma" w:cs="Tahoma"/>
                <w:iCs/>
                <w:color w:val="333333"/>
                <w:sz w:val="14"/>
                <w:szCs w:val="14"/>
                <w:lang w:eastAsia="it-IT"/>
              </w:rPr>
              <w:t xml:space="preserve"> 2283-9216</w:t>
            </w:r>
          </w:p>
        </w:tc>
      </w:tr>
      <w:bookmarkEnd w:id="0"/>
    </w:tbl>
    <w:p w14:paraId="59C75CE1" w14:textId="77777777" w:rsidR="00E10E1B" w:rsidRPr="00F458FC" w:rsidRDefault="00E10E1B" w:rsidP="008E3DCE">
      <w:pPr>
        <w:pStyle w:val="CETAuthors"/>
        <w:jc w:val="center"/>
        <w:rPr>
          <w:noProof w:val="0"/>
          <w:color w:val="0070C0"/>
          <w:sz w:val="32"/>
          <w:lang w:val="en-US"/>
        </w:rPr>
      </w:pPr>
    </w:p>
    <w:p w14:paraId="1D8AC21C" w14:textId="77777777" w:rsidR="009F40C1" w:rsidRPr="00F458FC" w:rsidRDefault="009F40C1" w:rsidP="00C970F5">
      <w:pPr>
        <w:pStyle w:val="CETAddress"/>
        <w:jc w:val="center"/>
        <w:rPr>
          <w:noProof w:val="0"/>
          <w:sz w:val="32"/>
          <w:lang w:val="en-US"/>
        </w:rPr>
      </w:pPr>
      <w:r w:rsidRPr="00F458FC">
        <w:rPr>
          <w:noProof w:val="0"/>
          <w:sz w:val="32"/>
          <w:lang w:val="en-US"/>
        </w:rPr>
        <w:t>Analysis of the Effect of D-Limonene on the Viscosity Reduction of Heavy Crude Oils Using FTIR-ATR Spectroscopy</w:t>
      </w:r>
    </w:p>
    <w:p w14:paraId="5572DDF5" w14:textId="77777777" w:rsidR="009F40C1" w:rsidRPr="00F458FC" w:rsidRDefault="009F40C1" w:rsidP="00C970F5">
      <w:pPr>
        <w:pStyle w:val="CETAddress"/>
        <w:jc w:val="center"/>
        <w:rPr>
          <w:noProof w:val="0"/>
          <w:sz w:val="24"/>
          <w:lang w:val="en-US"/>
        </w:rPr>
      </w:pPr>
    </w:p>
    <w:p w14:paraId="30D861F6" w14:textId="5CDE631B" w:rsidR="00C970F5" w:rsidRPr="005A0D47" w:rsidRDefault="009F40C1" w:rsidP="00D62A9E">
      <w:pPr>
        <w:pStyle w:val="CETAddress"/>
        <w:jc w:val="center"/>
        <w:rPr>
          <w:noProof w:val="0"/>
          <w:sz w:val="24"/>
          <w:lang w:val="es-CO"/>
        </w:rPr>
      </w:pPr>
      <w:r w:rsidRPr="005A0D47">
        <w:rPr>
          <w:noProof w:val="0"/>
          <w:sz w:val="24"/>
          <w:lang w:val="es-CO"/>
        </w:rPr>
        <w:t xml:space="preserve">Julián </w:t>
      </w:r>
      <w:proofErr w:type="spellStart"/>
      <w:r w:rsidRPr="005A0D47">
        <w:rPr>
          <w:noProof w:val="0"/>
          <w:sz w:val="24"/>
          <w:lang w:val="es-CO"/>
        </w:rPr>
        <w:t>Sanabria</w:t>
      </w:r>
      <w:r w:rsidRPr="005A0D47">
        <w:rPr>
          <w:noProof w:val="0"/>
          <w:sz w:val="24"/>
          <w:vertAlign w:val="superscript"/>
          <w:lang w:val="es-CO"/>
        </w:rPr>
        <w:t>a</w:t>
      </w:r>
      <w:proofErr w:type="spellEnd"/>
      <w:r w:rsidR="00CD6EF4" w:rsidRPr="005A0D47">
        <w:rPr>
          <w:noProof w:val="0"/>
          <w:sz w:val="24"/>
          <w:vertAlign w:val="superscript"/>
          <w:lang w:val="es-CO"/>
        </w:rPr>
        <w:t>*</w:t>
      </w:r>
      <w:r w:rsidRPr="005A0D47">
        <w:rPr>
          <w:noProof w:val="0"/>
          <w:sz w:val="24"/>
          <w:lang w:val="es-CO"/>
        </w:rPr>
        <w:t xml:space="preserve">, Cristian </w:t>
      </w:r>
      <w:proofErr w:type="spellStart"/>
      <w:r w:rsidRPr="005A0D47">
        <w:rPr>
          <w:noProof w:val="0"/>
          <w:sz w:val="24"/>
          <w:lang w:val="es-CO"/>
        </w:rPr>
        <w:t>González</w:t>
      </w:r>
      <w:r w:rsidRPr="005A0D47">
        <w:rPr>
          <w:noProof w:val="0"/>
          <w:sz w:val="24"/>
          <w:vertAlign w:val="superscript"/>
          <w:lang w:val="es-CO"/>
        </w:rPr>
        <w:t>a</w:t>
      </w:r>
      <w:proofErr w:type="spellEnd"/>
      <w:r w:rsidRPr="005A0D47">
        <w:rPr>
          <w:noProof w:val="0"/>
          <w:sz w:val="24"/>
          <w:lang w:val="es-CO"/>
        </w:rPr>
        <w:t xml:space="preserve">, José </w:t>
      </w:r>
      <w:proofErr w:type="spellStart"/>
      <w:r w:rsidRPr="005A0D47">
        <w:rPr>
          <w:noProof w:val="0"/>
          <w:sz w:val="24"/>
          <w:lang w:val="es-CO"/>
        </w:rPr>
        <w:t>Reyes</w:t>
      </w:r>
      <w:r w:rsidRPr="005A0D47">
        <w:rPr>
          <w:noProof w:val="0"/>
          <w:sz w:val="24"/>
          <w:vertAlign w:val="superscript"/>
          <w:lang w:val="es-CO"/>
        </w:rPr>
        <w:t>a</w:t>
      </w:r>
      <w:proofErr w:type="spellEnd"/>
      <w:r w:rsidRPr="005A0D47">
        <w:rPr>
          <w:rFonts w:cs="Arial"/>
          <w:noProof w:val="0"/>
          <w:sz w:val="24"/>
          <w:lang w:val="es-CO"/>
        </w:rPr>
        <w:t>,</w:t>
      </w:r>
      <w:r w:rsidR="00BC2B81" w:rsidRPr="005A0D47">
        <w:rPr>
          <w:rFonts w:cs="Arial"/>
          <w:iCs/>
          <w:noProof w:val="0"/>
          <w:sz w:val="24"/>
          <w:szCs w:val="24"/>
          <w:lang w:val="es-CO"/>
        </w:rPr>
        <w:t xml:space="preserve"> Juan </w:t>
      </w:r>
      <w:proofErr w:type="spellStart"/>
      <w:r w:rsidR="00BC2B81" w:rsidRPr="005A0D47">
        <w:rPr>
          <w:rFonts w:cs="Arial"/>
          <w:iCs/>
          <w:noProof w:val="0"/>
          <w:sz w:val="24"/>
          <w:szCs w:val="24"/>
          <w:lang w:val="es-CO"/>
        </w:rPr>
        <w:t>Orozco</w:t>
      </w:r>
      <w:r w:rsidR="00BC2B81" w:rsidRPr="005A0D47">
        <w:rPr>
          <w:rFonts w:cs="Arial"/>
          <w:iCs/>
          <w:noProof w:val="0"/>
          <w:sz w:val="24"/>
          <w:szCs w:val="24"/>
          <w:vertAlign w:val="superscript"/>
          <w:lang w:val="es-CO"/>
        </w:rPr>
        <w:t>a</w:t>
      </w:r>
      <w:proofErr w:type="spellEnd"/>
      <w:r w:rsidR="00BC2B81" w:rsidRPr="005A0D47">
        <w:rPr>
          <w:noProof w:val="0"/>
          <w:sz w:val="24"/>
          <w:lang w:val="es-CO"/>
        </w:rPr>
        <w:t xml:space="preserve">, </w:t>
      </w:r>
      <w:r w:rsidRPr="005A0D47">
        <w:rPr>
          <w:noProof w:val="0"/>
          <w:sz w:val="24"/>
          <w:lang w:val="es-CO"/>
        </w:rPr>
        <w:t xml:space="preserve">Emiliano </w:t>
      </w:r>
      <w:proofErr w:type="spellStart"/>
      <w:r w:rsidRPr="005A0D47">
        <w:rPr>
          <w:noProof w:val="0"/>
          <w:sz w:val="24"/>
          <w:lang w:val="es-CO"/>
        </w:rPr>
        <w:t>Ariza</w:t>
      </w:r>
      <w:r w:rsidRPr="005A0D47">
        <w:rPr>
          <w:noProof w:val="0"/>
          <w:sz w:val="24"/>
          <w:vertAlign w:val="superscript"/>
          <w:lang w:val="es-CO"/>
        </w:rPr>
        <w:t>c</w:t>
      </w:r>
      <w:proofErr w:type="spellEnd"/>
      <w:r w:rsidRPr="005A0D47">
        <w:rPr>
          <w:noProof w:val="0"/>
          <w:sz w:val="24"/>
          <w:lang w:val="es-CO"/>
        </w:rPr>
        <w:t xml:space="preserve">, Adan </w:t>
      </w:r>
      <w:proofErr w:type="spellStart"/>
      <w:r w:rsidRPr="005A0D47">
        <w:rPr>
          <w:noProof w:val="0"/>
          <w:sz w:val="24"/>
          <w:lang w:val="es-CO"/>
        </w:rPr>
        <w:t>León</w:t>
      </w:r>
      <w:r w:rsidRPr="005A0D47">
        <w:rPr>
          <w:noProof w:val="0"/>
          <w:sz w:val="24"/>
          <w:vertAlign w:val="superscript"/>
          <w:lang w:val="es-CO"/>
        </w:rPr>
        <w:t>a</w:t>
      </w:r>
      <w:r w:rsidR="00D62A9E" w:rsidRPr="005A0D47">
        <w:rPr>
          <w:noProof w:val="0"/>
          <w:sz w:val="24"/>
          <w:vertAlign w:val="superscript"/>
          <w:lang w:val="es-CO"/>
        </w:rPr>
        <w:t>,</w:t>
      </w:r>
      <w:r w:rsidRPr="005A0D47">
        <w:rPr>
          <w:noProof w:val="0"/>
          <w:sz w:val="24"/>
          <w:vertAlign w:val="superscript"/>
          <w:lang w:val="es-CO"/>
        </w:rPr>
        <w:t>b</w:t>
      </w:r>
      <w:proofErr w:type="spellEnd"/>
    </w:p>
    <w:p w14:paraId="7BD5C6C4" w14:textId="77777777" w:rsidR="009F40C1" w:rsidRPr="005A0D47" w:rsidRDefault="009F40C1" w:rsidP="00B57E6F">
      <w:pPr>
        <w:pStyle w:val="CETAddress"/>
        <w:rPr>
          <w:noProof w:val="0"/>
          <w:vertAlign w:val="superscript"/>
          <w:lang w:val="es-CO"/>
        </w:rPr>
      </w:pPr>
    </w:p>
    <w:p w14:paraId="7ECAB98A" w14:textId="7E28D3B6" w:rsidR="00650121" w:rsidRPr="005A0D47" w:rsidRDefault="00650121" w:rsidP="00AF0468">
      <w:pPr>
        <w:pStyle w:val="CETAddress"/>
        <w:jc w:val="both"/>
        <w:rPr>
          <w:noProof w:val="0"/>
          <w:lang w:val="es-CO"/>
        </w:rPr>
      </w:pPr>
      <w:proofErr w:type="spellStart"/>
      <w:r w:rsidRPr="005A0D47">
        <w:rPr>
          <w:noProof w:val="0"/>
          <w:vertAlign w:val="superscript"/>
          <w:lang w:val="es-CO"/>
        </w:rPr>
        <w:t>a</w:t>
      </w:r>
      <w:r w:rsidRPr="005A0D47">
        <w:rPr>
          <w:noProof w:val="0"/>
          <w:lang w:val="es-CO"/>
        </w:rPr>
        <w:t>Universidad</w:t>
      </w:r>
      <w:proofErr w:type="spellEnd"/>
      <w:r w:rsidRPr="005A0D47">
        <w:rPr>
          <w:noProof w:val="0"/>
          <w:lang w:val="es-CO"/>
        </w:rPr>
        <w:t xml:space="preserve"> Industrial Santander, Escuela de Ingeniería Metalúrgica y Ciencia de los Materiales, Grupo de Investigaciones en Corrosión – GIC, </w:t>
      </w:r>
      <w:proofErr w:type="spellStart"/>
      <w:r w:rsidRPr="005A0D47">
        <w:rPr>
          <w:noProof w:val="0"/>
          <w:lang w:val="es-CO"/>
        </w:rPr>
        <w:t>cra</w:t>
      </w:r>
      <w:proofErr w:type="spellEnd"/>
      <w:r w:rsidRPr="005A0D47">
        <w:rPr>
          <w:noProof w:val="0"/>
          <w:lang w:val="es-CO"/>
        </w:rPr>
        <w:t xml:space="preserve"> 27 calle 9, Bucaramanga –Santander, Colombia</w:t>
      </w:r>
      <w:r w:rsidR="007F24AC" w:rsidRPr="005A0D47">
        <w:rPr>
          <w:noProof w:val="0"/>
          <w:lang w:val="es-CO"/>
        </w:rPr>
        <w:t>.</w:t>
      </w:r>
    </w:p>
    <w:p w14:paraId="423CD4CD" w14:textId="7F4EF70E" w:rsidR="00650121" w:rsidRPr="005A0D47" w:rsidRDefault="00650121" w:rsidP="00AF0468">
      <w:pPr>
        <w:pStyle w:val="CETAddress"/>
        <w:jc w:val="both"/>
        <w:rPr>
          <w:noProof w:val="0"/>
          <w:lang w:val="es-CO"/>
        </w:rPr>
      </w:pPr>
      <w:proofErr w:type="spellStart"/>
      <w:r w:rsidRPr="005A0D47">
        <w:rPr>
          <w:noProof w:val="0"/>
          <w:vertAlign w:val="superscript"/>
          <w:lang w:val="es-CO"/>
        </w:rPr>
        <w:t>b</w:t>
      </w:r>
      <w:r w:rsidRPr="005A0D47">
        <w:rPr>
          <w:noProof w:val="0"/>
          <w:lang w:val="es-CO"/>
        </w:rPr>
        <w:t>Universidad</w:t>
      </w:r>
      <w:proofErr w:type="spellEnd"/>
      <w:r w:rsidRPr="005A0D47">
        <w:rPr>
          <w:noProof w:val="0"/>
          <w:lang w:val="es-CO"/>
        </w:rPr>
        <w:t xml:space="preserve"> Industrial Santander, Escuela de Ingeniería de Petróleos, Grupo de Investigación Recobro Mejorado – GRM, </w:t>
      </w:r>
      <w:proofErr w:type="spellStart"/>
      <w:r w:rsidRPr="005A0D47">
        <w:rPr>
          <w:noProof w:val="0"/>
          <w:lang w:val="es-CO"/>
        </w:rPr>
        <w:t>cra</w:t>
      </w:r>
      <w:proofErr w:type="spellEnd"/>
      <w:r w:rsidRPr="005A0D47">
        <w:rPr>
          <w:noProof w:val="0"/>
          <w:lang w:val="es-CO"/>
        </w:rPr>
        <w:t xml:space="preserve"> 27 calle 9, Bucaramanga –Santander, Colombia</w:t>
      </w:r>
      <w:r w:rsidR="007F24AC" w:rsidRPr="005A0D47">
        <w:rPr>
          <w:noProof w:val="0"/>
          <w:lang w:val="es-CO"/>
        </w:rPr>
        <w:t>.</w:t>
      </w:r>
    </w:p>
    <w:p w14:paraId="6B2D21B3" w14:textId="4D0EC0AD" w:rsidR="00B57E6F" w:rsidRPr="005A0D47" w:rsidRDefault="00650121" w:rsidP="00AF0468">
      <w:pPr>
        <w:pStyle w:val="CETAddress"/>
        <w:jc w:val="both"/>
        <w:rPr>
          <w:noProof w:val="0"/>
          <w:lang w:val="es-CO"/>
        </w:rPr>
      </w:pPr>
      <w:proofErr w:type="spellStart"/>
      <w:r w:rsidRPr="005A0D47">
        <w:rPr>
          <w:noProof w:val="0"/>
          <w:vertAlign w:val="superscript"/>
          <w:lang w:val="es-CO"/>
        </w:rPr>
        <w:t>c</w:t>
      </w:r>
      <w:r w:rsidRPr="005A0D47">
        <w:rPr>
          <w:noProof w:val="0"/>
          <w:lang w:val="es-CO"/>
        </w:rPr>
        <w:t>Universidad</w:t>
      </w:r>
      <w:proofErr w:type="spellEnd"/>
      <w:r w:rsidRPr="005A0D47">
        <w:rPr>
          <w:noProof w:val="0"/>
          <w:lang w:val="es-CO"/>
        </w:rPr>
        <w:t xml:space="preserve"> Industrial Santander, Escuela de Química, Laboratorio de Espectroscopia Atómica Molecular - LEAM, </w:t>
      </w:r>
      <w:proofErr w:type="spellStart"/>
      <w:r w:rsidRPr="005A0D47">
        <w:rPr>
          <w:noProof w:val="0"/>
          <w:lang w:val="es-CO"/>
        </w:rPr>
        <w:t>cra</w:t>
      </w:r>
      <w:proofErr w:type="spellEnd"/>
      <w:r w:rsidRPr="005A0D47">
        <w:rPr>
          <w:noProof w:val="0"/>
          <w:lang w:val="es-CO"/>
        </w:rPr>
        <w:t xml:space="preserve"> 27 calle 9, Bucaramanga –Santander, Colombia</w:t>
      </w:r>
      <w:r w:rsidR="007F24AC" w:rsidRPr="005A0D47">
        <w:rPr>
          <w:noProof w:val="0"/>
          <w:lang w:val="es-CO"/>
        </w:rPr>
        <w:t>.</w:t>
      </w:r>
    </w:p>
    <w:p w14:paraId="4A029B5E" w14:textId="77777777" w:rsidR="00CC284B" w:rsidRPr="005A0D47" w:rsidRDefault="00CC284B" w:rsidP="00650121">
      <w:pPr>
        <w:pStyle w:val="CETAddress"/>
        <w:rPr>
          <w:noProof w:val="0"/>
          <w:lang w:val="es-CO"/>
        </w:rPr>
      </w:pPr>
    </w:p>
    <w:p w14:paraId="73F1267A" w14:textId="1729E346" w:rsidR="00B57E6F" w:rsidRPr="00F458FC" w:rsidRDefault="0037127E" w:rsidP="00B57E6F">
      <w:pPr>
        <w:pStyle w:val="CETemail"/>
        <w:rPr>
          <w:rStyle w:val="Hipervnculo"/>
          <w:noProof w:val="0"/>
          <w:color w:val="auto"/>
          <w:u w:val="none"/>
          <w:lang w:val="en-US"/>
        </w:rPr>
      </w:pPr>
      <w:r w:rsidRPr="00F458FC">
        <w:rPr>
          <w:noProof w:val="0"/>
          <w:lang w:val="en-US"/>
        </w:rPr>
        <w:t xml:space="preserve">*E-mail: </w:t>
      </w:r>
      <w:hyperlink r:id="rId10" w:history="1">
        <w:r w:rsidRPr="00F458FC">
          <w:rPr>
            <w:rStyle w:val="Hipervnculo"/>
            <w:noProof w:val="0"/>
            <w:color w:val="0070C0"/>
            <w:u w:val="none"/>
            <w:lang w:val="en-US"/>
          </w:rPr>
          <w:t>julian2248101@correo.uis.edu.co</w:t>
        </w:r>
      </w:hyperlink>
      <w:r w:rsidRPr="00F458FC">
        <w:rPr>
          <w:noProof w:val="0"/>
          <w:lang w:val="en-US"/>
        </w:rPr>
        <w:t xml:space="preserve"> </w:t>
      </w:r>
      <w:r w:rsidR="003470D1" w:rsidRPr="00F458FC">
        <w:rPr>
          <w:rStyle w:val="Hipervnculo"/>
          <w:noProof w:val="0"/>
          <w:color w:val="auto"/>
          <w:u w:val="none"/>
          <w:lang w:val="en-US"/>
        </w:rPr>
        <w:t xml:space="preserve"> </w:t>
      </w:r>
    </w:p>
    <w:p w14:paraId="764F97B3" w14:textId="19D6F1B4" w:rsidR="00072A98" w:rsidRPr="0039024C" w:rsidRDefault="0037127E" w:rsidP="0037127E">
      <w:pPr>
        <w:pStyle w:val="CETBodytext"/>
      </w:pPr>
      <w:r w:rsidRPr="0039024C">
        <w:t>In Colombia, around 70% of the crude oil produced consists of heavy and extra-heavy crude</w:t>
      </w:r>
      <w:r w:rsidR="006F6BF4" w:rsidRPr="0039024C">
        <w:t xml:space="preserve"> oils</w:t>
      </w:r>
      <w:r w:rsidRPr="0039024C">
        <w:t>, which pose various challenges during production, transportation, and refining stages due to their high viscosity values. To address this issue, naphtha has been applied as a diluent; however, its use can lead to high transportation and storage costs. For this reason, this research evaluated the use of natural additives as viscosity reducers for heavy crude</w:t>
      </w:r>
      <w:r w:rsidR="00FA43F8" w:rsidRPr="0039024C">
        <w:t xml:space="preserve"> oils</w:t>
      </w:r>
      <w:r w:rsidRPr="0039024C">
        <w:t>. Specifically, D-Limonene, an extract from citrus fruits was utilized in this study, given its growing interest in various sectors of the hydrocarbon industry.</w:t>
      </w:r>
      <w:r w:rsidR="00E053F0" w:rsidRPr="0039024C">
        <w:t xml:space="preserve"> </w:t>
      </w:r>
      <w:r w:rsidR="000F1C0B" w:rsidRPr="0039024C">
        <w:t>Additionally, four heavy crude oils were selected for the preparation of the mixtures, identified as C1, C2, C3 and C4 with API gravity values ​​of 11.9, 14.5, 14.0 and 16.9</w:t>
      </w:r>
      <w:r w:rsidR="00E37941" w:rsidRPr="0039024C">
        <w:t>, respectively</w:t>
      </w:r>
      <w:r w:rsidR="000F1C0B" w:rsidRPr="0039024C">
        <w:t>.</w:t>
      </w:r>
      <w:r w:rsidR="00E934C5" w:rsidRPr="0039024C">
        <w:t xml:space="preserve"> The four heavy crude oils showed viscosities in the range of 968 to 16020 cP (@ 25 °C).</w:t>
      </w:r>
      <w:r w:rsidR="000A0DBB" w:rsidRPr="0039024C">
        <w:t xml:space="preserve"> </w:t>
      </w:r>
      <w:r w:rsidRPr="0039024C">
        <w:t xml:space="preserve">These crudes also displayed a wide variation in their SARA compositional analysis (saturates, aromatics, resins, and asphaltenes), allowing for an in-depth analysis of D-Limonene as a viscosity-reducing agent and its chemical interaction with the crude components. Viscosity tests were performed at three different temperatures: 25°C, 45°C, and 60°C. Mixtures of each crude with D-Limonene were prepared at concentrations of 500, 750, 1000, and 1500 μL. The results showed that crudes C1, C2, C3, and C4 exhibited viscosity reductions in the ranges of 20.6% to 26.7%, 2.5% to 11.6%, 9.1% to 16.2%, and 16.2% to 81.7%, respectively. </w:t>
      </w:r>
      <w:r w:rsidR="000E05A3" w:rsidRPr="0039024C">
        <w:t>However, for higher concentrations of D-Limonene the difference in viscosity reduction is smaller.</w:t>
      </w:r>
      <w:r w:rsidR="00A76A7A" w:rsidRPr="0039024C">
        <w:t xml:space="preserve"> </w:t>
      </w:r>
      <w:r w:rsidRPr="0039024C">
        <w:t>Finally, FTIR-ATR infrared spectroscopy analysis revealed that the efficiency of D-Limonene is related to the average molecular structure of the selected crudes. Notably, crude C4 demonstrated a higher affinity with D-Limonene, likely due to its higher resin/asphaltene content and the presence of -C=</w:t>
      </w:r>
      <w:r w:rsidR="005D2271" w:rsidRPr="0039024C">
        <w:t>C</w:t>
      </w:r>
      <w:r w:rsidRPr="0039024C">
        <w:t xml:space="preserve"> functional groups.</w:t>
      </w:r>
    </w:p>
    <w:p w14:paraId="4B8D813F" w14:textId="77A58CE9" w:rsidR="00623AF1" w:rsidRPr="0039024C" w:rsidRDefault="00623AF1" w:rsidP="00072A98">
      <w:pPr>
        <w:pStyle w:val="CETBodytext"/>
      </w:pPr>
    </w:p>
    <w:p w14:paraId="476B2F2E" w14:textId="52B36035" w:rsidR="00600535" w:rsidRPr="0039024C" w:rsidRDefault="00600535" w:rsidP="00600535">
      <w:pPr>
        <w:pStyle w:val="CETHeading1"/>
      </w:pPr>
      <w:r w:rsidRPr="0039024C">
        <w:t>Introduction</w:t>
      </w:r>
    </w:p>
    <w:p w14:paraId="76EB257D" w14:textId="558234DC" w:rsidR="00273816" w:rsidRDefault="00A558CA" w:rsidP="00273816">
      <w:pPr>
        <w:pStyle w:val="CETBodytext"/>
      </w:pPr>
      <w:r w:rsidRPr="0039024C">
        <w:t>The increase in world energy demand has led to the search for alternatives to traditional fossil fuels. However, replac</w:t>
      </w:r>
      <w:r w:rsidR="005A0D47">
        <w:t>ing</w:t>
      </w:r>
      <w:r w:rsidRPr="0039024C">
        <w:t xml:space="preserve"> oil with clean energy</w:t>
      </w:r>
      <w:r w:rsidR="005A0D47">
        <w:t xml:space="preserve"> is difficult</w:t>
      </w:r>
      <w:r w:rsidRPr="0039024C">
        <w:t xml:space="preserve"> because of its sustainability and economic viability problems. Therefore, several studies predict that oil will continue to be the main energy</w:t>
      </w:r>
      <w:r w:rsidR="005A0D47">
        <w:t xml:space="preserve"> source</w:t>
      </w:r>
      <w:r w:rsidRPr="0039024C">
        <w:t xml:space="preserve"> in the coming decades. In the same way, unconventional oil (heavy and extra-heavy </w:t>
      </w:r>
      <w:r w:rsidR="008150EA" w:rsidRPr="0039024C">
        <w:t xml:space="preserve">crude </w:t>
      </w:r>
      <w:r w:rsidRPr="0039024C">
        <w:t>oil</w:t>
      </w:r>
      <w:r w:rsidR="008150EA" w:rsidRPr="0039024C">
        <w:t>s</w:t>
      </w:r>
      <w:r w:rsidRPr="0039024C">
        <w:t>) is highly interesting due to its abundance and contribution to the energy security of producing countries (Alotaibi et al</w:t>
      </w:r>
      <w:r w:rsidR="008D3173" w:rsidRPr="0039024C">
        <w:t>.</w:t>
      </w:r>
      <w:r w:rsidRPr="0039024C">
        <w:t>, 2018; Sorokin et al., 2023). Heavy (API gravity 21.9-10) and extra heavy (API gravity less than 10) crude</w:t>
      </w:r>
      <w:r w:rsidR="008150EA" w:rsidRPr="0039024C">
        <w:t xml:space="preserve"> oils </w:t>
      </w:r>
      <w:r w:rsidRPr="0039024C">
        <w:t>are classified based on different physicochemical properties such as molecular weight, distillation curve, pour point</w:t>
      </w:r>
      <w:r w:rsidR="005A0D47">
        <w:t>,</w:t>
      </w:r>
      <w:r w:rsidRPr="0039024C">
        <w:t xml:space="preserve"> and SARA compositional </w:t>
      </w:r>
      <w:r w:rsidRPr="0039024C">
        <w:lastRenderedPageBreak/>
        <w:t xml:space="preserve">analysis (Saturated, Aromatics, Resins and Asphaltenes). </w:t>
      </w:r>
      <w:r w:rsidR="00F539CB" w:rsidRPr="0039024C">
        <w:t>Nonetheless</w:t>
      </w:r>
      <w:r w:rsidRPr="0039024C">
        <w:t>, API gravity and viscosity play an important role in production, pipeline transportation</w:t>
      </w:r>
      <w:r w:rsidR="005A0D47">
        <w:t>,</w:t>
      </w:r>
      <w:r w:rsidRPr="0039024C">
        <w:t xml:space="preserve"> and oil recovery processes (Mironenko et al., 2017; Mateus et al., 2024). </w:t>
      </w:r>
      <w:r w:rsidR="00273816" w:rsidRPr="0039024C">
        <w:t xml:space="preserve">On the other hand, unconventional oil </w:t>
      </w:r>
      <w:r w:rsidR="00F458FC" w:rsidRPr="0039024C">
        <w:t>presents</w:t>
      </w:r>
      <w:r w:rsidR="00273816" w:rsidRPr="0039024C">
        <w:t xml:space="preserve"> significant amounts of resins and asphaltenes, which require techniques to improve their mobility. Due to the viscosity tendencies of heavy and extra-heavy crude</w:t>
      </w:r>
      <w:r w:rsidR="004C525F" w:rsidRPr="0039024C">
        <w:t xml:space="preserve"> oils</w:t>
      </w:r>
      <w:r w:rsidR="00273816" w:rsidRPr="0039024C">
        <w:t>, it is necessary to use different methods to reduce their viscosity. Some of these methods include physical heating, heating with catalysts, dilution with solvents, formulation of emulsions</w:t>
      </w:r>
      <w:r w:rsidR="005A0D47">
        <w:t>,</w:t>
      </w:r>
      <w:r w:rsidR="00273816" w:rsidRPr="0039024C">
        <w:t xml:space="preserve"> and addition of viscosity reducers. </w:t>
      </w:r>
      <w:r w:rsidR="008415F8">
        <w:t>T</w:t>
      </w:r>
      <w:r w:rsidR="00273816" w:rsidRPr="0039024C">
        <w:t xml:space="preserve">hese methods </w:t>
      </w:r>
      <w:r w:rsidR="008415F8">
        <w:t>are important</w:t>
      </w:r>
      <w:r w:rsidR="00273816" w:rsidRPr="0039024C">
        <w:t xml:space="preserve"> to improve the physicochemical properties of crude oil and condition them in the surface and refining stages (Ke et al., 2022). </w:t>
      </w:r>
      <w:r w:rsidR="008415F8" w:rsidRPr="008415F8">
        <w:t>Viscosity reducers modify the physicochemical properties of heavy crude oil, facilitating its transportation</w:t>
      </w:r>
      <w:r w:rsidR="008415F8">
        <w:t>;</w:t>
      </w:r>
      <w:r w:rsidR="00273816" w:rsidRPr="0039024C">
        <w:t xml:space="preserve"> </w:t>
      </w:r>
      <w:r w:rsidR="008415F8">
        <w:t>t</w:t>
      </w:r>
      <w:r w:rsidR="00273816" w:rsidRPr="0039024C">
        <w:t xml:space="preserve">his, in turn, results in a decrease in cohesion between molecules and allows the </w:t>
      </w:r>
      <w:r w:rsidR="0086046A" w:rsidRPr="0039024C">
        <w:t xml:space="preserve">heavy </w:t>
      </w:r>
      <w:r w:rsidR="00273816" w:rsidRPr="0039024C">
        <w:t xml:space="preserve">crude </w:t>
      </w:r>
      <w:r w:rsidR="0086046A" w:rsidRPr="0039024C">
        <w:t xml:space="preserve">oil </w:t>
      </w:r>
      <w:r w:rsidR="00273816" w:rsidRPr="0039024C">
        <w:t>to flow easily through pipelines and processing equipment, which not only simplifies operations but also reduces the costs associated with handling heavy crudes.</w:t>
      </w:r>
      <w:r w:rsidR="008415F8">
        <w:t xml:space="preserve"> </w:t>
      </w:r>
      <w:r w:rsidR="00273816" w:rsidRPr="0039024C">
        <w:t xml:space="preserve">Zhang et al. </w:t>
      </w:r>
      <w:r w:rsidR="0023230D" w:rsidRPr="0039024C">
        <w:t>(</w:t>
      </w:r>
      <w:r w:rsidR="00273816" w:rsidRPr="0039024C">
        <w:t>2022</w:t>
      </w:r>
      <w:r w:rsidR="0023230D" w:rsidRPr="0039024C">
        <w:t>)</w:t>
      </w:r>
      <w:r w:rsidR="00273816" w:rsidRPr="0039024C">
        <w:t xml:space="preserve"> evaluated the effect of viscosity reducers and their interaction mechanism i</w:t>
      </w:r>
      <w:r w:rsidR="008415F8">
        <w:t>n</w:t>
      </w:r>
      <w:r w:rsidR="00273816" w:rsidRPr="0039024C">
        <w:t xml:space="preserve"> heavy</w:t>
      </w:r>
      <w:r w:rsidR="0086046A" w:rsidRPr="0039024C">
        <w:t xml:space="preserve"> crude</w:t>
      </w:r>
      <w:r w:rsidR="00273816" w:rsidRPr="0039024C">
        <w:t xml:space="preserve"> oil with molecular dynamics simulation. The selected heavy </w:t>
      </w:r>
      <w:r w:rsidR="00E679B7" w:rsidRPr="0039024C">
        <w:t xml:space="preserve">crude </w:t>
      </w:r>
      <w:r w:rsidR="00273816" w:rsidRPr="0039024C">
        <w:t xml:space="preserve">oil presents </w:t>
      </w:r>
      <w:r w:rsidR="008415F8">
        <w:t xml:space="preserve">a </w:t>
      </w:r>
      <w:r w:rsidR="008415F8" w:rsidRPr="0039024C">
        <w:t>saturate content of</w:t>
      </w:r>
      <w:r w:rsidR="00273816" w:rsidRPr="0039024C">
        <w:t xml:space="preserve"> 18.9 %</w:t>
      </w:r>
      <w:r w:rsidR="00692475" w:rsidRPr="0039024C">
        <w:t xml:space="preserve"> by weig</w:t>
      </w:r>
      <w:r w:rsidR="003173C5" w:rsidRPr="0039024C">
        <w:t>h</w:t>
      </w:r>
      <w:r w:rsidR="00692475" w:rsidRPr="0039024C">
        <w:t>t</w:t>
      </w:r>
      <w:r w:rsidR="00273816" w:rsidRPr="0039024C">
        <w:t xml:space="preserve">, aromatics 30.8 </w:t>
      </w:r>
      <w:r w:rsidR="00692475" w:rsidRPr="0039024C">
        <w:t>% by weig</w:t>
      </w:r>
      <w:r w:rsidR="003173C5" w:rsidRPr="0039024C">
        <w:t>h</w:t>
      </w:r>
      <w:r w:rsidR="00692475" w:rsidRPr="0039024C">
        <w:t>t</w:t>
      </w:r>
      <w:r w:rsidR="00273816" w:rsidRPr="0039024C">
        <w:t xml:space="preserve">, resins 30.3 </w:t>
      </w:r>
      <w:r w:rsidR="00692475" w:rsidRPr="0039024C">
        <w:t xml:space="preserve">% by </w:t>
      </w:r>
      <w:r w:rsidR="003173C5" w:rsidRPr="0039024C">
        <w:t>weight</w:t>
      </w:r>
      <w:r w:rsidR="008415F8">
        <w:t>,</w:t>
      </w:r>
      <w:r w:rsidR="00273816" w:rsidRPr="0039024C">
        <w:t xml:space="preserve"> and asphaltenes 20 </w:t>
      </w:r>
      <w:r w:rsidR="003173C5" w:rsidRPr="0039024C">
        <w:t>% by weight</w:t>
      </w:r>
      <w:r w:rsidR="00273816" w:rsidRPr="0039024C">
        <w:t xml:space="preserve">. </w:t>
      </w:r>
      <w:r w:rsidR="00DD26A3" w:rsidRPr="0039024C">
        <w:t>Therefore</w:t>
      </w:r>
      <w:r w:rsidR="00273816" w:rsidRPr="0039024C">
        <w:t xml:space="preserve">, branched polyaromatic macromolecules and heteroatoms produce strong non-covalent bonds, where the hydrogen bond has the strongest binding capacity. Also, these interactions between macromolecules increase the viscosity of the oil. For example, </w:t>
      </w:r>
      <w:r w:rsidR="008415F8">
        <w:t>applying</w:t>
      </w:r>
      <w:r w:rsidR="00273816" w:rsidRPr="0039024C">
        <w:t xml:space="preserve"> mixtures of octadecyl acrylate:styrene:acrylic acid and octadecyl acrylate:styrene:vinyl acetate produced viscosity reductions with values of 80 and 95 %, respectively. The results </w:t>
      </w:r>
      <w:r w:rsidR="008415F8">
        <w:t>established</w:t>
      </w:r>
      <w:r w:rsidR="00273816" w:rsidRPr="0039024C">
        <w:t xml:space="preserve"> that the viscosity-reducing molecules combine with the asphaltenes</w:t>
      </w:r>
      <w:r w:rsidR="008415F8">
        <w:t>,</w:t>
      </w:r>
      <w:r w:rsidR="00273816" w:rsidRPr="0039024C">
        <w:t xml:space="preserve"> and resins molecules through strong electronegativity. The formation of the new hydrogen bonds prevents the aggregation of the asphaltenes, resins and other macromolecules, favoring their dispersion and reducing the</w:t>
      </w:r>
      <w:r w:rsidR="008415F8">
        <w:t xml:space="preserve"> </w:t>
      </w:r>
      <w:r w:rsidR="008415F8" w:rsidRPr="008415F8">
        <w:t>system</w:t>
      </w:r>
      <w:r w:rsidR="008415F8">
        <w:t>’s</w:t>
      </w:r>
      <w:r w:rsidR="00273816" w:rsidRPr="0039024C">
        <w:t xml:space="preserve"> viscosity.</w:t>
      </w:r>
    </w:p>
    <w:p w14:paraId="529C1B57" w14:textId="326BCDE9" w:rsidR="005946C1" w:rsidRPr="0039024C" w:rsidRDefault="005946C1" w:rsidP="00273816">
      <w:pPr>
        <w:pStyle w:val="CETBodytext"/>
      </w:pPr>
      <w:r w:rsidRPr="005946C1">
        <w:t>In other studies, a heavy crude oil dilution approach was employed using toluene, naphtha, heptane, and methanol as solvents. The solvents showed a favorable effect on the viscosity reduction of heavy crude oil crude in the order toluene&gt;heptane&gt;naphtha. However, the effect on viscosity reduction was less significant with increasing solvent concentration. On the other hand, adding methanol to heavy crude oil generated higher viscosity in heavy crude oil due to the formation of hydrogen bonds (</w:t>
      </w:r>
      <w:proofErr w:type="spellStart"/>
      <w:r w:rsidRPr="005946C1">
        <w:t>Dehaghani</w:t>
      </w:r>
      <w:proofErr w:type="spellEnd"/>
      <w:r w:rsidRPr="005946C1">
        <w:t xml:space="preserve"> et al., 2016). In general, viscosity reducers act mainly as dispersants and asphaltene stabilizing agents. The most common are reducers of aromatic compounds such as toluene and xylene, but they have environmental disadvantages. Piedra et al. (2020) determined that using natural viscosity </w:t>
      </w:r>
      <w:proofErr w:type="gramStart"/>
      <w:r w:rsidRPr="005946C1">
        <w:t>reducers with</w:t>
      </w:r>
      <w:proofErr w:type="gramEnd"/>
      <w:r w:rsidRPr="005946C1">
        <w:t xml:space="preserve"> concentrations between 1000 to 3000 ppm reduces viscosity in a heavy crude oil of 2590 cP between 65 and 69.2 %. In the same line of research, other authors have employed D-Limonene to replace commercial solvents such as acetone, toluene, n-hexane, and chlorinated organic compounds in the treatment of heavy crude oil and oil sands (Cortez et al., 2012; Lazenby., 2014). The results showed that D-Limonene is a green, sustainable, and environmentally friendly alternative due to its low toxicity compared to traditional solvents. This research aims to evaluate the effect of D-Limonene as a viscosity reducer in four Colombian heavy crude oils. Additionally, it is intended to relate the results with the chemical nature of heavy crude oils using the FTIR-ATR spectroscopy technique.</w:t>
      </w:r>
    </w:p>
    <w:p w14:paraId="54CBAA4B" w14:textId="65CEF4A5" w:rsidR="005312ED" w:rsidRPr="0039024C" w:rsidRDefault="005312ED" w:rsidP="00DF0AFC">
      <w:pPr>
        <w:pStyle w:val="CETHeading1"/>
        <w:rPr>
          <w:sz w:val="18"/>
          <w:szCs w:val="18"/>
        </w:rPr>
      </w:pPr>
      <w:r w:rsidRPr="0039024C">
        <w:rPr>
          <w:sz w:val="18"/>
          <w:szCs w:val="18"/>
        </w:rPr>
        <w:t>Materials and Methods</w:t>
      </w:r>
    </w:p>
    <w:p w14:paraId="4F8C47D1" w14:textId="5F64586A" w:rsidR="00BC04E7" w:rsidRPr="0039024C" w:rsidRDefault="00513416" w:rsidP="00BC04E7">
      <w:pPr>
        <w:pStyle w:val="CETBodytext"/>
      </w:pPr>
      <w:r w:rsidRPr="0039024C">
        <w:t xml:space="preserve">This work was carried out in three stages: first, a literature review was conducted to select the D-limonene concentration; then, the mixing and viscosity measurement experimental tests were designed; and finally, </w:t>
      </w:r>
      <w:r w:rsidR="00E46E56" w:rsidRPr="0039024C">
        <w:t>the data were analyzed and processed</w:t>
      </w:r>
      <w:r w:rsidRPr="0039024C">
        <w:t>. Figure 1 shows the experimental diagram.</w:t>
      </w:r>
    </w:p>
    <w:p w14:paraId="695FD81A" w14:textId="0958829B" w:rsidR="00513416" w:rsidRPr="0039024C" w:rsidRDefault="00C33E61" w:rsidP="00BC04E7">
      <w:pPr>
        <w:pStyle w:val="CETBodytext"/>
      </w:pPr>
      <w:r w:rsidRPr="0039024C">
        <w:rPr>
          <w:noProof/>
        </w:rPr>
        <mc:AlternateContent>
          <mc:Choice Requires="wpg">
            <w:drawing>
              <wp:anchor distT="0" distB="0" distL="114300" distR="114300" simplePos="0" relativeHeight="251659264" behindDoc="0" locked="0" layoutInCell="1" allowOverlap="1" wp14:anchorId="00524FB3" wp14:editId="0B08A2F0">
                <wp:simplePos x="0" y="0"/>
                <wp:positionH relativeFrom="column">
                  <wp:posOffset>-1833</wp:posOffset>
                </wp:positionH>
                <wp:positionV relativeFrom="paragraph">
                  <wp:posOffset>113066</wp:posOffset>
                </wp:positionV>
                <wp:extent cx="4876354" cy="1509621"/>
                <wp:effectExtent l="0" t="0" r="19685" b="14605"/>
                <wp:wrapNone/>
                <wp:docPr id="20" name="Grupo 20"/>
                <wp:cNvGraphicFramePr/>
                <a:graphic xmlns:a="http://schemas.openxmlformats.org/drawingml/2006/main">
                  <a:graphicData uri="http://schemas.microsoft.com/office/word/2010/wordprocessingGroup">
                    <wpg:wgp>
                      <wpg:cNvGrpSpPr/>
                      <wpg:grpSpPr>
                        <a:xfrm>
                          <a:off x="0" y="0"/>
                          <a:ext cx="4876354" cy="1509621"/>
                          <a:chOff x="0" y="-25884"/>
                          <a:chExt cx="4876552" cy="1509887"/>
                        </a:xfrm>
                      </wpg:grpSpPr>
                      <wps:wsp>
                        <wps:cNvPr id="21" name="Cuadro de texto 2"/>
                        <wps:cNvSpPr txBox="1">
                          <a:spLocks noChangeArrowheads="1"/>
                        </wps:cNvSpPr>
                        <wps:spPr bwMode="auto">
                          <a:xfrm>
                            <a:off x="0" y="-25884"/>
                            <a:ext cx="1590675" cy="534932"/>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solidFill>
                              <a:srgbClr val="000000"/>
                            </a:solidFill>
                            <a:miter lim="800000"/>
                            <a:headEnd/>
                            <a:tailEnd/>
                          </a:ln>
                        </wps:spPr>
                        <wps:txbx>
                          <w:txbxContent>
                            <w:p w14:paraId="60BE1702" w14:textId="77777777" w:rsidR="00C33E61" w:rsidRPr="00EA3169" w:rsidRDefault="00C33E61" w:rsidP="00C33E61">
                              <w:pPr>
                                <w:jc w:val="center"/>
                                <w:rPr>
                                  <w:rFonts w:cs="Arial"/>
                                  <w:szCs w:val="18"/>
                                </w:rPr>
                              </w:pPr>
                              <w:r w:rsidRPr="00EA3169">
                                <w:rPr>
                                  <w:rFonts w:cs="Arial"/>
                                  <w:szCs w:val="18"/>
                                </w:rPr>
                                <w:t>Viscosity reduction of crude oils with D-Limonene (Bibliographic review).</w:t>
                              </w:r>
                            </w:p>
                          </w:txbxContent>
                        </wps:txbx>
                        <wps:bodyPr rot="0" vert="horz" wrap="square" lIns="91440" tIns="45720" rIns="91440" bIns="45720" anchor="t" anchorCtr="0">
                          <a:noAutofit/>
                        </wps:bodyPr>
                      </wps:wsp>
                      <wps:wsp>
                        <wps:cNvPr id="22" name="Cuadro de texto 2"/>
                        <wps:cNvSpPr txBox="1">
                          <a:spLocks noChangeArrowheads="1"/>
                        </wps:cNvSpPr>
                        <wps:spPr bwMode="auto">
                          <a:xfrm>
                            <a:off x="11876" y="839410"/>
                            <a:ext cx="1571625" cy="644593"/>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solidFill>
                              <a:srgbClr val="000000"/>
                            </a:solidFill>
                            <a:miter lim="800000"/>
                            <a:headEnd/>
                            <a:tailEnd/>
                          </a:ln>
                        </wps:spPr>
                        <wps:txbx>
                          <w:txbxContent>
                            <w:p w14:paraId="5CD8CF05" w14:textId="77777777" w:rsidR="00C33E61" w:rsidRPr="00EA3169" w:rsidRDefault="00C33E61" w:rsidP="00C33E61">
                              <w:pPr>
                                <w:jc w:val="center"/>
                                <w:rPr>
                                  <w:rFonts w:cs="Arial"/>
                                  <w:szCs w:val="18"/>
                                </w:rPr>
                              </w:pPr>
                              <w:r w:rsidRPr="00EA3169">
                                <w:rPr>
                                  <w:rFonts w:cs="Arial"/>
                                  <w:szCs w:val="18"/>
                                </w:rPr>
                                <w:t>Characterization of heavy crude oils.</w:t>
                              </w:r>
                            </w:p>
                            <w:p w14:paraId="048AE17D" w14:textId="77777777" w:rsidR="00C33E61" w:rsidRPr="00EA3169" w:rsidRDefault="00C33E61" w:rsidP="00C33E61">
                              <w:pPr>
                                <w:jc w:val="center"/>
                                <w:rPr>
                                  <w:rFonts w:cs="Arial"/>
                                  <w:szCs w:val="18"/>
                                </w:rPr>
                              </w:pPr>
                              <w:r w:rsidRPr="00EA3169">
                                <w:rPr>
                                  <w:rFonts w:cs="Arial"/>
                                  <w:szCs w:val="18"/>
                                </w:rPr>
                                <w:t>Installation of viscosity measurement equipment.</w:t>
                              </w:r>
                            </w:p>
                          </w:txbxContent>
                        </wps:txbx>
                        <wps:bodyPr rot="0" vert="horz" wrap="square" lIns="91440" tIns="45720" rIns="91440" bIns="45720" anchor="t" anchorCtr="0">
                          <a:noAutofit/>
                        </wps:bodyPr>
                      </wps:wsp>
                      <wps:wsp>
                        <wps:cNvPr id="23" name="Conector recto 23"/>
                        <wps:cNvCnPr/>
                        <wps:spPr>
                          <a:xfrm>
                            <a:off x="783772" y="507389"/>
                            <a:ext cx="0" cy="32385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Conector recto 24"/>
                        <wps:cNvCnPr/>
                        <wps:spPr>
                          <a:xfrm>
                            <a:off x="1905990" y="261257"/>
                            <a:ext cx="0" cy="962025"/>
                          </a:xfrm>
                          <a:prstGeom prst="line">
                            <a:avLst/>
                          </a:prstGeom>
                        </wps:spPr>
                        <wps:style>
                          <a:lnRef idx="1">
                            <a:schemeClr val="dk1"/>
                          </a:lnRef>
                          <a:fillRef idx="0">
                            <a:schemeClr val="dk1"/>
                          </a:fillRef>
                          <a:effectRef idx="0">
                            <a:schemeClr val="dk1"/>
                          </a:effectRef>
                          <a:fontRef idx="minor">
                            <a:schemeClr val="tx1"/>
                          </a:fontRef>
                        </wps:style>
                        <wps:bodyPr/>
                      </wps:wsp>
                      <wps:wsp>
                        <wps:cNvPr id="25" name="Conector recto 25"/>
                        <wps:cNvCnPr/>
                        <wps:spPr>
                          <a:xfrm flipH="1">
                            <a:off x="1599920" y="258568"/>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Cuadro de texto 2"/>
                        <wps:cNvSpPr txBox="1">
                          <a:spLocks noChangeArrowheads="1"/>
                        </wps:cNvSpPr>
                        <wps:spPr bwMode="auto">
                          <a:xfrm>
                            <a:off x="2226537" y="267705"/>
                            <a:ext cx="1209675" cy="957462"/>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solidFill>
                              <a:srgbClr val="000000"/>
                            </a:solidFill>
                            <a:miter lim="800000"/>
                            <a:headEnd/>
                            <a:tailEnd/>
                          </a:ln>
                        </wps:spPr>
                        <wps:txbx>
                          <w:txbxContent>
                            <w:p w14:paraId="19B64263" w14:textId="092DD494" w:rsidR="00C33E61" w:rsidRDefault="00C33E61" w:rsidP="00C33E61">
                              <w:pPr>
                                <w:jc w:val="center"/>
                                <w:rPr>
                                  <w:rFonts w:cs="Arial"/>
                                  <w:szCs w:val="18"/>
                                </w:rPr>
                              </w:pPr>
                              <w:r w:rsidRPr="00D00B65">
                                <w:rPr>
                                  <w:rFonts w:cs="Arial"/>
                                  <w:szCs w:val="18"/>
                                </w:rPr>
                                <w:t>Viscosity tests using D-Limonene (500 to 1500 μL).</w:t>
                              </w:r>
                            </w:p>
                            <w:p w14:paraId="3E40F0B5" w14:textId="77777777" w:rsidR="003F2E2C" w:rsidRPr="00D00B65" w:rsidRDefault="003F2E2C" w:rsidP="00C33E61">
                              <w:pPr>
                                <w:jc w:val="center"/>
                                <w:rPr>
                                  <w:rFonts w:cs="Arial"/>
                                  <w:szCs w:val="18"/>
                                </w:rPr>
                              </w:pPr>
                            </w:p>
                            <w:p w14:paraId="001D9341" w14:textId="77777777" w:rsidR="00C33E61" w:rsidRPr="00D00B65" w:rsidRDefault="00C33E61" w:rsidP="00C33E61">
                              <w:pPr>
                                <w:jc w:val="center"/>
                                <w:rPr>
                                  <w:rFonts w:cs="Arial"/>
                                  <w:szCs w:val="18"/>
                                </w:rPr>
                              </w:pPr>
                              <w:r w:rsidRPr="00D00B65">
                                <w:rPr>
                                  <w:rFonts w:cs="Arial"/>
                                  <w:szCs w:val="18"/>
                                </w:rPr>
                                <w:t>FTIR-ATR Infrared Analysis</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3752602" y="451262"/>
                            <a:ext cx="1123950" cy="54610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a:solidFill>
                              <a:srgbClr val="000000"/>
                            </a:solidFill>
                            <a:miter lim="800000"/>
                            <a:headEnd/>
                            <a:tailEnd/>
                          </a:ln>
                        </wps:spPr>
                        <wps:txbx>
                          <w:txbxContent>
                            <w:p w14:paraId="61637487" w14:textId="77777777" w:rsidR="00C33E61" w:rsidRPr="00D00B65" w:rsidRDefault="00C33E61" w:rsidP="00C33E61">
                              <w:pPr>
                                <w:jc w:val="center"/>
                                <w:rPr>
                                  <w:rFonts w:cs="Arial"/>
                                  <w:szCs w:val="18"/>
                                </w:rPr>
                              </w:pPr>
                              <w:r w:rsidRPr="00D00B65">
                                <w:rPr>
                                  <w:rFonts w:cs="Arial"/>
                                  <w:szCs w:val="18"/>
                                </w:rPr>
                                <w:t>Analysis and processing of information</w:t>
                              </w:r>
                            </w:p>
                          </w:txbxContent>
                        </wps:txbx>
                        <wps:bodyPr rot="0" vert="horz" wrap="square" lIns="91440" tIns="45720" rIns="91440" bIns="45720" anchor="t" anchorCtr="0">
                          <a:noAutofit/>
                        </wps:bodyPr>
                      </wps:wsp>
                      <wps:wsp>
                        <wps:cNvPr id="28" name="Conector recto 28"/>
                        <wps:cNvCnPr/>
                        <wps:spPr>
                          <a:xfrm flipH="1">
                            <a:off x="1599920" y="1217219"/>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Conector recto 29"/>
                        <wps:cNvCnPr/>
                        <wps:spPr>
                          <a:xfrm flipH="1">
                            <a:off x="1911928" y="73627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30" name="Conector recto 30"/>
                        <wps:cNvCnPr/>
                        <wps:spPr>
                          <a:xfrm flipH="1">
                            <a:off x="3443843" y="712520"/>
                            <a:ext cx="3048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524FB3" id="Grupo 20" o:spid="_x0000_s1026" style="position:absolute;left:0;text-align:left;margin-left:-.15pt;margin-top:8.9pt;width:383.95pt;height:118.85pt;z-index:251659264;mso-width-relative:margin;mso-height-relative:margin" coordorigin=",-258" coordsize="48765,1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">
                <v:shapetype id="_x0000_t202" coordsize="21600,21600" o:spt="202" path="m,l,21600r21600,l21600,xe">
                  <v:stroke joinstyle="miter"/>
                  <v:path gradientshapeok="t" o:connecttype="rect"/>
                </v:shapetype>
                <v:shape id="Cuadro de texto 2" o:spid="_x0000_s1027" type="#_x0000_t202" style="position:absolute;top:-258;width:15906;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" fillcolor="#fafbf6 [182]">
                  <v:fill color2="#e1eacd [982]" rotate="t" colors="0 #fafcf7;48497f #d2e0b4;54395f #d2e0b4;1 #e1ebcd" focus="100%" type="gradient"/>
                  <v:textbox>
                    <w:txbxContent>
                      <w:p w14:paraId="60BE1702" w14:textId="77777777" w:rsidR="00C33E61" w:rsidRPr="00EA3169" w:rsidRDefault="00C33E61" w:rsidP="00C33E61">
                        <w:pPr>
                          <w:jc w:val="center"/>
                          <w:rPr>
                            <w:rFonts w:cs="Arial"/>
                            <w:szCs w:val="18"/>
                          </w:rPr>
                        </w:pPr>
                        <w:r w:rsidRPr="00EA3169">
                          <w:rPr>
                            <w:rFonts w:cs="Arial"/>
                            <w:szCs w:val="18"/>
                          </w:rPr>
                          <w:t>Viscosity reduction of crude oils with D-Limonene (Bibliographic review).</w:t>
                        </w:r>
                      </w:p>
                    </w:txbxContent>
                  </v:textbox>
                </v:shape>
                <v:shape id="Cuadro de texto 2" o:spid="_x0000_s1028" type="#_x0000_t202" style="position:absolute;left:118;top:8394;width:15717;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" fillcolor="#fafbf6 [182]">
                  <v:fill color2="#e1eacd [982]" rotate="t" colors="0 #fafcf7;48497f #d2e0b4;54395f #d2e0b4;1 #e1ebcd" focus="100%" type="gradient"/>
                  <v:textbox>
                    <w:txbxContent>
                      <w:p w14:paraId="5CD8CF05" w14:textId="77777777" w:rsidR="00C33E61" w:rsidRPr="00EA3169" w:rsidRDefault="00C33E61" w:rsidP="00C33E61">
                        <w:pPr>
                          <w:jc w:val="center"/>
                          <w:rPr>
                            <w:rFonts w:cs="Arial"/>
                            <w:szCs w:val="18"/>
                          </w:rPr>
                        </w:pPr>
                        <w:r w:rsidRPr="00EA3169">
                          <w:rPr>
                            <w:rFonts w:cs="Arial"/>
                            <w:szCs w:val="18"/>
                          </w:rPr>
                          <w:t>Characterization of heavy crude oils.</w:t>
                        </w:r>
                      </w:p>
                      <w:p w14:paraId="048AE17D" w14:textId="77777777" w:rsidR="00C33E61" w:rsidRPr="00EA3169" w:rsidRDefault="00C33E61" w:rsidP="00C33E61">
                        <w:pPr>
                          <w:jc w:val="center"/>
                          <w:rPr>
                            <w:rFonts w:cs="Arial"/>
                            <w:szCs w:val="18"/>
                          </w:rPr>
                        </w:pPr>
                        <w:r w:rsidRPr="00EA3169">
                          <w:rPr>
                            <w:rFonts w:cs="Arial"/>
                            <w:szCs w:val="18"/>
                          </w:rPr>
                          <w:t>Installation of viscosity measurement equipment.</w:t>
                        </w:r>
                      </w:p>
                    </w:txbxContent>
                  </v:textbox>
                </v:shape>
                <v:line id="Conector recto 23" o:spid="_x0000_s1029" style="position:absolute;visibility:visible;mso-wrap-style:square" from="7837,5073" to="783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" strokecolor="black [3040]"/>
                <v:line id="Conector recto 24" o:spid="_x0000_s1030" style="position:absolute;visibility:visible;mso-wrap-style:square" from="19059,2612" to="1905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" strokecolor="black [3040]"/>
                <v:line id="Conector recto 25" o:spid="_x0000_s1031" style="position:absolute;flip:x;visibility:visible;mso-wrap-style:square" from="15999,2585" to="19047,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" strokecolor="black [3040]"/>
                <v:shape id="Cuadro de texto 2" o:spid="_x0000_s1032" type="#_x0000_t202" style="position:absolute;left:22265;top:2677;width:12097;height:9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" fillcolor="#fafbf6 [182]">
                  <v:fill color2="#e1eacd [982]" rotate="t" colors="0 #fafcf7;48497f #d2e0b4;54395f #d2e0b4;1 #e1ebcd" focus="100%" type="gradient"/>
                  <v:textbox>
                    <w:txbxContent>
                      <w:p w14:paraId="19B64263" w14:textId="092DD494" w:rsidR="00C33E61" w:rsidRDefault="00C33E61" w:rsidP="00C33E61">
                        <w:pPr>
                          <w:jc w:val="center"/>
                          <w:rPr>
                            <w:rFonts w:cs="Arial"/>
                            <w:szCs w:val="18"/>
                          </w:rPr>
                        </w:pPr>
                        <w:r w:rsidRPr="00D00B65">
                          <w:rPr>
                            <w:rFonts w:cs="Arial"/>
                            <w:szCs w:val="18"/>
                          </w:rPr>
                          <w:t>Viscosity tests using D-Limonene (500 to 1500 μL).</w:t>
                        </w:r>
                      </w:p>
                      <w:p w14:paraId="3E40F0B5" w14:textId="77777777" w:rsidR="003F2E2C" w:rsidRPr="00D00B65" w:rsidRDefault="003F2E2C" w:rsidP="00C33E61">
                        <w:pPr>
                          <w:jc w:val="center"/>
                          <w:rPr>
                            <w:rFonts w:cs="Arial"/>
                            <w:szCs w:val="18"/>
                          </w:rPr>
                        </w:pPr>
                      </w:p>
                      <w:p w14:paraId="001D9341" w14:textId="77777777" w:rsidR="00C33E61" w:rsidRPr="00D00B65" w:rsidRDefault="00C33E61" w:rsidP="00C33E61">
                        <w:pPr>
                          <w:jc w:val="center"/>
                          <w:rPr>
                            <w:rFonts w:cs="Arial"/>
                            <w:szCs w:val="18"/>
                          </w:rPr>
                        </w:pPr>
                        <w:r w:rsidRPr="00D00B65">
                          <w:rPr>
                            <w:rFonts w:cs="Arial"/>
                            <w:szCs w:val="18"/>
                          </w:rPr>
                          <w:t>FTIR-ATR Infrared Analysis</w:t>
                        </w:r>
                      </w:p>
                    </w:txbxContent>
                  </v:textbox>
                </v:shape>
                <v:shape id="Cuadro de texto 2" o:spid="_x0000_s1033" type="#_x0000_t202" style="position:absolute;left:37526;top:4512;width:11239;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" fillcolor="#fafbf6 [182]">
                  <v:fill color2="#e1eacd [982]" rotate="t" colors="0 #fafcf7;48497f #d2e0b4;54395f #d2e0b4;1 #e1ebcd" focus="100%" type="gradient"/>
                  <v:textbox>
                    <w:txbxContent>
                      <w:p w14:paraId="61637487" w14:textId="77777777" w:rsidR="00C33E61" w:rsidRPr="00D00B65" w:rsidRDefault="00C33E61" w:rsidP="00C33E61">
                        <w:pPr>
                          <w:jc w:val="center"/>
                          <w:rPr>
                            <w:rFonts w:cs="Arial"/>
                            <w:szCs w:val="18"/>
                          </w:rPr>
                        </w:pPr>
                        <w:r w:rsidRPr="00D00B65">
                          <w:rPr>
                            <w:rFonts w:cs="Arial"/>
                            <w:szCs w:val="18"/>
                          </w:rPr>
                          <w:t>Analysis and processing of information</w:t>
                        </w:r>
                      </w:p>
                    </w:txbxContent>
                  </v:textbox>
                </v:shape>
                <v:line id="Conector recto 28" o:spid="_x0000_s1034" style="position:absolute;flip:x;visibility:visible;mso-wrap-style:square" from="15999,12172" to="19047,1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" strokecolor="black [3040]"/>
                <v:line id="Conector recto 29" o:spid="_x0000_s1035" style="position:absolute;flip:x;visibility:visible;mso-wrap-style:square" from="19119,7362" to="22167,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" strokecolor="black [3040]"/>
                <v:line id="Conector recto 30" o:spid="_x0000_s1036" style="position:absolute;flip:x;visibility:visible;mso-wrap-style:square" from="34438,7125" to="37486,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vPvwAAANsAAAAPAAAAZHJzL2Rvd25yZXYueG1sRE/LisIw&#10;FN0L/kO4gjtNHcG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Djj3vPvwAAANsAAAAPAAAAAAAA&#10;AAAAAAAAAAcCAABkcnMvZG93bnJldi54bWxQSwUGAAAAAAMAAwC3AAAA8wIAAAAA&#10;" strokecolor="black [3040]"/>
              </v:group>
            </w:pict>
          </mc:Fallback>
        </mc:AlternateContent>
      </w:r>
    </w:p>
    <w:p w14:paraId="41651E82" w14:textId="360F706B" w:rsidR="00513416" w:rsidRPr="0039024C" w:rsidRDefault="00513416" w:rsidP="00BC04E7">
      <w:pPr>
        <w:pStyle w:val="CETBodytext"/>
      </w:pPr>
    </w:p>
    <w:p w14:paraId="244A2919" w14:textId="4C17790D" w:rsidR="00513416" w:rsidRPr="0039024C" w:rsidRDefault="00513416" w:rsidP="00BC04E7">
      <w:pPr>
        <w:pStyle w:val="CETBodytext"/>
      </w:pPr>
    </w:p>
    <w:p w14:paraId="3B8BC0D0" w14:textId="77777777" w:rsidR="00513416" w:rsidRPr="0039024C" w:rsidRDefault="00513416" w:rsidP="00BC04E7">
      <w:pPr>
        <w:pStyle w:val="CETBodytext"/>
      </w:pPr>
    </w:p>
    <w:p w14:paraId="69A65B5F" w14:textId="2E0C3456" w:rsidR="00513416" w:rsidRPr="0039024C" w:rsidRDefault="00513416" w:rsidP="00BC04E7">
      <w:pPr>
        <w:pStyle w:val="CETBodytext"/>
      </w:pPr>
    </w:p>
    <w:p w14:paraId="2540A581" w14:textId="4DE8294D" w:rsidR="00513416" w:rsidRPr="0039024C" w:rsidRDefault="00513416" w:rsidP="00BC04E7">
      <w:pPr>
        <w:pStyle w:val="CETBodytext"/>
      </w:pPr>
    </w:p>
    <w:p w14:paraId="5E855134" w14:textId="3B8916C0" w:rsidR="00C33E61" w:rsidRPr="0039024C" w:rsidRDefault="00C33E61" w:rsidP="00BC04E7">
      <w:pPr>
        <w:pStyle w:val="CETBodytext"/>
      </w:pPr>
    </w:p>
    <w:p w14:paraId="153A9BF2" w14:textId="047D3E60" w:rsidR="00C33E61" w:rsidRPr="0039024C" w:rsidRDefault="00C33E61" w:rsidP="00BC04E7">
      <w:pPr>
        <w:pStyle w:val="CETBodytext"/>
      </w:pPr>
    </w:p>
    <w:p w14:paraId="53CEA9D6" w14:textId="313D2124" w:rsidR="00C33E61" w:rsidRPr="0039024C" w:rsidRDefault="00C33E61" w:rsidP="00BC04E7">
      <w:pPr>
        <w:pStyle w:val="CETBodytext"/>
      </w:pPr>
    </w:p>
    <w:p w14:paraId="112D2751" w14:textId="0C49FB9C" w:rsidR="005A3E3B" w:rsidRPr="0039024C" w:rsidRDefault="005A3E3B" w:rsidP="00BC04E7">
      <w:pPr>
        <w:pStyle w:val="CETBodytext"/>
      </w:pPr>
    </w:p>
    <w:p w14:paraId="0D465775" w14:textId="5E95D76D" w:rsidR="005A3E3B" w:rsidRPr="0039024C" w:rsidRDefault="005A3E3B" w:rsidP="00BC04E7">
      <w:pPr>
        <w:pStyle w:val="CETBodytext"/>
      </w:pPr>
    </w:p>
    <w:p w14:paraId="35766C15" w14:textId="1B1D224B" w:rsidR="005A3E3B" w:rsidRPr="0039024C" w:rsidRDefault="005A3E3B" w:rsidP="00BC04E7">
      <w:pPr>
        <w:pStyle w:val="CETBodytext"/>
      </w:pPr>
    </w:p>
    <w:p w14:paraId="47B967B8" w14:textId="2ECCDAD5" w:rsidR="005A3E3B" w:rsidRPr="0039024C" w:rsidRDefault="005A3E3B" w:rsidP="00BC04E7">
      <w:pPr>
        <w:pStyle w:val="CETBodytext"/>
      </w:pPr>
    </w:p>
    <w:p w14:paraId="5EF5BE56" w14:textId="4BF39D2E" w:rsidR="003C5C0D" w:rsidRPr="0039024C" w:rsidRDefault="003C5C0D" w:rsidP="003C5C0D">
      <w:pPr>
        <w:pStyle w:val="CETBodytext"/>
        <w:jc w:val="left"/>
        <w:rPr>
          <w:i/>
        </w:rPr>
      </w:pPr>
      <w:r w:rsidRPr="0039024C">
        <w:rPr>
          <w:i/>
          <w:sz w:val="20"/>
        </w:rPr>
        <w:t>Figure 1: Experimental diagram</w:t>
      </w:r>
      <w:r w:rsidRPr="0039024C">
        <w:rPr>
          <w:i/>
        </w:rPr>
        <w:t>.</w:t>
      </w:r>
    </w:p>
    <w:p w14:paraId="0E071839" w14:textId="024058D7" w:rsidR="00C12BDC" w:rsidRPr="0039024C" w:rsidRDefault="00E01A75" w:rsidP="00A505A3">
      <w:pPr>
        <w:pStyle w:val="CETheadingx"/>
      </w:pPr>
      <w:r w:rsidRPr="0039024C">
        <w:lastRenderedPageBreak/>
        <w:t>Materials</w:t>
      </w:r>
    </w:p>
    <w:p w14:paraId="799CCF33" w14:textId="3F721B45" w:rsidR="00127D2A" w:rsidRPr="0039024C" w:rsidRDefault="00EA6CD1" w:rsidP="00127D2A">
      <w:pPr>
        <w:pStyle w:val="CETBodytext"/>
      </w:pPr>
      <w:r w:rsidRPr="0039024C">
        <w:t>Four Colombian heavy crude oils were selected with values ​​of 11.9, 14, 14.5</w:t>
      </w:r>
      <w:r w:rsidR="005946C1">
        <w:t>,</w:t>
      </w:r>
      <w:r w:rsidRPr="0039024C">
        <w:t xml:space="preserve"> and 16.9 °API, and D-limonene as a reducer</w:t>
      </w:r>
      <w:r w:rsidR="00CD6544" w:rsidRPr="0039024C">
        <w:t xml:space="preserve">. </w:t>
      </w:r>
      <w:r w:rsidR="006515A1" w:rsidRPr="0039024C">
        <w:t>For the SARA analysis (saturated, aromatic, resins, and asphaltenes)</w:t>
      </w:r>
      <w:r w:rsidR="005946C1">
        <w:t>,</w:t>
      </w:r>
      <w:r w:rsidR="006515A1" w:rsidRPr="0039024C">
        <w:t xml:space="preserve"> n-heptane, methanol, and dichloromethane from the commercial company Sigma – Aldrich were used as solvents</w:t>
      </w:r>
      <w:r w:rsidR="00AB5B4A" w:rsidRPr="0039024C">
        <w:t>.</w:t>
      </w:r>
    </w:p>
    <w:p w14:paraId="2E35F001" w14:textId="6645343F" w:rsidR="00684D2E" w:rsidRPr="0039024C" w:rsidRDefault="00684D2E" w:rsidP="00127D2A">
      <w:pPr>
        <w:pStyle w:val="CETBodytext"/>
      </w:pPr>
    </w:p>
    <w:p w14:paraId="1BCEBFAC" w14:textId="73C92867" w:rsidR="00401F07" w:rsidRPr="0039024C" w:rsidRDefault="00D15B3E" w:rsidP="00211933">
      <w:pPr>
        <w:pStyle w:val="CETheadingx"/>
      </w:pPr>
      <w:r w:rsidRPr="0039024C">
        <w:t>Analysis of viscosity reduction of heavy crude oils using D-Limonene</w:t>
      </w:r>
    </w:p>
    <w:p w14:paraId="423A268A" w14:textId="7FA8807F" w:rsidR="00B1157E" w:rsidRPr="0039024C" w:rsidRDefault="00BD6D7A" w:rsidP="00134D72">
      <w:pPr>
        <w:pStyle w:val="CETBodytext"/>
      </w:pPr>
      <w:r w:rsidRPr="0039024C">
        <w:t>60 mL crude oil mixtures were prepared with 500, 750, 1000, and 1500 μL D-Limonene</w:t>
      </w:r>
      <w:r w:rsidR="005946C1">
        <w:t xml:space="preserve"> doses</w:t>
      </w:r>
      <w:r w:rsidRPr="0039024C">
        <w:t>.</w:t>
      </w:r>
      <w:r w:rsidR="00CD4544" w:rsidRPr="0039024C">
        <w:t xml:space="preserve"> </w:t>
      </w:r>
      <w:r w:rsidR="007377EB" w:rsidRPr="0039024C">
        <w:t xml:space="preserve">The crude oil/D-Limonene mixtures were prepared in a mechanical stirrer at 35 °C </w:t>
      </w:r>
      <w:r w:rsidR="005946C1">
        <w:t>for</w:t>
      </w:r>
      <w:r w:rsidR="007377EB" w:rsidRPr="0039024C">
        <w:t xml:space="preserve"> 20 minutes for a uniform distribution of the D-limonene used as a reductant</w:t>
      </w:r>
      <w:r w:rsidR="00EE51FD" w:rsidRPr="0039024C">
        <w:t>.</w:t>
      </w:r>
    </w:p>
    <w:p w14:paraId="4454632C" w14:textId="77777777" w:rsidR="004E554C" w:rsidRPr="0039024C" w:rsidRDefault="00401F07" w:rsidP="001A034F">
      <w:pPr>
        <w:pStyle w:val="CETheadingx"/>
      </w:pPr>
      <w:r w:rsidRPr="0039024C">
        <w:t>Characterization</w:t>
      </w:r>
    </w:p>
    <w:p w14:paraId="328DDE84" w14:textId="7EFEBE2D" w:rsidR="004E554C" w:rsidRPr="0039024C" w:rsidRDefault="00300B21" w:rsidP="004E554C">
      <w:pPr>
        <w:pStyle w:val="CETheadingx"/>
        <w:numPr>
          <w:ilvl w:val="2"/>
          <w:numId w:val="29"/>
        </w:numPr>
      </w:pPr>
      <w:r w:rsidRPr="0039024C">
        <w:t>SARA compositional analysis</w:t>
      </w:r>
    </w:p>
    <w:p w14:paraId="16903677" w14:textId="1164391E" w:rsidR="00401F07" w:rsidRPr="0039024C" w:rsidRDefault="00C34921" w:rsidP="0068020B">
      <w:pPr>
        <w:pStyle w:val="CETBodytext"/>
      </w:pPr>
      <w:r w:rsidRPr="0039024C">
        <w:t xml:space="preserve">Asphaltenes and maltenes (saturates, aromatics, and resins) were separated according to ASTM D6560 and ASTM D2007. Asphaltenes were separated from each crude by adding n-heptane, using a volume ratio </w:t>
      </w:r>
      <w:r w:rsidR="005946C1">
        <w:t xml:space="preserve">of </w:t>
      </w:r>
      <w:r w:rsidRPr="0039024C">
        <w:t>40:1</w:t>
      </w:r>
      <w:r w:rsidR="00A9694B" w:rsidRPr="0039024C">
        <w:t xml:space="preserve">. </w:t>
      </w:r>
      <w:r w:rsidR="00B84C3B" w:rsidRPr="0039024C">
        <w:t xml:space="preserve"> </w:t>
      </w:r>
      <w:r w:rsidR="00A42D88" w:rsidRPr="0039024C">
        <w:t xml:space="preserve">The mixture was refluxed for 1 </w:t>
      </w:r>
      <w:r w:rsidR="003F2E2C" w:rsidRPr="0039024C">
        <w:t>h</w:t>
      </w:r>
      <w:r w:rsidR="00A42D88" w:rsidRPr="0039024C">
        <w:t xml:space="preserve">. It was then allowed to stand at room temperature for 24 </w:t>
      </w:r>
      <w:r w:rsidR="003F2E2C" w:rsidRPr="0039024C">
        <w:t>h</w:t>
      </w:r>
      <w:r w:rsidR="00A42D88" w:rsidRPr="0039024C">
        <w:t xml:space="preserve">. </w:t>
      </w:r>
      <w:r w:rsidR="00A50FF9" w:rsidRPr="0039024C">
        <w:t>After refluxing, asphaltenes were separated by filtration</w:t>
      </w:r>
      <w:r w:rsidR="00DE4295" w:rsidRPr="0039024C">
        <w:t xml:space="preserve"> </w:t>
      </w:r>
      <w:r w:rsidR="00A42D88" w:rsidRPr="0039024C">
        <w:t>(Whatman #42 filter paper)</w:t>
      </w:r>
      <w:r w:rsidR="005946C1">
        <w:t>,</w:t>
      </w:r>
      <w:r w:rsidR="00A42D88" w:rsidRPr="0039024C">
        <w:t xml:space="preserve"> and n-heptane was recovered</w:t>
      </w:r>
      <w:r w:rsidR="004E554C" w:rsidRPr="0039024C">
        <w:t xml:space="preserve">. </w:t>
      </w:r>
      <w:r w:rsidR="00AD3620" w:rsidRPr="0039024C">
        <w:t>The saturates, aromatics and resins fractions were separated by elution with n-heptane, dichloromethane</w:t>
      </w:r>
      <w:r w:rsidR="00B6362D">
        <w:t>,</w:t>
      </w:r>
      <w:r w:rsidR="00AD3620" w:rsidRPr="0039024C">
        <w:t xml:space="preserve"> and a dichloromethane/methanol solution using two glass columns (46 cm long × 1.25 cm inside diameter per column), which contain silica gel, alumina</w:t>
      </w:r>
      <w:r w:rsidR="00B6362D">
        <w:t>,</w:t>
      </w:r>
      <w:r w:rsidR="00AD3620" w:rsidRPr="0039024C">
        <w:t xml:space="preserve"> and Florisil</w:t>
      </w:r>
      <w:r w:rsidR="0068020B" w:rsidRPr="0039024C">
        <w:t xml:space="preserve">. </w:t>
      </w:r>
      <w:r w:rsidR="004E554C" w:rsidRPr="0039024C">
        <w:t xml:space="preserve"> </w:t>
      </w:r>
      <w:r w:rsidR="00815ECC" w:rsidRPr="0039024C">
        <w:t xml:space="preserve">Small amounts of glass wool were placed at the bottom of the columns to retain the absorbent materials </w:t>
      </w:r>
      <w:r w:rsidR="004E554C" w:rsidRPr="0039024C">
        <w:t>(León et al., 2024).</w:t>
      </w:r>
    </w:p>
    <w:p w14:paraId="216B6D37" w14:textId="284579CB" w:rsidR="00C92EAE" w:rsidRPr="0039024C" w:rsidRDefault="00C31FF8" w:rsidP="00C92EAE">
      <w:pPr>
        <w:pStyle w:val="CETheadingx"/>
        <w:numPr>
          <w:ilvl w:val="2"/>
          <w:numId w:val="29"/>
        </w:numPr>
      </w:pPr>
      <w:r w:rsidRPr="0039024C">
        <w:t>Viscosity analysis</w:t>
      </w:r>
    </w:p>
    <w:p w14:paraId="1354C820" w14:textId="56B17511" w:rsidR="00C92EAE" w:rsidRPr="0039024C" w:rsidRDefault="009F6DCA" w:rsidP="00C92EAE">
      <w:pPr>
        <w:pStyle w:val="CETBodytext"/>
      </w:pPr>
      <w:r w:rsidRPr="0039024C">
        <w:t xml:space="preserve">The viscosities of the heavy crude oils and their blends with D-limonene were measured at 25, 35, and 60°C </w:t>
      </w:r>
      <w:r w:rsidR="00B6362D">
        <w:t xml:space="preserve">temperatures </w:t>
      </w:r>
      <w:r w:rsidRPr="0039024C">
        <w:t>using a FIRST PRO-PLUS® rotational viscometer (Lamy Rheology©, France).</w:t>
      </w:r>
      <w:r w:rsidR="00B6362D" w:rsidRPr="00B6362D">
        <w:t xml:space="preserve"> </w:t>
      </w:r>
      <w:r w:rsidR="00B6362D">
        <w:t>D</w:t>
      </w:r>
      <w:r w:rsidR="00B6362D" w:rsidRPr="00B6362D">
        <w:t>uring the tests</w:t>
      </w:r>
      <w:r w:rsidR="00B6362D">
        <w:t>,</w:t>
      </w:r>
      <w:r w:rsidRPr="0039024C">
        <w:t xml:space="preserve"> </w:t>
      </w:r>
      <w:r w:rsidR="00B6362D">
        <w:t>a</w:t>
      </w:r>
      <w:r w:rsidRPr="0039024C">
        <w:t xml:space="preserve"> circulation jacket connected to a VWR AD07R-20-V12E® thermal bath (VWR International, USA) was used for temperature control. A water and propylene glycol </w:t>
      </w:r>
      <w:r w:rsidR="00B6362D">
        <w:t xml:space="preserve">mixture </w:t>
      </w:r>
      <w:r w:rsidRPr="0039024C">
        <w:t>in a 3:1 volumetric ratio was used as the coolant</w:t>
      </w:r>
      <w:r w:rsidR="00AC724A" w:rsidRPr="0039024C">
        <w:t>.</w:t>
      </w:r>
    </w:p>
    <w:p w14:paraId="1FE27691" w14:textId="6C44CFE5" w:rsidR="006F0A72" w:rsidRPr="0039024C" w:rsidRDefault="006B77AC" w:rsidP="006F0A72">
      <w:pPr>
        <w:pStyle w:val="CETheadingx"/>
        <w:numPr>
          <w:ilvl w:val="2"/>
          <w:numId w:val="29"/>
        </w:numPr>
      </w:pPr>
      <w:r w:rsidRPr="0039024C">
        <w:t>Acquisition of FTIR-ATR infrared spectra</w:t>
      </w:r>
    </w:p>
    <w:p w14:paraId="1CB6D7D6" w14:textId="2D82E11E" w:rsidR="000316E2" w:rsidRPr="0039024C" w:rsidRDefault="00D3538A" w:rsidP="006F0A72">
      <w:pPr>
        <w:pStyle w:val="CETBodytext"/>
      </w:pPr>
      <w:r w:rsidRPr="0039024C">
        <w:t>Infrared spectra of heavy crude oil samples and D-Limonene were acquired on a Nicolet™ Summit™ FTIR Spectrometer (Thermo Scientific) in the 400 - 4000 cm</w:t>
      </w:r>
      <w:r w:rsidRPr="0039024C">
        <w:rPr>
          <w:vertAlign w:val="superscript"/>
        </w:rPr>
        <w:t>-1</w:t>
      </w:r>
      <w:r w:rsidRPr="0039024C">
        <w:t xml:space="preserve"> region at 32 scans. Spectral data were acquired using OMNIC PARADIGM software.</w:t>
      </w:r>
    </w:p>
    <w:p w14:paraId="083E9A14" w14:textId="4621B7E7" w:rsidR="0048425F" w:rsidRPr="0039024C" w:rsidRDefault="00950E80" w:rsidP="00BC5B74">
      <w:pPr>
        <w:pStyle w:val="CETHeading1"/>
        <w:rPr>
          <w:sz w:val="18"/>
          <w:szCs w:val="18"/>
        </w:rPr>
      </w:pPr>
      <w:r w:rsidRPr="0039024C">
        <w:rPr>
          <w:sz w:val="18"/>
          <w:szCs w:val="18"/>
        </w:rPr>
        <w:t>Results and discussion</w:t>
      </w:r>
    </w:p>
    <w:p w14:paraId="3955D6BE" w14:textId="2066EF8C" w:rsidR="00401F07" w:rsidRPr="0039024C" w:rsidRDefault="00950E80" w:rsidP="00401F07">
      <w:pPr>
        <w:pStyle w:val="CETBodytext"/>
      </w:pPr>
      <w:r w:rsidRPr="0039024C">
        <w:t>Table 1 shows the physicochemical properties of the four selected heavy crude oils</w:t>
      </w:r>
      <w:r w:rsidR="00BC5B74" w:rsidRPr="0039024C">
        <w:t>.</w:t>
      </w:r>
    </w:p>
    <w:p w14:paraId="1D66A2F1" w14:textId="05B44963" w:rsidR="00606875" w:rsidRPr="0039024C" w:rsidRDefault="00606875" w:rsidP="00CD6EF4">
      <w:pPr>
        <w:pStyle w:val="CETTabletitle"/>
        <w:rPr>
          <w:lang w:val="en-US"/>
        </w:rPr>
      </w:pPr>
      <w:r w:rsidRPr="0039024C">
        <w:rPr>
          <w:lang w:val="en-US"/>
        </w:rPr>
        <w:t>Table 1. Physicochemical properties of Colombian</w:t>
      </w:r>
      <w:r w:rsidR="00A42D88" w:rsidRPr="0039024C">
        <w:rPr>
          <w:lang w:val="en-US"/>
        </w:rPr>
        <w:t xml:space="preserve"> heavy</w:t>
      </w:r>
      <w:r w:rsidRPr="0039024C">
        <w:rPr>
          <w:lang w:val="en-US"/>
        </w:rPr>
        <w:t xml:space="preserve"> crude oils.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27"/>
        <w:gridCol w:w="1134"/>
        <w:gridCol w:w="1417"/>
        <w:gridCol w:w="1134"/>
        <w:gridCol w:w="1276"/>
      </w:tblGrid>
      <w:tr w:rsidR="0039024C" w:rsidRPr="0039024C" w14:paraId="20A0A582" w14:textId="3FD8445C" w:rsidTr="008C4F03">
        <w:trPr>
          <w:trHeight w:val="227"/>
        </w:trPr>
        <w:tc>
          <w:tcPr>
            <w:tcW w:w="2127" w:type="dxa"/>
            <w:tcBorders>
              <w:top w:val="single" w:sz="12" w:space="0" w:color="008000"/>
              <w:bottom w:val="single" w:sz="6" w:space="0" w:color="008000"/>
            </w:tcBorders>
            <w:shd w:val="clear" w:color="auto" w:fill="FFFFFF"/>
          </w:tcPr>
          <w:p w14:paraId="0585C136" w14:textId="77777777" w:rsidR="00025CBB" w:rsidRPr="0039024C" w:rsidRDefault="00025CBB" w:rsidP="00025CBB">
            <w:pPr>
              <w:pStyle w:val="CETBodytext"/>
              <w:jc w:val="center"/>
            </w:pPr>
            <w:r w:rsidRPr="0039024C">
              <w:t>Property</w:t>
            </w:r>
          </w:p>
        </w:tc>
        <w:tc>
          <w:tcPr>
            <w:tcW w:w="1134" w:type="dxa"/>
            <w:tcBorders>
              <w:top w:val="single" w:sz="12" w:space="0" w:color="008000"/>
              <w:bottom w:val="single" w:sz="6" w:space="0" w:color="008000"/>
            </w:tcBorders>
            <w:shd w:val="clear" w:color="auto" w:fill="FFFFFF"/>
          </w:tcPr>
          <w:p w14:paraId="7751D6EE" w14:textId="79F63188" w:rsidR="00025CBB" w:rsidRPr="0039024C" w:rsidRDefault="00025CBB" w:rsidP="00025CBB">
            <w:pPr>
              <w:pStyle w:val="CETBodytext"/>
              <w:jc w:val="center"/>
            </w:pPr>
            <w:r w:rsidRPr="0039024C">
              <w:t xml:space="preserve">Crude </w:t>
            </w:r>
            <w:r w:rsidR="00B249C3" w:rsidRPr="0039024C">
              <w:t xml:space="preserve">oil </w:t>
            </w:r>
            <w:r w:rsidR="00691E0F" w:rsidRPr="0039024C">
              <w:t>C1</w:t>
            </w:r>
          </w:p>
        </w:tc>
        <w:tc>
          <w:tcPr>
            <w:tcW w:w="1417" w:type="dxa"/>
            <w:tcBorders>
              <w:top w:val="single" w:sz="12" w:space="0" w:color="008000"/>
              <w:bottom w:val="single" w:sz="6" w:space="0" w:color="008000"/>
            </w:tcBorders>
            <w:shd w:val="clear" w:color="auto" w:fill="FFFFFF"/>
          </w:tcPr>
          <w:p w14:paraId="19AF7002" w14:textId="0CD2F210" w:rsidR="00025CBB" w:rsidRPr="0039024C" w:rsidRDefault="00025CBB" w:rsidP="00025CBB">
            <w:pPr>
              <w:pStyle w:val="CETBodytext"/>
              <w:jc w:val="center"/>
            </w:pPr>
            <w:r w:rsidRPr="0039024C">
              <w:t>Crude</w:t>
            </w:r>
            <w:r w:rsidR="00B249C3" w:rsidRPr="0039024C">
              <w:t xml:space="preserve"> oil</w:t>
            </w:r>
            <w:r w:rsidRPr="0039024C">
              <w:t xml:space="preserve"> </w:t>
            </w:r>
            <w:r w:rsidR="00691E0F" w:rsidRPr="0039024C">
              <w:t>C2</w:t>
            </w:r>
          </w:p>
        </w:tc>
        <w:tc>
          <w:tcPr>
            <w:tcW w:w="1134" w:type="dxa"/>
            <w:tcBorders>
              <w:top w:val="single" w:sz="12" w:space="0" w:color="008000"/>
              <w:bottom w:val="single" w:sz="6" w:space="0" w:color="008000"/>
            </w:tcBorders>
            <w:shd w:val="clear" w:color="auto" w:fill="FFFFFF"/>
          </w:tcPr>
          <w:p w14:paraId="7A68C6D4" w14:textId="0AD5B38D" w:rsidR="00025CBB" w:rsidRPr="0039024C" w:rsidRDefault="00025CBB" w:rsidP="00025CBB">
            <w:pPr>
              <w:pStyle w:val="CETBodytext"/>
              <w:ind w:right="-1"/>
              <w:jc w:val="center"/>
              <w:rPr>
                <w:rFonts w:cs="Arial"/>
                <w:szCs w:val="18"/>
              </w:rPr>
            </w:pPr>
            <w:r w:rsidRPr="0039024C">
              <w:t>Crude</w:t>
            </w:r>
            <w:r w:rsidR="00B249C3" w:rsidRPr="0039024C">
              <w:t xml:space="preserve"> oil</w:t>
            </w:r>
            <w:r w:rsidRPr="0039024C">
              <w:t xml:space="preserve"> </w:t>
            </w:r>
            <w:r w:rsidR="00691E0F" w:rsidRPr="0039024C">
              <w:t>C3</w:t>
            </w:r>
          </w:p>
        </w:tc>
        <w:tc>
          <w:tcPr>
            <w:tcW w:w="1276" w:type="dxa"/>
            <w:tcBorders>
              <w:top w:val="single" w:sz="12" w:space="0" w:color="008000"/>
              <w:bottom w:val="single" w:sz="6" w:space="0" w:color="008000"/>
            </w:tcBorders>
            <w:shd w:val="clear" w:color="auto" w:fill="FFFFFF"/>
          </w:tcPr>
          <w:p w14:paraId="48C491D5" w14:textId="456596D5" w:rsidR="00025CBB" w:rsidRPr="0039024C" w:rsidRDefault="00025CBB" w:rsidP="00025CBB">
            <w:pPr>
              <w:pStyle w:val="CETBodytext"/>
              <w:ind w:right="-1"/>
              <w:jc w:val="center"/>
            </w:pPr>
            <w:r w:rsidRPr="0039024C">
              <w:t xml:space="preserve">Crude </w:t>
            </w:r>
            <w:r w:rsidR="00B249C3" w:rsidRPr="0039024C">
              <w:t xml:space="preserve">oil </w:t>
            </w:r>
            <w:r w:rsidR="00691E0F" w:rsidRPr="0039024C">
              <w:t>C4</w:t>
            </w:r>
          </w:p>
        </w:tc>
      </w:tr>
      <w:tr w:rsidR="0039024C" w:rsidRPr="0039024C" w14:paraId="5CB52BF8" w14:textId="70D1C1AC" w:rsidTr="008C4F03">
        <w:trPr>
          <w:trHeight w:val="227"/>
        </w:trPr>
        <w:tc>
          <w:tcPr>
            <w:tcW w:w="2127" w:type="dxa"/>
            <w:shd w:val="clear" w:color="auto" w:fill="FFFFFF"/>
          </w:tcPr>
          <w:p w14:paraId="4DFA34AF" w14:textId="6D28F55C" w:rsidR="00025CBB" w:rsidRPr="0039024C" w:rsidRDefault="00864038" w:rsidP="00025CBB">
            <w:pPr>
              <w:pStyle w:val="CETBodytext"/>
              <w:jc w:val="center"/>
            </w:pPr>
            <w:r w:rsidRPr="0039024C">
              <w:t>°</w:t>
            </w:r>
            <w:r w:rsidR="00025CBB" w:rsidRPr="0039024C">
              <w:t>API Gravity</w:t>
            </w:r>
          </w:p>
        </w:tc>
        <w:tc>
          <w:tcPr>
            <w:tcW w:w="1134" w:type="dxa"/>
            <w:shd w:val="clear" w:color="auto" w:fill="FFFFFF"/>
          </w:tcPr>
          <w:p w14:paraId="12C3E9DB" w14:textId="3BE2C984" w:rsidR="00025CBB" w:rsidRPr="0039024C" w:rsidRDefault="00060BAC" w:rsidP="00025CBB">
            <w:pPr>
              <w:pStyle w:val="CETBodytext"/>
              <w:jc w:val="center"/>
            </w:pPr>
            <w:r w:rsidRPr="0039024C">
              <w:t>11.9</w:t>
            </w:r>
          </w:p>
        </w:tc>
        <w:tc>
          <w:tcPr>
            <w:tcW w:w="1417" w:type="dxa"/>
            <w:shd w:val="clear" w:color="auto" w:fill="FFFFFF"/>
          </w:tcPr>
          <w:p w14:paraId="00EF2698" w14:textId="5197CBC7" w:rsidR="00025CBB" w:rsidRPr="0039024C" w:rsidRDefault="00060BAC" w:rsidP="00025CBB">
            <w:pPr>
              <w:pStyle w:val="CETBodytext"/>
              <w:jc w:val="center"/>
            </w:pPr>
            <w:r w:rsidRPr="0039024C">
              <w:t>14.5</w:t>
            </w:r>
          </w:p>
        </w:tc>
        <w:tc>
          <w:tcPr>
            <w:tcW w:w="1134" w:type="dxa"/>
            <w:shd w:val="clear" w:color="auto" w:fill="FFFFFF"/>
          </w:tcPr>
          <w:p w14:paraId="71A832E3" w14:textId="63F9F69A" w:rsidR="00025CBB" w:rsidRPr="0039024C" w:rsidRDefault="00060BAC" w:rsidP="00025CBB">
            <w:pPr>
              <w:pStyle w:val="CETBodytext"/>
              <w:ind w:right="-1"/>
              <w:jc w:val="center"/>
              <w:rPr>
                <w:rFonts w:cs="Arial"/>
                <w:szCs w:val="18"/>
              </w:rPr>
            </w:pPr>
            <w:r w:rsidRPr="0039024C">
              <w:rPr>
                <w:rFonts w:cs="Arial"/>
                <w:szCs w:val="18"/>
              </w:rPr>
              <w:t>14</w:t>
            </w:r>
          </w:p>
        </w:tc>
        <w:tc>
          <w:tcPr>
            <w:tcW w:w="1276" w:type="dxa"/>
            <w:shd w:val="clear" w:color="auto" w:fill="FFFFFF"/>
          </w:tcPr>
          <w:p w14:paraId="0E86D0B4" w14:textId="0D33AA4F" w:rsidR="00025CBB" w:rsidRPr="0039024C" w:rsidRDefault="00060BAC" w:rsidP="00025CBB">
            <w:pPr>
              <w:pStyle w:val="CETBodytext"/>
              <w:ind w:right="-1"/>
              <w:jc w:val="center"/>
            </w:pPr>
            <w:r w:rsidRPr="0039024C">
              <w:t>16.9</w:t>
            </w:r>
          </w:p>
        </w:tc>
      </w:tr>
      <w:tr w:rsidR="0039024C" w:rsidRPr="0039024C" w14:paraId="3798BB07" w14:textId="2492F984" w:rsidTr="008C4F03">
        <w:trPr>
          <w:trHeight w:val="227"/>
        </w:trPr>
        <w:tc>
          <w:tcPr>
            <w:tcW w:w="2127" w:type="dxa"/>
            <w:shd w:val="clear" w:color="auto" w:fill="FFFFFF"/>
          </w:tcPr>
          <w:p w14:paraId="2D64B810" w14:textId="4C33984E" w:rsidR="00025CBB" w:rsidRPr="0039024C" w:rsidRDefault="00025CBB" w:rsidP="00025CBB">
            <w:pPr>
              <w:pStyle w:val="CETBodytext"/>
              <w:jc w:val="center"/>
            </w:pPr>
            <w:r w:rsidRPr="0039024C">
              <w:t>Saturates</w:t>
            </w:r>
            <w:r w:rsidR="00864038" w:rsidRPr="0039024C">
              <w:t>, % by weight</w:t>
            </w:r>
          </w:p>
        </w:tc>
        <w:tc>
          <w:tcPr>
            <w:tcW w:w="1134" w:type="dxa"/>
            <w:shd w:val="clear" w:color="auto" w:fill="FFFFFF"/>
          </w:tcPr>
          <w:p w14:paraId="0BF61808" w14:textId="1396EC07" w:rsidR="00025CBB" w:rsidRPr="0039024C" w:rsidRDefault="00E16675" w:rsidP="00025CBB">
            <w:pPr>
              <w:pStyle w:val="CETBodytext"/>
              <w:jc w:val="center"/>
            </w:pPr>
            <w:r w:rsidRPr="0039024C">
              <w:t>43.2</w:t>
            </w:r>
          </w:p>
        </w:tc>
        <w:tc>
          <w:tcPr>
            <w:tcW w:w="1417" w:type="dxa"/>
            <w:shd w:val="clear" w:color="auto" w:fill="FFFFFF"/>
          </w:tcPr>
          <w:p w14:paraId="7B0492B1" w14:textId="273F4528" w:rsidR="00025CBB" w:rsidRPr="0039024C" w:rsidRDefault="00E16675" w:rsidP="00025CBB">
            <w:pPr>
              <w:pStyle w:val="CETBodytext"/>
              <w:jc w:val="center"/>
            </w:pPr>
            <w:r w:rsidRPr="0039024C">
              <w:t>47.8</w:t>
            </w:r>
          </w:p>
        </w:tc>
        <w:tc>
          <w:tcPr>
            <w:tcW w:w="1134" w:type="dxa"/>
            <w:shd w:val="clear" w:color="auto" w:fill="FFFFFF"/>
          </w:tcPr>
          <w:p w14:paraId="797C7B72" w14:textId="516BEBF0" w:rsidR="00025CBB" w:rsidRPr="0039024C" w:rsidRDefault="00A34568" w:rsidP="00025CBB">
            <w:pPr>
              <w:pStyle w:val="CETBodytext"/>
              <w:ind w:right="-1"/>
              <w:jc w:val="center"/>
              <w:rPr>
                <w:rFonts w:cs="Arial"/>
                <w:szCs w:val="18"/>
              </w:rPr>
            </w:pPr>
            <w:r w:rsidRPr="0039024C">
              <w:rPr>
                <w:rFonts w:cs="Arial"/>
                <w:szCs w:val="18"/>
              </w:rPr>
              <w:t>31.2</w:t>
            </w:r>
          </w:p>
        </w:tc>
        <w:tc>
          <w:tcPr>
            <w:tcW w:w="1276" w:type="dxa"/>
            <w:shd w:val="clear" w:color="auto" w:fill="FFFFFF"/>
          </w:tcPr>
          <w:p w14:paraId="7AA5CC89" w14:textId="105E4E3C" w:rsidR="00025CBB" w:rsidRPr="0039024C" w:rsidRDefault="00A34568" w:rsidP="00025CBB">
            <w:pPr>
              <w:pStyle w:val="CETBodytext"/>
              <w:ind w:right="-1"/>
              <w:jc w:val="center"/>
            </w:pPr>
            <w:r w:rsidRPr="0039024C">
              <w:t>43.3</w:t>
            </w:r>
          </w:p>
        </w:tc>
      </w:tr>
      <w:tr w:rsidR="0039024C" w:rsidRPr="0039024C" w14:paraId="779E3A67" w14:textId="4D48E560" w:rsidTr="008C4F03">
        <w:trPr>
          <w:trHeight w:val="227"/>
        </w:trPr>
        <w:tc>
          <w:tcPr>
            <w:tcW w:w="2127" w:type="dxa"/>
            <w:shd w:val="clear" w:color="auto" w:fill="FFFFFF"/>
          </w:tcPr>
          <w:p w14:paraId="794BC3B2" w14:textId="3ED7B1D6" w:rsidR="00025CBB" w:rsidRPr="0039024C" w:rsidRDefault="00025CBB" w:rsidP="00025CBB">
            <w:pPr>
              <w:pStyle w:val="CETBodytext"/>
              <w:jc w:val="center"/>
            </w:pPr>
            <w:r w:rsidRPr="0039024C">
              <w:t xml:space="preserve">Aromatics, </w:t>
            </w:r>
            <w:r w:rsidR="00864038" w:rsidRPr="0039024C">
              <w:t>% by weight</w:t>
            </w:r>
          </w:p>
        </w:tc>
        <w:tc>
          <w:tcPr>
            <w:tcW w:w="1134" w:type="dxa"/>
            <w:shd w:val="clear" w:color="auto" w:fill="FFFFFF"/>
          </w:tcPr>
          <w:p w14:paraId="6A9F80CB" w14:textId="24A1AF89" w:rsidR="00025CBB" w:rsidRPr="0039024C" w:rsidRDefault="006F7B60" w:rsidP="00025CBB">
            <w:pPr>
              <w:pStyle w:val="CETBodytext"/>
              <w:jc w:val="center"/>
            </w:pPr>
            <w:r w:rsidRPr="0039024C">
              <w:t>20.1</w:t>
            </w:r>
          </w:p>
        </w:tc>
        <w:tc>
          <w:tcPr>
            <w:tcW w:w="1417" w:type="dxa"/>
            <w:shd w:val="clear" w:color="auto" w:fill="FFFFFF"/>
          </w:tcPr>
          <w:p w14:paraId="041CD2C7" w14:textId="0D75345D" w:rsidR="00025CBB" w:rsidRPr="0039024C" w:rsidRDefault="006F7B60" w:rsidP="00025CBB">
            <w:pPr>
              <w:pStyle w:val="CETBodytext"/>
              <w:jc w:val="center"/>
            </w:pPr>
            <w:r w:rsidRPr="0039024C">
              <w:t>17.2</w:t>
            </w:r>
          </w:p>
        </w:tc>
        <w:tc>
          <w:tcPr>
            <w:tcW w:w="1134" w:type="dxa"/>
            <w:shd w:val="clear" w:color="auto" w:fill="FFFFFF"/>
          </w:tcPr>
          <w:p w14:paraId="60CEC667" w14:textId="465B95AE" w:rsidR="00025CBB" w:rsidRPr="0039024C" w:rsidRDefault="004820F5" w:rsidP="00025CBB">
            <w:pPr>
              <w:pStyle w:val="CETBodytext"/>
              <w:ind w:right="-1"/>
              <w:jc w:val="center"/>
              <w:rPr>
                <w:rFonts w:cs="Arial"/>
                <w:szCs w:val="18"/>
              </w:rPr>
            </w:pPr>
            <w:r w:rsidRPr="0039024C">
              <w:rPr>
                <w:rFonts w:cs="Arial"/>
                <w:szCs w:val="18"/>
              </w:rPr>
              <w:t>2</w:t>
            </w:r>
            <w:r w:rsidR="0010026B" w:rsidRPr="0039024C">
              <w:rPr>
                <w:rFonts w:cs="Arial"/>
                <w:szCs w:val="18"/>
              </w:rPr>
              <w:t>1</w:t>
            </w:r>
            <w:r w:rsidRPr="0039024C">
              <w:rPr>
                <w:rFonts w:cs="Arial"/>
                <w:szCs w:val="18"/>
              </w:rPr>
              <w:t>.5</w:t>
            </w:r>
          </w:p>
        </w:tc>
        <w:tc>
          <w:tcPr>
            <w:tcW w:w="1276" w:type="dxa"/>
            <w:shd w:val="clear" w:color="auto" w:fill="FFFFFF"/>
          </w:tcPr>
          <w:p w14:paraId="552E1C11" w14:textId="1E4ED14C" w:rsidR="00025CBB" w:rsidRPr="0039024C" w:rsidRDefault="004820F5" w:rsidP="00025CBB">
            <w:pPr>
              <w:pStyle w:val="CETBodytext"/>
              <w:ind w:right="-1"/>
              <w:jc w:val="center"/>
            </w:pPr>
            <w:r w:rsidRPr="0039024C">
              <w:t>23.1</w:t>
            </w:r>
          </w:p>
        </w:tc>
      </w:tr>
      <w:tr w:rsidR="0039024C" w:rsidRPr="0039024C" w14:paraId="7D0C8F40" w14:textId="5AC025F3" w:rsidTr="008C4F03">
        <w:trPr>
          <w:trHeight w:val="227"/>
        </w:trPr>
        <w:tc>
          <w:tcPr>
            <w:tcW w:w="2127" w:type="dxa"/>
            <w:shd w:val="clear" w:color="auto" w:fill="FFFFFF"/>
          </w:tcPr>
          <w:p w14:paraId="0C336B38" w14:textId="4874A847" w:rsidR="00025CBB" w:rsidRPr="0039024C" w:rsidRDefault="00025CBB" w:rsidP="00025CBB">
            <w:pPr>
              <w:pStyle w:val="CETBodytext"/>
              <w:jc w:val="center"/>
            </w:pPr>
            <w:r w:rsidRPr="0039024C">
              <w:t xml:space="preserve">Resins, </w:t>
            </w:r>
            <w:r w:rsidR="00864038" w:rsidRPr="0039024C">
              <w:t>% by weight</w:t>
            </w:r>
          </w:p>
        </w:tc>
        <w:tc>
          <w:tcPr>
            <w:tcW w:w="1134" w:type="dxa"/>
            <w:shd w:val="clear" w:color="auto" w:fill="FFFFFF"/>
          </w:tcPr>
          <w:p w14:paraId="2BA5091B" w14:textId="3D3F85EA" w:rsidR="00025CBB" w:rsidRPr="0039024C" w:rsidRDefault="004820F5" w:rsidP="00025CBB">
            <w:pPr>
              <w:pStyle w:val="CETBodytext"/>
              <w:jc w:val="center"/>
            </w:pPr>
            <w:r w:rsidRPr="0039024C">
              <w:t>30.4</w:t>
            </w:r>
          </w:p>
        </w:tc>
        <w:tc>
          <w:tcPr>
            <w:tcW w:w="1417" w:type="dxa"/>
            <w:shd w:val="clear" w:color="auto" w:fill="FFFFFF"/>
          </w:tcPr>
          <w:p w14:paraId="755B0867" w14:textId="0C6EFC93" w:rsidR="00025CBB" w:rsidRPr="0039024C" w:rsidRDefault="004820F5" w:rsidP="00025CBB">
            <w:pPr>
              <w:pStyle w:val="CETBodytext"/>
              <w:jc w:val="center"/>
            </w:pPr>
            <w:r w:rsidRPr="0039024C">
              <w:t>20.5</w:t>
            </w:r>
          </w:p>
        </w:tc>
        <w:tc>
          <w:tcPr>
            <w:tcW w:w="1134" w:type="dxa"/>
            <w:shd w:val="clear" w:color="auto" w:fill="FFFFFF"/>
          </w:tcPr>
          <w:p w14:paraId="405E4F14" w14:textId="58A8E533" w:rsidR="00025CBB" w:rsidRPr="0039024C" w:rsidRDefault="004820F5" w:rsidP="00025CBB">
            <w:pPr>
              <w:pStyle w:val="CETBodytext"/>
              <w:ind w:right="-1"/>
              <w:jc w:val="center"/>
              <w:rPr>
                <w:rFonts w:cs="Arial"/>
                <w:szCs w:val="18"/>
              </w:rPr>
            </w:pPr>
            <w:r w:rsidRPr="0039024C">
              <w:rPr>
                <w:rFonts w:cs="Arial"/>
                <w:szCs w:val="18"/>
              </w:rPr>
              <w:t>30.1</w:t>
            </w:r>
          </w:p>
        </w:tc>
        <w:tc>
          <w:tcPr>
            <w:tcW w:w="1276" w:type="dxa"/>
            <w:shd w:val="clear" w:color="auto" w:fill="FFFFFF"/>
          </w:tcPr>
          <w:p w14:paraId="0A1684B4" w14:textId="54F91618" w:rsidR="00025CBB" w:rsidRPr="0039024C" w:rsidRDefault="004820F5" w:rsidP="00025CBB">
            <w:pPr>
              <w:pStyle w:val="CETBodytext"/>
              <w:ind w:right="-1"/>
              <w:jc w:val="center"/>
            </w:pPr>
            <w:r w:rsidRPr="0039024C">
              <w:t>30.9</w:t>
            </w:r>
          </w:p>
        </w:tc>
      </w:tr>
      <w:tr w:rsidR="0039024C" w:rsidRPr="0039024C" w14:paraId="4F0437D0" w14:textId="07450E9C" w:rsidTr="008C4F03">
        <w:trPr>
          <w:trHeight w:val="227"/>
        </w:trPr>
        <w:tc>
          <w:tcPr>
            <w:tcW w:w="2127" w:type="dxa"/>
            <w:tcBorders>
              <w:bottom w:val="nil"/>
            </w:tcBorders>
            <w:shd w:val="clear" w:color="auto" w:fill="FFFFFF"/>
          </w:tcPr>
          <w:p w14:paraId="65E0740C" w14:textId="49153DF5" w:rsidR="00025CBB" w:rsidRPr="0039024C" w:rsidRDefault="00025CBB" w:rsidP="00025CBB">
            <w:pPr>
              <w:pStyle w:val="CETBodytext"/>
              <w:jc w:val="center"/>
            </w:pPr>
            <w:r w:rsidRPr="0039024C">
              <w:t xml:space="preserve">Asphaltenes, </w:t>
            </w:r>
            <w:r w:rsidR="00864038" w:rsidRPr="0039024C">
              <w:t>% by weight</w:t>
            </w:r>
          </w:p>
        </w:tc>
        <w:tc>
          <w:tcPr>
            <w:tcW w:w="1134" w:type="dxa"/>
            <w:tcBorders>
              <w:bottom w:val="nil"/>
            </w:tcBorders>
            <w:shd w:val="clear" w:color="auto" w:fill="FFFFFF"/>
          </w:tcPr>
          <w:p w14:paraId="6ED0DC7A" w14:textId="12527F8F" w:rsidR="00025CBB" w:rsidRPr="0039024C" w:rsidRDefault="007574A0" w:rsidP="00025CBB">
            <w:pPr>
              <w:pStyle w:val="CETBodytext"/>
              <w:jc w:val="center"/>
            </w:pPr>
            <w:r w:rsidRPr="0039024C">
              <w:t>6.3</w:t>
            </w:r>
          </w:p>
        </w:tc>
        <w:tc>
          <w:tcPr>
            <w:tcW w:w="1417" w:type="dxa"/>
            <w:tcBorders>
              <w:bottom w:val="nil"/>
            </w:tcBorders>
            <w:shd w:val="clear" w:color="auto" w:fill="FFFFFF"/>
          </w:tcPr>
          <w:p w14:paraId="5DA738A4" w14:textId="3352489F" w:rsidR="00025CBB" w:rsidRPr="0039024C" w:rsidRDefault="007574A0" w:rsidP="00025CBB">
            <w:pPr>
              <w:pStyle w:val="CETBodytext"/>
              <w:jc w:val="center"/>
            </w:pPr>
            <w:r w:rsidRPr="0039024C">
              <w:t>14.5</w:t>
            </w:r>
          </w:p>
        </w:tc>
        <w:tc>
          <w:tcPr>
            <w:tcW w:w="1134" w:type="dxa"/>
            <w:tcBorders>
              <w:bottom w:val="nil"/>
            </w:tcBorders>
            <w:shd w:val="clear" w:color="auto" w:fill="FFFFFF"/>
          </w:tcPr>
          <w:p w14:paraId="7334E363" w14:textId="4771C190" w:rsidR="00025CBB" w:rsidRPr="0039024C" w:rsidRDefault="00216AB1" w:rsidP="00025CBB">
            <w:pPr>
              <w:pStyle w:val="CETBodytext"/>
              <w:ind w:right="-1"/>
              <w:jc w:val="center"/>
              <w:rPr>
                <w:rFonts w:cs="Arial"/>
                <w:szCs w:val="18"/>
              </w:rPr>
            </w:pPr>
            <w:r w:rsidRPr="0039024C">
              <w:rPr>
                <w:rFonts w:cs="Arial"/>
                <w:szCs w:val="18"/>
              </w:rPr>
              <w:t>1</w:t>
            </w:r>
            <w:r w:rsidR="0010026B" w:rsidRPr="0039024C">
              <w:rPr>
                <w:rFonts w:cs="Arial"/>
                <w:szCs w:val="18"/>
              </w:rPr>
              <w:t>7</w:t>
            </w:r>
            <w:r w:rsidRPr="0039024C">
              <w:rPr>
                <w:rFonts w:cs="Arial"/>
                <w:szCs w:val="18"/>
              </w:rPr>
              <w:t>.2</w:t>
            </w:r>
          </w:p>
        </w:tc>
        <w:tc>
          <w:tcPr>
            <w:tcW w:w="1276" w:type="dxa"/>
            <w:tcBorders>
              <w:bottom w:val="nil"/>
            </w:tcBorders>
            <w:shd w:val="clear" w:color="auto" w:fill="FFFFFF"/>
          </w:tcPr>
          <w:p w14:paraId="653DFF6D" w14:textId="3F7CA240" w:rsidR="00025CBB" w:rsidRPr="0039024C" w:rsidRDefault="00E058BB" w:rsidP="00025CBB">
            <w:pPr>
              <w:pStyle w:val="CETBodytext"/>
              <w:ind w:right="-1"/>
              <w:jc w:val="center"/>
            </w:pPr>
            <w:r w:rsidRPr="0039024C">
              <w:t>2.7</w:t>
            </w:r>
          </w:p>
        </w:tc>
      </w:tr>
      <w:tr w:rsidR="0039024C" w:rsidRPr="0039024C" w14:paraId="4671913A" w14:textId="75EFF73F" w:rsidTr="008C4F03">
        <w:trPr>
          <w:trHeight w:val="227"/>
        </w:trPr>
        <w:tc>
          <w:tcPr>
            <w:tcW w:w="2127" w:type="dxa"/>
            <w:tcBorders>
              <w:top w:val="nil"/>
            </w:tcBorders>
            <w:shd w:val="clear" w:color="auto" w:fill="FFFFFF"/>
          </w:tcPr>
          <w:p w14:paraId="7F7A71F5" w14:textId="00B7AB70" w:rsidR="00025CBB" w:rsidRPr="0039024C" w:rsidRDefault="00025CBB" w:rsidP="00025CBB">
            <w:pPr>
              <w:pStyle w:val="CETBodytext"/>
              <w:ind w:right="-1"/>
              <w:jc w:val="center"/>
            </w:pPr>
            <w:r w:rsidRPr="0039024C">
              <w:t xml:space="preserve">viscosity cP, (@ </w:t>
            </w:r>
            <w:r w:rsidR="00E058BB" w:rsidRPr="0039024C">
              <w:t>2</w:t>
            </w:r>
            <w:r w:rsidRPr="0039024C">
              <w:t>5 °C)</w:t>
            </w:r>
          </w:p>
        </w:tc>
        <w:tc>
          <w:tcPr>
            <w:tcW w:w="1134" w:type="dxa"/>
            <w:tcBorders>
              <w:top w:val="nil"/>
            </w:tcBorders>
            <w:shd w:val="clear" w:color="auto" w:fill="FFFFFF"/>
          </w:tcPr>
          <w:p w14:paraId="1772B440" w14:textId="0ED4C53F" w:rsidR="00025CBB" w:rsidRPr="0039024C" w:rsidRDefault="009D3967" w:rsidP="00025CBB">
            <w:pPr>
              <w:pStyle w:val="CETBodytext"/>
              <w:ind w:right="-1"/>
              <w:jc w:val="center"/>
              <w:rPr>
                <w:rFonts w:cs="Arial"/>
              </w:rPr>
            </w:pPr>
            <w:r w:rsidRPr="0039024C">
              <w:rPr>
                <w:rFonts w:cs="Arial"/>
              </w:rPr>
              <w:t>968</w:t>
            </w:r>
            <w:r w:rsidRPr="0039024C">
              <w:rPr>
                <w:rFonts w:cs="Arial"/>
                <w:lang w:eastAsia="es-CO"/>
              </w:rPr>
              <w:t xml:space="preserve"> ± 5.6</w:t>
            </w:r>
          </w:p>
        </w:tc>
        <w:tc>
          <w:tcPr>
            <w:tcW w:w="1417" w:type="dxa"/>
            <w:tcBorders>
              <w:top w:val="nil"/>
            </w:tcBorders>
            <w:shd w:val="clear" w:color="auto" w:fill="FFFFFF"/>
          </w:tcPr>
          <w:p w14:paraId="2679B2A0" w14:textId="6615CF1D" w:rsidR="00025CBB" w:rsidRPr="0039024C" w:rsidRDefault="009D3967" w:rsidP="00025CBB">
            <w:pPr>
              <w:pStyle w:val="CETBodytext"/>
              <w:ind w:right="-1"/>
              <w:jc w:val="center"/>
            </w:pPr>
            <w:r w:rsidRPr="0039024C">
              <w:rPr>
                <w:rFonts w:cs="Arial"/>
              </w:rPr>
              <w:t>2207</w:t>
            </w:r>
            <w:r w:rsidRPr="0039024C">
              <w:rPr>
                <w:rFonts w:cs="Arial"/>
                <w:lang w:eastAsia="es-CO"/>
              </w:rPr>
              <w:t xml:space="preserve"> ± </w:t>
            </w:r>
            <w:r w:rsidR="001451C5" w:rsidRPr="0039024C">
              <w:rPr>
                <w:rFonts w:cs="Arial"/>
                <w:lang w:eastAsia="es-CO"/>
              </w:rPr>
              <w:t>12.5</w:t>
            </w:r>
          </w:p>
        </w:tc>
        <w:tc>
          <w:tcPr>
            <w:tcW w:w="1134" w:type="dxa"/>
            <w:tcBorders>
              <w:top w:val="nil"/>
            </w:tcBorders>
            <w:shd w:val="clear" w:color="auto" w:fill="FFFFFF"/>
          </w:tcPr>
          <w:p w14:paraId="25C66085" w14:textId="612D479A" w:rsidR="00025CBB" w:rsidRPr="0039024C" w:rsidRDefault="00514942" w:rsidP="00025CBB">
            <w:pPr>
              <w:pStyle w:val="CETBodytext"/>
              <w:ind w:right="-1"/>
              <w:jc w:val="center"/>
            </w:pPr>
            <w:r w:rsidRPr="0039024C">
              <w:rPr>
                <w:rFonts w:cs="Arial"/>
              </w:rPr>
              <w:t>4063</w:t>
            </w:r>
            <w:r w:rsidRPr="0039024C">
              <w:rPr>
                <w:rFonts w:cs="Arial"/>
                <w:lang w:eastAsia="es-CO"/>
              </w:rPr>
              <w:t xml:space="preserve"> ± 19.3</w:t>
            </w:r>
          </w:p>
        </w:tc>
        <w:tc>
          <w:tcPr>
            <w:tcW w:w="1276" w:type="dxa"/>
            <w:tcBorders>
              <w:top w:val="nil"/>
            </w:tcBorders>
            <w:shd w:val="clear" w:color="auto" w:fill="FFFFFF"/>
          </w:tcPr>
          <w:p w14:paraId="533C43D3" w14:textId="06DDDE00" w:rsidR="00025CBB" w:rsidRPr="0039024C" w:rsidRDefault="00514942" w:rsidP="00025CBB">
            <w:pPr>
              <w:pStyle w:val="CETBodytext"/>
              <w:ind w:right="-1"/>
              <w:jc w:val="center"/>
            </w:pPr>
            <w:r w:rsidRPr="0039024C">
              <w:rPr>
                <w:rFonts w:cs="Arial"/>
              </w:rPr>
              <w:t>16020</w:t>
            </w:r>
            <w:r w:rsidRPr="0039024C">
              <w:rPr>
                <w:rFonts w:cs="Arial"/>
                <w:lang w:eastAsia="es-CO"/>
              </w:rPr>
              <w:t xml:space="preserve"> ± </w:t>
            </w:r>
            <w:r w:rsidR="0032379B" w:rsidRPr="0039024C">
              <w:rPr>
                <w:rFonts w:cs="Arial"/>
                <w:lang w:eastAsia="es-CO"/>
              </w:rPr>
              <w:t>20.7</w:t>
            </w:r>
          </w:p>
        </w:tc>
      </w:tr>
    </w:tbl>
    <w:p w14:paraId="57D10E78" w14:textId="0A2502D0" w:rsidR="00BC5B74" w:rsidRPr="0039024C" w:rsidRDefault="00BC5B74" w:rsidP="00401F07">
      <w:pPr>
        <w:pStyle w:val="CETBodytext"/>
      </w:pPr>
    </w:p>
    <w:p w14:paraId="26534C08" w14:textId="2952014E" w:rsidR="00BC5B74" w:rsidRPr="0039024C" w:rsidRDefault="006852E2" w:rsidP="00401F07">
      <w:pPr>
        <w:pStyle w:val="CETBodytext"/>
      </w:pPr>
      <w:r w:rsidRPr="0039024C">
        <w:t>The results show that the selected crude oils correspond to heavy crude oils (10 to 22.3 °API). Additionally, the viscosity values ​​and the SARA compositional analysis indicate that the crude oils present a significant variation in their composition and physicochemical properties</w:t>
      </w:r>
      <w:r w:rsidR="006C6259" w:rsidRPr="0039024C">
        <w:t>.</w:t>
      </w:r>
      <w:r w:rsidR="009C7BA9" w:rsidRPr="0039024C">
        <w:t xml:space="preserve"> </w:t>
      </w:r>
    </w:p>
    <w:p w14:paraId="29B1F9EA" w14:textId="2BCD580E" w:rsidR="00F91739" w:rsidRPr="0039024C" w:rsidRDefault="00F91739" w:rsidP="00401F07">
      <w:pPr>
        <w:pStyle w:val="CETBodytext"/>
      </w:pPr>
    </w:p>
    <w:p w14:paraId="78EC0DD3" w14:textId="467978CE" w:rsidR="00F91739" w:rsidRPr="0039024C" w:rsidRDefault="00E32479" w:rsidP="00401F07">
      <w:pPr>
        <w:pStyle w:val="CETBodytext"/>
      </w:pPr>
      <w:r w:rsidRPr="0039024C">
        <w:t xml:space="preserve">Figures </w:t>
      </w:r>
      <w:r w:rsidR="003C5C0D" w:rsidRPr="0039024C">
        <w:t>2</w:t>
      </w:r>
      <w:r w:rsidRPr="0039024C">
        <w:t xml:space="preserve">a – </w:t>
      </w:r>
      <w:r w:rsidR="003C5C0D" w:rsidRPr="0039024C">
        <w:t>2</w:t>
      </w:r>
      <w:r w:rsidRPr="0039024C">
        <w:t>d show the viscosity curves of the four heavy crude oils and their mixtures with D-Limonene. The graphs show a variation in viscosity</w:t>
      </w:r>
      <w:r w:rsidR="00B6362D">
        <w:t xml:space="preserve"> reduction</w:t>
      </w:r>
      <w:r w:rsidRPr="0039024C">
        <w:t xml:space="preserve"> for the four heavy crude oils. The trend of the results allows us to show that the use of D-Limonene is an alternative for improving the properties</w:t>
      </w:r>
      <w:r w:rsidR="00697820" w:rsidRPr="0039024C">
        <w:t xml:space="preserve">. </w:t>
      </w:r>
      <w:r w:rsidR="000F519E" w:rsidRPr="0039024C">
        <w:t>The results indicate tha</w:t>
      </w:r>
      <w:r w:rsidR="00B6362D">
        <w:t>t</w:t>
      </w:r>
      <w:r w:rsidR="000F519E" w:rsidRPr="0039024C">
        <w:t xml:space="preserve"> </w:t>
      </w:r>
      <w:r w:rsidR="00B6362D">
        <w:t>a</w:t>
      </w:r>
      <w:r w:rsidR="000F519E" w:rsidRPr="0039024C">
        <w:t>ddin</w:t>
      </w:r>
      <w:r w:rsidR="00B6362D">
        <w:t>g</w:t>
      </w:r>
      <w:r w:rsidR="000F519E" w:rsidRPr="0039024C">
        <w:t xml:space="preserve"> D-Limonene </w:t>
      </w:r>
      <w:r w:rsidR="00F458FC" w:rsidRPr="0039024C">
        <w:t>influences</w:t>
      </w:r>
      <w:r w:rsidR="000F519E" w:rsidRPr="0039024C">
        <w:t xml:space="preserve"> the decrease in the viscosity of heavy crude oils in the order C4 &gt; C1 &gt; C3 &gt; C2. The above allows to clarify that the effect of D-Limonene has a close tendency with the relationship between the resin/asphaltene content where the C1, C2, C3 and C4 crudes present values ​​of 4.83, 1.41, 1.75 and 11.4, respectively.</w:t>
      </w:r>
      <w:r w:rsidR="00604B02" w:rsidRPr="0039024C">
        <w:t xml:space="preserve"> Additionally, it can be indicated that the effect of D-Limonene on viscosity reduction depends on the composition of heavy crude oil. The viscosity curves show that temperature and D-Limonene characteristics </w:t>
      </w:r>
      <w:r w:rsidR="00604B02" w:rsidRPr="0039024C">
        <w:lastRenderedPageBreak/>
        <w:t xml:space="preserve">are two interactive factors. These results are consistent with the </w:t>
      </w:r>
      <w:r w:rsidR="00F458FC" w:rsidRPr="0039024C">
        <w:t>work</w:t>
      </w:r>
      <w:r w:rsidR="00604B02" w:rsidRPr="0039024C">
        <w:t xml:space="preserve"> reported by other researchers </w:t>
      </w:r>
      <w:r w:rsidR="00FD2DAD" w:rsidRPr="0039024C">
        <w:t>(</w:t>
      </w:r>
      <w:r w:rsidR="00630154" w:rsidRPr="0039024C">
        <w:t>Dehaghani et al., 2016</w:t>
      </w:r>
      <w:r w:rsidR="00FD2DAD" w:rsidRPr="0039024C">
        <w:t>, Perez et al., 2019).</w:t>
      </w:r>
    </w:p>
    <w:p w14:paraId="0F063228" w14:textId="77777777" w:rsidR="00E07477" w:rsidRPr="0039024C" w:rsidRDefault="00E07477" w:rsidP="00401F07">
      <w:pPr>
        <w:pStyle w:val="CETBodytext"/>
      </w:pPr>
    </w:p>
    <w:p w14:paraId="02AB5DA2" w14:textId="594ED93F" w:rsidR="0076767C" w:rsidRPr="0039024C" w:rsidRDefault="00513167" w:rsidP="00401F07">
      <w:pPr>
        <w:pStyle w:val="CETBodytext"/>
      </w:pPr>
      <w:r w:rsidRPr="0039024C">
        <w:t xml:space="preserve">Figure </w:t>
      </w:r>
      <w:r w:rsidR="003C5C0D" w:rsidRPr="0039024C">
        <w:t>2</w:t>
      </w:r>
      <w:r w:rsidRPr="0039024C">
        <w:t>e shows the viscosity reduction (measured at 25 °C) of heavy crude oils with D-Limonene compared to the initial heavy crude oils.</w:t>
      </w:r>
      <w:r w:rsidR="00EA6393" w:rsidRPr="0039024C">
        <w:t xml:space="preserve"> </w:t>
      </w:r>
      <w:r w:rsidR="00E07477" w:rsidRPr="0039024C">
        <w:t>The results confirm that D-Limonene allows significant viscosity reductions for C1 and C4 heavy crude oils. Meanwhile, the effect of D-Limonene is similar for C2 and C3 heavy crude oils.</w:t>
      </w:r>
    </w:p>
    <w:p w14:paraId="4C102943" w14:textId="230BBE17" w:rsidR="00393BC5" w:rsidRPr="0039024C" w:rsidRDefault="00393BC5" w:rsidP="00401F07">
      <w:pPr>
        <w:pStyle w:val="CETBodytext"/>
      </w:pPr>
    </w:p>
    <w:p w14:paraId="27B4D7F0" w14:textId="25DF0AD3" w:rsidR="00393BC5" w:rsidRPr="0039024C" w:rsidRDefault="00393BC5" w:rsidP="00401F07">
      <w:pPr>
        <w:pStyle w:val="CETBodytext"/>
      </w:pPr>
      <w:r w:rsidRPr="0039024C">
        <w:t xml:space="preserve"> </w:t>
      </w:r>
      <w:r w:rsidR="00561118" w:rsidRPr="0039024C">
        <w:rPr>
          <w:noProof/>
        </w:rPr>
        <w:drawing>
          <wp:inline distT="0" distB="0" distL="0" distR="0" wp14:anchorId="38C25E0F" wp14:editId="71F745B0">
            <wp:extent cx="2696688" cy="1618013"/>
            <wp:effectExtent l="0" t="0" r="889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736" cy="1620442"/>
                    </a:xfrm>
                    <a:prstGeom prst="rect">
                      <a:avLst/>
                    </a:prstGeom>
                    <a:noFill/>
                    <a:ln>
                      <a:noFill/>
                    </a:ln>
                  </pic:spPr>
                </pic:pic>
              </a:graphicData>
            </a:graphic>
          </wp:inline>
        </w:drawing>
      </w:r>
      <w:r w:rsidR="004D4B8E" w:rsidRPr="0039024C">
        <w:rPr>
          <w:noProof/>
        </w:rPr>
        <w:drawing>
          <wp:inline distT="0" distB="0" distL="0" distR="0" wp14:anchorId="61339B7D" wp14:editId="4DA5F7F0">
            <wp:extent cx="2654135" cy="1600174"/>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834" cy="1610242"/>
                    </a:xfrm>
                    <a:prstGeom prst="rect">
                      <a:avLst/>
                    </a:prstGeom>
                    <a:noFill/>
                    <a:ln>
                      <a:noFill/>
                    </a:ln>
                  </pic:spPr>
                </pic:pic>
              </a:graphicData>
            </a:graphic>
          </wp:inline>
        </w:drawing>
      </w:r>
    </w:p>
    <w:p w14:paraId="435E94EF" w14:textId="77777777" w:rsidR="00CD6EF4" w:rsidRPr="0039024C" w:rsidRDefault="00CD6EF4" w:rsidP="00401F07">
      <w:pPr>
        <w:pStyle w:val="CETBodytext"/>
      </w:pPr>
    </w:p>
    <w:p w14:paraId="74F88639" w14:textId="42001A92" w:rsidR="005C0C12" w:rsidRPr="0039024C" w:rsidRDefault="005C0C12" w:rsidP="00B1059C">
      <w:pPr>
        <w:pStyle w:val="CETBodytext"/>
        <w:jc w:val="left"/>
      </w:pPr>
      <w:r w:rsidRPr="0039024C">
        <w:t xml:space="preserve">                                             a                                                                                      b</w:t>
      </w:r>
    </w:p>
    <w:p w14:paraId="465DABF9" w14:textId="494375D4" w:rsidR="004D4B8E" w:rsidRPr="0039024C" w:rsidRDefault="00577510" w:rsidP="00B1059C">
      <w:pPr>
        <w:pStyle w:val="CETBodytext"/>
        <w:jc w:val="left"/>
      </w:pPr>
      <w:r w:rsidRPr="0039024C">
        <w:rPr>
          <w:noProof/>
        </w:rPr>
        <w:drawing>
          <wp:inline distT="0" distB="0" distL="0" distR="0" wp14:anchorId="37F6A377" wp14:editId="77B5D052">
            <wp:extent cx="2706848" cy="16241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0491" cy="1626296"/>
                    </a:xfrm>
                    <a:prstGeom prst="rect">
                      <a:avLst/>
                    </a:prstGeom>
                    <a:noFill/>
                    <a:ln>
                      <a:noFill/>
                    </a:ln>
                  </pic:spPr>
                </pic:pic>
              </a:graphicData>
            </a:graphic>
          </wp:inline>
        </w:drawing>
      </w:r>
      <w:r w:rsidR="007A669B" w:rsidRPr="0039024C">
        <w:rPr>
          <w:noProof/>
        </w:rPr>
        <w:drawing>
          <wp:inline distT="0" distB="0" distL="0" distR="0" wp14:anchorId="6DC70C14" wp14:editId="6F95A6FF">
            <wp:extent cx="2832265" cy="1583082"/>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886" cy="1595726"/>
                    </a:xfrm>
                    <a:prstGeom prst="rect">
                      <a:avLst/>
                    </a:prstGeom>
                    <a:noFill/>
                    <a:ln>
                      <a:noFill/>
                    </a:ln>
                  </pic:spPr>
                </pic:pic>
              </a:graphicData>
            </a:graphic>
          </wp:inline>
        </w:drawing>
      </w:r>
    </w:p>
    <w:p w14:paraId="791A5ED5" w14:textId="3FF2FE9C" w:rsidR="00F91739" w:rsidRPr="0039024C" w:rsidRDefault="00F91739" w:rsidP="00B1059C">
      <w:pPr>
        <w:pStyle w:val="CETBodytext"/>
        <w:jc w:val="left"/>
      </w:pPr>
    </w:p>
    <w:p w14:paraId="1CE09A05" w14:textId="173DB10C" w:rsidR="000D05ED" w:rsidRPr="0039024C" w:rsidRDefault="000D05ED" w:rsidP="00B1059C">
      <w:pPr>
        <w:pStyle w:val="CETBodytext"/>
        <w:jc w:val="left"/>
      </w:pPr>
      <w:r w:rsidRPr="0039024C">
        <w:t xml:space="preserve">                                             c                                                                                      </w:t>
      </w:r>
      <w:r w:rsidR="00F54493" w:rsidRPr="0039024C">
        <w:t>d</w:t>
      </w:r>
    </w:p>
    <w:p w14:paraId="34BDC5DE" w14:textId="3F014C86" w:rsidR="008337D8" w:rsidRPr="0039024C" w:rsidRDefault="008337D8" w:rsidP="00B1059C">
      <w:pPr>
        <w:pStyle w:val="CETBodytext"/>
        <w:jc w:val="left"/>
      </w:pPr>
      <w:r w:rsidRPr="0039024C">
        <w:rPr>
          <w:noProof/>
        </w:rPr>
        <w:drawing>
          <wp:inline distT="0" distB="0" distL="0" distR="0" wp14:anchorId="4C9E25C6" wp14:editId="7D782D7C">
            <wp:extent cx="2830864" cy="175851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9117" cy="1763637"/>
                    </a:xfrm>
                    <a:prstGeom prst="rect">
                      <a:avLst/>
                    </a:prstGeom>
                    <a:noFill/>
                    <a:ln>
                      <a:noFill/>
                    </a:ln>
                  </pic:spPr>
                </pic:pic>
              </a:graphicData>
            </a:graphic>
          </wp:inline>
        </w:drawing>
      </w:r>
    </w:p>
    <w:p w14:paraId="17A21954" w14:textId="4A19629D" w:rsidR="009564AC" w:rsidRPr="0039024C" w:rsidRDefault="00B1059C" w:rsidP="00B1059C">
      <w:pPr>
        <w:pStyle w:val="CETBodytext"/>
        <w:jc w:val="left"/>
      </w:pPr>
      <w:r w:rsidRPr="0039024C">
        <w:t xml:space="preserve">                                                </w:t>
      </w:r>
      <w:r w:rsidR="009564AC" w:rsidRPr="0039024C">
        <w:t>e</w:t>
      </w:r>
    </w:p>
    <w:p w14:paraId="368E3D46" w14:textId="7F913AC3" w:rsidR="00B1059C" w:rsidRPr="0039024C" w:rsidRDefault="00B1059C" w:rsidP="00B1059C">
      <w:pPr>
        <w:pStyle w:val="CETBodytext"/>
        <w:jc w:val="left"/>
        <w:rPr>
          <w:i/>
        </w:rPr>
      </w:pPr>
      <w:r w:rsidRPr="0039024C">
        <w:rPr>
          <w:i/>
        </w:rPr>
        <w:t xml:space="preserve">Figure </w:t>
      </w:r>
      <w:r w:rsidR="003C5C0D" w:rsidRPr="0039024C">
        <w:rPr>
          <w:i/>
        </w:rPr>
        <w:t>2</w:t>
      </w:r>
      <w:r w:rsidRPr="0039024C">
        <w:rPr>
          <w:i/>
        </w:rPr>
        <w:t>: Viscosity of heavy crude oils with D-Limonene: a-Crude oil 1 (C1), b-Crude oil (C2), c-Crude oil 3 (C3), d-Crude oil 4 (C4), and e- Viscosity reduction (@ 25 °C).</w:t>
      </w:r>
    </w:p>
    <w:p w14:paraId="51E89754" w14:textId="77777777" w:rsidR="00B1059C" w:rsidRPr="0039024C" w:rsidRDefault="00B1059C" w:rsidP="00401F07">
      <w:pPr>
        <w:pStyle w:val="CETBodytext"/>
      </w:pPr>
    </w:p>
    <w:p w14:paraId="6E9C2DC7" w14:textId="300FF565" w:rsidR="00B45109" w:rsidRPr="0039024C" w:rsidRDefault="006C2BCE" w:rsidP="00401F07">
      <w:pPr>
        <w:pStyle w:val="CETBodytext"/>
      </w:pPr>
      <w:r w:rsidRPr="0039024C">
        <w:t>To complement the viscosity analyses, in this work the effect of the concentration of D-Limonene and heavy crude oil on the viscosity of the final mixture was correlated using the Lederer model (Sheng et al., 2015) represented by equation 1</w:t>
      </w:r>
      <w:r w:rsidR="009C07B8" w:rsidRPr="0039024C">
        <w:t>.</w:t>
      </w:r>
    </w:p>
    <w:p w14:paraId="1908360B" w14:textId="6B0DF080" w:rsidR="00D542E5" w:rsidRPr="0039024C" w:rsidRDefault="00D542E5" w:rsidP="00401F07">
      <w:pPr>
        <w:pStyle w:val="CETBodytext"/>
      </w:pPr>
    </w:p>
    <w:p w14:paraId="419819EA" w14:textId="72556D81" w:rsidR="009C07B8" w:rsidRPr="0039024C" w:rsidRDefault="00000000" w:rsidP="009C07B8">
      <w:pPr>
        <w:rPr>
          <w:rFonts w:ascii="Times New Roman" w:hAnsi="Times New Roman"/>
          <w:bCs/>
          <w:szCs w:val="18"/>
        </w:rPr>
      </w:pPr>
      <m:oMath>
        <m:sSub>
          <m:sSubPr>
            <m:ctrlPr>
              <w:rPr>
                <w:rFonts w:ascii="Cambria Math" w:hAnsi="Cambria Math"/>
                <w:bCs/>
                <w:i/>
                <w:szCs w:val="18"/>
              </w:rPr>
            </m:ctrlPr>
          </m:sSubPr>
          <m:e>
            <m:r>
              <w:rPr>
                <w:rFonts w:ascii="Cambria Math" w:hAnsi="Cambria Math"/>
                <w:szCs w:val="18"/>
              </w:rPr>
              <m:t>logμ</m:t>
            </m:r>
          </m:e>
          <m:sub>
            <m:r>
              <w:rPr>
                <w:rFonts w:ascii="Cambria Math" w:hAnsi="Cambria Math"/>
                <w:szCs w:val="18"/>
              </w:rPr>
              <m:t>m</m:t>
            </m:r>
          </m:sub>
        </m:sSub>
        <m:r>
          <w:rPr>
            <w:rFonts w:ascii="Cambria Math" w:hAnsi="Cambria Math"/>
            <w:szCs w:val="18"/>
          </w:rPr>
          <m:t>=</m:t>
        </m:r>
        <m:d>
          <m:dPr>
            <m:ctrlPr>
              <w:rPr>
                <w:rFonts w:ascii="Cambria Math" w:hAnsi="Cambria Math"/>
                <w:bCs/>
                <w:i/>
                <w:szCs w:val="18"/>
              </w:rPr>
            </m:ctrlPr>
          </m:dPr>
          <m:e>
            <m:r>
              <w:rPr>
                <w:rFonts w:ascii="Cambria Math" w:hAnsi="Cambria Math"/>
                <w:szCs w:val="18"/>
              </w:rPr>
              <m:t>1-</m:t>
            </m:r>
            <m:f>
              <m:fPr>
                <m:ctrlPr>
                  <w:rPr>
                    <w:rFonts w:ascii="Cambria Math" w:hAnsi="Cambria Math"/>
                    <w:bCs/>
                    <w:i/>
                    <w:szCs w:val="18"/>
                  </w:rPr>
                </m:ctrlPr>
              </m:fPr>
              <m:num>
                <m:r>
                  <w:rPr>
                    <w:rFonts w:ascii="Cambria Math" w:hAnsi="Cambria Math"/>
                    <w:szCs w:val="18"/>
                  </w:rPr>
                  <m:t>α</m:t>
                </m:r>
                <m:sSub>
                  <m:sSubPr>
                    <m:ctrlPr>
                      <w:rPr>
                        <w:rFonts w:ascii="Cambria Math" w:hAnsi="Cambria Math"/>
                        <w:bCs/>
                        <w:i/>
                        <w:szCs w:val="18"/>
                      </w:rPr>
                    </m:ctrlPr>
                  </m:sSubPr>
                  <m:e>
                    <m:r>
                      <w:rPr>
                        <w:rFonts w:ascii="Cambria Math" w:hAnsi="Cambria Math"/>
                        <w:szCs w:val="18"/>
                      </w:rPr>
                      <m:t>V</m:t>
                    </m:r>
                  </m:e>
                  <m:sub>
                    <m:r>
                      <w:rPr>
                        <w:rFonts w:ascii="Cambria Math" w:hAnsi="Cambria Math"/>
                        <w:szCs w:val="18"/>
                      </w:rPr>
                      <m:t>O</m:t>
                    </m:r>
                  </m:sub>
                </m:sSub>
              </m:num>
              <m:den>
                <m:r>
                  <w:rPr>
                    <w:rFonts w:ascii="Cambria Math" w:hAnsi="Cambria Math"/>
                    <w:szCs w:val="18"/>
                  </w:rPr>
                  <m:t>α</m:t>
                </m:r>
                <m:sSub>
                  <m:sSubPr>
                    <m:ctrlPr>
                      <w:rPr>
                        <w:rFonts w:ascii="Cambria Math" w:hAnsi="Cambria Math"/>
                        <w:bCs/>
                        <w:i/>
                        <w:szCs w:val="18"/>
                      </w:rPr>
                    </m:ctrlPr>
                  </m:sSubPr>
                  <m:e>
                    <m:r>
                      <w:rPr>
                        <w:rFonts w:ascii="Cambria Math" w:hAnsi="Cambria Math"/>
                        <w:szCs w:val="18"/>
                      </w:rPr>
                      <m:t>V</m:t>
                    </m:r>
                  </m:e>
                  <m:sub>
                    <m:r>
                      <w:rPr>
                        <w:rFonts w:ascii="Cambria Math" w:hAnsi="Cambria Math"/>
                        <w:szCs w:val="18"/>
                      </w:rPr>
                      <m:t>O</m:t>
                    </m:r>
                  </m:sub>
                </m:sSub>
                <m:r>
                  <w:rPr>
                    <w:rFonts w:ascii="Cambria Math" w:hAnsi="Cambria Math"/>
                    <w:szCs w:val="18"/>
                  </w:rPr>
                  <m:t>+</m:t>
                </m:r>
                <m:sSub>
                  <m:sSubPr>
                    <m:ctrlPr>
                      <w:rPr>
                        <w:rFonts w:ascii="Cambria Math" w:hAnsi="Cambria Math"/>
                        <w:bCs/>
                        <w:i/>
                        <w:szCs w:val="18"/>
                      </w:rPr>
                    </m:ctrlPr>
                  </m:sSubPr>
                  <m:e>
                    <m:r>
                      <w:rPr>
                        <w:rFonts w:ascii="Cambria Math" w:hAnsi="Cambria Math"/>
                        <w:szCs w:val="18"/>
                      </w:rPr>
                      <m:t>V</m:t>
                    </m:r>
                  </m:e>
                  <m:sub>
                    <m:r>
                      <w:rPr>
                        <w:rFonts w:ascii="Cambria Math" w:hAnsi="Cambria Math"/>
                        <w:szCs w:val="18"/>
                      </w:rPr>
                      <m:t>O</m:t>
                    </m:r>
                  </m:sub>
                </m:sSub>
              </m:den>
            </m:f>
          </m:e>
        </m:d>
        <m:sSub>
          <m:sSubPr>
            <m:ctrlPr>
              <w:rPr>
                <w:rFonts w:ascii="Cambria Math" w:hAnsi="Cambria Math"/>
                <w:bCs/>
                <w:i/>
                <w:szCs w:val="18"/>
              </w:rPr>
            </m:ctrlPr>
          </m:sSubPr>
          <m:e>
            <m:r>
              <w:rPr>
                <w:rFonts w:ascii="Cambria Math" w:hAnsi="Cambria Math"/>
                <w:szCs w:val="18"/>
              </w:rPr>
              <m:t>logμ</m:t>
            </m:r>
          </m:e>
          <m:sub>
            <m:r>
              <w:rPr>
                <w:rFonts w:ascii="Cambria Math" w:hAnsi="Cambria Math"/>
                <w:szCs w:val="18"/>
              </w:rPr>
              <m:t>S</m:t>
            </m:r>
          </m:sub>
        </m:sSub>
        <m:r>
          <w:rPr>
            <w:rFonts w:ascii="Cambria Math" w:hAnsi="Cambria Math"/>
            <w:szCs w:val="18"/>
          </w:rPr>
          <m:t>+</m:t>
        </m:r>
        <m:d>
          <m:dPr>
            <m:ctrlPr>
              <w:rPr>
                <w:rFonts w:ascii="Cambria Math" w:hAnsi="Cambria Math"/>
                <w:bCs/>
                <w:i/>
                <w:szCs w:val="18"/>
              </w:rPr>
            </m:ctrlPr>
          </m:dPr>
          <m:e>
            <m:f>
              <m:fPr>
                <m:ctrlPr>
                  <w:rPr>
                    <w:rFonts w:ascii="Cambria Math" w:hAnsi="Cambria Math"/>
                    <w:bCs/>
                    <w:i/>
                    <w:szCs w:val="18"/>
                  </w:rPr>
                </m:ctrlPr>
              </m:fPr>
              <m:num>
                <m:r>
                  <w:rPr>
                    <w:rFonts w:ascii="Cambria Math" w:hAnsi="Cambria Math"/>
                    <w:szCs w:val="18"/>
                  </w:rPr>
                  <m:t>α</m:t>
                </m:r>
                <m:sSub>
                  <m:sSubPr>
                    <m:ctrlPr>
                      <w:rPr>
                        <w:rFonts w:ascii="Cambria Math" w:hAnsi="Cambria Math"/>
                        <w:bCs/>
                        <w:i/>
                        <w:szCs w:val="18"/>
                      </w:rPr>
                    </m:ctrlPr>
                  </m:sSubPr>
                  <m:e>
                    <m:r>
                      <w:rPr>
                        <w:rFonts w:ascii="Cambria Math" w:hAnsi="Cambria Math"/>
                        <w:szCs w:val="18"/>
                      </w:rPr>
                      <m:t>V</m:t>
                    </m:r>
                  </m:e>
                  <m:sub>
                    <m:r>
                      <w:rPr>
                        <w:rFonts w:ascii="Cambria Math" w:hAnsi="Cambria Math"/>
                        <w:szCs w:val="18"/>
                      </w:rPr>
                      <m:t>O</m:t>
                    </m:r>
                  </m:sub>
                </m:sSub>
              </m:num>
              <m:den>
                <m:r>
                  <w:rPr>
                    <w:rFonts w:ascii="Cambria Math" w:hAnsi="Cambria Math"/>
                    <w:szCs w:val="18"/>
                  </w:rPr>
                  <m:t>α</m:t>
                </m:r>
                <m:sSub>
                  <m:sSubPr>
                    <m:ctrlPr>
                      <w:rPr>
                        <w:rFonts w:ascii="Cambria Math" w:hAnsi="Cambria Math"/>
                        <w:bCs/>
                        <w:i/>
                        <w:szCs w:val="18"/>
                      </w:rPr>
                    </m:ctrlPr>
                  </m:sSubPr>
                  <m:e>
                    <m:r>
                      <w:rPr>
                        <w:rFonts w:ascii="Cambria Math" w:hAnsi="Cambria Math"/>
                        <w:szCs w:val="18"/>
                      </w:rPr>
                      <m:t>V</m:t>
                    </m:r>
                  </m:e>
                  <m:sub>
                    <m:r>
                      <w:rPr>
                        <w:rFonts w:ascii="Cambria Math" w:hAnsi="Cambria Math"/>
                        <w:szCs w:val="18"/>
                      </w:rPr>
                      <m:t>O</m:t>
                    </m:r>
                  </m:sub>
                </m:sSub>
                <m:r>
                  <w:rPr>
                    <w:rFonts w:ascii="Cambria Math" w:hAnsi="Cambria Math"/>
                    <w:szCs w:val="18"/>
                  </w:rPr>
                  <m:t>+</m:t>
                </m:r>
                <m:sSub>
                  <m:sSubPr>
                    <m:ctrlPr>
                      <w:rPr>
                        <w:rFonts w:ascii="Cambria Math" w:hAnsi="Cambria Math"/>
                        <w:bCs/>
                        <w:i/>
                        <w:szCs w:val="18"/>
                      </w:rPr>
                    </m:ctrlPr>
                  </m:sSubPr>
                  <m:e>
                    <m:r>
                      <w:rPr>
                        <w:rFonts w:ascii="Cambria Math" w:hAnsi="Cambria Math"/>
                        <w:szCs w:val="18"/>
                      </w:rPr>
                      <m:t>V</m:t>
                    </m:r>
                  </m:e>
                  <m:sub>
                    <m:r>
                      <w:rPr>
                        <w:rFonts w:ascii="Cambria Math" w:hAnsi="Cambria Math"/>
                        <w:szCs w:val="18"/>
                      </w:rPr>
                      <m:t>O</m:t>
                    </m:r>
                  </m:sub>
                </m:sSub>
              </m:den>
            </m:f>
          </m:e>
        </m:d>
        <m:sSub>
          <m:sSubPr>
            <m:ctrlPr>
              <w:rPr>
                <w:rFonts w:ascii="Cambria Math" w:hAnsi="Cambria Math"/>
                <w:bCs/>
                <w:i/>
                <w:szCs w:val="18"/>
              </w:rPr>
            </m:ctrlPr>
          </m:sSubPr>
          <m:e>
            <m:r>
              <w:rPr>
                <w:rFonts w:ascii="Cambria Math" w:hAnsi="Cambria Math"/>
                <w:szCs w:val="18"/>
              </w:rPr>
              <m:t>logμ</m:t>
            </m:r>
          </m:e>
          <m:sub>
            <m:r>
              <w:rPr>
                <w:rFonts w:ascii="Cambria Math" w:hAnsi="Cambria Math"/>
                <w:szCs w:val="18"/>
              </w:rPr>
              <m:t>O</m:t>
            </m:r>
          </m:sub>
        </m:sSub>
      </m:oMath>
      <w:r w:rsidR="004A2896" w:rsidRPr="0039024C">
        <w:rPr>
          <w:rFonts w:ascii="Times New Roman" w:hAnsi="Times New Roman"/>
          <w:bCs/>
          <w:szCs w:val="18"/>
        </w:rPr>
        <w:tab/>
      </w:r>
      <w:r w:rsidR="004A2896" w:rsidRPr="0039024C">
        <w:rPr>
          <w:rFonts w:ascii="Times New Roman" w:hAnsi="Times New Roman"/>
          <w:bCs/>
          <w:szCs w:val="18"/>
        </w:rPr>
        <w:tab/>
      </w:r>
      <w:r w:rsidR="009C07B8" w:rsidRPr="0039024C">
        <w:rPr>
          <w:rFonts w:ascii="Times New Roman" w:hAnsi="Times New Roman"/>
          <w:bCs/>
          <w:szCs w:val="18"/>
        </w:rPr>
        <w:tab/>
      </w:r>
      <w:r w:rsidR="009C07B8" w:rsidRPr="0039024C">
        <w:rPr>
          <w:rFonts w:cs="Arial"/>
          <w:bCs/>
          <w:szCs w:val="18"/>
        </w:rPr>
        <w:t>(1)</w:t>
      </w:r>
      <w:r w:rsidR="009C07B8" w:rsidRPr="0039024C">
        <w:rPr>
          <w:rFonts w:ascii="Times New Roman" w:hAnsi="Times New Roman"/>
          <w:bCs/>
          <w:szCs w:val="18"/>
        </w:rPr>
        <w:tab/>
      </w:r>
    </w:p>
    <w:p w14:paraId="4B98FE2E" w14:textId="3C160AEB" w:rsidR="007F39BA" w:rsidRPr="0039024C" w:rsidRDefault="00436C24" w:rsidP="00401F07">
      <w:pPr>
        <w:pStyle w:val="CETBodytext"/>
      </w:pPr>
      <w:r w:rsidRPr="0039024C">
        <w:t>Where Vo and Vs correspond to the volumes of crude oil and D-Limonene in ml. The parameters μo, μs and μm represent the viscosities of heavy oil, D-Limonene and the mixture</w:t>
      </w:r>
      <w:r w:rsidR="004A0A56" w:rsidRPr="0039024C">
        <w:t>.</w:t>
      </w:r>
      <w:r w:rsidRPr="0039024C">
        <w:t xml:space="preserve"> The parameter α for crude oils C1, C2, </w:t>
      </w:r>
      <w:r w:rsidRPr="0039024C">
        <w:lastRenderedPageBreak/>
        <w:t>C3, and C4 in the presence of D-Limonene (500 to 1500 μL) presented values ​​in the range of 0.24 to 0.49, 0.58 to 1.68, 0.68 to 1.42 and 0.17 to 0.1, respectively.</w:t>
      </w:r>
      <w:r w:rsidR="00422BA8" w:rsidRPr="0039024C">
        <w:t xml:space="preserve"> </w:t>
      </w:r>
      <w:r w:rsidR="00B6362D">
        <w:t xml:space="preserve">Other investigations determined that </w:t>
      </w:r>
      <w:r w:rsidR="00422BA8" w:rsidRPr="0039024C">
        <w:t xml:space="preserve">the parameter α takes values ​​greater than 0 for organic solvents such as toluene, naphtha, heptane, and methanol at room </w:t>
      </w:r>
      <w:r w:rsidR="004A0A56" w:rsidRPr="0039024C">
        <w:t xml:space="preserve">(Dehaghani et al., 2016). </w:t>
      </w:r>
      <w:r w:rsidR="00CC6670" w:rsidRPr="0039024C">
        <w:t xml:space="preserve">Therefore, the parameter α depends on the interaction of the reductant and the crude oil. </w:t>
      </w:r>
      <w:r w:rsidR="00B6362D">
        <w:t xml:space="preserve">This work </w:t>
      </w:r>
      <w:r w:rsidR="00CC6670" w:rsidRPr="0039024C">
        <w:t>determined that the parameter α changes with the temperature and nature of the heavy crude oil.</w:t>
      </w:r>
      <w:r w:rsidR="007F5B35" w:rsidRPr="0039024C">
        <w:t xml:space="preserve"> </w:t>
      </w:r>
    </w:p>
    <w:p w14:paraId="41822835" w14:textId="77777777" w:rsidR="002D25E2" w:rsidRPr="0039024C" w:rsidRDefault="002D25E2" w:rsidP="006577A8">
      <w:pPr>
        <w:pStyle w:val="CETBodytext"/>
      </w:pPr>
    </w:p>
    <w:p w14:paraId="363B319A" w14:textId="7D8FE979" w:rsidR="006577A8" w:rsidRPr="0039024C" w:rsidRDefault="0066287F" w:rsidP="006577A8">
      <w:pPr>
        <w:pStyle w:val="CETBodytext"/>
      </w:pPr>
      <w:r w:rsidRPr="0039024C">
        <w:t xml:space="preserve">Figure </w:t>
      </w:r>
      <w:r w:rsidR="008D203A" w:rsidRPr="0039024C">
        <w:t>3</w:t>
      </w:r>
      <w:r w:rsidRPr="0039024C">
        <w:t xml:space="preserve"> shows the infrared spectra </w:t>
      </w:r>
      <w:r w:rsidR="008D203A" w:rsidRPr="0039024C">
        <w:t xml:space="preserve">(FTIR-ATR) </w:t>
      </w:r>
      <w:r w:rsidRPr="0039024C">
        <w:t>for heavy crude oils and D-Limonene.</w:t>
      </w:r>
      <w:r w:rsidR="004B1749" w:rsidRPr="0039024C">
        <w:t xml:space="preserve"> </w:t>
      </w:r>
      <w:r w:rsidR="00FD26BD" w:rsidRPr="0039024C">
        <w:t xml:space="preserve">The spectra </w:t>
      </w:r>
      <w:r w:rsidR="000C4489" w:rsidRPr="0039024C">
        <w:t>shows</w:t>
      </w:r>
      <w:r w:rsidR="00FD26BD" w:rsidRPr="0039024C">
        <w:t xml:space="preserve"> that heavy crude oils </w:t>
      </w:r>
      <w:r w:rsidR="003B60E0">
        <w:t>vary</w:t>
      </w:r>
      <w:r w:rsidR="00FD26BD" w:rsidRPr="0039024C">
        <w:t xml:space="preserve"> around the wavelength of 1600 cm</w:t>
      </w:r>
      <w:r w:rsidR="00FD26BD" w:rsidRPr="0039024C">
        <w:rPr>
          <w:vertAlign w:val="superscript"/>
        </w:rPr>
        <w:t>-1</w:t>
      </w:r>
      <w:r w:rsidR="00FD26BD" w:rsidRPr="0039024C">
        <w:t>, mainly attributed to C=C bonds of aromatic rings. This characteristic is more intense for C2, C3</w:t>
      </w:r>
      <w:r w:rsidR="003B60E0">
        <w:t>,</w:t>
      </w:r>
      <w:r w:rsidR="00FD26BD" w:rsidRPr="0039024C">
        <w:t xml:space="preserve"> and C4 crude oils, possibly due to the high content of resins and asphaltenes.</w:t>
      </w:r>
      <w:r w:rsidR="004810E2" w:rsidRPr="0039024C">
        <w:t xml:space="preserve"> In the region between 2800 and 3000 cm</w:t>
      </w:r>
      <w:r w:rsidR="004810E2" w:rsidRPr="0039024C">
        <w:rPr>
          <w:vertAlign w:val="superscript"/>
        </w:rPr>
        <w:t>-1</w:t>
      </w:r>
      <w:r w:rsidR="004810E2" w:rsidRPr="0039024C">
        <w:t>, it is observed that heavy crude oils present a variation in their symmetric and asymmetric stretching intensities. These intensities are associated with alkyl structures with -CH, -CH</w:t>
      </w:r>
      <w:r w:rsidR="004810E2" w:rsidRPr="0039024C">
        <w:rPr>
          <w:vertAlign w:val="subscript"/>
        </w:rPr>
        <w:t>2</w:t>
      </w:r>
      <w:r w:rsidR="004810E2" w:rsidRPr="0039024C">
        <w:t xml:space="preserve"> and -CH</w:t>
      </w:r>
      <w:r w:rsidR="004810E2" w:rsidRPr="0039024C">
        <w:rPr>
          <w:vertAlign w:val="subscript"/>
        </w:rPr>
        <w:t>3</w:t>
      </w:r>
      <w:r w:rsidR="004810E2" w:rsidRPr="0039024C">
        <w:t xml:space="preserve"> bonds.</w:t>
      </w:r>
      <w:r w:rsidR="0076481A" w:rsidRPr="0039024C">
        <w:t xml:space="preserve"> Additionally, significant differences are observed in the intensities around 1710 cm</w:t>
      </w:r>
      <w:r w:rsidR="0076481A" w:rsidRPr="0039024C">
        <w:rPr>
          <w:vertAlign w:val="superscript"/>
        </w:rPr>
        <w:t>-1</w:t>
      </w:r>
      <w:r w:rsidR="0076481A" w:rsidRPr="0039024C">
        <w:t>, possibly correspond</w:t>
      </w:r>
      <w:r w:rsidR="003B60E0">
        <w:t>ing</w:t>
      </w:r>
      <w:r w:rsidR="0076481A" w:rsidRPr="0039024C">
        <w:t xml:space="preserve"> to the carbonyl group C=O bond. This functional group may be attributed to esters, acids or ketones, among others</w:t>
      </w:r>
      <w:r w:rsidR="006577A8" w:rsidRPr="0039024C">
        <w:t>.</w:t>
      </w:r>
    </w:p>
    <w:p w14:paraId="6E145BF6" w14:textId="76A113B5" w:rsidR="00440C93" w:rsidRPr="0039024C" w:rsidRDefault="00440C93" w:rsidP="008725CA">
      <w:pPr>
        <w:pStyle w:val="CETBodytext"/>
        <w:jc w:val="left"/>
      </w:pPr>
    </w:p>
    <w:p w14:paraId="64C63A70" w14:textId="2F013CF2" w:rsidR="00D77049" w:rsidRPr="0039024C" w:rsidRDefault="00440C93" w:rsidP="008725CA">
      <w:pPr>
        <w:pStyle w:val="CETBodytext"/>
        <w:jc w:val="left"/>
      </w:pPr>
      <w:r w:rsidRPr="0039024C">
        <w:rPr>
          <w:noProof/>
        </w:rPr>
        <w:drawing>
          <wp:inline distT="0" distB="0" distL="0" distR="0" wp14:anchorId="67EE341A" wp14:editId="61089D40">
            <wp:extent cx="2749137" cy="1560232"/>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9419" cy="1571743"/>
                    </a:xfrm>
                    <a:prstGeom prst="rect">
                      <a:avLst/>
                    </a:prstGeom>
                    <a:noFill/>
                    <a:ln>
                      <a:noFill/>
                    </a:ln>
                  </pic:spPr>
                </pic:pic>
              </a:graphicData>
            </a:graphic>
          </wp:inline>
        </w:drawing>
      </w:r>
      <w:r w:rsidR="00D77049" w:rsidRPr="0039024C">
        <w:rPr>
          <w:noProof/>
        </w:rPr>
        <w:drawing>
          <wp:inline distT="0" distB="0" distL="0" distR="0" wp14:anchorId="46AFF76D" wp14:editId="31666479">
            <wp:extent cx="2760436" cy="156664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9069" cy="1577220"/>
                    </a:xfrm>
                    <a:prstGeom prst="rect">
                      <a:avLst/>
                    </a:prstGeom>
                    <a:noFill/>
                    <a:ln>
                      <a:noFill/>
                    </a:ln>
                  </pic:spPr>
                </pic:pic>
              </a:graphicData>
            </a:graphic>
          </wp:inline>
        </w:drawing>
      </w:r>
    </w:p>
    <w:p w14:paraId="5D8BD8F8" w14:textId="470B961D" w:rsidR="00A7256E" w:rsidRPr="0039024C" w:rsidRDefault="00A7256E" w:rsidP="008725CA">
      <w:pPr>
        <w:pStyle w:val="CETBodytext"/>
        <w:jc w:val="left"/>
      </w:pPr>
      <w:r w:rsidRPr="0039024C">
        <w:t xml:space="preserve">                                              a                                                                                      b</w:t>
      </w:r>
    </w:p>
    <w:p w14:paraId="449F3172" w14:textId="7274D25D" w:rsidR="00AC4A77" w:rsidRPr="0039024C" w:rsidRDefault="00AC4A77" w:rsidP="008725CA">
      <w:pPr>
        <w:pStyle w:val="CETBodytext"/>
        <w:jc w:val="left"/>
        <w:rPr>
          <w:i/>
        </w:rPr>
      </w:pPr>
      <w:r w:rsidRPr="0039024C">
        <w:rPr>
          <w:i/>
        </w:rPr>
        <w:t xml:space="preserve">Figure </w:t>
      </w:r>
      <w:r w:rsidR="008D203A" w:rsidRPr="0039024C">
        <w:rPr>
          <w:i/>
        </w:rPr>
        <w:t>3</w:t>
      </w:r>
      <w:r w:rsidRPr="0039024C">
        <w:rPr>
          <w:i/>
        </w:rPr>
        <w:t>: FTIR-ATR infrared spectra for crude oils and D-Limonene</w:t>
      </w:r>
      <w:r w:rsidR="00A7256E" w:rsidRPr="0039024C">
        <w:rPr>
          <w:i/>
        </w:rPr>
        <w:t>: a-3200-</w:t>
      </w:r>
      <w:r w:rsidR="008725CA" w:rsidRPr="0039024C">
        <w:rPr>
          <w:i/>
        </w:rPr>
        <w:t>2600 cm</w:t>
      </w:r>
      <w:r w:rsidR="008725CA" w:rsidRPr="0039024C">
        <w:rPr>
          <w:i/>
          <w:vertAlign w:val="superscript"/>
        </w:rPr>
        <w:t>-1</w:t>
      </w:r>
      <w:r w:rsidR="008725CA" w:rsidRPr="0039024C">
        <w:rPr>
          <w:i/>
        </w:rPr>
        <w:t>, and b-3200-2600 cm</w:t>
      </w:r>
      <w:r w:rsidR="008725CA" w:rsidRPr="0039024C">
        <w:rPr>
          <w:i/>
          <w:vertAlign w:val="superscript"/>
        </w:rPr>
        <w:t>-1</w:t>
      </w:r>
      <w:r w:rsidR="008725CA" w:rsidRPr="0039024C">
        <w:rPr>
          <w:i/>
        </w:rPr>
        <w:t>.</w:t>
      </w:r>
    </w:p>
    <w:p w14:paraId="4CCB2579" w14:textId="77777777" w:rsidR="00CD6EF4" w:rsidRPr="0039024C" w:rsidRDefault="00CD6EF4" w:rsidP="00CD6EF4">
      <w:pPr>
        <w:pStyle w:val="CETBodytext"/>
        <w:jc w:val="left"/>
      </w:pPr>
    </w:p>
    <w:p w14:paraId="43F565E3" w14:textId="0535BDFE" w:rsidR="00E3125B" w:rsidRPr="0039024C" w:rsidRDefault="00E3125B" w:rsidP="007D24C7">
      <w:pPr>
        <w:pStyle w:val="CETBodytext"/>
      </w:pPr>
      <w:r w:rsidRPr="0039024C">
        <w:t>The infrared spectrum of D-Limonene is similar to the spectrum reported in the literature (Derdar et al., 2019).</w:t>
      </w:r>
      <w:r w:rsidR="00C61BCF" w:rsidRPr="0039024C">
        <w:t xml:space="preserve"> </w:t>
      </w:r>
      <w:r w:rsidR="004D3F25" w:rsidRPr="0039024C">
        <w:t>The intensities around 800</w:t>
      </w:r>
      <w:r w:rsidR="003B60E0">
        <w:t xml:space="preserve"> -</w:t>
      </w:r>
      <w:r w:rsidR="004D3F25" w:rsidRPr="0039024C">
        <w:t xml:space="preserve"> 880 cm</w:t>
      </w:r>
      <w:r w:rsidR="004D3F25" w:rsidRPr="0039024C">
        <w:rPr>
          <w:vertAlign w:val="superscript"/>
        </w:rPr>
        <w:t>-1</w:t>
      </w:r>
      <w:r w:rsidR="004D3F25" w:rsidRPr="0039024C">
        <w:t xml:space="preserve"> correspond to groups with terminal double bond =CH</w:t>
      </w:r>
      <w:r w:rsidR="004D3F25" w:rsidRPr="0039024C">
        <w:rPr>
          <w:vertAlign w:val="subscript"/>
        </w:rPr>
        <w:t>2</w:t>
      </w:r>
      <w:r w:rsidR="004D3F25" w:rsidRPr="0039024C">
        <w:t>. The peaks around 1375</w:t>
      </w:r>
      <w:r w:rsidR="003B60E0">
        <w:t xml:space="preserve"> -</w:t>
      </w:r>
      <w:r w:rsidR="004D3F25" w:rsidRPr="0039024C">
        <w:t xml:space="preserve"> 1250 cm</w:t>
      </w:r>
      <w:r w:rsidR="004D3F25" w:rsidRPr="003B60E0">
        <w:rPr>
          <w:vertAlign w:val="superscript"/>
        </w:rPr>
        <w:t>-1</w:t>
      </w:r>
      <w:r w:rsidR="004D3F25" w:rsidRPr="0039024C">
        <w:t xml:space="preserve"> are associated with the C=C double bonds of limonene. The presence of a characteristic band corresponding to the double bond stretching band at 1643 cm</w:t>
      </w:r>
      <w:r w:rsidR="004D3F25" w:rsidRPr="0039024C">
        <w:rPr>
          <w:vertAlign w:val="superscript"/>
        </w:rPr>
        <w:t>-1</w:t>
      </w:r>
      <w:r w:rsidR="004D3F25" w:rsidRPr="0039024C">
        <w:t xml:space="preserve"> and an intense band at 2920 cm</w:t>
      </w:r>
      <w:r w:rsidR="004D3F25" w:rsidRPr="0039024C">
        <w:rPr>
          <w:vertAlign w:val="superscript"/>
        </w:rPr>
        <w:t>-1</w:t>
      </w:r>
      <w:r w:rsidR="004D3F25" w:rsidRPr="0039024C">
        <w:t xml:space="preserve"> corresponding to the methylene bond -CH is also shown.</w:t>
      </w:r>
      <w:r w:rsidR="0056764E" w:rsidRPr="0039024C">
        <w:t xml:space="preserve"> The results of FTIR-ATR infrared spectroscopy indicate that heavy crude oils present a certain degree of aromaticity due to the presence of aromatics, resins and asphaltenes. Furthermore, in terms of chemical composition</w:t>
      </w:r>
      <w:r w:rsidR="000C4489">
        <w:t>,</w:t>
      </w:r>
      <w:r w:rsidR="0056764E" w:rsidRPr="0039024C">
        <w:t xml:space="preserve"> it can be said that the affinity of D-Limonene varies with the distribution of aromatic and aliphatic species present in crude oils.</w:t>
      </w:r>
      <w:r w:rsidR="00212222" w:rsidRPr="0039024C">
        <w:t xml:space="preserve"> In general, it can be said that D-Limonene is soluble in heavy crude oil due to its chemical structure, and at the same time it offers stability of macromolecules dispersed in crude oil samples.</w:t>
      </w:r>
      <w:r w:rsidR="00D62804" w:rsidRPr="0039024C">
        <w:t xml:space="preserve"> In conclusion, the results of this research show that D-Limonene can be applied as a potential viscosity reducer in heavy crude oils. In turn, its affinity depends on the chemical nature of the crude oil species and its synergy with temperature.</w:t>
      </w:r>
    </w:p>
    <w:p w14:paraId="5B44EF61" w14:textId="7EA05611" w:rsidR="004D3F25" w:rsidRPr="0039024C" w:rsidRDefault="004D3F25" w:rsidP="007D24C7">
      <w:pPr>
        <w:pStyle w:val="CETBodytext"/>
      </w:pPr>
    </w:p>
    <w:p w14:paraId="65D76067" w14:textId="2A84CC1F" w:rsidR="0048425F" w:rsidRPr="0039024C" w:rsidRDefault="0048425F" w:rsidP="0048425F">
      <w:pPr>
        <w:pStyle w:val="CETheadingx"/>
        <w:numPr>
          <w:ilvl w:val="0"/>
          <w:numId w:val="0"/>
        </w:numPr>
      </w:pPr>
      <w:r w:rsidRPr="0039024C">
        <w:t>4 Conclusions</w:t>
      </w:r>
    </w:p>
    <w:p w14:paraId="5570D23C" w14:textId="77777777" w:rsidR="004C1E84" w:rsidRPr="0039024C" w:rsidRDefault="004C1E84" w:rsidP="004C1E84">
      <w:pPr>
        <w:pStyle w:val="CETBodytext"/>
      </w:pPr>
      <w:r w:rsidRPr="0039024C">
        <w:t>The results of this research demonstrated that D-limonene can be used as a viscosity reducer in heavy crude oils. The affinity of the mixture depends on the D-limonene concentration and the physicochemical properties of the heavy crude oil.</w:t>
      </w:r>
    </w:p>
    <w:p w14:paraId="643E3D35" w14:textId="77777777" w:rsidR="004C1E84" w:rsidRPr="0039024C" w:rsidRDefault="004C1E84" w:rsidP="004C1E84">
      <w:pPr>
        <w:pStyle w:val="CETBodytext"/>
      </w:pPr>
    </w:p>
    <w:p w14:paraId="2A10999F" w14:textId="77777777" w:rsidR="00391D8E" w:rsidRPr="0039024C" w:rsidRDefault="004C1E84" w:rsidP="004C1E84">
      <w:pPr>
        <w:pStyle w:val="CETBodytext"/>
      </w:pPr>
      <w:r w:rsidRPr="0039024C">
        <w:t>The viscosity reduction for heavy crude oils C4, C1, C3, and C2 ranged from 16.2 to 81.7%, 20.6 to 26.7%, 2.5 to 11.6%, and 9.1 to 16.2%, respectively. The varying viscosity reduction behavior is possibly due to D-limonene acting as a viscosity reducer for heavy crude oils C1 and C4, and as a solvent for heavy crude oils C2 and C3.</w:t>
      </w:r>
      <w:r w:rsidR="00391D8E" w:rsidRPr="0039024C">
        <w:t xml:space="preserve"> </w:t>
      </w:r>
    </w:p>
    <w:p w14:paraId="54D7A582" w14:textId="77777777" w:rsidR="00391D8E" w:rsidRPr="0039024C" w:rsidRDefault="00391D8E" w:rsidP="004C1E84">
      <w:pPr>
        <w:pStyle w:val="CETBodytext"/>
      </w:pPr>
    </w:p>
    <w:p w14:paraId="71656763" w14:textId="3F1BCA13" w:rsidR="00021B12" w:rsidRPr="0039024C" w:rsidRDefault="004C1E84" w:rsidP="004C1E84">
      <w:pPr>
        <w:pStyle w:val="CETBodytext"/>
      </w:pPr>
      <w:r w:rsidRPr="0039024C">
        <w:t>FTIR-ATR infrared spectroscopy analysis revealed that D-limonene has some functional groups that are similar to heavy crude oils. C4 crude oil exhibits a greater affinity for D-Limonene, possibly due to its high resin/asphaltene ratio and the presence of C=O groups. Finally, it can be indicated that D-Limonene is a potential candidate for viscosity reduction.</w:t>
      </w:r>
    </w:p>
    <w:p w14:paraId="28240FCC" w14:textId="77777777" w:rsidR="00E06876" w:rsidRPr="0039024C" w:rsidRDefault="00E06876" w:rsidP="004C1E84">
      <w:pPr>
        <w:pStyle w:val="CETBodytext"/>
      </w:pPr>
    </w:p>
    <w:p w14:paraId="5404874C" w14:textId="79603AEA" w:rsidR="00021B12" w:rsidRPr="0039024C" w:rsidRDefault="00021B12" w:rsidP="0048425F">
      <w:pPr>
        <w:pStyle w:val="CETBodytext"/>
      </w:pPr>
    </w:p>
    <w:p w14:paraId="49D7EDAB" w14:textId="77777777" w:rsidR="00C3470D" w:rsidRDefault="00C3470D" w:rsidP="0048425F">
      <w:pPr>
        <w:pStyle w:val="CETBodytext"/>
        <w:rPr>
          <w:b/>
        </w:rPr>
      </w:pPr>
    </w:p>
    <w:p w14:paraId="5A0B223B" w14:textId="716EFC74" w:rsidR="0048425F" w:rsidRPr="0039024C" w:rsidRDefault="0048425F" w:rsidP="0048425F">
      <w:pPr>
        <w:pStyle w:val="CETBodytext"/>
        <w:rPr>
          <w:b/>
        </w:rPr>
      </w:pPr>
      <w:r w:rsidRPr="0039024C">
        <w:rPr>
          <w:b/>
        </w:rPr>
        <w:lastRenderedPageBreak/>
        <w:t>Acknowledgments</w:t>
      </w:r>
    </w:p>
    <w:p w14:paraId="0AED8FC9" w14:textId="497C06BF" w:rsidR="00A943B8" w:rsidRPr="0039024C" w:rsidRDefault="00A943B8" w:rsidP="00A943B8">
      <w:pPr>
        <w:pStyle w:val="CETBodytext"/>
      </w:pPr>
      <w:r w:rsidRPr="0039024C">
        <w:t xml:space="preserve">The authors would like to thank the Industrial University of Santander (UIS, Colombia) for its support through project 2423.  We also thank the “Ministry of Science and Technology (MINCIENCIAS)” through Project </w:t>
      </w:r>
      <w:r w:rsidR="00533A16" w:rsidRPr="0039024C">
        <w:t>107578</w:t>
      </w:r>
      <w:r w:rsidRPr="0039024C">
        <w:t>-</w:t>
      </w:r>
      <w:r w:rsidR="00533A16" w:rsidRPr="0039024C">
        <w:t xml:space="preserve"> 941-2023 </w:t>
      </w:r>
      <w:r w:rsidR="00BF1BFF" w:rsidRPr="0039024C">
        <w:t>Convocatoria Fortalecimiento del Sector Hidrocarburos en Colombia</w:t>
      </w:r>
      <w:r w:rsidRPr="0039024C">
        <w:t>.</w:t>
      </w:r>
    </w:p>
    <w:p w14:paraId="63AA2D17" w14:textId="77777777" w:rsidR="00F458FC" w:rsidRPr="0039024C" w:rsidRDefault="00F458FC" w:rsidP="00951A43">
      <w:pPr>
        <w:pStyle w:val="CETBodytext"/>
        <w:rPr>
          <w:b/>
        </w:rPr>
      </w:pPr>
    </w:p>
    <w:p w14:paraId="3F13CF45" w14:textId="77777777" w:rsidR="00E06876" w:rsidRPr="0039024C" w:rsidRDefault="00E06876" w:rsidP="00951A43">
      <w:pPr>
        <w:pStyle w:val="CETBodytext"/>
        <w:rPr>
          <w:b/>
        </w:rPr>
      </w:pPr>
    </w:p>
    <w:p w14:paraId="184BA09D" w14:textId="0A7ED73C" w:rsidR="00EE2F0A" w:rsidRPr="0039024C" w:rsidRDefault="00F458FC" w:rsidP="00951A43">
      <w:pPr>
        <w:pStyle w:val="CETBodytext"/>
        <w:rPr>
          <w:b/>
        </w:rPr>
      </w:pPr>
      <w:r w:rsidRPr="0039024C">
        <w:rPr>
          <w:b/>
        </w:rPr>
        <w:t>References</w:t>
      </w:r>
    </w:p>
    <w:p w14:paraId="600DA81C" w14:textId="77777777" w:rsidR="00E06876" w:rsidRPr="0039024C" w:rsidRDefault="00E06876" w:rsidP="00E06876">
      <w:pPr>
        <w:spacing w:line="240" w:lineRule="auto"/>
        <w:ind w:left="640" w:hanging="640"/>
        <w:rPr>
          <w:rFonts w:eastAsia="Arial" w:cs="Arial"/>
        </w:rPr>
      </w:pPr>
    </w:p>
    <w:p w14:paraId="40DDA05D" w14:textId="776EFD34" w:rsidR="00AA156D" w:rsidRPr="0039024C" w:rsidRDefault="00C4342D" w:rsidP="00AA156D">
      <w:pPr>
        <w:spacing w:line="240" w:lineRule="auto"/>
        <w:ind w:left="640" w:hanging="640"/>
      </w:pPr>
      <w:r w:rsidRPr="0039024C">
        <w:t xml:space="preserve">Alotaibi F.M., González-Cortés S., </w:t>
      </w:r>
      <w:proofErr w:type="spellStart"/>
      <w:r w:rsidRPr="0039024C">
        <w:t>Alotibi</w:t>
      </w:r>
      <w:proofErr w:type="spellEnd"/>
      <w:r w:rsidRPr="0039024C">
        <w:t xml:space="preserve"> M.F., Xiao T., Al-</w:t>
      </w:r>
      <w:proofErr w:type="spellStart"/>
      <w:r w:rsidRPr="0039024C">
        <w:t>Megren</w:t>
      </w:r>
      <w:proofErr w:type="spellEnd"/>
      <w:r w:rsidRPr="0039024C">
        <w:t xml:space="preserve"> H., Yang G.,</w:t>
      </w:r>
      <w:r w:rsidR="00DE764D" w:rsidRPr="0039024C">
        <w:t xml:space="preserve"> </w:t>
      </w:r>
      <w:r w:rsidRPr="0039024C">
        <w:t>Edwards P.P., 2018, Enhancing the production of light olefins from heavy crude oils: Turning challenges into opportunities, Catalysis Today, 317, 86-98.</w:t>
      </w:r>
    </w:p>
    <w:p w14:paraId="7B78A977" w14:textId="03265D9A" w:rsidR="00AA156D" w:rsidRPr="0039024C" w:rsidRDefault="00C4342D" w:rsidP="00AA156D">
      <w:pPr>
        <w:spacing w:line="240" w:lineRule="auto"/>
        <w:ind w:left="640" w:hanging="640"/>
      </w:pPr>
      <w:r w:rsidRPr="0039024C">
        <w:t xml:space="preserve">Cortez M. J., Rowe H.G., 2012., Alternative response technologies: progressing learnings, </w:t>
      </w:r>
      <w:proofErr w:type="spellStart"/>
      <w:r w:rsidRPr="0039024C">
        <w:t>Interspill</w:t>
      </w:r>
      <w:proofErr w:type="spellEnd"/>
      <w:r w:rsidRPr="0039024C">
        <w:t xml:space="preserve"> 2012.</w:t>
      </w:r>
    </w:p>
    <w:p w14:paraId="3C73C98E" w14:textId="770C3E48" w:rsidR="00AA156D" w:rsidRPr="0039024C" w:rsidRDefault="00C4342D" w:rsidP="00AA156D">
      <w:pPr>
        <w:spacing w:line="240" w:lineRule="auto"/>
        <w:ind w:left="640" w:hanging="640"/>
      </w:pPr>
      <w:proofErr w:type="spellStart"/>
      <w:r w:rsidRPr="0039024C">
        <w:t>Dehaghani</w:t>
      </w:r>
      <w:proofErr w:type="spellEnd"/>
      <w:r w:rsidRPr="0039024C">
        <w:t xml:space="preserve"> A.H.S., </w:t>
      </w:r>
      <w:proofErr w:type="spellStart"/>
      <w:r w:rsidRPr="0039024C">
        <w:t>Badizad</w:t>
      </w:r>
      <w:proofErr w:type="spellEnd"/>
      <w:r w:rsidRPr="0039024C">
        <w:t xml:space="preserve"> M.H., 2016, Experimental study of Iranian heavy crude oil viscosity reduction by diluting with heptane, methanol, toluene, gas condensate and naphtha, Petroleum, 2(4), 415-424.</w:t>
      </w:r>
    </w:p>
    <w:p w14:paraId="0693386E" w14:textId="3FCFE327" w:rsidR="00AA156D" w:rsidRPr="0039024C" w:rsidRDefault="00C4342D" w:rsidP="00AA156D">
      <w:pPr>
        <w:spacing w:line="240" w:lineRule="auto"/>
        <w:ind w:left="640" w:hanging="640"/>
      </w:pPr>
      <w:proofErr w:type="spellStart"/>
      <w:r w:rsidRPr="0039024C">
        <w:t>Derdar</w:t>
      </w:r>
      <w:proofErr w:type="spellEnd"/>
      <w:r w:rsidRPr="0039024C">
        <w:t xml:space="preserve"> H., Belbachir M., </w:t>
      </w:r>
      <w:proofErr w:type="spellStart"/>
      <w:r w:rsidRPr="0039024C">
        <w:t>Harrane</w:t>
      </w:r>
      <w:proofErr w:type="spellEnd"/>
      <w:r w:rsidRPr="0039024C">
        <w:t xml:space="preserve"> A., 2019, A green synthesis of </w:t>
      </w:r>
      <w:proofErr w:type="spellStart"/>
      <w:r w:rsidRPr="0039024C">
        <w:t>polylimonene</w:t>
      </w:r>
      <w:proofErr w:type="spellEnd"/>
      <w:r w:rsidRPr="0039024C">
        <w:t xml:space="preserve"> using </w:t>
      </w:r>
      <w:proofErr w:type="spellStart"/>
      <w:r w:rsidRPr="0039024C">
        <w:t>Maghnite</w:t>
      </w:r>
      <w:proofErr w:type="spellEnd"/>
      <w:r w:rsidRPr="0039024C">
        <w:t>-H+, an exchanged montmorillonite clay, as eco-catalyst, Bulletin of Chemical Reaction Engineering &amp; Catalysis, 14(1), 69-78.</w:t>
      </w:r>
    </w:p>
    <w:p w14:paraId="49DC0380" w14:textId="78E82E85" w:rsidR="00AA156D" w:rsidRPr="0039024C" w:rsidRDefault="00C4342D" w:rsidP="00AA156D">
      <w:pPr>
        <w:spacing w:line="240" w:lineRule="auto"/>
        <w:ind w:left="640" w:hanging="640"/>
      </w:pPr>
      <w:r w:rsidRPr="0039024C">
        <w:t>Ke H., Yuan M., Xia S., 2022, A review of nanomaterials as viscosity reducer for heavy oil, Journal of Dispersion Science and Technology, 43(9), 1271-1282.</w:t>
      </w:r>
    </w:p>
    <w:p w14:paraId="5AD9DE79" w14:textId="77777777" w:rsidR="00AA156D" w:rsidRPr="0039024C" w:rsidRDefault="00C4342D" w:rsidP="00AA156D">
      <w:pPr>
        <w:spacing w:line="240" w:lineRule="auto"/>
        <w:ind w:left="640" w:hanging="640"/>
      </w:pPr>
      <w:r w:rsidRPr="0039024C">
        <w:t xml:space="preserve">Lazenby H., 2014, US Oil Sands’ </w:t>
      </w:r>
      <w:proofErr w:type="spellStart"/>
      <w:r w:rsidRPr="0039024C">
        <w:t>biosolvent</w:t>
      </w:r>
      <w:proofErr w:type="spellEnd"/>
      <w:r w:rsidRPr="0039024C">
        <w:t xml:space="preserve"> extraction patent approved, Mining Weekly, 22.</w:t>
      </w:r>
    </w:p>
    <w:p w14:paraId="1E3B4A86" w14:textId="77777777" w:rsidR="00AA156D" w:rsidRPr="0039024C" w:rsidRDefault="00C4342D" w:rsidP="00AA156D">
      <w:pPr>
        <w:spacing w:line="240" w:lineRule="auto"/>
        <w:ind w:left="640" w:hanging="640"/>
      </w:pPr>
      <w:r w:rsidRPr="0039024C">
        <w:t>León A.Y., Núñez-Méndez K.S., Salas-Chia L.M., Orozco-Agamez J.C., Peña-Ballesteros D.Y., Martínez-</w:t>
      </w:r>
      <w:proofErr w:type="spellStart"/>
      <w:r w:rsidRPr="0039024C">
        <w:t>Vertel</w:t>
      </w:r>
      <w:proofErr w:type="spellEnd"/>
      <w:r w:rsidRPr="0039024C">
        <w:t xml:space="preserve">, J.J., Molina-Velasco D.R., 2024, Prediction of some physicochemical properties in Colombian crude oils upgraded by catalytic aquathermolysis using UV–VIS spectroscopy associated with chemometric methods, </w:t>
      </w:r>
      <w:proofErr w:type="spellStart"/>
      <w:r w:rsidRPr="0039024C">
        <w:t>Spectrochimica</w:t>
      </w:r>
      <w:proofErr w:type="spellEnd"/>
      <w:r w:rsidRPr="0039024C">
        <w:t xml:space="preserve"> Acta Part A: Molecular and Biomolecular Spectroscopy, 310, 123965.</w:t>
      </w:r>
    </w:p>
    <w:p w14:paraId="0674A4F9" w14:textId="0168AE31" w:rsidR="00AA156D" w:rsidRPr="0039024C" w:rsidRDefault="00C4342D" w:rsidP="00AA156D">
      <w:pPr>
        <w:spacing w:line="240" w:lineRule="auto"/>
        <w:ind w:left="640" w:hanging="640"/>
      </w:pPr>
      <w:r w:rsidRPr="0039024C">
        <w:t>Mateus-Rubiano C., Castillo A.C., León P., Rueda L., Molina D., Leon A.Y., 2024, Effect of hydrotreatment process on the physicochemical properties of a Colombian heavy crude oil post-catalytic aquathermolysis, Energy, 298, 131349.</w:t>
      </w:r>
    </w:p>
    <w:p w14:paraId="3797FEEA" w14:textId="25E36A34" w:rsidR="00AA156D" w:rsidRPr="0039024C" w:rsidRDefault="00C4342D" w:rsidP="00AA156D">
      <w:pPr>
        <w:spacing w:line="240" w:lineRule="auto"/>
        <w:ind w:left="640" w:hanging="640"/>
      </w:pPr>
      <w:r w:rsidRPr="0039024C">
        <w:t xml:space="preserve">Mironenko O.O., </w:t>
      </w:r>
      <w:proofErr w:type="spellStart"/>
      <w:r w:rsidRPr="0039024C">
        <w:t>Sosnin</w:t>
      </w:r>
      <w:proofErr w:type="spellEnd"/>
      <w:r w:rsidRPr="0039024C">
        <w:t xml:space="preserve"> G.A., </w:t>
      </w:r>
      <w:proofErr w:type="spellStart"/>
      <w:r w:rsidRPr="0039024C">
        <w:t>Eletskii</w:t>
      </w:r>
      <w:proofErr w:type="spellEnd"/>
      <w:r w:rsidRPr="0039024C">
        <w:t xml:space="preserve"> P.M., Gulyaeva Y.K., </w:t>
      </w:r>
      <w:proofErr w:type="spellStart"/>
      <w:r w:rsidRPr="0039024C">
        <w:t>Bulavchenko</w:t>
      </w:r>
      <w:proofErr w:type="spellEnd"/>
      <w:r w:rsidRPr="0039024C">
        <w:t xml:space="preserve"> O.A., </w:t>
      </w:r>
      <w:proofErr w:type="spellStart"/>
      <w:r w:rsidRPr="0039024C">
        <w:t>Stonkus</w:t>
      </w:r>
      <w:proofErr w:type="spellEnd"/>
      <w:r w:rsidRPr="0039024C">
        <w:t xml:space="preserve"> O.A.,</w:t>
      </w:r>
      <w:r w:rsidR="001B1562" w:rsidRPr="0039024C">
        <w:t xml:space="preserve"> </w:t>
      </w:r>
      <w:r w:rsidRPr="0039024C">
        <w:t xml:space="preserve">Yakovlev V.A., 2017, Catalytic steam cracking of heavy crude oil with molybdenum and nickel </w:t>
      </w:r>
      <w:proofErr w:type="spellStart"/>
      <w:r w:rsidRPr="0039024C">
        <w:t>nanodispersed</w:t>
      </w:r>
      <w:proofErr w:type="spellEnd"/>
      <w:r w:rsidRPr="0039024C">
        <w:t xml:space="preserve"> catalysts, Catalysis in Industry, 9, 221-229.</w:t>
      </w:r>
    </w:p>
    <w:p w14:paraId="3A3D20F0" w14:textId="3762D423" w:rsidR="00AA156D" w:rsidRPr="0039024C" w:rsidRDefault="00C4342D" w:rsidP="00AA156D">
      <w:pPr>
        <w:spacing w:line="240" w:lineRule="auto"/>
        <w:ind w:left="640" w:hanging="640"/>
      </w:pPr>
      <w:r w:rsidRPr="0039024C">
        <w:t>Perez-Sanchez J.F., Gallegos-Villella R.R., Gomez-Espinoza J., Suarez-Dominguez E.J., 2019, Determining the effect of a viscosity reducer on water-heavy crude oil emulsions, Int. J. Eng. Adv. Technol, 8, 844-848.</w:t>
      </w:r>
    </w:p>
    <w:p w14:paraId="73D5A2A4" w14:textId="219A91EB" w:rsidR="00AA156D" w:rsidRPr="0039024C" w:rsidRDefault="00C4342D" w:rsidP="00AA156D">
      <w:pPr>
        <w:spacing w:line="240" w:lineRule="auto"/>
        <w:ind w:left="640" w:hanging="640"/>
      </w:pPr>
      <w:r w:rsidRPr="0039024C">
        <w:t>Piedra V., Salvador M., Guzmán L., Santos R.,</w:t>
      </w:r>
      <w:r w:rsidR="001B1562" w:rsidRPr="0039024C">
        <w:t xml:space="preserve"> </w:t>
      </w:r>
      <w:r w:rsidRPr="0039024C">
        <w:t xml:space="preserve">Chango J.I., 2020, Viscosity Study in a Crude Oil Additive with Dispersants and Asphaltene Solvent, </w:t>
      </w:r>
      <w:proofErr w:type="spellStart"/>
      <w:r w:rsidRPr="0039024C">
        <w:t>Revista</w:t>
      </w:r>
      <w:proofErr w:type="spellEnd"/>
      <w:r w:rsidRPr="0039024C">
        <w:t xml:space="preserve"> Politécnica, 46(2), 7-20.</w:t>
      </w:r>
    </w:p>
    <w:p w14:paraId="0387D9BD" w14:textId="77777777" w:rsidR="00AA156D" w:rsidRPr="0039024C" w:rsidRDefault="00C4342D" w:rsidP="00AA156D">
      <w:pPr>
        <w:spacing w:line="240" w:lineRule="auto"/>
        <w:ind w:left="640" w:hanging="640"/>
      </w:pPr>
      <w:r w:rsidRPr="0039024C">
        <w:t>Sheng J.J., 2015, Status of surfactant EOR technology, Petroleum, 1(2), 97-105.</w:t>
      </w:r>
      <w:r w:rsidR="00AA156D" w:rsidRPr="0039024C">
        <w:t xml:space="preserve"> </w:t>
      </w:r>
    </w:p>
    <w:p w14:paraId="53EF5E9D" w14:textId="4A018BBE" w:rsidR="00AA156D" w:rsidRPr="0039024C" w:rsidRDefault="00C4342D" w:rsidP="00AA156D">
      <w:pPr>
        <w:spacing w:line="240" w:lineRule="auto"/>
        <w:ind w:left="640" w:hanging="640"/>
      </w:pPr>
      <w:r w:rsidRPr="0039024C">
        <w:t xml:space="preserve">Sorokin L., Balashova S., </w:t>
      </w:r>
      <w:proofErr w:type="spellStart"/>
      <w:r w:rsidRPr="0039024C">
        <w:t>Gomonov</w:t>
      </w:r>
      <w:proofErr w:type="spellEnd"/>
      <w:r w:rsidRPr="0039024C">
        <w:t xml:space="preserve"> K., Belyaeva K., 2023, Exploring the Relationship between Crude Oil Prices and Renewable Energy Production: Evidence from the USA, Energies, 16(11), 4306.</w:t>
      </w:r>
    </w:p>
    <w:p w14:paraId="027F76BC" w14:textId="0D04360D" w:rsidR="00C4342D" w:rsidRPr="0039024C" w:rsidRDefault="00C4342D" w:rsidP="00AA156D">
      <w:pPr>
        <w:spacing w:line="240" w:lineRule="auto"/>
        <w:ind w:left="640" w:hanging="640"/>
      </w:pPr>
      <w:r w:rsidRPr="0039024C">
        <w:t>Zhang S., Li Q., Xie Q., Zhu H., Xu W., Liu Z., 2022, Mechanism analysis of heavy oil viscosity reduction by ultrasound and viscosity reducers based on molecular dynamics simulation, ACS omega, 7(41), 36137-36149.</w:t>
      </w:r>
    </w:p>
    <w:p w14:paraId="5AED9F83" w14:textId="690D392F" w:rsidR="00EE2F0A" w:rsidRPr="00F458FC" w:rsidRDefault="00EE2F0A" w:rsidP="00951A43">
      <w:pPr>
        <w:pStyle w:val="CETBodytext"/>
        <w:rPr>
          <w:color w:val="000000" w:themeColor="text1"/>
        </w:rPr>
      </w:pPr>
    </w:p>
    <w:p w14:paraId="185E45AF" w14:textId="1161138B" w:rsidR="00BE72E0" w:rsidRPr="00857624" w:rsidRDefault="00BE72E0" w:rsidP="00BE72E0">
      <w:pPr>
        <w:rPr>
          <w:rFonts w:cs="Arial"/>
          <w:b/>
          <w:szCs w:val="18"/>
        </w:rPr>
      </w:pPr>
    </w:p>
    <w:sectPr w:rsidR="00BE72E0" w:rsidRPr="00857624"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6B7BB" w14:textId="77777777" w:rsidR="00391602" w:rsidRPr="00F458FC" w:rsidRDefault="00391602" w:rsidP="004F5E36">
      <w:r w:rsidRPr="00F458FC">
        <w:separator/>
      </w:r>
    </w:p>
  </w:endnote>
  <w:endnote w:type="continuationSeparator" w:id="0">
    <w:p w14:paraId="0A4DE924" w14:textId="77777777" w:rsidR="00391602" w:rsidRPr="00F458FC" w:rsidRDefault="00391602" w:rsidP="004F5E36">
      <w:r w:rsidRPr="00F458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0A84D" w14:textId="77777777" w:rsidR="00391602" w:rsidRPr="00F458FC" w:rsidRDefault="00391602" w:rsidP="004F5E36">
      <w:r w:rsidRPr="00F458FC">
        <w:separator/>
      </w:r>
    </w:p>
  </w:footnote>
  <w:footnote w:type="continuationSeparator" w:id="0">
    <w:p w14:paraId="586E6D31" w14:textId="77777777" w:rsidR="00391602" w:rsidRPr="00F458FC" w:rsidRDefault="00391602" w:rsidP="004F5E36">
      <w:r w:rsidRPr="00F458F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356F0B"/>
    <w:multiLevelType w:val="hybridMultilevel"/>
    <w:tmpl w:val="8020BFBA"/>
    <w:lvl w:ilvl="0" w:tplc="9F564E20">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18313D8A"/>
    <w:multiLevelType w:val="multilevel"/>
    <w:tmpl w:val="40FC8F64"/>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3EF57B6"/>
    <w:multiLevelType w:val="hybridMultilevel"/>
    <w:tmpl w:val="A31CE14C"/>
    <w:lvl w:ilvl="0" w:tplc="A63A7D1A">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9875CF3"/>
    <w:multiLevelType w:val="hybridMultilevel"/>
    <w:tmpl w:val="615C938A"/>
    <w:lvl w:ilvl="0" w:tplc="6036797E">
      <w:numFmt w:val="bullet"/>
      <w:lvlText w:val="-"/>
      <w:lvlJc w:val="left"/>
      <w:pPr>
        <w:ind w:left="360" w:hanging="360"/>
      </w:pPr>
      <w:rPr>
        <w:rFonts w:ascii="Calibri" w:eastAsiaTheme="minorHAnsi" w:hAnsi="Calibri" w:cs="Calibri" w:hint="default"/>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6C84BE4"/>
    <w:multiLevelType w:val="multilevel"/>
    <w:tmpl w:val="757EDDB2"/>
    <w:lvl w:ilvl="0">
      <w:start w:val="1"/>
      <w:numFmt w:val="decimal"/>
      <w:lvlText w:val="%1."/>
      <w:lvlJc w:val="left"/>
      <w:pPr>
        <w:ind w:left="360" w:hanging="360"/>
      </w:pPr>
      <w:rPr>
        <w:rFonts w:asciiTheme="minorHAnsi" w:hAnsiTheme="minorHAnsi" w:cstheme="minorHAnsi" w:hint="default"/>
        <w:sz w:val="32"/>
        <w:szCs w:val="32"/>
      </w:rPr>
    </w:lvl>
    <w:lvl w:ilvl="1">
      <w:start w:val="1"/>
      <w:numFmt w:val="decimal"/>
      <w:isLgl/>
      <w:lvlText w:val="%1.%2."/>
      <w:lvlJc w:val="left"/>
      <w:pPr>
        <w:ind w:left="720" w:hanging="72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6" w15:restartNumberingAfterBreak="0">
    <w:nsid w:val="67A2736A"/>
    <w:multiLevelType w:val="hybridMultilevel"/>
    <w:tmpl w:val="DAF0BA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8AD6035"/>
    <w:multiLevelType w:val="hybridMultilevel"/>
    <w:tmpl w:val="4266D318"/>
    <w:lvl w:ilvl="0" w:tplc="6036797E">
      <w:numFmt w:val="bullet"/>
      <w:lvlText w:val="-"/>
      <w:lvlJc w:val="left"/>
      <w:pPr>
        <w:ind w:left="360" w:hanging="360"/>
      </w:pPr>
      <w:rPr>
        <w:rFonts w:ascii="Calibri" w:eastAsiaTheme="minorHAnsi" w:hAnsi="Calibri" w:cs="Calibri" w:hint="default"/>
        <w:sz w:val="22"/>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11744341">
    <w:abstractNumId w:val="13"/>
  </w:num>
  <w:num w:numId="2" w16cid:durableId="1707829136">
    <w:abstractNumId w:val="8"/>
  </w:num>
  <w:num w:numId="3" w16cid:durableId="1555695585">
    <w:abstractNumId w:val="3"/>
  </w:num>
  <w:num w:numId="4" w16cid:durableId="636834451">
    <w:abstractNumId w:val="2"/>
  </w:num>
  <w:num w:numId="5" w16cid:durableId="833569270">
    <w:abstractNumId w:val="1"/>
  </w:num>
  <w:num w:numId="6" w16cid:durableId="1834908170">
    <w:abstractNumId w:val="0"/>
  </w:num>
  <w:num w:numId="7" w16cid:durableId="677735662">
    <w:abstractNumId w:val="9"/>
  </w:num>
  <w:num w:numId="8" w16cid:durableId="1873423193">
    <w:abstractNumId w:val="7"/>
  </w:num>
  <w:num w:numId="9" w16cid:durableId="1412002349">
    <w:abstractNumId w:val="6"/>
  </w:num>
  <w:num w:numId="10" w16cid:durableId="1627008829">
    <w:abstractNumId w:val="5"/>
  </w:num>
  <w:num w:numId="11" w16cid:durableId="1487896351">
    <w:abstractNumId w:val="4"/>
  </w:num>
  <w:num w:numId="12" w16cid:durableId="2059086925">
    <w:abstractNumId w:val="21"/>
  </w:num>
  <w:num w:numId="13" w16cid:durableId="1679842780">
    <w:abstractNumId w:val="15"/>
  </w:num>
  <w:num w:numId="14" w16cid:durableId="1989943860">
    <w:abstractNumId w:val="23"/>
  </w:num>
  <w:num w:numId="15" w16cid:durableId="1306394862">
    <w:abstractNumId w:val="27"/>
  </w:num>
  <w:num w:numId="16" w16cid:durableId="1025979609">
    <w:abstractNumId w:val="24"/>
  </w:num>
  <w:num w:numId="17" w16cid:durableId="1814134439">
    <w:abstractNumId w:val="14"/>
  </w:num>
  <w:num w:numId="18" w16cid:durableId="1861117389">
    <w:abstractNumId w:val="15"/>
    <w:lvlOverride w:ilvl="0">
      <w:startOverride w:val="1"/>
    </w:lvlOverride>
  </w:num>
  <w:num w:numId="19" w16cid:durableId="2067142531">
    <w:abstractNumId w:val="20"/>
  </w:num>
  <w:num w:numId="20" w16cid:durableId="820461149">
    <w:abstractNumId w:val="19"/>
  </w:num>
  <w:num w:numId="21" w16cid:durableId="352222041">
    <w:abstractNumId w:val="17"/>
  </w:num>
  <w:num w:numId="22" w16cid:durableId="1235702527">
    <w:abstractNumId w:val="16"/>
  </w:num>
  <w:num w:numId="23" w16cid:durableId="288320693">
    <w:abstractNumId w:val="10"/>
  </w:num>
  <w:num w:numId="24" w16cid:durableId="1656376316">
    <w:abstractNumId w:val="25"/>
  </w:num>
  <w:num w:numId="25" w16cid:durableId="97334810">
    <w:abstractNumId w:val="18"/>
  </w:num>
  <w:num w:numId="26" w16cid:durableId="1546723282">
    <w:abstractNumId w:val="28"/>
  </w:num>
  <w:num w:numId="27" w16cid:durableId="1889150284">
    <w:abstractNumId w:val="26"/>
  </w:num>
  <w:num w:numId="28" w16cid:durableId="1947302686">
    <w:abstractNumId w:val="11"/>
  </w:num>
  <w:num w:numId="29" w16cid:durableId="748884801">
    <w:abstractNumId w:val="12"/>
  </w:num>
  <w:num w:numId="30" w16cid:durableId="3668058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EEE"/>
    <w:rsid w:val="000027C0"/>
    <w:rsid w:val="000052FB"/>
    <w:rsid w:val="00005A19"/>
    <w:rsid w:val="00006987"/>
    <w:rsid w:val="000103F4"/>
    <w:rsid w:val="000117CB"/>
    <w:rsid w:val="000128E1"/>
    <w:rsid w:val="00012B4B"/>
    <w:rsid w:val="00012E39"/>
    <w:rsid w:val="00013DFB"/>
    <w:rsid w:val="0001403A"/>
    <w:rsid w:val="00014107"/>
    <w:rsid w:val="0001510B"/>
    <w:rsid w:val="00020D83"/>
    <w:rsid w:val="00021B12"/>
    <w:rsid w:val="00025CBB"/>
    <w:rsid w:val="00027AD7"/>
    <w:rsid w:val="0003148D"/>
    <w:rsid w:val="0003148E"/>
    <w:rsid w:val="000316E2"/>
    <w:rsid w:val="00031EEC"/>
    <w:rsid w:val="000343C5"/>
    <w:rsid w:val="0004041A"/>
    <w:rsid w:val="0004082B"/>
    <w:rsid w:val="000450F2"/>
    <w:rsid w:val="00051566"/>
    <w:rsid w:val="00051760"/>
    <w:rsid w:val="000520F9"/>
    <w:rsid w:val="00053CC2"/>
    <w:rsid w:val="000553BE"/>
    <w:rsid w:val="000562A9"/>
    <w:rsid w:val="00060BAC"/>
    <w:rsid w:val="00062545"/>
    <w:rsid w:val="00062A9A"/>
    <w:rsid w:val="00063CD2"/>
    <w:rsid w:val="00065058"/>
    <w:rsid w:val="00065E1E"/>
    <w:rsid w:val="00066386"/>
    <w:rsid w:val="00067162"/>
    <w:rsid w:val="00072717"/>
    <w:rsid w:val="00072A98"/>
    <w:rsid w:val="00074140"/>
    <w:rsid w:val="00074282"/>
    <w:rsid w:val="000758C9"/>
    <w:rsid w:val="00076D0A"/>
    <w:rsid w:val="00076FFB"/>
    <w:rsid w:val="00080225"/>
    <w:rsid w:val="00081F7C"/>
    <w:rsid w:val="0008231D"/>
    <w:rsid w:val="0008388C"/>
    <w:rsid w:val="00085032"/>
    <w:rsid w:val="00086C39"/>
    <w:rsid w:val="0009237B"/>
    <w:rsid w:val="00093E13"/>
    <w:rsid w:val="00095DBF"/>
    <w:rsid w:val="00095F4D"/>
    <w:rsid w:val="00097C97"/>
    <w:rsid w:val="000A03B2"/>
    <w:rsid w:val="000A0DBB"/>
    <w:rsid w:val="000B5404"/>
    <w:rsid w:val="000B6EC8"/>
    <w:rsid w:val="000C0110"/>
    <w:rsid w:val="000C2557"/>
    <w:rsid w:val="000C31E6"/>
    <w:rsid w:val="000C3FCC"/>
    <w:rsid w:val="000C4489"/>
    <w:rsid w:val="000C72EF"/>
    <w:rsid w:val="000D0268"/>
    <w:rsid w:val="000D04C8"/>
    <w:rsid w:val="000D05ED"/>
    <w:rsid w:val="000D05F4"/>
    <w:rsid w:val="000D2125"/>
    <w:rsid w:val="000D218F"/>
    <w:rsid w:val="000D34BE"/>
    <w:rsid w:val="000D3E51"/>
    <w:rsid w:val="000D7EB8"/>
    <w:rsid w:val="000E02B7"/>
    <w:rsid w:val="000E05A3"/>
    <w:rsid w:val="000E0B3C"/>
    <w:rsid w:val="000E102F"/>
    <w:rsid w:val="000E299C"/>
    <w:rsid w:val="000E36F1"/>
    <w:rsid w:val="000E3A73"/>
    <w:rsid w:val="000E414A"/>
    <w:rsid w:val="000E75FD"/>
    <w:rsid w:val="000F093C"/>
    <w:rsid w:val="000F11CC"/>
    <w:rsid w:val="000F1C0B"/>
    <w:rsid w:val="000F5008"/>
    <w:rsid w:val="000F519E"/>
    <w:rsid w:val="000F54B1"/>
    <w:rsid w:val="000F6953"/>
    <w:rsid w:val="000F787B"/>
    <w:rsid w:val="000F7E92"/>
    <w:rsid w:val="0010026B"/>
    <w:rsid w:val="001007EB"/>
    <w:rsid w:val="001063C4"/>
    <w:rsid w:val="00106AB7"/>
    <w:rsid w:val="00107493"/>
    <w:rsid w:val="00107F28"/>
    <w:rsid w:val="0011304D"/>
    <w:rsid w:val="0012091F"/>
    <w:rsid w:val="0012277C"/>
    <w:rsid w:val="00122C3E"/>
    <w:rsid w:val="0012369A"/>
    <w:rsid w:val="00126BC2"/>
    <w:rsid w:val="00127A8C"/>
    <w:rsid w:val="00127D2A"/>
    <w:rsid w:val="001308B6"/>
    <w:rsid w:val="0013121F"/>
    <w:rsid w:val="00131FE6"/>
    <w:rsid w:val="0013263F"/>
    <w:rsid w:val="00132F36"/>
    <w:rsid w:val="001331DF"/>
    <w:rsid w:val="0013405E"/>
    <w:rsid w:val="00134D72"/>
    <w:rsid w:val="00134DE4"/>
    <w:rsid w:val="00135D49"/>
    <w:rsid w:val="00136093"/>
    <w:rsid w:val="00136980"/>
    <w:rsid w:val="0014034D"/>
    <w:rsid w:val="00140FE3"/>
    <w:rsid w:val="00141135"/>
    <w:rsid w:val="001444E2"/>
    <w:rsid w:val="00144D16"/>
    <w:rsid w:val="001451C5"/>
    <w:rsid w:val="00145201"/>
    <w:rsid w:val="00150E59"/>
    <w:rsid w:val="00152DE3"/>
    <w:rsid w:val="00164378"/>
    <w:rsid w:val="00164CF9"/>
    <w:rsid w:val="0016668E"/>
    <w:rsid w:val="001667A6"/>
    <w:rsid w:val="00171B56"/>
    <w:rsid w:val="00172781"/>
    <w:rsid w:val="00173086"/>
    <w:rsid w:val="00180627"/>
    <w:rsid w:val="00180C87"/>
    <w:rsid w:val="0018171E"/>
    <w:rsid w:val="00183854"/>
    <w:rsid w:val="00184AD6"/>
    <w:rsid w:val="001871E8"/>
    <w:rsid w:val="001874A8"/>
    <w:rsid w:val="00196352"/>
    <w:rsid w:val="0019679F"/>
    <w:rsid w:val="00196FBE"/>
    <w:rsid w:val="001A1392"/>
    <w:rsid w:val="001A4AF7"/>
    <w:rsid w:val="001A6C2C"/>
    <w:rsid w:val="001B0321"/>
    <w:rsid w:val="001B0349"/>
    <w:rsid w:val="001B1562"/>
    <w:rsid w:val="001B1E93"/>
    <w:rsid w:val="001B4A30"/>
    <w:rsid w:val="001B65C1"/>
    <w:rsid w:val="001C1E3C"/>
    <w:rsid w:val="001C260F"/>
    <w:rsid w:val="001C3557"/>
    <w:rsid w:val="001C58E9"/>
    <w:rsid w:val="001C5C3A"/>
    <w:rsid w:val="001C684B"/>
    <w:rsid w:val="001C6A44"/>
    <w:rsid w:val="001C6EEC"/>
    <w:rsid w:val="001D0CFB"/>
    <w:rsid w:val="001D21AF"/>
    <w:rsid w:val="001D3D32"/>
    <w:rsid w:val="001D44E2"/>
    <w:rsid w:val="001D53FC"/>
    <w:rsid w:val="001D5821"/>
    <w:rsid w:val="001D5D3F"/>
    <w:rsid w:val="001D6393"/>
    <w:rsid w:val="001E1661"/>
    <w:rsid w:val="001E4940"/>
    <w:rsid w:val="001E4C0A"/>
    <w:rsid w:val="001E736E"/>
    <w:rsid w:val="001F02E1"/>
    <w:rsid w:val="001F03FA"/>
    <w:rsid w:val="001F22F3"/>
    <w:rsid w:val="001F42A5"/>
    <w:rsid w:val="001F615B"/>
    <w:rsid w:val="001F79E9"/>
    <w:rsid w:val="001F7B9D"/>
    <w:rsid w:val="00201C93"/>
    <w:rsid w:val="0020622C"/>
    <w:rsid w:val="00210621"/>
    <w:rsid w:val="00212222"/>
    <w:rsid w:val="00215323"/>
    <w:rsid w:val="00216AB1"/>
    <w:rsid w:val="002174E3"/>
    <w:rsid w:val="002224B4"/>
    <w:rsid w:val="002247D5"/>
    <w:rsid w:val="002278E5"/>
    <w:rsid w:val="002300DA"/>
    <w:rsid w:val="00231026"/>
    <w:rsid w:val="0023230D"/>
    <w:rsid w:val="00240CF6"/>
    <w:rsid w:val="00242C25"/>
    <w:rsid w:val="00242FC6"/>
    <w:rsid w:val="002447EF"/>
    <w:rsid w:val="00246834"/>
    <w:rsid w:val="00247612"/>
    <w:rsid w:val="00251092"/>
    <w:rsid w:val="00251550"/>
    <w:rsid w:val="00251A96"/>
    <w:rsid w:val="00252DF7"/>
    <w:rsid w:val="00263B05"/>
    <w:rsid w:val="0027221A"/>
    <w:rsid w:val="0027273A"/>
    <w:rsid w:val="00273816"/>
    <w:rsid w:val="00275B61"/>
    <w:rsid w:val="00280FAF"/>
    <w:rsid w:val="00282656"/>
    <w:rsid w:val="002842CD"/>
    <w:rsid w:val="00290843"/>
    <w:rsid w:val="00291720"/>
    <w:rsid w:val="00295282"/>
    <w:rsid w:val="00296B83"/>
    <w:rsid w:val="002A0164"/>
    <w:rsid w:val="002A09F6"/>
    <w:rsid w:val="002A0E95"/>
    <w:rsid w:val="002A17E7"/>
    <w:rsid w:val="002A2C2F"/>
    <w:rsid w:val="002A2EBC"/>
    <w:rsid w:val="002A4FDE"/>
    <w:rsid w:val="002A5B09"/>
    <w:rsid w:val="002A5C0B"/>
    <w:rsid w:val="002A75EF"/>
    <w:rsid w:val="002B4015"/>
    <w:rsid w:val="002B78CE"/>
    <w:rsid w:val="002C2FB6"/>
    <w:rsid w:val="002C60B9"/>
    <w:rsid w:val="002C7B1C"/>
    <w:rsid w:val="002D0689"/>
    <w:rsid w:val="002D25E2"/>
    <w:rsid w:val="002D2E5E"/>
    <w:rsid w:val="002D3671"/>
    <w:rsid w:val="002D6FD0"/>
    <w:rsid w:val="002D7CAF"/>
    <w:rsid w:val="002E1896"/>
    <w:rsid w:val="002E5418"/>
    <w:rsid w:val="002E5C68"/>
    <w:rsid w:val="002E5FA7"/>
    <w:rsid w:val="002E7DCD"/>
    <w:rsid w:val="002F3309"/>
    <w:rsid w:val="002F5413"/>
    <w:rsid w:val="002F6EDA"/>
    <w:rsid w:val="002F6F49"/>
    <w:rsid w:val="002F7849"/>
    <w:rsid w:val="003002C2"/>
    <w:rsid w:val="003008CE"/>
    <w:rsid w:val="003009B7"/>
    <w:rsid w:val="00300B21"/>
    <w:rsid w:val="00300E56"/>
    <w:rsid w:val="003010D8"/>
    <w:rsid w:val="0030152C"/>
    <w:rsid w:val="0030469C"/>
    <w:rsid w:val="00304CE8"/>
    <w:rsid w:val="00306804"/>
    <w:rsid w:val="00315BB9"/>
    <w:rsid w:val="003173C5"/>
    <w:rsid w:val="00317EC1"/>
    <w:rsid w:val="00321C55"/>
    <w:rsid w:val="00321CA6"/>
    <w:rsid w:val="003224F9"/>
    <w:rsid w:val="00323763"/>
    <w:rsid w:val="0032379B"/>
    <w:rsid w:val="00323C5F"/>
    <w:rsid w:val="00325623"/>
    <w:rsid w:val="00334C09"/>
    <w:rsid w:val="00336A18"/>
    <w:rsid w:val="00340316"/>
    <w:rsid w:val="00345177"/>
    <w:rsid w:val="003456A2"/>
    <w:rsid w:val="00346E69"/>
    <w:rsid w:val="003470D1"/>
    <w:rsid w:val="0035218D"/>
    <w:rsid w:val="00352EDB"/>
    <w:rsid w:val="00355829"/>
    <w:rsid w:val="00357E38"/>
    <w:rsid w:val="0036328E"/>
    <w:rsid w:val="00364A96"/>
    <w:rsid w:val="0036590E"/>
    <w:rsid w:val="00367F1C"/>
    <w:rsid w:val="00370546"/>
    <w:rsid w:val="0037127E"/>
    <w:rsid w:val="003723D4"/>
    <w:rsid w:val="00373A14"/>
    <w:rsid w:val="00376A27"/>
    <w:rsid w:val="00380165"/>
    <w:rsid w:val="00381905"/>
    <w:rsid w:val="00384CC8"/>
    <w:rsid w:val="003871FD"/>
    <w:rsid w:val="0039024C"/>
    <w:rsid w:val="00391602"/>
    <w:rsid w:val="00391D8E"/>
    <w:rsid w:val="00393BC5"/>
    <w:rsid w:val="00395B6A"/>
    <w:rsid w:val="003A1C9A"/>
    <w:rsid w:val="003A1E30"/>
    <w:rsid w:val="003A2401"/>
    <w:rsid w:val="003A2829"/>
    <w:rsid w:val="003A6017"/>
    <w:rsid w:val="003A7D1C"/>
    <w:rsid w:val="003B1722"/>
    <w:rsid w:val="003B304B"/>
    <w:rsid w:val="003B3146"/>
    <w:rsid w:val="003B49CD"/>
    <w:rsid w:val="003B5E92"/>
    <w:rsid w:val="003B60E0"/>
    <w:rsid w:val="003C5C0D"/>
    <w:rsid w:val="003C5E2F"/>
    <w:rsid w:val="003C6A03"/>
    <w:rsid w:val="003C7032"/>
    <w:rsid w:val="003D1E02"/>
    <w:rsid w:val="003D4764"/>
    <w:rsid w:val="003E1926"/>
    <w:rsid w:val="003E3635"/>
    <w:rsid w:val="003E3FC0"/>
    <w:rsid w:val="003F015E"/>
    <w:rsid w:val="003F2E2C"/>
    <w:rsid w:val="003F4202"/>
    <w:rsid w:val="003F4A8B"/>
    <w:rsid w:val="003F4AB0"/>
    <w:rsid w:val="003F606D"/>
    <w:rsid w:val="003F784D"/>
    <w:rsid w:val="00400414"/>
    <w:rsid w:val="004008F2"/>
    <w:rsid w:val="00401F07"/>
    <w:rsid w:val="0040447E"/>
    <w:rsid w:val="0040500A"/>
    <w:rsid w:val="00407F0F"/>
    <w:rsid w:val="0041176C"/>
    <w:rsid w:val="00413562"/>
    <w:rsid w:val="0041446B"/>
    <w:rsid w:val="00414754"/>
    <w:rsid w:val="00414934"/>
    <w:rsid w:val="00417CC4"/>
    <w:rsid w:val="00417DD9"/>
    <w:rsid w:val="00421A88"/>
    <w:rsid w:val="00422A89"/>
    <w:rsid w:val="00422BA8"/>
    <w:rsid w:val="00427D1B"/>
    <w:rsid w:val="004307E8"/>
    <w:rsid w:val="004331F6"/>
    <w:rsid w:val="0043346F"/>
    <w:rsid w:val="00433980"/>
    <w:rsid w:val="00435A04"/>
    <w:rsid w:val="00436C24"/>
    <w:rsid w:val="00437727"/>
    <w:rsid w:val="0044071E"/>
    <w:rsid w:val="00440C93"/>
    <w:rsid w:val="0044329C"/>
    <w:rsid w:val="0044396D"/>
    <w:rsid w:val="00444F94"/>
    <w:rsid w:val="00450A44"/>
    <w:rsid w:val="004519CA"/>
    <w:rsid w:val="00453E24"/>
    <w:rsid w:val="00457456"/>
    <w:rsid w:val="004577FE"/>
    <w:rsid w:val="00457B9C"/>
    <w:rsid w:val="00457D57"/>
    <w:rsid w:val="0046164A"/>
    <w:rsid w:val="004628D2"/>
    <w:rsid w:val="00462C4A"/>
    <w:rsid w:val="00462DCD"/>
    <w:rsid w:val="00463C0A"/>
    <w:rsid w:val="004648AD"/>
    <w:rsid w:val="00465F82"/>
    <w:rsid w:val="004703A9"/>
    <w:rsid w:val="00472F21"/>
    <w:rsid w:val="00473B4B"/>
    <w:rsid w:val="004760DE"/>
    <w:rsid w:val="004763D7"/>
    <w:rsid w:val="004810E2"/>
    <w:rsid w:val="00481139"/>
    <w:rsid w:val="004820F5"/>
    <w:rsid w:val="0048324C"/>
    <w:rsid w:val="0048425F"/>
    <w:rsid w:val="00484525"/>
    <w:rsid w:val="00484593"/>
    <w:rsid w:val="00485B3D"/>
    <w:rsid w:val="00486341"/>
    <w:rsid w:val="00497845"/>
    <w:rsid w:val="004A004E"/>
    <w:rsid w:val="004A0A56"/>
    <w:rsid w:val="004A21DB"/>
    <w:rsid w:val="004A24CF"/>
    <w:rsid w:val="004A2896"/>
    <w:rsid w:val="004A43BC"/>
    <w:rsid w:val="004A5A04"/>
    <w:rsid w:val="004A7A8B"/>
    <w:rsid w:val="004B1749"/>
    <w:rsid w:val="004B30EC"/>
    <w:rsid w:val="004B3546"/>
    <w:rsid w:val="004B4A9C"/>
    <w:rsid w:val="004B6885"/>
    <w:rsid w:val="004B6DB0"/>
    <w:rsid w:val="004C1B7E"/>
    <w:rsid w:val="004C1E84"/>
    <w:rsid w:val="004C3D1D"/>
    <w:rsid w:val="004C3D84"/>
    <w:rsid w:val="004C5113"/>
    <w:rsid w:val="004C525F"/>
    <w:rsid w:val="004C7913"/>
    <w:rsid w:val="004D0B26"/>
    <w:rsid w:val="004D2BA3"/>
    <w:rsid w:val="004D3F25"/>
    <w:rsid w:val="004D4473"/>
    <w:rsid w:val="004D4B8E"/>
    <w:rsid w:val="004D4CDD"/>
    <w:rsid w:val="004D50BD"/>
    <w:rsid w:val="004E28CE"/>
    <w:rsid w:val="004E2E82"/>
    <w:rsid w:val="004E419E"/>
    <w:rsid w:val="004E4DD6"/>
    <w:rsid w:val="004E554C"/>
    <w:rsid w:val="004F2A85"/>
    <w:rsid w:val="004F5E36"/>
    <w:rsid w:val="00503EDB"/>
    <w:rsid w:val="00505193"/>
    <w:rsid w:val="00507B47"/>
    <w:rsid w:val="00507BEF"/>
    <w:rsid w:val="00507CC9"/>
    <w:rsid w:val="005119A5"/>
    <w:rsid w:val="00511A0A"/>
    <w:rsid w:val="00513167"/>
    <w:rsid w:val="00513416"/>
    <w:rsid w:val="00514942"/>
    <w:rsid w:val="005153BD"/>
    <w:rsid w:val="00517D19"/>
    <w:rsid w:val="00520456"/>
    <w:rsid w:val="005245DD"/>
    <w:rsid w:val="005278B7"/>
    <w:rsid w:val="005312ED"/>
    <w:rsid w:val="00532016"/>
    <w:rsid w:val="00533A16"/>
    <w:rsid w:val="0053436E"/>
    <w:rsid w:val="005345FE"/>
    <w:rsid w:val="005346C8"/>
    <w:rsid w:val="00535185"/>
    <w:rsid w:val="00537B76"/>
    <w:rsid w:val="00542733"/>
    <w:rsid w:val="00543E7D"/>
    <w:rsid w:val="00546309"/>
    <w:rsid w:val="00547434"/>
    <w:rsid w:val="00547A68"/>
    <w:rsid w:val="00551CD4"/>
    <w:rsid w:val="005531C9"/>
    <w:rsid w:val="00554879"/>
    <w:rsid w:val="0055517C"/>
    <w:rsid w:val="00556179"/>
    <w:rsid w:val="00561118"/>
    <w:rsid w:val="005635D6"/>
    <w:rsid w:val="0056764E"/>
    <w:rsid w:val="00570C43"/>
    <w:rsid w:val="00572612"/>
    <w:rsid w:val="00573374"/>
    <w:rsid w:val="00577510"/>
    <w:rsid w:val="00577FA2"/>
    <w:rsid w:val="00583F4B"/>
    <w:rsid w:val="00592274"/>
    <w:rsid w:val="005939A1"/>
    <w:rsid w:val="005946C1"/>
    <w:rsid w:val="0059681F"/>
    <w:rsid w:val="005A033E"/>
    <w:rsid w:val="005A03C7"/>
    <w:rsid w:val="005A053C"/>
    <w:rsid w:val="005A0D47"/>
    <w:rsid w:val="005A2A78"/>
    <w:rsid w:val="005A3E3B"/>
    <w:rsid w:val="005A5E08"/>
    <w:rsid w:val="005B2110"/>
    <w:rsid w:val="005B350B"/>
    <w:rsid w:val="005B4F80"/>
    <w:rsid w:val="005B61E6"/>
    <w:rsid w:val="005B62EC"/>
    <w:rsid w:val="005B67C7"/>
    <w:rsid w:val="005C0C12"/>
    <w:rsid w:val="005C2120"/>
    <w:rsid w:val="005C2577"/>
    <w:rsid w:val="005C77E1"/>
    <w:rsid w:val="005D2271"/>
    <w:rsid w:val="005D5316"/>
    <w:rsid w:val="005D668A"/>
    <w:rsid w:val="005D6A2F"/>
    <w:rsid w:val="005D7903"/>
    <w:rsid w:val="005E0592"/>
    <w:rsid w:val="005E1A82"/>
    <w:rsid w:val="005E5128"/>
    <w:rsid w:val="005E5884"/>
    <w:rsid w:val="005E794C"/>
    <w:rsid w:val="005F0265"/>
    <w:rsid w:val="005F0A28"/>
    <w:rsid w:val="005F0E5E"/>
    <w:rsid w:val="005F1F0B"/>
    <w:rsid w:val="00600535"/>
    <w:rsid w:val="00600FC7"/>
    <w:rsid w:val="006013B9"/>
    <w:rsid w:val="0060381C"/>
    <w:rsid w:val="00604B02"/>
    <w:rsid w:val="006053EF"/>
    <w:rsid w:val="00605B84"/>
    <w:rsid w:val="00606875"/>
    <w:rsid w:val="00606A74"/>
    <w:rsid w:val="00606D17"/>
    <w:rsid w:val="00610CD6"/>
    <w:rsid w:val="006114D8"/>
    <w:rsid w:val="00611E9C"/>
    <w:rsid w:val="00612837"/>
    <w:rsid w:val="006131E3"/>
    <w:rsid w:val="00613BBE"/>
    <w:rsid w:val="00616750"/>
    <w:rsid w:val="00620DEE"/>
    <w:rsid w:val="006217F2"/>
    <w:rsid w:val="00621F92"/>
    <w:rsid w:val="0062280A"/>
    <w:rsid w:val="00622F08"/>
    <w:rsid w:val="006231E1"/>
    <w:rsid w:val="00623AF1"/>
    <w:rsid w:val="00625639"/>
    <w:rsid w:val="00626342"/>
    <w:rsid w:val="00630154"/>
    <w:rsid w:val="00631B33"/>
    <w:rsid w:val="00637029"/>
    <w:rsid w:val="0064184D"/>
    <w:rsid w:val="006422CC"/>
    <w:rsid w:val="006457C0"/>
    <w:rsid w:val="00646D83"/>
    <w:rsid w:val="00646EBE"/>
    <w:rsid w:val="0064726B"/>
    <w:rsid w:val="006476B4"/>
    <w:rsid w:val="00650121"/>
    <w:rsid w:val="006515A1"/>
    <w:rsid w:val="00651D18"/>
    <w:rsid w:val="006577A8"/>
    <w:rsid w:val="00660E3E"/>
    <w:rsid w:val="0066287F"/>
    <w:rsid w:val="00662E74"/>
    <w:rsid w:val="00662EC2"/>
    <w:rsid w:val="00663255"/>
    <w:rsid w:val="0067188D"/>
    <w:rsid w:val="00671E2A"/>
    <w:rsid w:val="00674A24"/>
    <w:rsid w:val="006750AA"/>
    <w:rsid w:val="006769A5"/>
    <w:rsid w:val="0068020B"/>
    <w:rsid w:val="00680C23"/>
    <w:rsid w:val="00683872"/>
    <w:rsid w:val="00683E23"/>
    <w:rsid w:val="00684D2E"/>
    <w:rsid w:val="006852E2"/>
    <w:rsid w:val="00685C4B"/>
    <w:rsid w:val="00686536"/>
    <w:rsid w:val="00690054"/>
    <w:rsid w:val="00691E0F"/>
    <w:rsid w:val="00691E53"/>
    <w:rsid w:val="00692475"/>
    <w:rsid w:val="00693766"/>
    <w:rsid w:val="00694EA1"/>
    <w:rsid w:val="00697820"/>
    <w:rsid w:val="006A2042"/>
    <w:rsid w:val="006A305D"/>
    <w:rsid w:val="006A3281"/>
    <w:rsid w:val="006A6DE5"/>
    <w:rsid w:val="006A7B2B"/>
    <w:rsid w:val="006B0F3D"/>
    <w:rsid w:val="006B25A5"/>
    <w:rsid w:val="006B2783"/>
    <w:rsid w:val="006B4888"/>
    <w:rsid w:val="006B4F54"/>
    <w:rsid w:val="006B5A5B"/>
    <w:rsid w:val="006B77AC"/>
    <w:rsid w:val="006B78D4"/>
    <w:rsid w:val="006C01FB"/>
    <w:rsid w:val="006C2BCE"/>
    <w:rsid w:val="006C2E45"/>
    <w:rsid w:val="006C359C"/>
    <w:rsid w:val="006C5579"/>
    <w:rsid w:val="006C6259"/>
    <w:rsid w:val="006C6A60"/>
    <w:rsid w:val="006D063C"/>
    <w:rsid w:val="006D3B76"/>
    <w:rsid w:val="006D6E8B"/>
    <w:rsid w:val="006D7209"/>
    <w:rsid w:val="006E08FC"/>
    <w:rsid w:val="006E2253"/>
    <w:rsid w:val="006E5669"/>
    <w:rsid w:val="006E63A2"/>
    <w:rsid w:val="006E6BAC"/>
    <w:rsid w:val="006E737D"/>
    <w:rsid w:val="006F0A72"/>
    <w:rsid w:val="006F0AD7"/>
    <w:rsid w:val="006F1E40"/>
    <w:rsid w:val="006F3845"/>
    <w:rsid w:val="006F6BF4"/>
    <w:rsid w:val="006F6D60"/>
    <w:rsid w:val="006F7B60"/>
    <w:rsid w:val="00702C82"/>
    <w:rsid w:val="00706D36"/>
    <w:rsid w:val="007074D3"/>
    <w:rsid w:val="00707DD1"/>
    <w:rsid w:val="00712894"/>
    <w:rsid w:val="00713973"/>
    <w:rsid w:val="007153D2"/>
    <w:rsid w:val="007161F6"/>
    <w:rsid w:val="00716BF9"/>
    <w:rsid w:val="00720A24"/>
    <w:rsid w:val="00721A91"/>
    <w:rsid w:val="00722BC3"/>
    <w:rsid w:val="00730FCC"/>
    <w:rsid w:val="00732386"/>
    <w:rsid w:val="0073514D"/>
    <w:rsid w:val="007351F6"/>
    <w:rsid w:val="007377EB"/>
    <w:rsid w:val="00737CFB"/>
    <w:rsid w:val="007447F3"/>
    <w:rsid w:val="0075346F"/>
    <w:rsid w:val="007539C3"/>
    <w:rsid w:val="007546FC"/>
    <w:rsid w:val="0075499F"/>
    <w:rsid w:val="00755A90"/>
    <w:rsid w:val="007574A0"/>
    <w:rsid w:val="00763132"/>
    <w:rsid w:val="0076481A"/>
    <w:rsid w:val="007661C8"/>
    <w:rsid w:val="007674EA"/>
    <w:rsid w:val="0076767C"/>
    <w:rsid w:val="0077098D"/>
    <w:rsid w:val="00771DB0"/>
    <w:rsid w:val="00771E29"/>
    <w:rsid w:val="0077321A"/>
    <w:rsid w:val="0077413C"/>
    <w:rsid w:val="00780036"/>
    <w:rsid w:val="00780DA5"/>
    <w:rsid w:val="007824C6"/>
    <w:rsid w:val="0078406D"/>
    <w:rsid w:val="00785BF9"/>
    <w:rsid w:val="00791680"/>
    <w:rsid w:val="007931FA"/>
    <w:rsid w:val="00796975"/>
    <w:rsid w:val="00796B0C"/>
    <w:rsid w:val="00797B1D"/>
    <w:rsid w:val="007A3B88"/>
    <w:rsid w:val="007A4861"/>
    <w:rsid w:val="007A669B"/>
    <w:rsid w:val="007A7BBA"/>
    <w:rsid w:val="007B0C50"/>
    <w:rsid w:val="007B0C6F"/>
    <w:rsid w:val="007B48F9"/>
    <w:rsid w:val="007B7CCF"/>
    <w:rsid w:val="007B7DFD"/>
    <w:rsid w:val="007C1A43"/>
    <w:rsid w:val="007C2D30"/>
    <w:rsid w:val="007C59C2"/>
    <w:rsid w:val="007D0951"/>
    <w:rsid w:val="007D117D"/>
    <w:rsid w:val="007D24C7"/>
    <w:rsid w:val="007D540C"/>
    <w:rsid w:val="007D610D"/>
    <w:rsid w:val="007D616A"/>
    <w:rsid w:val="007D7812"/>
    <w:rsid w:val="007E09A6"/>
    <w:rsid w:val="007F03C4"/>
    <w:rsid w:val="007F24AC"/>
    <w:rsid w:val="007F36C5"/>
    <w:rsid w:val="007F39BA"/>
    <w:rsid w:val="007F45F5"/>
    <w:rsid w:val="007F5B35"/>
    <w:rsid w:val="007F72A2"/>
    <w:rsid w:val="0080013E"/>
    <w:rsid w:val="00801759"/>
    <w:rsid w:val="00804375"/>
    <w:rsid w:val="008044A3"/>
    <w:rsid w:val="008051C1"/>
    <w:rsid w:val="00805DE1"/>
    <w:rsid w:val="0080630D"/>
    <w:rsid w:val="00810D44"/>
    <w:rsid w:val="00812099"/>
    <w:rsid w:val="00813288"/>
    <w:rsid w:val="008150EA"/>
    <w:rsid w:val="00815ECC"/>
    <w:rsid w:val="008168FC"/>
    <w:rsid w:val="008176F7"/>
    <w:rsid w:val="00821F7D"/>
    <w:rsid w:val="00823CAB"/>
    <w:rsid w:val="00823FFD"/>
    <w:rsid w:val="00830996"/>
    <w:rsid w:val="00832AF9"/>
    <w:rsid w:val="008337D8"/>
    <w:rsid w:val="00833FC3"/>
    <w:rsid w:val="008345F1"/>
    <w:rsid w:val="00834DE3"/>
    <w:rsid w:val="00840147"/>
    <w:rsid w:val="00840FD9"/>
    <w:rsid w:val="008415F8"/>
    <w:rsid w:val="008416AD"/>
    <w:rsid w:val="008419CE"/>
    <w:rsid w:val="0084372D"/>
    <w:rsid w:val="00845283"/>
    <w:rsid w:val="00850757"/>
    <w:rsid w:val="00855884"/>
    <w:rsid w:val="00857624"/>
    <w:rsid w:val="0086046A"/>
    <w:rsid w:val="00861985"/>
    <w:rsid w:val="00864038"/>
    <w:rsid w:val="00865B07"/>
    <w:rsid w:val="00866037"/>
    <w:rsid w:val="008667EA"/>
    <w:rsid w:val="008725CA"/>
    <w:rsid w:val="0087637F"/>
    <w:rsid w:val="00883FDE"/>
    <w:rsid w:val="0088410E"/>
    <w:rsid w:val="00885E8C"/>
    <w:rsid w:val="0088769F"/>
    <w:rsid w:val="00892AD5"/>
    <w:rsid w:val="00893368"/>
    <w:rsid w:val="00894929"/>
    <w:rsid w:val="00894FAC"/>
    <w:rsid w:val="0089506B"/>
    <w:rsid w:val="008A1512"/>
    <w:rsid w:val="008A554B"/>
    <w:rsid w:val="008B03DF"/>
    <w:rsid w:val="008B54DB"/>
    <w:rsid w:val="008B589A"/>
    <w:rsid w:val="008B69B0"/>
    <w:rsid w:val="008C29C1"/>
    <w:rsid w:val="008C4C45"/>
    <w:rsid w:val="008C4F03"/>
    <w:rsid w:val="008D203A"/>
    <w:rsid w:val="008D3173"/>
    <w:rsid w:val="008D32B9"/>
    <w:rsid w:val="008D433B"/>
    <w:rsid w:val="008D4A16"/>
    <w:rsid w:val="008D4A98"/>
    <w:rsid w:val="008D4D0C"/>
    <w:rsid w:val="008D4EE7"/>
    <w:rsid w:val="008E231C"/>
    <w:rsid w:val="008E2399"/>
    <w:rsid w:val="008E263F"/>
    <w:rsid w:val="008E33EB"/>
    <w:rsid w:val="008E3BB3"/>
    <w:rsid w:val="008E3DCE"/>
    <w:rsid w:val="008E462D"/>
    <w:rsid w:val="008E5401"/>
    <w:rsid w:val="008E566E"/>
    <w:rsid w:val="008F0256"/>
    <w:rsid w:val="008F7163"/>
    <w:rsid w:val="008F75D0"/>
    <w:rsid w:val="0090161A"/>
    <w:rsid w:val="00901B70"/>
    <w:rsid w:val="00901EB6"/>
    <w:rsid w:val="009041F8"/>
    <w:rsid w:val="00904C62"/>
    <w:rsid w:val="0090501F"/>
    <w:rsid w:val="009068CC"/>
    <w:rsid w:val="009103B1"/>
    <w:rsid w:val="0091177A"/>
    <w:rsid w:val="00920EBA"/>
    <w:rsid w:val="00922504"/>
    <w:rsid w:val="00922BA8"/>
    <w:rsid w:val="00922F12"/>
    <w:rsid w:val="00923ACC"/>
    <w:rsid w:val="00924DAC"/>
    <w:rsid w:val="00927058"/>
    <w:rsid w:val="009354A7"/>
    <w:rsid w:val="0093570B"/>
    <w:rsid w:val="00942750"/>
    <w:rsid w:val="00943DF7"/>
    <w:rsid w:val="009450CE"/>
    <w:rsid w:val="009459BB"/>
    <w:rsid w:val="00947179"/>
    <w:rsid w:val="00950E80"/>
    <w:rsid w:val="0095164B"/>
    <w:rsid w:val="00951A43"/>
    <w:rsid w:val="00954090"/>
    <w:rsid w:val="009564AC"/>
    <w:rsid w:val="009573E7"/>
    <w:rsid w:val="00957872"/>
    <w:rsid w:val="00963E05"/>
    <w:rsid w:val="00964A45"/>
    <w:rsid w:val="00964FCC"/>
    <w:rsid w:val="00965C50"/>
    <w:rsid w:val="00966918"/>
    <w:rsid w:val="00967843"/>
    <w:rsid w:val="00967D54"/>
    <w:rsid w:val="00970C1B"/>
    <w:rsid w:val="00971028"/>
    <w:rsid w:val="009727E1"/>
    <w:rsid w:val="009736B4"/>
    <w:rsid w:val="0097541A"/>
    <w:rsid w:val="00981621"/>
    <w:rsid w:val="00984CEA"/>
    <w:rsid w:val="00984DB2"/>
    <w:rsid w:val="009929E7"/>
    <w:rsid w:val="00993B84"/>
    <w:rsid w:val="00994C6A"/>
    <w:rsid w:val="009953D4"/>
    <w:rsid w:val="00996189"/>
    <w:rsid w:val="00996483"/>
    <w:rsid w:val="00996F5A"/>
    <w:rsid w:val="009A2777"/>
    <w:rsid w:val="009B00DE"/>
    <w:rsid w:val="009B041A"/>
    <w:rsid w:val="009B17A7"/>
    <w:rsid w:val="009B6328"/>
    <w:rsid w:val="009B6A8A"/>
    <w:rsid w:val="009B6A98"/>
    <w:rsid w:val="009B6E57"/>
    <w:rsid w:val="009B7860"/>
    <w:rsid w:val="009C07B8"/>
    <w:rsid w:val="009C37C3"/>
    <w:rsid w:val="009C4196"/>
    <w:rsid w:val="009C4F0E"/>
    <w:rsid w:val="009C56A6"/>
    <w:rsid w:val="009C7BA9"/>
    <w:rsid w:val="009C7C86"/>
    <w:rsid w:val="009D0287"/>
    <w:rsid w:val="009D2FF7"/>
    <w:rsid w:val="009D3967"/>
    <w:rsid w:val="009D6337"/>
    <w:rsid w:val="009E177F"/>
    <w:rsid w:val="009E7884"/>
    <w:rsid w:val="009E788A"/>
    <w:rsid w:val="009F0E08"/>
    <w:rsid w:val="009F40C1"/>
    <w:rsid w:val="009F5918"/>
    <w:rsid w:val="009F6DCA"/>
    <w:rsid w:val="00A079AE"/>
    <w:rsid w:val="00A13CF2"/>
    <w:rsid w:val="00A15765"/>
    <w:rsid w:val="00A1763D"/>
    <w:rsid w:val="00A17CEC"/>
    <w:rsid w:val="00A24F59"/>
    <w:rsid w:val="00A255B3"/>
    <w:rsid w:val="00A27EF0"/>
    <w:rsid w:val="00A33BB6"/>
    <w:rsid w:val="00A34568"/>
    <w:rsid w:val="00A34B41"/>
    <w:rsid w:val="00A35C8E"/>
    <w:rsid w:val="00A378C7"/>
    <w:rsid w:val="00A40905"/>
    <w:rsid w:val="00A42039"/>
    <w:rsid w:val="00A42361"/>
    <w:rsid w:val="00A42D88"/>
    <w:rsid w:val="00A44C71"/>
    <w:rsid w:val="00A45E76"/>
    <w:rsid w:val="00A47A5F"/>
    <w:rsid w:val="00A50B20"/>
    <w:rsid w:val="00A50FF9"/>
    <w:rsid w:val="00A51390"/>
    <w:rsid w:val="00A549A7"/>
    <w:rsid w:val="00A558CA"/>
    <w:rsid w:val="00A60D13"/>
    <w:rsid w:val="00A611FD"/>
    <w:rsid w:val="00A6357B"/>
    <w:rsid w:val="00A6706A"/>
    <w:rsid w:val="00A7223D"/>
    <w:rsid w:val="00A7256E"/>
    <w:rsid w:val="00A72745"/>
    <w:rsid w:val="00A743A2"/>
    <w:rsid w:val="00A751D3"/>
    <w:rsid w:val="00A76A7A"/>
    <w:rsid w:val="00A76EFC"/>
    <w:rsid w:val="00A85715"/>
    <w:rsid w:val="00A87D50"/>
    <w:rsid w:val="00A91010"/>
    <w:rsid w:val="00A924E3"/>
    <w:rsid w:val="00A93F0A"/>
    <w:rsid w:val="00A943B8"/>
    <w:rsid w:val="00A9694B"/>
    <w:rsid w:val="00A9754F"/>
    <w:rsid w:val="00A97F29"/>
    <w:rsid w:val="00AA101C"/>
    <w:rsid w:val="00AA156D"/>
    <w:rsid w:val="00AA15C2"/>
    <w:rsid w:val="00AA2466"/>
    <w:rsid w:val="00AA2D8F"/>
    <w:rsid w:val="00AA3602"/>
    <w:rsid w:val="00AA702E"/>
    <w:rsid w:val="00AA7D26"/>
    <w:rsid w:val="00AB0964"/>
    <w:rsid w:val="00AB19A5"/>
    <w:rsid w:val="00AB264C"/>
    <w:rsid w:val="00AB5011"/>
    <w:rsid w:val="00AB5B4A"/>
    <w:rsid w:val="00AC4A77"/>
    <w:rsid w:val="00AC6166"/>
    <w:rsid w:val="00AC724A"/>
    <w:rsid w:val="00AC7368"/>
    <w:rsid w:val="00AD088B"/>
    <w:rsid w:val="00AD16B9"/>
    <w:rsid w:val="00AD3620"/>
    <w:rsid w:val="00AD3946"/>
    <w:rsid w:val="00AD3CDC"/>
    <w:rsid w:val="00AE377D"/>
    <w:rsid w:val="00AE68B9"/>
    <w:rsid w:val="00AF0468"/>
    <w:rsid w:val="00AF0EBA"/>
    <w:rsid w:val="00AF2463"/>
    <w:rsid w:val="00AF3329"/>
    <w:rsid w:val="00AF3B59"/>
    <w:rsid w:val="00AF4177"/>
    <w:rsid w:val="00AF74A4"/>
    <w:rsid w:val="00AF76AE"/>
    <w:rsid w:val="00B02C8A"/>
    <w:rsid w:val="00B0595E"/>
    <w:rsid w:val="00B07586"/>
    <w:rsid w:val="00B1059C"/>
    <w:rsid w:val="00B1157E"/>
    <w:rsid w:val="00B15BE5"/>
    <w:rsid w:val="00B15FF7"/>
    <w:rsid w:val="00B17FBD"/>
    <w:rsid w:val="00B213C0"/>
    <w:rsid w:val="00B21730"/>
    <w:rsid w:val="00B2444D"/>
    <w:rsid w:val="00B24706"/>
    <w:rsid w:val="00B249C3"/>
    <w:rsid w:val="00B252F3"/>
    <w:rsid w:val="00B252F7"/>
    <w:rsid w:val="00B315A6"/>
    <w:rsid w:val="00B31813"/>
    <w:rsid w:val="00B32D32"/>
    <w:rsid w:val="00B33365"/>
    <w:rsid w:val="00B40CAC"/>
    <w:rsid w:val="00B41A2A"/>
    <w:rsid w:val="00B45109"/>
    <w:rsid w:val="00B45899"/>
    <w:rsid w:val="00B45FCC"/>
    <w:rsid w:val="00B4646A"/>
    <w:rsid w:val="00B506B8"/>
    <w:rsid w:val="00B50881"/>
    <w:rsid w:val="00B5228F"/>
    <w:rsid w:val="00B522DD"/>
    <w:rsid w:val="00B57B36"/>
    <w:rsid w:val="00B57E6F"/>
    <w:rsid w:val="00B60E7C"/>
    <w:rsid w:val="00B61900"/>
    <w:rsid w:val="00B61D69"/>
    <w:rsid w:val="00B62208"/>
    <w:rsid w:val="00B6362D"/>
    <w:rsid w:val="00B667FE"/>
    <w:rsid w:val="00B706A4"/>
    <w:rsid w:val="00B719DB"/>
    <w:rsid w:val="00B82728"/>
    <w:rsid w:val="00B83658"/>
    <w:rsid w:val="00B83B6D"/>
    <w:rsid w:val="00B84C3B"/>
    <w:rsid w:val="00B8686D"/>
    <w:rsid w:val="00B92959"/>
    <w:rsid w:val="00B9397C"/>
    <w:rsid w:val="00B93F69"/>
    <w:rsid w:val="00B971A8"/>
    <w:rsid w:val="00BB1DDC"/>
    <w:rsid w:val="00BB47C8"/>
    <w:rsid w:val="00BB6552"/>
    <w:rsid w:val="00BB6B36"/>
    <w:rsid w:val="00BB7C67"/>
    <w:rsid w:val="00BB7DCC"/>
    <w:rsid w:val="00BC027E"/>
    <w:rsid w:val="00BC04E7"/>
    <w:rsid w:val="00BC2B81"/>
    <w:rsid w:val="00BC30C9"/>
    <w:rsid w:val="00BC4C86"/>
    <w:rsid w:val="00BC5B74"/>
    <w:rsid w:val="00BC5E1A"/>
    <w:rsid w:val="00BD077D"/>
    <w:rsid w:val="00BD0A5A"/>
    <w:rsid w:val="00BD488B"/>
    <w:rsid w:val="00BD517D"/>
    <w:rsid w:val="00BD640B"/>
    <w:rsid w:val="00BD674C"/>
    <w:rsid w:val="00BD6D7A"/>
    <w:rsid w:val="00BE0007"/>
    <w:rsid w:val="00BE2BA1"/>
    <w:rsid w:val="00BE3E58"/>
    <w:rsid w:val="00BE6124"/>
    <w:rsid w:val="00BE72E0"/>
    <w:rsid w:val="00BF13CE"/>
    <w:rsid w:val="00BF1BFF"/>
    <w:rsid w:val="00BF1E17"/>
    <w:rsid w:val="00BF24A8"/>
    <w:rsid w:val="00BF283C"/>
    <w:rsid w:val="00BF36B3"/>
    <w:rsid w:val="00BF5259"/>
    <w:rsid w:val="00C01616"/>
    <w:rsid w:val="00C0162B"/>
    <w:rsid w:val="00C0348B"/>
    <w:rsid w:val="00C068ED"/>
    <w:rsid w:val="00C12BDC"/>
    <w:rsid w:val="00C15A38"/>
    <w:rsid w:val="00C22E0C"/>
    <w:rsid w:val="00C233F2"/>
    <w:rsid w:val="00C2416B"/>
    <w:rsid w:val="00C3183D"/>
    <w:rsid w:val="00C31FF8"/>
    <w:rsid w:val="00C3262E"/>
    <w:rsid w:val="00C33E61"/>
    <w:rsid w:val="00C3408D"/>
    <w:rsid w:val="00C345B1"/>
    <w:rsid w:val="00C3470D"/>
    <w:rsid w:val="00C34921"/>
    <w:rsid w:val="00C37061"/>
    <w:rsid w:val="00C40142"/>
    <w:rsid w:val="00C40443"/>
    <w:rsid w:val="00C4342D"/>
    <w:rsid w:val="00C469BC"/>
    <w:rsid w:val="00C51556"/>
    <w:rsid w:val="00C52C3C"/>
    <w:rsid w:val="00C57182"/>
    <w:rsid w:val="00C57863"/>
    <w:rsid w:val="00C603B0"/>
    <w:rsid w:val="00C61BCF"/>
    <w:rsid w:val="00C640AF"/>
    <w:rsid w:val="00C655FD"/>
    <w:rsid w:val="00C67AD2"/>
    <w:rsid w:val="00C75407"/>
    <w:rsid w:val="00C75919"/>
    <w:rsid w:val="00C8226E"/>
    <w:rsid w:val="00C841C6"/>
    <w:rsid w:val="00C870A8"/>
    <w:rsid w:val="00C92EAE"/>
    <w:rsid w:val="00C92FD4"/>
    <w:rsid w:val="00C94434"/>
    <w:rsid w:val="00C95004"/>
    <w:rsid w:val="00C96FD5"/>
    <w:rsid w:val="00C970F5"/>
    <w:rsid w:val="00CA0491"/>
    <w:rsid w:val="00CA0D75"/>
    <w:rsid w:val="00CA1C95"/>
    <w:rsid w:val="00CA5058"/>
    <w:rsid w:val="00CA5A9C"/>
    <w:rsid w:val="00CA7026"/>
    <w:rsid w:val="00CA766D"/>
    <w:rsid w:val="00CB6A2A"/>
    <w:rsid w:val="00CC1A52"/>
    <w:rsid w:val="00CC284B"/>
    <w:rsid w:val="00CC33AB"/>
    <w:rsid w:val="00CC4C20"/>
    <w:rsid w:val="00CC4C67"/>
    <w:rsid w:val="00CC6670"/>
    <w:rsid w:val="00CD3517"/>
    <w:rsid w:val="00CD3931"/>
    <w:rsid w:val="00CD4544"/>
    <w:rsid w:val="00CD5FE2"/>
    <w:rsid w:val="00CD651A"/>
    <w:rsid w:val="00CD6544"/>
    <w:rsid w:val="00CD6BD0"/>
    <w:rsid w:val="00CD6EF4"/>
    <w:rsid w:val="00CD729B"/>
    <w:rsid w:val="00CE3D6A"/>
    <w:rsid w:val="00CE68E9"/>
    <w:rsid w:val="00CE7C68"/>
    <w:rsid w:val="00CE7F9C"/>
    <w:rsid w:val="00CF6912"/>
    <w:rsid w:val="00CF7A6F"/>
    <w:rsid w:val="00D00ADA"/>
    <w:rsid w:val="00D01259"/>
    <w:rsid w:val="00D02B4C"/>
    <w:rsid w:val="00D040C4"/>
    <w:rsid w:val="00D06446"/>
    <w:rsid w:val="00D07FDA"/>
    <w:rsid w:val="00D11C3C"/>
    <w:rsid w:val="00D15B3E"/>
    <w:rsid w:val="00D20AD1"/>
    <w:rsid w:val="00D21DD8"/>
    <w:rsid w:val="00D21DE3"/>
    <w:rsid w:val="00D2582C"/>
    <w:rsid w:val="00D25A11"/>
    <w:rsid w:val="00D30F8D"/>
    <w:rsid w:val="00D3538A"/>
    <w:rsid w:val="00D40038"/>
    <w:rsid w:val="00D40A44"/>
    <w:rsid w:val="00D45F92"/>
    <w:rsid w:val="00D46B7E"/>
    <w:rsid w:val="00D5415A"/>
    <w:rsid w:val="00D542E5"/>
    <w:rsid w:val="00D55D4F"/>
    <w:rsid w:val="00D574E0"/>
    <w:rsid w:val="00D57C84"/>
    <w:rsid w:val="00D6057D"/>
    <w:rsid w:val="00D62804"/>
    <w:rsid w:val="00D62A9E"/>
    <w:rsid w:val="00D711C2"/>
    <w:rsid w:val="00D71520"/>
    <w:rsid w:val="00D71640"/>
    <w:rsid w:val="00D71E84"/>
    <w:rsid w:val="00D72AE9"/>
    <w:rsid w:val="00D746FD"/>
    <w:rsid w:val="00D77049"/>
    <w:rsid w:val="00D829CE"/>
    <w:rsid w:val="00D836C5"/>
    <w:rsid w:val="00D84576"/>
    <w:rsid w:val="00D8638F"/>
    <w:rsid w:val="00D914DA"/>
    <w:rsid w:val="00D95F24"/>
    <w:rsid w:val="00D96533"/>
    <w:rsid w:val="00DA1399"/>
    <w:rsid w:val="00DA144F"/>
    <w:rsid w:val="00DA24C6"/>
    <w:rsid w:val="00DA4D7B"/>
    <w:rsid w:val="00DB1AF3"/>
    <w:rsid w:val="00DB2345"/>
    <w:rsid w:val="00DB3489"/>
    <w:rsid w:val="00DB4B4B"/>
    <w:rsid w:val="00DB5BB0"/>
    <w:rsid w:val="00DC2840"/>
    <w:rsid w:val="00DC37E6"/>
    <w:rsid w:val="00DC3C94"/>
    <w:rsid w:val="00DC71CC"/>
    <w:rsid w:val="00DC7257"/>
    <w:rsid w:val="00DC73EE"/>
    <w:rsid w:val="00DD25D3"/>
    <w:rsid w:val="00DD26A3"/>
    <w:rsid w:val="00DD271C"/>
    <w:rsid w:val="00DD3346"/>
    <w:rsid w:val="00DD72BB"/>
    <w:rsid w:val="00DD7DC4"/>
    <w:rsid w:val="00DE17CD"/>
    <w:rsid w:val="00DE264A"/>
    <w:rsid w:val="00DE4295"/>
    <w:rsid w:val="00DE4533"/>
    <w:rsid w:val="00DE764D"/>
    <w:rsid w:val="00DF0AFC"/>
    <w:rsid w:val="00DF2D27"/>
    <w:rsid w:val="00DF3559"/>
    <w:rsid w:val="00DF5072"/>
    <w:rsid w:val="00DF6F9D"/>
    <w:rsid w:val="00E00088"/>
    <w:rsid w:val="00E0008F"/>
    <w:rsid w:val="00E01A75"/>
    <w:rsid w:val="00E02D18"/>
    <w:rsid w:val="00E030D6"/>
    <w:rsid w:val="00E041E7"/>
    <w:rsid w:val="00E053F0"/>
    <w:rsid w:val="00E058BB"/>
    <w:rsid w:val="00E06594"/>
    <w:rsid w:val="00E06876"/>
    <w:rsid w:val="00E07477"/>
    <w:rsid w:val="00E10E1B"/>
    <w:rsid w:val="00E12B93"/>
    <w:rsid w:val="00E13311"/>
    <w:rsid w:val="00E16675"/>
    <w:rsid w:val="00E16A25"/>
    <w:rsid w:val="00E23CA1"/>
    <w:rsid w:val="00E23ED4"/>
    <w:rsid w:val="00E24B07"/>
    <w:rsid w:val="00E27002"/>
    <w:rsid w:val="00E3125B"/>
    <w:rsid w:val="00E31A0B"/>
    <w:rsid w:val="00E31B9A"/>
    <w:rsid w:val="00E31FA3"/>
    <w:rsid w:val="00E32479"/>
    <w:rsid w:val="00E33317"/>
    <w:rsid w:val="00E34826"/>
    <w:rsid w:val="00E3633A"/>
    <w:rsid w:val="00E37941"/>
    <w:rsid w:val="00E4023A"/>
    <w:rsid w:val="00E409A8"/>
    <w:rsid w:val="00E447FE"/>
    <w:rsid w:val="00E46E56"/>
    <w:rsid w:val="00E47E7E"/>
    <w:rsid w:val="00E50C12"/>
    <w:rsid w:val="00E50F2D"/>
    <w:rsid w:val="00E50FB0"/>
    <w:rsid w:val="00E544BF"/>
    <w:rsid w:val="00E60670"/>
    <w:rsid w:val="00E612D7"/>
    <w:rsid w:val="00E61AE9"/>
    <w:rsid w:val="00E657B2"/>
    <w:rsid w:val="00E65B91"/>
    <w:rsid w:val="00E679B7"/>
    <w:rsid w:val="00E708C8"/>
    <w:rsid w:val="00E7209D"/>
    <w:rsid w:val="00E72EAD"/>
    <w:rsid w:val="00E760FD"/>
    <w:rsid w:val="00E77223"/>
    <w:rsid w:val="00E83391"/>
    <w:rsid w:val="00E8528B"/>
    <w:rsid w:val="00E85B94"/>
    <w:rsid w:val="00E85D46"/>
    <w:rsid w:val="00E90233"/>
    <w:rsid w:val="00E934C5"/>
    <w:rsid w:val="00E93706"/>
    <w:rsid w:val="00E944FE"/>
    <w:rsid w:val="00E965A0"/>
    <w:rsid w:val="00E978D0"/>
    <w:rsid w:val="00EA0A83"/>
    <w:rsid w:val="00EA336A"/>
    <w:rsid w:val="00EA4613"/>
    <w:rsid w:val="00EA5834"/>
    <w:rsid w:val="00EA6393"/>
    <w:rsid w:val="00EA6A91"/>
    <w:rsid w:val="00EA6CD1"/>
    <w:rsid w:val="00EA7F91"/>
    <w:rsid w:val="00EB115C"/>
    <w:rsid w:val="00EB1523"/>
    <w:rsid w:val="00EB2816"/>
    <w:rsid w:val="00EB4171"/>
    <w:rsid w:val="00EB4D05"/>
    <w:rsid w:val="00EC0335"/>
    <w:rsid w:val="00EC0E49"/>
    <w:rsid w:val="00EC101F"/>
    <w:rsid w:val="00EC1199"/>
    <w:rsid w:val="00EC1D9F"/>
    <w:rsid w:val="00EC2B91"/>
    <w:rsid w:val="00EC3C92"/>
    <w:rsid w:val="00EC5323"/>
    <w:rsid w:val="00ED00E9"/>
    <w:rsid w:val="00ED1226"/>
    <w:rsid w:val="00ED7553"/>
    <w:rsid w:val="00EE0131"/>
    <w:rsid w:val="00EE17B0"/>
    <w:rsid w:val="00EE2F0A"/>
    <w:rsid w:val="00EE51FD"/>
    <w:rsid w:val="00EE7E67"/>
    <w:rsid w:val="00EF06D9"/>
    <w:rsid w:val="00EF078B"/>
    <w:rsid w:val="00EF1F77"/>
    <w:rsid w:val="00EF26D1"/>
    <w:rsid w:val="00EF3EBB"/>
    <w:rsid w:val="00EF561B"/>
    <w:rsid w:val="00F02132"/>
    <w:rsid w:val="00F04997"/>
    <w:rsid w:val="00F06576"/>
    <w:rsid w:val="00F07902"/>
    <w:rsid w:val="00F07AB3"/>
    <w:rsid w:val="00F07B79"/>
    <w:rsid w:val="00F10327"/>
    <w:rsid w:val="00F1143A"/>
    <w:rsid w:val="00F13F4F"/>
    <w:rsid w:val="00F17708"/>
    <w:rsid w:val="00F23AFB"/>
    <w:rsid w:val="00F25CA9"/>
    <w:rsid w:val="00F3049E"/>
    <w:rsid w:val="00F30C64"/>
    <w:rsid w:val="00F3223C"/>
    <w:rsid w:val="00F32BA2"/>
    <w:rsid w:val="00F32CDB"/>
    <w:rsid w:val="00F34609"/>
    <w:rsid w:val="00F35104"/>
    <w:rsid w:val="00F35D67"/>
    <w:rsid w:val="00F36866"/>
    <w:rsid w:val="00F4015A"/>
    <w:rsid w:val="00F41EE4"/>
    <w:rsid w:val="00F43396"/>
    <w:rsid w:val="00F44CD4"/>
    <w:rsid w:val="00F4565E"/>
    <w:rsid w:val="00F458FC"/>
    <w:rsid w:val="00F539CB"/>
    <w:rsid w:val="00F53B05"/>
    <w:rsid w:val="00F54493"/>
    <w:rsid w:val="00F5460A"/>
    <w:rsid w:val="00F565FE"/>
    <w:rsid w:val="00F60BC4"/>
    <w:rsid w:val="00F61381"/>
    <w:rsid w:val="00F63A70"/>
    <w:rsid w:val="00F63D8C"/>
    <w:rsid w:val="00F6612A"/>
    <w:rsid w:val="00F6775E"/>
    <w:rsid w:val="00F72DE8"/>
    <w:rsid w:val="00F72E48"/>
    <w:rsid w:val="00F72FC9"/>
    <w:rsid w:val="00F74AB7"/>
    <w:rsid w:val="00F7534E"/>
    <w:rsid w:val="00F76DCF"/>
    <w:rsid w:val="00F80E0B"/>
    <w:rsid w:val="00F861E9"/>
    <w:rsid w:val="00F865F5"/>
    <w:rsid w:val="00F879FF"/>
    <w:rsid w:val="00F91739"/>
    <w:rsid w:val="00F93EDF"/>
    <w:rsid w:val="00F9489E"/>
    <w:rsid w:val="00FA1802"/>
    <w:rsid w:val="00FA21D0"/>
    <w:rsid w:val="00FA23F4"/>
    <w:rsid w:val="00FA267A"/>
    <w:rsid w:val="00FA2E40"/>
    <w:rsid w:val="00FA30F0"/>
    <w:rsid w:val="00FA43F8"/>
    <w:rsid w:val="00FA5F5F"/>
    <w:rsid w:val="00FB0A30"/>
    <w:rsid w:val="00FB730C"/>
    <w:rsid w:val="00FB789C"/>
    <w:rsid w:val="00FC22D5"/>
    <w:rsid w:val="00FC2695"/>
    <w:rsid w:val="00FC3E03"/>
    <w:rsid w:val="00FC3FC1"/>
    <w:rsid w:val="00FC695C"/>
    <w:rsid w:val="00FD0293"/>
    <w:rsid w:val="00FD26BD"/>
    <w:rsid w:val="00FD2DAD"/>
    <w:rsid w:val="00FD6F6B"/>
    <w:rsid w:val="00FD75C7"/>
    <w:rsid w:val="00FD7DA4"/>
    <w:rsid w:val="00FE04DC"/>
    <w:rsid w:val="00FE367B"/>
    <w:rsid w:val="00FF5226"/>
    <w:rsid w:val="00FF54FF"/>
    <w:rsid w:val="00FF74D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link w:val="PrrafodelistaCar"/>
    <w:uiPriority w:val="34"/>
    <w:qFormat/>
    <w:rsid w:val="00280FAF"/>
    <w:pPr>
      <w:ind w:left="720"/>
      <w:contextualSpacing/>
    </w:pPr>
  </w:style>
  <w:style w:type="character" w:customStyle="1" w:styleId="gmail-apple-converted-space">
    <w:name w:val="gmail-apple-converted-space"/>
    <w:basedOn w:val="Fuentedeprrafopredeter"/>
    <w:rsid w:val="00005A19"/>
  </w:style>
  <w:style w:type="character" w:styleId="Mencinsinresolver">
    <w:name w:val="Unresolved Mention"/>
    <w:basedOn w:val="Fuentedeprrafopredeter"/>
    <w:uiPriority w:val="99"/>
    <w:semiHidden/>
    <w:unhideWhenUsed/>
    <w:rsid w:val="009736B4"/>
    <w:rPr>
      <w:color w:val="605E5C"/>
      <w:shd w:val="clear" w:color="auto" w:fill="E1DFDD"/>
    </w:rPr>
  </w:style>
  <w:style w:type="character" w:customStyle="1" w:styleId="PrrafodelistaCar">
    <w:name w:val="Párrafo de lista Car"/>
    <w:basedOn w:val="Fuentedeprrafopredeter"/>
    <w:link w:val="Prrafodelista"/>
    <w:uiPriority w:val="34"/>
    <w:rsid w:val="00763132"/>
    <w:rPr>
      <w:rFonts w:ascii="Arial" w:eastAsia="Times New Roman" w:hAnsi="Arial" w:cs="Times New Roman"/>
      <w:sz w:val="18"/>
      <w:szCs w:val="20"/>
      <w:lang w:val="en-GB"/>
    </w:rPr>
  </w:style>
  <w:style w:type="paragraph" w:styleId="Sinespaciado">
    <w:name w:val="No Spacing"/>
    <w:uiPriority w:val="1"/>
    <w:qFormat/>
    <w:rsid w:val="00376A27"/>
    <w:pPr>
      <w:tabs>
        <w:tab w:val="right" w:pos="7100"/>
      </w:tabs>
      <w:spacing w:after="0" w:line="240" w:lineRule="auto"/>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8060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9388356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julian2248101@correo.uis.edu.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8302D-F1AA-4424-AF7D-BE9F3D1BB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3152</Words>
  <Characters>17337</Characters>
  <Application>Microsoft Office Word</Application>
  <DocSecurity>0</DocSecurity>
  <Lines>144</Lines>
  <Paragraphs>40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Julián Sanabria</cp:lastModifiedBy>
  <cp:revision>16</cp:revision>
  <cp:lastPrinted>2015-05-12T18:31:00Z</cp:lastPrinted>
  <dcterms:created xsi:type="dcterms:W3CDTF">2025-04-15T00:11:00Z</dcterms:created>
  <dcterms:modified xsi:type="dcterms:W3CDTF">2025-04-15T17:17:00Z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d95f042359aa58af7d4809cde34858dd4eda186c6c45674f28389ba3dbc455c6</vt:lpwstr>
  </property>
</Properties>
</file>