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FF46A7" w:rsidRPr="00B57B36" w14:paraId="4C31AB7B" w14:textId="77777777" w:rsidTr="00CB758D">
        <w:trPr>
          <w:trHeight w:val="852"/>
          <w:jc w:val="center"/>
        </w:trPr>
        <w:tc>
          <w:tcPr>
            <w:tcW w:w="6946" w:type="dxa"/>
            <w:vMerge w:val="restart"/>
            <w:tcBorders>
              <w:right w:val="single" w:sz="4" w:space="0" w:color="auto"/>
            </w:tcBorders>
          </w:tcPr>
          <w:p w14:paraId="51CF7696" w14:textId="77777777" w:rsidR="00FF46A7" w:rsidRPr="00B57B36" w:rsidRDefault="00FF46A7" w:rsidP="00CB758D">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en-US"/>
              </w:rPr>
              <w:drawing>
                <wp:inline distT="0" distB="0" distL="0" distR="0" wp14:anchorId="19DC977D" wp14:editId="3EAC66F5">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1F054896" w14:textId="77777777" w:rsidR="00FF46A7" w:rsidRPr="00B57B36" w:rsidRDefault="00FF46A7" w:rsidP="00CB758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Pr>
                <w:rFonts w:cs="Arial"/>
                <w:b/>
                <w:bCs/>
                <w:i/>
                <w:iCs/>
                <w:color w:val="000066"/>
                <w:sz w:val="22"/>
                <w:szCs w:val="22"/>
                <w:lang w:eastAsia="it-IT"/>
              </w:rPr>
              <w:t xml:space="preserve"> xxx, 2025</w:t>
            </w:r>
          </w:p>
        </w:tc>
        <w:tc>
          <w:tcPr>
            <w:tcW w:w="1843" w:type="dxa"/>
            <w:tcBorders>
              <w:left w:val="single" w:sz="4" w:space="0" w:color="auto"/>
              <w:bottom w:val="nil"/>
              <w:right w:val="single" w:sz="4" w:space="0" w:color="auto"/>
            </w:tcBorders>
          </w:tcPr>
          <w:p w14:paraId="28BE7225" w14:textId="77777777" w:rsidR="00FF46A7" w:rsidRPr="00B57B36" w:rsidRDefault="00FF46A7" w:rsidP="00CB758D">
            <w:pPr>
              <w:spacing w:line="140" w:lineRule="atLeast"/>
              <w:jc w:val="right"/>
              <w:rPr>
                <w:rFonts w:cs="Arial"/>
                <w:sz w:val="14"/>
                <w:szCs w:val="14"/>
              </w:rPr>
            </w:pPr>
            <w:r w:rsidRPr="00B57B36">
              <w:rPr>
                <w:rFonts w:cs="Arial"/>
                <w:sz w:val="14"/>
                <w:szCs w:val="14"/>
              </w:rPr>
              <w:t>A publication of</w:t>
            </w:r>
          </w:p>
          <w:p w14:paraId="2D2DAC24" w14:textId="77777777" w:rsidR="00FF46A7" w:rsidRPr="00B57B36" w:rsidRDefault="00FF46A7" w:rsidP="00CB758D">
            <w:pPr>
              <w:jc w:val="right"/>
            </w:pPr>
            <w:r w:rsidRPr="00B57B36">
              <w:rPr>
                <w:noProof/>
                <w:lang w:val="en-US"/>
              </w:rPr>
              <w:drawing>
                <wp:inline distT="0" distB="0" distL="0" distR="0" wp14:anchorId="76F6A8F5" wp14:editId="6FBCA4AE">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FF46A7" w:rsidRPr="00B57B36" w14:paraId="611ABDD6" w14:textId="77777777" w:rsidTr="00CB758D">
        <w:trPr>
          <w:trHeight w:val="567"/>
          <w:jc w:val="center"/>
        </w:trPr>
        <w:tc>
          <w:tcPr>
            <w:tcW w:w="6946" w:type="dxa"/>
            <w:vMerge/>
            <w:tcBorders>
              <w:right w:val="single" w:sz="4" w:space="0" w:color="auto"/>
            </w:tcBorders>
          </w:tcPr>
          <w:p w14:paraId="288C75B0" w14:textId="77777777" w:rsidR="00FF46A7" w:rsidRPr="00B57B36" w:rsidRDefault="00FF46A7" w:rsidP="00CB758D">
            <w:pPr>
              <w:tabs>
                <w:tab w:val="left" w:pos="-108"/>
              </w:tabs>
            </w:pPr>
          </w:p>
        </w:tc>
        <w:tc>
          <w:tcPr>
            <w:tcW w:w="1843" w:type="dxa"/>
            <w:tcBorders>
              <w:left w:val="single" w:sz="4" w:space="0" w:color="auto"/>
              <w:bottom w:val="nil"/>
              <w:right w:val="single" w:sz="4" w:space="0" w:color="auto"/>
            </w:tcBorders>
          </w:tcPr>
          <w:p w14:paraId="2F8B98E9" w14:textId="77777777" w:rsidR="00FF46A7" w:rsidRPr="00B57B36" w:rsidRDefault="00FF46A7" w:rsidP="00CB758D">
            <w:pPr>
              <w:spacing w:line="140" w:lineRule="atLeast"/>
              <w:jc w:val="right"/>
              <w:rPr>
                <w:rFonts w:cs="Arial"/>
                <w:sz w:val="14"/>
                <w:szCs w:val="14"/>
              </w:rPr>
            </w:pPr>
            <w:r w:rsidRPr="00B57B36">
              <w:rPr>
                <w:rFonts w:cs="Arial"/>
                <w:sz w:val="14"/>
                <w:szCs w:val="14"/>
              </w:rPr>
              <w:t>The Italian Association</w:t>
            </w:r>
          </w:p>
          <w:p w14:paraId="1975F06C" w14:textId="77777777" w:rsidR="00FF46A7" w:rsidRPr="00B57B36" w:rsidRDefault="00FF46A7" w:rsidP="00CB758D">
            <w:pPr>
              <w:spacing w:line="140" w:lineRule="atLeast"/>
              <w:jc w:val="right"/>
              <w:rPr>
                <w:rFonts w:cs="Arial"/>
                <w:sz w:val="14"/>
                <w:szCs w:val="14"/>
              </w:rPr>
            </w:pPr>
            <w:r w:rsidRPr="00B57B36">
              <w:rPr>
                <w:rFonts w:cs="Arial"/>
                <w:sz w:val="14"/>
                <w:szCs w:val="14"/>
              </w:rPr>
              <w:t>of Chemical Engineering</w:t>
            </w:r>
          </w:p>
          <w:p w14:paraId="5C95278A" w14:textId="77777777" w:rsidR="00FF46A7" w:rsidRPr="000D0268" w:rsidRDefault="00FF46A7" w:rsidP="00CB758D">
            <w:pPr>
              <w:spacing w:line="140" w:lineRule="atLeast"/>
              <w:jc w:val="right"/>
              <w:rPr>
                <w:rFonts w:cs="Arial"/>
                <w:sz w:val="13"/>
                <w:szCs w:val="13"/>
              </w:rPr>
            </w:pPr>
            <w:r w:rsidRPr="000D0268">
              <w:rPr>
                <w:rFonts w:cs="Arial"/>
                <w:sz w:val="13"/>
                <w:szCs w:val="13"/>
              </w:rPr>
              <w:t>Online at www.cetjournal.it</w:t>
            </w:r>
          </w:p>
        </w:tc>
      </w:tr>
      <w:tr w:rsidR="00FF46A7" w:rsidRPr="00B57B36" w14:paraId="24F9AFDE" w14:textId="77777777" w:rsidTr="00CB758D">
        <w:trPr>
          <w:trHeight w:val="68"/>
          <w:jc w:val="center"/>
        </w:trPr>
        <w:tc>
          <w:tcPr>
            <w:tcW w:w="8789" w:type="dxa"/>
            <w:gridSpan w:val="2"/>
          </w:tcPr>
          <w:p w14:paraId="59F19960" w14:textId="77777777" w:rsidR="00FF46A7" w:rsidRPr="007D610D" w:rsidRDefault="00FF46A7" w:rsidP="00CB758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Pr="007D610D">
              <w:rPr>
                <w:rFonts w:ascii="Aptos" w:eastAsiaTheme="minorHAnsi" w:hAnsi="Aptos" w:cs="Aptos"/>
                <w:sz w:val="22"/>
                <w:szCs w:val="22"/>
                <w:lang w:val="it-IT"/>
                <w14:ligatures w14:val="standardContextual"/>
              </w:rPr>
              <w:t xml:space="preserve"> </w:t>
            </w:r>
            <w:r w:rsidRPr="007D610D">
              <w:rPr>
                <w:rFonts w:ascii="Tahoma" w:hAnsi="Tahoma" w:cs="Tahoma"/>
                <w:color w:val="000000"/>
                <w:sz w:val="14"/>
                <w:szCs w:val="14"/>
                <w:shd w:val="clear" w:color="auto" w:fill="FFFFFF"/>
                <w:lang w:val="it-IT"/>
              </w:rPr>
              <w:t xml:space="preserve">Fabrizio Bezzo, </w:t>
            </w:r>
            <w:r>
              <w:rPr>
                <w:rFonts w:ascii="Tahoma" w:hAnsi="Tahoma" w:cs="Tahoma"/>
                <w:color w:val="000000"/>
                <w:sz w:val="14"/>
                <w:szCs w:val="14"/>
                <w:shd w:val="clear" w:color="auto" w:fill="FFFFFF"/>
                <w:lang w:val="it-IT"/>
              </w:rPr>
              <w:t xml:space="preserve">Flavio Manenti, </w:t>
            </w:r>
            <w:r w:rsidRPr="007D610D">
              <w:rPr>
                <w:rFonts w:ascii="Tahoma" w:hAnsi="Tahoma" w:cs="Tahoma"/>
                <w:color w:val="000000"/>
                <w:sz w:val="14"/>
                <w:szCs w:val="14"/>
                <w:shd w:val="clear" w:color="auto" w:fill="FFFFFF"/>
                <w:lang w:val="it-IT"/>
              </w:rPr>
              <w:t>Gabriele Pannocchia, Almerinda di Benedetto</w:t>
            </w:r>
          </w:p>
          <w:p w14:paraId="2495E187" w14:textId="77777777" w:rsidR="00FF46A7" w:rsidRPr="00B57B36" w:rsidRDefault="00FF46A7" w:rsidP="00CB758D">
            <w:pPr>
              <w:tabs>
                <w:tab w:val="left" w:pos="-108"/>
              </w:tabs>
              <w:spacing w:line="140" w:lineRule="atLeast"/>
              <w:ind w:left="-107"/>
              <w:jc w:val="left"/>
            </w:pPr>
            <w:r>
              <w:rPr>
                <w:rFonts w:ascii="Tahoma" w:hAnsi="Tahoma" w:cs="Tahoma"/>
                <w:iCs/>
                <w:color w:val="333333"/>
                <w:sz w:val="14"/>
                <w:szCs w:val="14"/>
                <w:lang w:eastAsia="it-IT"/>
              </w:rPr>
              <w:t>Copyright © 2025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9</w:t>
            </w:r>
            <w:r w:rsidRPr="000562A9">
              <w:rPr>
                <w:rFonts w:ascii="Tahoma" w:hAnsi="Tahoma" w:cs="Tahoma"/>
                <w:sz w:val="14"/>
                <w:szCs w:val="14"/>
              </w:rPr>
              <w:t>-</w:t>
            </w:r>
            <w:r>
              <w:rPr>
                <w:rFonts w:ascii="Tahoma" w:hAnsi="Tahoma" w:cs="Tahoma"/>
                <w:sz w:val="14"/>
                <w:szCs w:val="14"/>
              </w:rPr>
              <w:t>12</w:t>
            </w:r>
            <w:r w:rsidRPr="000562A9">
              <w:rPr>
                <w:rFonts w:ascii="Tahoma" w:hAnsi="Tahoma" w:cs="Tahoma"/>
                <w:sz w:val="14"/>
                <w:szCs w:val="14"/>
              </w:rPr>
              <w:t>-</w:t>
            </w:r>
            <w:r>
              <w:rPr>
                <w:rFonts w:ascii="Tahoma" w:hAnsi="Tahoma" w:cs="Tahoma"/>
                <w:sz w:val="14"/>
                <w:szCs w:val="14"/>
              </w:rPr>
              <w:t>81206-17-5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68FC454C" w:rsidR="00E978D0" w:rsidRPr="00227A84" w:rsidRDefault="002455E6" w:rsidP="00E978D0">
      <w:pPr>
        <w:pStyle w:val="CETTitle"/>
        <w:rPr>
          <w:lang w:val="en-US"/>
        </w:rPr>
      </w:pPr>
      <w:bookmarkStart w:id="1" w:name="_GoBack"/>
      <w:bookmarkEnd w:id="0"/>
      <w:bookmarkEnd w:id="1"/>
      <w:r w:rsidRPr="00227A84">
        <w:rPr>
          <w:lang w:val="en-US"/>
        </w:rPr>
        <w:t>Analysis of wastewater treatment efficiency: Environmental consequences in a Peruvian district</w:t>
      </w:r>
    </w:p>
    <w:p w14:paraId="0488FED2" w14:textId="437C85C2" w:rsidR="00B57E6F" w:rsidRPr="002455E6" w:rsidRDefault="002455E6" w:rsidP="00B57E6F">
      <w:pPr>
        <w:pStyle w:val="CETAuthors"/>
        <w:rPr>
          <w:lang w:val="es-MX"/>
        </w:rPr>
      </w:pPr>
      <w:r w:rsidRPr="002455E6">
        <w:rPr>
          <w:lang w:val="es-MX"/>
        </w:rPr>
        <w:t>María Tánia Herrera Pedraza</w:t>
      </w:r>
      <w:r w:rsidR="00383AB9">
        <w:rPr>
          <w:vertAlign w:val="superscript"/>
          <w:lang w:val="es-MX"/>
        </w:rPr>
        <w:t>a</w:t>
      </w:r>
      <w:r w:rsidRPr="002455E6">
        <w:rPr>
          <w:lang w:val="es-MX"/>
        </w:rPr>
        <w:t>, Leidy Milady Ramos Alarcon</w:t>
      </w:r>
      <w:r w:rsidR="00383AB9">
        <w:rPr>
          <w:vertAlign w:val="superscript"/>
          <w:lang w:val="es-MX"/>
        </w:rPr>
        <w:t>b</w:t>
      </w:r>
      <w:r w:rsidRPr="002455E6">
        <w:rPr>
          <w:lang w:val="es-MX"/>
        </w:rPr>
        <w:t>, Zanhy Leonor Valencia Reyes</w:t>
      </w:r>
      <w:r w:rsidR="00383AB9">
        <w:rPr>
          <w:vertAlign w:val="superscript"/>
          <w:lang w:val="es-MX"/>
        </w:rPr>
        <w:t>a</w:t>
      </w:r>
      <w:r w:rsidRPr="002455E6">
        <w:rPr>
          <w:vertAlign w:val="superscript"/>
          <w:lang w:val="es-MX"/>
        </w:rPr>
        <w:t>*</w:t>
      </w:r>
      <w:r w:rsidRPr="002455E6">
        <w:rPr>
          <w:lang w:val="es-MX"/>
        </w:rPr>
        <w:t>, Fiorella Vanessa Güere Salazar</w:t>
      </w:r>
      <w:r w:rsidR="00383AB9">
        <w:rPr>
          <w:vertAlign w:val="superscript"/>
          <w:lang w:val="es-MX"/>
        </w:rPr>
        <w:t>a</w:t>
      </w:r>
      <w:r w:rsidRPr="002455E6">
        <w:rPr>
          <w:lang w:val="es-MX"/>
        </w:rPr>
        <w:t>, Alex Segundino Armas Blancas</w:t>
      </w:r>
      <w:r w:rsidR="00383AB9">
        <w:rPr>
          <w:vertAlign w:val="superscript"/>
          <w:lang w:val="es-MX"/>
        </w:rPr>
        <w:t>a</w:t>
      </w:r>
      <w:r w:rsidRPr="002455E6">
        <w:rPr>
          <w:lang w:val="es-MX"/>
        </w:rPr>
        <w:t>, Hellen Felicia Blancas Amaya</w:t>
      </w:r>
      <w:r w:rsidR="00383AB9">
        <w:rPr>
          <w:vertAlign w:val="superscript"/>
          <w:lang w:val="es-MX"/>
        </w:rPr>
        <w:t>c</w:t>
      </w:r>
      <w:r w:rsidRPr="002455E6">
        <w:rPr>
          <w:lang w:val="es-MX"/>
        </w:rPr>
        <w:t>, William Cesar Santos Tello</w:t>
      </w:r>
      <w:r w:rsidR="00383AB9">
        <w:rPr>
          <w:vertAlign w:val="superscript"/>
          <w:lang w:val="es-MX"/>
        </w:rPr>
        <w:t>d</w:t>
      </w:r>
      <w:r w:rsidRPr="002455E6">
        <w:rPr>
          <w:lang w:val="es-MX"/>
        </w:rPr>
        <w:t>, Giner Emerson Díaz Dávila</w:t>
      </w:r>
      <w:r w:rsidR="00383AB9">
        <w:rPr>
          <w:vertAlign w:val="superscript"/>
          <w:lang w:val="es-MX"/>
        </w:rPr>
        <w:t>e</w:t>
      </w:r>
    </w:p>
    <w:p w14:paraId="48B78A71" w14:textId="0617191E" w:rsidR="009D7EDF" w:rsidRDefault="00383AB9" w:rsidP="009D7EDF">
      <w:pPr>
        <w:pStyle w:val="CETAddress"/>
        <w:rPr>
          <w:lang w:val="es-PE"/>
        </w:rPr>
      </w:pPr>
      <w:r>
        <w:rPr>
          <w:vertAlign w:val="superscript"/>
          <w:lang w:val="es-PE"/>
        </w:rPr>
        <w:t>a</w:t>
      </w:r>
      <w:r w:rsidR="009D7EDF">
        <w:rPr>
          <w:lang w:val="es-PE"/>
        </w:rPr>
        <w:t>Universidad Nacional Mayor de San Marcos, Ciudad Universitaria, Lima 15081, Perú</w:t>
      </w:r>
    </w:p>
    <w:p w14:paraId="4446EB90" w14:textId="4071515E" w:rsidR="009D7EDF" w:rsidRPr="002C291B" w:rsidRDefault="00383AB9" w:rsidP="009D7EDF">
      <w:pPr>
        <w:pStyle w:val="CETAddress"/>
        <w:rPr>
          <w:lang w:val="es-MX"/>
        </w:rPr>
      </w:pPr>
      <w:r>
        <w:rPr>
          <w:vertAlign w:val="superscript"/>
          <w:lang w:val="es-PE"/>
        </w:rPr>
        <w:t>b</w:t>
      </w:r>
      <w:r w:rsidR="009D7EDF">
        <w:rPr>
          <w:lang w:val="es-PE"/>
        </w:rPr>
        <w:t xml:space="preserve">Universidad Nacional </w:t>
      </w:r>
      <w:r w:rsidR="009D7EDF" w:rsidRPr="009D25B4">
        <w:rPr>
          <w:lang w:val="es-PE"/>
        </w:rPr>
        <w:t>San Luis Gonzaga</w:t>
      </w:r>
      <w:r w:rsidR="009D7EDF">
        <w:rPr>
          <w:lang w:val="es-PE"/>
        </w:rPr>
        <w:t xml:space="preserve">, </w:t>
      </w:r>
      <w:r w:rsidR="009D7EDF" w:rsidRPr="002C291B">
        <w:rPr>
          <w:lang w:val="es-PE"/>
        </w:rPr>
        <w:t>Av de los Maestros, Ica 11004</w:t>
      </w:r>
      <w:r w:rsidR="009D7EDF">
        <w:rPr>
          <w:lang w:val="es-PE"/>
        </w:rPr>
        <w:t>, Perú</w:t>
      </w:r>
    </w:p>
    <w:p w14:paraId="6FC7DD55" w14:textId="0614EC1A" w:rsidR="009D7EDF" w:rsidRDefault="00383AB9" w:rsidP="009D7EDF">
      <w:pPr>
        <w:pStyle w:val="CETAddress"/>
        <w:rPr>
          <w:lang w:val="es-MX"/>
        </w:rPr>
      </w:pPr>
      <w:r>
        <w:rPr>
          <w:vertAlign w:val="superscript"/>
          <w:lang w:val="es-MX"/>
        </w:rPr>
        <w:t>c</w:t>
      </w:r>
      <w:r w:rsidR="009D7EDF" w:rsidRPr="002C291B">
        <w:rPr>
          <w:lang w:val="es-MX"/>
        </w:rPr>
        <w:t>Universidad Nacional de Educación Enrique Guzmán y Valle</w:t>
      </w:r>
      <w:r w:rsidR="009D7EDF">
        <w:rPr>
          <w:lang w:val="es-MX"/>
        </w:rPr>
        <w:t xml:space="preserve">, </w:t>
      </w:r>
      <w:r w:rsidR="009D7EDF" w:rsidRPr="00C71561">
        <w:rPr>
          <w:lang w:val="es-MX"/>
        </w:rPr>
        <w:t xml:space="preserve">Lurigancho-Chosica </w:t>
      </w:r>
      <w:r w:rsidR="009D7EDF">
        <w:rPr>
          <w:lang w:val="es-MX"/>
        </w:rPr>
        <w:t xml:space="preserve">15472, Perú </w:t>
      </w:r>
    </w:p>
    <w:p w14:paraId="618306E7" w14:textId="0A5D1F86" w:rsidR="009D7EDF" w:rsidRPr="00107BBB" w:rsidRDefault="00383AB9" w:rsidP="009D7EDF">
      <w:pPr>
        <w:pStyle w:val="CETAddress"/>
        <w:rPr>
          <w:lang w:val="es-MX"/>
        </w:rPr>
      </w:pPr>
      <w:r>
        <w:rPr>
          <w:vertAlign w:val="superscript"/>
          <w:lang w:val="es-MX"/>
        </w:rPr>
        <w:t>d</w:t>
      </w:r>
      <w:r w:rsidR="009D7EDF" w:rsidRPr="00107BBB">
        <w:rPr>
          <w:lang w:val="es-MX"/>
        </w:rPr>
        <w:t>Universidad Continental</w:t>
      </w:r>
      <w:r w:rsidR="009D7EDF">
        <w:rPr>
          <w:lang w:val="es-MX"/>
        </w:rPr>
        <w:t xml:space="preserve">, </w:t>
      </w:r>
      <w:r w:rsidR="009D7EDF" w:rsidRPr="00107BBB">
        <w:rPr>
          <w:lang w:val="es-MX"/>
        </w:rPr>
        <w:t>Av. Alfredo Mendiola 5210, Los Olivos 15306</w:t>
      </w:r>
      <w:r w:rsidR="009D7EDF">
        <w:rPr>
          <w:lang w:val="es-MX"/>
        </w:rPr>
        <w:t>, Perú</w:t>
      </w:r>
    </w:p>
    <w:p w14:paraId="7AACC406" w14:textId="640539C6" w:rsidR="009D7EDF" w:rsidRPr="002C291B" w:rsidRDefault="00383AB9" w:rsidP="009D7EDF">
      <w:pPr>
        <w:pStyle w:val="CETAddress"/>
        <w:rPr>
          <w:lang w:val="es-MX"/>
        </w:rPr>
      </w:pPr>
      <w:r>
        <w:rPr>
          <w:vertAlign w:val="superscript"/>
          <w:lang w:val="es-MX"/>
        </w:rPr>
        <w:t>e</w:t>
      </w:r>
      <w:r w:rsidR="009D7EDF" w:rsidRPr="00C71561">
        <w:rPr>
          <w:lang w:val="es-MX"/>
        </w:rPr>
        <w:t>Universidad Pontifica de Cataluña, España</w:t>
      </w:r>
    </w:p>
    <w:p w14:paraId="50E920E6" w14:textId="7E7BD734" w:rsidR="009D7EDF" w:rsidRDefault="009D7EDF" w:rsidP="009D7EDF">
      <w:pPr>
        <w:pStyle w:val="CETemail"/>
        <w:rPr>
          <w:lang w:val="es-PE"/>
        </w:rPr>
      </w:pPr>
      <w:r w:rsidRPr="00665B0A">
        <w:rPr>
          <w:lang w:val="es-PE"/>
        </w:rPr>
        <w:t xml:space="preserve">*corresponding: </w:t>
      </w:r>
      <w:r w:rsidRPr="00A1737B">
        <w:rPr>
          <w:lang w:val="es-PE"/>
        </w:rPr>
        <w:t>zvalenciar@unmsm.edu.pe</w:t>
      </w:r>
    </w:p>
    <w:p w14:paraId="0D606A45" w14:textId="77777777" w:rsidR="0018741B" w:rsidRPr="0018741B" w:rsidRDefault="0018741B" w:rsidP="0018741B">
      <w:pPr>
        <w:pStyle w:val="CETBodytext"/>
      </w:pPr>
      <w:r w:rsidRPr="0018741B">
        <w:t>Rivers are constantly affected by domestic wastewater discharges, which, depending on their pollutant load, can cause eutrophication, loss of biodiversity, alterations in the behavior and physiology of aquatic species, as well as public health problems. This study analyzed the influence of wastewater discharges from the wastewater treatment plant (WWTP) in the Elías Soplin Vargas district on the Yuracyacu River.</w:t>
      </w:r>
    </w:p>
    <w:p w14:paraId="46D98473" w14:textId="77777777" w:rsidR="0018741B" w:rsidRPr="0018741B" w:rsidRDefault="0018741B" w:rsidP="0018741B">
      <w:pPr>
        <w:pStyle w:val="CETBodytext"/>
      </w:pPr>
    </w:p>
    <w:p w14:paraId="4FD431F9" w14:textId="7E4EEBCA" w:rsidR="002B1A23" w:rsidRDefault="0018741B" w:rsidP="0018741B">
      <w:pPr>
        <w:pStyle w:val="CETBodytext"/>
      </w:pPr>
      <w:r w:rsidRPr="0018741B">
        <w:t>Four sampling points were established, and seven parameters were monitored, follow</w:t>
      </w:r>
      <w:r>
        <w:t>ing Peruvian regulations D.S. N</w:t>
      </w:r>
      <w:r w:rsidRPr="0018741B">
        <w:t>º 003-2010-MINAM over a three-month period. The results indicated that the mixing zone of the Yuracyacu River partially dilutes the concentrations of the effluent but does not completely mitigate its environmental impact. Compliance with Peruvian regulations, such as maximum permissible limits (MPL) and environmental quality standards for water (EQS), directly determines the environmental quality of the river.</w:t>
      </w:r>
    </w:p>
    <w:p w14:paraId="2498BC6B" w14:textId="77777777" w:rsidR="0018741B" w:rsidRPr="0018741B" w:rsidRDefault="0018741B" w:rsidP="0018741B">
      <w:pPr>
        <w:pStyle w:val="CETBodytext"/>
      </w:pPr>
    </w:p>
    <w:p w14:paraId="096B4987" w14:textId="19B50B34" w:rsidR="002B1A23" w:rsidRPr="005D5C04" w:rsidRDefault="006748EF" w:rsidP="002B1A23">
      <w:pPr>
        <w:pStyle w:val="CETBodytext"/>
        <w:numPr>
          <w:ilvl w:val="0"/>
          <w:numId w:val="24"/>
        </w:numPr>
        <w:ind w:left="284" w:hanging="284"/>
        <w:rPr>
          <w:b/>
          <w:sz w:val="20"/>
          <w:lang w:val="es-MX"/>
        </w:rPr>
      </w:pPr>
      <w:r>
        <w:rPr>
          <w:b/>
          <w:sz w:val="20"/>
          <w:lang w:val="es-MX"/>
        </w:rPr>
        <w:t>Introduction</w:t>
      </w:r>
    </w:p>
    <w:p w14:paraId="76281D08" w14:textId="6BD14AB3" w:rsidR="0019009B" w:rsidRDefault="006748EF" w:rsidP="002B1A23">
      <w:pPr>
        <w:pStyle w:val="CETBodytext"/>
      </w:pPr>
      <w:r w:rsidRPr="006748EF">
        <w:t>Freshwater is an essential resource, but its quality is constantly threatened by human activities such as domestic wastewater discharges. The reuse of wastewater for crop irrigation can be a necessary alternative due to freshwater sca</w:t>
      </w:r>
      <w:r>
        <w:t>rcity and groundwater depletion</w:t>
      </w:r>
      <w:r w:rsidR="00E94AA9" w:rsidRPr="006748EF">
        <w:t xml:space="preserve"> </w:t>
      </w:r>
      <w:r w:rsidR="00D60D10">
        <w:rPr>
          <w:lang w:val="es-MX"/>
        </w:rPr>
        <w:fldChar w:fldCharType="begin" w:fldLock="1"/>
      </w:r>
      <w:r w:rsidR="000E7719">
        <w:instrText>ADDIN CSL_CITATION {"citationItems":[{"id":"ITEM-1","itemData":{"DOI":"10.1016/j.totert.2023.100051","ISSN":"27728099","abstract":"Reusing sewage water for crop irrigation becomes necessary due to freshwater scarcity, and groundwater depletion. Although the suitability of using treated sewage for crop irrigation remains a topic of argument among government authorities and policymakers. In light of this, this review article summarizes the present global situation and techniques for recycling and application of treated sewage water in agriculture. This paper highlights the environmental, health, and economic impacts of using wastewater as crop irrigation water, along with the advantages and disadvantages are carefully considered. The main objective of this study is to present a global scenario of treated wastewater being used to irrigate agricultural crops, along with the hazards associated with soil fertility, crop production, public health, and economic factors. This study compiled information on the best sewage treatment for agricultural irrigation disinfection practices. Eventually, database of laws and rules governing the use of sewage or wastewater in agricultural irrigation techniques for many countries throughout the world was created. As an environmental impact, effects on water bodies, quality of agricultural soil, microbial communities of soil, and growth of plants have been summarized. For the impact on public health, significant emphasis was given to the exposure to pathogens and heavy metals for both farmers and consumers. The potential risks of utilizing sewage water for human consumption have also been summarised. Focusing on summarizing economic impact involves financial investment and benefits to sewage treatment plants and farmers.","author":[{"dropping-particle":"","family":"Mishra","given":"Soma","non-dropping-particle":"","parse-names":false,"suffix":""},{"dropping-particle":"","family":"Kumar","given":"Rakesh","non-dropping-particle":"","parse-names":false,"suffix":""},{"dropping-particle":"","family":"Kumar","given":"Manish","non-dropping-particle":"","parse-names":false,"suffix":""}],"container-title":"Total Environment Research Themes","id":"ITEM-1","issue":"March","issued":{"date-parts":[["2023"]]},"page":"100051","publisher":"The Author(s)","title":"Use of treated sewage or wastewater as an irrigation water for agricultural purposes- Environmental, health, and economic impacts","type":"article-journal","volume":"6"},"uris":["http://www.mendeley.com/documents/?uuid=73ca8197-cd58-42d5-9185-1316d3388d20"]}],"mendeley":{"formattedCitation":"(Mishra, Kumar and Kumar, 2023)","plainTextFormattedCitation":"(Mishra, Kumar and Kumar, 2023)","previouslyFormattedCitation":"(Mishra, Kumar and Kumar, 2023)"},"properties":{"noteIndex":0},"schema":"https://github.com/citation-style-language/schema/raw/master/csl-citation.json"}</w:instrText>
      </w:r>
      <w:r w:rsidR="00D60D10">
        <w:rPr>
          <w:lang w:val="es-MX"/>
        </w:rPr>
        <w:fldChar w:fldCharType="separate"/>
      </w:r>
      <w:r w:rsidR="00D60D10" w:rsidRPr="00E03205">
        <w:rPr>
          <w:noProof/>
        </w:rPr>
        <w:t>(Mishra, Kumar and Kumar, 2023)</w:t>
      </w:r>
      <w:r w:rsidR="00D60D10">
        <w:rPr>
          <w:lang w:val="es-MX"/>
        </w:rPr>
        <w:fldChar w:fldCharType="end"/>
      </w:r>
      <w:r w:rsidR="00E94AA9" w:rsidRPr="00E03205">
        <w:t xml:space="preserve">. </w:t>
      </w:r>
      <w:r w:rsidR="00E03205" w:rsidRPr="00E03205">
        <w:t>However, the suitability of using treated wastewater for this purpose remains a topic of debate among government authorities and policymakers.</w:t>
      </w:r>
    </w:p>
    <w:p w14:paraId="1A67610A" w14:textId="77777777" w:rsidR="00144015" w:rsidRPr="003651C8" w:rsidRDefault="00144015" w:rsidP="002B1A23">
      <w:pPr>
        <w:pStyle w:val="CETBodytext"/>
      </w:pPr>
    </w:p>
    <w:p w14:paraId="257CAAAB" w14:textId="4D34DA23" w:rsidR="00144015" w:rsidRDefault="00144015" w:rsidP="009C4C47">
      <w:pPr>
        <w:pStyle w:val="CETBodytext"/>
      </w:pPr>
      <w:r w:rsidRPr="00144015">
        <w:t>There are different systems for wastewater treatment, which can be classified into two main treatment strategies: industrial wastewater is typically treated using physicochemical methods, while domestic or urban wastewater is treat</w:t>
      </w:r>
      <w:r>
        <w:t>ed through biological processes</w:t>
      </w:r>
      <w:r w:rsidRPr="00144015">
        <w:t xml:space="preserve"> </w:t>
      </w:r>
      <w:r w:rsidR="00467322">
        <w:rPr>
          <w:lang w:val="es-MX"/>
        </w:rPr>
        <w:fldChar w:fldCharType="begin" w:fldLock="1"/>
      </w:r>
      <w:r w:rsidR="00467322" w:rsidRPr="00144015">
        <w:instrText>ADDIN CSL_CITATION {"citationItems":[{"id":"ITEM-1","itemData":{"DOI":"10.3303/CET2291051","ISBN":"9788895608891","ISSN":"22839216","abstract":"It is important to update work procedures in the preventive aspects and occupational diseases of wastewater treatment plants. The objective of the research was to identify levels of exposure to hazardous products by the tasks performed in wastewater treatment plants in order to update work procedures in the preventive aspects and occupational diseases of wastewater treatment plants, and reduce health risks and negative impacts on the environment. One of the operating processes in the treatment of domestic wastewater is coagulation, where aluminum sulfate is generally used with very efficient results, but it generates health and environmental risks; Therefore, the coagulating power of Opuntia ficus-indica clouded and Caesalpinia spinosa gum was evaluated against the conventional coagulant Aluminum Sulfate to remove turbidity from water samples of the UASB effluent from the Septic Tank of the Wastewater Research Center (CITRAR) - UNI. The tests were done by jar test for the coagulation, flocculation and sedimentation process, in six equal doses for each coagulant. The results of coagulant removal efficiency were 59.42 % when using a dose of 40 mg/L of Opuntia ficus-indica, 55.78 % with a dose of 110 mg/L of Caesalpinia spinosa and 91.60 % with a dose of 70 mg/L of Aluminum Sulfate. The results indicate that natural coagulants offer considerable percentages of turbidity improvement in the treatment of urban effluents; therefore, replacing the use of aluminum sulfate with natural coagulants reduces negative impacts and prevents damage to health, providing safety to workers and the environment.","author":[{"dropping-particle":"","family":"Vargas","given":"María A.","non-dropping-particle":"","parse-names":false,"suffix":""},{"dropping-particle":"","family":"Armas","given":"Alex S.","non-dropping-particle":"","parse-names":false,"suffix":""},{"dropping-particle":"","family":"Valencia","given":"Zanhy L.","non-dropping-particle":"","parse-names":false,"suffix":""},{"dropping-particle":"","family":"Benites","given":"Elmer","non-dropping-particle":"","parse-names":false,"suffix":""}],"container-title":"Chemical Engineering Transactions","id":"ITEM-1","issue":"January","issued":{"date-parts":[["2022"]]},"page":"301-306","title":"Safety in Wastewater Treatment Plants and the use of Natural Coagulants as an Alternative for Turbidity","type":"article-journal","volume":"91"},"uris":["http://www.mendeley.com/documents/?uuid=38b4848c-2d58-4ad3-b9ca-afefaba370fa"]}],"mendeley":{"formattedCitation":"(Vargas &lt;i&gt;et al.&lt;/i&gt;, 2022)","plainTextFormattedCitation":"(Vargas et al., 2022)","previouslyFormattedCitation":"(Vargas &lt;i&gt;et al.&lt;/i&gt;, 2022)"},"properties":{"noteIndex":0},"schema":"https://github.com/citation-style-language/schema/raw/master/csl-citation.json"}</w:instrText>
      </w:r>
      <w:r w:rsidR="00467322">
        <w:rPr>
          <w:lang w:val="es-MX"/>
        </w:rPr>
        <w:fldChar w:fldCharType="separate"/>
      </w:r>
      <w:r w:rsidR="00467322" w:rsidRPr="00144015">
        <w:rPr>
          <w:noProof/>
        </w:rPr>
        <w:t xml:space="preserve">(Vargas </w:t>
      </w:r>
      <w:r w:rsidR="00467322" w:rsidRPr="00144015">
        <w:rPr>
          <w:i/>
          <w:noProof/>
        </w:rPr>
        <w:t>et al.</w:t>
      </w:r>
      <w:r w:rsidR="00467322" w:rsidRPr="00144015">
        <w:rPr>
          <w:noProof/>
        </w:rPr>
        <w:t>, 2022)</w:t>
      </w:r>
      <w:r w:rsidR="00467322">
        <w:rPr>
          <w:lang w:val="es-MX"/>
        </w:rPr>
        <w:fldChar w:fldCharType="end"/>
      </w:r>
      <w:r w:rsidR="00467322" w:rsidRPr="00144015">
        <w:t xml:space="preserve">. </w:t>
      </w:r>
      <w:r w:rsidRPr="00144015">
        <w:t>In Peru, this issue severely affects aquatic ecosystems, particularly in regions where treatment infrastructure is inadequate. The Yuracyacu River, located in the Elías Soplin Vargas district, is an emblematic case where untreated or insufficiently treated wastewater compromises water quality, impacting downstream users and aquatic ecosystems. This study evaluates the relationship between the effluent quality of the wastewater treatment plant (WWTP), compliance with maximum permissible limits (MPL), and the environmental impact on the receiving water body.</w:t>
      </w:r>
    </w:p>
    <w:p w14:paraId="7FA15723" w14:textId="6B98E587" w:rsidR="00105A56" w:rsidRDefault="00105A56" w:rsidP="009C4C47">
      <w:pPr>
        <w:pStyle w:val="CETBodytext"/>
      </w:pPr>
    </w:p>
    <w:p w14:paraId="63AA6A25" w14:textId="224708FB" w:rsidR="00105A56" w:rsidRPr="00144015" w:rsidRDefault="00105A56" w:rsidP="009C4C47">
      <w:pPr>
        <w:pStyle w:val="CETBodytext"/>
      </w:pPr>
      <w:r>
        <w:t>Non-compliance with the Environmental Quality Standards (EQS) could have significant socioeconomic impacts, particularly for communities that rely on water resources for irrigation, livestock, and daily activities. Understanding these implications underscores the importance of effective wastewater treatment and regulatory compliance in regions such as the district of Elías Soplin Vargas in Peru.</w:t>
      </w:r>
    </w:p>
    <w:p w14:paraId="105D20ED" w14:textId="0E44E9DF" w:rsidR="009C4C47" w:rsidRPr="00144015" w:rsidRDefault="009C4C47" w:rsidP="009C4C47">
      <w:pPr>
        <w:pStyle w:val="CETBodytext"/>
        <w:rPr>
          <w:b/>
          <w:sz w:val="20"/>
        </w:rPr>
      </w:pPr>
      <w:r w:rsidRPr="00144015">
        <w:rPr>
          <w:b/>
          <w:sz w:val="20"/>
        </w:rPr>
        <w:lastRenderedPageBreak/>
        <w:t xml:space="preserve">2. </w:t>
      </w:r>
      <w:r w:rsidR="00144015" w:rsidRPr="00144015">
        <w:rPr>
          <w:b/>
          <w:sz w:val="20"/>
        </w:rPr>
        <w:t>Methodology</w:t>
      </w:r>
    </w:p>
    <w:p w14:paraId="2B63E47E" w14:textId="7D6B37B3" w:rsidR="0019009B" w:rsidRPr="00144015" w:rsidRDefault="00144015" w:rsidP="0038371A">
      <w:pPr>
        <w:pStyle w:val="CETBodytext"/>
      </w:pPr>
      <w:r w:rsidRPr="00144015">
        <w:t>Four strategic sampling points were established: upstream, at the discharge point, within the mixing zone, and downstream. The monitored parameters included biochemical oxygen demand (BOD5), chemical oxygen demand (COD), thermotolerant coliforms, oils and fats, total suspended solids (TSS), pH, and temperature.</w:t>
      </w:r>
    </w:p>
    <w:p w14:paraId="5055F3FD" w14:textId="6CD73B52" w:rsidR="0019009B" w:rsidRDefault="00144015" w:rsidP="0038371A">
      <w:pPr>
        <w:pStyle w:val="CETBodytext"/>
      </w:pPr>
      <w:r w:rsidRPr="00144015">
        <w:t>Monitoring was conducted over three consecutive months. The extent of the mixing zone was calculated using hydrodynamic models following the guidelines of the National Water Authority (ANA). The analyses compared the results with the maximum permissible limits (MPL) establishe</w:t>
      </w:r>
      <w:r>
        <w:t>d by Peruvian regulation D.S. N</w:t>
      </w:r>
      <w:r w:rsidRPr="00144015">
        <w:t>º 003-2010-MINAM. The selection of monitoring points was preliminarily conducted in the office using a map of the hydrographic unit. Data collection and integration were carried out using the Google Earth Pro and ArcGIS software tools.</w:t>
      </w:r>
    </w:p>
    <w:p w14:paraId="0EFD0B51" w14:textId="77777777" w:rsidR="00144015" w:rsidRPr="00144015" w:rsidRDefault="00144015" w:rsidP="0038371A">
      <w:pPr>
        <w:pStyle w:val="CETBodytext"/>
      </w:pPr>
    </w:p>
    <w:p w14:paraId="4E9FCB50" w14:textId="2525ABA7" w:rsidR="002B1A23" w:rsidRDefault="00144015" w:rsidP="002B1A23">
      <w:pPr>
        <w:pStyle w:val="CETBodytext"/>
      </w:pPr>
      <w:r w:rsidRPr="00144015">
        <w:t>Once the monitoring points were identified, their locations were determined using the Global Positioning System (GPS). To ensure effective monitoring, materials and equipment were prepared in advance following the surface water sampling protocol. The collected samples were transported for analysis to an accredited testing and quality control laboratory. Water samples were stored in plastic and glass containers and preserved in a large cooler with ice packs to maintain their integrity.</w:t>
      </w:r>
    </w:p>
    <w:p w14:paraId="3136E9DB" w14:textId="77777777" w:rsidR="00144015" w:rsidRPr="00144015" w:rsidRDefault="00144015" w:rsidP="002B1A23">
      <w:pPr>
        <w:pStyle w:val="CETBodytext"/>
      </w:pPr>
    </w:p>
    <w:p w14:paraId="3ED8B3AB" w14:textId="4CF2D9B9" w:rsidR="00760194" w:rsidRPr="00144015" w:rsidRDefault="00760194" w:rsidP="002B1A23">
      <w:pPr>
        <w:pStyle w:val="CETBodytext"/>
        <w:rPr>
          <w:b/>
        </w:rPr>
      </w:pPr>
      <w:r w:rsidRPr="00144015">
        <w:rPr>
          <w:b/>
        </w:rPr>
        <w:t xml:space="preserve">2.1 </w:t>
      </w:r>
      <w:r w:rsidR="00144015" w:rsidRPr="00144015">
        <w:rPr>
          <w:b/>
        </w:rPr>
        <w:t>Maximum Permissible Limits for Effluents from Domestic or Municipal Wastewater Treatment Plants</w:t>
      </w:r>
    </w:p>
    <w:p w14:paraId="09BD026E" w14:textId="7C2445D1" w:rsidR="00144015" w:rsidRPr="003651C8" w:rsidRDefault="00144015" w:rsidP="00144015">
      <w:pPr>
        <w:pStyle w:val="CETBodytext"/>
      </w:pPr>
      <w:r>
        <w:t>According to peruvian regulation supreme d</w:t>
      </w:r>
      <w:r w:rsidR="009E3F9A">
        <w:t xml:space="preserve">ecree N° </w:t>
      </w:r>
      <w:r w:rsidRPr="00144015">
        <w:t>003-2010-MINAM, the maximum permissible limit is the measure of the concentration or degree of elements, substances, or physical, chemical, and biological parameters that characterize an emission, which, when exceeded, causes or may cause harm to health, human well-being, and the environment</w:t>
      </w:r>
      <w:r>
        <w:t xml:space="preserve"> </w:t>
      </w:r>
      <w:r w:rsidR="00760194">
        <w:rPr>
          <w:lang w:val="es-ES_tradnl"/>
        </w:rPr>
        <w:fldChar w:fldCharType="begin" w:fldLock="1"/>
      </w:r>
      <w:r w:rsidR="00C44403" w:rsidRPr="00144015">
        <w:instrText>ADDIN CSL_CITATION {"citationItems":[{"id":"ITEM-1","itemData":{"abstract":"Lima, miércoles 17 de marzo de 2010 415675 de impuestos o de derechos aduaneros de ninguna clase o denominación. Artículo 5º.-La presente Resolución Suprema será refrendada por el Presidente del Consejo de Ministros. Regístrese, comuníquese y publíquese. DECRETO SUPREMO Nº 003-2010-MINAM EL PRESIDENTE DE LA REPÚBLICA CONSIDERANDO: Que, el artículo 3º de la Ley Nº 28611, Ley General del Ambiente, dispone que el Estado, a través de sus entidades y órganos correspondientes, diseña y aplica, las políticas, normas, instrumentos, incentivos y sanciones que sean necesarias para garantizar el efectivo ejercicio de los derechos y el cumplimiento de las obligaciones y responsabilidades contenidas en dicha ley; Que, el numeral 32.1 del artículo 32º de la Ley General del Ambiente define al Límite Máximo Permisible -LMP, como la medida de concentración o grado de elementos, sustancias o parámetros físicos, químicos y biológicos, que caracterizan a un efluente o una emisión, que al ser excedida causa o puede causar daños a la salud, al bienestar humano y al ambiente. Su determinación corresponde al Ministerio del Ambiente. Su cumplimiento es exigible legalmente por el Ministerio del Ambiente y los organismos que conforman el Sistema Nacional de Gestión Ambiental. Los criterios para la determinación de la supervisión y sanción serán establecidos por dicho Ministerio; Que, el numeral 33.4 del artículo 33º de la Ley Nº 28611 en mención dispone que, en el proceso de revisión de los parámetros de contaminación ambiental, con la finalidad de determinar nuevos niveles de calidad, se aplique el principio de la gradualidad, permitiendo ajustes progresivos a dichos niveles para las actividades en curso; Que, el literal d) del artículo 7º del Decreto Legislativo Nº 1013, Ley</w:instrText>
      </w:r>
      <w:r w:rsidR="00C44403" w:rsidRPr="009E3F9A">
        <w:instrText xml:space="preserve"> de Creación, Organización y Funciones del Ministerio del Ambiente -MINAM, establece como función específica de dicho Ministerio, elaborar los Estándares de Calidad Ambiental (ECA) y Límites Máximos Permisibles (LMP), de acuerdo con los planes respectivos. Deben contar con la opinión del sector correspondiente, debiendo ser aprobados mediante Decreto Supremo; Que, mediante Resolución Ministerial Nº 121-2009-MINAM, se aprobó el Plan de Estándares de Calidad Ambiental (ECA) y Límites Máximos Permisibles (LMP) para el año fiscal 2009 que contiene dentro de su anexo la elaboración del Límite Máximo Permisible para los efluentes de Plantas de Tratamiento de fuentes domésticas; Que el artículo 14º del Reglamento d…","author":[{"dropping-particle":"","family":"MINAM","given":"","non-dropping-par</w:instrText>
      </w:r>
      <w:r w:rsidR="00C44403" w:rsidRPr="00144015">
        <w:rPr>
          <w:lang w:val="es-MX"/>
        </w:rPr>
        <w:instrText>ticle":"","parse-names":false,"suffix":""}],"container-title":"Normas Legales El Peruano","id":"ITEM-1","issued":{"date-parts":[["2010"]]},"number-of-pages":"1-2","title":"Decreto Supremo Nº 003-2010-MINAM Aprueban Limites Máximos Permisibles para los efluentes de Plantas de Tratamiento de Aguas Residuales Domésticas o Municipales","type":"report"},"uris":["http://www.mendeley.com/documents/?uuid=7b6f491d-8f53-467a-b193-dab8c3f7f65b"]}],"mendeley":{"formattedCitation":"(MINAM, 2010)","plainTextFormattedCitation":"(MINAM, 2010)","previouslyFormattedCitation":"(MINAM, 2010)"},"properties":{"noteIndex":0},"schema":"https://github.com/citation-style-language/schema/raw/master/csl-citation.json"}</w:instrText>
      </w:r>
      <w:r w:rsidR="00760194">
        <w:rPr>
          <w:lang w:val="es-ES_tradnl"/>
        </w:rPr>
        <w:fldChar w:fldCharType="separate"/>
      </w:r>
      <w:r w:rsidR="00760194" w:rsidRPr="00760194">
        <w:rPr>
          <w:noProof/>
          <w:lang w:val="es-ES_tradnl"/>
        </w:rPr>
        <w:t>(MINAM, 2010)</w:t>
      </w:r>
      <w:r w:rsidR="00760194">
        <w:rPr>
          <w:lang w:val="es-ES_tradnl"/>
        </w:rPr>
        <w:fldChar w:fldCharType="end"/>
      </w:r>
      <w:r w:rsidR="00760194" w:rsidRPr="00760194">
        <w:rPr>
          <w:lang w:val="es-ES_tradnl"/>
        </w:rPr>
        <w:t xml:space="preserve">. </w:t>
      </w:r>
      <w:r w:rsidRPr="003651C8">
        <w:t>Table 1 shows the maximum permissible limits (MPL) for effluents from the wastewater treatment plant.</w:t>
      </w:r>
    </w:p>
    <w:p w14:paraId="78EB2FD6" w14:textId="77777777" w:rsidR="00144015" w:rsidRPr="003651C8" w:rsidRDefault="00144015" w:rsidP="00144015">
      <w:pPr>
        <w:pStyle w:val="CETBodytext"/>
      </w:pPr>
    </w:p>
    <w:p w14:paraId="0E102D47" w14:textId="22D76148" w:rsidR="000A3B51" w:rsidRPr="00F25E4C" w:rsidRDefault="000A3B51" w:rsidP="00144015">
      <w:pPr>
        <w:pStyle w:val="CETBodytext"/>
        <w:rPr>
          <w:i/>
        </w:rPr>
      </w:pPr>
      <w:r w:rsidRPr="00F25E4C">
        <w:rPr>
          <w:i/>
        </w:rPr>
        <w:t>T</w:t>
      </w:r>
      <w:r w:rsidR="00B00084" w:rsidRPr="00F25E4C">
        <w:rPr>
          <w:i/>
        </w:rPr>
        <w:t xml:space="preserve">able 1. </w:t>
      </w:r>
      <w:r w:rsidR="00D2731D" w:rsidRPr="00F25E4C">
        <w:rPr>
          <w:i/>
        </w:rPr>
        <w:t>Maximum Permissible Limits for Effluents from Domestic or Municipal Wastewater Treatment Plants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483"/>
        <w:gridCol w:w="2173"/>
        <w:gridCol w:w="2828"/>
      </w:tblGrid>
      <w:tr w:rsidR="00EA2890" w:rsidRPr="00C73BF3" w14:paraId="25E51587" w14:textId="77777777" w:rsidTr="000D569C">
        <w:trPr>
          <w:trHeight w:val="491"/>
        </w:trPr>
        <w:tc>
          <w:tcPr>
            <w:tcW w:w="3483" w:type="dxa"/>
            <w:tcBorders>
              <w:top w:val="single" w:sz="12" w:space="0" w:color="008000"/>
              <w:bottom w:val="single" w:sz="6" w:space="0" w:color="008000"/>
            </w:tcBorders>
            <w:shd w:val="clear" w:color="auto" w:fill="FFFFFF"/>
          </w:tcPr>
          <w:p w14:paraId="1DA5C553" w14:textId="4B012518" w:rsidR="00EA2890" w:rsidRPr="006A26E5" w:rsidRDefault="00EA2890" w:rsidP="00EA2890">
            <w:pPr>
              <w:pStyle w:val="CETBodytext"/>
              <w:jc w:val="center"/>
              <w:rPr>
                <w:rFonts w:cs="Arial"/>
                <w:szCs w:val="18"/>
                <w:lang w:val="en-GB"/>
              </w:rPr>
            </w:pPr>
            <w:r w:rsidRPr="006A26E5">
              <w:rPr>
                <w:rStyle w:val="Textoennegrita"/>
                <w:b w:val="0"/>
              </w:rPr>
              <w:t>Parameter</w:t>
            </w:r>
          </w:p>
        </w:tc>
        <w:tc>
          <w:tcPr>
            <w:tcW w:w="2173" w:type="dxa"/>
            <w:tcBorders>
              <w:top w:val="single" w:sz="12" w:space="0" w:color="008000"/>
              <w:bottom w:val="single" w:sz="6" w:space="0" w:color="008000"/>
            </w:tcBorders>
            <w:shd w:val="clear" w:color="auto" w:fill="FFFFFF"/>
            <w:vAlign w:val="center"/>
          </w:tcPr>
          <w:p w14:paraId="7B8FD465" w14:textId="4635F0AD" w:rsidR="00EA2890" w:rsidRPr="006A26E5" w:rsidRDefault="00EA2890" w:rsidP="00EA2890">
            <w:pPr>
              <w:pStyle w:val="CETBodytext"/>
              <w:jc w:val="center"/>
              <w:rPr>
                <w:rFonts w:cs="Arial"/>
                <w:szCs w:val="18"/>
                <w:lang w:val="en-GB"/>
              </w:rPr>
            </w:pPr>
            <w:r w:rsidRPr="006A26E5">
              <w:rPr>
                <w:rFonts w:eastAsia="Calibri" w:cs="Arial"/>
                <w:szCs w:val="18"/>
                <w:lang w:val="es-ES_tradnl"/>
              </w:rPr>
              <w:t>Unit</w:t>
            </w:r>
          </w:p>
        </w:tc>
        <w:tc>
          <w:tcPr>
            <w:tcW w:w="2828" w:type="dxa"/>
            <w:tcBorders>
              <w:top w:val="single" w:sz="12" w:space="0" w:color="008000"/>
              <w:bottom w:val="single" w:sz="6" w:space="0" w:color="008000"/>
            </w:tcBorders>
            <w:shd w:val="clear" w:color="auto" w:fill="FFFFFF"/>
            <w:vAlign w:val="center"/>
          </w:tcPr>
          <w:p w14:paraId="57D41F53" w14:textId="106EB993" w:rsidR="00EA2890" w:rsidRPr="006A26E5" w:rsidRDefault="00C73BF3" w:rsidP="00EA2890">
            <w:pPr>
              <w:pStyle w:val="CETBodytext"/>
              <w:jc w:val="center"/>
              <w:rPr>
                <w:rFonts w:cs="Arial"/>
                <w:szCs w:val="18"/>
              </w:rPr>
            </w:pPr>
            <w:r w:rsidRPr="006A26E5">
              <w:rPr>
                <w:rFonts w:eastAsia="Calibri" w:cs="Arial"/>
                <w:szCs w:val="18"/>
              </w:rPr>
              <w:t>MPL for Effluents Discharged into Water Bodies</w:t>
            </w:r>
          </w:p>
        </w:tc>
      </w:tr>
      <w:tr w:rsidR="00EA2890" w:rsidRPr="000E15DC" w14:paraId="5D8FEA61" w14:textId="77777777" w:rsidTr="000D569C">
        <w:trPr>
          <w:trHeight w:val="246"/>
        </w:trPr>
        <w:tc>
          <w:tcPr>
            <w:tcW w:w="3483" w:type="dxa"/>
            <w:shd w:val="clear" w:color="auto" w:fill="FFFFFF"/>
          </w:tcPr>
          <w:p w14:paraId="60779A88" w14:textId="2AF9BAA9" w:rsidR="00EA2890" w:rsidRPr="00EA2890" w:rsidRDefault="00EA2890" w:rsidP="00EA2890">
            <w:pPr>
              <w:pStyle w:val="CETBodytext"/>
              <w:rPr>
                <w:rFonts w:cs="Arial"/>
                <w:b/>
                <w:szCs w:val="18"/>
                <w:lang w:val="en-GB"/>
              </w:rPr>
            </w:pPr>
            <w:r w:rsidRPr="00EA2890">
              <w:rPr>
                <w:rStyle w:val="Textoennegrita"/>
                <w:b w:val="0"/>
              </w:rPr>
              <w:t>Chemical Oxygen Demand (COD)</w:t>
            </w:r>
          </w:p>
        </w:tc>
        <w:tc>
          <w:tcPr>
            <w:tcW w:w="2173" w:type="dxa"/>
            <w:shd w:val="clear" w:color="auto" w:fill="FFFFFF"/>
            <w:vAlign w:val="center"/>
          </w:tcPr>
          <w:p w14:paraId="67703FFA" w14:textId="7755A4CA" w:rsidR="00EA2890" w:rsidRPr="000E15DC" w:rsidRDefault="00EA2890" w:rsidP="00EA2890">
            <w:pPr>
              <w:pStyle w:val="CETBodytext"/>
              <w:jc w:val="center"/>
              <w:rPr>
                <w:rFonts w:cs="Arial"/>
                <w:szCs w:val="18"/>
                <w:lang w:val="en-GB"/>
              </w:rPr>
            </w:pPr>
            <w:r w:rsidRPr="000E15DC">
              <w:rPr>
                <w:rFonts w:eastAsia="Calibri" w:cs="Arial"/>
                <w:szCs w:val="18"/>
                <w:lang w:val="es-ES_tradnl"/>
              </w:rPr>
              <w:t>mg/L</w:t>
            </w:r>
          </w:p>
        </w:tc>
        <w:tc>
          <w:tcPr>
            <w:tcW w:w="2828" w:type="dxa"/>
            <w:shd w:val="clear" w:color="auto" w:fill="FFFFFF"/>
            <w:vAlign w:val="center"/>
          </w:tcPr>
          <w:p w14:paraId="58533B3A" w14:textId="2B9FDA43" w:rsidR="00EA2890" w:rsidRPr="000E15DC" w:rsidRDefault="00EA2890" w:rsidP="00EA2890">
            <w:pPr>
              <w:pStyle w:val="CETBodytext"/>
              <w:jc w:val="center"/>
              <w:rPr>
                <w:rFonts w:cs="Arial"/>
                <w:szCs w:val="18"/>
                <w:lang w:val="en-GB"/>
              </w:rPr>
            </w:pPr>
            <w:r w:rsidRPr="000E15DC">
              <w:rPr>
                <w:rFonts w:eastAsia="Calibri" w:cs="Arial"/>
                <w:szCs w:val="18"/>
                <w:lang w:val="es-ES_tradnl"/>
              </w:rPr>
              <w:t>200</w:t>
            </w:r>
          </w:p>
        </w:tc>
      </w:tr>
      <w:tr w:rsidR="00EA2890" w:rsidRPr="000E15DC" w14:paraId="74C2ACFF" w14:textId="77777777" w:rsidTr="000D569C">
        <w:trPr>
          <w:trHeight w:val="246"/>
        </w:trPr>
        <w:tc>
          <w:tcPr>
            <w:tcW w:w="3483" w:type="dxa"/>
            <w:shd w:val="clear" w:color="auto" w:fill="FFFFFF"/>
          </w:tcPr>
          <w:p w14:paraId="1FB1A97F" w14:textId="05466FA1" w:rsidR="00EA2890" w:rsidRPr="00EA2890" w:rsidRDefault="00EA2890" w:rsidP="00EA2890">
            <w:pPr>
              <w:pStyle w:val="CETBodytext"/>
              <w:rPr>
                <w:rFonts w:eastAsia="Calibri" w:cs="Arial"/>
                <w:b/>
                <w:szCs w:val="18"/>
                <w:lang w:val="es-ES_tradnl"/>
              </w:rPr>
            </w:pPr>
            <w:r w:rsidRPr="00EA2890">
              <w:rPr>
                <w:rStyle w:val="Textoennegrita"/>
                <w:b w:val="0"/>
              </w:rPr>
              <w:t>Biochemical Oxygen Demand (BOD)</w:t>
            </w:r>
          </w:p>
        </w:tc>
        <w:tc>
          <w:tcPr>
            <w:tcW w:w="2173" w:type="dxa"/>
            <w:shd w:val="clear" w:color="auto" w:fill="FFFFFF"/>
            <w:vAlign w:val="center"/>
          </w:tcPr>
          <w:p w14:paraId="7DC036A3" w14:textId="0436A6AB" w:rsidR="00EA2890" w:rsidRPr="000E15DC" w:rsidRDefault="00EA2890" w:rsidP="00EA2890">
            <w:pPr>
              <w:pStyle w:val="CETBodytext"/>
              <w:jc w:val="center"/>
              <w:rPr>
                <w:rFonts w:eastAsia="Calibri" w:cs="Arial"/>
                <w:szCs w:val="18"/>
                <w:lang w:val="es-ES_tradnl"/>
              </w:rPr>
            </w:pPr>
            <w:r w:rsidRPr="000E15DC">
              <w:rPr>
                <w:rFonts w:eastAsia="Calibri" w:cs="Arial"/>
                <w:szCs w:val="18"/>
                <w:lang w:val="es-ES_tradnl"/>
              </w:rPr>
              <w:t>mg/L</w:t>
            </w:r>
          </w:p>
        </w:tc>
        <w:tc>
          <w:tcPr>
            <w:tcW w:w="2828" w:type="dxa"/>
            <w:shd w:val="clear" w:color="auto" w:fill="FFFFFF"/>
            <w:vAlign w:val="center"/>
          </w:tcPr>
          <w:p w14:paraId="51FD12AF" w14:textId="3FA4AA4A" w:rsidR="00EA2890" w:rsidRPr="000E15DC" w:rsidRDefault="00EA2890" w:rsidP="00EA2890">
            <w:pPr>
              <w:pStyle w:val="CETBodytext"/>
              <w:jc w:val="center"/>
              <w:rPr>
                <w:rFonts w:eastAsia="Calibri" w:cs="Arial"/>
                <w:szCs w:val="18"/>
                <w:lang w:val="es-ES_tradnl"/>
              </w:rPr>
            </w:pPr>
            <w:r w:rsidRPr="000E15DC">
              <w:rPr>
                <w:rFonts w:eastAsia="Calibri" w:cs="Arial"/>
                <w:szCs w:val="18"/>
                <w:lang w:val="es-ES_tradnl"/>
              </w:rPr>
              <w:t>100</w:t>
            </w:r>
          </w:p>
        </w:tc>
      </w:tr>
      <w:tr w:rsidR="00EA2890" w:rsidRPr="000E15DC" w14:paraId="26177F37" w14:textId="77777777" w:rsidTr="000D569C">
        <w:trPr>
          <w:trHeight w:val="246"/>
        </w:trPr>
        <w:tc>
          <w:tcPr>
            <w:tcW w:w="3483" w:type="dxa"/>
            <w:shd w:val="clear" w:color="auto" w:fill="FFFFFF"/>
          </w:tcPr>
          <w:p w14:paraId="15301AC9" w14:textId="61FCBC3B" w:rsidR="00EA2890" w:rsidRPr="00EA2890" w:rsidRDefault="00EA2890" w:rsidP="00EA2890">
            <w:pPr>
              <w:pStyle w:val="CETBodytext"/>
              <w:rPr>
                <w:rFonts w:eastAsia="Calibri" w:cs="Arial"/>
                <w:b/>
                <w:szCs w:val="18"/>
                <w:lang w:val="es-ES_tradnl"/>
              </w:rPr>
            </w:pPr>
            <w:r w:rsidRPr="00EA2890">
              <w:rPr>
                <w:rStyle w:val="Textoennegrita"/>
                <w:b w:val="0"/>
              </w:rPr>
              <w:t>Thermotolerant Coliforms</w:t>
            </w:r>
          </w:p>
        </w:tc>
        <w:tc>
          <w:tcPr>
            <w:tcW w:w="2173" w:type="dxa"/>
            <w:shd w:val="clear" w:color="auto" w:fill="FFFFFF"/>
            <w:vAlign w:val="center"/>
          </w:tcPr>
          <w:p w14:paraId="718048EA" w14:textId="567206B9" w:rsidR="00EA2890" w:rsidRPr="000E15DC" w:rsidRDefault="00EA2890" w:rsidP="00EA2890">
            <w:pPr>
              <w:pStyle w:val="CETBodytext"/>
              <w:jc w:val="center"/>
              <w:rPr>
                <w:rFonts w:eastAsia="Calibri" w:cs="Arial"/>
                <w:szCs w:val="18"/>
                <w:lang w:val="es-ES_tradnl"/>
              </w:rPr>
            </w:pPr>
            <w:r w:rsidRPr="000E15DC">
              <w:rPr>
                <w:rFonts w:eastAsia="Calibri" w:cs="Arial"/>
                <w:szCs w:val="18"/>
                <w:lang w:val="es-ES_tradnl"/>
              </w:rPr>
              <w:t>NMP/100 mL</w:t>
            </w:r>
          </w:p>
        </w:tc>
        <w:tc>
          <w:tcPr>
            <w:tcW w:w="2828" w:type="dxa"/>
            <w:shd w:val="clear" w:color="auto" w:fill="FFFFFF"/>
            <w:vAlign w:val="center"/>
          </w:tcPr>
          <w:p w14:paraId="617A262D" w14:textId="6F78D307" w:rsidR="00EA2890" w:rsidRPr="000E15DC" w:rsidRDefault="00EA2890" w:rsidP="00EA2890">
            <w:pPr>
              <w:pStyle w:val="CETBodytext"/>
              <w:jc w:val="center"/>
              <w:rPr>
                <w:rFonts w:eastAsia="Calibri" w:cs="Arial"/>
                <w:szCs w:val="18"/>
                <w:lang w:val="es-ES_tradnl"/>
              </w:rPr>
            </w:pPr>
            <w:r w:rsidRPr="000E15DC">
              <w:rPr>
                <w:rFonts w:eastAsia="Calibri" w:cs="Arial"/>
                <w:szCs w:val="18"/>
                <w:lang w:val="es-ES_tradnl"/>
              </w:rPr>
              <w:t>10 000</w:t>
            </w:r>
          </w:p>
        </w:tc>
      </w:tr>
      <w:tr w:rsidR="00EA2890" w:rsidRPr="000E15DC" w14:paraId="70CD42FD" w14:textId="77777777" w:rsidTr="000D569C">
        <w:trPr>
          <w:trHeight w:val="246"/>
        </w:trPr>
        <w:tc>
          <w:tcPr>
            <w:tcW w:w="3483" w:type="dxa"/>
            <w:shd w:val="clear" w:color="auto" w:fill="FFFFFF"/>
          </w:tcPr>
          <w:p w14:paraId="4E1C3D7F" w14:textId="78068F3B" w:rsidR="00EA2890" w:rsidRPr="00EA2890" w:rsidRDefault="00EA2890" w:rsidP="00EA2890">
            <w:pPr>
              <w:pStyle w:val="CETBodytext"/>
              <w:rPr>
                <w:rFonts w:eastAsia="Calibri" w:cs="Arial"/>
                <w:b/>
                <w:szCs w:val="18"/>
                <w:lang w:val="es-ES_tradnl"/>
              </w:rPr>
            </w:pPr>
            <w:r w:rsidRPr="00EA2890">
              <w:rPr>
                <w:rStyle w:val="Textoennegrita"/>
                <w:b w:val="0"/>
              </w:rPr>
              <w:t>Oils and Greases</w:t>
            </w:r>
          </w:p>
        </w:tc>
        <w:tc>
          <w:tcPr>
            <w:tcW w:w="2173" w:type="dxa"/>
            <w:shd w:val="clear" w:color="auto" w:fill="FFFFFF"/>
            <w:vAlign w:val="center"/>
          </w:tcPr>
          <w:p w14:paraId="2C70085B" w14:textId="329C0819" w:rsidR="00EA2890" w:rsidRPr="000E15DC" w:rsidRDefault="00EA2890" w:rsidP="00EA2890">
            <w:pPr>
              <w:pStyle w:val="CETBodytext"/>
              <w:jc w:val="center"/>
              <w:rPr>
                <w:rFonts w:eastAsia="Calibri" w:cs="Arial"/>
                <w:szCs w:val="18"/>
                <w:lang w:val="es-ES_tradnl"/>
              </w:rPr>
            </w:pPr>
            <w:r w:rsidRPr="000E15DC">
              <w:rPr>
                <w:rFonts w:eastAsia="Calibri" w:cs="Arial"/>
                <w:szCs w:val="18"/>
                <w:lang w:val="es-ES_tradnl"/>
              </w:rPr>
              <w:t>mg/L</w:t>
            </w:r>
          </w:p>
        </w:tc>
        <w:tc>
          <w:tcPr>
            <w:tcW w:w="2828" w:type="dxa"/>
            <w:shd w:val="clear" w:color="auto" w:fill="FFFFFF"/>
            <w:vAlign w:val="center"/>
          </w:tcPr>
          <w:p w14:paraId="60FD4F04" w14:textId="26EF6F04" w:rsidR="00EA2890" w:rsidRPr="000E15DC" w:rsidRDefault="00EA2890" w:rsidP="00EA2890">
            <w:pPr>
              <w:pStyle w:val="CETBodytext"/>
              <w:jc w:val="center"/>
              <w:rPr>
                <w:rFonts w:eastAsia="Calibri" w:cs="Arial"/>
                <w:szCs w:val="18"/>
                <w:lang w:val="es-ES_tradnl"/>
              </w:rPr>
            </w:pPr>
            <w:r w:rsidRPr="000E15DC">
              <w:rPr>
                <w:rFonts w:eastAsia="Calibri" w:cs="Arial"/>
                <w:szCs w:val="18"/>
                <w:lang w:val="es-ES_tradnl"/>
              </w:rPr>
              <w:t>20</w:t>
            </w:r>
          </w:p>
        </w:tc>
      </w:tr>
      <w:tr w:rsidR="00EA2890" w:rsidRPr="000E15DC" w14:paraId="73F46633" w14:textId="77777777" w:rsidTr="000D569C">
        <w:trPr>
          <w:trHeight w:val="246"/>
        </w:trPr>
        <w:tc>
          <w:tcPr>
            <w:tcW w:w="3483" w:type="dxa"/>
            <w:shd w:val="clear" w:color="auto" w:fill="FFFFFF"/>
          </w:tcPr>
          <w:p w14:paraId="5BAD46B1" w14:textId="75F6DE1D" w:rsidR="00EA2890" w:rsidRPr="00EA2890" w:rsidRDefault="00EA2890" w:rsidP="00EA2890">
            <w:pPr>
              <w:pStyle w:val="CETBodytext"/>
              <w:rPr>
                <w:rFonts w:eastAsia="Calibri" w:cs="Arial"/>
                <w:b/>
                <w:szCs w:val="18"/>
                <w:lang w:val="es-ES_tradnl"/>
              </w:rPr>
            </w:pPr>
            <w:r w:rsidRPr="00EA2890">
              <w:rPr>
                <w:rStyle w:val="Textoennegrita"/>
                <w:b w:val="0"/>
              </w:rPr>
              <w:t>Temperature</w:t>
            </w:r>
          </w:p>
        </w:tc>
        <w:tc>
          <w:tcPr>
            <w:tcW w:w="2173" w:type="dxa"/>
            <w:shd w:val="clear" w:color="auto" w:fill="FFFFFF"/>
            <w:vAlign w:val="center"/>
          </w:tcPr>
          <w:p w14:paraId="217DCC0B" w14:textId="0DEABD83" w:rsidR="00EA2890" w:rsidRPr="000E15DC" w:rsidRDefault="00EA2890" w:rsidP="00EA2890">
            <w:pPr>
              <w:pStyle w:val="CETBodytext"/>
              <w:jc w:val="center"/>
              <w:rPr>
                <w:rFonts w:eastAsia="Calibri" w:cs="Arial"/>
                <w:szCs w:val="18"/>
                <w:lang w:val="es-ES_tradnl"/>
              </w:rPr>
            </w:pPr>
            <w:r w:rsidRPr="000E15DC">
              <w:rPr>
                <w:rFonts w:eastAsia="Calibri" w:cs="Arial"/>
                <w:szCs w:val="18"/>
                <w:lang w:val="es-ES_tradnl"/>
              </w:rPr>
              <w:t>°C</w:t>
            </w:r>
          </w:p>
        </w:tc>
        <w:tc>
          <w:tcPr>
            <w:tcW w:w="2828" w:type="dxa"/>
            <w:shd w:val="clear" w:color="auto" w:fill="FFFFFF"/>
            <w:vAlign w:val="center"/>
          </w:tcPr>
          <w:p w14:paraId="7209905E" w14:textId="01751021" w:rsidR="00EA2890" w:rsidRPr="000E15DC" w:rsidRDefault="00EA2890" w:rsidP="00EA2890">
            <w:pPr>
              <w:pStyle w:val="CETBodytext"/>
              <w:jc w:val="center"/>
              <w:rPr>
                <w:rFonts w:eastAsia="Calibri" w:cs="Arial"/>
                <w:szCs w:val="18"/>
                <w:lang w:val="es-ES_tradnl"/>
              </w:rPr>
            </w:pPr>
            <w:r w:rsidRPr="000E15DC">
              <w:rPr>
                <w:rFonts w:eastAsia="Calibri" w:cs="Arial"/>
                <w:szCs w:val="18"/>
                <w:lang w:val="es-ES_tradnl"/>
              </w:rPr>
              <w:t>&lt; 35</w:t>
            </w:r>
          </w:p>
        </w:tc>
      </w:tr>
      <w:tr w:rsidR="00EA2890" w:rsidRPr="000E15DC" w14:paraId="09F3BDF9" w14:textId="77777777" w:rsidTr="000D569C">
        <w:trPr>
          <w:trHeight w:val="246"/>
        </w:trPr>
        <w:tc>
          <w:tcPr>
            <w:tcW w:w="3483" w:type="dxa"/>
            <w:shd w:val="clear" w:color="auto" w:fill="FFFFFF"/>
          </w:tcPr>
          <w:p w14:paraId="0B4C8455" w14:textId="0523D724" w:rsidR="00EA2890" w:rsidRPr="00EA2890" w:rsidRDefault="00EA2890" w:rsidP="00EA2890">
            <w:pPr>
              <w:pStyle w:val="CETBodytext"/>
              <w:rPr>
                <w:rFonts w:eastAsia="Calibri" w:cs="Arial"/>
                <w:b/>
                <w:szCs w:val="18"/>
                <w:lang w:val="es-ES_tradnl"/>
              </w:rPr>
            </w:pPr>
            <w:r w:rsidRPr="00EA2890">
              <w:rPr>
                <w:rStyle w:val="Textoennegrita"/>
                <w:b w:val="0"/>
              </w:rPr>
              <w:t>Total Suspended Solids (TSS)</w:t>
            </w:r>
          </w:p>
        </w:tc>
        <w:tc>
          <w:tcPr>
            <w:tcW w:w="2173" w:type="dxa"/>
            <w:shd w:val="clear" w:color="auto" w:fill="FFFFFF"/>
            <w:vAlign w:val="center"/>
          </w:tcPr>
          <w:p w14:paraId="117D719F" w14:textId="7B718BDF" w:rsidR="00EA2890" w:rsidRPr="000E15DC" w:rsidRDefault="00EA2890" w:rsidP="00EA2890">
            <w:pPr>
              <w:pStyle w:val="CETBodytext"/>
              <w:jc w:val="center"/>
              <w:rPr>
                <w:rFonts w:eastAsia="Calibri" w:cs="Arial"/>
                <w:szCs w:val="18"/>
                <w:lang w:val="es-ES_tradnl"/>
              </w:rPr>
            </w:pPr>
            <w:r w:rsidRPr="000E15DC">
              <w:rPr>
                <w:rFonts w:eastAsia="Calibri" w:cs="Arial"/>
                <w:szCs w:val="18"/>
                <w:lang w:val="es-ES_tradnl"/>
              </w:rPr>
              <w:t>mL/L</w:t>
            </w:r>
          </w:p>
        </w:tc>
        <w:tc>
          <w:tcPr>
            <w:tcW w:w="2828" w:type="dxa"/>
            <w:shd w:val="clear" w:color="auto" w:fill="FFFFFF"/>
            <w:vAlign w:val="center"/>
          </w:tcPr>
          <w:p w14:paraId="147C91D8" w14:textId="4E0FD442" w:rsidR="00EA2890" w:rsidRPr="000E15DC" w:rsidRDefault="00EA2890" w:rsidP="00EA2890">
            <w:pPr>
              <w:pStyle w:val="CETBodytext"/>
              <w:jc w:val="center"/>
              <w:rPr>
                <w:rFonts w:eastAsia="Calibri" w:cs="Arial"/>
                <w:szCs w:val="18"/>
                <w:lang w:val="es-ES_tradnl"/>
              </w:rPr>
            </w:pPr>
            <w:r w:rsidRPr="000E15DC">
              <w:rPr>
                <w:rFonts w:eastAsia="Calibri" w:cs="Arial"/>
                <w:szCs w:val="18"/>
                <w:lang w:val="es-ES_tradnl"/>
              </w:rPr>
              <w:t>150</w:t>
            </w:r>
          </w:p>
        </w:tc>
      </w:tr>
      <w:tr w:rsidR="000E15DC" w:rsidRPr="000E15DC" w14:paraId="020DBC92" w14:textId="77777777" w:rsidTr="00490D8D">
        <w:trPr>
          <w:trHeight w:val="246"/>
        </w:trPr>
        <w:tc>
          <w:tcPr>
            <w:tcW w:w="3483" w:type="dxa"/>
            <w:shd w:val="clear" w:color="auto" w:fill="FFFFFF"/>
            <w:vAlign w:val="center"/>
          </w:tcPr>
          <w:p w14:paraId="528460E4" w14:textId="50588704" w:rsidR="000E15DC" w:rsidRPr="00EA2890" w:rsidRDefault="000E15DC" w:rsidP="000E15DC">
            <w:pPr>
              <w:pStyle w:val="CETBodytext"/>
              <w:rPr>
                <w:rFonts w:eastAsia="Calibri" w:cs="Arial"/>
                <w:szCs w:val="18"/>
                <w:lang w:val="es-ES_tradnl"/>
              </w:rPr>
            </w:pPr>
            <w:r w:rsidRPr="00EA2890">
              <w:rPr>
                <w:rFonts w:eastAsia="Calibri" w:cs="Arial"/>
                <w:szCs w:val="18"/>
                <w:lang w:val="es-ES_tradnl"/>
              </w:rPr>
              <w:t xml:space="preserve">pH </w:t>
            </w:r>
          </w:p>
        </w:tc>
        <w:tc>
          <w:tcPr>
            <w:tcW w:w="2173" w:type="dxa"/>
            <w:shd w:val="clear" w:color="auto" w:fill="FFFFFF"/>
            <w:vAlign w:val="center"/>
          </w:tcPr>
          <w:p w14:paraId="3B85DAC7" w14:textId="6F408CE7" w:rsidR="000E15DC" w:rsidRPr="000E15DC" w:rsidRDefault="000E15DC" w:rsidP="000E15DC">
            <w:pPr>
              <w:pStyle w:val="CETBodytext"/>
              <w:jc w:val="center"/>
              <w:rPr>
                <w:rFonts w:eastAsia="Calibri" w:cs="Arial"/>
                <w:szCs w:val="18"/>
                <w:lang w:val="es-ES_tradnl"/>
              </w:rPr>
            </w:pPr>
            <w:r w:rsidRPr="000E15DC">
              <w:rPr>
                <w:rFonts w:eastAsia="Calibri" w:cs="Arial"/>
                <w:szCs w:val="18"/>
                <w:lang w:val="es-ES_tradnl"/>
              </w:rPr>
              <w:t>Unidad</w:t>
            </w:r>
          </w:p>
        </w:tc>
        <w:tc>
          <w:tcPr>
            <w:tcW w:w="2828" w:type="dxa"/>
            <w:shd w:val="clear" w:color="auto" w:fill="FFFFFF"/>
            <w:vAlign w:val="center"/>
          </w:tcPr>
          <w:p w14:paraId="1926D6DE" w14:textId="1A6A5BB4" w:rsidR="000E15DC" w:rsidRPr="000E15DC" w:rsidRDefault="000E15DC" w:rsidP="000E15DC">
            <w:pPr>
              <w:pStyle w:val="CETBodytext"/>
              <w:jc w:val="center"/>
              <w:rPr>
                <w:rFonts w:eastAsia="Calibri" w:cs="Arial"/>
                <w:szCs w:val="18"/>
                <w:lang w:val="es-ES_tradnl"/>
              </w:rPr>
            </w:pPr>
            <w:r w:rsidRPr="000E15DC">
              <w:rPr>
                <w:rFonts w:eastAsia="Calibri" w:cs="Arial"/>
                <w:szCs w:val="18"/>
                <w:lang w:val="es-ES_tradnl"/>
              </w:rPr>
              <w:t>6,5-8,5</w:t>
            </w:r>
          </w:p>
        </w:tc>
      </w:tr>
    </w:tbl>
    <w:p w14:paraId="54A9B84C" w14:textId="77777777" w:rsidR="000A3B51" w:rsidRPr="00760194" w:rsidRDefault="000A3B51" w:rsidP="002B1A23">
      <w:pPr>
        <w:pStyle w:val="CETBodytext"/>
        <w:rPr>
          <w:lang w:val="es-ES_tradnl"/>
        </w:rPr>
      </w:pPr>
    </w:p>
    <w:p w14:paraId="467C1CA4" w14:textId="293C696B" w:rsidR="00102474" w:rsidRPr="006A26E5" w:rsidRDefault="00102474" w:rsidP="00102474">
      <w:pPr>
        <w:pStyle w:val="CETBodytext"/>
        <w:rPr>
          <w:b/>
        </w:rPr>
      </w:pPr>
      <w:r w:rsidRPr="006A26E5">
        <w:rPr>
          <w:b/>
        </w:rPr>
        <w:t xml:space="preserve">2.2 </w:t>
      </w:r>
      <w:r w:rsidR="006A26E5" w:rsidRPr="006A26E5">
        <w:rPr>
          <w:b/>
          <w:bCs/>
          <w:iCs/>
        </w:rPr>
        <w:t>Environmental Quality Standards for Water (EQS)</w:t>
      </w:r>
    </w:p>
    <w:p w14:paraId="57A998FF" w14:textId="06D81B5B" w:rsidR="006A26E5" w:rsidRPr="006A26E5" w:rsidRDefault="00436D46" w:rsidP="006A26E5">
      <w:pPr>
        <w:pStyle w:val="CETBodytext"/>
      </w:pPr>
      <w:r>
        <w:t xml:space="preserve">Peruvian regulation N° </w:t>
      </w:r>
      <w:r w:rsidR="006A26E5" w:rsidRPr="006A26E5">
        <w:t>28611 establishes that the environmental quality standard is the measure that sets the concentration level or degree of elements, substances, or physical, chemical, and biological parameters present in the air, water, or soil, in its condition as a receiving body, which does not pose a significant risk to human health or the environment.</w:t>
      </w:r>
    </w:p>
    <w:p w14:paraId="205F469B" w14:textId="77777777" w:rsidR="006A26E5" w:rsidRPr="006A26E5" w:rsidRDefault="006A26E5" w:rsidP="006A26E5">
      <w:pPr>
        <w:pStyle w:val="CETBodytext"/>
      </w:pPr>
    </w:p>
    <w:p w14:paraId="40DA28F4" w14:textId="09A9F36D" w:rsidR="0008658E" w:rsidRDefault="0008658E" w:rsidP="006A26E5">
      <w:pPr>
        <w:rPr>
          <w:lang w:val="en-US"/>
        </w:rPr>
      </w:pPr>
      <w:r>
        <w:t>The Environmental Quality Standards (EQS) serve as a fundamental framework for water resource management. These EQS not only act as benchmarks for assessing water quality but also serve as points of international comparison. In developing countries like Peru, the adoption of these measures ensures alignment with global practices, promoting improved water quality management and highlighting critical areas for strengthening public policies.</w:t>
      </w:r>
    </w:p>
    <w:p w14:paraId="22F0FDC2" w14:textId="77777777" w:rsidR="0008658E" w:rsidRDefault="0008658E" w:rsidP="006A26E5">
      <w:pPr>
        <w:rPr>
          <w:lang w:val="en-US"/>
        </w:rPr>
      </w:pPr>
    </w:p>
    <w:p w14:paraId="66862278" w14:textId="1243B2DA" w:rsidR="002B1A23" w:rsidRPr="006A26E5" w:rsidRDefault="006A26E5" w:rsidP="006A26E5">
      <w:pPr>
        <w:rPr>
          <w:lang w:val="en-US"/>
        </w:rPr>
      </w:pPr>
      <w:r w:rsidRPr="006A26E5">
        <w:rPr>
          <w:lang w:val="en-US"/>
        </w:rPr>
        <w:t xml:space="preserve">Table 2 shows the environmental quality standards for water according to the parameters to be analyzed based on the MPL, describing the EQS for Category 3: Irrigation of vegetables and animal drinking water, and Category 4: Conservation of the aquatic environment, which are characteristic categories of receiving bodies of </w:t>
      </w:r>
      <w:r>
        <w:rPr>
          <w:lang w:val="en-US"/>
        </w:rPr>
        <w:t xml:space="preserve">wastewater </w:t>
      </w:r>
      <w:r w:rsidR="001B4469">
        <w:rPr>
          <w:lang w:val="es-ES_tradnl"/>
        </w:rPr>
        <w:fldChar w:fldCharType="begin" w:fldLock="1"/>
      </w:r>
      <w:r w:rsidR="00C44403" w:rsidRPr="006A26E5">
        <w:rPr>
          <w:lang w:val="en-US"/>
        </w:rPr>
        <w:instrText>ADDIN CSL_CITATION {"citationItems":[{"id":"ITEM-1","itemData":{"author":[{"dropping-particle":"","family":"MINAM","given":"","non-dropping-particle":"","parse-names":false,"suffix":""}],"id":"ITEM-1","issued":{"date-parts":[["2017"]]},"number-of-pages":"1-4","publisher-place":"Lima","title":"Decreto Supremo N° 004-2017-MINAM .- Aprueban Estándares de Calidad Ambiental (ECA) para Agua y establecen Disposiciones Complementarias","type":"report"},"uris":["http://www.mendeley.com/documents/?uuid=cdafc08a-f896-49b3-9363-071a3badb20f"]}],"mendeley":{"formattedCitation":"(MINAM, 2017)","plainTextFormattedCitation":"(MINAM, 2017)","previouslyFormattedCitation":"(MINAM, 2017)"},"properties":{"noteIndex":0},"schema":"https://github.com/citation-style-language/schema/raw/master/csl-citation.json"}</w:instrText>
      </w:r>
      <w:r w:rsidR="001B4469">
        <w:rPr>
          <w:lang w:val="es-ES_tradnl"/>
        </w:rPr>
        <w:fldChar w:fldCharType="separate"/>
      </w:r>
      <w:r w:rsidR="001B4469" w:rsidRPr="006A26E5">
        <w:rPr>
          <w:noProof/>
          <w:lang w:val="en-US"/>
        </w:rPr>
        <w:t>(MINAM, 2017)</w:t>
      </w:r>
      <w:r w:rsidR="001B4469">
        <w:rPr>
          <w:lang w:val="es-ES_tradnl"/>
        </w:rPr>
        <w:fldChar w:fldCharType="end"/>
      </w:r>
      <w:r w:rsidR="0024355C" w:rsidRPr="006A26E5">
        <w:rPr>
          <w:lang w:val="en-US"/>
        </w:rPr>
        <w:t>.</w:t>
      </w:r>
    </w:p>
    <w:p w14:paraId="1900BA16" w14:textId="44AF8BAC" w:rsidR="00A8297C" w:rsidRDefault="00A8297C" w:rsidP="00010A37">
      <w:pPr>
        <w:rPr>
          <w:lang w:val="en-US"/>
        </w:rPr>
      </w:pPr>
    </w:p>
    <w:p w14:paraId="1D8E162F" w14:textId="6EF5D499" w:rsidR="00F25E4C" w:rsidRDefault="00F25E4C" w:rsidP="00010A37">
      <w:pPr>
        <w:rPr>
          <w:lang w:val="en-US"/>
        </w:rPr>
      </w:pPr>
    </w:p>
    <w:p w14:paraId="67E9F561" w14:textId="15777790" w:rsidR="00F25E4C" w:rsidRDefault="00F25E4C" w:rsidP="00010A37">
      <w:pPr>
        <w:rPr>
          <w:lang w:val="en-US"/>
        </w:rPr>
      </w:pPr>
    </w:p>
    <w:p w14:paraId="23328351" w14:textId="63E47026" w:rsidR="00F25E4C" w:rsidRDefault="00F25E4C" w:rsidP="00010A37">
      <w:pPr>
        <w:rPr>
          <w:lang w:val="en-US"/>
        </w:rPr>
      </w:pPr>
    </w:p>
    <w:p w14:paraId="4DAF44B6" w14:textId="57EBCAF7" w:rsidR="00F25E4C" w:rsidRDefault="00F25E4C" w:rsidP="00010A37">
      <w:pPr>
        <w:rPr>
          <w:lang w:val="en-US"/>
        </w:rPr>
      </w:pPr>
    </w:p>
    <w:p w14:paraId="0BD63F33" w14:textId="3543365C" w:rsidR="00F25E4C" w:rsidRDefault="00F25E4C" w:rsidP="00010A37">
      <w:pPr>
        <w:rPr>
          <w:lang w:val="en-US"/>
        </w:rPr>
      </w:pPr>
    </w:p>
    <w:p w14:paraId="475649D4" w14:textId="7FDB9615" w:rsidR="00536EE8" w:rsidRPr="00D74F28" w:rsidRDefault="00536EE8" w:rsidP="00536EE8">
      <w:pPr>
        <w:pStyle w:val="CETTabletitle"/>
        <w:rPr>
          <w:lang w:val="en-US"/>
        </w:rPr>
      </w:pPr>
      <w:r w:rsidRPr="00D74F28">
        <w:rPr>
          <w:lang w:val="en-US"/>
        </w:rPr>
        <w:lastRenderedPageBreak/>
        <w:t xml:space="preserve">Table 2: </w:t>
      </w:r>
      <w:r w:rsidR="00D74F28">
        <w:t>Environmental Quality Standards for Water: Category 3 and 4</w:t>
      </w:r>
    </w:p>
    <w:tbl>
      <w:tblPr>
        <w:tblpPr w:leftFromText="180" w:rightFromText="180" w:vertAnchor="text" w:horzAnchor="margin" w:tblpY="197"/>
        <w:tblW w:w="940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02"/>
        <w:gridCol w:w="1101"/>
        <w:gridCol w:w="223"/>
        <w:gridCol w:w="893"/>
        <w:gridCol w:w="310"/>
        <w:gridCol w:w="631"/>
        <w:gridCol w:w="1885"/>
        <w:gridCol w:w="1493"/>
        <w:gridCol w:w="1566"/>
      </w:tblGrid>
      <w:tr w:rsidR="00B43EE0" w:rsidRPr="00F25E4C" w14:paraId="03E0B5DC" w14:textId="77777777" w:rsidTr="0025564D">
        <w:trPr>
          <w:trHeight w:val="420"/>
        </w:trPr>
        <w:tc>
          <w:tcPr>
            <w:tcW w:w="1332" w:type="dxa"/>
            <w:vMerge w:val="restart"/>
            <w:tcBorders>
              <w:top w:val="single" w:sz="12" w:space="0" w:color="008000"/>
            </w:tcBorders>
            <w:shd w:val="clear" w:color="auto" w:fill="FFFFFF"/>
          </w:tcPr>
          <w:p w14:paraId="74E00D17" w14:textId="2944C8F4" w:rsidR="00536EE8" w:rsidRPr="00F25E4C" w:rsidRDefault="00F25E4C" w:rsidP="00536EE8">
            <w:pPr>
              <w:pStyle w:val="CETBodytext"/>
              <w:jc w:val="center"/>
              <w:rPr>
                <w:rFonts w:eastAsia="Calibri" w:cs="Arial"/>
                <w:lang w:val="es-ES_tradnl"/>
              </w:rPr>
            </w:pPr>
            <w:r>
              <w:t>Parameters</w:t>
            </w:r>
          </w:p>
        </w:tc>
        <w:tc>
          <w:tcPr>
            <w:tcW w:w="799" w:type="dxa"/>
            <w:vMerge w:val="restart"/>
            <w:tcBorders>
              <w:top w:val="single" w:sz="12" w:space="0" w:color="008000"/>
            </w:tcBorders>
            <w:shd w:val="clear" w:color="auto" w:fill="FFFFFF"/>
          </w:tcPr>
          <w:p w14:paraId="52631CF2" w14:textId="4F83ADDC" w:rsidR="00536EE8" w:rsidRPr="00F25E4C" w:rsidRDefault="00F25E4C" w:rsidP="00536EE8">
            <w:pPr>
              <w:pStyle w:val="CETBodytext"/>
              <w:jc w:val="center"/>
              <w:rPr>
                <w:rFonts w:eastAsia="Calibri" w:cs="Arial"/>
                <w:lang w:val="es-ES_tradnl"/>
              </w:rPr>
            </w:pPr>
            <w:r>
              <w:t>Unit of Measurement</w:t>
            </w:r>
          </w:p>
        </w:tc>
        <w:tc>
          <w:tcPr>
            <w:tcW w:w="5666" w:type="dxa"/>
            <w:gridSpan w:val="6"/>
            <w:tcBorders>
              <w:top w:val="single" w:sz="12" w:space="0" w:color="008000"/>
              <w:bottom w:val="single" w:sz="6" w:space="0" w:color="008000"/>
            </w:tcBorders>
            <w:shd w:val="clear" w:color="auto" w:fill="FFFFFF"/>
          </w:tcPr>
          <w:p w14:paraId="3F5A57D7" w14:textId="27841128" w:rsidR="00536EE8" w:rsidRPr="00F25E4C" w:rsidRDefault="00F25E4C" w:rsidP="00536EE8">
            <w:pPr>
              <w:pStyle w:val="CETBodytext"/>
              <w:jc w:val="center"/>
              <w:rPr>
                <w:rFonts w:cs="Arial"/>
                <w:szCs w:val="18"/>
              </w:rPr>
            </w:pPr>
            <w:r>
              <w:t>Category 3: Irrigation of Vegetables and Animal Drinking Water</w:t>
            </w:r>
          </w:p>
        </w:tc>
        <w:tc>
          <w:tcPr>
            <w:tcW w:w="1607" w:type="dxa"/>
            <w:tcBorders>
              <w:top w:val="single" w:sz="12" w:space="0" w:color="008000"/>
              <w:bottom w:val="single" w:sz="6" w:space="0" w:color="008000"/>
            </w:tcBorders>
            <w:shd w:val="clear" w:color="auto" w:fill="FFFFFF"/>
          </w:tcPr>
          <w:p w14:paraId="07E8AA7A" w14:textId="5D4061F4" w:rsidR="00536EE8" w:rsidRPr="00F25E4C" w:rsidRDefault="00F25E4C" w:rsidP="003C6ED4">
            <w:pPr>
              <w:pStyle w:val="CETBodytext"/>
              <w:jc w:val="center"/>
              <w:rPr>
                <w:rFonts w:cs="Arial"/>
                <w:szCs w:val="18"/>
              </w:rPr>
            </w:pPr>
            <w:r>
              <w:t>Category 4: Conservation of the Aquatic Environment</w:t>
            </w:r>
          </w:p>
        </w:tc>
      </w:tr>
      <w:tr w:rsidR="00B43EE0" w:rsidRPr="000E15DC" w14:paraId="5B5FC0CB" w14:textId="77777777" w:rsidTr="0025564D">
        <w:trPr>
          <w:trHeight w:val="420"/>
        </w:trPr>
        <w:tc>
          <w:tcPr>
            <w:tcW w:w="1332" w:type="dxa"/>
            <w:vMerge/>
            <w:shd w:val="clear" w:color="auto" w:fill="FFFFFF"/>
          </w:tcPr>
          <w:p w14:paraId="5EAD5A7D" w14:textId="77777777" w:rsidR="00536EE8" w:rsidRPr="00F25E4C" w:rsidRDefault="00536EE8" w:rsidP="00536EE8">
            <w:pPr>
              <w:pStyle w:val="CETBodytext"/>
              <w:jc w:val="center"/>
              <w:rPr>
                <w:rFonts w:eastAsia="Calibri" w:cs="Arial"/>
              </w:rPr>
            </w:pPr>
          </w:p>
        </w:tc>
        <w:tc>
          <w:tcPr>
            <w:tcW w:w="799" w:type="dxa"/>
            <w:vMerge/>
            <w:shd w:val="clear" w:color="auto" w:fill="FFFFFF"/>
          </w:tcPr>
          <w:p w14:paraId="3B7555A3" w14:textId="77777777" w:rsidR="00536EE8" w:rsidRPr="00F25E4C" w:rsidRDefault="00536EE8" w:rsidP="00536EE8">
            <w:pPr>
              <w:pStyle w:val="CETBodytext"/>
              <w:jc w:val="center"/>
              <w:rPr>
                <w:rFonts w:eastAsia="Calibri" w:cs="Arial"/>
              </w:rPr>
            </w:pPr>
          </w:p>
        </w:tc>
        <w:tc>
          <w:tcPr>
            <w:tcW w:w="4106" w:type="dxa"/>
            <w:gridSpan w:val="5"/>
            <w:tcBorders>
              <w:top w:val="single" w:sz="12" w:space="0" w:color="008000"/>
              <w:bottom w:val="single" w:sz="6" w:space="0" w:color="008000"/>
            </w:tcBorders>
            <w:shd w:val="clear" w:color="auto" w:fill="FFFFFF"/>
          </w:tcPr>
          <w:p w14:paraId="1F631B18" w14:textId="368B09C9" w:rsidR="00536EE8" w:rsidRPr="00F25E4C" w:rsidRDefault="00F25E4C" w:rsidP="00536EE8">
            <w:pPr>
              <w:pStyle w:val="CETBodytext"/>
              <w:jc w:val="center"/>
              <w:rPr>
                <w:rFonts w:eastAsia="Calibri" w:cs="Arial"/>
                <w:szCs w:val="18"/>
                <w:lang w:val="es-ES_tradnl"/>
              </w:rPr>
            </w:pPr>
            <w:r>
              <w:t>D1: Vegetable Irrigation</w:t>
            </w:r>
          </w:p>
        </w:tc>
        <w:tc>
          <w:tcPr>
            <w:tcW w:w="1560" w:type="dxa"/>
            <w:tcBorders>
              <w:top w:val="single" w:sz="12" w:space="0" w:color="008000"/>
              <w:bottom w:val="single" w:sz="6" w:space="0" w:color="008000"/>
            </w:tcBorders>
            <w:shd w:val="clear" w:color="auto" w:fill="FFFFFF"/>
            <w:vAlign w:val="center"/>
          </w:tcPr>
          <w:p w14:paraId="38132922" w14:textId="68B20797" w:rsidR="00536EE8" w:rsidRPr="00F25E4C" w:rsidRDefault="00F25E4C" w:rsidP="00536EE8">
            <w:pPr>
              <w:pStyle w:val="CETBodytext"/>
              <w:jc w:val="center"/>
              <w:rPr>
                <w:rFonts w:eastAsia="Calibri" w:cs="Arial"/>
                <w:szCs w:val="18"/>
                <w:lang w:val="es-ES_tradnl"/>
              </w:rPr>
            </w:pPr>
            <w:r>
              <w:t>D2: Animal Drinking Water</w:t>
            </w:r>
          </w:p>
        </w:tc>
        <w:tc>
          <w:tcPr>
            <w:tcW w:w="1607" w:type="dxa"/>
            <w:tcBorders>
              <w:top w:val="single" w:sz="12" w:space="0" w:color="008000"/>
              <w:bottom w:val="single" w:sz="6" w:space="0" w:color="008000"/>
            </w:tcBorders>
            <w:shd w:val="clear" w:color="auto" w:fill="FFFFFF"/>
          </w:tcPr>
          <w:p w14:paraId="521DC6C8" w14:textId="6FC8EF65" w:rsidR="00536EE8" w:rsidRPr="00F25E4C" w:rsidRDefault="00F25E4C" w:rsidP="00536EE8">
            <w:pPr>
              <w:pStyle w:val="CETBodytext"/>
              <w:jc w:val="center"/>
              <w:rPr>
                <w:rFonts w:eastAsia="Calibri" w:cs="Arial"/>
                <w:szCs w:val="18"/>
                <w:lang w:val="es-ES_tradnl"/>
              </w:rPr>
            </w:pPr>
            <w:r>
              <w:t>E2: Rivers</w:t>
            </w:r>
          </w:p>
        </w:tc>
      </w:tr>
      <w:tr w:rsidR="00B43EE0" w:rsidRPr="000E15DC" w14:paraId="27F0DC98" w14:textId="77777777" w:rsidTr="0025564D">
        <w:trPr>
          <w:trHeight w:val="420"/>
        </w:trPr>
        <w:tc>
          <w:tcPr>
            <w:tcW w:w="1332" w:type="dxa"/>
            <w:vMerge/>
            <w:tcBorders>
              <w:bottom w:val="single" w:sz="6" w:space="0" w:color="008000"/>
            </w:tcBorders>
            <w:shd w:val="clear" w:color="auto" w:fill="FFFFFF"/>
          </w:tcPr>
          <w:p w14:paraId="0374194C" w14:textId="77777777" w:rsidR="00536EE8" w:rsidRPr="00F25E4C" w:rsidRDefault="00536EE8" w:rsidP="00536EE8">
            <w:pPr>
              <w:pStyle w:val="CETBodytext"/>
              <w:jc w:val="center"/>
              <w:rPr>
                <w:rFonts w:eastAsia="Calibri" w:cs="Arial"/>
                <w:lang w:val="es-ES_tradnl"/>
              </w:rPr>
            </w:pPr>
          </w:p>
        </w:tc>
        <w:tc>
          <w:tcPr>
            <w:tcW w:w="799" w:type="dxa"/>
            <w:vMerge/>
            <w:tcBorders>
              <w:bottom w:val="single" w:sz="6" w:space="0" w:color="008000"/>
            </w:tcBorders>
            <w:shd w:val="clear" w:color="auto" w:fill="FFFFFF"/>
          </w:tcPr>
          <w:p w14:paraId="17FB1B27" w14:textId="77777777" w:rsidR="00536EE8" w:rsidRPr="00F25E4C" w:rsidRDefault="00536EE8" w:rsidP="00536EE8">
            <w:pPr>
              <w:pStyle w:val="CETBodytext"/>
              <w:jc w:val="center"/>
              <w:rPr>
                <w:rFonts w:eastAsia="Calibri" w:cs="Arial"/>
                <w:lang w:val="es-ES_tradnl"/>
              </w:rPr>
            </w:pPr>
          </w:p>
        </w:tc>
        <w:tc>
          <w:tcPr>
            <w:tcW w:w="1459" w:type="dxa"/>
            <w:gridSpan w:val="3"/>
            <w:tcBorders>
              <w:top w:val="single" w:sz="12" w:space="0" w:color="008000"/>
              <w:bottom w:val="single" w:sz="6" w:space="0" w:color="008000"/>
            </w:tcBorders>
            <w:shd w:val="clear" w:color="auto" w:fill="FFFFFF"/>
          </w:tcPr>
          <w:p w14:paraId="174D76E5" w14:textId="779B2043" w:rsidR="00536EE8" w:rsidRPr="00F25E4C" w:rsidRDefault="00F25E4C" w:rsidP="00536EE8">
            <w:pPr>
              <w:pStyle w:val="CETBodytext"/>
              <w:jc w:val="center"/>
              <w:rPr>
                <w:rFonts w:eastAsia="Calibri" w:cs="Arial"/>
                <w:lang w:val="es-ES_tradnl"/>
              </w:rPr>
            </w:pPr>
            <w:r>
              <w:t>Water for Unrestricted Irrigation</w:t>
            </w:r>
          </w:p>
        </w:tc>
        <w:tc>
          <w:tcPr>
            <w:tcW w:w="2647" w:type="dxa"/>
            <w:gridSpan w:val="2"/>
            <w:tcBorders>
              <w:top w:val="single" w:sz="12" w:space="0" w:color="008000"/>
              <w:bottom w:val="single" w:sz="6" w:space="0" w:color="008000"/>
            </w:tcBorders>
            <w:shd w:val="clear" w:color="auto" w:fill="FFFFFF"/>
            <w:vAlign w:val="center"/>
          </w:tcPr>
          <w:p w14:paraId="11D6ECDC" w14:textId="52D1FBD1" w:rsidR="00536EE8" w:rsidRPr="00F25E4C" w:rsidRDefault="00F25E4C" w:rsidP="00536EE8">
            <w:pPr>
              <w:pStyle w:val="CETBodytext"/>
              <w:jc w:val="center"/>
              <w:rPr>
                <w:rFonts w:eastAsia="Calibri" w:cs="Arial"/>
                <w:szCs w:val="18"/>
                <w:lang w:val="es-ES_tradnl"/>
              </w:rPr>
            </w:pPr>
            <w:r>
              <w:t>Water for Restricted Irrigation</w:t>
            </w:r>
          </w:p>
        </w:tc>
        <w:tc>
          <w:tcPr>
            <w:tcW w:w="1560" w:type="dxa"/>
            <w:tcBorders>
              <w:top w:val="single" w:sz="12" w:space="0" w:color="008000"/>
              <w:bottom w:val="single" w:sz="6" w:space="0" w:color="008000"/>
            </w:tcBorders>
            <w:shd w:val="clear" w:color="auto" w:fill="FFFFFF"/>
            <w:vAlign w:val="center"/>
          </w:tcPr>
          <w:p w14:paraId="7D497A34" w14:textId="75F7B4F9" w:rsidR="00536EE8" w:rsidRPr="00F25E4C" w:rsidRDefault="00F25E4C" w:rsidP="00536EE8">
            <w:pPr>
              <w:pStyle w:val="CETBodytext"/>
              <w:jc w:val="center"/>
              <w:rPr>
                <w:rFonts w:eastAsia="Calibri" w:cs="Arial"/>
                <w:szCs w:val="18"/>
                <w:lang w:val="es-ES_tradnl"/>
              </w:rPr>
            </w:pPr>
            <w:r>
              <w:t>Animal Drinking Water</w:t>
            </w:r>
          </w:p>
        </w:tc>
        <w:tc>
          <w:tcPr>
            <w:tcW w:w="1607" w:type="dxa"/>
            <w:tcBorders>
              <w:top w:val="single" w:sz="12" w:space="0" w:color="008000"/>
              <w:bottom w:val="single" w:sz="6" w:space="0" w:color="008000"/>
            </w:tcBorders>
            <w:shd w:val="clear" w:color="auto" w:fill="FFFFFF"/>
          </w:tcPr>
          <w:p w14:paraId="06E20545" w14:textId="409D509B" w:rsidR="00536EE8" w:rsidRPr="00F25E4C" w:rsidRDefault="00F25E4C" w:rsidP="00536EE8">
            <w:pPr>
              <w:pStyle w:val="CETBodytext"/>
              <w:jc w:val="center"/>
              <w:rPr>
                <w:rFonts w:eastAsia="Calibri" w:cs="Arial"/>
                <w:szCs w:val="18"/>
                <w:lang w:val="es-ES_tradnl"/>
              </w:rPr>
            </w:pPr>
            <w:r>
              <w:t>Jungle</w:t>
            </w:r>
          </w:p>
        </w:tc>
      </w:tr>
      <w:tr w:rsidR="006A7C34" w:rsidRPr="000E15DC" w14:paraId="0613F3A0" w14:textId="77777777" w:rsidTr="0025564D">
        <w:trPr>
          <w:trHeight w:val="209"/>
        </w:trPr>
        <w:tc>
          <w:tcPr>
            <w:tcW w:w="2368" w:type="dxa"/>
            <w:gridSpan w:val="3"/>
            <w:shd w:val="clear" w:color="auto" w:fill="FFFFFF"/>
            <w:vAlign w:val="center"/>
          </w:tcPr>
          <w:p w14:paraId="5E4B735B" w14:textId="1E5D06BA" w:rsidR="006A7C34" w:rsidRPr="000E15DC" w:rsidRDefault="00F25E4C" w:rsidP="00F25E4C">
            <w:pPr>
              <w:pStyle w:val="CETBodytext"/>
              <w:rPr>
                <w:rFonts w:eastAsia="Calibri" w:cs="Arial"/>
                <w:szCs w:val="18"/>
                <w:lang w:val="es-ES_tradnl"/>
              </w:rPr>
            </w:pPr>
            <w:r>
              <w:t>Chemical Oxygen Demand (COD)</w:t>
            </w:r>
          </w:p>
        </w:tc>
        <w:tc>
          <w:tcPr>
            <w:tcW w:w="893" w:type="dxa"/>
            <w:shd w:val="clear" w:color="auto" w:fill="FFFFFF"/>
            <w:vAlign w:val="center"/>
          </w:tcPr>
          <w:p w14:paraId="0F95567C" w14:textId="4B7395A6" w:rsidR="006A7C34" w:rsidRPr="000E15DC" w:rsidRDefault="006A7C34" w:rsidP="00F25E4C">
            <w:pPr>
              <w:pStyle w:val="CETBodytext"/>
              <w:jc w:val="center"/>
              <w:rPr>
                <w:rFonts w:eastAsia="Calibri" w:cs="Arial"/>
                <w:szCs w:val="18"/>
                <w:lang w:val="es-ES_tradnl"/>
              </w:rPr>
            </w:pPr>
            <w:r w:rsidRPr="008D259F">
              <w:rPr>
                <w:rFonts w:eastAsia="Calibri" w:cs="Arial"/>
                <w:lang w:val="es-ES_tradnl"/>
              </w:rPr>
              <w:t>mg/L</w:t>
            </w:r>
          </w:p>
        </w:tc>
        <w:tc>
          <w:tcPr>
            <w:tcW w:w="2976" w:type="dxa"/>
            <w:gridSpan w:val="3"/>
            <w:shd w:val="clear" w:color="auto" w:fill="FFFFFF"/>
            <w:vAlign w:val="center"/>
          </w:tcPr>
          <w:p w14:paraId="3FF83F58" w14:textId="659F5DD7" w:rsidR="006A7C34" w:rsidRPr="000E15DC" w:rsidRDefault="006A7C34" w:rsidP="006A7C34">
            <w:pPr>
              <w:pStyle w:val="CETBodytext"/>
              <w:jc w:val="center"/>
              <w:rPr>
                <w:rFonts w:cs="Arial"/>
                <w:szCs w:val="18"/>
                <w:lang w:val="en-GB"/>
              </w:rPr>
            </w:pPr>
            <w:r w:rsidRPr="008D259F">
              <w:rPr>
                <w:rFonts w:eastAsia="Calibri" w:cs="Arial"/>
                <w:lang w:val="es-ES_tradnl"/>
              </w:rPr>
              <w:t>40</w:t>
            </w:r>
          </w:p>
        </w:tc>
        <w:tc>
          <w:tcPr>
            <w:tcW w:w="1560" w:type="dxa"/>
            <w:shd w:val="clear" w:color="auto" w:fill="FFFFFF"/>
            <w:vAlign w:val="center"/>
          </w:tcPr>
          <w:p w14:paraId="31A2F174" w14:textId="03715E77" w:rsidR="006A7C34" w:rsidRPr="000E15DC" w:rsidRDefault="006A7C34" w:rsidP="006A7C34">
            <w:pPr>
              <w:pStyle w:val="CETBodytext"/>
              <w:jc w:val="center"/>
              <w:rPr>
                <w:rFonts w:cs="Arial"/>
                <w:szCs w:val="18"/>
                <w:lang w:val="en-GB"/>
              </w:rPr>
            </w:pPr>
            <w:r w:rsidRPr="008D259F">
              <w:rPr>
                <w:rFonts w:eastAsia="Calibri" w:cs="Arial"/>
                <w:lang w:val="es-ES_tradnl"/>
              </w:rPr>
              <w:t>40</w:t>
            </w:r>
          </w:p>
        </w:tc>
        <w:tc>
          <w:tcPr>
            <w:tcW w:w="1607" w:type="dxa"/>
            <w:shd w:val="clear" w:color="auto" w:fill="FFFFFF"/>
            <w:vAlign w:val="center"/>
          </w:tcPr>
          <w:p w14:paraId="5315CADA" w14:textId="04DB32CF" w:rsidR="006A7C34" w:rsidRPr="000E15DC" w:rsidRDefault="006A7C34" w:rsidP="006A7C34">
            <w:pPr>
              <w:pStyle w:val="CETBodytext"/>
              <w:jc w:val="center"/>
              <w:rPr>
                <w:rFonts w:cs="Arial"/>
                <w:szCs w:val="18"/>
                <w:lang w:val="en-GB"/>
              </w:rPr>
            </w:pPr>
            <w:r w:rsidRPr="008D259F">
              <w:rPr>
                <w:rFonts w:eastAsia="Calibri" w:cs="Arial"/>
                <w:lang w:val="es-ES_tradnl"/>
              </w:rPr>
              <w:t>**</w:t>
            </w:r>
          </w:p>
        </w:tc>
      </w:tr>
      <w:tr w:rsidR="006A7C34" w:rsidRPr="000E15DC" w14:paraId="35A7634D" w14:textId="77777777" w:rsidTr="0025564D">
        <w:trPr>
          <w:trHeight w:val="209"/>
        </w:trPr>
        <w:tc>
          <w:tcPr>
            <w:tcW w:w="2368" w:type="dxa"/>
            <w:gridSpan w:val="3"/>
            <w:shd w:val="clear" w:color="auto" w:fill="FFFFFF"/>
            <w:vAlign w:val="center"/>
          </w:tcPr>
          <w:p w14:paraId="46760037" w14:textId="3B3368B8" w:rsidR="006A7C34" w:rsidRPr="000E15DC" w:rsidRDefault="00F25E4C" w:rsidP="00F25E4C">
            <w:pPr>
              <w:pStyle w:val="CETBodytext"/>
              <w:rPr>
                <w:rFonts w:eastAsia="Calibri" w:cs="Arial"/>
                <w:szCs w:val="18"/>
                <w:lang w:val="es-ES_tradnl"/>
              </w:rPr>
            </w:pPr>
            <w:r>
              <w:t>Biochemical Oxygen Demand (BOD</w:t>
            </w:r>
            <w:r w:rsidRPr="00F25E4C">
              <w:rPr>
                <w:vertAlign w:val="subscript"/>
              </w:rPr>
              <w:t>5</w:t>
            </w:r>
            <w:r>
              <w:t>)</w:t>
            </w:r>
          </w:p>
        </w:tc>
        <w:tc>
          <w:tcPr>
            <w:tcW w:w="893" w:type="dxa"/>
            <w:shd w:val="clear" w:color="auto" w:fill="FFFFFF"/>
            <w:vAlign w:val="center"/>
          </w:tcPr>
          <w:p w14:paraId="37F31593" w14:textId="2C40EB8E" w:rsidR="006A7C34" w:rsidRPr="000E15DC" w:rsidRDefault="006A7C34" w:rsidP="00F25E4C">
            <w:pPr>
              <w:pStyle w:val="CETBodytext"/>
              <w:jc w:val="center"/>
              <w:rPr>
                <w:rFonts w:eastAsia="Calibri" w:cs="Arial"/>
                <w:szCs w:val="18"/>
                <w:lang w:val="es-ES_tradnl"/>
              </w:rPr>
            </w:pPr>
            <w:r w:rsidRPr="008D259F">
              <w:rPr>
                <w:rFonts w:eastAsia="Calibri" w:cs="Arial"/>
                <w:lang w:val="es-ES_tradnl"/>
              </w:rPr>
              <w:t>mg/L</w:t>
            </w:r>
          </w:p>
        </w:tc>
        <w:tc>
          <w:tcPr>
            <w:tcW w:w="2976" w:type="dxa"/>
            <w:gridSpan w:val="3"/>
            <w:shd w:val="clear" w:color="auto" w:fill="FFFFFF"/>
            <w:vAlign w:val="center"/>
          </w:tcPr>
          <w:p w14:paraId="2FB5E20A" w14:textId="40DA7D29" w:rsidR="006A7C34" w:rsidRPr="000E15DC" w:rsidRDefault="006A7C34" w:rsidP="006A7C34">
            <w:pPr>
              <w:pStyle w:val="CETBodytext"/>
              <w:jc w:val="center"/>
              <w:rPr>
                <w:rFonts w:eastAsia="Calibri" w:cs="Arial"/>
                <w:szCs w:val="18"/>
                <w:lang w:val="es-ES_tradnl"/>
              </w:rPr>
            </w:pPr>
            <w:r w:rsidRPr="008D259F">
              <w:rPr>
                <w:rFonts w:eastAsia="Calibri" w:cs="Arial"/>
                <w:lang w:val="es-ES_tradnl"/>
              </w:rPr>
              <w:t>15</w:t>
            </w:r>
          </w:p>
        </w:tc>
        <w:tc>
          <w:tcPr>
            <w:tcW w:w="1560" w:type="dxa"/>
            <w:shd w:val="clear" w:color="auto" w:fill="FFFFFF"/>
            <w:vAlign w:val="center"/>
          </w:tcPr>
          <w:p w14:paraId="6FAD5C9E" w14:textId="3E36D8E0" w:rsidR="006A7C34" w:rsidRPr="000E15DC" w:rsidRDefault="006A7C34" w:rsidP="006A7C34">
            <w:pPr>
              <w:pStyle w:val="CETBodytext"/>
              <w:jc w:val="center"/>
              <w:rPr>
                <w:rFonts w:eastAsia="Calibri" w:cs="Arial"/>
                <w:szCs w:val="18"/>
                <w:lang w:val="es-ES_tradnl"/>
              </w:rPr>
            </w:pPr>
            <w:r w:rsidRPr="008D259F">
              <w:rPr>
                <w:rFonts w:eastAsia="Calibri" w:cs="Arial"/>
                <w:lang w:val="es-ES_tradnl"/>
              </w:rPr>
              <w:t>15</w:t>
            </w:r>
          </w:p>
        </w:tc>
        <w:tc>
          <w:tcPr>
            <w:tcW w:w="1607" w:type="dxa"/>
            <w:shd w:val="clear" w:color="auto" w:fill="FFFFFF"/>
            <w:vAlign w:val="center"/>
          </w:tcPr>
          <w:p w14:paraId="68C70212" w14:textId="5E839955" w:rsidR="006A7C34" w:rsidRPr="000E15DC" w:rsidRDefault="006A7C34" w:rsidP="006A7C34">
            <w:pPr>
              <w:pStyle w:val="CETBodytext"/>
              <w:jc w:val="center"/>
              <w:rPr>
                <w:rFonts w:eastAsia="Calibri" w:cs="Arial"/>
                <w:szCs w:val="18"/>
                <w:lang w:val="es-ES_tradnl"/>
              </w:rPr>
            </w:pPr>
            <w:r w:rsidRPr="008D259F">
              <w:rPr>
                <w:rFonts w:eastAsia="Calibri" w:cs="Arial"/>
                <w:lang w:val="es-ES_tradnl"/>
              </w:rPr>
              <w:t>10</w:t>
            </w:r>
          </w:p>
        </w:tc>
      </w:tr>
      <w:tr w:rsidR="0025564D" w:rsidRPr="000E15DC" w14:paraId="4D24760D" w14:textId="77777777" w:rsidTr="0025564D">
        <w:trPr>
          <w:trHeight w:val="209"/>
        </w:trPr>
        <w:tc>
          <w:tcPr>
            <w:tcW w:w="2368" w:type="dxa"/>
            <w:gridSpan w:val="3"/>
            <w:shd w:val="clear" w:color="auto" w:fill="FFFFFF"/>
            <w:vAlign w:val="center"/>
          </w:tcPr>
          <w:p w14:paraId="719956FD" w14:textId="11F334A3" w:rsidR="006A7C34" w:rsidRPr="000E15DC" w:rsidRDefault="00F25E4C" w:rsidP="00F25E4C">
            <w:pPr>
              <w:pStyle w:val="CETBodytext"/>
              <w:rPr>
                <w:rFonts w:eastAsia="Calibri" w:cs="Arial"/>
                <w:szCs w:val="18"/>
                <w:lang w:val="es-ES_tradnl"/>
              </w:rPr>
            </w:pPr>
            <w:r>
              <w:t>Thermotolerant Coliforms</w:t>
            </w:r>
          </w:p>
        </w:tc>
        <w:tc>
          <w:tcPr>
            <w:tcW w:w="893" w:type="dxa"/>
            <w:shd w:val="clear" w:color="auto" w:fill="FFFFFF"/>
            <w:vAlign w:val="center"/>
          </w:tcPr>
          <w:p w14:paraId="22AB15D5" w14:textId="51996FCA" w:rsidR="006A7C34" w:rsidRPr="000E15DC" w:rsidRDefault="006A7C34" w:rsidP="00F25E4C">
            <w:pPr>
              <w:pStyle w:val="CETBodytext"/>
              <w:jc w:val="center"/>
              <w:rPr>
                <w:rFonts w:eastAsia="Calibri" w:cs="Arial"/>
                <w:szCs w:val="18"/>
                <w:lang w:val="es-ES_tradnl"/>
              </w:rPr>
            </w:pPr>
            <w:r w:rsidRPr="008D259F">
              <w:rPr>
                <w:rFonts w:eastAsia="Calibri" w:cs="Arial"/>
                <w:lang w:val="es-ES_tradnl"/>
              </w:rPr>
              <w:t>NMP/100 mL</w:t>
            </w:r>
          </w:p>
        </w:tc>
        <w:tc>
          <w:tcPr>
            <w:tcW w:w="992" w:type="dxa"/>
            <w:gridSpan w:val="2"/>
            <w:shd w:val="clear" w:color="auto" w:fill="FFFFFF"/>
            <w:vAlign w:val="center"/>
          </w:tcPr>
          <w:p w14:paraId="187151D7" w14:textId="0A16A75E" w:rsidR="006A7C34" w:rsidRPr="000E15DC" w:rsidRDefault="006A7C34" w:rsidP="0025564D">
            <w:pPr>
              <w:pStyle w:val="CETBodytext"/>
              <w:jc w:val="center"/>
              <w:rPr>
                <w:rFonts w:eastAsia="Calibri" w:cs="Arial"/>
                <w:szCs w:val="18"/>
                <w:lang w:val="es-ES_tradnl"/>
              </w:rPr>
            </w:pPr>
            <w:r w:rsidRPr="008D259F">
              <w:rPr>
                <w:rFonts w:eastAsia="Calibri" w:cs="Arial"/>
                <w:lang w:val="es-ES_tradnl"/>
              </w:rPr>
              <w:t>1</w:t>
            </w:r>
            <w:r>
              <w:rPr>
                <w:rFonts w:eastAsia="Calibri" w:cs="Arial"/>
                <w:lang w:val="es-ES_tradnl"/>
              </w:rPr>
              <w:t xml:space="preserve"> </w:t>
            </w:r>
            <w:r w:rsidRPr="008D259F">
              <w:rPr>
                <w:rFonts w:eastAsia="Calibri" w:cs="Arial"/>
                <w:lang w:val="es-ES_tradnl"/>
              </w:rPr>
              <w:t>000</w:t>
            </w:r>
          </w:p>
        </w:tc>
        <w:tc>
          <w:tcPr>
            <w:tcW w:w="1984" w:type="dxa"/>
            <w:shd w:val="clear" w:color="auto" w:fill="FFFFFF"/>
            <w:vAlign w:val="center"/>
          </w:tcPr>
          <w:p w14:paraId="4E5D6731" w14:textId="2E1A1528" w:rsidR="006A7C34" w:rsidRPr="000E15DC" w:rsidRDefault="006A7C34" w:rsidP="0025564D">
            <w:pPr>
              <w:pStyle w:val="CETBodytext"/>
              <w:jc w:val="center"/>
              <w:rPr>
                <w:rFonts w:eastAsia="Calibri" w:cs="Arial"/>
                <w:szCs w:val="18"/>
                <w:lang w:val="es-ES_tradnl"/>
              </w:rPr>
            </w:pPr>
            <w:r w:rsidRPr="008D259F">
              <w:rPr>
                <w:rFonts w:eastAsia="Calibri" w:cs="Arial"/>
                <w:lang w:val="es-ES_tradnl"/>
              </w:rPr>
              <w:t>2</w:t>
            </w:r>
            <w:r>
              <w:rPr>
                <w:rFonts w:eastAsia="Calibri" w:cs="Arial"/>
                <w:lang w:val="es-ES_tradnl"/>
              </w:rPr>
              <w:t xml:space="preserve"> </w:t>
            </w:r>
            <w:r w:rsidRPr="008D259F">
              <w:rPr>
                <w:rFonts w:eastAsia="Calibri" w:cs="Arial"/>
                <w:lang w:val="es-ES_tradnl"/>
              </w:rPr>
              <w:t>000</w:t>
            </w:r>
          </w:p>
        </w:tc>
        <w:tc>
          <w:tcPr>
            <w:tcW w:w="1560" w:type="dxa"/>
            <w:shd w:val="clear" w:color="auto" w:fill="FFFFFF"/>
            <w:vAlign w:val="center"/>
          </w:tcPr>
          <w:p w14:paraId="704CA494" w14:textId="5B300C7E" w:rsidR="006A7C34" w:rsidRPr="000E15DC" w:rsidRDefault="006A7C34" w:rsidP="006A7C34">
            <w:pPr>
              <w:pStyle w:val="CETBodytext"/>
              <w:jc w:val="center"/>
              <w:rPr>
                <w:rFonts w:eastAsia="Calibri" w:cs="Arial"/>
                <w:szCs w:val="18"/>
                <w:lang w:val="es-ES_tradnl"/>
              </w:rPr>
            </w:pPr>
            <w:r w:rsidRPr="008D259F">
              <w:rPr>
                <w:rFonts w:eastAsia="Calibri" w:cs="Arial"/>
                <w:lang w:val="es-ES_tradnl"/>
              </w:rPr>
              <w:t>1</w:t>
            </w:r>
            <w:r>
              <w:rPr>
                <w:rFonts w:eastAsia="Calibri" w:cs="Arial"/>
                <w:lang w:val="es-ES_tradnl"/>
              </w:rPr>
              <w:t xml:space="preserve"> </w:t>
            </w:r>
            <w:r w:rsidRPr="008D259F">
              <w:rPr>
                <w:rFonts w:eastAsia="Calibri" w:cs="Arial"/>
                <w:lang w:val="es-ES_tradnl"/>
              </w:rPr>
              <w:t>000</w:t>
            </w:r>
          </w:p>
        </w:tc>
        <w:tc>
          <w:tcPr>
            <w:tcW w:w="1607" w:type="dxa"/>
            <w:shd w:val="clear" w:color="auto" w:fill="FFFFFF"/>
            <w:vAlign w:val="center"/>
          </w:tcPr>
          <w:p w14:paraId="4752C38B" w14:textId="352A43DB" w:rsidR="006A7C34" w:rsidRPr="000E15DC" w:rsidRDefault="006A7C34" w:rsidP="006A7C34">
            <w:pPr>
              <w:pStyle w:val="CETBodytext"/>
              <w:jc w:val="center"/>
              <w:rPr>
                <w:rFonts w:eastAsia="Calibri" w:cs="Arial"/>
                <w:szCs w:val="18"/>
                <w:lang w:val="es-ES_tradnl"/>
              </w:rPr>
            </w:pPr>
            <w:r w:rsidRPr="008D259F">
              <w:rPr>
                <w:rFonts w:eastAsia="Calibri" w:cs="Arial"/>
                <w:lang w:val="es-ES_tradnl"/>
              </w:rPr>
              <w:t>2</w:t>
            </w:r>
            <w:r>
              <w:rPr>
                <w:rFonts w:eastAsia="Calibri" w:cs="Arial"/>
                <w:lang w:val="es-ES_tradnl"/>
              </w:rPr>
              <w:t xml:space="preserve"> </w:t>
            </w:r>
            <w:r w:rsidRPr="008D259F">
              <w:rPr>
                <w:rFonts w:eastAsia="Calibri" w:cs="Arial"/>
                <w:lang w:val="es-ES_tradnl"/>
              </w:rPr>
              <w:t>000</w:t>
            </w:r>
          </w:p>
        </w:tc>
      </w:tr>
      <w:tr w:rsidR="006A7C34" w:rsidRPr="000E15DC" w14:paraId="1396DB27" w14:textId="77777777" w:rsidTr="0025564D">
        <w:trPr>
          <w:trHeight w:val="209"/>
        </w:trPr>
        <w:tc>
          <w:tcPr>
            <w:tcW w:w="2368" w:type="dxa"/>
            <w:gridSpan w:val="3"/>
            <w:shd w:val="clear" w:color="auto" w:fill="FFFFFF"/>
            <w:vAlign w:val="center"/>
          </w:tcPr>
          <w:p w14:paraId="0AD1A04D" w14:textId="5A48402C" w:rsidR="006A7C34" w:rsidRPr="000E15DC" w:rsidRDefault="00F25E4C" w:rsidP="00F25E4C">
            <w:pPr>
              <w:pStyle w:val="CETBodytext"/>
              <w:rPr>
                <w:rFonts w:eastAsia="Calibri" w:cs="Arial"/>
                <w:szCs w:val="18"/>
                <w:lang w:val="es-ES_tradnl"/>
              </w:rPr>
            </w:pPr>
            <w:r>
              <w:t>Oils and Greases</w:t>
            </w:r>
          </w:p>
        </w:tc>
        <w:tc>
          <w:tcPr>
            <w:tcW w:w="893" w:type="dxa"/>
            <w:shd w:val="clear" w:color="auto" w:fill="FFFFFF"/>
            <w:vAlign w:val="center"/>
          </w:tcPr>
          <w:p w14:paraId="26FF59B4" w14:textId="066283FC" w:rsidR="006A7C34" w:rsidRPr="000E15DC" w:rsidRDefault="006A7C34" w:rsidP="00F25E4C">
            <w:pPr>
              <w:pStyle w:val="CETBodytext"/>
              <w:jc w:val="center"/>
              <w:rPr>
                <w:rFonts w:eastAsia="Calibri" w:cs="Arial"/>
                <w:szCs w:val="18"/>
                <w:lang w:val="es-ES_tradnl"/>
              </w:rPr>
            </w:pPr>
            <w:r w:rsidRPr="008D259F">
              <w:rPr>
                <w:rFonts w:eastAsia="Calibri" w:cs="Arial"/>
                <w:lang w:val="es-ES_tradnl"/>
              </w:rPr>
              <w:t>mg/L</w:t>
            </w:r>
          </w:p>
        </w:tc>
        <w:tc>
          <w:tcPr>
            <w:tcW w:w="2976" w:type="dxa"/>
            <w:gridSpan w:val="3"/>
            <w:shd w:val="clear" w:color="auto" w:fill="FFFFFF"/>
            <w:vAlign w:val="center"/>
          </w:tcPr>
          <w:p w14:paraId="6A5F24A2" w14:textId="7A834A16" w:rsidR="006A7C34" w:rsidRPr="000E15DC" w:rsidRDefault="006A7C34" w:rsidP="006A7C34">
            <w:pPr>
              <w:pStyle w:val="CETBodytext"/>
              <w:jc w:val="center"/>
              <w:rPr>
                <w:rFonts w:eastAsia="Calibri" w:cs="Arial"/>
                <w:szCs w:val="18"/>
                <w:lang w:val="es-ES_tradnl"/>
              </w:rPr>
            </w:pPr>
            <w:r w:rsidRPr="008D259F">
              <w:rPr>
                <w:rFonts w:eastAsia="Calibri" w:cs="Arial"/>
                <w:lang w:val="es-ES_tradnl"/>
              </w:rPr>
              <w:t>5</w:t>
            </w:r>
          </w:p>
        </w:tc>
        <w:tc>
          <w:tcPr>
            <w:tcW w:w="1560" w:type="dxa"/>
            <w:shd w:val="clear" w:color="auto" w:fill="FFFFFF"/>
            <w:vAlign w:val="center"/>
          </w:tcPr>
          <w:p w14:paraId="5F0D3CB5" w14:textId="2D30663E" w:rsidR="006A7C34" w:rsidRPr="000E15DC" w:rsidRDefault="006A7C34" w:rsidP="006A7C34">
            <w:pPr>
              <w:pStyle w:val="CETBodytext"/>
              <w:jc w:val="center"/>
              <w:rPr>
                <w:rFonts w:eastAsia="Calibri" w:cs="Arial"/>
                <w:szCs w:val="18"/>
                <w:lang w:val="es-ES_tradnl"/>
              </w:rPr>
            </w:pPr>
            <w:r w:rsidRPr="008D259F">
              <w:rPr>
                <w:rFonts w:eastAsia="Calibri" w:cs="Arial"/>
                <w:lang w:val="es-ES_tradnl"/>
              </w:rPr>
              <w:t>10</w:t>
            </w:r>
          </w:p>
        </w:tc>
        <w:tc>
          <w:tcPr>
            <w:tcW w:w="1607" w:type="dxa"/>
            <w:shd w:val="clear" w:color="auto" w:fill="FFFFFF"/>
            <w:vAlign w:val="center"/>
          </w:tcPr>
          <w:p w14:paraId="19DECE23" w14:textId="0BF149C7" w:rsidR="006A7C34" w:rsidRPr="000E15DC" w:rsidRDefault="006A7C34" w:rsidP="006A7C34">
            <w:pPr>
              <w:pStyle w:val="CETBodytext"/>
              <w:jc w:val="center"/>
              <w:rPr>
                <w:rFonts w:eastAsia="Calibri" w:cs="Arial"/>
                <w:szCs w:val="18"/>
                <w:lang w:val="es-ES_tradnl"/>
              </w:rPr>
            </w:pPr>
            <w:r w:rsidRPr="008D259F">
              <w:rPr>
                <w:rFonts w:eastAsia="Calibri" w:cs="Arial"/>
                <w:lang w:val="es-ES_tradnl"/>
              </w:rPr>
              <w:t>5</w:t>
            </w:r>
          </w:p>
        </w:tc>
      </w:tr>
      <w:tr w:rsidR="00855BBB" w:rsidRPr="000E15DC" w14:paraId="73E3740B" w14:textId="77777777" w:rsidTr="0025564D">
        <w:trPr>
          <w:trHeight w:val="209"/>
        </w:trPr>
        <w:tc>
          <w:tcPr>
            <w:tcW w:w="2368" w:type="dxa"/>
            <w:gridSpan w:val="3"/>
            <w:shd w:val="clear" w:color="auto" w:fill="FFFFFF"/>
            <w:vAlign w:val="center"/>
          </w:tcPr>
          <w:p w14:paraId="4977D84B" w14:textId="583B5156" w:rsidR="00855BBB" w:rsidRPr="008D259F" w:rsidRDefault="00F25E4C" w:rsidP="00F25E4C">
            <w:pPr>
              <w:pStyle w:val="CETBodytext"/>
              <w:rPr>
                <w:rFonts w:eastAsia="Calibri" w:cs="Arial"/>
                <w:lang w:val="es-ES_tradnl"/>
              </w:rPr>
            </w:pPr>
            <w:r>
              <w:t>Temperature</w:t>
            </w:r>
          </w:p>
        </w:tc>
        <w:tc>
          <w:tcPr>
            <w:tcW w:w="893" w:type="dxa"/>
            <w:shd w:val="clear" w:color="auto" w:fill="FFFFFF"/>
            <w:vAlign w:val="center"/>
          </w:tcPr>
          <w:p w14:paraId="15B1984E" w14:textId="043D830D" w:rsidR="00855BBB" w:rsidRPr="008D259F" w:rsidRDefault="00855BBB" w:rsidP="00F25E4C">
            <w:pPr>
              <w:pStyle w:val="CETBodytext"/>
              <w:jc w:val="center"/>
              <w:rPr>
                <w:rFonts w:eastAsia="Calibri" w:cs="Arial"/>
                <w:lang w:val="es-ES_tradnl"/>
              </w:rPr>
            </w:pPr>
            <w:r w:rsidRPr="008D259F">
              <w:rPr>
                <w:rFonts w:eastAsia="Calibri" w:cs="Arial"/>
                <w:lang w:val="es-ES_tradnl"/>
              </w:rPr>
              <w:t>°C</w:t>
            </w:r>
          </w:p>
        </w:tc>
        <w:tc>
          <w:tcPr>
            <w:tcW w:w="2976" w:type="dxa"/>
            <w:gridSpan w:val="3"/>
            <w:shd w:val="clear" w:color="auto" w:fill="FFFFFF"/>
            <w:vAlign w:val="center"/>
          </w:tcPr>
          <w:p w14:paraId="592CA0C1" w14:textId="48E1960B" w:rsidR="00855BBB" w:rsidRPr="008D259F" w:rsidRDefault="00855BBB" w:rsidP="00855BBB">
            <w:pPr>
              <w:pStyle w:val="CETBodytext"/>
              <w:jc w:val="center"/>
              <w:rPr>
                <w:rFonts w:eastAsia="Calibri" w:cs="Arial"/>
                <w:lang w:val="es-ES_tradnl"/>
              </w:rPr>
            </w:pPr>
            <w:r w:rsidRPr="008D259F">
              <w:rPr>
                <w:rFonts w:eastAsia="Calibri" w:cs="Arial"/>
                <w:lang w:val="es-ES_tradnl"/>
              </w:rPr>
              <w:t>Δ 3</w:t>
            </w:r>
          </w:p>
        </w:tc>
        <w:tc>
          <w:tcPr>
            <w:tcW w:w="1560" w:type="dxa"/>
            <w:shd w:val="clear" w:color="auto" w:fill="FFFFFF"/>
            <w:vAlign w:val="center"/>
          </w:tcPr>
          <w:p w14:paraId="202003B3" w14:textId="11460089" w:rsidR="00855BBB" w:rsidRPr="008D259F" w:rsidRDefault="00855BBB" w:rsidP="00855BBB">
            <w:pPr>
              <w:pStyle w:val="CETBodytext"/>
              <w:jc w:val="center"/>
              <w:rPr>
                <w:rFonts w:eastAsia="Calibri" w:cs="Arial"/>
                <w:lang w:val="es-ES_tradnl"/>
              </w:rPr>
            </w:pPr>
            <w:r w:rsidRPr="008D259F">
              <w:rPr>
                <w:rFonts w:eastAsia="Calibri" w:cs="Arial"/>
                <w:lang w:val="es-ES_tradnl"/>
              </w:rPr>
              <w:t>Δ 3</w:t>
            </w:r>
          </w:p>
        </w:tc>
        <w:tc>
          <w:tcPr>
            <w:tcW w:w="1607" w:type="dxa"/>
            <w:shd w:val="clear" w:color="auto" w:fill="FFFFFF"/>
            <w:vAlign w:val="center"/>
          </w:tcPr>
          <w:p w14:paraId="073ABFF9" w14:textId="458F47C2" w:rsidR="00855BBB" w:rsidRPr="008D259F" w:rsidRDefault="00855BBB" w:rsidP="00855BBB">
            <w:pPr>
              <w:pStyle w:val="CETBodytext"/>
              <w:jc w:val="center"/>
              <w:rPr>
                <w:rFonts w:eastAsia="Calibri" w:cs="Arial"/>
                <w:lang w:val="es-ES_tradnl"/>
              </w:rPr>
            </w:pPr>
            <w:r w:rsidRPr="008D259F">
              <w:rPr>
                <w:rFonts w:eastAsia="Calibri" w:cs="Arial"/>
                <w:lang w:val="es-ES_tradnl"/>
              </w:rPr>
              <w:t>Δ 3</w:t>
            </w:r>
          </w:p>
        </w:tc>
      </w:tr>
      <w:tr w:rsidR="00855BBB" w:rsidRPr="000E15DC" w14:paraId="35D0CCAC" w14:textId="77777777" w:rsidTr="0025564D">
        <w:trPr>
          <w:trHeight w:val="209"/>
        </w:trPr>
        <w:tc>
          <w:tcPr>
            <w:tcW w:w="2368" w:type="dxa"/>
            <w:gridSpan w:val="3"/>
            <w:shd w:val="clear" w:color="auto" w:fill="FFFFFF"/>
            <w:vAlign w:val="center"/>
          </w:tcPr>
          <w:p w14:paraId="5BF1C843" w14:textId="60C104D3" w:rsidR="00855BBB" w:rsidRPr="008D259F" w:rsidRDefault="00F25E4C" w:rsidP="00F25E4C">
            <w:pPr>
              <w:pStyle w:val="CETBodytext"/>
              <w:rPr>
                <w:rFonts w:eastAsia="Calibri" w:cs="Arial"/>
                <w:lang w:val="es-ES_tradnl"/>
              </w:rPr>
            </w:pPr>
            <w:r>
              <w:t>Total Suspended Solids (TSS)</w:t>
            </w:r>
          </w:p>
        </w:tc>
        <w:tc>
          <w:tcPr>
            <w:tcW w:w="893" w:type="dxa"/>
            <w:shd w:val="clear" w:color="auto" w:fill="FFFFFF"/>
            <w:vAlign w:val="center"/>
          </w:tcPr>
          <w:p w14:paraId="659C8FB3" w14:textId="68B22516" w:rsidR="00855BBB" w:rsidRPr="008D259F" w:rsidRDefault="00855BBB" w:rsidP="00F25E4C">
            <w:pPr>
              <w:pStyle w:val="CETBodytext"/>
              <w:jc w:val="center"/>
              <w:rPr>
                <w:rFonts w:eastAsia="Calibri" w:cs="Arial"/>
                <w:lang w:val="es-ES_tradnl"/>
              </w:rPr>
            </w:pPr>
            <w:r w:rsidRPr="008D259F">
              <w:rPr>
                <w:rFonts w:eastAsia="Calibri" w:cs="Arial"/>
                <w:lang w:val="es-ES_tradnl"/>
              </w:rPr>
              <w:t>mL/L</w:t>
            </w:r>
          </w:p>
        </w:tc>
        <w:tc>
          <w:tcPr>
            <w:tcW w:w="2976" w:type="dxa"/>
            <w:gridSpan w:val="3"/>
            <w:shd w:val="clear" w:color="auto" w:fill="FFFFFF"/>
            <w:vAlign w:val="center"/>
          </w:tcPr>
          <w:p w14:paraId="4241AC4E" w14:textId="69A13626" w:rsidR="00855BBB" w:rsidRPr="008D259F" w:rsidRDefault="00855BBB" w:rsidP="00855BBB">
            <w:pPr>
              <w:pStyle w:val="CETBodytext"/>
              <w:jc w:val="center"/>
              <w:rPr>
                <w:rFonts w:eastAsia="Calibri" w:cs="Arial"/>
                <w:lang w:val="es-ES_tradnl"/>
              </w:rPr>
            </w:pPr>
            <w:r w:rsidRPr="008D259F">
              <w:rPr>
                <w:rFonts w:eastAsia="Calibri" w:cs="Arial"/>
                <w:lang w:val="es-ES_tradnl"/>
              </w:rPr>
              <w:t>**</w:t>
            </w:r>
          </w:p>
        </w:tc>
        <w:tc>
          <w:tcPr>
            <w:tcW w:w="1560" w:type="dxa"/>
            <w:shd w:val="clear" w:color="auto" w:fill="FFFFFF"/>
            <w:vAlign w:val="center"/>
          </w:tcPr>
          <w:p w14:paraId="6C7C03DA" w14:textId="68A74BA9" w:rsidR="00855BBB" w:rsidRPr="008D259F" w:rsidRDefault="00855BBB" w:rsidP="00855BBB">
            <w:pPr>
              <w:pStyle w:val="CETBodytext"/>
              <w:jc w:val="center"/>
              <w:rPr>
                <w:rFonts w:eastAsia="Calibri" w:cs="Arial"/>
                <w:lang w:val="es-ES_tradnl"/>
              </w:rPr>
            </w:pPr>
            <w:r w:rsidRPr="008D259F">
              <w:rPr>
                <w:rFonts w:eastAsia="Calibri" w:cs="Arial"/>
                <w:lang w:val="es-ES_tradnl"/>
              </w:rPr>
              <w:t>**</w:t>
            </w:r>
          </w:p>
        </w:tc>
        <w:tc>
          <w:tcPr>
            <w:tcW w:w="1607" w:type="dxa"/>
            <w:shd w:val="clear" w:color="auto" w:fill="FFFFFF"/>
            <w:vAlign w:val="center"/>
          </w:tcPr>
          <w:p w14:paraId="6CACA207" w14:textId="750E75E5" w:rsidR="00855BBB" w:rsidRPr="008D259F" w:rsidRDefault="00855BBB" w:rsidP="00855BBB">
            <w:pPr>
              <w:pStyle w:val="CETBodytext"/>
              <w:jc w:val="center"/>
              <w:rPr>
                <w:rFonts w:eastAsia="Calibri" w:cs="Arial"/>
                <w:lang w:val="es-ES_tradnl"/>
              </w:rPr>
            </w:pPr>
            <w:r w:rsidRPr="008D259F">
              <w:rPr>
                <w:rFonts w:eastAsia="Calibri" w:cs="Arial"/>
                <w:lang w:val="es-ES_tradnl"/>
              </w:rPr>
              <w:t>≤ 400</w:t>
            </w:r>
          </w:p>
        </w:tc>
      </w:tr>
      <w:tr w:rsidR="00855BBB" w:rsidRPr="000E15DC" w14:paraId="2E30388E" w14:textId="77777777" w:rsidTr="0025564D">
        <w:trPr>
          <w:trHeight w:val="209"/>
        </w:trPr>
        <w:tc>
          <w:tcPr>
            <w:tcW w:w="2368" w:type="dxa"/>
            <w:gridSpan w:val="3"/>
            <w:shd w:val="clear" w:color="auto" w:fill="FFFFFF"/>
            <w:vAlign w:val="center"/>
          </w:tcPr>
          <w:p w14:paraId="3620CE0E" w14:textId="67E30CC9" w:rsidR="00855BBB" w:rsidRPr="008D259F" w:rsidRDefault="00855BBB" w:rsidP="00F25E4C">
            <w:pPr>
              <w:pStyle w:val="CETBodytext"/>
              <w:rPr>
                <w:rFonts w:eastAsia="Calibri" w:cs="Arial"/>
                <w:lang w:val="es-ES_tradnl"/>
              </w:rPr>
            </w:pPr>
            <w:r w:rsidRPr="008D259F">
              <w:rPr>
                <w:rFonts w:eastAsia="Calibri" w:cs="Arial"/>
                <w:lang w:val="es-ES_tradnl"/>
              </w:rPr>
              <w:t>pH</w:t>
            </w:r>
          </w:p>
        </w:tc>
        <w:tc>
          <w:tcPr>
            <w:tcW w:w="893" w:type="dxa"/>
            <w:shd w:val="clear" w:color="auto" w:fill="FFFFFF"/>
            <w:vAlign w:val="center"/>
          </w:tcPr>
          <w:p w14:paraId="238DBAFE" w14:textId="00D6ECCC" w:rsidR="00855BBB" w:rsidRPr="008D259F" w:rsidRDefault="00855BBB" w:rsidP="00F25E4C">
            <w:pPr>
              <w:pStyle w:val="CETBodytext"/>
              <w:jc w:val="center"/>
              <w:rPr>
                <w:rFonts w:eastAsia="Calibri" w:cs="Arial"/>
                <w:lang w:val="es-ES_tradnl"/>
              </w:rPr>
            </w:pPr>
            <w:r w:rsidRPr="008D259F">
              <w:rPr>
                <w:rFonts w:eastAsia="Calibri" w:cs="Arial"/>
                <w:lang w:val="es-ES_tradnl"/>
              </w:rPr>
              <w:t>Unidad</w:t>
            </w:r>
          </w:p>
        </w:tc>
        <w:tc>
          <w:tcPr>
            <w:tcW w:w="2976" w:type="dxa"/>
            <w:gridSpan w:val="3"/>
            <w:shd w:val="clear" w:color="auto" w:fill="FFFFFF"/>
            <w:vAlign w:val="center"/>
          </w:tcPr>
          <w:p w14:paraId="0F4B55D4" w14:textId="5D290A36" w:rsidR="00855BBB" w:rsidRPr="008D259F" w:rsidRDefault="00855BBB" w:rsidP="00855BBB">
            <w:pPr>
              <w:pStyle w:val="CETBodytext"/>
              <w:jc w:val="center"/>
              <w:rPr>
                <w:rFonts w:eastAsia="Calibri" w:cs="Arial"/>
                <w:lang w:val="es-ES_tradnl"/>
              </w:rPr>
            </w:pPr>
            <w:r w:rsidRPr="008D259F">
              <w:rPr>
                <w:rFonts w:eastAsia="Calibri" w:cs="Arial"/>
                <w:lang w:val="es-ES_tradnl"/>
              </w:rPr>
              <w:t>6,5 – 8,5</w:t>
            </w:r>
          </w:p>
        </w:tc>
        <w:tc>
          <w:tcPr>
            <w:tcW w:w="1560" w:type="dxa"/>
            <w:shd w:val="clear" w:color="auto" w:fill="FFFFFF"/>
            <w:vAlign w:val="center"/>
          </w:tcPr>
          <w:p w14:paraId="5828584B" w14:textId="0A799AF4" w:rsidR="00855BBB" w:rsidRPr="008D259F" w:rsidRDefault="00855BBB" w:rsidP="00855BBB">
            <w:pPr>
              <w:pStyle w:val="CETBodytext"/>
              <w:jc w:val="center"/>
              <w:rPr>
                <w:rFonts w:eastAsia="Calibri" w:cs="Arial"/>
                <w:lang w:val="es-ES_tradnl"/>
              </w:rPr>
            </w:pPr>
            <w:r w:rsidRPr="008D259F">
              <w:rPr>
                <w:rFonts w:eastAsia="Calibri" w:cs="Arial"/>
                <w:lang w:val="es-ES_tradnl"/>
              </w:rPr>
              <w:t>6,5 – 8,4</w:t>
            </w:r>
          </w:p>
        </w:tc>
        <w:tc>
          <w:tcPr>
            <w:tcW w:w="1607" w:type="dxa"/>
            <w:shd w:val="clear" w:color="auto" w:fill="FFFFFF"/>
            <w:vAlign w:val="center"/>
          </w:tcPr>
          <w:p w14:paraId="1ED00A84" w14:textId="763A343D" w:rsidR="00855BBB" w:rsidRPr="008D259F" w:rsidRDefault="00855BBB" w:rsidP="00855BBB">
            <w:pPr>
              <w:pStyle w:val="CETBodytext"/>
              <w:jc w:val="center"/>
              <w:rPr>
                <w:rFonts w:eastAsia="Calibri" w:cs="Arial"/>
                <w:lang w:val="es-ES_tradnl"/>
              </w:rPr>
            </w:pPr>
            <w:r w:rsidRPr="008D259F">
              <w:rPr>
                <w:rFonts w:eastAsia="Calibri" w:cs="Arial"/>
                <w:lang w:val="es-ES_tradnl"/>
              </w:rPr>
              <w:t>6,5 a 9,0</w:t>
            </w:r>
          </w:p>
        </w:tc>
      </w:tr>
    </w:tbl>
    <w:p w14:paraId="75E1AF6A" w14:textId="6D19FB84" w:rsidR="00102474" w:rsidRPr="00DD575B" w:rsidRDefault="00327E70" w:rsidP="00DD575B">
      <w:pPr>
        <w:pStyle w:val="Prrafodelista"/>
        <w:ind w:left="0"/>
        <w:rPr>
          <w:b/>
          <w:sz w:val="20"/>
          <w:lang w:val="en-US"/>
        </w:rPr>
      </w:pPr>
      <w:r w:rsidRPr="00DD575B">
        <w:rPr>
          <w:lang w:val="en-US"/>
        </w:rPr>
        <w:t xml:space="preserve">** </w:t>
      </w:r>
      <w:r w:rsidR="00DD575B">
        <w:t>Not applicable to the subcategories</w:t>
      </w:r>
    </w:p>
    <w:p w14:paraId="7CA8ACA6" w14:textId="77777777" w:rsidR="00102474" w:rsidRPr="00DD575B" w:rsidRDefault="00102474" w:rsidP="007F134A">
      <w:pPr>
        <w:pStyle w:val="CETBodytext"/>
        <w:rPr>
          <w:b/>
          <w:sz w:val="20"/>
        </w:rPr>
      </w:pPr>
    </w:p>
    <w:p w14:paraId="7E768D84" w14:textId="2D26DBB7" w:rsidR="007F134A" w:rsidRPr="00DD575B" w:rsidRDefault="00DD575B" w:rsidP="007F134A">
      <w:pPr>
        <w:pStyle w:val="CETBodytext"/>
        <w:rPr>
          <w:b/>
          <w:sz w:val="20"/>
          <w:lang w:val="es-MX"/>
        </w:rPr>
      </w:pPr>
      <w:r>
        <w:rPr>
          <w:b/>
          <w:sz w:val="20"/>
          <w:lang w:val="es-MX"/>
        </w:rPr>
        <w:t xml:space="preserve">3. </w:t>
      </w:r>
      <w:r w:rsidRPr="00DD575B">
        <w:rPr>
          <w:b/>
          <w:sz w:val="20"/>
          <w:lang w:val="es-MX"/>
        </w:rPr>
        <w:t>Results and Discussion</w:t>
      </w:r>
    </w:p>
    <w:p w14:paraId="4B87C8EB" w14:textId="77777777" w:rsidR="007F134A" w:rsidRPr="007F134A" w:rsidRDefault="007F134A" w:rsidP="007F134A">
      <w:pPr>
        <w:pStyle w:val="CETBodytext"/>
        <w:rPr>
          <w:lang w:val="es-MX"/>
        </w:rPr>
      </w:pPr>
    </w:p>
    <w:p w14:paraId="3333CE57" w14:textId="58178E19" w:rsidR="007F134A" w:rsidRPr="008C4D3E" w:rsidRDefault="00FD5D10" w:rsidP="007F134A">
      <w:pPr>
        <w:pStyle w:val="CETBodytext"/>
        <w:rPr>
          <w:b/>
        </w:rPr>
      </w:pPr>
      <w:r w:rsidRPr="008C4D3E">
        <w:rPr>
          <w:b/>
        </w:rPr>
        <w:t>3.1</w:t>
      </w:r>
      <w:r w:rsidR="002A1545" w:rsidRPr="008C4D3E">
        <w:rPr>
          <w:b/>
        </w:rPr>
        <w:t xml:space="preserve"> </w:t>
      </w:r>
      <w:r w:rsidR="008C4D3E" w:rsidRPr="008C4D3E">
        <w:rPr>
          <w:b/>
        </w:rPr>
        <w:t>Mixing Zone</w:t>
      </w:r>
    </w:p>
    <w:p w14:paraId="55E11BB3" w14:textId="7D0915C5" w:rsidR="00DB0A87" w:rsidRPr="008C4D3E" w:rsidRDefault="008C4D3E" w:rsidP="008C4D3E">
      <w:pPr>
        <w:rPr>
          <w:lang w:val="en-US"/>
        </w:rPr>
      </w:pPr>
      <w:r w:rsidRPr="008C4D3E">
        <w:rPr>
          <w:lang w:val="en-US"/>
        </w:rPr>
        <w:t>The mixing zone is defined as the volume of water in the receiving body where dilution of discharges can occur through dispersion processes and hydrodynamic mechanisms, without considering other factors such as chemical precipitation, organic matter assimilation, sedimentation, and bacterial decay. The purpose of determining the mixing zone is to allocate a limited region for the complete mixing of the discharged effluent with the water mass of the receiving bodies and to utilize the dilutive capacity of the</w:t>
      </w:r>
      <w:r>
        <w:rPr>
          <w:lang w:val="en-US"/>
        </w:rPr>
        <w:t xml:space="preserve"> receiving surface water source </w:t>
      </w:r>
      <w:r w:rsidR="00C44403">
        <w:rPr>
          <w:lang w:val="es-ES_tradnl"/>
        </w:rPr>
        <w:fldChar w:fldCharType="begin" w:fldLock="1"/>
      </w:r>
      <w:r w:rsidR="003015DF" w:rsidRPr="008C4D3E">
        <w:rPr>
          <w:lang w:val="en-US"/>
        </w:rPr>
        <w:instrText>ADDIN CSL_CITATION {"citationItems":[{"id":"ITEM-1","itemData":{"author":[{"dropping-particle":"","family":"ANA","given":"","non-dropping-particle":"","parse-names":false,"suffix":""}],"id":"ITEM-1","issued":{"date-parts":[["2017"]]},"number-of-pages":"1-32","title":"GUÍA PARA LA DETERMINACIÓN DE LA ZONA DE MEZCLA Y LA EVALUACIÓN DEL IMPACTO DE UN VERTIMIENTO DE W AGUAS RESIDUALES TRATADAS A UN CUERPO NATURAL DE AGUA","type":"report"},"uris":["http://www.mendeley.com/documents/?uuid=a7953c98-45e1-4726-bb86-ae729b7b0d5a"]}],"mendeley":{"formattedCitation":"(ANA, 2017)","plainTextFormattedCitation":"(ANA, 2017)","previouslyFormattedCitation":"(ANA, 2017)"},"properties":{"noteIndex":0},"schema":"https://github.com/citation-style-language/schema/raw/master/csl-citation.json"}</w:instrText>
      </w:r>
      <w:r w:rsidR="00C44403">
        <w:rPr>
          <w:lang w:val="es-ES_tradnl"/>
        </w:rPr>
        <w:fldChar w:fldCharType="separate"/>
      </w:r>
      <w:r w:rsidR="00C44403" w:rsidRPr="008C4D3E">
        <w:rPr>
          <w:noProof/>
          <w:lang w:val="en-US"/>
        </w:rPr>
        <w:t>(ANA, 2017)</w:t>
      </w:r>
      <w:r w:rsidR="00C44403">
        <w:rPr>
          <w:lang w:val="es-ES_tradnl"/>
        </w:rPr>
        <w:fldChar w:fldCharType="end"/>
      </w:r>
      <w:r w:rsidR="00CA3FBB" w:rsidRPr="008C4D3E">
        <w:rPr>
          <w:lang w:val="en-US"/>
        </w:rPr>
        <w:t xml:space="preserve">. </w:t>
      </w:r>
      <w:r w:rsidRPr="008C4D3E">
        <w:rPr>
          <w:lang w:val="en-US"/>
        </w:rPr>
        <w:t>Figure 1 shows the mixing zone and the sampling points. This zone represents a limited water volume where parameter levels may exceed the EQS-Water standards, meaning that water from the mixing zone should not be used for any activities. The sampling population included the same locations, namely, the monitoring points located in the effluent before discharge into the surface water body (AR 1) and the sampling points located upstream (AN 1), within (AN 2), and downstream (AN 3) of the mixing zone of the receiving body. The length of the mixing zone was influenced by the river's flow characteristics and the pollutant load of the effluent. Despite its dilutive capacity, some contaminants remained at undesirable levels downstream.</w:t>
      </w:r>
    </w:p>
    <w:p w14:paraId="67372BAF" w14:textId="51C43257" w:rsidR="00B43EE0" w:rsidRPr="001660BA" w:rsidRDefault="00D311F8" w:rsidP="00B43EE0">
      <w:pPr>
        <w:pStyle w:val="CETBodytext"/>
        <w:rPr>
          <w:i/>
        </w:rPr>
      </w:pPr>
      <w:r w:rsidRPr="002C04D0">
        <w:rPr>
          <w:i/>
          <w:noProof/>
        </w:rPr>
        <w:drawing>
          <wp:inline distT="0" distB="0" distL="0" distR="0" wp14:anchorId="72EF6678" wp14:editId="5D04FA39">
            <wp:extent cx="5387523" cy="2173362"/>
            <wp:effectExtent l="0" t="0" r="381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3057" cy="2175594"/>
                    </a:xfrm>
                    <a:prstGeom prst="rect">
                      <a:avLst/>
                    </a:prstGeom>
                    <a:noFill/>
                    <a:ln>
                      <a:noFill/>
                    </a:ln>
                  </pic:spPr>
                </pic:pic>
              </a:graphicData>
            </a:graphic>
          </wp:inline>
        </w:drawing>
      </w:r>
      <w:r w:rsidR="00B43EE0" w:rsidRPr="001660BA">
        <w:rPr>
          <w:i/>
        </w:rPr>
        <w:t>Figure 1</w:t>
      </w:r>
      <w:r w:rsidR="002C04D0" w:rsidRPr="001660BA">
        <w:rPr>
          <w:i/>
        </w:rPr>
        <w:t xml:space="preserve">. </w:t>
      </w:r>
      <w:r w:rsidR="001660BA" w:rsidRPr="001660BA">
        <w:rPr>
          <w:i/>
        </w:rPr>
        <w:t>Mixing zone in water bodies and distribution of sampling points. The sampling points were strategically selected to represent key areas: upstream (AN 1), discharge point (AR 1), mixing zone (AN 2), and downstream (AN 3). These locations were chosen based on hydrological characteristics and effluent dispersion patterns.</w:t>
      </w:r>
    </w:p>
    <w:p w14:paraId="1B8F849F" w14:textId="77777777" w:rsidR="00537AD1" w:rsidRPr="00537AD1" w:rsidRDefault="00537AD1" w:rsidP="00537AD1">
      <w:pPr>
        <w:rPr>
          <w:lang w:val="en-US"/>
        </w:rPr>
      </w:pPr>
      <w:r w:rsidRPr="00537AD1">
        <w:rPr>
          <w:lang w:val="en-US"/>
        </w:rPr>
        <w:lastRenderedPageBreak/>
        <w:t>To determine the extent of a mixing zone located downstream of discharges, the approach can be applied to discharges at the banks or in the center of water bodies.</w:t>
      </w:r>
    </w:p>
    <w:p w14:paraId="6BDF966F" w14:textId="77777777" w:rsidR="00537AD1" w:rsidRPr="00537AD1" w:rsidRDefault="00537AD1" w:rsidP="00537AD1">
      <w:pPr>
        <w:rPr>
          <w:lang w:val="en-US"/>
        </w:rPr>
      </w:pPr>
    </w:p>
    <w:p w14:paraId="0D067916" w14:textId="34CB719C" w:rsidR="00C44403" w:rsidRPr="00537AD1" w:rsidRDefault="00537AD1" w:rsidP="00537AD1">
      <w:pPr>
        <w:rPr>
          <w:lang w:val="en-US"/>
        </w:rPr>
      </w:pPr>
      <w:r w:rsidRPr="00537AD1">
        <w:rPr>
          <w:lang w:val="en-US"/>
        </w:rPr>
        <w:t>For discharges released at the river/streambanks, the determination of the mixing zone is obtained through:</w:t>
      </w:r>
    </w:p>
    <w:p w14:paraId="559C4D78" w14:textId="5CCA8D74" w:rsidR="00C44403" w:rsidRPr="00537AD1" w:rsidRDefault="00C44403" w:rsidP="00C44403">
      <w:pPr>
        <w:rPr>
          <w:lang w:val="en-US"/>
        </w:rPr>
      </w:pPr>
    </w:p>
    <w:p w14:paraId="0B4804E4" w14:textId="77777777" w:rsidR="00C44403" w:rsidRPr="00537AD1" w:rsidRDefault="00C44403" w:rsidP="00C44403">
      <w:pPr>
        <w:pStyle w:val="Prrafodelista"/>
        <w:ind w:left="1418"/>
        <w:rPr>
          <w:lang w:val="en-US"/>
        </w:rPr>
      </w:pPr>
    </w:p>
    <w:p w14:paraId="64F06123" w14:textId="77777777" w:rsidR="00C44403" w:rsidRPr="00C44403" w:rsidRDefault="000E1F7D" w:rsidP="00C44403">
      <w:pPr>
        <w:pStyle w:val="Prrafodelista"/>
        <w:ind w:left="1418"/>
        <w:rPr>
          <w:rFonts w:cs="Arial"/>
          <w:iCs/>
          <w:lang w:val="es-ES_tradnl"/>
        </w:rPr>
      </w:pPr>
      <m:oMathPara>
        <m:oMathParaPr>
          <m:jc m:val="left"/>
        </m:oMathParaPr>
        <m:oMath>
          <m:sSub>
            <m:sSubPr>
              <m:ctrlPr>
                <w:rPr>
                  <w:rFonts w:ascii="Cambria Math" w:hAnsi="Cambria Math" w:cs="Arial"/>
                  <w:iCs/>
                  <w:szCs w:val="24"/>
                </w:rPr>
              </m:ctrlPr>
            </m:sSubPr>
            <m:e>
              <m:r>
                <m:rPr>
                  <m:nor/>
                </m:rPr>
                <w:rPr>
                  <w:rFonts w:cs="Arial"/>
                  <w:iCs/>
                  <w:szCs w:val="24"/>
                  <w:lang w:val="es-MX"/>
                </w:rPr>
                <m:t>L</m:t>
              </m:r>
            </m:e>
            <m:sub>
              <m:r>
                <m:rPr>
                  <m:nor/>
                </m:rPr>
                <w:rPr>
                  <w:rFonts w:cs="Arial"/>
                  <w:iCs/>
                  <w:szCs w:val="24"/>
                  <w:lang w:val="es-MX"/>
                </w:rPr>
                <m:t>ZdM</m:t>
              </m:r>
            </m:sub>
          </m:sSub>
          <m:r>
            <m:rPr>
              <m:nor/>
            </m:rPr>
            <w:rPr>
              <w:rFonts w:cs="Arial"/>
              <w:iCs/>
              <w:szCs w:val="24"/>
              <w:lang w:val="es-MX"/>
            </w:rPr>
            <m:t>=</m:t>
          </m:r>
          <m:f>
            <m:fPr>
              <m:ctrlPr>
                <w:rPr>
                  <w:rFonts w:ascii="Cambria Math" w:hAnsi="Cambria Math" w:cs="Arial"/>
                  <w:iCs/>
                  <w:szCs w:val="24"/>
                </w:rPr>
              </m:ctrlPr>
            </m:fPr>
            <m:num>
              <m:sSup>
                <m:sSupPr>
                  <m:ctrlPr>
                    <w:rPr>
                      <w:rFonts w:ascii="Cambria Math" w:hAnsi="Cambria Math" w:cs="Arial"/>
                      <w:iCs/>
                      <w:szCs w:val="24"/>
                    </w:rPr>
                  </m:ctrlPr>
                </m:sSupPr>
                <m:e>
                  <m:r>
                    <m:rPr>
                      <m:nor/>
                    </m:rPr>
                    <w:rPr>
                      <w:rFonts w:cs="Arial"/>
                      <w:iCs/>
                      <w:szCs w:val="24"/>
                      <w:lang w:val="es-MX"/>
                    </w:rPr>
                    <m:t>(</m:t>
                  </m:r>
                  <m:sSub>
                    <m:sSubPr>
                      <m:ctrlPr>
                        <w:rPr>
                          <w:rFonts w:ascii="Cambria Math" w:hAnsi="Cambria Math" w:cs="Arial"/>
                          <w:iCs/>
                          <w:szCs w:val="24"/>
                        </w:rPr>
                      </m:ctrlPr>
                    </m:sSubPr>
                    <m:e>
                      <m:r>
                        <m:rPr>
                          <m:nor/>
                        </m:rPr>
                        <w:rPr>
                          <w:rFonts w:cs="Arial"/>
                          <w:iCs/>
                          <w:szCs w:val="24"/>
                          <w:lang w:val="es-MX"/>
                        </w:rPr>
                        <m:t>W</m:t>
                      </m:r>
                    </m:e>
                    <m:sub>
                      <m:r>
                        <m:rPr>
                          <m:nor/>
                        </m:rPr>
                        <w:rPr>
                          <w:rFonts w:cs="Arial"/>
                          <w:iCs/>
                          <w:szCs w:val="24"/>
                          <w:lang w:val="es-MX"/>
                        </w:rPr>
                        <m:t>min</m:t>
                      </m:r>
                    </m:sub>
                  </m:sSub>
                  <m:r>
                    <m:rPr>
                      <m:nor/>
                    </m:rPr>
                    <w:rPr>
                      <w:rFonts w:cs="Arial"/>
                      <w:iCs/>
                      <w:szCs w:val="24"/>
                      <w:lang w:val="es-MX"/>
                    </w:rPr>
                    <m:t>)</m:t>
                  </m:r>
                </m:e>
                <m:sup>
                  <m:r>
                    <m:rPr>
                      <m:nor/>
                    </m:rPr>
                    <w:rPr>
                      <w:rFonts w:cs="Arial"/>
                      <w:iCs/>
                      <w:szCs w:val="24"/>
                      <w:lang w:val="es-MX"/>
                    </w:rPr>
                    <m:t>2</m:t>
                  </m:r>
                </m:sup>
              </m:sSup>
              <m:r>
                <m:rPr>
                  <m:nor/>
                </m:rPr>
                <w:rPr>
                  <w:rFonts w:cs="Arial"/>
                  <w:iCs/>
                  <w:szCs w:val="24"/>
                  <w:lang w:val="es-MX"/>
                </w:rPr>
                <m:t>u</m:t>
              </m:r>
            </m:num>
            <m:den>
              <m:r>
                <m:rPr>
                  <m:nor/>
                </m:rPr>
                <w:rPr>
                  <w:rFonts w:cs="Arial"/>
                  <w:iCs/>
                  <w:szCs w:val="24"/>
                  <w:lang w:val="es-MX"/>
                </w:rPr>
                <m:t xml:space="preserve">2 </m:t>
              </m:r>
              <m:r>
                <m:rPr>
                  <m:nor/>
                </m:rPr>
                <w:rPr>
                  <w:rFonts w:cs="Arial"/>
                  <w:iCs/>
                  <w:szCs w:val="24"/>
                </w:rPr>
                <m:t>π</m:t>
              </m:r>
              <m:sSub>
                <m:sSubPr>
                  <m:ctrlPr>
                    <w:rPr>
                      <w:rFonts w:ascii="Cambria Math" w:hAnsi="Cambria Math" w:cs="Arial"/>
                      <w:iCs/>
                      <w:szCs w:val="24"/>
                    </w:rPr>
                  </m:ctrlPr>
                </m:sSubPr>
                <m:e>
                  <m:r>
                    <m:rPr>
                      <m:nor/>
                    </m:rPr>
                    <w:rPr>
                      <w:rFonts w:cs="Arial"/>
                      <w:iCs/>
                      <w:szCs w:val="24"/>
                      <w:lang w:val="es-MX"/>
                    </w:rPr>
                    <m:t>D</m:t>
                  </m:r>
                </m:e>
                <m:sub>
                  <m:r>
                    <m:rPr>
                      <m:nor/>
                    </m:rPr>
                    <w:rPr>
                      <w:rFonts w:cs="Arial"/>
                      <w:iCs/>
                      <w:szCs w:val="24"/>
                      <w:lang w:val="es-MX"/>
                    </w:rPr>
                    <m:t>y</m:t>
                  </m:r>
                </m:sub>
              </m:sSub>
            </m:den>
          </m:f>
        </m:oMath>
      </m:oMathPara>
    </w:p>
    <w:p w14:paraId="61A17D12" w14:textId="76FF6FAC" w:rsidR="00C44403" w:rsidRPr="00537AD1" w:rsidRDefault="00537AD1" w:rsidP="00C44403">
      <w:pPr>
        <w:rPr>
          <w:lang w:val="en-US"/>
        </w:rPr>
      </w:pPr>
      <w:r>
        <w:t>For discharges released at the center of rivers/streams, the determination of the mixing zone is obtained through</w:t>
      </w:r>
      <w:r w:rsidR="00C44403" w:rsidRPr="00537AD1">
        <w:rPr>
          <w:lang w:val="en-US"/>
        </w:rPr>
        <w:t>:</w:t>
      </w:r>
    </w:p>
    <w:p w14:paraId="20B79AC5" w14:textId="77777777" w:rsidR="00C44403" w:rsidRPr="00537AD1" w:rsidRDefault="00C44403" w:rsidP="00C44403">
      <w:pPr>
        <w:pStyle w:val="Prrafodelista"/>
        <w:ind w:left="1418"/>
        <w:rPr>
          <w:lang w:val="en-US"/>
        </w:rPr>
      </w:pPr>
    </w:p>
    <w:p w14:paraId="3EB93562" w14:textId="77777777" w:rsidR="00C44403" w:rsidRPr="00C44403" w:rsidRDefault="000E1F7D" w:rsidP="00C44403">
      <w:pPr>
        <w:pStyle w:val="Prrafodelista"/>
        <w:ind w:left="1418"/>
        <w:jc w:val="center"/>
        <w:rPr>
          <w:rFonts w:eastAsiaTheme="minorEastAsia" w:cs="Arial"/>
          <w:szCs w:val="24"/>
          <w:lang w:val="es-MX"/>
        </w:rPr>
      </w:pPr>
      <m:oMathPara>
        <m:oMathParaPr>
          <m:jc m:val="left"/>
        </m:oMathParaPr>
        <m:oMath>
          <m:sSub>
            <m:sSubPr>
              <m:ctrlPr>
                <w:rPr>
                  <w:rFonts w:ascii="Cambria Math" w:hAnsi="Cambria Math" w:cs="Arial"/>
                  <w:i/>
                  <w:szCs w:val="24"/>
                </w:rPr>
              </m:ctrlPr>
            </m:sSubPr>
            <m:e>
              <m:r>
                <m:rPr>
                  <m:nor/>
                </m:rPr>
                <w:rPr>
                  <w:rFonts w:cs="Arial"/>
                  <w:szCs w:val="24"/>
                  <w:lang w:val="es-MX"/>
                </w:rPr>
                <m:t>L</m:t>
              </m:r>
            </m:e>
            <m:sub>
              <m:r>
                <m:rPr>
                  <m:nor/>
                </m:rPr>
                <w:rPr>
                  <w:rFonts w:cs="Arial"/>
                  <w:szCs w:val="24"/>
                  <w:lang w:val="es-MX"/>
                </w:rPr>
                <m:t>ZdM</m:t>
              </m:r>
            </m:sub>
          </m:sSub>
          <m:r>
            <m:rPr>
              <m:nor/>
            </m:rPr>
            <w:rPr>
              <w:rFonts w:cs="Arial"/>
              <w:szCs w:val="24"/>
              <w:lang w:val="es-MX"/>
            </w:rPr>
            <m:t>=</m:t>
          </m:r>
          <m:f>
            <m:fPr>
              <m:ctrlPr>
                <w:rPr>
                  <w:rFonts w:ascii="Cambria Math" w:hAnsi="Cambria Math" w:cs="Arial"/>
                  <w:i/>
                  <w:szCs w:val="24"/>
                </w:rPr>
              </m:ctrlPr>
            </m:fPr>
            <m:num>
              <m:sSup>
                <m:sSupPr>
                  <m:ctrlPr>
                    <w:rPr>
                      <w:rFonts w:ascii="Cambria Math" w:hAnsi="Cambria Math" w:cs="Arial"/>
                      <w:i/>
                      <w:szCs w:val="24"/>
                    </w:rPr>
                  </m:ctrlPr>
                </m:sSupPr>
                <m:e>
                  <m:r>
                    <m:rPr>
                      <m:nor/>
                    </m:rPr>
                    <w:rPr>
                      <w:rFonts w:cs="Arial"/>
                      <w:szCs w:val="24"/>
                      <w:lang w:val="es-MX"/>
                    </w:rPr>
                    <m:t>(</m:t>
                  </m:r>
                  <m:sSub>
                    <m:sSubPr>
                      <m:ctrlPr>
                        <w:rPr>
                          <w:rFonts w:ascii="Cambria Math" w:hAnsi="Cambria Math" w:cs="Arial"/>
                          <w:i/>
                          <w:szCs w:val="24"/>
                        </w:rPr>
                      </m:ctrlPr>
                    </m:sSubPr>
                    <m:e>
                      <m:r>
                        <m:rPr>
                          <m:nor/>
                        </m:rPr>
                        <w:rPr>
                          <w:rFonts w:cs="Arial"/>
                          <w:szCs w:val="24"/>
                          <w:lang w:val="es-MX"/>
                        </w:rPr>
                        <m:t>W</m:t>
                      </m:r>
                    </m:e>
                    <m:sub>
                      <m:r>
                        <m:rPr>
                          <m:nor/>
                        </m:rPr>
                        <w:rPr>
                          <w:rFonts w:cs="Arial"/>
                          <w:szCs w:val="24"/>
                          <w:lang w:val="es-MX"/>
                        </w:rPr>
                        <m:t>min</m:t>
                      </m:r>
                    </m:sub>
                  </m:sSub>
                  <m:r>
                    <m:rPr>
                      <m:nor/>
                    </m:rPr>
                    <w:rPr>
                      <w:rFonts w:cs="Arial"/>
                      <w:szCs w:val="24"/>
                      <w:lang w:val="es-MX"/>
                    </w:rPr>
                    <m:t>)</m:t>
                  </m:r>
                </m:e>
                <m:sup>
                  <m:r>
                    <m:rPr>
                      <m:nor/>
                    </m:rPr>
                    <w:rPr>
                      <w:rFonts w:cs="Arial"/>
                      <w:szCs w:val="24"/>
                      <w:lang w:val="es-MX"/>
                    </w:rPr>
                    <m:t>2</m:t>
                  </m:r>
                </m:sup>
              </m:sSup>
              <m:r>
                <m:rPr>
                  <m:nor/>
                </m:rPr>
                <w:rPr>
                  <w:rFonts w:cs="Arial"/>
                  <w:szCs w:val="24"/>
                  <w:lang w:val="es-MX"/>
                </w:rPr>
                <m:t>u</m:t>
              </m:r>
            </m:num>
            <m:den>
              <m:r>
                <m:rPr>
                  <m:nor/>
                </m:rPr>
                <w:rPr>
                  <w:rFonts w:cs="Arial"/>
                  <w:szCs w:val="24"/>
                  <w:lang w:val="es-MX"/>
                </w:rPr>
                <m:t xml:space="preserve">8 </m:t>
              </m:r>
              <m:r>
                <m:rPr>
                  <m:nor/>
                </m:rPr>
                <w:rPr>
                  <w:rFonts w:cs="Arial"/>
                  <w:szCs w:val="24"/>
                </w:rPr>
                <m:t>π</m:t>
              </m:r>
              <m:sSub>
                <m:sSubPr>
                  <m:ctrlPr>
                    <w:rPr>
                      <w:rFonts w:ascii="Cambria Math" w:hAnsi="Cambria Math" w:cs="Arial"/>
                      <w:i/>
                      <w:szCs w:val="24"/>
                    </w:rPr>
                  </m:ctrlPr>
                </m:sSubPr>
                <m:e>
                  <m:r>
                    <m:rPr>
                      <m:nor/>
                    </m:rPr>
                    <w:rPr>
                      <w:rFonts w:cs="Arial"/>
                      <w:szCs w:val="24"/>
                      <w:lang w:val="es-MX"/>
                    </w:rPr>
                    <m:t>D</m:t>
                  </m:r>
                </m:e>
                <m:sub>
                  <m:r>
                    <m:rPr>
                      <m:nor/>
                    </m:rPr>
                    <w:rPr>
                      <w:rFonts w:cs="Arial"/>
                      <w:szCs w:val="24"/>
                      <w:lang w:val="es-MX"/>
                    </w:rPr>
                    <m:t>y</m:t>
                  </m:r>
                </m:sub>
              </m:sSub>
            </m:den>
          </m:f>
        </m:oMath>
      </m:oMathPara>
    </w:p>
    <w:p w14:paraId="436DA82F" w14:textId="60D9F36E" w:rsidR="00C44403" w:rsidRPr="00C44403" w:rsidRDefault="00C44403" w:rsidP="00C44403">
      <w:pPr>
        <w:rPr>
          <w:lang w:val="es-MX"/>
        </w:rPr>
      </w:pPr>
    </w:p>
    <w:p w14:paraId="5006ED22" w14:textId="379A0E5A" w:rsidR="00C44403" w:rsidRPr="00004048" w:rsidRDefault="00004048" w:rsidP="00C44403">
      <w:pPr>
        <w:rPr>
          <w:lang w:val="en-US"/>
        </w:rPr>
      </w:pPr>
      <w:r>
        <w:t>Where</w:t>
      </w:r>
      <w:r w:rsidR="00C44403" w:rsidRPr="00004048">
        <w:rPr>
          <w:lang w:val="en-US"/>
        </w:rPr>
        <w:t>:</w:t>
      </w:r>
    </w:p>
    <w:p w14:paraId="15ED1C44" w14:textId="77777777" w:rsidR="00004048" w:rsidRPr="00004048" w:rsidRDefault="00004048" w:rsidP="00004048">
      <w:pPr>
        <w:rPr>
          <w:lang w:val="en-US"/>
        </w:rPr>
      </w:pPr>
      <w:r w:rsidRPr="00004048">
        <w:rPr>
          <w:lang w:val="en-US"/>
        </w:rPr>
        <w:t>LZdM: Length of the mixing zone in meters.</w:t>
      </w:r>
    </w:p>
    <w:p w14:paraId="4462083D" w14:textId="77777777" w:rsidR="00004048" w:rsidRPr="00004048" w:rsidRDefault="00004048" w:rsidP="00004048">
      <w:pPr>
        <w:rPr>
          <w:lang w:val="en-US"/>
        </w:rPr>
      </w:pPr>
      <w:r w:rsidRPr="00004048">
        <w:rPr>
          <w:lang w:val="en-US"/>
        </w:rPr>
        <w:t>Wmin: Average width of the surface source in meters, measured over a 500 m stretch downstream of the discharge.</w:t>
      </w:r>
    </w:p>
    <w:p w14:paraId="7FE2E275" w14:textId="77777777" w:rsidR="00004048" w:rsidRPr="00004048" w:rsidRDefault="00004048" w:rsidP="00004048">
      <w:pPr>
        <w:rPr>
          <w:lang w:val="en-US"/>
        </w:rPr>
      </w:pPr>
      <w:r w:rsidRPr="00004048">
        <w:rPr>
          <w:lang w:val="en-US"/>
        </w:rPr>
        <w:t>u: Average flow velocity (m/s) of the water at the discharge point.</w:t>
      </w:r>
    </w:p>
    <w:p w14:paraId="245CB36E" w14:textId="0B07867F" w:rsidR="00C44403" w:rsidRPr="00004048" w:rsidRDefault="00004048" w:rsidP="00004048">
      <w:pPr>
        <w:rPr>
          <w:lang w:val="en-US"/>
        </w:rPr>
      </w:pPr>
      <w:r w:rsidRPr="00004048">
        <w:rPr>
          <w:lang w:val="en-US"/>
        </w:rPr>
        <w:t>Dy: Lateral dispersion coefficient in the lower</w:t>
      </w:r>
      <w:r>
        <w:rPr>
          <w:lang w:val="en-US"/>
        </w:rPr>
        <w:t xml:space="preserve"> section of the discharge point</w:t>
      </w:r>
      <w:r w:rsidR="00C44403" w:rsidRPr="00004048">
        <w:rPr>
          <w:lang w:val="en-US"/>
        </w:rPr>
        <w:t>.</w:t>
      </w:r>
    </w:p>
    <w:p w14:paraId="1A833D34" w14:textId="37CFB6A7" w:rsidR="00B43EE0" w:rsidRPr="00004048" w:rsidRDefault="00B43EE0" w:rsidP="007F134A">
      <w:pPr>
        <w:pStyle w:val="CETBodytext"/>
      </w:pPr>
    </w:p>
    <w:p w14:paraId="170B67E2" w14:textId="77777777" w:rsidR="00C44403" w:rsidRPr="00004048" w:rsidRDefault="00C44403" w:rsidP="00C44403">
      <w:pPr>
        <w:pStyle w:val="Prrafodelista"/>
        <w:ind w:left="1418"/>
        <w:rPr>
          <w:rFonts w:cs="Arial"/>
          <w:lang w:val="en-US"/>
        </w:rPr>
      </w:pPr>
    </w:p>
    <w:p w14:paraId="2B9CFAA1" w14:textId="3045C3B5" w:rsidR="00C44403" w:rsidRPr="00BF7D2B" w:rsidRDefault="000E1F7D" w:rsidP="00C44403">
      <w:pPr>
        <w:pStyle w:val="Prrafodelista"/>
        <w:ind w:left="1418"/>
        <w:jc w:val="center"/>
        <w:rPr>
          <w:rFonts w:cs="Arial"/>
          <w:iCs/>
          <w:szCs w:val="24"/>
        </w:rPr>
      </w:pPr>
      <m:oMathPara>
        <m:oMathParaPr>
          <m:jc m:val="left"/>
        </m:oMathParaPr>
        <m:oMath>
          <m:sSub>
            <m:sSubPr>
              <m:ctrlPr>
                <w:rPr>
                  <w:rFonts w:ascii="Cambria Math" w:hAnsi="Cambria Math" w:cs="Arial"/>
                  <w:iCs/>
                  <w:szCs w:val="24"/>
                </w:rPr>
              </m:ctrlPr>
            </m:sSubPr>
            <m:e>
              <m:r>
                <m:rPr>
                  <m:nor/>
                </m:rPr>
                <w:rPr>
                  <w:rFonts w:cs="Arial"/>
                  <w:iCs/>
                  <w:szCs w:val="24"/>
                  <w:lang w:val="es-MX"/>
                </w:rPr>
                <m:t>D</m:t>
              </m:r>
            </m:e>
            <m:sub>
              <m:r>
                <m:rPr>
                  <m:nor/>
                </m:rPr>
                <w:rPr>
                  <w:rFonts w:cs="Arial"/>
                  <w:iCs/>
                  <w:szCs w:val="24"/>
                  <w:lang w:val="es-MX"/>
                </w:rPr>
                <m:t>y</m:t>
              </m:r>
            </m:sub>
          </m:sSub>
          <m:r>
            <m:rPr>
              <m:nor/>
            </m:rPr>
            <w:rPr>
              <w:rFonts w:cs="Arial"/>
              <w:iCs/>
              <w:szCs w:val="24"/>
              <w:lang w:val="es-MX"/>
            </w:rPr>
            <m:t xml:space="preserve">=c x d x </m:t>
          </m:r>
          <m:sSup>
            <m:sSupPr>
              <m:ctrlPr>
                <w:rPr>
                  <w:rFonts w:ascii="Cambria Math" w:hAnsi="Cambria Math" w:cs="Arial"/>
                  <w:iCs/>
                  <w:szCs w:val="24"/>
                </w:rPr>
              </m:ctrlPr>
            </m:sSupPr>
            <m:e>
              <m:r>
                <m:rPr>
                  <m:nor/>
                </m:rPr>
                <w:rPr>
                  <w:rFonts w:cs="Arial"/>
                  <w:iCs/>
                  <w:szCs w:val="24"/>
                  <w:lang w:val="es-MX"/>
                </w:rPr>
                <m:t>u</m:t>
              </m:r>
            </m:e>
            <m:sup>
              <m:r>
                <m:rPr>
                  <m:nor/>
                </m:rPr>
                <w:rPr>
                  <w:rFonts w:cs="Arial"/>
                  <w:iCs/>
                  <w:szCs w:val="24"/>
                  <w:lang w:val="es-MX"/>
                </w:rPr>
                <m:t>*</m:t>
              </m:r>
            </m:sup>
          </m:sSup>
        </m:oMath>
      </m:oMathPara>
    </w:p>
    <w:p w14:paraId="7F71C367" w14:textId="77777777" w:rsidR="00BF7D2B" w:rsidRPr="00C44403" w:rsidRDefault="00BF7D2B" w:rsidP="00C44403">
      <w:pPr>
        <w:pStyle w:val="Prrafodelista"/>
        <w:ind w:left="1418"/>
        <w:jc w:val="center"/>
        <w:rPr>
          <w:rFonts w:cs="Arial"/>
          <w:iCs/>
          <w:lang w:val="es-ES_tradnl"/>
        </w:rPr>
      </w:pPr>
    </w:p>
    <w:p w14:paraId="0D748C50" w14:textId="77777777" w:rsidR="00BF7D2B" w:rsidRPr="00BF7D2B" w:rsidRDefault="00BF7D2B" w:rsidP="00BF7D2B">
      <w:pPr>
        <w:pStyle w:val="CETBodytext"/>
      </w:pPr>
      <w:r w:rsidRPr="00BF7D2B">
        <w:t>c: Irregularity factor of the river channel:</w:t>
      </w:r>
    </w:p>
    <w:p w14:paraId="4B379202" w14:textId="77777777" w:rsidR="00BF7D2B" w:rsidRPr="00BF7D2B" w:rsidRDefault="00BF7D2B" w:rsidP="00BF7D2B">
      <w:pPr>
        <w:pStyle w:val="CETBodytext"/>
      </w:pPr>
    </w:p>
    <w:p w14:paraId="2DE9325E" w14:textId="77777777" w:rsidR="00BF7D2B" w:rsidRPr="00BF7D2B" w:rsidRDefault="00BF7D2B" w:rsidP="00BF7D2B">
      <w:pPr>
        <w:pStyle w:val="CETBodytext"/>
      </w:pPr>
      <w:r w:rsidRPr="00BF7D2B">
        <w:t>c &gt; 1.0: For rivers with abrupt directional changes of 90° or more.</w:t>
      </w:r>
    </w:p>
    <w:p w14:paraId="663DF93E" w14:textId="77777777" w:rsidR="00BF7D2B" w:rsidRPr="00BF7D2B" w:rsidRDefault="00BF7D2B" w:rsidP="00BF7D2B">
      <w:pPr>
        <w:pStyle w:val="CETBodytext"/>
      </w:pPr>
      <w:r w:rsidRPr="00BF7D2B">
        <w:t>c = 1.0: For rivers with a natural channel exhibiting significant meandering.</w:t>
      </w:r>
    </w:p>
    <w:p w14:paraId="728FA918" w14:textId="77777777" w:rsidR="00BF7D2B" w:rsidRPr="00BF7D2B" w:rsidRDefault="00BF7D2B" w:rsidP="00BF7D2B">
      <w:pPr>
        <w:pStyle w:val="CETBodytext"/>
      </w:pPr>
      <w:r w:rsidRPr="00BF7D2B">
        <w:t>c = 0.6: For rivers with a natural channel exhibiting moderate meandering.</w:t>
      </w:r>
    </w:p>
    <w:p w14:paraId="0C56FB4D" w14:textId="77777777" w:rsidR="00BF7D2B" w:rsidRPr="00BF7D2B" w:rsidRDefault="00BF7D2B" w:rsidP="00BF7D2B">
      <w:pPr>
        <w:pStyle w:val="CETBodytext"/>
      </w:pPr>
      <w:r w:rsidRPr="00BF7D2B">
        <w:t>c = 0.3: For rivers that are channeled.</w:t>
      </w:r>
    </w:p>
    <w:p w14:paraId="7FF37CEE" w14:textId="77777777" w:rsidR="00BF7D2B" w:rsidRPr="00BF7D2B" w:rsidRDefault="00BF7D2B" w:rsidP="00BF7D2B">
      <w:pPr>
        <w:pStyle w:val="CETBodytext"/>
      </w:pPr>
      <w:r w:rsidRPr="00BF7D2B">
        <w:t>c = 0.1: For straight rivers with a rectangular channel.</w:t>
      </w:r>
    </w:p>
    <w:p w14:paraId="3B0CAD00" w14:textId="77777777" w:rsidR="00BF7D2B" w:rsidRPr="00BF7D2B" w:rsidRDefault="00BF7D2B" w:rsidP="00BF7D2B">
      <w:pPr>
        <w:pStyle w:val="CETBodytext"/>
      </w:pPr>
      <w:r w:rsidRPr="00BF7D2B">
        <w:t>d: Average depth of the river in meters downstream from the discharge point.</w:t>
      </w:r>
    </w:p>
    <w:p w14:paraId="70559A43" w14:textId="77777777" w:rsidR="00BF7D2B" w:rsidRPr="00BF7D2B" w:rsidRDefault="00BF7D2B" w:rsidP="00BF7D2B">
      <w:pPr>
        <w:pStyle w:val="CETBodytext"/>
      </w:pPr>
    </w:p>
    <w:p w14:paraId="369EF870" w14:textId="7BD6C66E" w:rsidR="00B43EE0" w:rsidRPr="00BF7D2B" w:rsidRDefault="00BF7D2B" w:rsidP="00BF7D2B">
      <w:pPr>
        <w:pStyle w:val="CETBodytext"/>
      </w:pPr>
      <w:r w:rsidRPr="00BF7D2B">
        <w:t>u*: Shea</w:t>
      </w:r>
      <w:r w:rsidR="00651114">
        <w:t>r velocity (m/s), determined by</w:t>
      </w:r>
      <w:r w:rsidR="00C44403" w:rsidRPr="00BF7D2B">
        <w:t>:</w:t>
      </w:r>
    </w:p>
    <w:p w14:paraId="2346D9CD" w14:textId="701E63B6" w:rsidR="00B43EE0" w:rsidRPr="00BF7D2B" w:rsidRDefault="00B43EE0" w:rsidP="007F134A">
      <w:pPr>
        <w:pStyle w:val="CETBodytext"/>
      </w:pPr>
    </w:p>
    <w:p w14:paraId="49083DEC" w14:textId="77777777" w:rsidR="00C44403" w:rsidRPr="00BF7D2B" w:rsidRDefault="00C44403" w:rsidP="00C44403">
      <w:pPr>
        <w:pStyle w:val="Prrafodelista"/>
        <w:ind w:left="1418"/>
        <w:rPr>
          <w:rFonts w:cs="Arial"/>
          <w:lang w:val="en-US"/>
        </w:rPr>
      </w:pPr>
    </w:p>
    <w:p w14:paraId="5C3C6F8F" w14:textId="79875794" w:rsidR="00C44403" w:rsidRPr="00651114" w:rsidRDefault="000E1F7D" w:rsidP="00C44403">
      <w:pPr>
        <w:pStyle w:val="Prrafodelista"/>
        <w:ind w:left="1418"/>
        <w:jc w:val="center"/>
        <w:rPr>
          <w:rFonts w:cs="Arial"/>
          <w:iCs/>
          <w:lang w:val="es-ES_tradnl"/>
        </w:rPr>
      </w:pPr>
      <m:oMathPara>
        <m:oMathParaPr>
          <m:jc m:val="left"/>
        </m:oMathParaPr>
        <m:oMath>
          <m:sSup>
            <m:sSupPr>
              <m:ctrlPr>
                <w:rPr>
                  <w:rFonts w:ascii="Cambria Math" w:hAnsi="Cambria Math" w:cs="Arial"/>
                  <w:iCs/>
                  <w:lang w:val="es-ES_tradnl"/>
                </w:rPr>
              </m:ctrlPr>
            </m:sSupPr>
            <m:e>
              <m:r>
                <m:rPr>
                  <m:nor/>
                </m:rPr>
                <w:rPr>
                  <w:rFonts w:cs="Arial"/>
                  <w:iCs/>
                  <w:lang w:val="en-US"/>
                </w:rPr>
                <m:t>u</m:t>
              </m:r>
            </m:e>
            <m:sup>
              <m:r>
                <m:rPr>
                  <m:nor/>
                </m:rPr>
                <w:rPr>
                  <w:rFonts w:cs="Arial"/>
                  <w:iCs/>
                  <w:lang w:val="en-US"/>
                </w:rPr>
                <m:t>*</m:t>
              </m:r>
            </m:sup>
          </m:sSup>
          <m:r>
            <m:rPr>
              <m:nor/>
            </m:rPr>
            <w:rPr>
              <w:rFonts w:cs="Arial"/>
              <w:iCs/>
              <w:lang w:val="en-US"/>
            </w:rPr>
            <m:t>=</m:t>
          </m:r>
          <m:rad>
            <m:radPr>
              <m:degHide m:val="1"/>
              <m:ctrlPr>
                <w:rPr>
                  <w:rFonts w:ascii="Cambria Math" w:hAnsi="Cambria Math" w:cs="Arial"/>
                  <w:iCs/>
                  <w:lang w:val="es-ES_tradnl"/>
                </w:rPr>
              </m:ctrlPr>
            </m:radPr>
            <m:deg/>
            <m:e>
              <m:r>
                <m:rPr>
                  <m:nor/>
                </m:rPr>
                <w:rPr>
                  <w:rFonts w:cs="Arial"/>
                  <w:iCs/>
                  <w:lang w:val="en-US"/>
                </w:rPr>
                <m:t>g x d x s</m:t>
              </m:r>
            </m:e>
          </m:rad>
        </m:oMath>
      </m:oMathPara>
    </w:p>
    <w:p w14:paraId="5837BF14" w14:textId="77777777" w:rsidR="00651114" w:rsidRPr="00BF7D2B" w:rsidRDefault="00651114" w:rsidP="00C44403">
      <w:pPr>
        <w:pStyle w:val="Prrafodelista"/>
        <w:ind w:left="1418"/>
        <w:jc w:val="center"/>
        <w:rPr>
          <w:rFonts w:cs="Arial"/>
          <w:iCs/>
          <w:lang w:val="en-US"/>
        </w:rPr>
      </w:pPr>
    </w:p>
    <w:p w14:paraId="52A46277" w14:textId="77777777" w:rsidR="00651114" w:rsidRPr="00651114" w:rsidRDefault="00651114" w:rsidP="00651114">
      <w:pPr>
        <w:pStyle w:val="CETBodytext"/>
        <w:rPr>
          <w:rFonts w:cs="Arial"/>
        </w:rPr>
      </w:pPr>
      <w:r w:rsidRPr="00651114">
        <w:rPr>
          <w:rFonts w:cs="Arial"/>
        </w:rPr>
        <w:t>g: Acceleration due to gravity.</w:t>
      </w:r>
    </w:p>
    <w:p w14:paraId="07624028" w14:textId="77777777" w:rsidR="00651114" w:rsidRPr="00651114" w:rsidRDefault="00651114" w:rsidP="00651114">
      <w:pPr>
        <w:pStyle w:val="CETBodytext"/>
        <w:rPr>
          <w:rFonts w:cs="Arial"/>
        </w:rPr>
      </w:pPr>
    </w:p>
    <w:p w14:paraId="58E43FF1" w14:textId="5F43F899" w:rsidR="00B43EE0" w:rsidRPr="00651114" w:rsidRDefault="00651114" w:rsidP="00651114">
      <w:pPr>
        <w:pStyle w:val="CETBodytext"/>
      </w:pPr>
      <w:r w:rsidRPr="00651114">
        <w:rPr>
          <w:rFonts w:cs="Arial"/>
        </w:rPr>
        <w:t>s: Slope of the river channel downstream of the discharge (m/m).</w:t>
      </w:r>
    </w:p>
    <w:p w14:paraId="1022762D" w14:textId="77777777" w:rsidR="00B43EE0" w:rsidRPr="00651114" w:rsidRDefault="00B43EE0" w:rsidP="007F134A">
      <w:pPr>
        <w:pStyle w:val="CETBodytext"/>
      </w:pPr>
    </w:p>
    <w:p w14:paraId="5DEFBEDD" w14:textId="77777777" w:rsidR="001A0BAE" w:rsidRPr="00865C90" w:rsidRDefault="001A0BAE" w:rsidP="00972787">
      <w:pPr>
        <w:rPr>
          <w:lang w:val="en-US"/>
        </w:rPr>
      </w:pPr>
    </w:p>
    <w:p w14:paraId="63F51BBB" w14:textId="08A69548" w:rsidR="00972787" w:rsidRPr="001A0BAE" w:rsidRDefault="001A0BAE" w:rsidP="00972787">
      <w:pPr>
        <w:rPr>
          <w:lang w:val="en-US"/>
        </w:rPr>
      </w:pPr>
      <w:r w:rsidRPr="001A0BAE">
        <w:rPr>
          <w:lang w:val="en-US"/>
        </w:rPr>
        <w:t>To collect samples in the receiving water body, the criteria established in the National Protocol for Monitoring the Quality of Surface Water Resources, approved by Resolution No</w:t>
      </w:r>
      <w:r>
        <w:rPr>
          <w:lang w:val="en-US"/>
        </w:rPr>
        <w:t xml:space="preserve">. 010-2016-ANA, were considered </w:t>
      </w:r>
      <w:r w:rsidR="003015DF">
        <w:rPr>
          <w:lang w:val="es-ES"/>
        </w:rPr>
        <w:fldChar w:fldCharType="begin" w:fldLock="1"/>
      </w:r>
      <w:r w:rsidR="00E51E08" w:rsidRPr="001A0BAE">
        <w:rPr>
          <w:lang w:val="en-US"/>
        </w:rPr>
        <w:instrText>ADDIN CSL_CITATION {"citationItems":[{"id":"ITEM-1","itemData":{"author":[{"dropping-particle":"","family":"ANA","given":"","non-dropping-particle":"","parse-names":false,"suffix":""}],"container-title":"Ana","id":"ITEM-1","issued":{"date-parts":[["2016"]]},"page":"59","title":"Protocolo Nacional de Monitoreo de Calidad de Agua R.J. 010-2016","type":"article"},"uris":["http://www.mendeley.com/documents/?uuid=46d9e48d-511f-41a5-9e9b-b4e7ecea85df"]}],"mendeley":{"formattedCitation":"(ANA, 2016)","plainTextFormattedCitation":"(ANA, 2016)","previouslyFormattedCitation":"(ANA, 2016)"},"properties":{"noteIndex":0},"schema":"https://github.com/citation-style-language/schema/raw/master/csl-citation.json"}</w:instrText>
      </w:r>
      <w:r w:rsidR="003015DF">
        <w:rPr>
          <w:lang w:val="es-ES"/>
        </w:rPr>
        <w:fldChar w:fldCharType="separate"/>
      </w:r>
      <w:r w:rsidR="003015DF" w:rsidRPr="001A0BAE">
        <w:rPr>
          <w:noProof/>
          <w:lang w:val="en-US"/>
        </w:rPr>
        <w:t>(ANA, 2016)</w:t>
      </w:r>
      <w:r w:rsidR="003015DF">
        <w:rPr>
          <w:lang w:val="es-ES"/>
        </w:rPr>
        <w:fldChar w:fldCharType="end"/>
      </w:r>
      <w:r w:rsidR="00541CA6" w:rsidRPr="001A0BAE">
        <w:rPr>
          <w:lang w:val="en-US"/>
        </w:rPr>
        <w:t xml:space="preserve">. </w:t>
      </w:r>
      <w:r w:rsidRPr="001A0BAE">
        <w:rPr>
          <w:lang w:val="en-US"/>
        </w:rPr>
        <w:t>The sample was considered as the total set of parameters to be analyzed according to Supreme Decree No. 003-2010-MINAM. Parameters such as pH and temperature were evaluated in situ using a multiparameter device accredited by a laboratory. A sample of 3 liters was collected for thermotolerant coliforms (250 mL/sample), 1.2 liters for Chemical Oxygen Demand (COD) (100.0 mL/sample), and 12 liters for Biochemical Oxygen Demand (BOD</w:t>
      </w:r>
      <w:r w:rsidRPr="001A0BAE">
        <w:rPr>
          <w:rFonts w:ascii="Cambria Math" w:hAnsi="Cambria Math" w:cs="Cambria Math"/>
          <w:lang w:val="en-US"/>
        </w:rPr>
        <w:t>₅</w:t>
      </w:r>
      <w:r w:rsidRPr="001A0BAE">
        <w:rPr>
          <w:lang w:val="en-US"/>
        </w:rPr>
        <w:t>) (1 L/sample), oils and fats (1 L/sample), and Total Suspended Solids (TSS) (1 L/sample). In total, 10.05 liters of domestic wastewater were collected from the effluent and 40.2 liters from the receiving water body.</w:t>
      </w:r>
    </w:p>
    <w:p w14:paraId="67DE51FA" w14:textId="56FBDE7A" w:rsidR="00B43EE0" w:rsidRPr="001A0BAE" w:rsidRDefault="00B43EE0" w:rsidP="007F134A">
      <w:pPr>
        <w:pStyle w:val="CETBodytext"/>
      </w:pPr>
    </w:p>
    <w:p w14:paraId="0916A662" w14:textId="7ACBC0E7" w:rsidR="00FD5D10" w:rsidRPr="001A0BAE" w:rsidRDefault="00FD5D10" w:rsidP="00FD5D10">
      <w:pPr>
        <w:pStyle w:val="CETBodytext"/>
        <w:rPr>
          <w:b/>
        </w:rPr>
      </w:pPr>
      <w:r w:rsidRPr="001A0BAE">
        <w:rPr>
          <w:b/>
        </w:rPr>
        <w:t>3.2</w:t>
      </w:r>
      <w:r w:rsidR="001A0BAE" w:rsidRPr="001A0BAE">
        <w:rPr>
          <w:b/>
        </w:rPr>
        <w:t xml:space="preserve"> Parameter Concentrations</w:t>
      </w:r>
    </w:p>
    <w:p w14:paraId="29BC5C0A" w14:textId="77777777" w:rsidR="001A0BAE" w:rsidRPr="001A0BAE" w:rsidRDefault="001A0BAE" w:rsidP="001A0BAE">
      <w:pPr>
        <w:pStyle w:val="CETBodytext"/>
      </w:pPr>
      <w:r w:rsidRPr="001A0BAE">
        <w:t xml:space="preserve">In Table 3, it is observed that, with the exception of Total Suspended Solids (TSS), the average concentration of the evaluated parameters was higher in the effluent (AR 1) and lower at all sampling points located in the </w:t>
      </w:r>
      <w:r w:rsidRPr="001A0BAE">
        <w:lastRenderedPageBreak/>
        <w:t>receiving water body. At AN 2, the concentration of all parameters significantly exceeded the values estimated at AN 1 and AN 3.</w:t>
      </w:r>
    </w:p>
    <w:p w14:paraId="3A23A507" w14:textId="77777777" w:rsidR="001A0BAE" w:rsidRPr="001A0BAE" w:rsidRDefault="001A0BAE" w:rsidP="001A0BAE">
      <w:pPr>
        <w:pStyle w:val="CETBodytext"/>
      </w:pPr>
    </w:p>
    <w:p w14:paraId="047EDCA2" w14:textId="3003BEE8" w:rsidR="001A0BAE" w:rsidRPr="001A0BAE" w:rsidRDefault="001A0BAE" w:rsidP="001A0BAE">
      <w:pPr>
        <w:pStyle w:val="CETBodytext"/>
      </w:pPr>
      <w:r w:rsidRPr="001A0BAE">
        <w:t>The average concentration of thermotolerant coliforms in the effluent exceeded the Maximum Permissible Limit (MPL) (10,000 MPN/100 mL) es</w:t>
      </w:r>
      <w:r>
        <w:t xml:space="preserve">tablished by Supreme Decree N° </w:t>
      </w:r>
      <w:r w:rsidRPr="001A0BAE">
        <w:t>003-2010-MINAM. Similarly, the mean concentration of coliforms at AN 1, AN 2, and AN 3 surpassed the Environmental Quality Standards for Water (EQS-Water) for subcategory D1: Water for unrestricted irrigation (1,000.0 MPN/100 mL) and restricted irrigation (2,000.0 MPN/100 mL), D2: Animal drinking water (1,000.0 MPN/100 mL), and E2: Conservation of aquatic environment in jungle rivers (2,000.0 MPN/100 mL).</w:t>
      </w:r>
    </w:p>
    <w:p w14:paraId="11E2D339" w14:textId="77777777" w:rsidR="001A0BAE" w:rsidRPr="001A0BAE" w:rsidRDefault="001A0BAE" w:rsidP="001A0BAE">
      <w:pPr>
        <w:pStyle w:val="CETBodytext"/>
      </w:pPr>
    </w:p>
    <w:p w14:paraId="427BE0AC" w14:textId="526F5D06" w:rsidR="007129A1" w:rsidRPr="001A0BAE" w:rsidRDefault="001A0BAE" w:rsidP="001A0BAE">
      <w:pPr>
        <w:pStyle w:val="CETBodytext"/>
      </w:pPr>
      <w:r w:rsidRPr="001A0BAE">
        <w:t>It is also noted that the BOD</w:t>
      </w:r>
      <w:r w:rsidRPr="001A0BAE">
        <w:rPr>
          <w:rFonts w:ascii="Cambria Math" w:hAnsi="Cambria Math" w:cs="Cambria Math"/>
        </w:rPr>
        <w:t>₅</w:t>
      </w:r>
      <w:r w:rsidRPr="001A0BAE">
        <w:t xml:space="preserve"> concentration downstream of the discharge point (AN 2) exceeded the quality standard for subcategory E2: Conservation of aquatic environment in jungle rivers (10.0 mg/L). Although the mixing zone partially diluted these concentrations, downstream waters still exceeded the Environmental Quality Standards for Water (EQS-Water) in several measurements.</w:t>
      </w:r>
    </w:p>
    <w:p w14:paraId="7248BE9C" w14:textId="77777777" w:rsidR="00331506" w:rsidRPr="001A0BAE" w:rsidRDefault="00331506" w:rsidP="00463279">
      <w:pPr>
        <w:pStyle w:val="CETBodytext"/>
      </w:pPr>
    </w:p>
    <w:p w14:paraId="4AE5ACC9" w14:textId="52DAF321" w:rsidR="00463279" w:rsidRPr="00314B15" w:rsidRDefault="00331506" w:rsidP="00331506">
      <w:pPr>
        <w:pStyle w:val="CETBodytext"/>
        <w:rPr>
          <w:b/>
          <w:i/>
        </w:rPr>
      </w:pPr>
      <w:r w:rsidRPr="00314B15">
        <w:rPr>
          <w:i/>
        </w:rPr>
        <w:t xml:space="preserve">Table 3: </w:t>
      </w:r>
      <w:r w:rsidR="00314B15" w:rsidRPr="00314B15">
        <w:rPr>
          <w:i/>
        </w:rPr>
        <w:t>Concentrations of Physicochemical and Microbiological Parameters in the Effluent</w:t>
      </w:r>
    </w:p>
    <w:p w14:paraId="0687659D" w14:textId="77777777" w:rsidR="00331506" w:rsidRPr="00314B15" w:rsidRDefault="00331506" w:rsidP="00FD5D10">
      <w:pPr>
        <w:pStyle w:val="CETBodytext"/>
        <w:rPr>
          <w:b/>
        </w:rPr>
      </w:pPr>
    </w:p>
    <w:tbl>
      <w:tblPr>
        <w:tblW w:w="897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41"/>
        <w:gridCol w:w="2041"/>
        <w:gridCol w:w="1534"/>
        <w:gridCol w:w="1127"/>
        <w:gridCol w:w="1127"/>
        <w:gridCol w:w="1108"/>
      </w:tblGrid>
      <w:tr w:rsidR="00314B15" w:rsidRPr="000E15DC" w14:paraId="2A77410B" w14:textId="3FB7D8CB" w:rsidTr="00B07567">
        <w:trPr>
          <w:trHeight w:val="493"/>
        </w:trPr>
        <w:tc>
          <w:tcPr>
            <w:tcW w:w="2041" w:type="dxa"/>
            <w:tcBorders>
              <w:top w:val="single" w:sz="12" w:space="0" w:color="008000"/>
              <w:bottom w:val="single" w:sz="6" w:space="0" w:color="008000"/>
            </w:tcBorders>
            <w:shd w:val="clear" w:color="auto" w:fill="FFFFFF"/>
          </w:tcPr>
          <w:p w14:paraId="0AA2A9CC" w14:textId="6CE45F0D" w:rsidR="00314B15" w:rsidRPr="00314B15" w:rsidRDefault="00314B15" w:rsidP="00314B15">
            <w:pPr>
              <w:pStyle w:val="CETBodytext"/>
              <w:jc w:val="center"/>
              <w:rPr>
                <w:rFonts w:eastAsia="Calibri" w:cs="Arial"/>
                <w:szCs w:val="18"/>
                <w:lang w:val="es-ES_tradnl"/>
              </w:rPr>
            </w:pPr>
            <w:r w:rsidRPr="00314B15">
              <w:rPr>
                <w:rStyle w:val="Textoennegrita"/>
                <w:b w:val="0"/>
              </w:rPr>
              <w:t>Parameters</w:t>
            </w:r>
          </w:p>
        </w:tc>
        <w:tc>
          <w:tcPr>
            <w:tcW w:w="2041" w:type="dxa"/>
            <w:tcBorders>
              <w:top w:val="single" w:sz="12" w:space="0" w:color="008000"/>
              <w:bottom w:val="single" w:sz="6" w:space="0" w:color="008000"/>
            </w:tcBorders>
            <w:shd w:val="clear" w:color="auto" w:fill="FFFFFF"/>
            <w:vAlign w:val="center"/>
          </w:tcPr>
          <w:p w14:paraId="7D782320" w14:textId="72D4E865" w:rsidR="00314B15" w:rsidRPr="00314B15" w:rsidRDefault="00314B15" w:rsidP="00314B15">
            <w:pPr>
              <w:pStyle w:val="CETBodytext"/>
              <w:jc w:val="center"/>
              <w:rPr>
                <w:rFonts w:eastAsia="Calibri" w:cs="Arial"/>
                <w:szCs w:val="18"/>
                <w:lang w:val="es-ES_tradnl"/>
              </w:rPr>
            </w:pPr>
            <w:r w:rsidRPr="00314B15">
              <w:rPr>
                <w:rFonts w:cs="Arial"/>
                <w:bCs/>
                <w:color w:val="000000"/>
                <w:szCs w:val="24"/>
                <w:lang w:eastAsia="es-PE"/>
              </w:rPr>
              <w:t>Units of Measurement</w:t>
            </w:r>
          </w:p>
        </w:tc>
        <w:tc>
          <w:tcPr>
            <w:tcW w:w="1534" w:type="dxa"/>
            <w:tcBorders>
              <w:top w:val="single" w:sz="12" w:space="0" w:color="008000"/>
              <w:bottom w:val="single" w:sz="6" w:space="0" w:color="008000"/>
            </w:tcBorders>
            <w:shd w:val="clear" w:color="auto" w:fill="FFFFFF"/>
            <w:vAlign w:val="center"/>
          </w:tcPr>
          <w:p w14:paraId="6669B603" w14:textId="71C85E0B" w:rsidR="00314B15" w:rsidRPr="00314B15" w:rsidRDefault="00314B15" w:rsidP="00314B15">
            <w:pPr>
              <w:pStyle w:val="CETBodytext"/>
              <w:jc w:val="center"/>
              <w:rPr>
                <w:rFonts w:eastAsia="Calibri" w:cs="Arial"/>
                <w:szCs w:val="18"/>
                <w:lang w:val="es-ES_tradnl"/>
              </w:rPr>
            </w:pPr>
            <w:r w:rsidRPr="00314B15">
              <w:rPr>
                <w:rFonts w:cs="Arial"/>
                <w:bCs/>
                <w:color w:val="000000"/>
                <w:szCs w:val="24"/>
                <w:lang w:eastAsia="es-PE"/>
              </w:rPr>
              <w:t>AR 1</w:t>
            </w:r>
          </w:p>
        </w:tc>
        <w:tc>
          <w:tcPr>
            <w:tcW w:w="1127" w:type="dxa"/>
            <w:tcBorders>
              <w:top w:val="single" w:sz="12" w:space="0" w:color="008000"/>
              <w:bottom w:val="single" w:sz="6" w:space="0" w:color="008000"/>
            </w:tcBorders>
            <w:shd w:val="clear" w:color="auto" w:fill="FFFFFF"/>
            <w:vAlign w:val="center"/>
          </w:tcPr>
          <w:p w14:paraId="05BE510B" w14:textId="7E5F1AD1" w:rsidR="00314B15" w:rsidRPr="00314B15" w:rsidRDefault="00314B15" w:rsidP="00314B15">
            <w:pPr>
              <w:pStyle w:val="CETBodytext"/>
              <w:jc w:val="center"/>
              <w:rPr>
                <w:rFonts w:eastAsia="Calibri" w:cs="Arial"/>
                <w:szCs w:val="18"/>
                <w:lang w:val="es-ES_tradnl"/>
              </w:rPr>
            </w:pPr>
            <w:r w:rsidRPr="00314B15">
              <w:rPr>
                <w:rFonts w:cs="Arial"/>
                <w:bCs/>
                <w:color w:val="000000"/>
                <w:szCs w:val="24"/>
                <w:lang w:eastAsia="es-PE"/>
              </w:rPr>
              <w:t>AN 1</w:t>
            </w:r>
          </w:p>
        </w:tc>
        <w:tc>
          <w:tcPr>
            <w:tcW w:w="1127" w:type="dxa"/>
            <w:tcBorders>
              <w:top w:val="single" w:sz="12" w:space="0" w:color="008000"/>
              <w:bottom w:val="single" w:sz="6" w:space="0" w:color="008000"/>
            </w:tcBorders>
            <w:shd w:val="clear" w:color="auto" w:fill="FFFFFF"/>
            <w:vAlign w:val="center"/>
          </w:tcPr>
          <w:p w14:paraId="7E269A72" w14:textId="6BC4D966" w:rsidR="00314B15" w:rsidRPr="00314B15" w:rsidRDefault="00314B15" w:rsidP="00314B15">
            <w:pPr>
              <w:pStyle w:val="CETBodytext"/>
              <w:jc w:val="center"/>
              <w:rPr>
                <w:rFonts w:eastAsia="Calibri" w:cs="Arial"/>
                <w:szCs w:val="18"/>
                <w:lang w:val="es-ES_tradnl"/>
              </w:rPr>
            </w:pPr>
            <w:r w:rsidRPr="00314B15">
              <w:rPr>
                <w:rFonts w:cs="Arial"/>
                <w:bCs/>
                <w:color w:val="000000"/>
                <w:szCs w:val="24"/>
                <w:lang w:eastAsia="es-PE"/>
              </w:rPr>
              <w:t>AN 2</w:t>
            </w:r>
          </w:p>
        </w:tc>
        <w:tc>
          <w:tcPr>
            <w:tcW w:w="1108" w:type="dxa"/>
            <w:tcBorders>
              <w:top w:val="single" w:sz="12" w:space="0" w:color="008000"/>
              <w:bottom w:val="single" w:sz="6" w:space="0" w:color="008000"/>
            </w:tcBorders>
            <w:shd w:val="clear" w:color="auto" w:fill="FFFFFF"/>
            <w:vAlign w:val="center"/>
          </w:tcPr>
          <w:p w14:paraId="2E3A0AD3" w14:textId="7DCF2B90" w:rsidR="00314B15" w:rsidRPr="00314B15" w:rsidRDefault="00314B15" w:rsidP="00314B15">
            <w:pPr>
              <w:pStyle w:val="CETBodytext"/>
              <w:jc w:val="center"/>
              <w:rPr>
                <w:rFonts w:eastAsia="Calibri" w:cs="Arial"/>
                <w:szCs w:val="18"/>
                <w:lang w:val="es-ES_tradnl"/>
              </w:rPr>
            </w:pPr>
            <w:r w:rsidRPr="00314B15">
              <w:rPr>
                <w:rFonts w:cs="Arial"/>
                <w:bCs/>
                <w:color w:val="000000"/>
                <w:szCs w:val="24"/>
                <w:lang w:eastAsia="es-PE"/>
              </w:rPr>
              <w:t>AN 3</w:t>
            </w:r>
          </w:p>
        </w:tc>
      </w:tr>
      <w:tr w:rsidR="00314B15" w:rsidRPr="000E15DC" w14:paraId="6609B53C" w14:textId="4CE797D3" w:rsidTr="00B07567">
        <w:trPr>
          <w:trHeight w:val="247"/>
        </w:trPr>
        <w:tc>
          <w:tcPr>
            <w:tcW w:w="2041" w:type="dxa"/>
            <w:shd w:val="clear" w:color="auto" w:fill="FFFFFF"/>
          </w:tcPr>
          <w:p w14:paraId="6FD1146D" w14:textId="32878F0B" w:rsidR="00314B15" w:rsidRPr="00314B15" w:rsidRDefault="00314B15" w:rsidP="00314B15">
            <w:pPr>
              <w:pStyle w:val="CETBodytext"/>
              <w:rPr>
                <w:rFonts w:eastAsia="Calibri" w:cs="Arial"/>
                <w:b/>
                <w:szCs w:val="18"/>
                <w:lang w:val="es-ES_tradnl"/>
              </w:rPr>
            </w:pPr>
            <w:r w:rsidRPr="00314B15">
              <w:rPr>
                <w:rStyle w:val="Textoennegrita"/>
                <w:b w:val="0"/>
              </w:rPr>
              <w:t>Thermotolerant Coliforms</w:t>
            </w:r>
          </w:p>
        </w:tc>
        <w:tc>
          <w:tcPr>
            <w:tcW w:w="2041" w:type="dxa"/>
            <w:shd w:val="clear" w:color="auto" w:fill="FFFFFF"/>
            <w:vAlign w:val="center"/>
          </w:tcPr>
          <w:p w14:paraId="676E4B12" w14:textId="3042CEE1"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NMP/100 mL</w:t>
            </w:r>
          </w:p>
        </w:tc>
        <w:tc>
          <w:tcPr>
            <w:tcW w:w="1534" w:type="dxa"/>
            <w:shd w:val="clear" w:color="auto" w:fill="FFFFFF"/>
            <w:vAlign w:val="center"/>
          </w:tcPr>
          <w:p w14:paraId="2AEC6D1F" w14:textId="2ECCB99E"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224</w:t>
            </w:r>
            <w:r>
              <w:rPr>
                <w:rFonts w:cs="Arial"/>
                <w:color w:val="000000"/>
                <w:szCs w:val="24"/>
                <w:lang w:eastAsia="es-PE"/>
              </w:rPr>
              <w:t xml:space="preserve"> </w:t>
            </w:r>
            <w:r w:rsidRPr="00894B79">
              <w:rPr>
                <w:rFonts w:cs="Arial"/>
                <w:color w:val="000000"/>
                <w:szCs w:val="24"/>
                <w:lang w:eastAsia="es-PE"/>
              </w:rPr>
              <w:t>000,0</w:t>
            </w:r>
            <w:r>
              <w:rPr>
                <w:rFonts w:cs="Arial"/>
                <w:color w:val="000000"/>
                <w:szCs w:val="24"/>
                <w:lang w:eastAsia="es-PE"/>
              </w:rPr>
              <w:t>*</w:t>
            </w:r>
          </w:p>
        </w:tc>
        <w:tc>
          <w:tcPr>
            <w:tcW w:w="1127" w:type="dxa"/>
            <w:shd w:val="clear" w:color="auto" w:fill="FFFFFF"/>
            <w:vAlign w:val="center"/>
          </w:tcPr>
          <w:p w14:paraId="01E5D73B" w14:textId="2194CC26"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15</w:t>
            </w:r>
            <w:r>
              <w:rPr>
                <w:rFonts w:cs="Arial"/>
                <w:color w:val="000000"/>
                <w:szCs w:val="24"/>
                <w:lang w:eastAsia="es-PE"/>
              </w:rPr>
              <w:t xml:space="preserve"> </w:t>
            </w:r>
            <w:r w:rsidRPr="00894B79">
              <w:rPr>
                <w:rFonts w:cs="Arial"/>
                <w:color w:val="000000"/>
                <w:szCs w:val="24"/>
                <w:lang w:eastAsia="es-PE"/>
              </w:rPr>
              <w:t>366,7</w:t>
            </w:r>
            <w:r>
              <w:rPr>
                <w:rFonts w:cs="Arial"/>
                <w:color w:val="000000"/>
                <w:szCs w:val="24"/>
                <w:lang w:eastAsia="es-PE"/>
              </w:rPr>
              <w:t>**</w:t>
            </w:r>
          </w:p>
        </w:tc>
        <w:tc>
          <w:tcPr>
            <w:tcW w:w="1127" w:type="dxa"/>
            <w:shd w:val="clear" w:color="auto" w:fill="FFFFFF"/>
            <w:vAlign w:val="center"/>
          </w:tcPr>
          <w:p w14:paraId="5BE0E4C9" w14:textId="79D50933"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44</w:t>
            </w:r>
            <w:r>
              <w:rPr>
                <w:rFonts w:cs="Arial"/>
                <w:color w:val="000000"/>
                <w:szCs w:val="24"/>
                <w:lang w:eastAsia="es-PE"/>
              </w:rPr>
              <w:t xml:space="preserve"> </w:t>
            </w:r>
            <w:r w:rsidRPr="00894B79">
              <w:rPr>
                <w:rFonts w:cs="Arial"/>
                <w:color w:val="000000"/>
                <w:szCs w:val="24"/>
                <w:lang w:eastAsia="es-PE"/>
              </w:rPr>
              <w:t>133,3</w:t>
            </w:r>
            <w:r>
              <w:rPr>
                <w:rFonts w:cs="Arial"/>
                <w:color w:val="000000"/>
                <w:szCs w:val="24"/>
                <w:lang w:eastAsia="es-PE"/>
              </w:rPr>
              <w:t>**</w:t>
            </w:r>
          </w:p>
        </w:tc>
        <w:tc>
          <w:tcPr>
            <w:tcW w:w="1108" w:type="dxa"/>
            <w:shd w:val="clear" w:color="auto" w:fill="FFFFFF"/>
            <w:vAlign w:val="center"/>
          </w:tcPr>
          <w:p w14:paraId="2F923F5E" w14:textId="0FC721AF"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24</w:t>
            </w:r>
            <w:r>
              <w:rPr>
                <w:rFonts w:cs="Arial"/>
                <w:color w:val="000000"/>
                <w:szCs w:val="24"/>
                <w:lang w:eastAsia="es-PE"/>
              </w:rPr>
              <w:t xml:space="preserve"> </w:t>
            </w:r>
            <w:r w:rsidRPr="00894B79">
              <w:rPr>
                <w:rFonts w:cs="Arial"/>
                <w:color w:val="000000"/>
                <w:szCs w:val="24"/>
                <w:lang w:eastAsia="es-PE"/>
              </w:rPr>
              <w:t>500,0</w:t>
            </w:r>
            <w:r>
              <w:rPr>
                <w:rFonts w:cs="Arial"/>
                <w:color w:val="000000"/>
                <w:szCs w:val="24"/>
                <w:lang w:eastAsia="es-PE"/>
              </w:rPr>
              <w:t>**</w:t>
            </w:r>
          </w:p>
        </w:tc>
      </w:tr>
      <w:tr w:rsidR="00314B15" w:rsidRPr="000E15DC" w14:paraId="49F2E0A5" w14:textId="18202931" w:rsidTr="00B07567">
        <w:trPr>
          <w:trHeight w:val="247"/>
        </w:trPr>
        <w:tc>
          <w:tcPr>
            <w:tcW w:w="2041" w:type="dxa"/>
            <w:shd w:val="clear" w:color="auto" w:fill="FFFFFF"/>
          </w:tcPr>
          <w:p w14:paraId="602218E1" w14:textId="0941A26D" w:rsidR="00314B15" w:rsidRPr="00314B15" w:rsidRDefault="00314B15" w:rsidP="00314B15">
            <w:pPr>
              <w:pStyle w:val="CETBodytext"/>
              <w:rPr>
                <w:rFonts w:eastAsia="Calibri" w:cs="Arial"/>
                <w:b/>
                <w:szCs w:val="18"/>
                <w:lang w:val="es-ES_tradnl"/>
              </w:rPr>
            </w:pPr>
            <w:r w:rsidRPr="00314B15">
              <w:rPr>
                <w:rStyle w:val="Textoennegrita"/>
                <w:b w:val="0"/>
              </w:rPr>
              <w:t>Chemical Oxygen Demand (COD)</w:t>
            </w:r>
          </w:p>
        </w:tc>
        <w:tc>
          <w:tcPr>
            <w:tcW w:w="2041" w:type="dxa"/>
            <w:shd w:val="clear" w:color="auto" w:fill="FFFFFF"/>
            <w:vAlign w:val="center"/>
          </w:tcPr>
          <w:p w14:paraId="590D9C8D" w14:textId="0E0762A3"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mg/L</w:t>
            </w:r>
          </w:p>
        </w:tc>
        <w:tc>
          <w:tcPr>
            <w:tcW w:w="1534" w:type="dxa"/>
            <w:shd w:val="clear" w:color="auto" w:fill="FFFFFF"/>
            <w:vAlign w:val="center"/>
          </w:tcPr>
          <w:p w14:paraId="18360A9A" w14:textId="7EF9B258"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76,0</w:t>
            </w:r>
          </w:p>
        </w:tc>
        <w:tc>
          <w:tcPr>
            <w:tcW w:w="1127" w:type="dxa"/>
            <w:shd w:val="clear" w:color="auto" w:fill="FFFFFF"/>
            <w:vAlign w:val="center"/>
          </w:tcPr>
          <w:p w14:paraId="3A4831FA" w14:textId="646889F8"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&lt;5,0</w:t>
            </w:r>
          </w:p>
        </w:tc>
        <w:tc>
          <w:tcPr>
            <w:tcW w:w="1127" w:type="dxa"/>
            <w:shd w:val="clear" w:color="auto" w:fill="FFFFFF"/>
            <w:vAlign w:val="center"/>
          </w:tcPr>
          <w:p w14:paraId="2438B1CF" w14:textId="7CCEE023"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31,8</w:t>
            </w:r>
          </w:p>
        </w:tc>
        <w:tc>
          <w:tcPr>
            <w:tcW w:w="1108" w:type="dxa"/>
            <w:shd w:val="clear" w:color="auto" w:fill="FFFFFF"/>
            <w:vAlign w:val="center"/>
          </w:tcPr>
          <w:p w14:paraId="4672E997" w14:textId="6563FF7A"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17,1</w:t>
            </w:r>
          </w:p>
        </w:tc>
      </w:tr>
      <w:tr w:rsidR="00314B15" w:rsidRPr="000E15DC" w14:paraId="011F1E24" w14:textId="32DF95F2" w:rsidTr="00B07567">
        <w:trPr>
          <w:trHeight w:val="247"/>
        </w:trPr>
        <w:tc>
          <w:tcPr>
            <w:tcW w:w="2041" w:type="dxa"/>
            <w:shd w:val="clear" w:color="auto" w:fill="FFFFFF"/>
          </w:tcPr>
          <w:p w14:paraId="752A0C40" w14:textId="5A424B04" w:rsidR="00314B15" w:rsidRPr="00314B15" w:rsidRDefault="00314B15" w:rsidP="00314B15">
            <w:pPr>
              <w:pStyle w:val="CETBodytext"/>
              <w:rPr>
                <w:rFonts w:eastAsia="Calibri" w:cs="Arial"/>
                <w:b/>
                <w:szCs w:val="18"/>
                <w:lang w:val="es-ES_tradnl"/>
              </w:rPr>
            </w:pPr>
            <w:r w:rsidRPr="00314B15">
              <w:rPr>
                <w:rStyle w:val="Textoennegrita"/>
                <w:b w:val="0"/>
              </w:rPr>
              <w:t>Biochemical Oxygen Demand (BOD</w:t>
            </w:r>
            <w:r w:rsidRPr="00314B15">
              <w:rPr>
                <w:rStyle w:val="Textoennegrita"/>
                <w:rFonts w:ascii="Cambria Math" w:hAnsi="Cambria Math" w:cs="Cambria Math"/>
                <w:b w:val="0"/>
              </w:rPr>
              <w:t>₅</w:t>
            </w:r>
            <w:r w:rsidRPr="00314B15">
              <w:rPr>
                <w:rStyle w:val="Textoennegrita"/>
                <w:b w:val="0"/>
              </w:rPr>
              <w:t>)</w:t>
            </w:r>
          </w:p>
        </w:tc>
        <w:tc>
          <w:tcPr>
            <w:tcW w:w="2041" w:type="dxa"/>
            <w:shd w:val="clear" w:color="auto" w:fill="FFFFFF"/>
            <w:vAlign w:val="center"/>
          </w:tcPr>
          <w:p w14:paraId="60FD1A85" w14:textId="4C5FB2F9"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mg/L</w:t>
            </w:r>
          </w:p>
        </w:tc>
        <w:tc>
          <w:tcPr>
            <w:tcW w:w="1534" w:type="dxa"/>
            <w:shd w:val="clear" w:color="auto" w:fill="FFFFFF"/>
            <w:vAlign w:val="center"/>
          </w:tcPr>
          <w:p w14:paraId="25C0B709" w14:textId="4C3BD2E7"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28,9</w:t>
            </w:r>
          </w:p>
        </w:tc>
        <w:tc>
          <w:tcPr>
            <w:tcW w:w="1127" w:type="dxa"/>
            <w:shd w:val="clear" w:color="auto" w:fill="FFFFFF"/>
            <w:vAlign w:val="center"/>
          </w:tcPr>
          <w:p w14:paraId="0F06B227" w14:textId="1981E9D4"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&lt;2,0</w:t>
            </w:r>
          </w:p>
        </w:tc>
        <w:tc>
          <w:tcPr>
            <w:tcW w:w="1127" w:type="dxa"/>
            <w:shd w:val="clear" w:color="auto" w:fill="FFFFFF"/>
            <w:vAlign w:val="center"/>
          </w:tcPr>
          <w:p w14:paraId="54B60AEB" w14:textId="27798D3C"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11,8</w:t>
            </w:r>
            <w:r>
              <w:rPr>
                <w:rFonts w:cs="Arial"/>
                <w:color w:val="000000"/>
                <w:szCs w:val="24"/>
                <w:lang w:eastAsia="es-PE"/>
              </w:rPr>
              <w:t>***</w:t>
            </w:r>
          </w:p>
        </w:tc>
        <w:tc>
          <w:tcPr>
            <w:tcW w:w="1108" w:type="dxa"/>
            <w:shd w:val="clear" w:color="auto" w:fill="FFFFFF"/>
            <w:vAlign w:val="center"/>
          </w:tcPr>
          <w:p w14:paraId="3A394C42" w14:textId="484CE168"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6,4</w:t>
            </w:r>
          </w:p>
        </w:tc>
      </w:tr>
      <w:tr w:rsidR="00314B15" w:rsidRPr="000E15DC" w14:paraId="26A58101" w14:textId="746BFD51" w:rsidTr="00B07567">
        <w:trPr>
          <w:trHeight w:val="247"/>
        </w:trPr>
        <w:tc>
          <w:tcPr>
            <w:tcW w:w="2041" w:type="dxa"/>
            <w:shd w:val="clear" w:color="auto" w:fill="FFFFFF"/>
          </w:tcPr>
          <w:p w14:paraId="4909E168" w14:textId="317EA42C" w:rsidR="00314B15" w:rsidRPr="00314B15" w:rsidRDefault="00314B15" w:rsidP="00314B15">
            <w:pPr>
              <w:pStyle w:val="CETBodytext"/>
              <w:rPr>
                <w:rFonts w:eastAsia="Calibri" w:cs="Arial"/>
                <w:b/>
                <w:szCs w:val="18"/>
                <w:lang w:val="es-ES_tradnl"/>
              </w:rPr>
            </w:pPr>
            <w:r w:rsidRPr="00314B15">
              <w:rPr>
                <w:rStyle w:val="Textoennegrita"/>
                <w:b w:val="0"/>
              </w:rPr>
              <w:t>Oils and Fats</w:t>
            </w:r>
          </w:p>
        </w:tc>
        <w:tc>
          <w:tcPr>
            <w:tcW w:w="2041" w:type="dxa"/>
            <w:shd w:val="clear" w:color="auto" w:fill="FFFFFF"/>
            <w:vAlign w:val="center"/>
          </w:tcPr>
          <w:p w14:paraId="412BAD70" w14:textId="0E61D74C"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mg/L</w:t>
            </w:r>
          </w:p>
        </w:tc>
        <w:tc>
          <w:tcPr>
            <w:tcW w:w="1534" w:type="dxa"/>
            <w:shd w:val="clear" w:color="auto" w:fill="FFFFFF"/>
            <w:vAlign w:val="center"/>
          </w:tcPr>
          <w:p w14:paraId="7D1F91E5" w14:textId="2E16C85A"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&lt;5,0</w:t>
            </w:r>
          </w:p>
        </w:tc>
        <w:tc>
          <w:tcPr>
            <w:tcW w:w="1127" w:type="dxa"/>
            <w:shd w:val="clear" w:color="auto" w:fill="FFFFFF"/>
            <w:vAlign w:val="center"/>
          </w:tcPr>
          <w:p w14:paraId="3CF64F33" w14:textId="27F431B9"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&lt;0,5</w:t>
            </w:r>
          </w:p>
        </w:tc>
        <w:tc>
          <w:tcPr>
            <w:tcW w:w="1127" w:type="dxa"/>
            <w:shd w:val="clear" w:color="auto" w:fill="FFFFFF"/>
            <w:vAlign w:val="center"/>
          </w:tcPr>
          <w:p w14:paraId="7FC2295C" w14:textId="7D2C0DA3"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&lt;0,5</w:t>
            </w:r>
          </w:p>
        </w:tc>
        <w:tc>
          <w:tcPr>
            <w:tcW w:w="1108" w:type="dxa"/>
            <w:shd w:val="clear" w:color="auto" w:fill="FFFFFF"/>
            <w:vAlign w:val="center"/>
          </w:tcPr>
          <w:p w14:paraId="0795FB22" w14:textId="487036CF"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&lt;0,5</w:t>
            </w:r>
          </w:p>
        </w:tc>
      </w:tr>
      <w:tr w:rsidR="00314B15" w:rsidRPr="000E15DC" w14:paraId="674F7E92" w14:textId="11D7E796" w:rsidTr="00B07567">
        <w:trPr>
          <w:trHeight w:val="247"/>
        </w:trPr>
        <w:tc>
          <w:tcPr>
            <w:tcW w:w="2041" w:type="dxa"/>
            <w:shd w:val="clear" w:color="auto" w:fill="FFFFFF"/>
          </w:tcPr>
          <w:p w14:paraId="3280A287" w14:textId="07B10D6E" w:rsidR="00314B15" w:rsidRPr="00314B15" w:rsidRDefault="00314B15" w:rsidP="00314B15">
            <w:pPr>
              <w:pStyle w:val="CETBodytext"/>
              <w:rPr>
                <w:rFonts w:eastAsia="Calibri" w:cs="Arial"/>
                <w:b/>
                <w:szCs w:val="18"/>
                <w:lang w:val="es-ES_tradnl"/>
              </w:rPr>
            </w:pPr>
            <w:r w:rsidRPr="00314B15">
              <w:rPr>
                <w:rStyle w:val="Textoennegrita"/>
                <w:b w:val="0"/>
              </w:rPr>
              <w:t>Temperature</w:t>
            </w:r>
          </w:p>
        </w:tc>
        <w:tc>
          <w:tcPr>
            <w:tcW w:w="2041" w:type="dxa"/>
            <w:shd w:val="clear" w:color="auto" w:fill="FFFFFF"/>
            <w:vAlign w:val="center"/>
          </w:tcPr>
          <w:p w14:paraId="58E0711C" w14:textId="5A8D341B"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°C</w:t>
            </w:r>
          </w:p>
        </w:tc>
        <w:tc>
          <w:tcPr>
            <w:tcW w:w="1534" w:type="dxa"/>
            <w:shd w:val="clear" w:color="auto" w:fill="FFFFFF"/>
            <w:vAlign w:val="center"/>
          </w:tcPr>
          <w:p w14:paraId="3BFA3C82" w14:textId="3B10F5C5"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24,1</w:t>
            </w:r>
          </w:p>
        </w:tc>
        <w:tc>
          <w:tcPr>
            <w:tcW w:w="1127" w:type="dxa"/>
            <w:shd w:val="clear" w:color="auto" w:fill="FFFFFF"/>
            <w:vAlign w:val="center"/>
          </w:tcPr>
          <w:p w14:paraId="23C0EBC5" w14:textId="5E245987"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20,9</w:t>
            </w:r>
          </w:p>
        </w:tc>
        <w:tc>
          <w:tcPr>
            <w:tcW w:w="1127" w:type="dxa"/>
            <w:shd w:val="clear" w:color="auto" w:fill="FFFFFF"/>
            <w:vAlign w:val="center"/>
          </w:tcPr>
          <w:p w14:paraId="2A7038D7" w14:textId="1E141410"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21,0</w:t>
            </w:r>
          </w:p>
        </w:tc>
        <w:tc>
          <w:tcPr>
            <w:tcW w:w="1108" w:type="dxa"/>
            <w:shd w:val="clear" w:color="auto" w:fill="FFFFFF"/>
            <w:vAlign w:val="center"/>
          </w:tcPr>
          <w:p w14:paraId="06F09E8C" w14:textId="13F38FD9"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20,1</w:t>
            </w:r>
          </w:p>
        </w:tc>
      </w:tr>
      <w:tr w:rsidR="00314B15" w:rsidRPr="000E15DC" w14:paraId="48D06854" w14:textId="720424C3" w:rsidTr="00B07567">
        <w:trPr>
          <w:trHeight w:val="247"/>
        </w:trPr>
        <w:tc>
          <w:tcPr>
            <w:tcW w:w="2041" w:type="dxa"/>
            <w:shd w:val="clear" w:color="auto" w:fill="FFFFFF"/>
          </w:tcPr>
          <w:p w14:paraId="57D3332A" w14:textId="3B1D5B94" w:rsidR="00314B15" w:rsidRPr="00314B15" w:rsidRDefault="00314B15" w:rsidP="00314B15">
            <w:pPr>
              <w:pStyle w:val="CETBodytext"/>
              <w:rPr>
                <w:rFonts w:eastAsia="Calibri" w:cs="Arial"/>
                <w:b/>
                <w:szCs w:val="18"/>
                <w:lang w:val="es-ES_tradnl"/>
              </w:rPr>
            </w:pPr>
            <w:r w:rsidRPr="00314B15">
              <w:rPr>
                <w:rStyle w:val="Textoennegrita"/>
                <w:b w:val="0"/>
              </w:rPr>
              <w:t>Total Suspended Solids (TSS)</w:t>
            </w:r>
          </w:p>
        </w:tc>
        <w:tc>
          <w:tcPr>
            <w:tcW w:w="2041" w:type="dxa"/>
            <w:shd w:val="clear" w:color="auto" w:fill="FFFFFF"/>
            <w:vAlign w:val="center"/>
          </w:tcPr>
          <w:p w14:paraId="43B4CDDD" w14:textId="7614E42B"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mg/L</w:t>
            </w:r>
          </w:p>
        </w:tc>
        <w:tc>
          <w:tcPr>
            <w:tcW w:w="1534" w:type="dxa"/>
            <w:shd w:val="clear" w:color="auto" w:fill="FFFFFF"/>
            <w:vAlign w:val="center"/>
          </w:tcPr>
          <w:p w14:paraId="5B8D8238" w14:textId="14B14E93"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7,4</w:t>
            </w:r>
          </w:p>
        </w:tc>
        <w:tc>
          <w:tcPr>
            <w:tcW w:w="1127" w:type="dxa"/>
            <w:shd w:val="clear" w:color="auto" w:fill="FFFFFF"/>
            <w:vAlign w:val="center"/>
          </w:tcPr>
          <w:p w14:paraId="158490A2" w14:textId="338B6949"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8,2</w:t>
            </w:r>
          </w:p>
        </w:tc>
        <w:tc>
          <w:tcPr>
            <w:tcW w:w="1127" w:type="dxa"/>
            <w:shd w:val="clear" w:color="auto" w:fill="FFFFFF"/>
            <w:vAlign w:val="center"/>
          </w:tcPr>
          <w:p w14:paraId="1AE4049F" w14:textId="03526862"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8,5</w:t>
            </w:r>
          </w:p>
        </w:tc>
        <w:tc>
          <w:tcPr>
            <w:tcW w:w="1108" w:type="dxa"/>
            <w:shd w:val="clear" w:color="auto" w:fill="FFFFFF"/>
            <w:vAlign w:val="center"/>
          </w:tcPr>
          <w:p w14:paraId="708DCF78" w14:textId="01E239D9"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6,7</w:t>
            </w:r>
          </w:p>
        </w:tc>
      </w:tr>
      <w:tr w:rsidR="00314B15" w:rsidRPr="000E15DC" w14:paraId="46D8F350" w14:textId="2AF7D00B" w:rsidTr="00B07567">
        <w:trPr>
          <w:trHeight w:val="247"/>
        </w:trPr>
        <w:tc>
          <w:tcPr>
            <w:tcW w:w="2041" w:type="dxa"/>
            <w:shd w:val="clear" w:color="auto" w:fill="FFFFFF"/>
          </w:tcPr>
          <w:p w14:paraId="3AF97ED8" w14:textId="24C42E40" w:rsidR="00314B15" w:rsidRPr="00314B15" w:rsidRDefault="00314B15" w:rsidP="00314B15">
            <w:pPr>
              <w:pStyle w:val="CETBodytext"/>
              <w:rPr>
                <w:rFonts w:eastAsia="Calibri" w:cs="Arial"/>
                <w:b/>
                <w:szCs w:val="18"/>
                <w:lang w:val="es-ES_tradnl"/>
              </w:rPr>
            </w:pPr>
            <w:r w:rsidRPr="00314B15">
              <w:rPr>
                <w:rStyle w:val="Textoennegrita"/>
                <w:b w:val="0"/>
              </w:rPr>
              <w:t>pH</w:t>
            </w:r>
          </w:p>
        </w:tc>
        <w:tc>
          <w:tcPr>
            <w:tcW w:w="2041" w:type="dxa"/>
            <w:shd w:val="clear" w:color="auto" w:fill="FFFFFF"/>
            <w:vAlign w:val="center"/>
          </w:tcPr>
          <w:p w14:paraId="657DE350" w14:textId="75486AE0" w:rsidR="00314B15" w:rsidRPr="000E15DC" w:rsidRDefault="00314B15" w:rsidP="00314B15">
            <w:pPr>
              <w:pStyle w:val="CETBodytext"/>
              <w:jc w:val="center"/>
              <w:rPr>
                <w:rFonts w:eastAsia="Calibri" w:cs="Arial"/>
                <w:szCs w:val="18"/>
                <w:lang w:val="es-ES_tradnl"/>
              </w:rPr>
            </w:pPr>
            <w:r>
              <w:t>pH Unit</w:t>
            </w:r>
          </w:p>
        </w:tc>
        <w:tc>
          <w:tcPr>
            <w:tcW w:w="1534" w:type="dxa"/>
            <w:shd w:val="clear" w:color="auto" w:fill="FFFFFF"/>
            <w:vAlign w:val="center"/>
          </w:tcPr>
          <w:p w14:paraId="72B84D5F" w14:textId="7120263B"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8,1</w:t>
            </w:r>
          </w:p>
        </w:tc>
        <w:tc>
          <w:tcPr>
            <w:tcW w:w="1127" w:type="dxa"/>
            <w:shd w:val="clear" w:color="auto" w:fill="FFFFFF"/>
            <w:vAlign w:val="center"/>
          </w:tcPr>
          <w:p w14:paraId="2939FC7B" w14:textId="0652D5D0"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7,3</w:t>
            </w:r>
          </w:p>
        </w:tc>
        <w:tc>
          <w:tcPr>
            <w:tcW w:w="1127" w:type="dxa"/>
            <w:shd w:val="clear" w:color="auto" w:fill="FFFFFF"/>
            <w:vAlign w:val="center"/>
          </w:tcPr>
          <w:p w14:paraId="52CD8B6D" w14:textId="0B7B1E6B"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7,9</w:t>
            </w:r>
          </w:p>
        </w:tc>
        <w:tc>
          <w:tcPr>
            <w:tcW w:w="1108" w:type="dxa"/>
            <w:shd w:val="clear" w:color="auto" w:fill="FFFFFF"/>
            <w:vAlign w:val="center"/>
          </w:tcPr>
          <w:p w14:paraId="11B0B03C" w14:textId="5ED1EE48" w:rsidR="00314B15" w:rsidRPr="000E15DC" w:rsidRDefault="00314B15" w:rsidP="00314B15">
            <w:pPr>
              <w:pStyle w:val="CETBodytext"/>
              <w:jc w:val="center"/>
              <w:rPr>
                <w:rFonts w:eastAsia="Calibri" w:cs="Arial"/>
                <w:szCs w:val="18"/>
                <w:lang w:val="es-ES_tradnl"/>
              </w:rPr>
            </w:pPr>
            <w:r w:rsidRPr="00894B79">
              <w:rPr>
                <w:rFonts w:cs="Arial"/>
                <w:color w:val="000000"/>
                <w:szCs w:val="24"/>
                <w:lang w:eastAsia="es-PE"/>
              </w:rPr>
              <w:t>7,7</w:t>
            </w:r>
          </w:p>
        </w:tc>
      </w:tr>
    </w:tbl>
    <w:p w14:paraId="0E205FA1" w14:textId="607C8982" w:rsidR="00463279" w:rsidRPr="000E7719" w:rsidRDefault="000E7719" w:rsidP="00FD5D10">
      <w:pPr>
        <w:pStyle w:val="CETBodytext"/>
        <w:rPr>
          <w:b/>
        </w:rPr>
      </w:pPr>
      <w:r>
        <w:t xml:space="preserve">Note: The average concentrations of the parameters were calculated based on monitoring data collected at each sampling point, following the procedures established in the National Protocol for Monitoring the Quality of Surface Water Resources </w:t>
      </w:r>
      <w:r>
        <w:fldChar w:fldCharType="begin" w:fldLock="1"/>
      </w:r>
      <w:r>
        <w:instrText>ADDIN CSL_CITATION {"citationItems":[{"id":"ITEM-1","itemData":{"author":[{"dropping-particle":"","family":"ANA","given":"","non-dropping-particle":"","parse-names":false,"suffix":""}],"container-title":"Ana","id":"ITEM-1","issued":{"date-parts":[["2016"]]},"page":"59","title":"Protocolo Nacional de Monitoreo de Calidad de Agua R.J. 010-2016","type":"article"},"uris":["http://www.mendeley.com/documents/?uuid=46d9e48d-511f-41a5-9e9b-b4e7ecea85df"]}],"mendeley":{"formattedCitation":"(ANA, 2016)","plainTextFormattedCitation":"(ANA, 2016)"},"properties":{"noteIndex":0},"schema":"https://github.com/citation-style-language/schema/raw/master/csl-citation.json"}</w:instrText>
      </w:r>
      <w:r>
        <w:fldChar w:fldCharType="separate"/>
      </w:r>
      <w:r w:rsidRPr="000E7719">
        <w:rPr>
          <w:noProof/>
        </w:rPr>
        <w:t>(ANA, 2016)</w:t>
      </w:r>
      <w:r>
        <w:fldChar w:fldCharType="end"/>
      </w:r>
      <w:r>
        <w:t>.</w:t>
      </w:r>
    </w:p>
    <w:p w14:paraId="32C0A3C8" w14:textId="77777777" w:rsidR="00314B15" w:rsidRPr="00314B15" w:rsidRDefault="00314B15" w:rsidP="00314B15">
      <w:pPr>
        <w:pStyle w:val="CETBodytext"/>
      </w:pPr>
      <w:r w:rsidRPr="00314B15">
        <w:t>*Exceeds MPL for effluents from domestic WWTPs.</w:t>
      </w:r>
    </w:p>
    <w:p w14:paraId="23580F44" w14:textId="77777777" w:rsidR="00314B15" w:rsidRPr="00314B15" w:rsidRDefault="00314B15" w:rsidP="00314B15">
      <w:pPr>
        <w:pStyle w:val="CETBodytext"/>
      </w:pPr>
      <w:r w:rsidRPr="00314B15">
        <w:t>**Exceeds EQS for water: subcategories D1, D2, and E2.</w:t>
      </w:r>
    </w:p>
    <w:p w14:paraId="3E6F2DF8" w14:textId="044E74DB" w:rsidR="00331506" w:rsidRPr="00314B15" w:rsidRDefault="00314B15" w:rsidP="00314B15">
      <w:pPr>
        <w:pStyle w:val="CETBodytext"/>
        <w:rPr>
          <w:b/>
        </w:rPr>
      </w:pPr>
      <w:r w:rsidRPr="00314B15">
        <w:t>***Exceeds EQS for water: subcategory E2.</w:t>
      </w:r>
    </w:p>
    <w:p w14:paraId="637399CE" w14:textId="34A06A31" w:rsidR="00FD5D10" w:rsidRPr="00314B15" w:rsidRDefault="00FD5D10" w:rsidP="00FD5D10">
      <w:pPr>
        <w:pStyle w:val="CETBodytext"/>
        <w:rPr>
          <w:b/>
        </w:rPr>
      </w:pPr>
    </w:p>
    <w:p w14:paraId="542CC0D5" w14:textId="77777777" w:rsidR="006519BE" w:rsidRDefault="006519BE" w:rsidP="00706BF9">
      <w:pPr>
        <w:rPr>
          <w:lang w:val="en-US"/>
        </w:rPr>
      </w:pPr>
    </w:p>
    <w:p w14:paraId="4EC0F6E9" w14:textId="396E367A" w:rsidR="00706BF9" w:rsidRPr="0055419C" w:rsidRDefault="0055419C" w:rsidP="00706BF9">
      <w:pPr>
        <w:rPr>
          <w:lang w:val="en-US"/>
        </w:rPr>
      </w:pPr>
      <w:r w:rsidRPr="0055419C">
        <w:rPr>
          <w:lang w:val="en-US"/>
        </w:rPr>
        <w:t>The MPL for effluents from WWTPs determined the water quality of the Yuracyacu River. The average concentration of COD, BOD</w:t>
      </w:r>
      <w:r w:rsidRPr="0055419C">
        <w:rPr>
          <w:rFonts w:ascii="Cambria Math" w:hAnsi="Cambria Math" w:cs="Cambria Math"/>
          <w:lang w:val="en-US"/>
        </w:rPr>
        <w:t>₅</w:t>
      </w:r>
      <w:r w:rsidRPr="0055419C">
        <w:rPr>
          <w:lang w:val="en-US"/>
        </w:rPr>
        <w:t>, oils and fats, temperature, TSS, and pH did not exceed the MPL nor the EQS-Water in the receiving body downstream of the discharge point (AN 2). However, thermotolerant coliforms exceeded the MPL and contributed to exceeding the standards at both AN 2 and AN 3. This can be attributed to the inefficient treatment of thermotolerant coliforms at the WWTP in the district of Elias Soplin Vargas. Proper treatment of wastewater before discharge is required to mitigate these impacts.</w:t>
      </w:r>
    </w:p>
    <w:p w14:paraId="5BCD1C57" w14:textId="77777777" w:rsidR="00706BF9" w:rsidRPr="0055419C" w:rsidRDefault="00706BF9" w:rsidP="00706BF9">
      <w:pPr>
        <w:rPr>
          <w:highlight w:val="yellow"/>
          <w:lang w:val="en-US"/>
        </w:rPr>
      </w:pPr>
    </w:p>
    <w:p w14:paraId="45AE4C3D" w14:textId="58644B27" w:rsidR="00706BF9" w:rsidRPr="0055419C" w:rsidRDefault="0055419C" w:rsidP="00706BF9">
      <w:pPr>
        <w:rPr>
          <w:highlight w:val="yellow"/>
          <w:lang w:val="en-US"/>
        </w:rPr>
      </w:pPr>
      <w:r w:rsidRPr="0055419C">
        <w:rPr>
          <w:lang w:val="en-US"/>
        </w:rPr>
        <w:t xml:space="preserve">It has been determined that, according to seasonality, there are differences in the concentrations of parameters in the receiving water body, with values capable of exceeding the water quality standards for subcategories D1, D2, and E2. The highest values can be attributed to low-flow periods. This aligns with what has been reported by </w:t>
      </w:r>
      <w:r w:rsidR="00663146">
        <w:rPr>
          <w:lang w:val="es-MX"/>
        </w:rPr>
        <w:fldChar w:fldCharType="begin" w:fldLock="1"/>
      </w:r>
      <w:r w:rsidR="00CF402A" w:rsidRPr="0055419C">
        <w:rPr>
          <w:lang w:val="en-US"/>
        </w:rPr>
        <w:instrText>ADDIN CSL_CITATION {"citationItems":[{"id":"ITEM-1","itemData":{"author":[{"dropping-particle":"","family":"Villanueva","given":"Tania","non-dropping-particle":"","parse-names":false,"suffix":""},{"dropping-particle":"","family":"Quispe","given":"G","non-dropping-particle":"","parse-names":false,"suffix":""},{"dropping-particle":"","family":"Chui","given":"H","non-dropping-particle":"","parse-names":false,"suffix":""},{"dropping-particle":"","family":"Perez","given":"K","non-dropping-particle":"","parse-names":false,"suffix":""}],"id":"ITEM-1","issue":"3","issued":{"date-parts":[["2023"]]},"page":"89-96","title":"Revista Boliviana de Química 40","type":"article-journal","volume":"40"},"uris":["http://www.mendeley.com/documents/?uuid=72b55f19-e123-45aa-bc58-12cc94d0cff4"]},{"id":"ITEM-2","itemData":{"ISSN":"1409-0112","abstract":"Contamination of the main basins in Costa Rica by untreated sewage is one of the issues that directly affect the natural environment of the country. The watershed of the Quebrada Estero in San Ramon has several wetlands that have been affected by urban growth, so the aim of this research was to determine the water quality by applying the Dutch index (IHCA-CR for its acronym in Spanish) and other complementary physico-chemical and microbiological parameters (temperature, pH, nitrates, phosphates and fecal coliforms) during the dry and rainy seasons of 2014. It was determined that all sites showed contamination from incipient to very severe both in the dry and the rainy season, although it was higher during the dry season and more severe in the highest points of the watershed. The variable that contributed most to the IHCA-CR was the Dissolved Oxygen Percentage. During the rainy season, contamination decreased due to the effect of dilution and increased aeration of higher flow and lower water temperature. Both the IHCA-CR and the complementary parameters suggest that the discharge of domestic raw sewage is the main cause of the deterioration of water quality in the watershed, so it is recommended to use different forms of treatment and disposal to control pollution in these aquatic ecosystems. Keywords:","author":[{"dropping-particle":"","family":"Rodríguez","given":"Cindy","non-dropping-particle":"","parse-names":false,"suffix":""},{"dropping-particle":"","family":"Silva","given":"Margarita","non-dropping-particle":"","parse-names":false,"suffix":""}],"container-title":"Revista Pensamiento Actual (San José)","id":"ITEM-2","issue":"25","issued":{"date-parts":[["2015"]]},"page":"85-97","title":"Calidad del agua en la microcuenca alta de la quebrada Estero en San Ramón de Alajuela, Costa Rica","type":"article-journal","volume":"15"},"uris":["http://www.mendeley.com/documents/?uuid=a39ebac3-40da-4e0c-a025-44a7f9a45b91"]}],"mendeley":{"formattedCitation":"(Rodríguez and Silva, 2015; Villanueva &lt;i&gt;et al.&lt;/i&gt;, 2023)","plainTextFormattedCitation":"(Rodríguez and Silva, 2015; Villanueva et al., 2023)","previouslyFormattedCitation":"(Rodríguez and Silva, 2015; Villanueva &lt;i&gt;et al.&lt;/i&gt;, 2023)"},"properties":{"noteIndex":0},"schema":"https://github.com/citation-style-language/schema/raw/master/csl-citation.json"}</w:instrText>
      </w:r>
      <w:r w:rsidR="00663146">
        <w:rPr>
          <w:lang w:val="es-MX"/>
        </w:rPr>
        <w:fldChar w:fldCharType="separate"/>
      </w:r>
      <w:r w:rsidR="00663146" w:rsidRPr="0055419C">
        <w:rPr>
          <w:noProof/>
          <w:lang w:val="en-US"/>
        </w:rPr>
        <w:t xml:space="preserve">(Rodríguez and Silva, 2015; Villanueva </w:t>
      </w:r>
      <w:r w:rsidR="00663146" w:rsidRPr="0055419C">
        <w:rPr>
          <w:i/>
          <w:noProof/>
          <w:lang w:val="en-US"/>
        </w:rPr>
        <w:t>et al.</w:t>
      </w:r>
      <w:r w:rsidR="00663146" w:rsidRPr="0055419C">
        <w:rPr>
          <w:noProof/>
          <w:lang w:val="en-US"/>
        </w:rPr>
        <w:t>, 2023)</w:t>
      </w:r>
      <w:r w:rsidR="00663146">
        <w:rPr>
          <w:lang w:val="es-MX"/>
        </w:rPr>
        <w:fldChar w:fldCharType="end"/>
      </w:r>
      <w:r w:rsidR="0015561C" w:rsidRPr="0055419C">
        <w:rPr>
          <w:lang w:val="en-US"/>
        </w:rPr>
        <w:t xml:space="preserve"> </w:t>
      </w:r>
      <w:r w:rsidRPr="0055419C">
        <w:rPr>
          <w:lang w:val="en-US"/>
        </w:rPr>
        <w:t>who indicate that the highest pollution levels are detected during low-flow periods. Domestic wastewater effluents produce social impacts, potentially affecting crops adjacent to rivers and altering public health. As direct users of water resources, local communities can provide a deeper understanding of the socio-ecological context and contribute valuable lived experiences related to water quality, expectations for water resources, and water usability</w:t>
      </w:r>
      <w:r>
        <w:rPr>
          <w:lang w:val="en-US"/>
        </w:rPr>
        <w:t xml:space="preserve"> </w:t>
      </w:r>
      <w:r w:rsidR="00CF402A">
        <w:rPr>
          <w:lang w:val="es-ES_tradnl"/>
        </w:rPr>
        <w:fldChar w:fldCharType="begin" w:fldLock="1"/>
      </w:r>
      <w:r w:rsidR="00D60D10" w:rsidRPr="0055419C">
        <w:rPr>
          <w:lang w:val="en-US"/>
        </w:rPr>
        <w:instrText>ADDIN CSL_CITATION {"citationItems":[{"id":"ITEM-1","itemData":{"DOI":"10.1016/j.jhydrol.2023.129949","ISSN":"00221694","abstract":"Water quality is an integral part of water security. Measuring the physico-chemical indicators for water quality can provide an objective picture of water health, but it does not provide information on lived experiences related to water quality, expectations of water resources, nor how the quality of water affects its usage. Perceptual information and traditional ecological knowledge on water quality can help to understand interactions between water and people, and thereby support locally appropriate sustainable water resource strategies. Accordingly, our project sought to collect and synthesise insights from local perspectives on water quality in the upper Santa River basin, Peru, a region where water quality directly relates to people's livelihoods. Perceptual data was collected via the Nuestro Rio mobile app (N = 149) as well as walking interviews (n = 84) (July-August 2021) in two main study areas, Olleros and Catac. We find that water quality perspectives differ within, and between, study areas and communities, however four overarching themes were identified, and are explored here: i) environmental indi</w:instrText>
      </w:r>
      <w:r w:rsidR="00D60D10">
        <w:rPr>
          <w:lang w:val="es-ES_tradnl"/>
        </w:rPr>
        <w:instrText>cators for water quality; ii) water uses; and iii) perceived causes of water quality; iv) water quality perceptions behind emotions. Most rural participants felt the main cause of poor water quality was mineral pollution, likely linked to local geology, however we also found that local perceptions of water quality depend on water usage, directly linked to domestic water use and agricultural livelihoods. Qualitative data highlighted the complex relationships between water quality, perceptions and emotions. More inclusive citizen-based science that considers what people observe, think and feel about the quality of their rivers can help provide a much deeper contextual understanding of dynamic human-water systems, with further benefits for improving water management and policy implementation.","author":[{"dropping-particle":"","family":"Rangecroft","given":"Sally","non-dropping-particle":"","parse-names":false,"suffix":""},{"dropping-particle":"","family":"Dextre","given":"Rosa Maria","non-dropping-particle":"","parse-names":false,"suffix":""},{"dropping-particle":"","family":"Richter","given":"Isabel","non-dropping-particle":"","parse-names":false,"suffix":""},{"dropping-particle":"V.","family":"Grados Bueno","given":"Claudia","non-dropping-particle":"","parse-names":false,"suffix":""},{"dropping-particle":"","family":"Kelly","given":"Claire","non-dropping-particle":"","parse-names":false,"suffix":""},{"dropping-particle":"","family":</w:instrText>
      </w:r>
      <w:r w:rsidR="00D60D10" w:rsidRPr="0055419C">
        <w:rPr>
          <w:lang w:val="en-US"/>
        </w:rPr>
        <w:instrText>"Turin","given":"Cecilia","non-dropping-particle":"","parse-names":false,"suffix":""},{"dropping-particle":"","family":"Fuentealba","given":"Beatriz","non-dropping-particle":"","parse-names":false,"suffix":""},{"dropping-particle":"","family":"Hernandez","given":"Mirtha Camacho","non-dropping-particle":"","parse-names":false,"suffix":""},{"dropping-particle":"","family":"Morera","given":"Sergio","non-dropping-particle":"","parse-names":false,"suffix":""},{"dropping-particle":"","family":"Martin","given":"John","non-dropping-particle":"","parse-names":false,"suffix":""},{"dropping-particle":"","family":"Guy","given":"Adam","non-dropping-particle":"","parse-names":false,"suffix":""},{"dropping-particle":"","family":"Clason","given":"Caroline","non-dropping-particle":"","parse-names":false,"suffix":""}],"container-title":"Journal of Hydrology","id":"ITEM-1","issue":"PA","issued":{"date-parts":[["2023"]]},"page":"129949","publisher":"Elsevier B.V.","title":"Unravelling and understanding local perceptions of water quality in the Santa basin, Peru","type":"article-journal","volume":"625"},"uris":["http://www.mendeley.com/documents/?uuid=9ffdaa73-acee-4cca-a828-301a1e479ece"]}],"mendeley":{"formattedCitation":"(Rangecroft &lt;i&gt;et al.&lt;/i&gt;, 2023)","plainTextFormattedCitation":"(Rangecroft et al., 2023)","previouslyFormattedCitation":"(Rangecroft &lt;i&gt;et al.&lt;/i&gt;, 2023)"},"properties":{"noteIndex":0},"schema":"https://github.com/citation-style-language/schema/raw/master/csl-citation.json"}</w:instrText>
      </w:r>
      <w:r w:rsidR="00CF402A">
        <w:rPr>
          <w:lang w:val="es-ES_tradnl"/>
        </w:rPr>
        <w:fldChar w:fldCharType="separate"/>
      </w:r>
      <w:r w:rsidR="00CF402A" w:rsidRPr="0055419C">
        <w:rPr>
          <w:noProof/>
          <w:lang w:val="en-US"/>
        </w:rPr>
        <w:t xml:space="preserve">(Rangecroft </w:t>
      </w:r>
      <w:r w:rsidR="00CF402A" w:rsidRPr="0055419C">
        <w:rPr>
          <w:i/>
          <w:noProof/>
          <w:lang w:val="en-US"/>
        </w:rPr>
        <w:t>et al.</w:t>
      </w:r>
      <w:r w:rsidR="00CF402A" w:rsidRPr="0055419C">
        <w:rPr>
          <w:noProof/>
          <w:lang w:val="en-US"/>
        </w:rPr>
        <w:t>, 2023)</w:t>
      </w:r>
      <w:r w:rsidR="00CF402A">
        <w:rPr>
          <w:lang w:val="es-ES_tradnl"/>
        </w:rPr>
        <w:fldChar w:fldCharType="end"/>
      </w:r>
      <w:r w:rsidR="00CF402A" w:rsidRPr="0055419C">
        <w:rPr>
          <w:lang w:val="en-US"/>
        </w:rPr>
        <w:t>.</w:t>
      </w:r>
      <w:r w:rsidR="00E23EB9" w:rsidRPr="0055419C">
        <w:rPr>
          <w:lang w:val="en-US"/>
        </w:rPr>
        <w:t xml:space="preserve"> </w:t>
      </w:r>
      <w:r w:rsidRPr="0055419C">
        <w:rPr>
          <w:lang w:val="en-US"/>
        </w:rPr>
        <w:t>The discharge of non-domestic wastewater from the WWTP in the district of Elias Soplin Vargas influences the environmental quality of the Yuracyacu River, and the higher the pollutant load in the effluent, the greater the effects on the aquatic environment.</w:t>
      </w:r>
    </w:p>
    <w:p w14:paraId="4AAFA131" w14:textId="77777777" w:rsidR="00706BF9" w:rsidRPr="0055419C" w:rsidRDefault="00706BF9" w:rsidP="00706BF9">
      <w:pPr>
        <w:rPr>
          <w:highlight w:val="yellow"/>
          <w:lang w:val="en-US"/>
        </w:rPr>
      </w:pPr>
    </w:p>
    <w:p w14:paraId="26895111" w14:textId="229313CE" w:rsidR="00706BF9" w:rsidRPr="00706BF9" w:rsidRDefault="00706BF9" w:rsidP="00706BF9">
      <w:pPr>
        <w:rPr>
          <w:lang w:val="es-MX"/>
        </w:rPr>
      </w:pPr>
      <w:r w:rsidRPr="00D42649">
        <w:rPr>
          <w:lang w:val="es-MX"/>
        </w:rPr>
        <w:t>El río Yuracyacu arrastra una elevada carga microbiológica desde aguas arribas del pun</w:t>
      </w:r>
      <w:r w:rsidR="00D42649" w:rsidRPr="00D42649">
        <w:rPr>
          <w:lang w:val="es-MX"/>
        </w:rPr>
        <w:t>to de vertimiento, posiblemente</w:t>
      </w:r>
      <w:r w:rsidRPr="00D42649">
        <w:rPr>
          <w:lang w:val="es-MX"/>
        </w:rPr>
        <w:t xml:space="preserve"> </w:t>
      </w:r>
      <w:r w:rsidR="00D42649" w:rsidRPr="00D42649">
        <w:rPr>
          <w:lang w:val="es-MX"/>
        </w:rPr>
        <w:t>por el</w:t>
      </w:r>
      <w:r w:rsidRPr="00D42649">
        <w:rPr>
          <w:lang w:val="es-MX"/>
        </w:rPr>
        <w:t xml:space="preserve"> vertimiento de otros efluentes y desarrollo de otro tipo de actividades, al llegar a la zona </w:t>
      </w:r>
      <w:r w:rsidRPr="00D42649">
        <w:rPr>
          <w:lang w:val="es-MX"/>
        </w:rPr>
        <w:lastRenderedPageBreak/>
        <w:t>de mezcla y posterior a esta se incrementa la carga del contaminante debido al aporte de elevadas concentraciones del efluente.</w:t>
      </w:r>
      <w:r w:rsidR="00D42649">
        <w:rPr>
          <w:lang w:val="es-MX"/>
        </w:rPr>
        <w:t xml:space="preserve"> </w:t>
      </w:r>
      <w:r w:rsidR="00D42649" w:rsidRPr="00D42649">
        <w:rPr>
          <w:lang w:val="es-MX"/>
        </w:rPr>
        <w:t>L</w:t>
      </w:r>
      <w:r w:rsidRPr="00D42649">
        <w:rPr>
          <w:lang w:val="es-MX"/>
        </w:rPr>
        <w:t>as concentraciones de DQO, DBO</w:t>
      </w:r>
      <w:r w:rsidRPr="00D42649">
        <w:rPr>
          <w:vertAlign w:val="subscript"/>
          <w:lang w:val="es-MX"/>
        </w:rPr>
        <w:t>5</w:t>
      </w:r>
      <w:r w:rsidRPr="00D42649">
        <w:rPr>
          <w:lang w:val="es-MX"/>
        </w:rPr>
        <w:t>, aceites y grasas, temperatura y pH son significativamente menores aguas arriba del punto de vertimiento y se incrementan en la zona de mezcla debido a la elevada carga contaminante que se descarga de la PTAR, que, de acuerdo a la temporalidad, longitud de zona de mezcla y características hidrológicas del río las concentraciones pueden exceder los estándares de calidad para agua y ocasionar efectos ambientales más relevantes en el cuerpo receptor.</w:t>
      </w:r>
      <w:r w:rsidRPr="00706BF9">
        <w:rPr>
          <w:lang w:val="es-MX"/>
        </w:rPr>
        <w:t xml:space="preserve"> </w:t>
      </w:r>
    </w:p>
    <w:p w14:paraId="1792D56D" w14:textId="771267AC" w:rsidR="00B43EE0" w:rsidRPr="00706BF9" w:rsidRDefault="00B43EE0" w:rsidP="007F134A">
      <w:pPr>
        <w:pStyle w:val="CETBodytext"/>
        <w:rPr>
          <w:lang w:val="es-MX"/>
        </w:rPr>
      </w:pPr>
    </w:p>
    <w:p w14:paraId="2EB303CC" w14:textId="21905D15" w:rsidR="002B1A23" w:rsidRPr="007F134A" w:rsidRDefault="002B1A23" w:rsidP="002B1A23">
      <w:pPr>
        <w:pStyle w:val="CETBodytext"/>
        <w:rPr>
          <w:lang w:val="es-MX"/>
        </w:rPr>
      </w:pPr>
    </w:p>
    <w:p w14:paraId="26FDAC3B" w14:textId="3817B9E0" w:rsidR="007F134A" w:rsidRPr="00FF46A7" w:rsidRDefault="00B40F7E" w:rsidP="007F134A">
      <w:pPr>
        <w:pStyle w:val="CETBodytext"/>
        <w:rPr>
          <w:b/>
          <w:sz w:val="20"/>
        </w:rPr>
      </w:pPr>
      <w:r w:rsidRPr="00FF46A7">
        <w:rPr>
          <w:b/>
          <w:sz w:val="20"/>
        </w:rPr>
        <w:t>4</w:t>
      </w:r>
      <w:r w:rsidR="007F134A" w:rsidRPr="00FF46A7">
        <w:rPr>
          <w:b/>
          <w:sz w:val="20"/>
        </w:rPr>
        <w:t xml:space="preserve">. </w:t>
      </w:r>
      <w:r w:rsidR="0055419C" w:rsidRPr="00FF46A7">
        <w:rPr>
          <w:b/>
          <w:sz w:val="20"/>
        </w:rPr>
        <w:t>Conclusions</w:t>
      </w:r>
    </w:p>
    <w:p w14:paraId="7D1350A5" w14:textId="144D013A" w:rsidR="002B1A23" w:rsidRDefault="0055419C" w:rsidP="0055419C">
      <w:pPr>
        <w:pStyle w:val="CETBodytext"/>
      </w:pPr>
      <w:r w:rsidRPr="0055419C">
        <w:t>The Yuracyacu River carries a high microbiological load from upstream of the discharge point, possibly due to the discharge of other effluents and the development of various activities. Upon reaching the mixing zone and beyond, the pollutant load increases due to the contribution of elevated effluent concentrations.</w:t>
      </w:r>
      <w:r w:rsidR="00105A56">
        <w:t xml:space="preserve"> </w:t>
      </w:r>
      <w:r w:rsidRPr="0055419C">
        <w:t>The concentrations of COD, BOD</w:t>
      </w:r>
      <w:r w:rsidRPr="0055419C">
        <w:rPr>
          <w:rFonts w:ascii="Cambria Math" w:hAnsi="Cambria Math" w:cs="Cambria Math"/>
        </w:rPr>
        <w:t>₅</w:t>
      </w:r>
      <w:r w:rsidRPr="0055419C">
        <w:t>, oils and fats, temperature, and pH are significantly lower upstream of the discharge point but increase within the mixing zone due to the high pollutant load discharged from the WWTP. Depending on the seasonality, mixing zone length, and hydrological characteristics of the river, these concentrations can exceed water quality standards and cause more significant environmental effects on the receiving water body.</w:t>
      </w:r>
    </w:p>
    <w:p w14:paraId="6934C703" w14:textId="0615E342" w:rsidR="00105A56" w:rsidRPr="0055419C" w:rsidRDefault="00105A56" w:rsidP="0055419C">
      <w:pPr>
        <w:pStyle w:val="CETBodytext"/>
      </w:pPr>
      <w:r w:rsidRPr="00105A56">
        <w:t>It is recommended that the wastewater treatment plant in the district of Elías Soplin Vargas, Peru, implement more advanced treatment technologies to enhance efficiency in the removal of thermotolerant coliforms and other contaminants. Additionally, continuous monitoring and stricter enforcement of national environmental regulations are essential to ensure compliance and mitigate long-term impacts on the Yuracyacu River.</w:t>
      </w:r>
    </w:p>
    <w:p w14:paraId="35387ACF" w14:textId="0A765F7F" w:rsidR="002B1A23" w:rsidRPr="0055419C" w:rsidRDefault="002B1A23" w:rsidP="002B1A23">
      <w:pPr>
        <w:pStyle w:val="CETBodytext"/>
      </w:pPr>
    </w:p>
    <w:p w14:paraId="56CD12A3" w14:textId="77777777" w:rsidR="00DD4EBE" w:rsidRDefault="00DD4EBE" w:rsidP="0055419C">
      <w:pPr>
        <w:pStyle w:val="CETBodytext"/>
        <w:rPr>
          <w:b/>
          <w:sz w:val="20"/>
        </w:rPr>
      </w:pPr>
    </w:p>
    <w:p w14:paraId="751791D3" w14:textId="1CF0A3EA" w:rsidR="0055419C" w:rsidRPr="0055419C" w:rsidRDefault="0055419C" w:rsidP="0055419C">
      <w:pPr>
        <w:pStyle w:val="CETBodytext"/>
        <w:rPr>
          <w:b/>
          <w:sz w:val="20"/>
        </w:rPr>
      </w:pPr>
      <w:r w:rsidRPr="0055419C">
        <w:rPr>
          <w:b/>
          <w:sz w:val="20"/>
        </w:rPr>
        <w:t>Acknowledgments</w:t>
      </w:r>
    </w:p>
    <w:p w14:paraId="22545C7E" w14:textId="244253E0" w:rsidR="00DB1C18" w:rsidRPr="00D3565D" w:rsidRDefault="0055419C" w:rsidP="0055419C">
      <w:pPr>
        <w:pStyle w:val="CETBodytext"/>
        <w:rPr>
          <w:szCs w:val="18"/>
        </w:rPr>
      </w:pPr>
      <w:r w:rsidRPr="00D3565D">
        <w:rPr>
          <w:szCs w:val="18"/>
        </w:rPr>
        <w:t>The authors express their gratitude to the Universidad Nacional Mayor de San Marcos for the support provided in conducting this study and to the local community for their collaboration during the field activities.</w:t>
      </w:r>
    </w:p>
    <w:p w14:paraId="768E6B5C" w14:textId="77777777" w:rsidR="00C74034" w:rsidRPr="0055419C" w:rsidRDefault="00C74034" w:rsidP="00DB1C18">
      <w:pPr>
        <w:pStyle w:val="CETBodytext"/>
        <w:rPr>
          <w:b/>
          <w:sz w:val="20"/>
        </w:rPr>
      </w:pPr>
    </w:p>
    <w:p w14:paraId="0756F499" w14:textId="01E460DD" w:rsidR="00DB1C18" w:rsidRDefault="00865C90" w:rsidP="00DB1C18">
      <w:pPr>
        <w:pStyle w:val="CETBodytext"/>
        <w:rPr>
          <w:b/>
          <w:sz w:val="20"/>
          <w:lang w:val="es-MX"/>
        </w:rPr>
      </w:pPr>
      <w:r>
        <w:rPr>
          <w:b/>
          <w:sz w:val="20"/>
          <w:lang w:val="es-MX"/>
        </w:rPr>
        <w:t>References</w:t>
      </w:r>
    </w:p>
    <w:p w14:paraId="6A1F65DC" w14:textId="51939C3C" w:rsidR="00467322" w:rsidRDefault="00467322" w:rsidP="00DB1C18">
      <w:pPr>
        <w:pStyle w:val="CETBodytext"/>
        <w:rPr>
          <w:b/>
          <w:sz w:val="20"/>
          <w:lang w:val="es-MX"/>
        </w:rPr>
      </w:pPr>
    </w:p>
    <w:p w14:paraId="7195AD49" w14:textId="623F34F6" w:rsidR="00712F9B" w:rsidRPr="00D3565D" w:rsidRDefault="00467322" w:rsidP="00712F9B">
      <w:pPr>
        <w:pStyle w:val="NormalWeb"/>
        <w:rPr>
          <w:rFonts w:ascii="Times New Roman" w:hAnsi="Times New Roman"/>
          <w:sz w:val="18"/>
          <w:szCs w:val="18"/>
          <w:lang w:val="en-US"/>
        </w:rPr>
      </w:pPr>
      <w:r w:rsidRPr="00D3565D">
        <w:rPr>
          <w:sz w:val="18"/>
          <w:szCs w:val="18"/>
          <w:lang w:val="es-MX"/>
        </w:rPr>
        <w:fldChar w:fldCharType="begin" w:fldLock="1"/>
      </w:r>
      <w:r w:rsidRPr="00D3565D">
        <w:rPr>
          <w:sz w:val="18"/>
          <w:szCs w:val="18"/>
          <w:lang w:val="es-MX"/>
        </w:rPr>
        <w:instrText xml:space="preserve">ADDIN Mendeley Bibliography CSL_BIBLIOGRAPHY </w:instrText>
      </w:r>
      <w:r w:rsidRPr="00D3565D">
        <w:rPr>
          <w:sz w:val="18"/>
          <w:szCs w:val="18"/>
          <w:lang w:val="es-MX"/>
        </w:rPr>
        <w:fldChar w:fldCharType="separate"/>
      </w:r>
      <w:r w:rsidR="00712F9B" w:rsidRPr="00D3565D">
        <w:rPr>
          <w:sz w:val="18"/>
          <w:szCs w:val="18"/>
          <w:lang w:val="es-MX"/>
        </w:rPr>
        <w:t xml:space="preserve">ANA (2016) ‘Protocolo Nacional de Monitoreo de Calidad de Agua R.J. 010-2016’, </w:t>
      </w:r>
      <w:r w:rsidR="00712F9B" w:rsidRPr="00D3565D">
        <w:rPr>
          <w:rStyle w:val="nfasis"/>
          <w:sz w:val="18"/>
          <w:szCs w:val="18"/>
          <w:lang w:val="es-MX"/>
        </w:rPr>
        <w:t>National Water Authority</w:t>
      </w:r>
      <w:r w:rsidR="00712F9B" w:rsidRPr="00D3565D">
        <w:rPr>
          <w:sz w:val="18"/>
          <w:szCs w:val="18"/>
          <w:lang w:val="es-MX"/>
        </w:rPr>
        <w:t xml:space="preserve">, p. 59. </w:t>
      </w:r>
      <w:r w:rsidR="00712F9B" w:rsidRPr="00D3565D">
        <w:rPr>
          <w:sz w:val="18"/>
          <w:szCs w:val="18"/>
        </w:rPr>
        <w:t xml:space="preserve">Available at: </w:t>
      </w:r>
      <w:hyperlink r:id="rId11" w:tgtFrame="_new" w:history="1">
        <w:r w:rsidR="00712F9B" w:rsidRPr="00D3565D">
          <w:rPr>
            <w:rStyle w:val="Hipervnculo"/>
            <w:color w:val="auto"/>
            <w:sz w:val="18"/>
            <w:szCs w:val="18"/>
            <w:u w:val="none"/>
          </w:rPr>
          <w:t>https://www.ana.gob.pe/normatividad/rj-no-010-2016-ana-0</w:t>
        </w:r>
      </w:hyperlink>
      <w:r w:rsidR="00712F9B" w:rsidRPr="00D3565D">
        <w:rPr>
          <w:sz w:val="18"/>
          <w:szCs w:val="18"/>
        </w:rPr>
        <w:t xml:space="preserve"> (Accessed: 5 January 2025).</w:t>
      </w:r>
    </w:p>
    <w:p w14:paraId="1625BABD" w14:textId="77777777" w:rsidR="00712F9B" w:rsidRPr="00D3565D" w:rsidRDefault="00712F9B" w:rsidP="00712F9B">
      <w:pPr>
        <w:pStyle w:val="NormalWeb"/>
        <w:rPr>
          <w:sz w:val="18"/>
          <w:szCs w:val="18"/>
        </w:rPr>
      </w:pPr>
      <w:r w:rsidRPr="00D3565D">
        <w:rPr>
          <w:sz w:val="18"/>
          <w:szCs w:val="18"/>
        </w:rPr>
        <w:t xml:space="preserve">ANA (2017) </w:t>
      </w:r>
      <w:r w:rsidRPr="00D3565D">
        <w:rPr>
          <w:rStyle w:val="nfasis"/>
          <w:sz w:val="18"/>
          <w:szCs w:val="18"/>
        </w:rPr>
        <w:t>Guide for the determination of the mixing zone and the assessment of the impact of a discharge of treated wastewater into a natural water body</w:t>
      </w:r>
      <w:r w:rsidRPr="00D3565D">
        <w:rPr>
          <w:sz w:val="18"/>
          <w:szCs w:val="18"/>
        </w:rPr>
        <w:t xml:space="preserve">. Available at: </w:t>
      </w:r>
      <w:hyperlink r:id="rId12" w:tgtFrame="_new" w:history="1">
        <w:r w:rsidRPr="00D3565D">
          <w:rPr>
            <w:rStyle w:val="Hipervnculo"/>
            <w:color w:val="auto"/>
            <w:sz w:val="18"/>
            <w:szCs w:val="18"/>
            <w:u w:val="none"/>
          </w:rPr>
          <w:t>https://repositorio.ana.gob.pe/handle/20.500.12543/900</w:t>
        </w:r>
      </w:hyperlink>
      <w:r w:rsidRPr="00D3565D">
        <w:rPr>
          <w:sz w:val="18"/>
          <w:szCs w:val="18"/>
        </w:rPr>
        <w:t xml:space="preserve"> (Accessed: 5 January 2025).</w:t>
      </w:r>
    </w:p>
    <w:p w14:paraId="4079A9D2" w14:textId="77777777" w:rsidR="00712F9B" w:rsidRPr="00D3565D" w:rsidRDefault="00712F9B" w:rsidP="00712F9B">
      <w:pPr>
        <w:pStyle w:val="NormalWeb"/>
        <w:rPr>
          <w:sz w:val="18"/>
          <w:szCs w:val="18"/>
        </w:rPr>
      </w:pPr>
      <w:r w:rsidRPr="00D3565D">
        <w:rPr>
          <w:sz w:val="18"/>
          <w:szCs w:val="18"/>
        </w:rPr>
        <w:t xml:space="preserve">MINAM (2010) </w:t>
      </w:r>
      <w:r w:rsidRPr="00D3565D">
        <w:rPr>
          <w:rStyle w:val="nfasis"/>
          <w:sz w:val="18"/>
          <w:szCs w:val="18"/>
        </w:rPr>
        <w:t>Supreme Decree No. 003-2010-MINAM: Approval of Maximum Permissible Limits for Effluents from Domestic or Municipal Wastewater Treatment Plants</w:t>
      </w:r>
      <w:r w:rsidRPr="00D3565D">
        <w:rPr>
          <w:sz w:val="18"/>
          <w:szCs w:val="18"/>
        </w:rPr>
        <w:t xml:space="preserve">. </w:t>
      </w:r>
      <w:r w:rsidRPr="00D3565D">
        <w:rPr>
          <w:rStyle w:val="nfasis"/>
          <w:sz w:val="18"/>
          <w:szCs w:val="18"/>
        </w:rPr>
        <w:t>Ministry of the Environment</w:t>
      </w:r>
      <w:r w:rsidRPr="00D3565D">
        <w:rPr>
          <w:sz w:val="18"/>
          <w:szCs w:val="18"/>
        </w:rPr>
        <w:t xml:space="preserve">. Available at: </w:t>
      </w:r>
      <w:hyperlink r:id="rId13" w:tgtFrame="_new" w:history="1">
        <w:r w:rsidRPr="00D3565D">
          <w:rPr>
            <w:rStyle w:val="Hipervnculo"/>
            <w:color w:val="auto"/>
            <w:sz w:val="18"/>
            <w:szCs w:val="18"/>
            <w:u w:val="none"/>
          </w:rPr>
          <w:t>http://www.minam.gob.pe/wp-content/uploads/2013/09/ds_003-2010-minam.pdf</w:t>
        </w:r>
      </w:hyperlink>
      <w:r w:rsidRPr="00D3565D">
        <w:rPr>
          <w:sz w:val="18"/>
          <w:szCs w:val="18"/>
        </w:rPr>
        <w:t xml:space="preserve"> (Accessed: 5 January 2025).</w:t>
      </w:r>
    </w:p>
    <w:p w14:paraId="1674A9DE" w14:textId="77777777" w:rsidR="00712F9B" w:rsidRPr="00D3565D" w:rsidRDefault="00712F9B" w:rsidP="00712F9B">
      <w:pPr>
        <w:pStyle w:val="NormalWeb"/>
        <w:rPr>
          <w:sz w:val="18"/>
          <w:szCs w:val="18"/>
        </w:rPr>
      </w:pPr>
      <w:r w:rsidRPr="00D3565D">
        <w:rPr>
          <w:sz w:val="18"/>
          <w:szCs w:val="18"/>
        </w:rPr>
        <w:t xml:space="preserve">MINAM (2017) </w:t>
      </w:r>
      <w:r w:rsidRPr="00D3565D">
        <w:rPr>
          <w:rStyle w:val="nfasis"/>
          <w:sz w:val="18"/>
          <w:szCs w:val="18"/>
        </w:rPr>
        <w:t>Supreme Decree No. 004-2017-MINAM: Approval of Environmental Quality Standards (ECA) for Water and Establishment of Complementary Provisions</w:t>
      </w:r>
      <w:r w:rsidRPr="00D3565D">
        <w:rPr>
          <w:sz w:val="18"/>
          <w:szCs w:val="18"/>
        </w:rPr>
        <w:t xml:space="preserve">. </w:t>
      </w:r>
      <w:r w:rsidRPr="00D3565D">
        <w:rPr>
          <w:rStyle w:val="nfasis"/>
          <w:sz w:val="18"/>
          <w:szCs w:val="18"/>
        </w:rPr>
        <w:t>Ministry of the Environment</w:t>
      </w:r>
      <w:r w:rsidRPr="00D3565D">
        <w:rPr>
          <w:sz w:val="18"/>
          <w:szCs w:val="18"/>
        </w:rPr>
        <w:t xml:space="preserve">. Available at: </w:t>
      </w:r>
      <w:hyperlink r:id="rId14" w:tgtFrame="_new" w:history="1">
        <w:r w:rsidRPr="00D3565D">
          <w:rPr>
            <w:rStyle w:val="Hipervnculo"/>
            <w:color w:val="auto"/>
            <w:sz w:val="18"/>
            <w:szCs w:val="18"/>
            <w:u w:val="none"/>
          </w:rPr>
          <w:t>https://sinia.minam.gob.pe/normas/aprueban-estandares-calidad-ambiental-eca-agua-establecen-disposiciones</w:t>
        </w:r>
      </w:hyperlink>
      <w:r w:rsidRPr="00D3565D">
        <w:rPr>
          <w:sz w:val="18"/>
          <w:szCs w:val="18"/>
        </w:rPr>
        <w:t xml:space="preserve"> (Accessed: 5 January 2025).</w:t>
      </w:r>
    </w:p>
    <w:p w14:paraId="14A5758E" w14:textId="77777777" w:rsidR="00712F9B" w:rsidRPr="00D3565D" w:rsidRDefault="00712F9B" w:rsidP="00712F9B">
      <w:pPr>
        <w:pStyle w:val="NormalWeb"/>
        <w:rPr>
          <w:sz w:val="18"/>
          <w:szCs w:val="18"/>
        </w:rPr>
      </w:pPr>
      <w:r w:rsidRPr="00D3565D">
        <w:rPr>
          <w:sz w:val="18"/>
          <w:szCs w:val="18"/>
        </w:rPr>
        <w:t xml:space="preserve">Mishra, S., Kumar, R. and Kumar, M. (2023) ‘Use of treated sewage or wastewater as an irrigation water for agricultural purposes - Environmental, health, and economic impacts’, </w:t>
      </w:r>
      <w:r w:rsidRPr="00D3565D">
        <w:rPr>
          <w:rStyle w:val="nfasis"/>
          <w:sz w:val="18"/>
          <w:szCs w:val="18"/>
        </w:rPr>
        <w:t>Total Environment Research Themes</w:t>
      </w:r>
      <w:r w:rsidRPr="00D3565D">
        <w:rPr>
          <w:sz w:val="18"/>
          <w:szCs w:val="18"/>
        </w:rPr>
        <w:t xml:space="preserve">, 6(March), p. 100051. Available at: </w:t>
      </w:r>
      <w:hyperlink r:id="rId15" w:tgtFrame="_new" w:history="1">
        <w:r w:rsidRPr="00D3565D">
          <w:rPr>
            <w:rStyle w:val="Hipervnculo"/>
            <w:color w:val="auto"/>
            <w:sz w:val="18"/>
            <w:szCs w:val="18"/>
            <w:u w:val="none"/>
          </w:rPr>
          <w:t>https://doi.org/10.1016/j.totert.2023.100051</w:t>
        </w:r>
      </w:hyperlink>
      <w:r w:rsidRPr="00D3565D">
        <w:rPr>
          <w:sz w:val="18"/>
          <w:szCs w:val="18"/>
        </w:rPr>
        <w:t>.</w:t>
      </w:r>
    </w:p>
    <w:p w14:paraId="2A9B7C23" w14:textId="77777777" w:rsidR="00712F9B" w:rsidRPr="00D3565D" w:rsidRDefault="00712F9B" w:rsidP="00712F9B">
      <w:pPr>
        <w:pStyle w:val="NormalWeb"/>
        <w:rPr>
          <w:sz w:val="18"/>
          <w:szCs w:val="18"/>
        </w:rPr>
      </w:pPr>
      <w:r w:rsidRPr="00D3565D">
        <w:rPr>
          <w:sz w:val="18"/>
          <w:szCs w:val="18"/>
        </w:rPr>
        <w:t xml:space="preserve">Rangecroft, S. </w:t>
      </w:r>
      <w:r w:rsidRPr="00D3565D">
        <w:rPr>
          <w:rStyle w:val="nfasis"/>
          <w:sz w:val="18"/>
          <w:szCs w:val="18"/>
        </w:rPr>
        <w:t>et al.</w:t>
      </w:r>
      <w:r w:rsidRPr="00D3565D">
        <w:rPr>
          <w:sz w:val="18"/>
          <w:szCs w:val="18"/>
        </w:rPr>
        <w:t xml:space="preserve"> (2023) ‘Unravelling and understanding local perceptions of water quality in the Santa Basin, Peru’, </w:t>
      </w:r>
      <w:r w:rsidRPr="00D3565D">
        <w:rPr>
          <w:rStyle w:val="nfasis"/>
          <w:sz w:val="18"/>
          <w:szCs w:val="18"/>
        </w:rPr>
        <w:t>Journal of Hydrology</w:t>
      </w:r>
      <w:r w:rsidRPr="00D3565D">
        <w:rPr>
          <w:sz w:val="18"/>
          <w:szCs w:val="18"/>
        </w:rPr>
        <w:t xml:space="preserve">, 625(PA), p. 129949. Available at: </w:t>
      </w:r>
      <w:hyperlink r:id="rId16" w:tgtFrame="_new" w:history="1">
        <w:r w:rsidRPr="00D3565D">
          <w:rPr>
            <w:rStyle w:val="Hipervnculo"/>
            <w:color w:val="auto"/>
            <w:sz w:val="18"/>
            <w:szCs w:val="18"/>
            <w:u w:val="none"/>
          </w:rPr>
          <w:t>https://doi.org/10.1016/j.jhydrol.2023.129949</w:t>
        </w:r>
      </w:hyperlink>
      <w:r w:rsidRPr="00D3565D">
        <w:rPr>
          <w:sz w:val="18"/>
          <w:szCs w:val="18"/>
        </w:rPr>
        <w:t>.</w:t>
      </w:r>
    </w:p>
    <w:p w14:paraId="29F6235B" w14:textId="77777777" w:rsidR="00712F9B" w:rsidRPr="00D3565D" w:rsidRDefault="00712F9B" w:rsidP="00712F9B">
      <w:pPr>
        <w:pStyle w:val="NormalWeb"/>
        <w:rPr>
          <w:sz w:val="18"/>
          <w:szCs w:val="18"/>
        </w:rPr>
      </w:pPr>
      <w:r w:rsidRPr="00D3565D">
        <w:rPr>
          <w:sz w:val="18"/>
          <w:szCs w:val="18"/>
        </w:rPr>
        <w:t xml:space="preserve">Rodríguez, C. and Silva, M. (2015) ‘Water quality in the upper micro-basin of the Estero stream in San Ramón de Alajuela, Costa Rica’, </w:t>
      </w:r>
      <w:r w:rsidRPr="00D3565D">
        <w:rPr>
          <w:rStyle w:val="nfasis"/>
          <w:sz w:val="18"/>
          <w:szCs w:val="18"/>
        </w:rPr>
        <w:t>Revista Pensamiento Actual (San José)</w:t>
      </w:r>
      <w:r w:rsidRPr="00D3565D">
        <w:rPr>
          <w:sz w:val="18"/>
          <w:szCs w:val="18"/>
        </w:rPr>
        <w:t xml:space="preserve">, 15(25), pp. 85–97. Available at: </w:t>
      </w:r>
      <w:hyperlink r:id="rId17" w:tgtFrame="_new" w:history="1">
        <w:r w:rsidRPr="00D3565D">
          <w:rPr>
            <w:rStyle w:val="Hipervnculo"/>
            <w:color w:val="auto"/>
            <w:sz w:val="18"/>
            <w:szCs w:val="18"/>
            <w:u w:val="none"/>
          </w:rPr>
          <w:t>https://revistas.ucr.ac.cr/index.php/pensamiento-actual/article/view/22597/24020</w:t>
        </w:r>
      </w:hyperlink>
      <w:r w:rsidRPr="00D3565D">
        <w:rPr>
          <w:sz w:val="18"/>
          <w:szCs w:val="18"/>
        </w:rPr>
        <w:t>.</w:t>
      </w:r>
    </w:p>
    <w:p w14:paraId="62B72F53" w14:textId="77777777" w:rsidR="00712F9B" w:rsidRPr="00D3565D" w:rsidRDefault="00712F9B" w:rsidP="00712F9B">
      <w:pPr>
        <w:pStyle w:val="NormalWeb"/>
        <w:rPr>
          <w:sz w:val="18"/>
          <w:szCs w:val="18"/>
        </w:rPr>
      </w:pPr>
      <w:r w:rsidRPr="00D3565D">
        <w:rPr>
          <w:sz w:val="18"/>
          <w:szCs w:val="18"/>
        </w:rPr>
        <w:t xml:space="preserve">Vargas, M.A. </w:t>
      </w:r>
      <w:r w:rsidRPr="00D3565D">
        <w:rPr>
          <w:rStyle w:val="nfasis"/>
          <w:sz w:val="18"/>
          <w:szCs w:val="18"/>
        </w:rPr>
        <w:t>et al.</w:t>
      </w:r>
      <w:r w:rsidRPr="00D3565D">
        <w:rPr>
          <w:sz w:val="18"/>
          <w:szCs w:val="18"/>
        </w:rPr>
        <w:t xml:space="preserve"> (2022) ‘Safety in Wastewater Treatment Plants and the use of Natural Coagulants as an Alternative for Turbidity’, </w:t>
      </w:r>
      <w:r w:rsidRPr="00D3565D">
        <w:rPr>
          <w:rStyle w:val="nfasis"/>
          <w:sz w:val="18"/>
          <w:szCs w:val="18"/>
        </w:rPr>
        <w:t>Chemical Engineering Transactions</w:t>
      </w:r>
      <w:r w:rsidRPr="00D3565D">
        <w:rPr>
          <w:sz w:val="18"/>
          <w:szCs w:val="18"/>
        </w:rPr>
        <w:t xml:space="preserve">, 91(January), pp. 301–306. Available at: </w:t>
      </w:r>
      <w:hyperlink r:id="rId18" w:tgtFrame="_new" w:history="1">
        <w:r w:rsidRPr="00D3565D">
          <w:rPr>
            <w:rStyle w:val="Hipervnculo"/>
            <w:color w:val="auto"/>
            <w:sz w:val="18"/>
            <w:szCs w:val="18"/>
            <w:u w:val="none"/>
          </w:rPr>
          <w:t>https://doi.org/10.3303/CET2291051</w:t>
        </w:r>
      </w:hyperlink>
      <w:r w:rsidRPr="00D3565D">
        <w:rPr>
          <w:sz w:val="18"/>
          <w:szCs w:val="18"/>
        </w:rPr>
        <w:t>.</w:t>
      </w:r>
    </w:p>
    <w:p w14:paraId="289F781E" w14:textId="77777777" w:rsidR="00712F9B" w:rsidRPr="00D3565D" w:rsidRDefault="00712F9B" w:rsidP="00712F9B">
      <w:pPr>
        <w:pStyle w:val="NormalWeb"/>
        <w:rPr>
          <w:sz w:val="18"/>
          <w:szCs w:val="18"/>
        </w:rPr>
      </w:pPr>
      <w:r w:rsidRPr="00D3565D">
        <w:rPr>
          <w:sz w:val="18"/>
          <w:szCs w:val="18"/>
        </w:rPr>
        <w:t xml:space="preserve">Villanueva, T. </w:t>
      </w:r>
      <w:r w:rsidRPr="00D3565D">
        <w:rPr>
          <w:rStyle w:val="nfasis"/>
          <w:sz w:val="18"/>
          <w:szCs w:val="18"/>
        </w:rPr>
        <w:t>et al.</w:t>
      </w:r>
      <w:r w:rsidRPr="00D3565D">
        <w:rPr>
          <w:sz w:val="18"/>
          <w:szCs w:val="18"/>
        </w:rPr>
        <w:t xml:space="preserve"> (2023) ‘Bolivian Journal of Chemistry’, </w:t>
      </w:r>
      <w:r w:rsidRPr="00D3565D">
        <w:rPr>
          <w:rStyle w:val="nfasis"/>
          <w:sz w:val="18"/>
          <w:szCs w:val="18"/>
        </w:rPr>
        <w:t>Bolivian Journal of Chemistry</w:t>
      </w:r>
      <w:r w:rsidRPr="00D3565D">
        <w:rPr>
          <w:sz w:val="18"/>
          <w:szCs w:val="18"/>
        </w:rPr>
        <w:t>, 40(3), pp. 89–96.</w:t>
      </w:r>
    </w:p>
    <w:p w14:paraId="488FB4F2" w14:textId="3A22DF05" w:rsidR="00F36096" w:rsidRPr="00FF46A7" w:rsidRDefault="00F36096" w:rsidP="00712F9B">
      <w:pPr>
        <w:pStyle w:val="NormalWeb"/>
        <w:rPr>
          <w:sz w:val="18"/>
          <w:szCs w:val="18"/>
          <w:lang w:val="en-US"/>
        </w:rPr>
      </w:pPr>
    </w:p>
    <w:p w14:paraId="26DD988B" w14:textId="62425449" w:rsidR="00467322" w:rsidRPr="00D3565D" w:rsidRDefault="00467322" w:rsidP="00DB1C18">
      <w:pPr>
        <w:pStyle w:val="CETBodytext"/>
        <w:rPr>
          <w:szCs w:val="18"/>
          <w:lang w:val="es-MX"/>
        </w:rPr>
      </w:pPr>
      <w:r w:rsidRPr="00D3565D">
        <w:rPr>
          <w:szCs w:val="18"/>
          <w:lang w:val="es-MX"/>
        </w:rPr>
        <w:fldChar w:fldCharType="end"/>
      </w:r>
    </w:p>
    <w:sectPr w:rsidR="00467322" w:rsidRPr="00D3565D" w:rsidSect="00CA2DF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DE834" w14:textId="77777777" w:rsidR="000E1F7D" w:rsidRDefault="000E1F7D" w:rsidP="004F5E36">
      <w:r>
        <w:separator/>
      </w:r>
    </w:p>
  </w:endnote>
  <w:endnote w:type="continuationSeparator" w:id="0">
    <w:p w14:paraId="344EBC12" w14:textId="77777777" w:rsidR="000E1F7D" w:rsidRDefault="000E1F7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185ED" w14:textId="77777777" w:rsidR="000E1F7D" w:rsidRDefault="000E1F7D" w:rsidP="004F5E36">
      <w:r>
        <w:separator/>
      </w:r>
    </w:p>
  </w:footnote>
  <w:footnote w:type="continuationSeparator" w:id="0">
    <w:p w14:paraId="0EF2D35A" w14:textId="77777777" w:rsidR="000E1F7D" w:rsidRDefault="000E1F7D"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7526797"/>
    <w:multiLevelType w:val="hybridMultilevel"/>
    <w:tmpl w:val="4A449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1277"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8823A51"/>
    <w:multiLevelType w:val="hybridMultilevel"/>
    <w:tmpl w:val="FA5A1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20"/>
  </w:num>
  <w:num w:numId="15">
    <w:abstractNumId w:val="22"/>
  </w:num>
  <w:num w:numId="16">
    <w:abstractNumId w:val="21"/>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048"/>
    <w:rsid w:val="000052FB"/>
    <w:rsid w:val="00005A19"/>
    <w:rsid w:val="00010A37"/>
    <w:rsid w:val="000117CB"/>
    <w:rsid w:val="0003148D"/>
    <w:rsid w:val="00031EEC"/>
    <w:rsid w:val="00051566"/>
    <w:rsid w:val="00054288"/>
    <w:rsid w:val="000562A9"/>
    <w:rsid w:val="00062A9A"/>
    <w:rsid w:val="00065058"/>
    <w:rsid w:val="000670EC"/>
    <w:rsid w:val="0008658E"/>
    <w:rsid w:val="00086C39"/>
    <w:rsid w:val="00092E76"/>
    <w:rsid w:val="000A03B2"/>
    <w:rsid w:val="000A0FDC"/>
    <w:rsid w:val="000A3B51"/>
    <w:rsid w:val="000C7081"/>
    <w:rsid w:val="000D0268"/>
    <w:rsid w:val="000D34BE"/>
    <w:rsid w:val="000D62BA"/>
    <w:rsid w:val="000E102F"/>
    <w:rsid w:val="000E15DC"/>
    <w:rsid w:val="000E1F7D"/>
    <w:rsid w:val="000E36F1"/>
    <w:rsid w:val="000E3A73"/>
    <w:rsid w:val="000E414A"/>
    <w:rsid w:val="000E52A8"/>
    <w:rsid w:val="000E7719"/>
    <w:rsid w:val="000F093C"/>
    <w:rsid w:val="000F787B"/>
    <w:rsid w:val="00102474"/>
    <w:rsid w:val="00105A56"/>
    <w:rsid w:val="0012091F"/>
    <w:rsid w:val="00126BC2"/>
    <w:rsid w:val="001308B6"/>
    <w:rsid w:val="0013121F"/>
    <w:rsid w:val="00131FE6"/>
    <w:rsid w:val="0013263F"/>
    <w:rsid w:val="001331DF"/>
    <w:rsid w:val="00134DE4"/>
    <w:rsid w:val="0014034D"/>
    <w:rsid w:val="00144015"/>
    <w:rsid w:val="00144D16"/>
    <w:rsid w:val="00150E59"/>
    <w:rsid w:val="00152DE3"/>
    <w:rsid w:val="0015561C"/>
    <w:rsid w:val="00164CF9"/>
    <w:rsid w:val="001660BA"/>
    <w:rsid w:val="001667A6"/>
    <w:rsid w:val="001711A6"/>
    <w:rsid w:val="00184AD6"/>
    <w:rsid w:val="0018741B"/>
    <w:rsid w:val="0019009B"/>
    <w:rsid w:val="00193ACE"/>
    <w:rsid w:val="001A0BAE"/>
    <w:rsid w:val="001A4AF7"/>
    <w:rsid w:val="001B0349"/>
    <w:rsid w:val="001B1E93"/>
    <w:rsid w:val="001B4469"/>
    <w:rsid w:val="001B65C1"/>
    <w:rsid w:val="001C684B"/>
    <w:rsid w:val="001D0CFB"/>
    <w:rsid w:val="001D21AF"/>
    <w:rsid w:val="001D53FC"/>
    <w:rsid w:val="001F42A5"/>
    <w:rsid w:val="001F7B9D"/>
    <w:rsid w:val="00201C93"/>
    <w:rsid w:val="002224B4"/>
    <w:rsid w:val="00225118"/>
    <w:rsid w:val="00227A84"/>
    <w:rsid w:val="0024355C"/>
    <w:rsid w:val="002447EF"/>
    <w:rsid w:val="002455E6"/>
    <w:rsid w:val="00251550"/>
    <w:rsid w:val="0025564D"/>
    <w:rsid w:val="00263B05"/>
    <w:rsid w:val="0027221A"/>
    <w:rsid w:val="00274644"/>
    <w:rsid w:val="00275B61"/>
    <w:rsid w:val="00280FAF"/>
    <w:rsid w:val="00282656"/>
    <w:rsid w:val="00296B83"/>
    <w:rsid w:val="002A1545"/>
    <w:rsid w:val="002B1A23"/>
    <w:rsid w:val="002B4015"/>
    <w:rsid w:val="002B78CE"/>
    <w:rsid w:val="002C04D0"/>
    <w:rsid w:val="002C2FB6"/>
    <w:rsid w:val="002E5562"/>
    <w:rsid w:val="002E5FA7"/>
    <w:rsid w:val="002F3309"/>
    <w:rsid w:val="003008CE"/>
    <w:rsid w:val="003009B7"/>
    <w:rsid w:val="00300E56"/>
    <w:rsid w:val="0030152C"/>
    <w:rsid w:val="003015DF"/>
    <w:rsid w:val="0030469C"/>
    <w:rsid w:val="00310598"/>
    <w:rsid w:val="00314B15"/>
    <w:rsid w:val="00321CA6"/>
    <w:rsid w:val="00323763"/>
    <w:rsid w:val="00323C5F"/>
    <w:rsid w:val="00325CDC"/>
    <w:rsid w:val="00327E70"/>
    <w:rsid w:val="00331506"/>
    <w:rsid w:val="00334C09"/>
    <w:rsid w:val="00342763"/>
    <w:rsid w:val="003651C8"/>
    <w:rsid w:val="003723D4"/>
    <w:rsid w:val="00374F0E"/>
    <w:rsid w:val="00375D9E"/>
    <w:rsid w:val="00381905"/>
    <w:rsid w:val="0038371A"/>
    <w:rsid w:val="00383AB9"/>
    <w:rsid w:val="00384CC8"/>
    <w:rsid w:val="003871FD"/>
    <w:rsid w:val="003A0862"/>
    <w:rsid w:val="003A1E30"/>
    <w:rsid w:val="003A2829"/>
    <w:rsid w:val="003A4C72"/>
    <w:rsid w:val="003A7D1C"/>
    <w:rsid w:val="003B2682"/>
    <w:rsid w:val="003B304B"/>
    <w:rsid w:val="003B3146"/>
    <w:rsid w:val="003C6ED4"/>
    <w:rsid w:val="003F015E"/>
    <w:rsid w:val="003F6FDC"/>
    <w:rsid w:val="00400414"/>
    <w:rsid w:val="0041446B"/>
    <w:rsid w:val="00424589"/>
    <w:rsid w:val="00431D67"/>
    <w:rsid w:val="00435DB7"/>
    <w:rsid w:val="00436D46"/>
    <w:rsid w:val="0044071E"/>
    <w:rsid w:val="0044329C"/>
    <w:rsid w:val="00453E24"/>
    <w:rsid w:val="00457456"/>
    <w:rsid w:val="004577FE"/>
    <w:rsid w:val="00457B9C"/>
    <w:rsid w:val="0046164A"/>
    <w:rsid w:val="004628D2"/>
    <w:rsid w:val="00462DCD"/>
    <w:rsid w:val="00463279"/>
    <w:rsid w:val="004648AD"/>
    <w:rsid w:val="00467322"/>
    <w:rsid w:val="004703A9"/>
    <w:rsid w:val="004760DE"/>
    <w:rsid w:val="004763D7"/>
    <w:rsid w:val="00484F20"/>
    <w:rsid w:val="00490D8D"/>
    <w:rsid w:val="00491A4E"/>
    <w:rsid w:val="00493310"/>
    <w:rsid w:val="00495EAA"/>
    <w:rsid w:val="004A004E"/>
    <w:rsid w:val="004A24CF"/>
    <w:rsid w:val="004B2832"/>
    <w:rsid w:val="004C3D1D"/>
    <w:rsid w:val="004C3D84"/>
    <w:rsid w:val="004C7913"/>
    <w:rsid w:val="004E4DD6"/>
    <w:rsid w:val="004F583C"/>
    <w:rsid w:val="004F5E36"/>
    <w:rsid w:val="004F66A5"/>
    <w:rsid w:val="00500B59"/>
    <w:rsid w:val="00501956"/>
    <w:rsid w:val="00507B47"/>
    <w:rsid w:val="00507BEF"/>
    <w:rsid w:val="00507CC9"/>
    <w:rsid w:val="005119A5"/>
    <w:rsid w:val="005158E3"/>
    <w:rsid w:val="005278B7"/>
    <w:rsid w:val="00532016"/>
    <w:rsid w:val="005346C8"/>
    <w:rsid w:val="00536EE8"/>
    <w:rsid w:val="00537AD1"/>
    <w:rsid w:val="00541CA6"/>
    <w:rsid w:val="00543E7D"/>
    <w:rsid w:val="00547A68"/>
    <w:rsid w:val="005531C9"/>
    <w:rsid w:val="0055419C"/>
    <w:rsid w:val="00557E00"/>
    <w:rsid w:val="00570C43"/>
    <w:rsid w:val="0057263C"/>
    <w:rsid w:val="00573DF9"/>
    <w:rsid w:val="0058325D"/>
    <w:rsid w:val="005843B8"/>
    <w:rsid w:val="005B204E"/>
    <w:rsid w:val="005B2110"/>
    <w:rsid w:val="005B61E6"/>
    <w:rsid w:val="005C77E1"/>
    <w:rsid w:val="005D18CD"/>
    <w:rsid w:val="005D5C04"/>
    <w:rsid w:val="005D668A"/>
    <w:rsid w:val="005D6A2F"/>
    <w:rsid w:val="005E1A82"/>
    <w:rsid w:val="005E794C"/>
    <w:rsid w:val="005F0A28"/>
    <w:rsid w:val="005F0E5E"/>
    <w:rsid w:val="005F3B99"/>
    <w:rsid w:val="005F6BC9"/>
    <w:rsid w:val="00600535"/>
    <w:rsid w:val="00610CD6"/>
    <w:rsid w:val="006123B1"/>
    <w:rsid w:val="00620DEE"/>
    <w:rsid w:val="00621F92"/>
    <w:rsid w:val="0062280A"/>
    <w:rsid w:val="00625639"/>
    <w:rsid w:val="00631B33"/>
    <w:rsid w:val="0064184D"/>
    <w:rsid w:val="006422CC"/>
    <w:rsid w:val="00651114"/>
    <w:rsid w:val="006519BE"/>
    <w:rsid w:val="00660E3E"/>
    <w:rsid w:val="006627AE"/>
    <w:rsid w:val="00662E74"/>
    <w:rsid w:val="00663146"/>
    <w:rsid w:val="00674514"/>
    <w:rsid w:val="006748EF"/>
    <w:rsid w:val="00680C23"/>
    <w:rsid w:val="00683A27"/>
    <w:rsid w:val="00690880"/>
    <w:rsid w:val="00693766"/>
    <w:rsid w:val="006A2524"/>
    <w:rsid w:val="006A26E5"/>
    <w:rsid w:val="006A3281"/>
    <w:rsid w:val="006A7C34"/>
    <w:rsid w:val="006B4888"/>
    <w:rsid w:val="006C2E45"/>
    <w:rsid w:val="006C359C"/>
    <w:rsid w:val="006C5579"/>
    <w:rsid w:val="006D6E8B"/>
    <w:rsid w:val="006E737D"/>
    <w:rsid w:val="00706BF9"/>
    <w:rsid w:val="00707DD1"/>
    <w:rsid w:val="007129A1"/>
    <w:rsid w:val="00712F9B"/>
    <w:rsid w:val="00713973"/>
    <w:rsid w:val="00715BCA"/>
    <w:rsid w:val="00720A24"/>
    <w:rsid w:val="00732386"/>
    <w:rsid w:val="0073514D"/>
    <w:rsid w:val="007447F3"/>
    <w:rsid w:val="00751563"/>
    <w:rsid w:val="0075499F"/>
    <w:rsid w:val="00760194"/>
    <w:rsid w:val="007661C8"/>
    <w:rsid w:val="00770769"/>
    <w:rsid w:val="0077098D"/>
    <w:rsid w:val="007931FA"/>
    <w:rsid w:val="007A380C"/>
    <w:rsid w:val="007A4861"/>
    <w:rsid w:val="007A7BBA"/>
    <w:rsid w:val="007B0C50"/>
    <w:rsid w:val="007B48F9"/>
    <w:rsid w:val="007C1A43"/>
    <w:rsid w:val="007C7563"/>
    <w:rsid w:val="007D0951"/>
    <w:rsid w:val="007F134A"/>
    <w:rsid w:val="0080013E"/>
    <w:rsid w:val="00813288"/>
    <w:rsid w:val="008168FC"/>
    <w:rsid w:val="00830996"/>
    <w:rsid w:val="00833845"/>
    <w:rsid w:val="00833B6E"/>
    <w:rsid w:val="008345F1"/>
    <w:rsid w:val="00835558"/>
    <w:rsid w:val="00855BBB"/>
    <w:rsid w:val="00865B07"/>
    <w:rsid w:val="00865C90"/>
    <w:rsid w:val="008667EA"/>
    <w:rsid w:val="0087637F"/>
    <w:rsid w:val="00892AD5"/>
    <w:rsid w:val="008956A3"/>
    <w:rsid w:val="008A1512"/>
    <w:rsid w:val="008B0A6A"/>
    <w:rsid w:val="008C4D3E"/>
    <w:rsid w:val="008D32B9"/>
    <w:rsid w:val="008D433B"/>
    <w:rsid w:val="008D4A16"/>
    <w:rsid w:val="008E4ACC"/>
    <w:rsid w:val="008E566E"/>
    <w:rsid w:val="008F65E0"/>
    <w:rsid w:val="0090161A"/>
    <w:rsid w:val="00901EB6"/>
    <w:rsid w:val="00904C62"/>
    <w:rsid w:val="00922BA8"/>
    <w:rsid w:val="00924DAC"/>
    <w:rsid w:val="00927058"/>
    <w:rsid w:val="00942750"/>
    <w:rsid w:val="009450CE"/>
    <w:rsid w:val="009459BB"/>
    <w:rsid w:val="00947179"/>
    <w:rsid w:val="0095164B"/>
    <w:rsid w:val="00954090"/>
    <w:rsid w:val="009573E7"/>
    <w:rsid w:val="00963E05"/>
    <w:rsid w:val="009641E7"/>
    <w:rsid w:val="00964A45"/>
    <w:rsid w:val="00967843"/>
    <w:rsid w:val="00967D54"/>
    <w:rsid w:val="00971028"/>
    <w:rsid w:val="00972787"/>
    <w:rsid w:val="00974AF2"/>
    <w:rsid w:val="00993B84"/>
    <w:rsid w:val="009949F1"/>
    <w:rsid w:val="00996483"/>
    <w:rsid w:val="00996F5A"/>
    <w:rsid w:val="009B041A"/>
    <w:rsid w:val="009B0FFE"/>
    <w:rsid w:val="009B365B"/>
    <w:rsid w:val="009C37C3"/>
    <w:rsid w:val="009C4C47"/>
    <w:rsid w:val="009C7C86"/>
    <w:rsid w:val="009D2FF7"/>
    <w:rsid w:val="009D52EB"/>
    <w:rsid w:val="009D7EDF"/>
    <w:rsid w:val="009E3F9A"/>
    <w:rsid w:val="009E7884"/>
    <w:rsid w:val="009E788A"/>
    <w:rsid w:val="009F0E08"/>
    <w:rsid w:val="00A0071C"/>
    <w:rsid w:val="00A0082A"/>
    <w:rsid w:val="00A1204C"/>
    <w:rsid w:val="00A1763D"/>
    <w:rsid w:val="00A17CEC"/>
    <w:rsid w:val="00A27EF0"/>
    <w:rsid w:val="00A317F1"/>
    <w:rsid w:val="00A42361"/>
    <w:rsid w:val="00A43CEC"/>
    <w:rsid w:val="00A50B20"/>
    <w:rsid w:val="00A51390"/>
    <w:rsid w:val="00A60D13"/>
    <w:rsid w:val="00A714EF"/>
    <w:rsid w:val="00A7223D"/>
    <w:rsid w:val="00A72745"/>
    <w:rsid w:val="00A76EFC"/>
    <w:rsid w:val="00A8297C"/>
    <w:rsid w:val="00A87D50"/>
    <w:rsid w:val="00A91010"/>
    <w:rsid w:val="00A97F29"/>
    <w:rsid w:val="00AA702E"/>
    <w:rsid w:val="00AA7D26"/>
    <w:rsid w:val="00AB0964"/>
    <w:rsid w:val="00AB5011"/>
    <w:rsid w:val="00AC547E"/>
    <w:rsid w:val="00AC7368"/>
    <w:rsid w:val="00AD16B9"/>
    <w:rsid w:val="00AE377D"/>
    <w:rsid w:val="00AF0EBA"/>
    <w:rsid w:val="00B00084"/>
    <w:rsid w:val="00B02C8A"/>
    <w:rsid w:val="00B14667"/>
    <w:rsid w:val="00B149DA"/>
    <w:rsid w:val="00B17FBD"/>
    <w:rsid w:val="00B21420"/>
    <w:rsid w:val="00B21D85"/>
    <w:rsid w:val="00B315A6"/>
    <w:rsid w:val="00B31813"/>
    <w:rsid w:val="00B33365"/>
    <w:rsid w:val="00B40F7E"/>
    <w:rsid w:val="00B43EE0"/>
    <w:rsid w:val="00B509F8"/>
    <w:rsid w:val="00B57B36"/>
    <w:rsid w:val="00B57E6F"/>
    <w:rsid w:val="00B8686D"/>
    <w:rsid w:val="00B93F69"/>
    <w:rsid w:val="00BA217E"/>
    <w:rsid w:val="00BA47B7"/>
    <w:rsid w:val="00BB1DDC"/>
    <w:rsid w:val="00BC30C9"/>
    <w:rsid w:val="00BD077D"/>
    <w:rsid w:val="00BE3E58"/>
    <w:rsid w:val="00BF7D2B"/>
    <w:rsid w:val="00C01605"/>
    <w:rsid w:val="00C01616"/>
    <w:rsid w:val="00C0162B"/>
    <w:rsid w:val="00C068ED"/>
    <w:rsid w:val="00C22E0C"/>
    <w:rsid w:val="00C345B1"/>
    <w:rsid w:val="00C40142"/>
    <w:rsid w:val="00C44403"/>
    <w:rsid w:val="00C52C3C"/>
    <w:rsid w:val="00C57182"/>
    <w:rsid w:val="00C57863"/>
    <w:rsid w:val="00C640AF"/>
    <w:rsid w:val="00C655FD"/>
    <w:rsid w:val="00C73BF3"/>
    <w:rsid w:val="00C74034"/>
    <w:rsid w:val="00C75407"/>
    <w:rsid w:val="00C824D6"/>
    <w:rsid w:val="00C841C6"/>
    <w:rsid w:val="00C870A8"/>
    <w:rsid w:val="00C929D1"/>
    <w:rsid w:val="00C94434"/>
    <w:rsid w:val="00CA0D75"/>
    <w:rsid w:val="00CA1C95"/>
    <w:rsid w:val="00CA2AAA"/>
    <w:rsid w:val="00CA2DFE"/>
    <w:rsid w:val="00CA3FBB"/>
    <w:rsid w:val="00CA5A9C"/>
    <w:rsid w:val="00CC14A6"/>
    <w:rsid w:val="00CC4C20"/>
    <w:rsid w:val="00CD3517"/>
    <w:rsid w:val="00CD5FE2"/>
    <w:rsid w:val="00CE7C68"/>
    <w:rsid w:val="00CF402A"/>
    <w:rsid w:val="00D0264B"/>
    <w:rsid w:val="00D02B4C"/>
    <w:rsid w:val="00D040C4"/>
    <w:rsid w:val="00D20AD1"/>
    <w:rsid w:val="00D2582C"/>
    <w:rsid w:val="00D2731D"/>
    <w:rsid w:val="00D311F8"/>
    <w:rsid w:val="00D34C1C"/>
    <w:rsid w:val="00D3565D"/>
    <w:rsid w:val="00D42649"/>
    <w:rsid w:val="00D46B7E"/>
    <w:rsid w:val="00D57C84"/>
    <w:rsid w:val="00D6057D"/>
    <w:rsid w:val="00D60D10"/>
    <w:rsid w:val="00D71640"/>
    <w:rsid w:val="00D74F28"/>
    <w:rsid w:val="00D836C5"/>
    <w:rsid w:val="00D84576"/>
    <w:rsid w:val="00DA1399"/>
    <w:rsid w:val="00DA24C6"/>
    <w:rsid w:val="00DA4D7B"/>
    <w:rsid w:val="00DB0A87"/>
    <w:rsid w:val="00DB1C18"/>
    <w:rsid w:val="00DB4B37"/>
    <w:rsid w:val="00DD271C"/>
    <w:rsid w:val="00DD4EBE"/>
    <w:rsid w:val="00DD575B"/>
    <w:rsid w:val="00DE264A"/>
    <w:rsid w:val="00DF5072"/>
    <w:rsid w:val="00E02D18"/>
    <w:rsid w:val="00E03205"/>
    <w:rsid w:val="00E041E7"/>
    <w:rsid w:val="00E06395"/>
    <w:rsid w:val="00E222A6"/>
    <w:rsid w:val="00E23CA1"/>
    <w:rsid w:val="00E23EB9"/>
    <w:rsid w:val="00E37F76"/>
    <w:rsid w:val="00E409A8"/>
    <w:rsid w:val="00E50C12"/>
    <w:rsid w:val="00E51E08"/>
    <w:rsid w:val="00E65B91"/>
    <w:rsid w:val="00E7209D"/>
    <w:rsid w:val="00E72EAD"/>
    <w:rsid w:val="00E73289"/>
    <w:rsid w:val="00E77223"/>
    <w:rsid w:val="00E774DE"/>
    <w:rsid w:val="00E8528B"/>
    <w:rsid w:val="00E85B94"/>
    <w:rsid w:val="00E94AA9"/>
    <w:rsid w:val="00E978D0"/>
    <w:rsid w:val="00EA2890"/>
    <w:rsid w:val="00EA4613"/>
    <w:rsid w:val="00EA7F91"/>
    <w:rsid w:val="00EB1523"/>
    <w:rsid w:val="00EC0E49"/>
    <w:rsid w:val="00EC101F"/>
    <w:rsid w:val="00EC1D9F"/>
    <w:rsid w:val="00EC2847"/>
    <w:rsid w:val="00EE0131"/>
    <w:rsid w:val="00EE17B0"/>
    <w:rsid w:val="00EF06D9"/>
    <w:rsid w:val="00F221E0"/>
    <w:rsid w:val="00F22DA1"/>
    <w:rsid w:val="00F25E4C"/>
    <w:rsid w:val="00F3049E"/>
    <w:rsid w:val="00F30C64"/>
    <w:rsid w:val="00F32BA2"/>
    <w:rsid w:val="00F32CDB"/>
    <w:rsid w:val="00F36096"/>
    <w:rsid w:val="00F565FE"/>
    <w:rsid w:val="00F63A70"/>
    <w:rsid w:val="00F63D8C"/>
    <w:rsid w:val="00F66807"/>
    <w:rsid w:val="00F7534E"/>
    <w:rsid w:val="00F77C82"/>
    <w:rsid w:val="00F93EDF"/>
    <w:rsid w:val="00FA1341"/>
    <w:rsid w:val="00FA1802"/>
    <w:rsid w:val="00FA21D0"/>
    <w:rsid w:val="00FA5F5F"/>
    <w:rsid w:val="00FA78A7"/>
    <w:rsid w:val="00FB730C"/>
    <w:rsid w:val="00FC2695"/>
    <w:rsid w:val="00FC3E03"/>
    <w:rsid w:val="00FC3FC1"/>
    <w:rsid w:val="00FD5D10"/>
    <w:rsid w:val="00FF46A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qFormat/>
    <w:rsid w:val="00280FAF"/>
    <w:pPr>
      <w:ind w:left="720"/>
      <w:contextualSpacing/>
    </w:pPr>
  </w:style>
  <w:style w:type="character" w:customStyle="1" w:styleId="gmail-apple-converted-space">
    <w:name w:val="gmail-apple-converted-space"/>
    <w:basedOn w:val="Fuentedeprrafopredeter"/>
    <w:rsid w:val="00005A19"/>
  </w:style>
  <w:style w:type="character" w:styleId="Textodelmarcadordeposicin">
    <w:name w:val="Placeholder Text"/>
    <w:basedOn w:val="Fuentedeprrafopredeter"/>
    <w:uiPriority w:val="99"/>
    <w:semiHidden/>
    <w:rsid w:val="00102474"/>
    <w:rPr>
      <w:color w:val="808080"/>
    </w:rPr>
  </w:style>
  <w:style w:type="character" w:styleId="Textoennegrita">
    <w:name w:val="Strong"/>
    <w:basedOn w:val="Fuentedeprrafopredeter"/>
    <w:uiPriority w:val="22"/>
    <w:qFormat/>
    <w:rsid w:val="00EA2890"/>
    <w:rPr>
      <w:b/>
      <w:bCs/>
    </w:rPr>
  </w:style>
  <w:style w:type="character" w:styleId="nfasis">
    <w:name w:val="Emphasis"/>
    <w:basedOn w:val="Fuentedeprrafopredeter"/>
    <w:uiPriority w:val="20"/>
    <w:qFormat/>
    <w:rsid w:val="003105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2434">
      <w:bodyDiv w:val="1"/>
      <w:marLeft w:val="0"/>
      <w:marRight w:val="0"/>
      <w:marTop w:val="0"/>
      <w:marBottom w:val="0"/>
      <w:divBdr>
        <w:top w:val="none" w:sz="0" w:space="0" w:color="auto"/>
        <w:left w:val="none" w:sz="0" w:space="0" w:color="auto"/>
        <w:bottom w:val="none" w:sz="0" w:space="0" w:color="auto"/>
        <w:right w:val="none" w:sz="0" w:space="0" w:color="auto"/>
      </w:divBdr>
    </w:div>
    <w:div w:id="169029445">
      <w:bodyDiv w:val="1"/>
      <w:marLeft w:val="0"/>
      <w:marRight w:val="0"/>
      <w:marTop w:val="0"/>
      <w:marBottom w:val="0"/>
      <w:divBdr>
        <w:top w:val="none" w:sz="0" w:space="0" w:color="auto"/>
        <w:left w:val="none" w:sz="0" w:space="0" w:color="auto"/>
        <w:bottom w:val="none" w:sz="0" w:space="0" w:color="auto"/>
        <w:right w:val="none" w:sz="0" w:space="0" w:color="auto"/>
      </w:divBdr>
    </w:div>
    <w:div w:id="190340146">
      <w:bodyDiv w:val="1"/>
      <w:marLeft w:val="0"/>
      <w:marRight w:val="0"/>
      <w:marTop w:val="0"/>
      <w:marBottom w:val="0"/>
      <w:divBdr>
        <w:top w:val="none" w:sz="0" w:space="0" w:color="auto"/>
        <w:left w:val="none" w:sz="0" w:space="0" w:color="auto"/>
        <w:bottom w:val="none" w:sz="0" w:space="0" w:color="auto"/>
        <w:right w:val="none" w:sz="0" w:space="0" w:color="auto"/>
      </w:divBdr>
    </w:div>
    <w:div w:id="206531664">
      <w:bodyDiv w:val="1"/>
      <w:marLeft w:val="0"/>
      <w:marRight w:val="0"/>
      <w:marTop w:val="0"/>
      <w:marBottom w:val="0"/>
      <w:divBdr>
        <w:top w:val="none" w:sz="0" w:space="0" w:color="auto"/>
        <w:left w:val="none" w:sz="0" w:space="0" w:color="auto"/>
        <w:bottom w:val="none" w:sz="0" w:space="0" w:color="auto"/>
        <w:right w:val="none" w:sz="0" w:space="0" w:color="auto"/>
      </w:divBdr>
    </w:div>
    <w:div w:id="396779689">
      <w:bodyDiv w:val="1"/>
      <w:marLeft w:val="0"/>
      <w:marRight w:val="0"/>
      <w:marTop w:val="0"/>
      <w:marBottom w:val="0"/>
      <w:divBdr>
        <w:top w:val="none" w:sz="0" w:space="0" w:color="auto"/>
        <w:left w:val="none" w:sz="0" w:space="0" w:color="auto"/>
        <w:bottom w:val="none" w:sz="0" w:space="0" w:color="auto"/>
        <w:right w:val="none" w:sz="0" w:space="0" w:color="auto"/>
      </w:divBdr>
    </w:div>
    <w:div w:id="419720891">
      <w:bodyDiv w:val="1"/>
      <w:marLeft w:val="0"/>
      <w:marRight w:val="0"/>
      <w:marTop w:val="0"/>
      <w:marBottom w:val="0"/>
      <w:divBdr>
        <w:top w:val="none" w:sz="0" w:space="0" w:color="auto"/>
        <w:left w:val="none" w:sz="0" w:space="0" w:color="auto"/>
        <w:bottom w:val="none" w:sz="0" w:space="0" w:color="auto"/>
        <w:right w:val="none" w:sz="0" w:space="0" w:color="auto"/>
      </w:divBdr>
    </w:div>
    <w:div w:id="614991521">
      <w:bodyDiv w:val="1"/>
      <w:marLeft w:val="0"/>
      <w:marRight w:val="0"/>
      <w:marTop w:val="0"/>
      <w:marBottom w:val="0"/>
      <w:divBdr>
        <w:top w:val="none" w:sz="0" w:space="0" w:color="auto"/>
        <w:left w:val="none" w:sz="0" w:space="0" w:color="auto"/>
        <w:bottom w:val="none" w:sz="0" w:space="0" w:color="auto"/>
        <w:right w:val="none" w:sz="0" w:space="0" w:color="auto"/>
      </w:divBdr>
    </w:div>
    <w:div w:id="704864292">
      <w:bodyDiv w:val="1"/>
      <w:marLeft w:val="0"/>
      <w:marRight w:val="0"/>
      <w:marTop w:val="0"/>
      <w:marBottom w:val="0"/>
      <w:divBdr>
        <w:top w:val="none" w:sz="0" w:space="0" w:color="auto"/>
        <w:left w:val="none" w:sz="0" w:space="0" w:color="auto"/>
        <w:bottom w:val="none" w:sz="0" w:space="0" w:color="auto"/>
        <w:right w:val="none" w:sz="0" w:space="0" w:color="auto"/>
      </w:divBdr>
    </w:div>
    <w:div w:id="76896452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9752455">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471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72934035">
      <w:bodyDiv w:val="1"/>
      <w:marLeft w:val="0"/>
      <w:marRight w:val="0"/>
      <w:marTop w:val="0"/>
      <w:marBottom w:val="0"/>
      <w:divBdr>
        <w:top w:val="none" w:sz="0" w:space="0" w:color="auto"/>
        <w:left w:val="none" w:sz="0" w:space="0" w:color="auto"/>
        <w:bottom w:val="none" w:sz="0" w:space="0" w:color="auto"/>
        <w:right w:val="none" w:sz="0" w:space="0" w:color="auto"/>
      </w:divBdr>
    </w:div>
    <w:div w:id="159304962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0331">
      <w:bodyDiv w:val="1"/>
      <w:marLeft w:val="0"/>
      <w:marRight w:val="0"/>
      <w:marTop w:val="0"/>
      <w:marBottom w:val="0"/>
      <w:divBdr>
        <w:top w:val="none" w:sz="0" w:space="0" w:color="auto"/>
        <w:left w:val="none" w:sz="0" w:space="0" w:color="auto"/>
        <w:bottom w:val="none" w:sz="0" w:space="0" w:color="auto"/>
        <w:right w:val="none" w:sz="0" w:space="0" w:color="auto"/>
      </w:divBdr>
    </w:div>
    <w:div w:id="1715740264">
      <w:bodyDiv w:val="1"/>
      <w:marLeft w:val="0"/>
      <w:marRight w:val="0"/>
      <w:marTop w:val="0"/>
      <w:marBottom w:val="0"/>
      <w:divBdr>
        <w:top w:val="none" w:sz="0" w:space="0" w:color="auto"/>
        <w:left w:val="none" w:sz="0" w:space="0" w:color="auto"/>
        <w:bottom w:val="none" w:sz="0" w:space="0" w:color="auto"/>
        <w:right w:val="none" w:sz="0" w:space="0" w:color="auto"/>
      </w:divBdr>
    </w:div>
    <w:div w:id="1769765089">
      <w:bodyDiv w:val="1"/>
      <w:marLeft w:val="0"/>
      <w:marRight w:val="0"/>
      <w:marTop w:val="0"/>
      <w:marBottom w:val="0"/>
      <w:divBdr>
        <w:top w:val="none" w:sz="0" w:space="0" w:color="auto"/>
        <w:left w:val="none" w:sz="0" w:space="0" w:color="auto"/>
        <w:bottom w:val="none" w:sz="0" w:space="0" w:color="auto"/>
        <w:right w:val="none" w:sz="0" w:space="0" w:color="auto"/>
      </w:divBdr>
    </w:div>
    <w:div w:id="202515973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87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am.gob.pe/wp-content/uploads/2013/09/ds_003-2010-minam.pdf" TargetMode="External"/><Relationship Id="rId18" Type="http://schemas.openxmlformats.org/officeDocument/2006/relationships/hyperlink" Target="https://doi.org/10.3303/CET22910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positorio.ana.gob.pe/handle/20.500.12543/900" TargetMode="External"/><Relationship Id="rId17" Type="http://schemas.openxmlformats.org/officeDocument/2006/relationships/hyperlink" Target="https://revistas.ucr.ac.cr/index.php/pensamiento-actual/article/view/22597/24020" TargetMode="External"/><Relationship Id="rId2" Type="http://schemas.openxmlformats.org/officeDocument/2006/relationships/numbering" Target="numbering.xml"/><Relationship Id="rId16" Type="http://schemas.openxmlformats.org/officeDocument/2006/relationships/hyperlink" Target="https://doi.org/10.1016/j.jhydrol.2023.1299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a.gob.pe/normatividad/rj-no-010-2016-ana-0" TargetMode="External"/><Relationship Id="rId5" Type="http://schemas.openxmlformats.org/officeDocument/2006/relationships/webSettings" Target="webSettings.xml"/><Relationship Id="rId15" Type="http://schemas.openxmlformats.org/officeDocument/2006/relationships/hyperlink" Target="https://doi.org/10.1016/j.totert.2023.100051" TargetMode="Externa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inia.minam.gob.pe/normas/aprueban-estandares-calidad-ambiental-eca-agua-establecen-disposicione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98856-D5A7-4068-ABB0-089240DD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6081</Words>
  <Characters>34665</Characters>
  <Application>Microsoft Office Word</Application>
  <DocSecurity>0</DocSecurity>
  <Lines>288</Lines>
  <Paragraphs>81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40665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hogar</cp:lastModifiedBy>
  <cp:revision>53</cp:revision>
  <cp:lastPrinted>2015-05-12T18:31:00Z</cp:lastPrinted>
  <dcterms:created xsi:type="dcterms:W3CDTF">2024-12-10T03:47:00Z</dcterms:created>
  <dcterms:modified xsi:type="dcterms:W3CDTF">2025-03-12T15:19:00Z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6cd91ca4-0ed8-38fe-af8d-d2e9896288b0</vt:lpwstr>
  </property>
  <property fmtid="{D5CDD505-2E9C-101B-9397-08002B2CF9AE}" pid="26" name="Mendeley Citation Style_1">
    <vt:lpwstr>http://www.zotero.org/styles/harvard1</vt:lpwstr>
  </property>
</Properties>
</file>