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8E3DCE">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8E3DCE">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8E3DCE">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bookmarkEnd w:id="0"/>
    </w:tbl>
    <w:p w14:paraId="59C75CE1" w14:textId="77777777" w:rsidR="00E10E1B" w:rsidRDefault="00E10E1B" w:rsidP="008E3DCE">
      <w:pPr>
        <w:pStyle w:val="CETAuthors"/>
        <w:jc w:val="center"/>
        <w:rPr>
          <w:noProof w:val="0"/>
          <w:color w:val="0070C0"/>
          <w:sz w:val="32"/>
        </w:rPr>
      </w:pPr>
    </w:p>
    <w:p w14:paraId="79E1F61F" w14:textId="3E2CDA81" w:rsidR="008E3DCE" w:rsidRPr="005520BC" w:rsidRDefault="008E3DCE" w:rsidP="008E3DCE">
      <w:pPr>
        <w:pStyle w:val="CETAuthors"/>
        <w:jc w:val="center"/>
        <w:rPr>
          <w:noProof w:val="0"/>
          <w:sz w:val="32"/>
        </w:rPr>
      </w:pPr>
      <w:r w:rsidRPr="005520BC">
        <w:rPr>
          <w:noProof w:val="0"/>
          <w:sz w:val="32"/>
        </w:rPr>
        <w:t>Analysis of Catalytic Aquathermolysis on the Physicochemical Properties of Colombian Heavy Crude Oils Using MALDI TOF Mass Spectrometry</w:t>
      </w:r>
    </w:p>
    <w:p w14:paraId="61E04C78" w14:textId="26420035" w:rsidR="00C970F5" w:rsidRPr="005520BC" w:rsidRDefault="00C970F5" w:rsidP="00C970F5">
      <w:pPr>
        <w:pStyle w:val="CETAddress"/>
        <w:jc w:val="center"/>
        <w:rPr>
          <w:sz w:val="24"/>
          <w:lang w:val="es-CO"/>
        </w:rPr>
      </w:pPr>
      <w:r w:rsidRPr="005520BC">
        <w:rPr>
          <w:sz w:val="24"/>
          <w:lang w:val="es-CO"/>
        </w:rPr>
        <w:t>Adan León</w:t>
      </w:r>
      <w:r w:rsidRPr="005520BC">
        <w:rPr>
          <w:sz w:val="24"/>
          <w:vertAlign w:val="superscript"/>
          <w:lang w:val="es-CO"/>
        </w:rPr>
        <w:t>*,a,b</w:t>
      </w:r>
      <w:r w:rsidRPr="005520BC">
        <w:rPr>
          <w:sz w:val="24"/>
          <w:lang w:val="es-CO"/>
        </w:rPr>
        <w:t>, Darío Peña</w:t>
      </w:r>
      <w:r w:rsidRPr="005520BC">
        <w:rPr>
          <w:sz w:val="24"/>
          <w:vertAlign w:val="superscript"/>
          <w:lang w:val="es-CO"/>
        </w:rPr>
        <w:t>a</w:t>
      </w:r>
      <w:r w:rsidRPr="005520BC">
        <w:rPr>
          <w:sz w:val="24"/>
          <w:lang w:val="es-CO"/>
        </w:rPr>
        <w:t>, Emiliano Ariza</w:t>
      </w:r>
      <w:r w:rsidRPr="005520BC">
        <w:rPr>
          <w:sz w:val="24"/>
          <w:vertAlign w:val="superscript"/>
          <w:lang w:val="es-CO"/>
        </w:rPr>
        <w:t>c</w:t>
      </w:r>
      <w:r w:rsidRPr="005520BC">
        <w:rPr>
          <w:sz w:val="24"/>
          <w:lang w:val="es-CO"/>
        </w:rPr>
        <w:t xml:space="preserve">, </w:t>
      </w:r>
      <w:r w:rsidR="006C6A60" w:rsidRPr="005520BC">
        <w:rPr>
          <w:sz w:val="24"/>
          <w:lang w:val="es-CO"/>
        </w:rPr>
        <w:t>Nicolas Santos</w:t>
      </w:r>
      <w:r w:rsidR="00CC284B" w:rsidRPr="005520BC">
        <w:rPr>
          <w:sz w:val="24"/>
          <w:vertAlign w:val="superscript"/>
          <w:lang w:val="es-CO"/>
        </w:rPr>
        <w:t>d</w:t>
      </w:r>
      <w:r w:rsidR="00CC284B" w:rsidRPr="005520BC">
        <w:rPr>
          <w:sz w:val="24"/>
          <w:lang w:val="es-CO"/>
        </w:rPr>
        <w:t xml:space="preserve">, </w:t>
      </w:r>
      <w:r w:rsidRPr="005520BC">
        <w:rPr>
          <w:sz w:val="24"/>
          <w:lang w:val="es-CO"/>
        </w:rPr>
        <w:t>Daniel Molina</w:t>
      </w:r>
      <w:r w:rsidRPr="005520BC">
        <w:rPr>
          <w:sz w:val="24"/>
          <w:vertAlign w:val="superscript"/>
          <w:lang w:val="es-CO"/>
        </w:rPr>
        <w:t>c</w:t>
      </w:r>
    </w:p>
    <w:p w14:paraId="30D861F6" w14:textId="77777777" w:rsidR="00C970F5" w:rsidRPr="005520BC" w:rsidRDefault="00C970F5" w:rsidP="00B57E6F">
      <w:pPr>
        <w:pStyle w:val="CETAddress"/>
        <w:rPr>
          <w:vertAlign w:val="superscript"/>
          <w:lang w:val="es-CO"/>
        </w:rPr>
      </w:pPr>
    </w:p>
    <w:p w14:paraId="7ECAB98A" w14:textId="7E28D3B6" w:rsidR="00650121" w:rsidRPr="005520BC" w:rsidRDefault="00650121" w:rsidP="00AF0468">
      <w:pPr>
        <w:pStyle w:val="CETAddress"/>
        <w:jc w:val="both"/>
        <w:rPr>
          <w:lang w:val="es-CO"/>
        </w:rPr>
      </w:pPr>
      <w:r w:rsidRPr="005520BC">
        <w:rPr>
          <w:vertAlign w:val="superscript"/>
          <w:lang w:val="es-CO"/>
        </w:rPr>
        <w:t>a</w:t>
      </w:r>
      <w:r w:rsidRPr="005520BC">
        <w:rPr>
          <w:lang w:val="es-CO"/>
        </w:rPr>
        <w:t>Universidad Industrial Santander, Escuela de Ingeniería Metalúrgica y Ciencia de los Materiales, Grupo de Investigaciones en Corrosión – GIC, cra 27 calle 9, Bucaramanga –Santander, Colombia</w:t>
      </w:r>
      <w:r w:rsidR="007F24AC" w:rsidRPr="005520BC">
        <w:rPr>
          <w:lang w:val="es-CO"/>
        </w:rPr>
        <w:t>.</w:t>
      </w:r>
    </w:p>
    <w:p w14:paraId="423CD4CD" w14:textId="7F4EF70E" w:rsidR="00650121" w:rsidRPr="005520BC" w:rsidRDefault="00650121" w:rsidP="00AF0468">
      <w:pPr>
        <w:pStyle w:val="CETAddress"/>
        <w:jc w:val="both"/>
        <w:rPr>
          <w:lang w:val="es-CO"/>
        </w:rPr>
      </w:pPr>
      <w:r w:rsidRPr="005520BC">
        <w:rPr>
          <w:vertAlign w:val="superscript"/>
          <w:lang w:val="es-CO"/>
        </w:rPr>
        <w:t>b</w:t>
      </w:r>
      <w:r w:rsidRPr="005520BC">
        <w:rPr>
          <w:lang w:val="es-CO"/>
        </w:rPr>
        <w:t>Universidad Industrial Santander, Escuela de Ingeniería de Petróleos, Grupo de Investigación Recobro Mejorado – GRM, cra 27 calle 9, Bucaramanga –Santander, Colombia</w:t>
      </w:r>
      <w:r w:rsidR="007F24AC" w:rsidRPr="005520BC">
        <w:rPr>
          <w:lang w:val="es-CO"/>
        </w:rPr>
        <w:t>.</w:t>
      </w:r>
    </w:p>
    <w:p w14:paraId="6B2D21B3" w14:textId="4D0EC0AD" w:rsidR="00B57E6F" w:rsidRPr="005520BC" w:rsidRDefault="00650121" w:rsidP="00AF0468">
      <w:pPr>
        <w:pStyle w:val="CETAddress"/>
        <w:jc w:val="both"/>
        <w:rPr>
          <w:lang w:val="es-CO"/>
        </w:rPr>
      </w:pPr>
      <w:r w:rsidRPr="005520BC">
        <w:rPr>
          <w:vertAlign w:val="superscript"/>
          <w:lang w:val="es-CO"/>
        </w:rPr>
        <w:t>c</w:t>
      </w:r>
      <w:r w:rsidRPr="005520BC">
        <w:rPr>
          <w:lang w:val="es-CO"/>
        </w:rPr>
        <w:t>Universidad Industrial Santander, Escuela de Química, Laboratorio de Espectroscopia Atómica Molecular - LEAM, cra 27 calle 9, Bucaramanga –Santander, Colombia</w:t>
      </w:r>
      <w:r w:rsidR="007F24AC" w:rsidRPr="005520BC">
        <w:rPr>
          <w:lang w:val="es-CO"/>
        </w:rPr>
        <w:t>.</w:t>
      </w:r>
    </w:p>
    <w:p w14:paraId="207A66E3" w14:textId="1D4B5494" w:rsidR="00CC284B" w:rsidRPr="005520BC" w:rsidRDefault="00CC284B" w:rsidP="00AF0468">
      <w:pPr>
        <w:pStyle w:val="CETAddress"/>
        <w:jc w:val="both"/>
        <w:rPr>
          <w:lang w:val="es-CO"/>
        </w:rPr>
      </w:pPr>
      <w:r w:rsidRPr="005520BC">
        <w:rPr>
          <w:vertAlign w:val="superscript"/>
          <w:lang w:val="es-CO"/>
        </w:rPr>
        <w:t>d</w:t>
      </w:r>
      <w:r w:rsidRPr="005520BC">
        <w:rPr>
          <w:lang w:val="es-CO"/>
        </w:rPr>
        <w:t>Universidad Industrial Santander, Escuela de Ingeniería de Petróleos, Grupo de Investigación en Tomografía</w:t>
      </w:r>
      <w:r w:rsidR="00000EEE" w:rsidRPr="005520BC">
        <w:rPr>
          <w:lang w:val="es-CO"/>
        </w:rPr>
        <w:t xml:space="preserve"> </w:t>
      </w:r>
      <w:r w:rsidRPr="005520BC">
        <w:rPr>
          <w:lang w:val="es-CO"/>
        </w:rPr>
        <w:t>Computarizada para Caracterización de Yacimientos GIT, cra 27 calle 9, Bucaramanga –Santander, Colombia.</w:t>
      </w:r>
    </w:p>
    <w:p w14:paraId="4A029B5E" w14:textId="77777777" w:rsidR="00CC284B" w:rsidRPr="002A2EBC" w:rsidRDefault="00CC284B" w:rsidP="00650121">
      <w:pPr>
        <w:pStyle w:val="CETAddress"/>
        <w:rPr>
          <w:color w:val="000000" w:themeColor="text1"/>
          <w:lang w:val="es-CO"/>
        </w:rPr>
      </w:pPr>
    </w:p>
    <w:p w14:paraId="73F1267A" w14:textId="128436CC" w:rsidR="00B57E6F" w:rsidRPr="002A2EBC" w:rsidRDefault="00555F72" w:rsidP="00B57E6F">
      <w:pPr>
        <w:pStyle w:val="CETemail"/>
        <w:rPr>
          <w:rStyle w:val="Hipervnculo"/>
          <w:color w:val="000000" w:themeColor="text1"/>
          <w:u w:val="none"/>
        </w:rPr>
      </w:pPr>
      <w:hyperlink r:id="rId10" w:history="1">
        <w:r w:rsidR="00AA2466" w:rsidRPr="00581116">
          <w:rPr>
            <w:rStyle w:val="Hipervnculo"/>
          </w:rPr>
          <w:t>adanleon@uis.edu.co</w:t>
        </w:r>
      </w:hyperlink>
      <w:r w:rsidR="003470D1" w:rsidRPr="002A2EBC">
        <w:rPr>
          <w:rStyle w:val="Hipervnculo"/>
          <w:color w:val="000000" w:themeColor="text1"/>
          <w:u w:val="none"/>
        </w:rPr>
        <w:t xml:space="preserve"> </w:t>
      </w:r>
    </w:p>
    <w:p w14:paraId="792E123C" w14:textId="77777777" w:rsidR="00623AF1" w:rsidRPr="002A2EBC" w:rsidRDefault="00623AF1" w:rsidP="00072A98">
      <w:pPr>
        <w:pStyle w:val="CETBodytext"/>
        <w:rPr>
          <w:color w:val="000000" w:themeColor="text1"/>
          <w:lang w:val="en-GB"/>
        </w:rPr>
      </w:pPr>
    </w:p>
    <w:p w14:paraId="198B7CEC" w14:textId="06CEB031" w:rsidR="00072A98" w:rsidRPr="005520BC" w:rsidRDefault="00072A98" w:rsidP="00072A98">
      <w:pPr>
        <w:pStyle w:val="CETBodytext"/>
        <w:rPr>
          <w:lang w:val="en-GB"/>
        </w:rPr>
      </w:pPr>
      <w:r w:rsidRPr="005520BC">
        <w:rPr>
          <w:lang w:val="en-GB"/>
        </w:rPr>
        <w:t xml:space="preserve">Enhanced recovery methods play an important role in extracting crude oil from reservoirs using different processes. The catalytic aquathermolysis process is a promising technique due to the interaction of the catalyst, heavy oil fractions, and hydrogen (Water-Gas-Shift, WGS reactions). Fluid-fluid thermochemical interaction tests were performed </w:t>
      </w:r>
      <w:r w:rsidR="0052109E">
        <w:rPr>
          <w:lang w:val="en-GB"/>
        </w:rPr>
        <w:t xml:space="preserve">in a batch reactor </w:t>
      </w:r>
      <w:r w:rsidRPr="005520BC">
        <w:rPr>
          <w:lang w:val="en-GB"/>
        </w:rPr>
        <w:t>on three Colombian heavy crude oils (C1, C2, and C3) with iron naphthenate (100 ppm</w:t>
      </w:r>
      <w:r w:rsidR="00B24E1E" w:rsidRPr="005520BC">
        <w:rPr>
          <w:lang w:val="en-GB"/>
        </w:rPr>
        <w:t xml:space="preserve"> or mg/L</w:t>
      </w:r>
      <w:r w:rsidRPr="005520BC">
        <w:rPr>
          <w:lang w:val="en-GB"/>
        </w:rPr>
        <w:t xml:space="preserve">, metal ion. Conditions at 270 °C and 800 psi during 66 </w:t>
      </w:r>
      <w:r w:rsidR="004D12C9" w:rsidRPr="005520BC">
        <w:rPr>
          <w:lang w:val="en-GB"/>
        </w:rPr>
        <w:t>h</w:t>
      </w:r>
      <w:r w:rsidRPr="005520BC">
        <w:rPr>
          <w:lang w:val="en-GB"/>
        </w:rPr>
        <w:t xml:space="preserve"> of reaction were set. </w:t>
      </w:r>
      <w:r w:rsidR="0052109E">
        <w:rPr>
          <w:lang w:val="en-GB"/>
        </w:rPr>
        <w:t>To analyze</w:t>
      </w:r>
      <w:r w:rsidRPr="005520BC">
        <w:rPr>
          <w:lang w:val="en-GB"/>
        </w:rPr>
        <w:t xml:space="preserve"> the upgraded crude oils, physicochemical properties such as viscosity, density, and fraction distribution by simulated distillation (ASTM/D-7169) and SARA compositional analysis (saturated, aromatic, resins, asphaltenes) were evaluated.</w:t>
      </w:r>
    </w:p>
    <w:p w14:paraId="783FE8DA" w14:textId="77777777" w:rsidR="00AA3602" w:rsidRPr="005520BC" w:rsidRDefault="00AA3602" w:rsidP="00072A98">
      <w:pPr>
        <w:pStyle w:val="CETBodytext"/>
        <w:rPr>
          <w:lang w:val="en-GB"/>
        </w:rPr>
      </w:pPr>
    </w:p>
    <w:p w14:paraId="764F97B3" w14:textId="37FF4955" w:rsidR="00072A98" w:rsidRPr="005520BC" w:rsidRDefault="00072A98" w:rsidP="00072A98">
      <w:pPr>
        <w:pStyle w:val="CETBodytext"/>
        <w:rPr>
          <w:lang w:val="en-GB"/>
        </w:rPr>
      </w:pPr>
      <w:r w:rsidRPr="005520BC">
        <w:rPr>
          <w:lang w:val="en-GB"/>
        </w:rPr>
        <w:t>The results showed that heavy crude oils subjected to steam injection conditions presented an increase in viscosity and density compared to the original crude oils. Meanwhile, the viscosity and density reductions of the crude oils upgraded under catalytic aquathermolysis conditions ranged from 33.3 to 46.4</w:t>
      </w:r>
      <w:r w:rsidR="00D003F7" w:rsidRPr="005520BC">
        <w:rPr>
          <w:lang w:val="en-GB"/>
        </w:rPr>
        <w:t xml:space="preserve"> </w:t>
      </w:r>
      <w:r w:rsidRPr="005520BC">
        <w:rPr>
          <w:lang w:val="en-GB"/>
        </w:rPr>
        <w:t>% and 0.22 to 1.71</w:t>
      </w:r>
      <w:r w:rsidR="00D003F7" w:rsidRPr="005520BC">
        <w:rPr>
          <w:lang w:val="en-GB"/>
        </w:rPr>
        <w:t xml:space="preserve"> </w:t>
      </w:r>
      <w:r w:rsidRPr="005520BC">
        <w:rPr>
          <w:lang w:val="en-GB"/>
        </w:rPr>
        <w:t xml:space="preserve">%, respectively. With the information from the distillation curves, an increase between 3.5 and 7.8 </w:t>
      </w:r>
      <w:r w:rsidR="00D003F7" w:rsidRPr="005520BC">
        <w:rPr>
          <w:rFonts w:eastAsia="Arial"/>
        </w:rPr>
        <w:t>% by weight</w:t>
      </w:r>
      <w:r w:rsidRPr="005520BC">
        <w:rPr>
          <w:lang w:val="en-GB"/>
        </w:rPr>
        <w:t xml:space="preserve"> in the content of light fractions (IBP - 370 °C) was evident. The increase in light fractions is mainly due to the conversion of vacuum residues (540°C+). On the other hand, the compositional analysis shows that the resin and asphaltene</w:t>
      </w:r>
      <w:r w:rsidR="00827557" w:rsidRPr="005520BC">
        <w:rPr>
          <w:lang w:val="en-GB"/>
        </w:rPr>
        <w:t>s</w:t>
      </w:r>
      <w:r w:rsidRPr="005520BC">
        <w:rPr>
          <w:lang w:val="en-GB"/>
        </w:rPr>
        <w:t xml:space="preserve"> fractions are reduced between 9.1 to 18.9 </w:t>
      </w:r>
      <w:r w:rsidR="00827557" w:rsidRPr="005520BC">
        <w:rPr>
          <w:rFonts w:eastAsia="Arial"/>
        </w:rPr>
        <w:t>% by weight</w:t>
      </w:r>
      <w:r w:rsidRPr="005520BC">
        <w:rPr>
          <w:lang w:val="en-GB"/>
        </w:rPr>
        <w:t xml:space="preserve"> and between 14.8 to 25.9 </w:t>
      </w:r>
      <w:r w:rsidR="00827557" w:rsidRPr="005520BC">
        <w:rPr>
          <w:rFonts w:eastAsia="Arial"/>
        </w:rPr>
        <w:t>% by weight</w:t>
      </w:r>
      <w:r w:rsidRPr="005520BC">
        <w:rPr>
          <w:lang w:val="en-GB"/>
        </w:rPr>
        <w:t>.  Saturates showed an increase in the</w:t>
      </w:r>
      <w:r w:rsidR="0000297A">
        <w:rPr>
          <w:lang w:val="en-GB"/>
        </w:rPr>
        <w:t xml:space="preserve"> range of</w:t>
      </w:r>
      <w:r w:rsidRPr="005520BC">
        <w:rPr>
          <w:lang w:val="en-GB"/>
        </w:rPr>
        <w:t xml:space="preserve"> 9.9 to 13.6 </w:t>
      </w:r>
      <w:r w:rsidR="00827557" w:rsidRPr="005520BC">
        <w:rPr>
          <w:rFonts w:eastAsia="Arial"/>
        </w:rPr>
        <w:t>%</w:t>
      </w:r>
      <w:r w:rsidR="0052109E">
        <w:rPr>
          <w:rFonts w:eastAsia="Arial"/>
        </w:rPr>
        <w:t xml:space="preserve"> </w:t>
      </w:r>
      <w:r w:rsidR="00827557" w:rsidRPr="005520BC">
        <w:rPr>
          <w:rFonts w:eastAsia="Arial"/>
        </w:rPr>
        <w:t>by weight</w:t>
      </w:r>
      <w:r w:rsidRPr="005520BC">
        <w:rPr>
          <w:lang w:val="en-GB"/>
        </w:rPr>
        <w:t>. Additionally, the results of MALDI-TOF mass spectrometry confirmed that the heavy fractions and asphaltenes tend to form species with lower molecular weight. Finally, the variation in the physicochemical properties of heavy crude oils shows that the thermochemical method is a valuable and complementary tool in thermal recovery.</w:t>
      </w:r>
    </w:p>
    <w:p w14:paraId="4B8D813F" w14:textId="77777777" w:rsidR="00623AF1" w:rsidRPr="005520BC" w:rsidRDefault="00623AF1" w:rsidP="00072A98">
      <w:pPr>
        <w:pStyle w:val="CETBodytext"/>
        <w:rPr>
          <w:lang w:val="en-GB"/>
        </w:rPr>
      </w:pPr>
    </w:p>
    <w:p w14:paraId="476B2F2E" w14:textId="52B36035" w:rsidR="00600535" w:rsidRPr="005520BC" w:rsidRDefault="00600535" w:rsidP="00600535">
      <w:pPr>
        <w:pStyle w:val="CETHeading1"/>
        <w:rPr>
          <w:lang w:val="en-GB"/>
        </w:rPr>
      </w:pPr>
      <w:r w:rsidRPr="005520BC">
        <w:rPr>
          <w:lang w:val="en-GB"/>
        </w:rPr>
        <w:t>Introduction</w:t>
      </w:r>
    </w:p>
    <w:p w14:paraId="4003A244" w14:textId="3F2686F8" w:rsidR="002247D5" w:rsidRPr="005520BC" w:rsidRDefault="00E91909" w:rsidP="00951A43">
      <w:pPr>
        <w:pStyle w:val="CETBodytext"/>
      </w:pPr>
      <w:r w:rsidRPr="005520BC">
        <w:t>Oil extraction processes are primarily classified as non-thermal and thermal. Non-thermal processes include gas and chemical injection (polymers, surfactants, and alkaline agents). Thermal processes use heat transfer technologies to reduce the viscosity of heavy crude oils</w:t>
      </w:r>
      <w:r w:rsidR="000F16C4" w:rsidRPr="005520BC">
        <w:t xml:space="preserve"> (</w:t>
      </w:r>
      <w:r w:rsidR="003E4D00" w:rsidRPr="005520BC">
        <w:t>Vo et al., 2021</w:t>
      </w:r>
      <w:r w:rsidR="000F16C4" w:rsidRPr="005520BC">
        <w:t>)</w:t>
      </w:r>
      <w:r w:rsidRPr="005520BC">
        <w:t xml:space="preserve">. </w:t>
      </w:r>
      <w:r w:rsidR="00C96FD5" w:rsidRPr="005520BC">
        <w:t>During steam injection, the appropriate pressure and temperature conditions are generated for the steam to react with some hydrocarbons and minerals in the reservoir</w:t>
      </w:r>
      <w:r w:rsidR="00240CF6" w:rsidRPr="005520BC">
        <w:t xml:space="preserve">. </w:t>
      </w:r>
      <w:r w:rsidR="002247D5" w:rsidRPr="005520BC">
        <w:t>Some authors</w:t>
      </w:r>
      <w:r w:rsidR="0052109E">
        <w:t>,</w:t>
      </w:r>
      <w:r w:rsidR="002247D5" w:rsidRPr="005520BC">
        <w:t xml:space="preserve"> such as </w:t>
      </w:r>
      <w:proofErr w:type="spellStart"/>
      <w:r w:rsidR="002247D5" w:rsidRPr="005520BC">
        <w:t>Hyne</w:t>
      </w:r>
      <w:proofErr w:type="spellEnd"/>
      <w:r w:rsidR="002247D5" w:rsidRPr="005520BC">
        <w:t xml:space="preserve"> (1986)</w:t>
      </w:r>
      <w:r w:rsidR="0052109E">
        <w:t>,</w:t>
      </w:r>
      <w:r w:rsidR="002247D5" w:rsidRPr="005520BC">
        <w:t xml:space="preserve"> </w:t>
      </w:r>
      <w:proofErr w:type="spellStart"/>
      <w:r w:rsidR="009103B1" w:rsidRPr="005520BC">
        <w:t>Urazov</w:t>
      </w:r>
      <w:proofErr w:type="spellEnd"/>
      <w:r w:rsidR="002247D5" w:rsidRPr="005520BC">
        <w:t xml:space="preserve"> et al., (20</w:t>
      </w:r>
      <w:r w:rsidR="009103B1" w:rsidRPr="005520BC">
        <w:t>22</w:t>
      </w:r>
      <w:r w:rsidR="002247D5" w:rsidRPr="005520BC">
        <w:t>)</w:t>
      </w:r>
      <w:r w:rsidR="0052109E">
        <w:t>,</w:t>
      </w:r>
      <w:r w:rsidR="002247D5" w:rsidRPr="005520BC">
        <w:t xml:space="preserve"> and Huang et al., (2019)</w:t>
      </w:r>
      <w:r w:rsidR="0052109E">
        <w:t>,</w:t>
      </w:r>
      <w:r w:rsidR="002247D5" w:rsidRPr="005520BC">
        <w:t xml:space="preserve"> have </w:t>
      </w:r>
      <w:r w:rsidR="002247D5" w:rsidRPr="005520BC">
        <w:lastRenderedPageBreak/>
        <w:t>managed to establish that reactions are generated between the fractions of heavy crude oil with water at high temperatures regardless of its phase.</w:t>
      </w:r>
      <w:r w:rsidR="00646EBE" w:rsidRPr="005520BC">
        <w:t xml:space="preserve">  </w:t>
      </w:r>
      <w:r w:rsidR="002247D5" w:rsidRPr="005520BC">
        <w:t xml:space="preserve">This process is known as aquathermolysis. </w:t>
      </w:r>
      <w:r w:rsidR="00850942" w:rsidRPr="005520BC">
        <w:t>Aquathermolysis is related to the steam injection process. Furthermore, the conditions of this thermal recovery technology produce in situ conversion of high-sulfur fractions in heavy oil crude.</w:t>
      </w:r>
      <w:r w:rsidR="005165EB" w:rsidRPr="005520BC">
        <w:t xml:space="preserve"> </w:t>
      </w:r>
      <w:r w:rsidR="00FB5A53" w:rsidRPr="005520BC">
        <w:t>In</w:t>
      </w:r>
      <w:r w:rsidR="005165EB" w:rsidRPr="005520BC">
        <w:t xml:space="preserve"> the aquathermolysis process, gaseous compounds such as H</w:t>
      </w:r>
      <w:r w:rsidR="005165EB" w:rsidRPr="005520BC">
        <w:rPr>
          <w:rFonts w:ascii="Cambria Math" w:hAnsi="Cambria Math" w:cs="Cambria Math"/>
        </w:rPr>
        <w:t>₂</w:t>
      </w:r>
      <w:r w:rsidR="005165EB" w:rsidRPr="005520BC">
        <w:t>, CH</w:t>
      </w:r>
      <w:r w:rsidR="005165EB" w:rsidRPr="005520BC">
        <w:rPr>
          <w:rFonts w:ascii="Cambria Math" w:hAnsi="Cambria Math" w:cs="Cambria Math"/>
        </w:rPr>
        <w:t>₂</w:t>
      </w:r>
      <w:r w:rsidR="005165EB" w:rsidRPr="005520BC">
        <w:t>, CO</w:t>
      </w:r>
      <w:r w:rsidR="005165EB" w:rsidRPr="005520BC">
        <w:rPr>
          <w:rFonts w:ascii="Cambria Math" w:hAnsi="Cambria Math" w:cs="Cambria Math"/>
        </w:rPr>
        <w:t>₂</w:t>
      </w:r>
      <w:r w:rsidR="005165EB" w:rsidRPr="005520BC">
        <w:t>, H</w:t>
      </w:r>
      <w:r w:rsidR="005165EB" w:rsidRPr="005520BC">
        <w:rPr>
          <w:rFonts w:ascii="Cambria Math" w:hAnsi="Cambria Math" w:cs="Cambria Math"/>
        </w:rPr>
        <w:t>₂</w:t>
      </w:r>
      <w:r w:rsidR="005165EB" w:rsidRPr="005520BC">
        <w:t>S, and high</w:t>
      </w:r>
      <w:r w:rsidR="0024531C" w:rsidRPr="005520BC">
        <w:t xml:space="preserve"> </w:t>
      </w:r>
      <w:r w:rsidR="005165EB" w:rsidRPr="005520BC">
        <w:t>molecular</w:t>
      </w:r>
      <w:r w:rsidR="0024531C" w:rsidRPr="005520BC">
        <w:t xml:space="preserve"> </w:t>
      </w:r>
      <w:r w:rsidR="005165EB" w:rsidRPr="005520BC">
        <w:t>weight gas are produced. Furthermore, hydrogen participates in hydrodesulfurization reactions.</w:t>
      </w:r>
      <w:r w:rsidR="00A67036" w:rsidRPr="005520BC">
        <w:t xml:space="preserve"> Hydrogen participates in hydrodesulfurization reactions. Although this process can be considered a complex mechanism, some authors represent the transformation of the heavy fractions of crude oil in a finite number of first-order parallel reactions</w:t>
      </w:r>
      <w:r w:rsidR="00B753DE" w:rsidRPr="005520BC">
        <w:t xml:space="preserve"> (</w:t>
      </w:r>
      <w:r w:rsidR="00DF00ED" w:rsidRPr="005520BC">
        <w:t>Huang et al., 2019</w:t>
      </w:r>
      <w:r w:rsidR="00B753DE" w:rsidRPr="005520BC">
        <w:t>)</w:t>
      </w:r>
      <w:r w:rsidR="005165EB" w:rsidRPr="005520BC">
        <w:t>.</w:t>
      </w:r>
    </w:p>
    <w:p w14:paraId="37775486" w14:textId="77F268A0" w:rsidR="009E536D" w:rsidRPr="005520BC" w:rsidRDefault="009E536D" w:rsidP="00951A43">
      <w:pPr>
        <w:pStyle w:val="CETBodytext"/>
      </w:pPr>
    </w:p>
    <w:p w14:paraId="0FD9B0AA" w14:textId="77338BDE" w:rsidR="00951A43" w:rsidRPr="005520BC" w:rsidRDefault="004C6F19" w:rsidP="00951A43">
      <w:pPr>
        <w:pStyle w:val="CETBodytext"/>
      </w:pPr>
      <w:r w:rsidRPr="005520BC">
        <w:t xml:space="preserve">Under conventional process conditions, the conversion of the liquid phase of crude oil is low unless the reactions are catalyzed by transition metals, M+ (catalytic aquathermolysis). Therefore, in situ catalyst generation favors the cleavage of C-S bonds, given their lower activation energies during the chemical reactions. </w:t>
      </w:r>
      <w:r w:rsidR="00DE6839" w:rsidRPr="005520BC">
        <w:t>The reaction occurs because S has greater electronegativity than C</w:t>
      </w:r>
      <w:r w:rsidR="0052109E">
        <w:t>.</w:t>
      </w:r>
      <w:r w:rsidR="00DE6839" w:rsidRPr="005520BC">
        <w:t xml:space="preserve"> </w:t>
      </w:r>
      <w:r w:rsidR="0052109E">
        <w:t>T</w:t>
      </w:r>
      <w:r w:rsidR="00DE6839" w:rsidRPr="005520BC">
        <w:t>herefore</w:t>
      </w:r>
      <w:r w:rsidR="0052109E">
        <w:t>,</w:t>
      </w:r>
      <w:r w:rsidR="00DE6839" w:rsidRPr="005520BC">
        <w:t xml:space="preserve"> the H</w:t>
      </w:r>
      <w:r w:rsidR="00DE6839" w:rsidRPr="005520BC">
        <w:rPr>
          <w:vertAlign w:val="superscript"/>
        </w:rPr>
        <w:t>+</w:t>
      </w:r>
      <w:r w:rsidR="00DE6839" w:rsidRPr="005520BC">
        <w:t xml:space="preserve"> of the system reacts with the S present in heavy crude oil, while the OH</w:t>
      </w:r>
      <w:r w:rsidR="00DE6839" w:rsidRPr="005520BC">
        <w:rPr>
          <w:vertAlign w:val="superscript"/>
        </w:rPr>
        <w:t>–</w:t>
      </w:r>
      <w:r w:rsidR="00DE6839" w:rsidRPr="005520BC">
        <w:t xml:space="preserve"> reacts with the C</w:t>
      </w:r>
      <w:r w:rsidR="0026142F" w:rsidRPr="005520BC">
        <w:t xml:space="preserve"> (Zhao et al., 2014)</w:t>
      </w:r>
      <w:r w:rsidR="00DE6839" w:rsidRPr="005520BC">
        <w:t xml:space="preserve">. </w:t>
      </w:r>
      <w:r w:rsidRPr="005520BC">
        <w:t xml:space="preserve">Generally, several studies have established that Group VIII transition metals contribute to the enhancement of heavy crude oil desulfurization. Furthermore, this process involves Water Gas Shift and hydrotreatment reactions, which are carried out by the reactions of pyrolysis, hydrolysis, hydrodesulfurization (HDS), </w:t>
      </w:r>
      <w:proofErr w:type="spellStart"/>
      <w:r w:rsidRPr="005520BC">
        <w:t>hydrodenitrogenation</w:t>
      </w:r>
      <w:proofErr w:type="spellEnd"/>
      <w:r w:rsidRPr="005520BC">
        <w:t xml:space="preserve"> (HDN)</w:t>
      </w:r>
      <w:r w:rsidR="0052109E">
        <w:t>,</w:t>
      </w:r>
      <w:r w:rsidRPr="005520BC">
        <w:t xml:space="preserve"> and hydrodeoxygenation (HDO). It has been established that the operating temperature window where the aquathermolysis reactions occur is 200 to 300 °C. In this temperature range, solids (coke) and gas</w:t>
      </w:r>
      <w:r w:rsidR="0052109E">
        <w:t xml:space="preserve"> production</w:t>
      </w:r>
      <w:r w:rsidRPr="005520BC">
        <w:t xml:space="preserve"> </w:t>
      </w:r>
      <w:r w:rsidR="0052109E">
        <w:t>are</w:t>
      </w:r>
      <w:r w:rsidRPr="005520BC">
        <w:t xml:space="preserve"> insignificant (Hyne,1986; </w:t>
      </w:r>
      <w:proofErr w:type="spellStart"/>
      <w:r w:rsidRPr="005520BC">
        <w:t>Fajun</w:t>
      </w:r>
      <w:proofErr w:type="spellEnd"/>
      <w:r w:rsidRPr="005520BC">
        <w:t xml:space="preserve"> et al., 2014; </w:t>
      </w:r>
      <w:proofErr w:type="spellStart"/>
      <w:r w:rsidRPr="005520BC">
        <w:t>Muraza</w:t>
      </w:r>
      <w:proofErr w:type="spellEnd"/>
      <w:r w:rsidRPr="005520BC">
        <w:t xml:space="preserve"> et al., 2015).</w:t>
      </w:r>
      <w:r w:rsidR="0095583C" w:rsidRPr="005520BC">
        <w:t xml:space="preserve"> </w:t>
      </w:r>
      <w:r w:rsidR="00646EBE" w:rsidRPr="005520BC">
        <w:t xml:space="preserve">Figure 1 </w:t>
      </w:r>
      <w:r w:rsidR="0053629B" w:rsidRPr="005520BC">
        <w:t>schematizes the general reaction of aquathermolysis with and without catalyst</w:t>
      </w:r>
      <w:r w:rsidR="0052109E">
        <w:t>s</w:t>
      </w:r>
      <w:r w:rsidR="00646EBE" w:rsidRPr="005520BC">
        <w:t>, highlighting the production of carbon dioxide, hydrogen sulfide, carbon monoxide</w:t>
      </w:r>
      <w:r w:rsidR="0052109E">
        <w:t>,</w:t>
      </w:r>
      <w:r w:rsidR="00646EBE" w:rsidRPr="005520BC">
        <w:t xml:space="preserve"> and hydrocarbons with different molecular weights</w:t>
      </w:r>
      <w:r w:rsidR="00E10E1B" w:rsidRPr="005520BC">
        <w:t xml:space="preserve"> (Zhao et al., 2014)</w:t>
      </w:r>
      <w:r w:rsidR="00951A43" w:rsidRPr="005520BC">
        <w:t>.</w:t>
      </w:r>
    </w:p>
    <w:p w14:paraId="3336AC6D" w14:textId="77777777" w:rsidR="00B17300" w:rsidRPr="005520BC" w:rsidRDefault="00B17300" w:rsidP="00951A43">
      <w:pPr>
        <w:pStyle w:val="CETBodytext"/>
      </w:pPr>
    </w:p>
    <w:p w14:paraId="4CFA432D" w14:textId="6DF102C2" w:rsidR="00E16A25" w:rsidRPr="005520BC" w:rsidRDefault="00623AF1" w:rsidP="00D80E25">
      <w:pPr>
        <w:pStyle w:val="CETBodytext"/>
        <w:jc w:val="left"/>
        <w:rPr>
          <w:lang w:val="es-CO"/>
        </w:rPr>
      </w:pPr>
      <w:r w:rsidRPr="005520BC">
        <w:rPr>
          <w:noProof/>
          <w:lang w:val="es-CO"/>
        </w:rPr>
        <w:drawing>
          <wp:inline distT="0" distB="0" distL="0" distR="0" wp14:anchorId="17D98BCD" wp14:editId="309E58A2">
            <wp:extent cx="4482033" cy="2531660"/>
            <wp:effectExtent l="0" t="0" r="0" b="254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0455" cy="2553363"/>
                    </a:xfrm>
                    <a:prstGeom prst="rect">
                      <a:avLst/>
                    </a:prstGeom>
                    <a:noFill/>
                    <a:ln>
                      <a:noFill/>
                    </a:ln>
                  </pic:spPr>
                </pic:pic>
              </a:graphicData>
            </a:graphic>
          </wp:inline>
        </w:drawing>
      </w:r>
    </w:p>
    <w:p w14:paraId="0BF12804" w14:textId="77777777" w:rsidR="00E16A25" w:rsidRPr="005520BC" w:rsidRDefault="00E16A25" w:rsidP="00951A43">
      <w:pPr>
        <w:pStyle w:val="CETBodytext"/>
        <w:rPr>
          <w:lang w:val="es-CO"/>
        </w:rPr>
      </w:pPr>
    </w:p>
    <w:p w14:paraId="2E738F5F" w14:textId="220F9570" w:rsidR="0042442B" w:rsidRPr="005520BC" w:rsidRDefault="0042442B" w:rsidP="00D80E25">
      <w:pPr>
        <w:pStyle w:val="CETCaption"/>
        <w:jc w:val="left"/>
        <w:rPr>
          <w:lang w:val="en-US"/>
        </w:rPr>
      </w:pPr>
      <w:bookmarkStart w:id="1" w:name="_Ref185181992"/>
      <w:r w:rsidRPr="005520BC">
        <w:t xml:space="preserve">Figure </w:t>
      </w:r>
      <w:r w:rsidRPr="005520BC">
        <w:fldChar w:fldCharType="begin"/>
      </w:r>
      <w:r w:rsidRPr="005520BC">
        <w:instrText xml:space="preserve"> SEQ Figure \* ARABIC </w:instrText>
      </w:r>
      <w:r w:rsidRPr="005520BC">
        <w:fldChar w:fldCharType="separate"/>
      </w:r>
      <w:r w:rsidRPr="005520BC">
        <w:rPr>
          <w:noProof/>
        </w:rPr>
        <w:t>1</w:t>
      </w:r>
      <w:r w:rsidRPr="005520BC">
        <w:fldChar w:fldCharType="end"/>
      </w:r>
      <w:bookmarkEnd w:id="1"/>
      <w:r w:rsidRPr="005520BC">
        <w:rPr>
          <w:lang w:val="en-US"/>
        </w:rPr>
        <w:t xml:space="preserve">: </w:t>
      </w:r>
      <w:r w:rsidRPr="005520BC">
        <w:rPr>
          <w:rStyle w:val="CETCaptionCarattere"/>
          <w:i/>
          <w:lang w:val="en-US"/>
        </w:rPr>
        <w:t>General scheme of the catalytic aquathermolysis reaction in heavy crude oils</w:t>
      </w:r>
      <w:r w:rsidRPr="005520BC">
        <w:rPr>
          <w:lang w:val="en-US"/>
        </w:rPr>
        <w:t>.</w:t>
      </w:r>
    </w:p>
    <w:p w14:paraId="14C08024" w14:textId="441859FA" w:rsidR="00020D83" w:rsidRPr="005520BC" w:rsidRDefault="0044396D" w:rsidP="00600535">
      <w:pPr>
        <w:pStyle w:val="CETBodytext"/>
      </w:pPr>
      <w:r w:rsidRPr="005520BC">
        <w:t>In different research works, Kapadia et al. (2015), Abdelsalam et al. (2023)</w:t>
      </w:r>
      <w:r w:rsidR="00413675">
        <w:t>,</w:t>
      </w:r>
      <w:r w:rsidRPr="005520BC">
        <w:t xml:space="preserve"> and Salas et al. (2023) have evaluated aquathermolysis in heavy crude oils with values ​​lower than 12.5 °API using crude oil-soluble catalysts (e.g.</w:t>
      </w:r>
      <w:r w:rsidR="00413675">
        <w:t>,</w:t>
      </w:r>
      <w:r w:rsidRPr="005520BC">
        <w:t xml:space="preserve"> iron naphthenate, nickel naphthenate, among others)</w:t>
      </w:r>
      <w:r w:rsidR="006B4F54" w:rsidRPr="005520BC">
        <w:t>.</w:t>
      </w:r>
      <w:r w:rsidR="00020D83" w:rsidRPr="005520BC">
        <w:t xml:space="preserve"> </w:t>
      </w:r>
      <w:r w:rsidR="000F6953" w:rsidRPr="005520BC">
        <w:t>The results showed that heavy crude oils exhibit different reactivity, even when the same catalyst is applied under the same temperature and pressure conditions.</w:t>
      </w:r>
      <w:r w:rsidR="00020D83" w:rsidRPr="005520BC">
        <w:t xml:space="preserve"> Meanwhile, the reduction of some properties</w:t>
      </w:r>
      <w:r w:rsidR="00413675">
        <w:t>,</w:t>
      </w:r>
      <w:r w:rsidR="00020D83" w:rsidRPr="005520BC">
        <w:t xml:space="preserve"> such as density and viscosity in the upgraded crude oils</w:t>
      </w:r>
      <w:r w:rsidR="00413675">
        <w:t>,</w:t>
      </w:r>
      <w:r w:rsidR="00020D83" w:rsidRPr="005520BC">
        <w:t xml:space="preserve"> is due to the increase in the fraction of saturates and aromatics and the decrease in resins and asphaltenes.</w:t>
      </w:r>
      <w:r w:rsidR="00B5228F" w:rsidRPr="005520BC">
        <w:t xml:space="preserve"> In general, catalytic aquathermolysis can be considered as an additional recovery mechanism during the enhanced recovery process. This process favors the permanent viscosity reduction of the crude oil and facilitates its movement in the porous medium.</w:t>
      </w:r>
    </w:p>
    <w:p w14:paraId="09D2524C" w14:textId="4BC290CB" w:rsidR="00020D83" w:rsidRPr="005520BC" w:rsidRDefault="00020D83" w:rsidP="00600535">
      <w:pPr>
        <w:pStyle w:val="CETBodytext"/>
      </w:pPr>
    </w:p>
    <w:p w14:paraId="6C022FF2" w14:textId="2A4087CC" w:rsidR="00051760" w:rsidRPr="005520BC" w:rsidRDefault="006B0F3D" w:rsidP="00600535">
      <w:pPr>
        <w:pStyle w:val="CETBodytext"/>
      </w:pPr>
      <w:r w:rsidRPr="005520BC">
        <w:t>Additionally, this process allows for an increase in production, which in turn produces fluids with greater commercial value. Furthermore</w:t>
      </w:r>
      <w:r w:rsidR="00413675">
        <w:t>,</w:t>
      </w:r>
      <w:r w:rsidRPr="005520BC">
        <w:t xml:space="preserve"> the improved crude oil</w:t>
      </w:r>
      <w:r w:rsidR="00413675">
        <w:t xml:space="preserve"> changes</w:t>
      </w:r>
      <w:r w:rsidRPr="005520BC">
        <w:t xml:space="preserve"> facilitate the treatments implemented in refineries and transportation.</w:t>
      </w:r>
      <w:r w:rsidR="006131E3" w:rsidRPr="005520BC">
        <w:t xml:space="preserve"> Considering the above, </w:t>
      </w:r>
      <w:r w:rsidR="00413675">
        <w:t xml:space="preserve">this work aims </w:t>
      </w:r>
      <w:r w:rsidR="006131E3" w:rsidRPr="005520BC">
        <w:t xml:space="preserve">to evaluate the effect of the aquathermolysis </w:t>
      </w:r>
      <w:r w:rsidR="006131E3" w:rsidRPr="005520BC">
        <w:lastRenderedPageBreak/>
        <w:t>process with iron naphthenate on the physicochemical properties of three Colombian heavy crude oils.</w:t>
      </w:r>
      <w:r w:rsidR="00FC22D5" w:rsidRPr="005520BC">
        <w:t xml:space="preserve"> </w:t>
      </w:r>
      <w:r w:rsidR="00413675">
        <w:t>T</w:t>
      </w:r>
      <w:r w:rsidR="00FC22D5" w:rsidRPr="005520BC">
        <w:t>he study</w:t>
      </w:r>
      <w:r w:rsidR="00413675">
        <w:t xml:space="preserve"> maintains constant</w:t>
      </w:r>
      <w:r w:rsidR="00FC22D5" w:rsidRPr="005520BC">
        <w:t xml:space="preserve"> conditions such as catalyst concentration, temperature, pressure</w:t>
      </w:r>
      <w:r w:rsidR="00413675">
        <w:t>,</w:t>
      </w:r>
      <w:r w:rsidR="00FC22D5" w:rsidRPr="005520BC">
        <w:t xml:space="preserve"> and reaction time.</w:t>
      </w:r>
    </w:p>
    <w:p w14:paraId="14B5B50C" w14:textId="224A620A" w:rsidR="005E5884" w:rsidRPr="005520BC" w:rsidRDefault="003E3635" w:rsidP="003E3635">
      <w:pPr>
        <w:pStyle w:val="CETHeading1"/>
      </w:pPr>
      <w:r w:rsidRPr="005520BC">
        <w:t>Results and Discussion</w:t>
      </w:r>
    </w:p>
    <w:p w14:paraId="7B90A523" w14:textId="1A9FE52A" w:rsidR="005E5884" w:rsidRPr="005520BC" w:rsidRDefault="00833FC3" w:rsidP="00833FC3">
      <w:pPr>
        <w:pStyle w:val="CETheadingx"/>
      </w:pPr>
      <w:r w:rsidRPr="005520BC">
        <w:t>Materials.</w:t>
      </w:r>
      <w:r w:rsidR="000E02B7" w:rsidRPr="005520BC">
        <w:t xml:space="preserve"> </w:t>
      </w:r>
    </w:p>
    <w:p w14:paraId="39B09F1B" w14:textId="6009FB7A" w:rsidR="00833FC3" w:rsidRPr="005520BC" w:rsidRDefault="00EA6A91" w:rsidP="005E5884">
      <w:pPr>
        <w:pStyle w:val="CETBodytext"/>
      </w:pPr>
      <w:r w:rsidRPr="005520BC">
        <w:t xml:space="preserve">Three Colombian heavy crude oils with values ​​ranging from 7.8 to 12.4 °API were selected. </w:t>
      </w:r>
      <w:r w:rsidR="00413675">
        <w:t>The thermocatalytic tests used iron</w:t>
      </w:r>
      <w:r w:rsidRPr="005520BC">
        <w:t xml:space="preserve"> naphthenate (6</w:t>
      </w:r>
      <w:r w:rsidR="007F45F5" w:rsidRPr="005520BC">
        <w:t xml:space="preserve"> </w:t>
      </w:r>
      <w:r w:rsidRPr="005520BC">
        <w:t>%</w:t>
      </w:r>
      <w:r w:rsidR="004F7FF9" w:rsidRPr="005520BC">
        <w:t xml:space="preserve"> by </w:t>
      </w:r>
      <w:r w:rsidRPr="005520BC">
        <w:t>iron</w:t>
      </w:r>
      <w:r w:rsidR="00413675">
        <w:t xml:space="preserve"> weight</w:t>
      </w:r>
      <w:r w:rsidRPr="005520BC">
        <w:t>, Strem Chemicals) as a catalyst. In addition, n-heptane, methanol, dichloromethane</w:t>
      </w:r>
      <w:r w:rsidR="00413675">
        <w:t>,</w:t>
      </w:r>
      <w:r w:rsidRPr="005520BC">
        <w:t xml:space="preserve"> and toluene solvents from the commercial company Sigma - Aldrich were used for the SARA analysis.</w:t>
      </w:r>
    </w:p>
    <w:p w14:paraId="10920EAC" w14:textId="3A84FA83" w:rsidR="005E5884" w:rsidRPr="005520BC" w:rsidRDefault="0078406D" w:rsidP="001F03FA">
      <w:pPr>
        <w:pStyle w:val="CETheadingx"/>
      </w:pPr>
      <w:r w:rsidRPr="005520BC">
        <w:t>Catalytic aquathermolysis tests</w:t>
      </w:r>
    </w:p>
    <w:p w14:paraId="7782573B" w14:textId="1231BAA0" w:rsidR="000E299C" w:rsidRPr="005520BC" w:rsidRDefault="000E299C" w:rsidP="00AE0591">
      <w:pPr>
        <w:pStyle w:val="CETBodytext"/>
      </w:pPr>
      <w:r w:rsidRPr="005520BC">
        <w:t>Reactivity tests were performed in a 170 cm</w:t>
      </w:r>
      <w:r w:rsidRPr="005520BC">
        <w:rPr>
          <w:vertAlign w:val="superscript"/>
        </w:rPr>
        <w:t>3</w:t>
      </w:r>
      <w:r w:rsidRPr="005520BC">
        <w:t xml:space="preserve"> batch reactor. The cylinder and its accessories are made of 316 stainless steel.</w:t>
      </w:r>
      <w:r w:rsidR="00855884" w:rsidRPr="005520BC">
        <w:t xml:space="preserve"> In the tests, heavy crude oil and water were added in a mass ratio of 2:1. The reactions were carried out under temperature and pressure conditions at 270 °C and 800 psi for 66 </w:t>
      </w:r>
      <w:r w:rsidR="004F7FF9" w:rsidRPr="005520BC">
        <w:t>h</w:t>
      </w:r>
      <w:r w:rsidR="00EB50A5">
        <w:t xml:space="preserve"> (</w:t>
      </w:r>
      <w:r w:rsidR="00CC19E5" w:rsidRPr="00CC19E5">
        <w:t>aquathermolysis</w:t>
      </w:r>
      <w:r w:rsidR="00EB50A5">
        <w:t>)</w:t>
      </w:r>
      <w:r w:rsidR="00855884" w:rsidRPr="005520BC">
        <w:t>.</w:t>
      </w:r>
      <w:r w:rsidR="005B4F80" w:rsidRPr="005520BC">
        <w:t xml:space="preserve"> In the process, iron naphthenate was used as a precursor at a concentration of 100 </w:t>
      </w:r>
      <w:r w:rsidR="00817FE9">
        <w:t>concerning</w:t>
      </w:r>
      <w:r w:rsidR="005B4F80" w:rsidRPr="005520BC">
        <w:t xml:space="preserve"> the iron metal ion</w:t>
      </w:r>
      <w:r w:rsidR="00CC19E5">
        <w:t xml:space="preserve"> (</w:t>
      </w:r>
      <w:r w:rsidR="00CC19E5" w:rsidRPr="00CC19E5">
        <w:t>catalytic aquathermolysis</w:t>
      </w:r>
      <w:r w:rsidR="00CC19E5">
        <w:t>)</w:t>
      </w:r>
      <w:r w:rsidR="005B4F80" w:rsidRPr="005520BC">
        <w:t>. After the reaction time, the reactor was removed from the system and allowed to cool to room temperature using an ice water bath.</w:t>
      </w:r>
      <w:r w:rsidR="00122C3E" w:rsidRPr="005520BC">
        <w:t xml:space="preserve"> The upgraded crude oil and water are separated using a Hettich Universal 320 R centrifuge at 6000 rpm for 20 minutes.</w:t>
      </w:r>
      <w:r w:rsidR="00AE0591">
        <w:t xml:space="preserve"> During the aquathermolysis and catalytic aquathermolysis tests, the temperature, pressure</w:t>
      </w:r>
      <w:r w:rsidR="00817FE9">
        <w:t>,</w:t>
      </w:r>
      <w:r w:rsidR="00AE0591">
        <w:t xml:space="preserve"> and reaction</w:t>
      </w:r>
      <w:r w:rsidR="00817FE9">
        <w:t xml:space="preserve"> conditions were</w:t>
      </w:r>
      <w:r w:rsidR="00AE0591">
        <w:t xml:space="preserve"> constant.</w:t>
      </w:r>
    </w:p>
    <w:p w14:paraId="29AF1C08" w14:textId="77777777" w:rsidR="000E299C" w:rsidRPr="005520BC" w:rsidRDefault="000E299C" w:rsidP="005E5884">
      <w:pPr>
        <w:pStyle w:val="CETBodytext"/>
      </w:pPr>
    </w:p>
    <w:p w14:paraId="5B3DFA89" w14:textId="15A5D35E" w:rsidR="00380165" w:rsidRPr="005520BC" w:rsidRDefault="00923ACC" w:rsidP="00380165">
      <w:pPr>
        <w:pStyle w:val="CETheadingx"/>
      </w:pPr>
      <w:r w:rsidRPr="005520BC">
        <w:t>Characterization</w:t>
      </w:r>
    </w:p>
    <w:p w14:paraId="05D73B7C" w14:textId="247D6697" w:rsidR="005E5884" w:rsidRPr="005520BC" w:rsidRDefault="00F72E48" w:rsidP="005E5884">
      <w:pPr>
        <w:pStyle w:val="CETBodytext"/>
        <w:rPr>
          <w:b/>
        </w:rPr>
      </w:pPr>
      <w:r w:rsidRPr="005520BC">
        <w:rPr>
          <w:b/>
          <w:lang w:val="es-ES"/>
        </w:rPr>
        <w:t xml:space="preserve">2.3.1 </w:t>
      </w:r>
      <w:r w:rsidR="0064726B" w:rsidRPr="005520BC">
        <w:rPr>
          <w:b/>
          <w:lang w:val="es-ES"/>
        </w:rPr>
        <w:t xml:space="preserve">SARA </w:t>
      </w:r>
      <w:r w:rsidR="00805DE1" w:rsidRPr="005520BC">
        <w:rPr>
          <w:b/>
          <w:lang w:val="es-ES"/>
        </w:rPr>
        <w:t>composicional</w:t>
      </w:r>
      <w:r w:rsidR="0064726B" w:rsidRPr="005520BC">
        <w:rPr>
          <w:b/>
        </w:rPr>
        <w:t xml:space="preserve"> </w:t>
      </w:r>
      <w:r w:rsidR="00805DE1" w:rsidRPr="005520BC">
        <w:rPr>
          <w:b/>
        </w:rPr>
        <w:t>a</w:t>
      </w:r>
      <w:r w:rsidR="000F54B1" w:rsidRPr="005520BC">
        <w:rPr>
          <w:b/>
        </w:rPr>
        <w:t>nalysis</w:t>
      </w:r>
    </w:p>
    <w:p w14:paraId="168066DE" w14:textId="0B02A9E4" w:rsidR="00BE72E0" w:rsidRPr="005520BC" w:rsidRDefault="00805DE1" w:rsidP="00600535">
      <w:pPr>
        <w:pStyle w:val="CETBodytext"/>
      </w:pPr>
      <w:r w:rsidRPr="005520BC">
        <w:t>Asphaltenes were separated according to ASTM D6560. Saturated, aromatic and</w:t>
      </w:r>
      <w:r w:rsidR="00817FE9">
        <w:t>,</w:t>
      </w:r>
      <w:r w:rsidRPr="005520BC">
        <w:t xml:space="preserve"> resin fractions were separated according to ASTM D2007. Asphaltenes were separated by adding n-heptane in a volume ratio 40:1 to the crude oil, refluxing for 1 h. Then, asphaltenes were obtained by filtration</w:t>
      </w:r>
      <w:r w:rsidR="00817FE9">
        <w:t>,</w:t>
      </w:r>
      <w:r w:rsidRPr="005520BC">
        <w:t xml:space="preserve"> and n-heptane was recovered. Saturated, aromatic</w:t>
      </w:r>
      <w:r w:rsidR="00817FE9">
        <w:t>,</w:t>
      </w:r>
      <w:r w:rsidRPr="005520BC">
        <w:t xml:space="preserve"> and resin fractions were separated by elution with n-heptane, dichloromethane</w:t>
      </w:r>
      <w:r w:rsidR="00817FE9">
        <w:t>,</w:t>
      </w:r>
      <w:r w:rsidRPr="005520BC">
        <w:t xml:space="preserve"> and a dichloromethane/methanol solution, using two columns containing silica gel, alumina</w:t>
      </w:r>
      <w:r w:rsidR="00817FE9">
        <w:t>,</w:t>
      </w:r>
      <w:r w:rsidRPr="005520BC">
        <w:t xml:space="preserve"> and </w:t>
      </w:r>
      <w:proofErr w:type="spellStart"/>
      <w:r w:rsidRPr="005520BC">
        <w:t>Florisil</w:t>
      </w:r>
      <w:proofErr w:type="spellEnd"/>
      <w:r w:rsidRPr="005520BC">
        <w:t xml:space="preserve"> </w:t>
      </w:r>
      <w:r w:rsidR="006B25A5" w:rsidRPr="005520BC">
        <w:t>(León et al., 2024)</w:t>
      </w:r>
      <w:r w:rsidR="00DC3C94" w:rsidRPr="005520BC">
        <w:t>.</w:t>
      </w:r>
    </w:p>
    <w:p w14:paraId="41E8560E" w14:textId="77777777" w:rsidR="00922504" w:rsidRPr="005520BC" w:rsidRDefault="00922504" w:rsidP="00600535">
      <w:pPr>
        <w:pStyle w:val="CETBodytext"/>
      </w:pPr>
    </w:p>
    <w:p w14:paraId="30583084" w14:textId="61D0BDC8" w:rsidR="00A743A2" w:rsidRPr="005520BC" w:rsidRDefault="00A743A2" w:rsidP="00600535">
      <w:pPr>
        <w:pStyle w:val="CETBodytext"/>
        <w:rPr>
          <w:b/>
        </w:rPr>
      </w:pPr>
      <w:r w:rsidRPr="005520BC">
        <w:rPr>
          <w:b/>
        </w:rPr>
        <w:t xml:space="preserve">2.3.2 </w:t>
      </w:r>
      <w:r w:rsidR="00053CC2" w:rsidRPr="005520BC">
        <w:rPr>
          <w:b/>
        </w:rPr>
        <w:t>Viscosity an</w:t>
      </w:r>
      <w:r w:rsidR="00922504" w:rsidRPr="005520BC">
        <w:rPr>
          <w:b/>
        </w:rPr>
        <w:t>alysis</w:t>
      </w:r>
    </w:p>
    <w:p w14:paraId="4E437BDE" w14:textId="06B01958" w:rsidR="00053CC2" w:rsidRPr="005520BC" w:rsidRDefault="00053CC2" w:rsidP="00053CC2">
      <w:pPr>
        <w:pStyle w:val="CETBodytext"/>
      </w:pPr>
      <w:r w:rsidRPr="005520BC">
        <w:t>The First Pro Plus® rotational viscometer, Lamy Rheology Instruments©, was used to measure viscosity. The viscosity curve was measured at 35, 45</w:t>
      </w:r>
      <w:r w:rsidR="00817FE9">
        <w:t>,</w:t>
      </w:r>
      <w:r w:rsidRPr="005520BC">
        <w:t xml:space="preserve"> and 60 °C for the original crudes and their </w:t>
      </w:r>
      <w:r w:rsidR="00922504" w:rsidRPr="005520BC">
        <w:t>upgraded</w:t>
      </w:r>
      <w:r w:rsidRPr="005520BC">
        <w:t xml:space="preserve"> crudes.</w:t>
      </w:r>
    </w:p>
    <w:p w14:paraId="62085960" w14:textId="4EC563C7" w:rsidR="00BE72E0" w:rsidRPr="005520BC" w:rsidRDefault="00796B0C" w:rsidP="00796B0C">
      <w:pPr>
        <w:pStyle w:val="CETBodytext"/>
      </w:pPr>
      <w:r w:rsidRPr="005520BC">
        <w:t>.</w:t>
      </w:r>
    </w:p>
    <w:p w14:paraId="3C82C242" w14:textId="4D5B8435" w:rsidR="00BE72E0" w:rsidRPr="005520BC" w:rsidRDefault="00A255B3" w:rsidP="00600535">
      <w:pPr>
        <w:pStyle w:val="CETBodytext"/>
        <w:rPr>
          <w:b/>
        </w:rPr>
      </w:pPr>
      <w:r w:rsidRPr="005520BC">
        <w:rPr>
          <w:b/>
        </w:rPr>
        <w:t xml:space="preserve">2.3.3 </w:t>
      </w:r>
      <w:r w:rsidR="007A3B88" w:rsidRPr="005520BC">
        <w:rPr>
          <w:b/>
        </w:rPr>
        <w:t>MALDI – TOF</w:t>
      </w:r>
      <w:r w:rsidR="00DB1AF3" w:rsidRPr="005520BC">
        <w:rPr>
          <w:b/>
        </w:rPr>
        <w:t xml:space="preserve"> M</w:t>
      </w:r>
      <w:r w:rsidR="007A3B88" w:rsidRPr="005520BC">
        <w:rPr>
          <w:b/>
        </w:rPr>
        <w:t xml:space="preserve">ass </w:t>
      </w:r>
      <w:r w:rsidR="00DB1AF3" w:rsidRPr="005520BC">
        <w:rPr>
          <w:b/>
        </w:rPr>
        <w:t>S</w:t>
      </w:r>
      <w:r w:rsidR="007A3B88" w:rsidRPr="005520BC">
        <w:rPr>
          <w:b/>
        </w:rPr>
        <w:t>pectrometry</w:t>
      </w:r>
    </w:p>
    <w:p w14:paraId="390CA11A" w14:textId="3ABBE56F" w:rsidR="00DB1AF3" w:rsidRPr="005520BC" w:rsidRDefault="00DB1AF3" w:rsidP="00600535">
      <w:pPr>
        <w:pStyle w:val="CETBodytext"/>
      </w:pPr>
      <w:r w:rsidRPr="005520BC">
        <w:t xml:space="preserve">The crude oil samples were dissolved in toluene at a concentration of 2000 ppm. Then, a 1 </w:t>
      </w:r>
      <w:r w:rsidRPr="005520BC">
        <w:rPr>
          <w:lang w:val="es-ES"/>
        </w:rPr>
        <w:t>μ</w:t>
      </w:r>
      <w:r w:rsidRPr="005520BC">
        <w:t>l aliquot of the solution was added to the target spot.</w:t>
      </w:r>
      <w:r w:rsidR="004D4CDD" w:rsidRPr="005520BC">
        <w:t xml:space="preserve"> A mixture of peptides was used as a calibration agent for spectra acquisition. Mass spectra were acquired with </w:t>
      </w:r>
      <w:proofErr w:type="spellStart"/>
      <w:r w:rsidR="004D4CDD" w:rsidRPr="005520BC">
        <w:t>Flexcontrol</w:t>
      </w:r>
      <w:proofErr w:type="spellEnd"/>
      <w:r w:rsidR="004D4CDD" w:rsidRPr="005520BC">
        <w:t xml:space="preserve"> software on the Bruker </w:t>
      </w:r>
      <w:proofErr w:type="spellStart"/>
      <w:r w:rsidR="004D4CDD" w:rsidRPr="005520BC">
        <w:t>Daltonics</w:t>
      </w:r>
      <w:proofErr w:type="spellEnd"/>
      <w:r w:rsidR="004D4CDD" w:rsidRPr="005520BC">
        <w:t xml:space="preserve"> </w:t>
      </w:r>
      <w:proofErr w:type="spellStart"/>
      <w:r w:rsidR="004D4CDD" w:rsidRPr="005520BC">
        <w:t>ultraflextreme</w:t>
      </w:r>
      <w:proofErr w:type="spellEnd"/>
      <w:r w:rsidR="004D4CDD" w:rsidRPr="005520BC">
        <w:t xml:space="preserve"> instrument. The instrument contains an ion source and a TOF analyzer with a Neodymium-doped Yttrium Aluminum Garnet (</w:t>
      </w:r>
      <w:proofErr w:type="spellStart"/>
      <w:r w:rsidR="004D4CDD" w:rsidRPr="005520BC">
        <w:t>Nd:YAG</w:t>
      </w:r>
      <w:proofErr w:type="spellEnd"/>
      <w:r w:rsidR="004D4CDD" w:rsidRPr="005520BC">
        <w:t xml:space="preserve">, 355nm) </w:t>
      </w:r>
      <w:proofErr w:type="spellStart"/>
      <w:r w:rsidR="004D4CDD" w:rsidRPr="005520BC">
        <w:t>smartbeam</w:t>
      </w:r>
      <w:proofErr w:type="spellEnd"/>
      <w:r w:rsidR="004D4CDD" w:rsidRPr="005520BC">
        <w:t xml:space="preserve"> II laser.</w:t>
      </w:r>
      <w:r w:rsidR="00D95F24" w:rsidRPr="005520BC">
        <w:t xml:space="preserve"> Finally, the average molecular weight can be defined as the molecular weight distribution of the set of ions, m/z (Lozano et al., 2016). The molecular weight was calculated with </w:t>
      </w:r>
      <w:r w:rsidR="00817FE9">
        <w:t>E</w:t>
      </w:r>
      <w:r w:rsidR="00D95F24" w:rsidRPr="005520BC">
        <w:t>quation 1.</w:t>
      </w:r>
    </w:p>
    <w:p w14:paraId="27FB5D74" w14:textId="77777777" w:rsidR="00DB1AF3" w:rsidRPr="005520BC" w:rsidRDefault="00DB1AF3" w:rsidP="00600535">
      <w:pPr>
        <w:pStyle w:val="CETBodytext"/>
      </w:pPr>
    </w:p>
    <w:p w14:paraId="6BB72324" w14:textId="38B121FC" w:rsidR="00067162" w:rsidRPr="005520BC" w:rsidRDefault="004D5394" w:rsidP="00067162">
      <w:pPr>
        <w:rPr>
          <w:rFonts w:eastAsiaTheme="minorEastAsia" w:cs="Arial"/>
          <w:szCs w:val="18"/>
          <w:lang w:val="en-US"/>
        </w:rPr>
      </w:pPr>
      <m:oMath>
        <m:r>
          <w:rPr>
            <w:rFonts w:ascii="Cambria Math" w:hAnsi="Cambria Math" w:cs="Arial"/>
            <w:sz w:val="20"/>
          </w:rPr>
          <m:t>MW</m:t>
        </m:r>
        <m:r>
          <w:rPr>
            <w:rFonts w:ascii="Cambria Math" w:hAnsi="Cambria Math" w:cs="Arial"/>
            <w:sz w:val="20"/>
            <w:lang w:val="en-US"/>
          </w:rPr>
          <m:t>=</m:t>
        </m:r>
        <m:f>
          <m:fPr>
            <m:ctrlPr>
              <w:rPr>
                <w:rFonts w:ascii="Cambria Math" w:hAnsi="Cambria Math" w:cs="Arial"/>
                <w:i/>
                <w:sz w:val="20"/>
              </w:rPr>
            </m:ctrlPr>
          </m:fPr>
          <m:num>
            <m:nary>
              <m:naryPr>
                <m:chr m:val="∑"/>
                <m:limLoc m:val="undOvr"/>
                <m:subHide m:val="1"/>
                <m:supHide m:val="1"/>
                <m:ctrlPr>
                  <w:rPr>
                    <w:rFonts w:ascii="Cambria Math" w:hAnsi="Cambria Math" w:cs="Arial"/>
                    <w:i/>
                    <w:sz w:val="20"/>
                  </w:rPr>
                </m:ctrlPr>
              </m:naryPr>
              <m:sub/>
              <m:sup/>
              <m:e>
                <m:sSub>
                  <m:sSubPr>
                    <m:ctrlPr>
                      <w:rPr>
                        <w:rFonts w:ascii="Cambria Math" w:hAnsi="Cambria Math" w:cs="Arial"/>
                        <w:i/>
                        <w:sz w:val="20"/>
                      </w:rPr>
                    </m:ctrlPr>
                  </m:sSubPr>
                  <m:e>
                    <m:r>
                      <w:rPr>
                        <w:rFonts w:ascii="Cambria Math" w:hAnsi="Cambria Math" w:cs="Arial"/>
                        <w:sz w:val="20"/>
                      </w:rPr>
                      <m:t>I</m:t>
                    </m:r>
                  </m:e>
                  <m:sub>
                    <m:r>
                      <w:rPr>
                        <w:rFonts w:ascii="Cambria Math" w:hAnsi="Cambria Math" w:cs="Arial"/>
                        <w:sz w:val="20"/>
                      </w:rPr>
                      <m:t>i</m:t>
                    </m:r>
                  </m:sub>
                </m:sSub>
                <m:sSub>
                  <m:sSubPr>
                    <m:ctrlPr>
                      <w:rPr>
                        <w:rFonts w:ascii="Cambria Math" w:hAnsi="Cambria Math" w:cs="Arial"/>
                        <w:i/>
                        <w:sz w:val="20"/>
                      </w:rPr>
                    </m:ctrlPr>
                  </m:sSubPr>
                  <m:e>
                    <m:r>
                      <w:rPr>
                        <w:rFonts w:ascii="Cambria Math" w:hAnsi="Cambria Math" w:cs="Arial"/>
                        <w:sz w:val="20"/>
                      </w:rPr>
                      <m:t>MW</m:t>
                    </m:r>
                  </m:e>
                  <m:sub>
                    <m:r>
                      <w:rPr>
                        <w:rFonts w:ascii="Cambria Math" w:hAnsi="Cambria Math" w:cs="Arial"/>
                        <w:sz w:val="20"/>
                      </w:rPr>
                      <m:t>i</m:t>
                    </m:r>
                  </m:sub>
                </m:sSub>
              </m:e>
            </m:nary>
          </m:num>
          <m:den>
            <m:nary>
              <m:naryPr>
                <m:chr m:val="∑"/>
                <m:limLoc m:val="undOvr"/>
                <m:subHide m:val="1"/>
                <m:supHide m:val="1"/>
                <m:ctrlPr>
                  <w:rPr>
                    <w:rFonts w:ascii="Cambria Math" w:hAnsi="Cambria Math" w:cs="Arial"/>
                    <w:i/>
                    <w:sz w:val="20"/>
                  </w:rPr>
                </m:ctrlPr>
              </m:naryPr>
              <m:sub/>
              <m:sup/>
              <m:e>
                <m:sSub>
                  <m:sSubPr>
                    <m:ctrlPr>
                      <w:rPr>
                        <w:rFonts w:ascii="Cambria Math" w:hAnsi="Cambria Math" w:cs="Arial"/>
                        <w:i/>
                        <w:sz w:val="20"/>
                      </w:rPr>
                    </m:ctrlPr>
                  </m:sSubPr>
                  <m:e>
                    <m:r>
                      <w:rPr>
                        <w:rFonts w:ascii="Cambria Math" w:hAnsi="Cambria Math" w:cs="Arial"/>
                        <w:sz w:val="20"/>
                      </w:rPr>
                      <m:t>I</m:t>
                    </m:r>
                  </m:e>
                  <m:sub>
                    <m:r>
                      <w:rPr>
                        <w:rFonts w:ascii="Cambria Math" w:hAnsi="Cambria Math" w:cs="Arial"/>
                        <w:sz w:val="20"/>
                      </w:rPr>
                      <m:t>i</m:t>
                    </m:r>
                  </m:sub>
                </m:sSub>
              </m:e>
            </m:nary>
          </m:den>
        </m:f>
      </m:oMath>
      <w:r w:rsidRPr="005520BC">
        <w:rPr>
          <w:rFonts w:eastAsiaTheme="minorEastAsia" w:cs="Arial"/>
          <w:szCs w:val="18"/>
        </w:rPr>
        <w:tab/>
      </w:r>
      <w:r w:rsidRPr="005520BC">
        <w:rPr>
          <w:rFonts w:eastAsiaTheme="minorEastAsia" w:cs="Arial"/>
          <w:szCs w:val="18"/>
        </w:rPr>
        <w:tab/>
      </w:r>
      <w:r w:rsidR="00067162" w:rsidRPr="005520BC">
        <w:rPr>
          <w:rFonts w:eastAsiaTheme="minorEastAsia" w:cs="Arial"/>
          <w:szCs w:val="18"/>
          <w:lang w:val="en-US"/>
        </w:rPr>
        <w:tab/>
        <w:t>(</w:t>
      </w:r>
      <w:r w:rsidR="00E10E1B" w:rsidRPr="005520BC">
        <w:rPr>
          <w:rFonts w:eastAsiaTheme="minorEastAsia" w:cs="Arial"/>
          <w:szCs w:val="18"/>
          <w:lang w:val="en-US"/>
        </w:rPr>
        <w:t>1</w:t>
      </w:r>
      <w:r w:rsidR="00067162" w:rsidRPr="005520BC">
        <w:rPr>
          <w:rFonts w:eastAsiaTheme="minorEastAsia" w:cs="Arial"/>
          <w:szCs w:val="18"/>
          <w:lang w:val="en-US"/>
        </w:rPr>
        <w:t>)</w:t>
      </w:r>
    </w:p>
    <w:p w14:paraId="1E37782B" w14:textId="4DBCC121" w:rsidR="00970C1B" w:rsidRPr="005520BC" w:rsidRDefault="00970C1B" w:rsidP="00970C1B">
      <w:pPr>
        <w:pStyle w:val="CETBodytext"/>
      </w:pPr>
    </w:p>
    <w:p w14:paraId="1B52EAC2" w14:textId="2DCD026C" w:rsidR="00BE72E0" w:rsidRPr="005520BC" w:rsidRDefault="00081F7C" w:rsidP="00970C1B">
      <w:pPr>
        <w:pStyle w:val="CETBodytext"/>
      </w:pPr>
      <w:r w:rsidRPr="005520BC">
        <w:t>Where: MW is the average molecular weight, I</w:t>
      </w:r>
      <w:r w:rsidRPr="005520BC">
        <w:rPr>
          <w:vertAlign w:val="subscript"/>
        </w:rPr>
        <w:t>i</w:t>
      </w:r>
      <w:r w:rsidRPr="005520BC">
        <w:t xml:space="preserve"> and </w:t>
      </w:r>
      <w:proofErr w:type="spellStart"/>
      <w:r w:rsidRPr="005520BC">
        <w:t>MW</w:t>
      </w:r>
      <w:r w:rsidR="004866D4" w:rsidRPr="005520BC">
        <w:rPr>
          <w:vertAlign w:val="subscript"/>
        </w:rPr>
        <w:t>i</w:t>
      </w:r>
      <w:proofErr w:type="spellEnd"/>
      <w:r w:rsidRPr="005520BC">
        <w:t xml:space="preserve"> are the intensity and molecular weight for each m/z species</w:t>
      </w:r>
      <w:r w:rsidR="00970C1B" w:rsidRPr="005520BC">
        <w:t>.</w:t>
      </w:r>
    </w:p>
    <w:p w14:paraId="1466DB23" w14:textId="3A05FF04" w:rsidR="005A2A78" w:rsidRPr="005520BC" w:rsidRDefault="003002C2" w:rsidP="005A2A78">
      <w:pPr>
        <w:pStyle w:val="CETHeading1"/>
        <w:rPr>
          <w:sz w:val="18"/>
          <w:szCs w:val="18"/>
          <w:lang w:val="es-ES"/>
        </w:rPr>
      </w:pPr>
      <w:proofErr w:type="spellStart"/>
      <w:r w:rsidRPr="005520BC">
        <w:rPr>
          <w:sz w:val="18"/>
          <w:szCs w:val="18"/>
          <w:lang w:val="es-ES"/>
        </w:rPr>
        <w:t>Results</w:t>
      </w:r>
      <w:proofErr w:type="spellEnd"/>
      <w:r w:rsidRPr="005520BC">
        <w:rPr>
          <w:sz w:val="18"/>
          <w:szCs w:val="18"/>
          <w:lang w:val="es-ES"/>
        </w:rPr>
        <w:t xml:space="preserve"> and </w:t>
      </w:r>
      <w:proofErr w:type="spellStart"/>
      <w:r w:rsidRPr="005520BC">
        <w:rPr>
          <w:sz w:val="18"/>
          <w:szCs w:val="18"/>
          <w:lang w:val="es-ES"/>
        </w:rPr>
        <w:t>discussion</w:t>
      </w:r>
      <w:proofErr w:type="spellEnd"/>
    </w:p>
    <w:p w14:paraId="53204D73" w14:textId="19481F8E" w:rsidR="00B17300" w:rsidRPr="005520BC" w:rsidRDefault="00B83B6D" w:rsidP="005A2A78">
      <w:pPr>
        <w:pStyle w:val="CETBodytext"/>
        <w:rPr>
          <w:szCs w:val="18"/>
        </w:rPr>
      </w:pPr>
      <w:r w:rsidRPr="005520BC">
        <w:rPr>
          <w:szCs w:val="18"/>
        </w:rPr>
        <w:t>The physicochemical properties of the three heavy crude oils are shown in Table 1</w:t>
      </w:r>
      <w:r w:rsidR="007D616A" w:rsidRPr="005520BC">
        <w:rPr>
          <w:szCs w:val="18"/>
        </w:rPr>
        <w:t>.</w:t>
      </w:r>
      <w:r w:rsidR="0026142F" w:rsidRPr="005520BC">
        <w:rPr>
          <w:szCs w:val="18"/>
        </w:rPr>
        <w:t xml:space="preserve"> The results show that the selected crude oils correspond to heavy crude oils (10 to 22.3 °API) and extra-heavy crude oils (less than 10 °API). On the other hand, the values ​​of the SARA compositional analysis and the viscosities indicate that the crude oils present a significant variation in their components. Likewise, the high distillation temperatures T</w:t>
      </w:r>
      <w:r w:rsidR="0026142F" w:rsidRPr="00B23E09">
        <w:rPr>
          <w:szCs w:val="18"/>
          <w:vertAlign w:val="subscript"/>
        </w:rPr>
        <w:t>50</w:t>
      </w:r>
      <w:r w:rsidR="0026142F" w:rsidRPr="005520BC">
        <w:rPr>
          <w:szCs w:val="18"/>
        </w:rPr>
        <w:t xml:space="preserve"> (50 % by weight of distilled sample) indicate that the crude oils are suitable for evaluating the effect of catalytic aquathermolysis (Li et al., 2018).</w:t>
      </w:r>
    </w:p>
    <w:p w14:paraId="5AE58E6B" w14:textId="2A580A58" w:rsidR="00F879FF" w:rsidRPr="005520BC" w:rsidRDefault="005E5128" w:rsidP="00954DAD">
      <w:pPr>
        <w:pStyle w:val="CETTabletitle"/>
        <w:rPr>
          <w:lang w:val="en-US"/>
        </w:rPr>
      </w:pPr>
      <w:r w:rsidRPr="005520BC">
        <w:rPr>
          <w:lang w:val="en-US"/>
        </w:rPr>
        <w:lastRenderedPageBreak/>
        <w:t>Tabl</w:t>
      </w:r>
      <w:r w:rsidR="00B83B6D" w:rsidRPr="005520BC">
        <w:rPr>
          <w:lang w:val="en-US"/>
        </w:rPr>
        <w:t>e</w:t>
      </w:r>
      <w:r w:rsidRPr="005520BC">
        <w:rPr>
          <w:lang w:val="en-US"/>
        </w:rPr>
        <w:t xml:space="preserve"> 1. </w:t>
      </w:r>
      <w:r w:rsidR="00BB6552" w:rsidRPr="005520BC">
        <w:rPr>
          <w:lang w:val="en-US"/>
        </w:rPr>
        <w:t>Physicochemical properties of Colombian crude oils</w:t>
      </w:r>
      <w:r w:rsidRPr="005520BC">
        <w:rPr>
          <w:lang w:val="en-US"/>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7"/>
        <w:gridCol w:w="850"/>
        <w:gridCol w:w="851"/>
        <w:gridCol w:w="850"/>
      </w:tblGrid>
      <w:tr w:rsidR="005520BC" w:rsidRPr="005520BC" w14:paraId="5E543DB3" w14:textId="77777777" w:rsidTr="00954DAD">
        <w:trPr>
          <w:trHeight w:val="227"/>
        </w:trPr>
        <w:tc>
          <w:tcPr>
            <w:tcW w:w="2127" w:type="dxa"/>
            <w:tcBorders>
              <w:top w:val="single" w:sz="12" w:space="0" w:color="008000"/>
              <w:bottom w:val="single" w:sz="6" w:space="0" w:color="008000"/>
            </w:tcBorders>
            <w:shd w:val="clear" w:color="auto" w:fill="FFFFFF"/>
          </w:tcPr>
          <w:p w14:paraId="339572F1" w14:textId="5E960169" w:rsidR="00295282" w:rsidRPr="005520BC" w:rsidRDefault="00295282" w:rsidP="001F22F3">
            <w:pPr>
              <w:pStyle w:val="CETBodytext"/>
              <w:jc w:val="center"/>
            </w:pPr>
            <w:r w:rsidRPr="005520BC">
              <w:t>Prop</w:t>
            </w:r>
            <w:r w:rsidR="002D3671" w:rsidRPr="005520BC">
              <w:t>erty</w:t>
            </w:r>
          </w:p>
        </w:tc>
        <w:tc>
          <w:tcPr>
            <w:tcW w:w="850" w:type="dxa"/>
            <w:tcBorders>
              <w:top w:val="single" w:sz="12" w:space="0" w:color="008000"/>
              <w:bottom w:val="single" w:sz="6" w:space="0" w:color="008000"/>
            </w:tcBorders>
            <w:shd w:val="clear" w:color="auto" w:fill="FFFFFF"/>
          </w:tcPr>
          <w:p w14:paraId="076759C0" w14:textId="773E9C4C" w:rsidR="00295282" w:rsidRPr="005520BC" w:rsidRDefault="00295282" w:rsidP="001F22F3">
            <w:pPr>
              <w:pStyle w:val="CETBodytext"/>
              <w:jc w:val="center"/>
            </w:pPr>
            <w:r w:rsidRPr="005520BC">
              <w:t>Crud</w:t>
            </w:r>
            <w:r w:rsidR="002D3671" w:rsidRPr="005520BC">
              <w:t>e</w:t>
            </w:r>
            <w:r w:rsidRPr="005520BC">
              <w:t xml:space="preserve"> A</w:t>
            </w:r>
          </w:p>
        </w:tc>
        <w:tc>
          <w:tcPr>
            <w:tcW w:w="851" w:type="dxa"/>
            <w:tcBorders>
              <w:top w:val="single" w:sz="12" w:space="0" w:color="008000"/>
              <w:bottom w:val="single" w:sz="6" w:space="0" w:color="008000"/>
            </w:tcBorders>
            <w:shd w:val="clear" w:color="auto" w:fill="FFFFFF"/>
          </w:tcPr>
          <w:p w14:paraId="22EAD831" w14:textId="4EF77158" w:rsidR="00295282" w:rsidRPr="005520BC" w:rsidRDefault="00295282" w:rsidP="001F22F3">
            <w:pPr>
              <w:pStyle w:val="CETBodytext"/>
              <w:jc w:val="center"/>
            </w:pPr>
            <w:r w:rsidRPr="005520BC">
              <w:t>Crud</w:t>
            </w:r>
            <w:r w:rsidR="002D3671" w:rsidRPr="005520BC">
              <w:t>e</w:t>
            </w:r>
            <w:r w:rsidRPr="005520BC">
              <w:t xml:space="preserve"> B</w:t>
            </w:r>
          </w:p>
        </w:tc>
        <w:tc>
          <w:tcPr>
            <w:tcW w:w="850" w:type="dxa"/>
            <w:tcBorders>
              <w:top w:val="single" w:sz="12" w:space="0" w:color="008000"/>
              <w:bottom w:val="single" w:sz="6" w:space="0" w:color="008000"/>
            </w:tcBorders>
            <w:shd w:val="clear" w:color="auto" w:fill="FFFFFF"/>
          </w:tcPr>
          <w:p w14:paraId="2674A78B" w14:textId="4ED6F2EE" w:rsidR="00295282" w:rsidRPr="005520BC" w:rsidRDefault="00295282" w:rsidP="001F22F3">
            <w:pPr>
              <w:pStyle w:val="CETBodytext"/>
              <w:ind w:right="-1"/>
              <w:jc w:val="center"/>
              <w:rPr>
                <w:rFonts w:cs="Arial"/>
                <w:szCs w:val="18"/>
              </w:rPr>
            </w:pPr>
            <w:r w:rsidRPr="005520BC">
              <w:t>Crud</w:t>
            </w:r>
            <w:r w:rsidR="002D3671" w:rsidRPr="005520BC">
              <w:t>e</w:t>
            </w:r>
            <w:r w:rsidRPr="005520BC">
              <w:t xml:space="preserve"> C</w:t>
            </w:r>
          </w:p>
        </w:tc>
      </w:tr>
      <w:tr w:rsidR="005520BC" w:rsidRPr="005520BC" w14:paraId="3866B23A" w14:textId="77777777" w:rsidTr="00954DAD">
        <w:trPr>
          <w:trHeight w:val="227"/>
        </w:trPr>
        <w:tc>
          <w:tcPr>
            <w:tcW w:w="2127" w:type="dxa"/>
            <w:shd w:val="clear" w:color="auto" w:fill="FFFFFF"/>
          </w:tcPr>
          <w:p w14:paraId="60CFE620" w14:textId="5855FFE2" w:rsidR="00295282" w:rsidRPr="005520BC" w:rsidRDefault="002D3671" w:rsidP="001F22F3">
            <w:pPr>
              <w:pStyle w:val="CETBodytext"/>
              <w:jc w:val="center"/>
            </w:pPr>
            <w:r w:rsidRPr="005520BC">
              <w:t>API Gravity</w:t>
            </w:r>
          </w:p>
        </w:tc>
        <w:tc>
          <w:tcPr>
            <w:tcW w:w="850" w:type="dxa"/>
            <w:shd w:val="clear" w:color="auto" w:fill="FFFFFF"/>
          </w:tcPr>
          <w:p w14:paraId="22BC3B42" w14:textId="383FDC4B" w:rsidR="00295282" w:rsidRPr="005520BC" w:rsidRDefault="00295282" w:rsidP="001F22F3">
            <w:pPr>
              <w:pStyle w:val="CETBodytext"/>
              <w:jc w:val="center"/>
            </w:pPr>
            <w:r w:rsidRPr="005520BC">
              <w:t>7.8</w:t>
            </w:r>
          </w:p>
        </w:tc>
        <w:tc>
          <w:tcPr>
            <w:tcW w:w="851" w:type="dxa"/>
            <w:shd w:val="clear" w:color="auto" w:fill="FFFFFF"/>
          </w:tcPr>
          <w:p w14:paraId="2A3A2074" w14:textId="04F2F1A1" w:rsidR="00295282" w:rsidRPr="005520BC" w:rsidRDefault="00295282" w:rsidP="001F22F3">
            <w:pPr>
              <w:pStyle w:val="CETBodytext"/>
              <w:jc w:val="center"/>
            </w:pPr>
            <w:r w:rsidRPr="005520BC">
              <w:t>12.3</w:t>
            </w:r>
          </w:p>
        </w:tc>
        <w:tc>
          <w:tcPr>
            <w:tcW w:w="850" w:type="dxa"/>
            <w:shd w:val="clear" w:color="auto" w:fill="FFFFFF"/>
          </w:tcPr>
          <w:p w14:paraId="12FBD4F1" w14:textId="5A87441F" w:rsidR="00295282" w:rsidRPr="005520BC" w:rsidRDefault="00295282" w:rsidP="001F22F3">
            <w:pPr>
              <w:pStyle w:val="CETBodytext"/>
              <w:ind w:right="-1"/>
              <w:jc w:val="center"/>
              <w:rPr>
                <w:rFonts w:cs="Arial"/>
                <w:szCs w:val="18"/>
              </w:rPr>
            </w:pPr>
            <w:r w:rsidRPr="005520BC">
              <w:t>12.4</w:t>
            </w:r>
          </w:p>
        </w:tc>
      </w:tr>
      <w:tr w:rsidR="005520BC" w:rsidRPr="005520BC" w14:paraId="63D6195A" w14:textId="77777777" w:rsidTr="00954DAD">
        <w:trPr>
          <w:trHeight w:val="227"/>
        </w:trPr>
        <w:tc>
          <w:tcPr>
            <w:tcW w:w="2127" w:type="dxa"/>
            <w:shd w:val="clear" w:color="auto" w:fill="FFFFFF"/>
          </w:tcPr>
          <w:p w14:paraId="5B2E6461" w14:textId="4520AD51" w:rsidR="00295282" w:rsidRPr="005520BC" w:rsidRDefault="00295282" w:rsidP="001F22F3">
            <w:pPr>
              <w:pStyle w:val="CETBodytext"/>
              <w:jc w:val="center"/>
            </w:pPr>
            <w:r w:rsidRPr="005520BC">
              <w:t>Satura</w:t>
            </w:r>
            <w:r w:rsidR="002D3671" w:rsidRPr="005520BC">
              <w:t>tes</w:t>
            </w:r>
            <w:r w:rsidRPr="005520BC">
              <w:t xml:space="preserve"> %</w:t>
            </w:r>
            <w:r w:rsidR="00ED547C" w:rsidRPr="005520BC">
              <w:t xml:space="preserve"> by weight</w:t>
            </w:r>
          </w:p>
        </w:tc>
        <w:tc>
          <w:tcPr>
            <w:tcW w:w="850" w:type="dxa"/>
            <w:shd w:val="clear" w:color="auto" w:fill="FFFFFF"/>
          </w:tcPr>
          <w:p w14:paraId="1DCDD3A1" w14:textId="7F3CD69F" w:rsidR="00295282" w:rsidRPr="005520BC" w:rsidRDefault="00295282" w:rsidP="001F22F3">
            <w:pPr>
              <w:pStyle w:val="CETBodytext"/>
              <w:jc w:val="center"/>
            </w:pPr>
            <w:r w:rsidRPr="005520BC">
              <w:t>47.2</w:t>
            </w:r>
          </w:p>
        </w:tc>
        <w:tc>
          <w:tcPr>
            <w:tcW w:w="851" w:type="dxa"/>
            <w:shd w:val="clear" w:color="auto" w:fill="FFFFFF"/>
          </w:tcPr>
          <w:p w14:paraId="7C3C7AA9" w14:textId="5C027BC9" w:rsidR="00295282" w:rsidRPr="005520BC" w:rsidRDefault="00295282" w:rsidP="001F22F3">
            <w:pPr>
              <w:pStyle w:val="CETBodytext"/>
              <w:jc w:val="center"/>
            </w:pPr>
            <w:r w:rsidRPr="005520BC">
              <w:t>42.9</w:t>
            </w:r>
          </w:p>
        </w:tc>
        <w:tc>
          <w:tcPr>
            <w:tcW w:w="850" w:type="dxa"/>
            <w:shd w:val="clear" w:color="auto" w:fill="FFFFFF"/>
          </w:tcPr>
          <w:p w14:paraId="373AA7EC" w14:textId="124D4144" w:rsidR="00295282" w:rsidRPr="005520BC" w:rsidRDefault="00295282" w:rsidP="001F22F3">
            <w:pPr>
              <w:pStyle w:val="CETBodytext"/>
              <w:ind w:right="-1"/>
              <w:jc w:val="center"/>
              <w:rPr>
                <w:rFonts w:cs="Arial"/>
                <w:szCs w:val="18"/>
              </w:rPr>
            </w:pPr>
            <w:r w:rsidRPr="005520BC">
              <w:t>30.4</w:t>
            </w:r>
          </w:p>
        </w:tc>
      </w:tr>
      <w:tr w:rsidR="005520BC" w:rsidRPr="005520BC" w14:paraId="66599B34" w14:textId="77777777" w:rsidTr="00954DAD">
        <w:trPr>
          <w:trHeight w:val="227"/>
        </w:trPr>
        <w:tc>
          <w:tcPr>
            <w:tcW w:w="2127" w:type="dxa"/>
            <w:shd w:val="clear" w:color="auto" w:fill="FFFFFF"/>
          </w:tcPr>
          <w:p w14:paraId="5BB4C844" w14:textId="72CC76F6" w:rsidR="00295282" w:rsidRPr="005520BC" w:rsidRDefault="00295282" w:rsidP="001F22F3">
            <w:pPr>
              <w:pStyle w:val="CETBodytext"/>
              <w:jc w:val="center"/>
            </w:pPr>
            <w:r w:rsidRPr="005520BC">
              <w:t>Arom</w:t>
            </w:r>
            <w:r w:rsidR="00247612" w:rsidRPr="005520BC">
              <w:t>atics</w:t>
            </w:r>
            <w:r w:rsidR="00ED547C" w:rsidRPr="005520BC">
              <w:t xml:space="preserve"> </w:t>
            </w:r>
            <w:r w:rsidR="00247612" w:rsidRPr="005520BC">
              <w:t>%</w:t>
            </w:r>
            <w:r w:rsidR="00C24676" w:rsidRPr="005520BC">
              <w:t xml:space="preserve"> by weight</w:t>
            </w:r>
          </w:p>
        </w:tc>
        <w:tc>
          <w:tcPr>
            <w:tcW w:w="850" w:type="dxa"/>
            <w:shd w:val="clear" w:color="auto" w:fill="FFFFFF"/>
          </w:tcPr>
          <w:p w14:paraId="4173D16A" w14:textId="327DF30B" w:rsidR="00295282" w:rsidRPr="005520BC" w:rsidRDefault="00295282" w:rsidP="001F22F3">
            <w:pPr>
              <w:pStyle w:val="CETBodytext"/>
              <w:jc w:val="center"/>
            </w:pPr>
            <w:r w:rsidRPr="005520BC">
              <w:t>16.8</w:t>
            </w:r>
          </w:p>
        </w:tc>
        <w:tc>
          <w:tcPr>
            <w:tcW w:w="851" w:type="dxa"/>
            <w:shd w:val="clear" w:color="auto" w:fill="FFFFFF"/>
          </w:tcPr>
          <w:p w14:paraId="13359AE4" w14:textId="24E1BB4C" w:rsidR="00295282" w:rsidRPr="005520BC" w:rsidRDefault="00295282" w:rsidP="001F22F3">
            <w:pPr>
              <w:pStyle w:val="CETBodytext"/>
              <w:jc w:val="center"/>
            </w:pPr>
            <w:r w:rsidRPr="005520BC">
              <w:t>22.8</w:t>
            </w:r>
          </w:p>
        </w:tc>
        <w:tc>
          <w:tcPr>
            <w:tcW w:w="850" w:type="dxa"/>
            <w:shd w:val="clear" w:color="auto" w:fill="FFFFFF"/>
          </w:tcPr>
          <w:p w14:paraId="0A83C5F8" w14:textId="38CD85AD" w:rsidR="00295282" w:rsidRPr="005520BC" w:rsidRDefault="00295282" w:rsidP="001F22F3">
            <w:pPr>
              <w:pStyle w:val="CETBodytext"/>
              <w:ind w:right="-1"/>
              <w:jc w:val="center"/>
              <w:rPr>
                <w:rFonts w:cs="Arial"/>
                <w:szCs w:val="18"/>
              </w:rPr>
            </w:pPr>
            <w:r w:rsidRPr="005520BC">
              <w:t>20.9</w:t>
            </w:r>
          </w:p>
        </w:tc>
      </w:tr>
      <w:tr w:rsidR="005520BC" w:rsidRPr="005520BC" w14:paraId="545BD705" w14:textId="77777777" w:rsidTr="00954DAD">
        <w:trPr>
          <w:trHeight w:val="227"/>
        </w:trPr>
        <w:tc>
          <w:tcPr>
            <w:tcW w:w="2127" w:type="dxa"/>
            <w:shd w:val="clear" w:color="auto" w:fill="FFFFFF"/>
          </w:tcPr>
          <w:p w14:paraId="78C724E4" w14:textId="28FCA22C" w:rsidR="00295282" w:rsidRPr="005520BC" w:rsidRDefault="00295282" w:rsidP="001F22F3">
            <w:pPr>
              <w:pStyle w:val="CETBodytext"/>
              <w:jc w:val="center"/>
            </w:pPr>
            <w:r w:rsidRPr="005520BC">
              <w:t>Resins</w:t>
            </w:r>
            <w:r w:rsidR="00ED547C" w:rsidRPr="005520BC">
              <w:t xml:space="preserve"> </w:t>
            </w:r>
            <w:r w:rsidR="00247612" w:rsidRPr="005520BC">
              <w:t>%</w:t>
            </w:r>
            <w:r w:rsidR="00C24676" w:rsidRPr="005520BC">
              <w:t xml:space="preserve"> by weight</w:t>
            </w:r>
          </w:p>
        </w:tc>
        <w:tc>
          <w:tcPr>
            <w:tcW w:w="850" w:type="dxa"/>
            <w:shd w:val="clear" w:color="auto" w:fill="FFFFFF"/>
          </w:tcPr>
          <w:p w14:paraId="0ADF4747" w14:textId="2C33F5BD" w:rsidR="00295282" w:rsidRPr="005520BC" w:rsidRDefault="00295282" w:rsidP="001F22F3">
            <w:pPr>
              <w:pStyle w:val="CETBodytext"/>
              <w:jc w:val="center"/>
            </w:pPr>
            <w:r w:rsidRPr="005520BC">
              <w:t>20.2</w:t>
            </w:r>
          </w:p>
        </w:tc>
        <w:tc>
          <w:tcPr>
            <w:tcW w:w="851" w:type="dxa"/>
            <w:shd w:val="clear" w:color="auto" w:fill="FFFFFF"/>
          </w:tcPr>
          <w:p w14:paraId="32BE196E" w14:textId="60670E8E" w:rsidR="00295282" w:rsidRPr="005520BC" w:rsidRDefault="00295282" w:rsidP="001F22F3">
            <w:pPr>
              <w:pStyle w:val="CETBodytext"/>
              <w:jc w:val="center"/>
            </w:pPr>
            <w:r w:rsidRPr="005520BC">
              <w:t>30.6</w:t>
            </w:r>
          </w:p>
        </w:tc>
        <w:tc>
          <w:tcPr>
            <w:tcW w:w="850" w:type="dxa"/>
            <w:shd w:val="clear" w:color="auto" w:fill="FFFFFF"/>
          </w:tcPr>
          <w:p w14:paraId="41E25200" w14:textId="3F8E0BA0" w:rsidR="00295282" w:rsidRPr="005520BC" w:rsidRDefault="00295282" w:rsidP="001F22F3">
            <w:pPr>
              <w:pStyle w:val="CETBodytext"/>
              <w:ind w:right="-1"/>
              <w:jc w:val="center"/>
              <w:rPr>
                <w:rFonts w:cs="Arial"/>
                <w:szCs w:val="18"/>
              </w:rPr>
            </w:pPr>
            <w:r w:rsidRPr="005520BC">
              <w:t>29.3</w:t>
            </w:r>
          </w:p>
        </w:tc>
      </w:tr>
      <w:tr w:rsidR="005520BC" w:rsidRPr="005520BC" w14:paraId="61573A19" w14:textId="77777777" w:rsidTr="00954DAD">
        <w:trPr>
          <w:trHeight w:val="227"/>
        </w:trPr>
        <w:tc>
          <w:tcPr>
            <w:tcW w:w="2127" w:type="dxa"/>
            <w:shd w:val="clear" w:color="auto" w:fill="FFFFFF"/>
          </w:tcPr>
          <w:p w14:paraId="25A803DB" w14:textId="7EE62D8D" w:rsidR="00295282" w:rsidRPr="005520BC" w:rsidRDefault="00295282" w:rsidP="001F22F3">
            <w:pPr>
              <w:pStyle w:val="CETBodytext"/>
              <w:jc w:val="center"/>
            </w:pPr>
            <w:r w:rsidRPr="005520BC">
              <w:t>As</w:t>
            </w:r>
            <w:r w:rsidR="00247612" w:rsidRPr="005520BC">
              <w:t>phaltenes</w:t>
            </w:r>
            <w:r w:rsidR="00ED547C" w:rsidRPr="005520BC">
              <w:t xml:space="preserve"> </w:t>
            </w:r>
            <w:r w:rsidR="00247612" w:rsidRPr="005520BC">
              <w:t>%</w:t>
            </w:r>
            <w:r w:rsidR="00C24676" w:rsidRPr="005520BC">
              <w:t xml:space="preserve"> by weight</w:t>
            </w:r>
          </w:p>
        </w:tc>
        <w:tc>
          <w:tcPr>
            <w:tcW w:w="850" w:type="dxa"/>
            <w:shd w:val="clear" w:color="auto" w:fill="FFFFFF"/>
          </w:tcPr>
          <w:p w14:paraId="39A8B775" w14:textId="41C869D4" w:rsidR="00295282" w:rsidRPr="005520BC" w:rsidRDefault="00295282" w:rsidP="001F22F3">
            <w:pPr>
              <w:pStyle w:val="CETBodytext"/>
              <w:jc w:val="center"/>
            </w:pPr>
            <w:r w:rsidRPr="005520BC">
              <w:t>15.8</w:t>
            </w:r>
          </w:p>
        </w:tc>
        <w:tc>
          <w:tcPr>
            <w:tcW w:w="851" w:type="dxa"/>
            <w:shd w:val="clear" w:color="auto" w:fill="FFFFFF"/>
          </w:tcPr>
          <w:p w14:paraId="1892E79C" w14:textId="4090B7DE" w:rsidR="00295282" w:rsidRPr="005520BC" w:rsidRDefault="00295282" w:rsidP="001F22F3">
            <w:pPr>
              <w:pStyle w:val="CETBodytext"/>
              <w:jc w:val="center"/>
            </w:pPr>
            <w:r w:rsidRPr="005520BC">
              <w:t>3.7</w:t>
            </w:r>
          </w:p>
        </w:tc>
        <w:tc>
          <w:tcPr>
            <w:tcW w:w="850" w:type="dxa"/>
            <w:shd w:val="clear" w:color="auto" w:fill="FFFFFF"/>
          </w:tcPr>
          <w:p w14:paraId="56CC18EC" w14:textId="4760C16E" w:rsidR="00295282" w:rsidRPr="005520BC" w:rsidRDefault="00295282" w:rsidP="001F22F3">
            <w:pPr>
              <w:pStyle w:val="CETBodytext"/>
              <w:ind w:right="-1"/>
              <w:jc w:val="center"/>
              <w:rPr>
                <w:rFonts w:cs="Arial"/>
                <w:szCs w:val="18"/>
              </w:rPr>
            </w:pPr>
            <w:r w:rsidRPr="005520BC">
              <w:t>19.5</w:t>
            </w:r>
          </w:p>
        </w:tc>
      </w:tr>
      <w:tr w:rsidR="005520BC" w:rsidRPr="005520BC" w14:paraId="4D328449" w14:textId="77777777" w:rsidTr="00954DAD">
        <w:trPr>
          <w:trHeight w:val="227"/>
        </w:trPr>
        <w:tc>
          <w:tcPr>
            <w:tcW w:w="2127" w:type="dxa"/>
            <w:tcBorders>
              <w:bottom w:val="single" w:sz="4" w:space="0" w:color="9BBB59" w:themeColor="accent3"/>
            </w:tcBorders>
            <w:shd w:val="clear" w:color="auto" w:fill="FFFFFF"/>
          </w:tcPr>
          <w:p w14:paraId="56D02C71" w14:textId="3F7446A0" w:rsidR="00295282" w:rsidRPr="005520BC" w:rsidRDefault="00295282" w:rsidP="001F22F3">
            <w:pPr>
              <w:pStyle w:val="CETBodytext"/>
              <w:ind w:right="-1"/>
              <w:jc w:val="center"/>
              <w:rPr>
                <w:rFonts w:cs="Arial"/>
                <w:szCs w:val="18"/>
              </w:rPr>
            </w:pPr>
            <w:r w:rsidRPr="005520BC">
              <w:t>viscosi</w:t>
            </w:r>
            <w:r w:rsidR="00247612" w:rsidRPr="005520BC">
              <w:t>ty</w:t>
            </w:r>
            <w:r w:rsidRPr="005520BC">
              <w:t xml:space="preserve"> cP</w:t>
            </w:r>
            <w:r w:rsidR="00901B70" w:rsidRPr="005520BC">
              <w:t>,</w:t>
            </w:r>
            <w:r w:rsidRPr="005520BC">
              <w:t xml:space="preserve"> </w:t>
            </w:r>
            <w:r w:rsidR="00247612" w:rsidRPr="005520BC">
              <w:t>(</w:t>
            </w:r>
            <w:r w:rsidRPr="005520BC">
              <w:t>@ 45 °C</w:t>
            </w:r>
            <w:r w:rsidR="00247612" w:rsidRPr="005520BC">
              <w:t>)</w:t>
            </w:r>
          </w:p>
        </w:tc>
        <w:tc>
          <w:tcPr>
            <w:tcW w:w="850" w:type="dxa"/>
            <w:tcBorders>
              <w:bottom w:val="single" w:sz="4" w:space="0" w:color="9BBB59" w:themeColor="accent3"/>
            </w:tcBorders>
            <w:shd w:val="clear" w:color="auto" w:fill="FFFFFF"/>
          </w:tcPr>
          <w:p w14:paraId="0B45CEEF" w14:textId="1444DAFF" w:rsidR="00295282" w:rsidRPr="005520BC" w:rsidRDefault="00295282" w:rsidP="001F22F3">
            <w:pPr>
              <w:pStyle w:val="CETBodytext"/>
              <w:ind w:right="-1"/>
              <w:jc w:val="center"/>
              <w:rPr>
                <w:rFonts w:cs="Arial"/>
                <w:szCs w:val="18"/>
              </w:rPr>
            </w:pPr>
            <w:r w:rsidRPr="005520BC">
              <w:t>372529</w:t>
            </w:r>
          </w:p>
        </w:tc>
        <w:tc>
          <w:tcPr>
            <w:tcW w:w="851" w:type="dxa"/>
            <w:tcBorders>
              <w:bottom w:val="single" w:sz="4" w:space="0" w:color="9BBB59" w:themeColor="accent3"/>
            </w:tcBorders>
            <w:shd w:val="clear" w:color="auto" w:fill="FFFFFF"/>
          </w:tcPr>
          <w:p w14:paraId="10205F2C" w14:textId="73A02FEC" w:rsidR="00295282" w:rsidRPr="005520BC" w:rsidRDefault="00295282" w:rsidP="001F22F3">
            <w:pPr>
              <w:pStyle w:val="CETBodytext"/>
              <w:ind w:right="-1"/>
              <w:jc w:val="center"/>
              <w:rPr>
                <w:rFonts w:cs="Arial"/>
                <w:szCs w:val="18"/>
              </w:rPr>
            </w:pPr>
            <w:r w:rsidRPr="005520BC">
              <w:t>8317</w:t>
            </w:r>
          </w:p>
        </w:tc>
        <w:tc>
          <w:tcPr>
            <w:tcW w:w="850" w:type="dxa"/>
            <w:tcBorders>
              <w:bottom w:val="single" w:sz="4" w:space="0" w:color="9BBB59" w:themeColor="accent3"/>
            </w:tcBorders>
            <w:shd w:val="clear" w:color="auto" w:fill="FFFFFF"/>
          </w:tcPr>
          <w:p w14:paraId="44EFE53D" w14:textId="47222C43" w:rsidR="00295282" w:rsidRPr="005520BC" w:rsidRDefault="00295282" w:rsidP="001F22F3">
            <w:pPr>
              <w:pStyle w:val="CETBodytext"/>
              <w:ind w:right="-1"/>
              <w:jc w:val="center"/>
              <w:rPr>
                <w:rFonts w:cs="Arial"/>
                <w:szCs w:val="18"/>
              </w:rPr>
            </w:pPr>
            <w:r w:rsidRPr="005520BC">
              <w:t>42658</w:t>
            </w:r>
          </w:p>
        </w:tc>
      </w:tr>
      <w:tr w:rsidR="005520BC" w:rsidRPr="005520BC" w14:paraId="64B51011" w14:textId="77777777" w:rsidTr="00954DAD">
        <w:trPr>
          <w:trHeight w:val="227"/>
        </w:trPr>
        <w:tc>
          <w:tcPr>
            <w:tcW w:w="4678" w:type="dxa"/>
            <w:gridSpan w:val="4"/>
            <w:tcBorders>
              <w:top w:val="single" w:sz="4" w:space="0" w:color="9BBB59" w:themeColor="accent3"/>
              <w:bottom w:val="single" w:sz="4" w:space="0" w:color="9BBB59" w:themeColor="accent3"/>
            </w:tcBorders>
            <w:shd w:val="clear" w:color="auto" w:fill="FFFFFF"/>
          </w:tcPr>
          <w:p w14:paraId="67E203B4" w14:textId="43452CB7" w:rsidR="007C59C2" w:rsidRPr="005520BC" w:rsidRDefault="00C233F2" w:rsidP="001F22F3">
            <w:pPr>
              <w:pStyle w:val="CETBodytext"/>
              <w:ind w:right="-1"/>
              <w:jc w:val="center"/>
            </w:pPr>
            <w:r w:rsidRPr="005520BC">
              <w:t>Simulated distillation</w:t>
            </w:r>
            <w:r w:rsidR="00247612" w:rsidRPr="005520BC">
              <w:t xml:space="preserve"> </w:t>
            </w:r>
            <w:r w:rsidR="00B40CAC" w:rsidRPr="005520BC">
              <w:t>(</w:t>
            </w:r>
            <w:r w:rsidR="007C59C2" w:rsidRPr="005520BC">
              <w:t>ASTMD7169</w:t>
            </w:r>
            <w:r w:rsidR="00B40CAC" w:rsidRPr="005520BC">
              <w:t>)</w:t>
            </w:r>
          </w:p>
        </w:tc>
      </w:tr>
      <w:tr w:rsidR="005520BC" w:rsidRPr="005520BC" w14:paraId="4687F752" w14:textId="77777777" w:rsidTr="00954DAD">
        <w:trPr>
          <w:trHeight w:val="227"/>
        </w:trPr>
        <w:tc>
          <w:tcPr>
            <w:tcW w:w="2127" w:type="dxa"/>
            <w:tcBorders>
              <w:top w:val="single" w:sz="4" w:space="0" w:color="9BBB59" w:themeColor="accent3"/>
            </w:tcBorders>
            <w:shd w:val="clear" w:color="auto" w:fill="FFFFFF"/>
          </w:tcPr>
          <w:p w14:paraId="2A79F0DE" w14:textId="104B3BA0" w:rsidR="00D40A44" w:rsidRPr="005520BC" w:rsidRDefault="005345FE" w:rsidP="001F22F3">
            <w:pPr>
              <w:pStyle w:val="CETBodytext"/>
              <w:ind w:right="-1"/>
              <w:jc w:val="center"/>
            </w:pPr>
            <w:r w:rsidRPr="005520BC">
              <w:t>T</w:t>
            </w:r>
            <w:r w:rsidR="00D40A44" w:rsidRPr="006F5ED0">
              <w:rPr>
                <w:vertAlign w:val="subscript"/>
              </w:rPr>
              <w:t>5</w:t>
            </w:r>
            <w:r w:rsidRPr="005520BC">
              <w:t>, °C</w:t>
            </w:r>
          </w:p>
        </w:tc>
        <w:tc>
          <w:tcPr>
            <w:tcW w:w="850" w:type="dxa"/>
            <w:tcBorders>
              <w:top w:val="single" w:sz="4" w:space="0" w:color="9BBB59" w:themeColor="accent3"/>
            </w:tcBorders>
            <w:shd w:val="clear" w:color="auto" w:fill="FFFFFF"/>
          </w:tcPr>
          <w:p w14:paraId="231A3B02" w14:textId="3C5ADCEB" w:rsidR="00D40A44" w:rsidRPr="005520BC" w:rsidRDefault="00D40A44" w:rsidP="001F22F3">
            <w:pPr>
              <w:pStyle w:val="CETBodytext"/>
              <w:ind w:right="-1"/>
              <w:jc w:val="center"/>
            </w:pPr>
            <w:r w:rsidRPr="005520BC">
              <w:t>264.6</w:t>
            </w:r>
          </w:p>
        </w:tc>
        <w:tc>
          <w:tcPr>
            <w:tcW w:w="851" w:type="dxa"/>
            <w:tcBorders>
              <w:top w:val="single" w:sz="4" w:space="0" w:color="9BBB59" w:themeColor="accent3"/>
            </w:tcBorders>
            <w:shd w:val="clear" w:color="auto" w:fill="FFFFFF"/>
          </w:tcPr>
          <w:p w14:paraId="405684B5" w14:textId="04D9F413" w:rsidR="00D40A44" w:rsidRPr="005520BC" w:rsidRDefault="00D40A44" w:rsidP="001F22F3">
            <w:pPr>
              <w:pStyle w:val="CETBodytext"/>
              <w:ind w:right="-1"/>
              <w:jc w:val="center"/>
            </w:pPr>
            <w:r w:rsidRPr="005520BC">
              <w:t>278.7</w:t>
            </w:r>
          </w:p>
        </w:tc>
        <w:tc>
          <w:tcPr>
            <w:tcW w:w="850" w:type="dxa"/>
            <w:tcBorders>
              <w:top w:val="single" w:sz="4" w:space="0" w:color="9BBB59" w:themeColor="accent3"/>
            </w:tcBorders>
            <w:shd w:val="clear" w:color="auto" w:fill="FFFFFF"/>
          </w:tcPr>
          <w:p w14:paraId="522DEA72" w14:textId="38752211" w:rsidR="00D40A44" w:rsidRPr="005520BC" w:rsidRDefault="00D40A44" w:rsidP="001F22F3">
            <w:pPr>
              <w:pStyle w:val="CETBodytext"/>
              <w:ind w:right="-1"/>
              <w:jc w:val="center"/>
            </w:pPr>
            <w:r w:rsidRPr="005520BC">
              <w:t>213.5</w:t>
            </w:r>
          </w:p>
        </w:tc>
      </w:tr>
      <w:tr w:rsidR="005520BC" w:rsidRPr="005520BC" w14:paraId="40103212" w14:textId="77777777" w:rsidTr="00954DAD">
        <w:trPr>
          <w:trHeight w:val="227"/>
        </w:trPr>
        <w:tc>
          <w:tcPr>
            <w:tcW w:w="2127" w:type="dxa"/>
            <w:shd w:val="clear" w:color="auto" w:fill="FFFFFF"/>
          </w:tcPr>
          <w:p w14:paraId="77C660E7" w14:textId="1C5C44AC" w:rsidR="00B62208" w:rsidRPr="005520BC" w:rsidRDefault="005345FE" w:rsidP="001F22F3">
            <w:pPr>
              <w:pStyle w:val="CETBodytext"/>
              <w:ind w:right="-1"/>
              <w:jc w:val="center"/>
            </w:pPr>
            <w:r w:rsidRPr="005520BC">
              <w:t>T</w:t>
            </w:r>
            <w:r w:rsidR="00B62208" w:rsidRPr="006F5ED0">
              <w:rPr>
                <w:vertAlign w:val="subscript"/>
              </w:rPr>
              <w:t>10</w:t>
            </w:r>
            <w:r w:rsidRPr="005520BC">
              <w:t>, °C</w:t>
            </w:r>
          </w:p>
        </w:tc>
        <w:tc>
          <w:tcPr>
            <w:tcW w:w="850" w:type="dxa"/>
            <w:shd w:val="clear" w:color="auto" w:fill="FFFFFF"/>
          </w:tcPr>
          <w:p w14:paraId="10807D60" w14:textId="53C7C1C5" w:rsidR="00B62208" w:rsidRPr="005520BC" w:rsidRDefault="00B62208" w:rsidP="001F22F3">
            <w:pPr>
              <w:pStyle w:val="CETBodytext"/>
              <w:ind w:right="-1"/>
              <w:jc w:val="center"/>
            </w:pPr>
            <w:r w:rsidRPr="005520BC">
              <w:t>318.3</w:t>
            </w:r>
          </w:p>
        </w:tc>
        <w:tc>
          <w:tcPr>
            <w:tcW w:w="851" w:type="dxa"/>
            <w:shd w:val="clear" w:color="auto" w:fill="FFFFFF"/>
          </w:tcPr>
          <w:p w14:paraId="2C567E4E" w14:textId="31617E21" w:rsidR="00B62208" w:rsidRPr="005520BC" w:rsidRDefault="00B62208" w:rsidP="001F22F3">
            <w:pPr>
              <w:pStyle w:val="CETBodytext"/>
              <w:ind w:right="-1"/>
              <w:jc w:val="center"/>
            </w:pPr>
            <w:r w:rsidRPr="005520BC">
              <w:t>319.5</w:t>
            </w:r>
          </w:p>
        </w:tc>
        <w:tc>
          <w:tcPr>
            <w:tcW w:w="850" w:type="dxa"/>
            <w:shd w:val="clear" w:color="auto" w:fill="FFFFFF"/>
          </w:tcPr>
          <w:p w14:paraId="0D38332E" w14:textId="0430907C" w:rsidR="00B62208" w:rsidRPr="005520BC" w:rsidRDefault="00B62208" w:rsidP="001F22F3">
            <w:pPr>
              <w:pStyle w:val="CETBodytext"/>
              <w:ind w:right="-1"/>
              <w:jc w:val="center"/>
            </w:pPr>
            <w:r w:rsidRPr="005520BC">
              <w:t>272.5</w:t>
            </w:r>
          </w:p>
        </w:tc>
      </w:tr>
      <w:tr w:rsidR="005520BC" w:rsidRPr="005520BC" w14:paraId="0CE7FFB0" w14:textId="77777777" w:rsidTr="00954DAD">
        <w:trPr>
          <w:trHeight w:val="227"/>
        </w:trPr>
        <w:tc>
          <w:tcPr>
            <w:tcW w:w="2127" w:type="dxa"/>
            <w:shd w:val="clear" w:color="auto" w:fill="FFFFFF"/>
          </w:tcPr>
          <w:p w14:paraId="20105ECA" w14:textId="1AC33322" w:rsidR="00B62208" w:rsidRPr="005520BC" w:rsidRDefault="005345FE" w:rsidP="001F22F3">
            <w:pPr>
              <w:pStyle w:val="CETBodytext"/>
              <w:ind w:right="-1"/>
              <w:jc w:val="center"/>
            </w:pPr>
            <w:r w:rsidRPr="005520BC">
              <w:t>T</w:t>
            </w:r>
            <w:r w:rsidR="00B62208" w:rsidRPr="006F5ED0">
              <w:rPr>
                <w:vertAlign w:val="subscript"/>
              </w:rPr>
              <w:t>30</w:t>
            </w:r>
            <w:r w:rsidRPr="005520BC">
              <w:t>, °C</w:t>
            </w:r>
          </w:p>
        </w:tc>
        <w:tc>
          <w:tcPr>
            <w:tcW w:w="850" w:type="dxa"/>
            <w:shd w:val="clear" w:color="auto" w:fill="FFFFFF"/>
          </w:tcPr>
          <w:p w14:paraId="2F113437" w14:textId="26650783" w:rsidR="00B62208" w:rsidRPr="005520BC" w:rsidRDefault="00B62208" w:rsidP="001F22F3">
            <w:pPr>
              <w:pStyle w:val="CETBodytext"/>
              <w:ind w:right="-1"/>
              <w:jc w:val="center"/>
            </w:pPr>
            <w:r w:rsidRPr="005520BC">
              <w:t>466.1</w:t>
            </w:r>
          </w:p>
        </w:tc>
        <w:tc>
          <w:tcPr>
            <w:tcW w:w="851" w:type="dxa"/>
            <w:shd w:val="clear" w:color="auto" w:fill="FFFFFF"/>
          </w:tcPr>
          <w:p w14:paraId="420CEABC" w14:textId="0CDDE491" w:rsidR="00B62208" w:rsidRPr="005520BC" w:rsidRDefault="00B62208" w:rsidP="001F22F3">
            <w:pPr>
              <w:pStyle w:val="CETBodytext"/>
              <w:ind w:right="-1"/>
              <w:jc w:val="center"/>
            </w:pPr>
            <w:r w:rsidRPr="005520BC">
              <w:t>430.3</w:t>
            </w:r>
          </w:p>
        </w:tc>
        <w:tc>
          <w:tcPr>
            <w:tcW w:w="850" w:type="dxa"/>
            <w:shd w:val="clear" w:color="auto" w:fill="FFFFFF"/>
          </w:tcPr>
          <w:p w14:paraId="04961673" w14:textId="37963617" w:rsidR="00B62208" w:rsidRPr="005520BC" w:rsidRDefault="00B62208" w:rsidP="001F22F3">
            <w:pPr>
              <w:pStyle w:val="CETBodytext"/>
              <w:ind w:right="-1"/>
              <w:jc w:val="center"/>
            </w:pPr>
            <w:r w:rsidRPr="005520BC">
              <w:t>423.4</w:t>
            </w:r>
          </w:p>
        </w:tc>
      </w:tr>
      <w:tr w:rsidR="005520BC" w:rsidRPr="005520BC" w14:paraId="39E055BD" w14:textId="77777777" w:rsidTr="00954DAD">
        <w:trPr>
          <w:trHeight w:val="227"/>
        </w:trPr>
        <w:tc>
          <w:tcPr>
            <w:tcW w:w="2127" w:type="dxa"/>
            <w:shd w:val="clear" w:color="auto" w:fill="FFFFFF"/>
          </w:tcPr>
          <w:p w14:paraId="2873D146" w14:textId="4D8D5F1D" w:rsidR="00B62208" w:rsidRPr="005520BC" w:rsidRDefault="005345FE" w:rsidP="001F22F3">
            <w:pPr>
              <w:pStyle w:val="CETBodytext"/>
              <w:ind w:right="-1"/>
              <w:jc w:val="center"/>
            </w:pPr>
            <w:r w:rsidRPr="005520BC">
              <w:t>T</w:t>
            </w:r>
            <w:r w:rsidR="00B62208" w:rsidRPr="006F5ED0">
              <w:rPr>
                <w:vertAlign w:val="subscript"/>
              </w:rPr>
              <w:t>50</w:t>
            </w:r>
            <w:r w:rsidRPr="005520BC">
              <w:t>, °C</w:t>
            </w:r>
          </w:p>
        </w:tc>
        <w:tc>
          <w:tcPr>
            <w:tcW w:w="850" w:type="dxa"/>
            <w:shd w:val="clear" w:color="auto" w:fill="FFFFFF"/>
          </w:tcPr>
          <w:p w14:paraId="7E301FB3" w14:textId="420C54FB" w:rsidR="00B62208" w:rsidRPr="005520BC" w:rsidRDefault="00B62208" w:rsidP="001F22F3">
            <w:pPr>
              <w:pStyle w:val="CETBodytext"/>
              <w:ind w:right="-1"/>
              <w:jc w:val="center"/>
            </w:pPr>
            <w:r w:rsidRPr="005520BC">
              <w:t>627</w:t>
            </w:r>
          </w:p>
        </w:tc>
        <w:tc>
          <w:tcPr>
            <w:tcW w:w="851" w:type="dxa"/>
            <w:shd w:val="clear" w:color="auto" w:fill="FFFFFF"/>
          </w:tcPr>
          <w:p w14:paraId="173D1BDA" w14:textId="6E25013D" w:rsidR="00B62208" w:rsidRPr="005520BC" w:rsidRDefault="00B62208" w:rsidP="001F22F3">
            <w:pPr>
              <w:pStyle w:val="CETBodytext"/>
              <w:ind w:right="-1"/>
              <w:jc w:val="center"/>
            </w:pPr>
            <w:r w:rsidRPr="005520BC">
              <w:t>535.5</w:t>
            </w:r>
          </w:p>
        </w:tc>
        <w:tc>
          <w:tcPr>
            <w:tcW w:w="850" w:type="dxa"/>
            <w:shd w:val="clear" w:color="auto" w:fill="FFFFFF"/>
          </w:tcPr>
          <w:p w14:paraId="1E623D8F" w14:textId="1CAD7C1F" w:rsidR="00B62208" w:rsidRPr="005520BC" w:rsidRDefault="00B62208" w:rsidP="001F22F3">
            <w:pPr>
              <w:pStyle w:val="CETBodytext"/>
              <w:ind w:right="-1"/>
              <w:jc w:val="center"/>
            </w:pPr>
            <w:r w:rsidRPr="005520BC">
              <w:t>591.2</w:t>
            </w:r>
          </w:p>
        </w:tc>
      </w:tr>
      <w:tr w:rsidR="005520BC" w:rsidRPr="005520BC" w14:paraId="692469B4" w14:textId="77777777" w:rsidTr="00954DAD">
        <w:trPr>
          <w:trHeight w:val="227"/>
        </w:trPr>
        <w:tc>
          <w:tcPr>
            <w:tcW w:w="2127" w:type="dxa"/>
            <w:shd w:val="clear" w:color="auto" w:fill="FFFFFF"/>
          </w:tcPr>
          <w:p w14:paraId="5C4F247E" w14:textId="4386CB7A" w:rsidR="00B62208" w:rsidRPr="005520BC" w:rsidRDefault="005345FE" w:rsidP="001F22F3">
            <w:pPr>
              <w:pStyle w:val="CETBodytext"/>
              <w:ind w:right="-1"/>
              <w:jc w:val="center"/>
            </w:pPr>
            <w:r w:rsidRPr="005520BC">
              <w:t>T</w:t>
            </w:r>
            <w:r w:rsidR="00B62208" w:rsidRPr="006F5ED0">
              <w:rPr>
                <w:vertAlign w:val="subscript"/>
              </w:rPr>
              <w:t>60</w:t>
            </w:r>
            <w:r w:rsidRPr="005520BC">
              <w:t>, °C</w:t>
            </w:r>
          </w:p>
        </w:tc>
        <w:tc>
          <w:tcPr>
            <w:tcW w:w="850" w:type="dxa"/>
            <w:shd w:val="clear" w:color="auto" w:fill="FFFFFF"/>
          </w:tcPr>
          <w:p w14:paraId="6337E44A" w14:textId="20B5B36B" w:rsidR="00B62208" w:rsidRPr="005520BC" w:rsidRDefault="00B62208" w:rsidP="001F22F3">
            <w:pPr>
              <w:pStyle w:val="CETBodytext"/>
              <w:ind w:right="-1"/>
              <w:jc w:val="center"/>
            </w:pPr>
            <w:r w:rsidRPr="005520BC">
              <w:t>686.7</w:t>
            </w:r>
          </w:p>
        </w:tc>
        <w:tc>
          <w:tcPr>
            <w:tcW w:w="851" w:type="dxa"/>
            <w:shd w:val="clear" w:color="auto" w:fill="FFFFFF"/>
          </w:tcPr>
          <w:p w14:paraId="723DE803" w14:textId="75B0E61C" w:rsidR="00B62208" w:rsidRPr="005520BC" w:rsidRDefault="00B62208" w:rsidP="001F22F3">
            <w:pPr>
              <w:pStyle w:val="CETBodytext"/>
              <w:ind w:right="-1"/>
              <w:jc w:val="center"/>
            </w:pPr>
            <w:r w:rsidRPr="005520BC">
              <w:t>599.3</w:t>
            </w:r>
          </w:p>
        </w:tc>
        <w:tc>
          <w:tcPr>
            <w:tcW w:w="850" w:type="dxa"/>
            <w:shd w:val="clear" w:color="auto" w:fill="FFFFFF"/>
          </w:tcPr>
          <w:p w14:paraId="4BFAA1F7" w14:textId="1E78C300" w:rsidR="00B62208" w:rsidRPr="005520BC" w:rsidRDefault="00B62208" w:rsidP="001F22F3">
            <w:pPr>
              <w:pStyle w:val="CETBodytext"/>
              <w:ind w:right="-1"/>
              <w:jc w:val="center"/>
            </w:pPr>
            <w:r w:rsidRPr="005520BC">
              <w:t>677.9</w:t>
            </w:r>
          </w:p>
        </w:tc>
      </w:tr>
    </w:tbl>
    <w:p w14:paraId="10C909A9" w14:textId="77777777" w:rsidR="00954DAD" w:rsidRPr="005520BC" w:rsidRDefault="00954DAD" w:rsidP="00600535">
      <w:pPr>
        <w:pStyle w:val="CETBodytext"/>
        <w:rPr>
          <w:szCs w:val="18"/>
        </w:rPr>
      </w:pPr>
    </w:p>
    <w:p w14:paraId="4574810F" w14:textId="7A3E222D" w:rsidR="0089506B" w:rsidRPr="005520BC" w:rsidRDefault="002E7DCD" w:rsidP="00600535">
      <w:pPr>
        <w:pStyle w:val="CETBodytext"/>
        <w:rPr>
          <w:szCs w:val="18"/>
        </w:rPr>
      </w:pPr>
      <w:r w:rsidRPr="005520BC">
        <w:rPr>
          <w:szCs w:val="18"/>
        </w:rPr>
        <w:t>Figure 2 shows the distribution of the SARA composition (saturates, aromatics, resins</w:t>
      </w:r>
      <w:r w:rsidR="00817FE9">
        <w:rPr>
          <w:szCs w:val="18"/>
        </w:rPr>
        <w:t>,</w:t>
      </w:r>
      <w:r w:rsidRPr="005520BC">
        <w:rPr>
          <w:szCs w:val="18"/>
        </w:rPr>
        <w:t xml:space="preserve"> and asphaltenes) of the original crude oils (C</w:t>
      </w:r>
      <w:r w:rsidR="00984DB0" w:rsidRPr="005520BC">
        <w:rPr>
          <w:szCs w:val="18"/>
        </w:rPr>
        <w:t xml:space="preserve"> (x)</w:t>
      </w:r>
      <w:r w:rsidRPr="005520BC">
        <w:rPr>
          <w:szCs w:val="18"/>
        </w:rPr>
        <w:t xml:space="preserve">), the crude oils obtained under steam injection conditions (C </w:t>
      </w:r>
      <w:r w:rsidR="00984DB0" w:rsidRPr="005520BC">
        <w:rPr>
          <w:szCs w:val="18"/>
        </w:rPr>
        <w:t xml:space="preserve">(x) </w:t>
      </w:r>
      <w:r w:rsidRPr="005520BC">
        <w:rPr>
          <w:szCs w:val="18"/>
        </w:rPr>
        <w:t>AQ)</w:t>
      </w:r>
      <w:r w:rsidR="00817FE9">
        <w:rPr>
          <w:szCs w:val="18"/>
        </w:rPr>
        <w:t>,</w:t>
      </w:r>
      <w:r w:rsidRPr="005520BC">
        <w:rPr>
          <w:szCs w:val="18"/>
        </w:rPr>
        <w:t xml:space="preserve"> and the crude oils improved with catalytic aquathermolysis (C </w:t>
      </w:r>
      <w:r w:rsidR="00984DB0" w:rsidRPr="005520BC">
        <w:rPr>
          <w:szCs w:val="18"/>
        </w:rPr>
        <w:t xml:space="preserve">(x) </w:t>
      </w:r>
      <w:r w:rsidRPr="005520BC">
        <w:rPr>
          <w:szCs w:val="18"/>
        </w:rPr>
        <w:t>AQ-NFe)</w:t>
      </w:r>
      <w:r w:rsidR="00F60CA1" w:rsidRPr="005520BC">
        <w:rPr>
          <w:szCs w:val="18"/>
        </w:rPr>
        <w:t xml:space="preserve"> </w:t>
      </w:r>
      <w:r w:rsidR="00817FE9">
        <w:rPr>
          <w:szCs w:val="18"/>
        </w:rPr>
        <w:t>w</w:t>
      </w:r>
      <w:r w:rsidR="00F60CA1" w:rsidRPr="005520BC">
        <w:rPr>
          <w:szCs w:val="18"/>
        </w:rPr>
        <w:t>here x represents the selected crude A, B or C.</w:t>
      </w:r>
    </w:p>
    <w:p w14:paraId="794DB78D" w14:textId="77777777" w:rsidR="0089506B" w:rsidRPr="005520BC" w:rsidRDefault="0089506B" w:rsidP="00D80E25">
      <w:pPr>
        <w:pStyle w:val="CETBodytext"/>
        <w:jc w:val="left"/>
        <w:rPr>
          <w:szCs w:val="18"/>
        </w:rPr>
      </w:pPr>
    </w:p>
    <w:p w14:paraId="78791E7F" w14:textId="7A384873" w:rsidR="004A43BC" w:rsidRPr="005520BC" w:rsidRDefault="008E263F" w:rsidP="00D80E25">
      <w:pPr>
        <w:pStyle w:val="CETBodytext"/>
        <w:jc w:val="left"/>
        <w:rPr>
          <w:lang w:val="es-ES"/>
        </w:rPr>
      </w:pPr>
      <w:r w:rsidRPr="005520BC">
        <w:rPr>
          <w:noProof/>
        </w:rPr>
        <w:drawing>
          <wp:inline distT="0" distB="0" distL="0" distR="0" wp14:anchorId="1FC3F609" wp14:editId="1C50FB06">
            <wp:extent cx="2910498" cy="1634541"/>
            <wp:effectExtent l="0" t="0" r="4445"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4963" cy="1648281"/>
                    </a:xfrm>
                    <a:prstGeom prst="rect">
                      <a:avLst/>
                    </a:prstGeom>
                    <a:noFill/>
                    <a:ln>
                      <a:noFill/>
                    </a:ln>
                  </pic:spPr>
                </pic:pic>
              </a:graphicData>
            </a:graphic>
          </wp:inline>
        </w:drawing>
      </w:r>
      <w:r w:rsidR="00883FDE" w:rsidRPr="005520BC">
        <w:rPr>
          <w:noProof/>
        </w:rPr>
        <w:drawing>
          <wp:inline distT="0" distB="0" distL="0" distR="0" wp14:anchorId="26644C89" wp14:editId="205553A2">
            <wp:extent cx="2626593" cy="1623974"/>
            <wp:effectExtent l="0" t="0" r="254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7586" cy="1643136"/>
                    </a:xfrm>
                    <a:prstGeom prst="rect">
                      <a:avLst/>
                    </a:prstGeom>
                    <a:noFill/>
                    <a:ln>
                      <a:noFill/>
                    </a:ln>
                  </pic:spPr>
                </pic:pic>
              </a:graphicData>
            </a:graphic>
          </wp:inline>
        </w:drawing>
      </w:r>
    </w:p>
    <w:p w14:paraId="5C404B7A" w14:textId="14B760F6" w:rsidR="00F74AB7" w:rsidRPr="005520BC" w:rsidRDefault="008C29C1" w:rsidP="00D80E25">
      <w:pPr>
        <w:pStyle w:val="CETBodytext"/>
        <w:jc w:val="left"/>
        <w:rPr>
          <w:b/>
        </w:rPr>
      </w:pPr>
      <w:r w:rsidRPr="005520BC">
        <w:rPr>
          <w:b/>
        </w:rPr>
        <w:t xml:space="preserve">                                              a                                                                                  b</w:t>
      </w:r>
      <w:r w:rsidRPr="005520BC">
        <w:rPr>
          <w:b/>
        </w:rPr>
        <w:tab/>
      </w:r>
      <w:r w:rsidRPr="005520BC">
        <w:rPr>
          <w:b/>
        </w:rPr>
        <w:tab/>
      </w:r>
    </w:p>
    <w:p w14:paraId="6AF6A017" w14:textId="1476761E" w:rsidR="00E657B2" w:rsidRPr="005520BC" w:rsidRDefault="00E657B2" w:rsidP="00D80E25">
      <w:pPr>
        <w:pStyle w:val="CETCaption"/>
        <w:jc w:val="left"/>
        <w:rPr>
          <w:lang w:val="en-US"/>
        </w:rPr>
      </w:pPr>
      <w:r w:rsidRPr="005520BC">
        <w:rPr>
          <w:rStyle w:val="CETCaptionCarattere"/>
          <w:i/>
          <w:lang w:val="en-US"/>
        </w:rPr>
        <w:t xml:space="preserve">Figure </w:t>
      </w:r>
      <w:r w:rsidR="005A033E" w:rsidRPr="005520BC">
        <w:rPr>
          <w:rStyle w:val="CETCaptionCarattere"/>
          <w:i/>
          <w:lang w:val="en-US"/>
        </w:rPr>
        <w:t>2</w:t>
      </w:r>
      <w:r w:rsidRPr="005520BC">
        <w:rPr>
          <w:rStyle w:val="CETCaptionCarattere"/>
          <w:i/>
          <w:lang w:val="en-US"/>
        </w:rPr>
        <w:t xml:space="preserve">: </w:t>
      </w:r>
      <w:r w:rsidR="00E965A0" w:rsidRPr="005520BC">
        <w:rPr>
          <w:rStyle w:val="CETCaptionCarattere"/>
          <w:i/>
          <w:lang w:val="en-US"/>
        </w:rPr>
        <w:t>Distribution of physicochemical properties: a- SARA compositional analysis, and b- Viscosity variation (@ 35 °C)</w:t>
      </w:r>
      <w:r w:rsidR="006013B9" w:rsidRPr="005520BC">
        <w:rPr>
          <w:rStyle w:val="CETCaptionCarattere"/>
          <w:i/>
          <w:lang w:val="en-US"/>
        </w:rPr>
        <w:t>.</w:t>
      </w:r>
    </w:p>
    <w:p w14:paraId="2FCCD365" w14:textId="00854B41" w:rsidR="0077413C" w:rsidRPr="005520BC" w:rsidRDefault="00996189" w:rsidP="00600535">
      <w:pPr>
        <w:pStyle w:val="CETBodytext"/>
      </w:pPr>
      <w:r w:rsidRPr="005520BC">
        <w:t xml:space="preserve">The results show an increase in the content of saturates and aromatics in all the upgraded crudes. The tests </w:t>
      </w:r>
      <w:r w:rsidR="00817FE9">
        <w:t>without</w:t>
      </w:r>
      <w:r w:rsidRPr="005520BC">
        <w:t xml:space="preserve"> catalyst (AQ) show an increase in saturate</w:t>
      </w:r>
      <w:r w:rsidR="00817FE9">
        <w:t xml:space="preserve"> </w:t>
      </w:r>
      <w:r w:rsidRPr="005520BC">
        <w:t>and aromatic</w:t>
      </w:r>
      <w:r w:rsidR="00817FE9">
        <w:t xml:space="preserve"> </w:t>
      </w:r>
      <w:r w:rsidR="00817FE9" w:rsidRPr="00817FE9">
        <w:rPr>
          <w:lang w:val="en-GB"/>
        </w:rPr>
        <w:t>content</w:t>
      </w:r>
      <w:r w:rsidRPr="005520BC">
        <w:t xml:space="preserve"> of around 1.7 to 4.1 %</w:t>
      </w:r>
      <w:r w:rsidR="00F60CA1" w:rsidRPr="005520BC">
        <w:t xml:space="preserve"> by weigh</w:t>
      </w:r>
      <w:r w:rsidR="00AC1B8B" w:rsidRPr="005520BC">
        <w:t>t</w:t>
      </w:r>
      <w:r w:rsidRPr="005520BC">
        <w:t xml:space="preserve"> and between 5.7 and 11.3 </w:t>
      </w:r>
      <w:r w:rsidR="00AC1B8B" w:rsidRPr="005520BC">
        <w:t>% by weight</w:t>
      </w:r>
      <w:r w:rsidR="00F13F4F" w:rsidRPr="005520BC">
        <w:t xml:space="preserve">. </w:t>
      </w:r>
      <w:r w:rsidR="00A85715" w:rsidRPr="005520BC">
        <w:t>Meanwhile, the crude oils obtained during catalytic</w:t>
      </w:r>
      <w:r w:rsidR="00F60CA1" w:rsidRPr="005520BC">
        <w:t xml:space="preserve"> </w:t>
      </w:r>
      <w:r w:rsidR="00A85715" w:rsidRPr="005520BC">
        <w:t xml:space="preserve">aquathermolysis (AQ-NFe) presented a higher content of saturates and aromatics, and their values ​​were in the range of 2.8 to 13.9 </w:t>
      </w:r>
      <w:r w:rsidR="00AC1B8B" w:rsidRPr="005520BC">
        <w:t>% by weight</w:t>
      </w:r>
      <w:r w:rsidR="00A85715" w:rsidRPr="005520BC">
        <w:t xml:space="preserve"> and 7.3 and 11.4 </w:t>
      </w:r>
      <w:r w:rsidR="00AC1B8B" w:rsidRPr="005520BC">
        <w:t>% by weight</w:t>
      </w:r>
      <w:r w:rsidR="00A85715" w:rsidRPr="005520BC">
        <w:t>, respectively.</w:t>
      </w:r>
      <w:r w:rsidR="00804375" w:rsidRPr="005520BC">
        <w:t xml:space="preserve"> On the other hand, the conversion of asphaltenes and resins was higher for the tests with catalyst, where percentage reductions were obtained in the range of 6.2 to 25.8 </w:t>
      </w:r>
      <w:r w:rsidR="00AC1B8B" w:rsidRPr="005520BC">
        <w:t>% by weight</w:t>
      </w:r>
      <w:r w:rsidR="00804375" w:rsidRPr="005520BC">
        <w:t xml:space="preserve"> and between 7.8 to 20.6 </w:t>
      </w:r>
      <w:r w:rsidR="00AC1B8B" w:rsidRPr="005520BC">
        <w:t>% by weight</w:t>
      </w:r>
      <w:r w:rsidR="00804375" w:rsidRPr="005520BC">
        <w:t>.</w:t>
      </w:r>
      <w:r w:rsidR="00796975" w:rsidRPr="005520BC">
        <w:t xml:space="preserve"> In the tests without catalyst, the percentage reduction of asphaltenes and resins was lower, and their values ​​were in the range of 3.8 to 19.6 % and between 1.9 to 10.8 %.</w:t>
      </w:r>
      <w:r w:rsidR="00F60BC4" w:rsidRPr="005520BC">
        <w:t xml:space="preserve"> </w:t>
      </w:r>
      <w:r w:rsidR="003224F9" w:rsidRPr="005520BC">
        <w:t>The decrease in the content of resins and asphaltenes is due to their conversion into new species of saturates and aromatics</w:t>
      </w:r>
      <w:r w:rsidR="009B4EEF">
        <w:t xml:space="preserve"> </w:t>
      </w:r>
      <w:r w:rsidR="00C51556" w:rsidRPr="005520BC">
        <w:t>(</w:t>
      </w:r>
      <w:proofErr w:type="spellStart"/>
      <w:r w:rsidR="00C51556" w:rsidRPr="005520BC">
        <w:t>Vakhin</w:t>
      </w:r>
      <w:proofErr w:type="spellEnd"/>
      <w:r w:rsidR="00C51556" w:rsidRPr="005520BC">
        <w:t xml:space="preserve"> et al., 2018, Li et al., 2023)</w:t>
      </w:r>
      <w:r w:rsidR="00E4023A" w:rsidRPr="005520BC">
        <w:t>.</w:t>
      </w:r>
    </w:p>
    <w:p w14:paraId="444FF7FD" w14:textId="4AE98378" w:rsidR="0077413C" w:rsidRPr="005520BC" w:rsidRDefault="0077413C" w:rsidP="00600535">
      <w:pPr>
        <w:pStyle w:val="CETBodytext"/>
        <w:rPr>
          <w:b/>
        </w:rPr>
      </w:pPr>
    </w:p>
    <w:p w14:paraId="7FCA721F" w14:textId="66F4BCDE" w:rsidR="0077413C" w:rsidRPr="005520BC" w:rsidRDefault="00F60BC4" w:rsidP="00600535">
      <w:pPr>
        <w:pStyle w:val="CETBodytext"/>
      </w:pPr>
      <w:r w:rsidRPr="005520BC">
        <w:t>Figure 2b shows the viscosity reduction of the upgraded crudes. The viscosity reduction (</w:t>
      </w:r>
      <w:proofErr w:type="spellStart"/>
      <w:r w:rsidRPr="005520BC">
        <w:rPr>
          <w:lang w:val="es-CO"/>
        </w:rPr>
        <w:t>Δμ</w:t>
      </w:r>
      <w:proofErr w:type="spellEnd"/>
      <w:r w:rsidRPr="005520BC">
        <w:t xml:space="preserve">) was determined using equation </w:t>
      </w:r>
      <w:r w:rsidR="004D5394" w:rsidRPr="005520BC">
        <w:t>2</w:t>
      </w:r>
      <w:r w:rsidR="00E4023A" w:rsidRPr="005520BC">
        <w:t>.</w:t>
      </w:r>
    </w:p>
    <w:p w14:paraId="6848A3CE" w14:textId="45C0FC7D" w:rsidR="0077413C" w:rsidRPr="005520BC" w:rsidRDefault="0077413C" w:rsidP="00600535">
      <w:pPr>
        <w:pStyle w:val="CETBodytext"/>
        <w:rPr>
          <w:b/>
        </w:rPr>
      </w:pPr>
    </w:p>
    <w:p w14:paraId="17A31B68" w14:textId="202AA256" w:rsidR="0077413C" w:rsidRPr="005520BC" w:rsidRDefault="00E4023A" w:rsidP="00600535">
      <w:pPr>
        <w:pStyle w:val="CETBodytext"/>
        <w:rPr>
          <w:b/>
        </w:rPr>
      </w:pPr>
      <m:oMath>
        <m:r>
          <w:rPr>
            <w:rFonts w:ascii="Cambria Math" w:hAnsi="Cambria Math" w:cs="Arial"/>
            <w:sz w:val="20"/>
          </w:rPr>
          <m:t xml:space="preserve">∆μ </m:t>
        </m:r>
        <m:d>
          <m:dPr>
            <m:ctrlPr>
              <w:rPr>
                <w:rFonts w:ascii="Cambria Math" w:hAnsi="Cambria Math" w:cs="Arial"/>
                <w:i/>
                <w:sz w:val="20"/>
              </w:rPr>
            </m:ctrlPr>
          </m:dPr>
          <m:e>
            <m:r>
              <w:rPr>
                <w:rFonts w:ascii="Cambria Math" w:hAnsi="Cambria Math" w:cs="Arial"/>
                <w:sz w:val="20"/>
              </w:rPr>
              <m:t>%</m:t>
            </m:r>
          </m:e>
        </m:d>
        <m:r>
          <w:rPr>
            <w:rFonts w:ascii="Cambria Math" w:hAnsi="Cambria Math" w:cs="Arial"/>
            <w:sz w:val="20"/>
          </w:rPr>
          <m:t>=</m:t>
        </m:r>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100.(μ</m:t>
                </m:r>
              </m:e>
              <m:sub>
                <m:r>
                  <w:rPr>
                    <w:rFonts w:ascii="Cambria Math" w:hAnsi="Cambria Math" w:cs="Arial"/>
                    <w:sz w:val="20"/>
                  </w:rPr>
                  <m:t>o</m:t>
                </m:r>
              </m:sub>
            </m:sSub>
            <m:r>
              <w:rPr>
                <w:rFonts w:ascii="Cambria Math" w:hAnsi="Cambria Math" w:cs="Arial"/>
                <w:sz w:val="20"/>
              </w:rPr>
              <m:t>-μ)</m:t>
            </m:r>
          </m:num>
          <m:den>
            <m:sSub>
              <m:sSubPr>
                <m:ctrlPr>
                  <w:rPr>
                    <w:rFonts w:ascii="Cambria Math" w:hAnsi="Cambria Math" w:cs="Arial"/>
                    <w:i/>
                    <w:sz w:val="20"/>
                  </w:rPr>
                </m:ctrlPr>
              </m:sSubPr>
              <m:e>
                <m:r>
                  <w:rPr>
                    <w:rFonts w:ascii="Cambria Math" w:hAnsi="Cambria Math" w:cs="Arial"/>
                    <w:sz w:val="20"/>
                  </w:rPr>
                  <m:t>μ</m:t>
                </m:r>
              </m:e>
              <m:sub>
                <m:r>
                  <w:rPr>
                    <w:rFonts w:ascii="Cambria Math" w:hAnsi="Cambria Math" w:cs="Arial"/>
                    <w:sz w:val="20"/>
                  </w:rPr>
                  <m:t>o</m:t>
                </m:r>
              </m:sub>
            </m:sSub>
          </m:den>
        </m:f>
      </m:oMath>
      <w:r w:rsidR="00ED2735" w:rsidRPr="005520BC">
        <w:rPr>
          <w:szCs w:val="18"/>
        </w:rPr>
        <w:tab/>
      </w:r>
      <w:r w:rsidR="00ED2735" w:rsidRPr="005520BC">
        <w:rPr>
          <w:szCs w:val="18"/>
        </w:rPr>
        <w:tab/>
      </w:r>
      <w:r w:rsidRPr="005520BC">
        <w:tab/>
      </w:r>
      <w:r w:rsidR="009B7860" w:rsidRPr="005520BC">
        <w:t>(</w:t>
      </w:r>
      <w:r w:rsidR="004D5394" w:rsidRPr="005520BC">
        <w:t>2</w:t>
      </w:r>
      <w:r w:rsidR="009B7860" w:rsidRPr="005520BC">
        <w:t>)</w:t>
      </w:r>
    </w:p>
    <w:p w14:paraId="49C1A4A7" w14:textId="24D67209" w:rsidR="0077413C" w:rsidRPr="005520BC" w:rsidRDefault="0077413C" w:rsidP="00600535">
      <w:pPr>
        <w:pStyle w:val="CETBodytext"/>
        <w:rPr>
          <w:b/>
        </w:rPr>
      </w:pPr>
    </w:p>
    <w:p w14:paraId="15F6F8BE" w14:textId="77777777" w:rsidR="00556179" w:rsidRPr="005520BC" w:rsidRDefault="00414754" w:rsidP="001F02E1">
      <w:pPr>
        <w:pStyle w:val="CETBodytext"/>
      </w:pPr>
      <w:r w:rsidRPr="005520BC">
        <w:t>Where ∆</w:t>
      </w:r>
      <w:r w:rsidRPr="005520BC">
        <w:rPr>
          <w:lang w:val="es-CO"/>
        </w:rPr>
        <w:t>μ</w:t>
      </w:r>
      <w:r w:rsidRPr="005520BC">
        <w:t xml:space="preserve"> (%) is the percentage of viscosity reduction, </w:t>
      </w:r>
      <w:r w:rsidRPr="005520BC">
        <w:rPr>
          <w:lang w:val="es-CO"/>
        </w:rPr>
        <w:t>μ</w:t>
      </w:r>
      <w:r w:rsidRPr="005520BC">
        <w:t xml:space="preserve">o and </w:t>
      </w:r>
      <w:r w:rsidRPr="005520BC">
        <w:rPr>
          <w:lang w:val="es-CO"/>
        </w:rPr>
        <w:t>μ</w:t>
      </w:r>
      <w:r w:rsidRPr="005520BC">
        <w:t xml:space="preserve"> are the viscosities of the original crude oil and the upgraded crude oil</w:t>
      </w:r>
      <w:r w:rsidR="009B7860" w:rsidRPr="005520BC">
        <w:t>.</w:t>
      </w:r>
    </w:p>
    <w:p w14:paraId="359A2643" w14:textId="77777777" w:rsidR="00556179" w:rsidRPr="005520BC" w:rsidRDefault="00556179" w:rsidP="001F02E1">
      <w:pPr>
        <w:pStyle w:val="CETBodytext"/>
      </w:pPr>
    </w:p>
    <w:p w14:paraId="1BD35E7B" w14:textId="4D4C3404" w:rsidR="009B7860" w:rsidRPr="005520BC" w:rsidRDefault="00556179" w:rsidP="001F02E1">
      <w:pPr>
        <w:pStyle w:val="CETBodytext"/>
      </w:pPr>
      <w:r w:rsidRPr="005520BC">
        <w:t>The viscosity for both crudes is expressed in centipoise (cP). The results show that the catalyst significant</w:t>
      </w:r>
      <w:r w:rsidR="009B4EEF">
        <w:t xml:space="preserve">ly reduces </w:t>
      </w:r>
      <w:r w:rsidRPr="005520BC">
        <w:t>viscosity in ascending order for crude A, C and B, which presented values ​​of 10.3, 33.8</w:t>
      </w:r>
      <w:r w:rsidR="009B4EEF">
        <w:t>,</w:t>
      </w:r>
      <w:r w:rsidRPr="005520BC">
        <w:t xml:space="preserve"> and 44.4 %, </w:t>
      </w:r>
      <w:r w:rsidRPr="005520BC">
        <w:lastRenderedPageBreak/>
        <w:t>respectively.</w:t>
      </w:r>
      <w:r w:rsidR="00BB7DCC" w:rsidRPr="005520BC">
        <w:t xml:space="preserve"> While crudes A, C</w:t>
      </w:r>
      <w:r w:rsidR="009B4EEF">
        <w:t>,</w:t>
      </w:r>
      <w:r w:rsidR="00BB7DCC" w:rsidRPr="005520BC">
        <w:t xml:space="preserve"> and B</w:t>
      </w:r>
      <w:r w:rsidR="009B4EEF">
        <w:t>,</w:t>
      </w:r>
      <w:r w:rsidR="00BB7DCC" w:rsidRPr="005520BC">
        <w:t xml:space="preserve"> in the absence of the catalyst</w:t>
      </w:r>
      <w:r w:rsidR="009B4EEF">
        <w:t>,</w:t>
      </w:r>
      <w:r w:rsidR="00BB7DCC" w:rsidRPr="005520BC">
        <w:t xml:space="preserve"> showed increases in viscosity around 4.1 (-4.1), 15.2 (-15.2)</w:t>
      </w:r>
      <w:r w:rsidR="009B4EEF">
        <w:t>,</w:t>
      </w:r>
      <w:r w:rsidR="00BB7DCC" w:rsidRPr="005520BC">
        <w:t xml:space="preserve"> and 32.9 % (-32.9).</w:t>
      </w:r>
      <w:r w:rsidR="00F07AB3" w:rsidRPr="005520BC">
        <w:t xml:space="preserve"> Negative values ​​indicate that the viscosity of the upgraded crude oil is higher compared to the viscosity of the original crude oil.</w:t>
      </w:r>
      <w:r w:rsidR="0001403A" w:rsidRPr="005520BC">
        <w:t xml:space="preserve"> The above is due to the ability of hydrogen and the catalyst in the mixture to regulate the polycondensation reactions of hydrocarbons.</w:t>
      </w:r>
      <w:r w:rsidR="00FA267A" w:rsidRPr="005520BC">
        <w:t xml:space="preserve"> In addition, the reduction in viscosity is due to the formation of light species from the saturated and aromatic fractions (Chen et al., 2010).</w:t>
      </w:r>
      <w:r w:rsidR="00812099" w:rsidRPr="005520BC">
        <w:t xml:space="preserve"> Figures 3a to 3c show the molecular weight distribution (m/z)</w:t>
      </w:r>
      <w:r w:rsidR="009B4EEF">
        <w:t xml:space="preserve"> results</w:t>
      </w:r>
      <w:r w:rsidR="00812099" w:rsidRPr="005520BC">
        <w:t xml:space="preserve"> by MALDI TOF spectrometry for crude oil B and its upgraded crudes.</w:t>
      </w:r>
    </w:p>
    <w:p w14:paraId="65BDCBC8" w14:textId="77777777" w:rsidR="004B3546" w:rsidRPr="005520BC" w:rsidRDefault="004B3546" w:rsidP="00D80E25">
      <w:pPr>
        <w:pStyle w:val="CETBodytext"/>
        <w:jc w:val="left"/>
      </w:pPr>
    </w:p>
    <w:p w14:paraId="20C0CA23" w14:textId="77777777" w:rsidR="009D4A23" w:rsidRPr="005520BC" w:rsidRDefault="00E944FE" w:rsidP="00D80E25">
      <w:pPr>
        <w:pStyle w:val="Sinespaciado"/>
        <w:jc w:val="left"/>
      </w:pPr>
      <w:r w:rsidRPr="005520BC">
        <w:rPr>
          <w:noProof/>
        </w:rPr>
        <mc:AlternateContent>
          <mc:Choice Requires="wps">
            <w:drawing>
              <wp:anchor distT="0" distB="0" distL="114300" distR="114300" simplePos="0" relativeHeight="251662336" behindDoc="0" locked="0" layoutInCell="1" allowOverlap="1" wp14:anchorId="64CFAF6E" wp14:editId="629921CC">
                <wp:simplePos x="0" y="0"/>
                <wp:positionH relativeFrom="column">
                  <wp:posOffset>3570169</wp:posOffset>
                </wp:positionH>
                <wp:positionV relativeFrom="paragraph">
                  <wp:posOffset>127756</wp:posOffset>
                </wp:positionV>
                <wp:extent cx="6" cy="1177920"/>
                <wp:effectExtent l="0" t="0" r="38100" b="22860"/>
                <wp:wrapNone/>
                <wp:docPr id="19" name="Conector recto 19"/>
                <wp:cNvGraphicFramePr/>
                <a:graphic xmlns:a="http://schemas.openxmlformats.org/drawingml/2006/main">
                  <a:graphicData uri="http://schemas.microsoft.com/office/word/2010/wordprocessingShape">
                    <wps:wsp>
                      <wps:cNvCnPr/>
                      <wps:spPr>
                        <a:xfrm flipV="1">
                          <a:off x="0" y="0"/>
                          <a:ext cx="6" cy="1177920"/>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4019BA5" id="Conector recto 1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1pt,10.05pt" to="281.1pt,1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ElQxwEAANwDAAAOAAAAZHJzL2Uyb0RvYy54bWysU0uP0zAQviPxHyzfaR6HLRs13UNXcEFQ&#10;8di71xk3lvzS2DTpv2fslLAChMRqL449j2++b2ayu5utYWfAqL3rebOpOQMn/aDdqeffvr5785az&#10;mIQbhPEOen6ByO/2r1/tptBB60dvBkBGIC52U+j5mFLoqirKEayIGx/AkVN5tCLRE0/VgGIidGuq&#10;tq5vqsnjENBLiJGs94uT7wu+UiDTJ6UiJGZ6TtxSObGcj/ms9jvRnVCEUcsrDfEMFlZoR0VXqHuR&#10;BPuO+g8oqyX66FXaSG8rr5SWUDSQmqb+Tc2XUQQoWqg5Maxtii8HKz+ej8j0QLO75cwJSzM60KRk&#10;8sgwfxg5qEtTiB0FH9wRr68YjpglzwotU0aHBwIpTSBZbC49vqw9hjkxScYbziRZm2a7vW1L/6sF&#10;IkMFjOk9eMvypedGuyxfdOL8ISYqS6E/Q7LZODYRVLutF6DMcWFVbuliYAn7DIo0UvWFX9kuOBhk&#10;Z0F7IaQEl9qskgoYR9E5TWlj1sS68Phn4jU+p0LZvP9JXjNKZe/Smmy18/i36mlurpTVEk/0n+jO&#10;10c/XMq8ioNWqCi8rnve0afvkv7rp9z/AAAA//8DAFBLAwQUAAYACAAAACEA4ElREd8AAAAKAQAA&#10;DwAAAGRycy9kb3ducmV2LnhtbEyP3UrDQBBG7wXfYRnBG2k3DTRKzKaoIGhBqm0fYJqdJsHsbJrd&#10;/PTt3eKFXs43h2/OZKvJNGKgztWWFSzmEQjiwuqaSwX73evsAYTzyBoby6TgTA5W+fVVhqm2I3/R&#10;sPWlCCXsUlRQed+mUrqiIoNublvisDvazqAPY1dK3eEYyk0j4yhKpMGaw4UKW3qpqPje9kYBl3ef&#10;6/vxPOxOp4/i2b5v3tb9Uanbm+npEYSnyf/BcNEP6pAHp4PtWTvRKFgmcRxQBXG0ABGA3+BwCZYJ&#10;yDyT/1/IfwAAAP//AwBQSwECLQAUAAYACAAAACEAtoM4kv4AAADhAQAAEwAAAAAAAAAAAAAAAAAA&#10;AAAAW0NvbnRlbnRfVHlwZXNdLnhtbFBLAQItABQABgAIAAAAIQA4/SH/1gAAAJQBAAALAAAAAAAA&#10;AAAAAAAAAC8BAABfcmVscy8ucmVsc1BLAQItABQABgAIAAAAIQDzAElQxwEAANwDAAAOAAAAAAAA&#10;AAAAAAAAAC4CAABkcnMvZTJvRG9jLnhtbFBLAQItABQABgAIAAAAIQDgSVER3wAAAAoBAAAPAAAA&#10;AAAAAAAAAAAAACEEAABkcnMvZG93bnJldi54bWxQSwUGAAAAAAQABADzAAAALQUAAAAA&#10;" strokecolor="#bc4542 [3045]" strokeweight="1pt"/>
            </w:pict>
          </mc:Fallback>
        </mc:AlternateContent>
      </w:r>
      <w:r w:rsidR="004E28CE" w:rsidRPr="005520BC">
        <w:rPr>
          <w:noProof/>
        </w:rPr>
        <mc:AlternateContent>
          <mc:Choice Requires="wps">
            <w:drawing>
              <wp:anchor distT="0" distB="0" distL="114300" distR="114300" simplePos="0" relativeHeight="251660288" behindDoc="0" locked="0" layoutInCell="1" allowOverlap="1" wp14:anchorId="1B7DF47E" wp14:editId="0B15C051">
                <wp:simplePos x="0" y="0"/>
                <wp:positionH relativeFrom="column">
                  <wp:posOffset>804545</wp:posOffset>
                </wp:positionH>
                <wp:positionV relativeFrom="paragraph">
                  <wp:posOffset>138325</wp:posOffset>
                </wp:positionV>
                <wp:extent cx="6" cy="1177920"/>
                <wp:effectExtent l="0" t="0" r="38100" b="22860"/>
                <wp:wrapNone/>
                <wp:docPr id="18" name="Conector recto 18"/>
                <wp:cNvGraphicFramePr/>
                <a:graphic xmlns:a="http://schemas.openxmlformats.org/drawingml/2006/main">
                  <a:graphicData uri="http://schemas.microsoft.com/office/word/2010/wordprocessingShape">
                    <wps:wsp>
                      <wps:cNvCnPr/>
                      <wps:spPr>
                        <a:xfrm flipV="1">
                          <a:off x="0" y="0"/>
                          <a:ext cx="6" cy="1177920"/>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1D23118" id="Conector recto 1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35pt,10.9pt" to="63.35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cTxQEAANwDAAAOAAAAZHJzL2Uyb0RvYy54bWysU8mO1DAQvSPxD5bvdJbDNESdnkOP4IKg&#10;xXb3OOWOJW8qm0767yk7IYwAIYG4OHYtr96rqhzuZ2vYFTBq73re7GrOwEk/aHfp+edPr1+85Cwm&#10;4QZhvIOe3yDy++PzZ4cpdND60ZsBkBGIi90Uej6mFLqqinIEK+LOB3DkVB6tSPTESzWgmAjdmqqt&#10;67tq8jgE9BJiJOvD4uTHgq8UyPReqQiJmZ4Tt1ROLOdjPqvjQXQXFGHUcqUh/oGFFdpR0Q3qQSTB&#10;vqL+BcpqiT56lXbS28orpSUUDaSmqX9S83EUAYoWak4MW5vi/4OV765nZHqg2dGknLA0oxNNSiaP&#10;DPOHkYO6NIXYUfDJnXF9xXDGLHlWaJkyOnwhkNIEksXm0uPb1mOYE5NkvONMkrVp9vtXbel/tUBk&#10;qIAxvQFvWb703GiX5YtOXN/GRGUp9HtINhvHJoJq9/UClDkurMot3QwsYR9AkUaqvvAr2wUng+wq&#10;aC+ElOBSm1VSAeMoOqcpbcyWWBcef0xc43MqlM37m+Qto1T2Lm3JVjuPv6ue5malrJZ4ov9Ed74+&#10;+uFW5lUctEJF4brueUefvkv6j5/y+A0AAP//AwBQSwMEFAAGAAgAAAAhAJ7Cg0LfAAAACgEAAA8A&#10;AABkcnMvZG93bnJldi54bWxMj91Kw0AQhe8F32EZwRtpN43QSMymqCBoQaptH2CbnSbB7Gya3fz0&#10;7Z16o5fnzMeZc7LVZBsxYOdrRwoW8wgEUuFMTaWC/e519gDCB01GN45QwRk9rPLrq0ynxo30hcM2&#10;lIJDyKdaQRVCm0rpiwqt9nPXIvHt6DqrA8uulKbTI4fbRsZRtJRW18QfKt3iS4XF97a3Cqi8+1wn&#10;43nYnU4fxbN737yt+6NStzfT0yOIgFP4g+FSn6tDzp0OrifjRcM6XiaMKogXPOEC/BoHNqLkHmSe&#10;yf8T8h8AAAD//wMAUEsBAi0AFAAGAAgAAAAhALaDOJL+AAAA4QEAABMAAAAAAAAAAAAAAAAAAAAA&#10;AFtDb250ZW50X1R5cGVzXS54bWxQSwECLQAUAAYACAAAACEAOP0h/9YAAACUAQAACwAAAAAAAAAA&#10;AAAAAAAvAQAAX3JlbHMvLnJlbHNQSwECLQAUAAYACAAAACEAT6JnE8UBAADcAwAADgAAAAAAAAAA&#10;AAAAAAAuAgAAZHJzL2Uyb0RvYy54bWxQSwECLQAUAAYACAAAACEAnsKDQt8AAAAKAQAADwAAAAAA&#10;AAAAAAAAAAAfBAAAZHJzL2Rvd25yZXYueG1sUEsFBgAAAAAEAAQA8wAAACsFAAAAAA==&#10;" strokecolor="#bc4542 [3045]" strokeweight="1pt"/>
            </w:pict>
          </mc:Fallback>
        </mc:AlternateContent>
      </w:r>
      <w:r w:rsidR="00821F7D" w:rsidRPr="005520BC">
        <w:rPr>
          <w:noProof/>
        </w:rPr>
        <w:drawing>
          <wp:inline distT="0" distB="0" distL="0" distR="0" wp14:anchorId="63B4C1F4" wp14:editId="009AAED2">
            <wp:extent cx="2734573" cy="1563506"/>
            <wp:effectExtent l="0" t="0" r="889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7499" cy="1582332"/>
                    </a:xfrm>
                    <a:prstGeom prst="rect">
                      <a:avLst/>
                    </a:prstGeom>
                    <a:noFill/>
                    <a:ln>
                      <a:noFill/>
                    </a:ln>
                  </pic:spPr>
                </pic:pic>
              </a:graphicData>
            </a:graphic>
          </wp:inline>
        </w:drawing>
      </w:r>
      <w:r w:rsidR="001063C4" w:rsidRPr="005520BC">
        <w:rPr>
          <w:noProof/>
        </w:rPr>
        <w:drawing>
          <wp:inline distT="0" distB="0" distL="0" distR="0" wp14:anchorId="7B782243" wp14:editId="10E48267">
            <wp:extent cx="2786332" cy="1629954"/>
            <wp:effectExtent l="0" t="0" r="0" b="889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9824" cy="1637847"/>
                    </a:xfrm>
                    <a:prstGeom prst="rect">
                      <a:avLst/>
                    </a:prstGeom>
                    <a:noFill/>
                    <a:ln>
                      <a:noFill/>
                    </a:ln>
                  </pic:spPr>
                </pic:pic>
              </a:graphicData>
            </a:graphic>
          </wp:inline>
        </w:drawing>
      </w:r>
      <w:r w:rsidR="00D80E25" w:rsidRPr="005520BC">
        <w:t xml:space="preserve">    </w:t>
      </w:r>
    </w:p>
    <w:p w14:paraId="41FB4814" w14:textId="6B89F99D" w:rsidR="008C29C1" w:rsidRPr="005520BC" w:rsidRDefault="009D4A23" w:rsidP="00D80E25">
      <w:pPr>
        <w:pStyle w:val="Sinespaciado"/>
        <w:jc w:val="left"/>
      </w:pPr>
      <w:r w:rsidRPr="005520BC">
        <w:t xml:space="preserve">                                           a</w:t>
      </w:r>
      <w:r w:rsidR="004261B3" w:rsidRPr="005520BC">
        <w:t xml:space="preserve">                                                                                      b</w:t>
      </w:r>
      <w:r w:rsidRPr="005520BC">
        <w:t xml:space="preserve"> </w:t>
      </w:r>
      <w:r w:rsidR="00D80E25" w:rsidRPr="005520BC">
        <w:t xml:space="preserve">                                        </w:t>
      </w:r>
      <w:r w:rsidR="008C29C1" w:rsidRPr="005520BC">
        <w:t xml:space="preserve">        </w:t>
      </w:r>
      <w:r w:rsidR="00D80E25" w:rsidRPr="005520BC">
        <w:t xml:space="preserve">  </w:t>
      </w:r>
      <w:r w:rsidR="008C29C1" w:rsidRPr="005520BC">
        <w:t xml:space="preserve">                                                                     </w:t>
      </w:r>
      <w:r w:rsidR="00D80E25" w:rsidRPr="005520BC">
        <w:t xml:space="preserve">  </w:t>
      </w:r>
      <w:r w:rsidRPr="005520BC">
        <w:t xml:space="preserve">                                                         </w:t>
      </w:r>
    </w:p>
    <w:p w14:paraId="2900DCC9" w14:textId="62D526FB" w:rsidR="00840FD9" w:rsidRPr="005520BC" w:rsidRDefault="00E944FE" w:rsidP="00D80E25">
      <w:pPr>
        <w:pStyle w:val="Sinespaciado"/>
        <w:jc w:val="left"/>
      </w:pPr>
      <w:r w:rsidRPr="005520BC">
        <w:rPr>
          <w:noProof/>
        </w:rPr>
        <mc:AlternateContent>
          <mc:Choice Requires="wps">
            <w:drawing>
              <wp:anchor distT="0" distB="0" distL="114300" distR="114300" simplePos="0" relativeHeight="251664384" behindDoc="0" locked="0" layoutInCell="1" allowOverlap="1" wp14:anchorId="3AEDC8E1" wp14:editId="240A1799">
                <wp:simplePos x="0" y="0"/>
                <wp:positionH relativeFrom="column">
                  <wp:posOffset>821690</wp:posOffset>
                </wp:positionH>
                <wp:positionV relativeFrom="paragraph">
                  <wp:posOffset>159174</wp:posOffset>
                </wp:positionV>
                <wp:extent cx="6" cy="1177920"/>
                <wp:effectExtent l="0" t="0" r="38100" b="22860"/>
                <wp:wrapNone/>
                <wp:docPr id="20" name="Conector recto 20"/>
                <wp:cNvGraphicFramePr/>
                <a:graphic xmlns:a="http://schemas.openxmlformats.org/drawingml/2006/main">
                  <a:graphicData uri="http://schemas.microsoft.com/office/word/2010/wordprocessingShape">
                    <wps:wsp>
                      <wps:cNvCnPr/>
                      <wps:spPr>
                        <a:xfrm flipV="1">
                          <a:off x="0" y="0"/>
                          <a:ext cx="6" cy="1177920"/>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25578FF" id="Conector recto 20"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7pt,12.55pt" to="64.7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E37xgEAANwDAAAOAAAAZHJzL2Uyb0RvYy54bWysU8uO1DAQvCPxD5bvTB6HHYgms4dZwQXB&#10;iNfd67QnlvxS20wyf0/bCWEFCAnExbHbXdVV7c7hfraGXQGj9q7nza7mDJz0g3aXnn/+9PrFS85i&#10;Em4Qxjvo+Q0ivz8+f3aYQgetH70ZABmRuNhNoedjSqGrqihHsCLufABHl8qjFYmOeKkGFBOxW1O1&#10;dX1XTR6HgF5CjBR9WC75sfArBTK9VypCYqbnpC2VFcv6mNfqeBDdBUUYtVxliH9QYYV2VHSjehBJ&#10;sK+of6GyWqKPXqWd9LbySmkJxQO5aeqf3HwcRYDihZoTw9am+P9o5bvrGZkeet5Se5yw9EYneimZ&#10;PDLMH0YX1KUpxI6ST+6M6ymGM2bLs0LLlNHhCw1AaQLZYnPp8W3rMcyJSQrecSYp2jT7/auFuVoo&#10;MlXAmN6Atyxvem60y/ZFJ65vY6KylPo9JYeNYxNRtfu6SKyyxkVV2aWbgSXtAyjySNUXfWW64GSQ&#10;XQXNhZASXGqzSypgHGVnmNLGbMC66PgjcM3PUCiT9zfgDVEqe5c2sNXO4++qp7lZJasln+Q/8Z23&#10;j364lfcqFzRCxeE67nlGn54L/MdPefwGAAD//wMAUEsDBBQABgAIAAAAIQAMjH2I3wAAAAoBAAAP&#10;AAAAZHJzL2Rvd25yZXYueG1sTI/NTsMwEITvSLyDtUhcUOskggIhTgVISFAJQVsewI23SUS8TmPn&#10;p2/PlgscZ/bT7Ey2nGwjBux87UhBPI9AIBXO1FQq+Nq+zO5A+KDJ6MYRKjiih2V+fpbp1LiR1jhs&#10;Qik4hHyqFVQhtKmUvqjQaj93LRLf9q6zOrDsSmk6PXK4bWQSRQtpdU38odItPldYfG96q4DKq8/V&#10;7XgctofDe/Hk3j5eV/1eqcuL6fEBRMAp/MFwqs/VIedOO9eT8aJhndxfM6oguYlBnIBfY8dGHC1A&#10;5pn8PyH/AQAA//8DAFBLAQItABQABgAIAAAAIQC2gziS/gAAAOEBAAATAAAAAAAAAAAAAAAAAAAA&#10;AABbQ29udGVudF9UeXBlc10ueG1sUEsBAi0AFAAGAAgAAAAhADj9If/WAAAAlAEAAAsAAAAAAAAA&#10;AAAAAAAALwEAAF9yZWxzLy5yZWxzUEsBAi0AFAAGAAgAAAAhACLITfvGAQAA3AMAAA4AAAAAAAAA&#10;AAAAAAAALgIAAGRycy9lMm9Eb2MueG1sUEsBAi0AFAAGAAgAAAAhAAyMfYjfAAAACgEAAA8AAAAA&#10;AAAAAAAAAAAAIAQAAGRycy9kb3ducmV2LnhtbFBLBQYAAAAABAAEAPMAAAAsBQAAAAA=&#10;" strokecolor="#bc4542 [3045]" strokeweight="1pt"/>
            </w:pict>
          </mc:Fallback>
        </mc:AlternateContent>
      </w:r>
      <w:r w:rsidR="001B0321" w:rsidRPr="005520BC">
        <w:rPr>
          <w:noProof/>
        </w:rPr>
        <w:drawing>
          <wp:inline distT="0" distB="0" distL="0" distR="0" wp14:anchorId="68033443" wp14:editId="77343169">
            <wp:extent cx="2731980" cy="1581124"/>
            <wp:effectExtent l="0" t="0" r="0" b="63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3189" cy="1599186"/>
                    </a:xfrm>
                    <a:prstGeom prst="rect">
                      <a:avLst/>
                    </a:prstGeom>
                    <a:noFill/>
                    <a:ln>
                      <a:noFill/>
                    </a:ln>
                  </pic:spPr>
                </pic:pic>
              </a:graphicData>
            </a:graphic>
          </wp:inline>
        </w:drawing>
      </w:r>
      <w:r w:rsidR="00F74AB7" w:rsidRPr="005520BC">
        <w:rPr>
          <w:noProof/>
        </w:rPr>
        <w:drawing>
          <wp:inline distT="0" distB="0" distL="0" distR="0" wp14:anchorId="5FB58FEF" wp14:editId="0A931F78">
            <wp:extent cx="2760030" cy="1647041"/>
            <wp:effectExtent l="0" t="0" r="254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2959" cy="1672659"/>
                    </a:xfrm>
                    <a:prstGeom prst="rect">
                      <a:avLst/>
                    </a:prstGeom>
                    <a:noFill/>
                    <a:ln>
                      <a:noFill/>
                    </a:ln>
                  </pic:spPr>
                </pic:pic>
              </a:graphicData>
            </a:graphic>
          </wp:inline>
        </w:drawing>
      </w:r>
    </w:p>
    <w:p w14:paraId="128E3E18" w14:textId="1FD1AFA6" w:rsidR="008C29C1" w:rsidRPr="0052109E" w:rsidRDefault="002019B9" w:rsidP="00D80E25">
      <w:pPr>
        <w:pStyle w:val="Sinespaciado"/>
        <w:jc w:val="left"/>
        <w:rPr>
          <w:lang w:val="en-US"/>
        </w:rPr>
      </w:pPr>
      <w:r w:rsidRPr="0052109E">
        <w:rPr>
          <w:lang w:val="en-US"/>
        </w:rPr>
        <w:t xml:space="preserve">                                             </w:t>
      </w:r>
      <w:r w:rsidR="008C29C1" w:rsidRPr="0052109E">
        <w:rPr>
          <w:lang w:val="en-US"/>
        </w:rPr>
        <w:t>c                                                                                  d</w:t>
      </w:r>
    </w:p>
    <w:p w14:paraId="0A51926A" w14:textId="528C3E0E" w:rsidR="00511A0A" w:rsidRPr="0052109E" w:rsidRDefault="00511A0A" w:rsidP="00D80E25">
      <w:pPr>
        <w:pStyle w:val="CETCaption"/>
        <w:jc w:val="left"/>
        <w:rPr>
          <w:lang w:val="en-US"/>
        </w:rPr>
      </w:pPr>
      <w:r w:rsidRPr="0052109E">
        <w:rPr>
          <w:rStyle w:val="CETCaptionCarattere"/>
          <w:i/>
          <w:lang w:val="en-US"/>
        </w:rPr>
        <w:t xml:space="preserve">Figure </w:t>
      </w:r>
      <w:r w:rsidR="005A033E" w:rsidRPr="0052109E">
        <w:rPr>
          <w:rStyle w:val="CETCaptionCarattere"/>
          <w:i/>
          <w:lang w:val="en-US"/>
        </w:rPr>
        <w:t>3</w:t>
      </w:r>
      <w:r w:rsidRPr="0052109E">
        <w:rPr>
          <w:rStyle w:val="CETCaptionCarattere"/>
          <w:i/>
          <w:lang w:val="en-US"/>
        </w:rPr>
        <w:t xml:space="preserve">: </w:t>
      </w:r>
      <w:r w:rsidR="005C50D4" w:rsidRPr="0052109E">
        <w:rPr>
          <w:rStyle w:val="CETCaptionCarattere"/>
          <w:i/>
          <w:lang w:val="en-US"/>
        </w:rPr>
        <w:t>MALDI TOF-TOF mass spectra for crude oils: a- crude (B), b- crude (B) AQ, c- crude (B) AQ-NFe, and d- Summary of average molecular weights of base oil crudes and upgraded crude oils.</w:t>
      </w:r>
    </w:p>
    <w:p w14:paraId="398A50FB" w14:textId="5C5EB287" w:rsidR="00511A0A" w:rsidRPr="007D4B0C" w:rsidRDefault="005D7903" w:rsidP="00600535">
      <w:pPr>
        <w:pStyle w:val="CETBodytext"/>
      </w:pPr>
      <w:r w:rsidRPr="007D4B0C">
        <w:t xml:space="preserve">The crude oils obtained from crude oil B present a higher abundance of species in the range of 120 to 1500 m/z, being higher in the presence of </w:t>
      </w:r>
      <w:r w:rsidR="009B4EEF">
        <w:t xml:space="preserve">a </w:t>
      </w:r>
      <w:r w:rsidRPr="007D4B0C">
        <w:t xml:space="preserve">catalyst. Figure </w:t>
      </w:r>
      <w:r w:rsidR="00577EBD">
        <w:t>3</w:t>
      </w:r>
      <w:r w:rsidRPr="007D4B0C">
        <w:t xml:space="preserve">d shows the average molecular weight distribution for the original and the upgraded crude oils. As expected, all the </w:t>
      </w:r>
      <w:r w:rsidR="004B30EC" w:rsidRPr="007D4B0C">
        <w:t xml:space="preserve">upgraded </w:t>
      </w:r>
      <w:r w:rsidRPr="007D4B0C">
        <w:t xml:space="preserve">crude oils in the presence of iron naphthenate present a lower average molecular weight </w:t>
      </w:r>
      <w:r w:rsidR="009B4EEF">
        <w:t>than those</w:t>
      </w:r>
      <w:r w:rsidRPr="007D4B0C">
        <w:t xml:space="preserve"> obtained without </w:t>
      </w:r>
      <w:r w:rsidR="009B4EEF">
        <w:t xml:space="preserve">a </w:t>
      </w:r>
      <w:r w:rsidRPr="007D4B0C">
        <w:t>catalyst.</w:t>
      </w:r>
      <w:r w:rsidR="00325623" w:rsidRPr="007D4B0C">
        <w:t xml:space="preserve"> </w:t>
      </w:r>
      <w:r w:rsidR="009B6A98" w:rsidRPr="007D4B0C">
        <w:t>It is important to consider that the MALDI TOF-TOF mass spectrometry technique allows the ionization of polar fractions such as asphaltenes, resins</w:t>
      </w:r>
      <w:r w:rsidR="009B4EEF">
        <w:t>,</w:t>
      </w:r>
      <w:r w:rsidR="009B6A98" w:rsidRPr="007D4B0C">
        <w:t xml:space="preserve"> and aromatics. In the case of non-polar compounds such as saturates, it is </w:t>
      </w:r>
      <w:r w:rsidR="009B4EEF">
        <w:t>im</w:t>
      </w:r>
      <w:r w:rsidR="009B6A98" w:rsidRPr="007D4B0C">
        <w:t>possible to identify the ionized sample</w:t>
      </w:r>
      <w:r w:rsidR="009B4EEF">
        <w:t xml:space="preserve"> accurately</w:t>
      </w:r>
      <w:r w:rsidR="00BC4C86" w:rsidRPr="007D4B0C">
        <w:t>.</w:t>
      </w:r>
    </w:p>
    <w:p w14:paraId="3C111E82" w14:textId="77CC4840" w:rsidR="00AD3946" w:rsidRPr="007D4B0C" w:rsidRDefault="00AD3946" w:rsidP="00600535">
      <w:pPr>
        <w:pStyle w:val="CETBodytext"/>
      </w:pPr>
    </w:p>
    <w:p w14:paraId="21305FE5" w14:textId="45FE798A" w:rsidR="00F861E9" w:rsidRPr="007D4B0C" w:rsidRDefault="00F1143A" w:rsidP="00600535">
      <w:pPr>
        <w:pStyle w:val="CETBodytext"/>
      </w:pPr>
      <w:r w:rsidRPr="007D4B0C">
        <w:t>The information from the distillation curves obtained with the ASTM D7169 standard shows that the presence of the catalyst increase</w:t>
      </w:r>
      <w:r w:rsidR="009B4EEF">
        <w:t>s</w:t>
      </w:r>
      <w:r w:rsidRPr="007D4B0C">
        <w:t xml:space="preserve"> the content of light fractions (IBP - 370 °C), with values ​​in the range of 3.5 to 7.8 %</w:t>
      </w:r>
      <w:r w:rsidR="00501239">
        <w:t xml:space="preserve"> by weight</w:t>
      </w:r>
      <w:r w:rsidR="00127A8C" w:rsidRPr="007D4B0C">
        <w:t>.</w:t>
      </w:r>
      <w:r w:rsidR="00694EA1" w:rsidRPr="007D4B0C">
        <w:t xml:space="preserve"> Meanwhile, the increase in light fractions is mainly due to the vacuum residue</w:t>
      </w:r>
      <w:r w:rsidR="009B4EEF">
        <w:t xml:space="preserve"> conversion</w:t>
      </w:r>
      <w:r w:rsidR="00694EA1" w:rsidRPr="007D4B0C">
        <w:t xml:space="preserve"> (540 °C+). </w:t>
      </w:r>
      <w:r w:rsidR="001D5821" w:rsidRPr="007D4B0C">
        <w:t>Furthermore, t</w:t>
      </w:r>
      <w:r w:rsidR="00694EA1" w:rsidRPr="007D4B0C">
        <w:t>his can be attributed to the transformation of resins and asphaltenes into saturates and aromatics.</w:t>
      </w:r>
    </w:p>
    <w:p w14:paraId="2B2D9B42" w14:textId="0FAA010E" w:rsidR="00066386" w:rsidRPr="007D4B0C" w:rsidRDefault="00066386" w:rsidP="00600535">
      <w:pPr>
        <w:pStyle w:val="CETBodytext"/>
      </w:pPr>
    </w:p>
    <w:p w14:paraId="54479279" w14:textId="0FA1543C" w:rsidR="00E33317" w:rsidRPr="007D4B0C" w:rsidRDefault="00066386" w:rsidP="00600535">
      <w:pPr>
        <w:pStyle w:val="CETBodytext"/>
      </w:pPr>
      <w:r w:rsidRPr="007D4B0C">
        <w:t>In general, the trends in the results of the physicochemical properties of the upgraded crude oils show different behaviors. This behavior can be attributed to the effect of the in</w:t>
      </w:r>
      <w:r w:rsidR="00F6775E" w:rsidRPr="007D4B0C">
        <w:t>-</w:t>
      </w:r>
      <w:r w:rsidRPr="007D4B0C">
        <w:t>situ catalysts and the presence of hydrogen formed from water and gas shift reactions.</w:t>
      </w:r>
      <w:r w:rsidR="00F6775E" w:rsidRPr="007D4B0C">
        <w:t xml:space="preserve"> </w:t>
      </w:r>
      <w:r w:rsidR="004B6DB0" w:rsidRPr="007D4B0C">
        <w:t>Finally, it can be noted that the three heavy crudes show different reactivity under the same operating conditions. Therefore, the effect of catalytic aquathermolysis depends on the chemical nature of the species present in the heavy crude oils</w:t>
      </w:r>
      <w:r w:rsidR="005B67C7" w:rsidRPr="007D4B0C">
        <w:t>.</w:t>
      </w:r>
    </w:p>
    <w:p w14:paraId="4049D1A9" w14:textId="6AFD131D" w:rsidR="005B67C7" w:rsidRPr="007D4B0C" w:rsidRDefault="005B67C7" w:rsidP="00600535">
      <w:pPr>
        <w:pStyle w:val="CETBodytext"/>
      </w:pPr>
    </w:p>
    <w:p w14:paraId="728A29B8" w14:textId="3D05D98E" w:rsidR="00AD3946" w:rsidRPr="007D4B0C" w:rsidRDefault="00F43396" w:rsidP="00F4565E">
      <w:pPr>
        <w:pStyle w:val="CETHeading1"/>
      </w:pPr>
      <w:r w:rsidRPr="007D4B0C">
        <w:lastRenderedPageBreak/>
        <w:t>Conclusions</w:t>
      </w:r>
    </w:p>
    <w:p w14:paraId="5A524EEF" w14:textId="4130048D" w:rsidR="00CD1720" w:rsidRPr="007D4B0C" w:rsidRDefault="0088410E" w:rsidP="00F43396">
      <w:pPr>
        <w:pStyle w:val="CETBodytext"/>
      </w:pPr>
      <w:r w:rsidRPr="007D4B0C">
        <w:t>T</w:t>
      </w:r>
      <w:r w:rsidR="008E231C" w:rsidRPr="007D4B0C">
        <w:t>he temperature condition at 270 °C and the concentration of iron naphthenate at 100 ppm with respect to the metal ion generate</w:t>
      </w:r>
      <w:r w:rsidR="009B4EEF">
        <w:t>s</w:t>
      </w:r>
      <w:r w:rsidR="008E231C" w:rsidRPr="007D4B0C">
        <w:t xml:space="preserve"> a favorable effect on the physicochemical properties of heavy crude oils</w:t>
      </w:r>
      <w:r w:rsidR="00E612D7" w:rsidRPr="007D4B0C">
        <w:t>.</w:t>
      </w:r>
      <w:r w:rsidR="00C8226E" w:rsidRPr="007D4B0C">
        <w:t xml:space="preserve"> The above is possibly due to the synergy generated </w:t>
      </w:r>
      <w:r w:rsidR="009B4EEF">
        <w:t>by adding</w:t>
      </w:r>
      <w:r w:rsidR="00C8226E" w:rsidRPr="007D4B0C">
        <w:t xml:space="preserve"> iron naphthenate and the presence of steam on the chemical reactions in hydrocarbons.</w:t>
      </w:r>
      <w:r w:rsidR="00CF6912" w:rsidRPr="007D4B0C">
        <w:t xml:space="preserve"> However, it is necessary to consider factors such as the nature of the original crude oils, which are a determining parameter when </w:t>
      </w:r>
      <w:r w:rsidR="00112266" w:rsidRPr="007D4B0C">
        <w:t>subject</w:t>
      </w:r>
      <w:r w:rsidR="00CF6912" w:rsidRPr="007D4B0C">
        <w:t xml:space="preserve"> to the same thermocatalytic conditions.</w:t>
      </w:r>
      <w:r w:rsidR="00DB48D7" w:rsidRPr="007D4B0C">
        <w:t xml:space="preserve"> </w:t>
      </w:r>
    </w:p>
    <w:p w14:paraId="4EC5656A" w14:textId="4BD9CFA1" w:rsidR="00AF76AE" w:rsidRPr="007D4B0C" w:rsidRDefault="00BC5E1A" w:rsidP="00F43396">
      <w:pPr>
        <w:pStyle w:val="CETBodytext"/>
      </w:pPr>
      <w:r w:rsidRPr="007D4B0C">
        <w:t>Iron naphthenate exhibits a favorable catalytic reaction on SARA compositional variation and viscosity reduction of heavy crude oils</w:t>
      </w:r>
      <w:r w:rsidR="0088410E" w:rsidRPr="007D4B0C">
        <w:t xml:space="preserve">. </w:t>
      </w:r>
      <w:r w:rsidR="00AF76AE" w:rsidRPr="007D4B0C">
        <w:t>The three selected crudes presented viscosity increases when subjected to steam injection conditions without iron naphthenate.</w:t>
      </w:r>
      <w:r w:rsidR="003A2401" w:rsidRPr="007D4B0C">
        <w:t xml:space="preserve"> However, crudes A, B</w:t>
      </w:r>
      <w:r w:rsidR="00112266">
        <w:t>,</w:t>
      </w:r>
      <w:r w:rsidR="003A2401" w:rsidRPr="007D4B0C">
        <w:t xml:space="preserve"> and C during catalytic aquathermolysis showed viscosity reductions of 10.3, 44.4 and 33.8%, respectively.</w:t>
      </w:r>
    </w:p>
    <w:p w14:paraId="02AD9CF1" w14:textId="77777777" w:rsidR="00352EDB" w:rsidRPr="007D4B0C" w:rsidRDefault="00352EDB" w:rsidP="00600535">
      <w:pPr>
        <w:pStyle w:val="CETBodytext"/>
      </w:pPr>
    </w:p>
    <w:p w14:paraId="3D42BDBE" w14:textId="7E20D562" w:rsidR="002A5C0B" w:rsidRPr="007D4B0C" w:rsidRDefault="002A5C0B" w:rsidP="002A5C0B">
      <w:pPr>
        <w:pStyle w:val="CETBodytext"/>
        <w:rPr>
          <w:b/>
        </w:rPr>
      </w:pPr>
      <w:r w:rsidRPr="007D4B0C">
        <w:rPr>
          <w:b/>
        </w:rPr>
        <w:t>Acknowledgments</w:t>
      </w:r>
    </w:p>
    <w:p w14:paraId="5214C135" w14:textId="77777777" w:rsidR="00CD1720" w:rsidRPr="007D4B0C" w:rsidRDefault="00CD1720" w:rsidP="002A5C0B">
      <w:pPr>
        <w:pStyle w:val="CETBodytext"/>
      </w:pPr>
    </w:p>
    <w:p w14:paraId="3930BBC9" w14:textId="42A24763" w:rsidR="006C6677" w:rsidRPr="0039024C" w:rsidRDefault="00B46642" w:rsidP="006C6677">
      <w:pPr>
        <w:pStyle w:val="CETBodytext"/>
      </w:pPr>
      <w:r w:rsidRPr="007D4B0C">
        <w:t>The authors express their gratitude to the “</w:t>
      </w:r>
      <w:proofErr w:type="spellStart"/>
      <w:r w:rsidRPr="007D4B0C">
        <w:t>Ministerio</w:t>
      </w:r>
      <w:proofErr w:type="spellEnd"/>
      <w:r w:rsidRPr="007D4B0C">
        <w:t xml:space="preserve"> de </w:t>
      </w:r>
      <w:proofErr w:type="spellStart"/>
      <w:r w:rsidRPr="007D4B0C">
        <w:t>Ciencia</w:t>
      </w:r>
      <w:proofErr w:type="spellEnd"/>
      <w:r w:rsidRPr="007D4B0C">
        <w:t xml:space="preserve"> y </w:t>
      </w:r>
      <w:proofErr w:type="spellStart"/>
      <w:r w:rsidRPr="007D4B0C">
        <w:t>Tecnología</w:t>
      </w:r>
      <w:proofErr w:type="spellEnd"/>
      <w:r w:rsidRPr="007D4B0C">
        <w:t xml:space="preserve"> (MINCIENCIAS)”, “</w:t>
      </w:r>
      <w:proofErr w:type="spellStart"/>
      <w:r w:rsidRPr="007D4B0C">
        <w:t>Agencia</w:t>
      </w:r>
      <w:proofErr w:type="spellEnd"/>
      <w:r w:rsidRPr="007D4B0C">
        <w:t xml:space="preserve"> Nacional de </w:t>
      </w:r>
      <w:proofErr w:type="spellStart"/>
      <w:r w:rsidRPr="007D4B0C">
        <w:t>Hidrocarburos</w:t>
      </w:r>
      <w:proofErr w:type="spellEnd"/>
      <w:r w:rsidRPr="007D4B0C">
        <w:t xml:space="preserve"> (ANH)”, Energy Frontera and Universidad Industrial de Santander for the financial support. This work was financially supported by Project 1102-1035-92931 contract 036 2023. </w:t>
      </w:r>
      <w:r w:rsidR="004E1018" w:rsidRPr="007D4B0C">
        <w:t xml:space="preserve">Also, the authors are grateful </w:t>
      </w:r>
      <w:r w:rsidR="006C6677" w:rsidRPr="0039024C">
        <w:t xml:space="preserve">the “Ministry of Science and Technology (MINCIENCIAS)” through Project 107578- 941-2023 </w:t>
      </w:r>
      <w:proofErr w:type="spellStart"/>
      <w:r w:rsidR="006C6677" w:rsidRPr="0039024C">
        <w:t>Convocatoria</w:t>
      </w:r>
      <w:proofErr w:type="spellEnd"/>
      <w:r w:rsidR="006C6677" w:rsidRPr="0039024C">
        <w:t xml:space="preserve"> </w:t>
      </w:r>
      <w:proofErr w:type="spellStart"/>
      <w:r w:rsidR="006C6677" w:rsidRPr="0039024C">
        <w:t>Fortalecimiento</w:t>
      </w:r>
      <w:proofErr w:type="spellEnd"/>
      <w:r w:rsidR="006C6677" w:rsidRPr="0039024C">
        <w:t xml:space="preserve"> del Sector </w:t>
      </w:r>
      <w:proofErr w:type="spellStart"/>
      <w:r w:rsidR="006C6677" w:rsidRPr="0039024C">
        <w:t>Hidrocarburos</w:t>
      </w:r>
      <w:proofErr w:type="spellEnd"/>
      <w:r w:rsidR="006C6677" w:rsidRPr="0039024C">
        <w:t xml:space="preserve"> </w:t>
      </w:r>
      <w:proofErr w:type="spellStart"/>
      <w:r w:rsidR="006C6677" w:rsidRPr="0039024C">
        <w:t>en</w:t>
      </w:r>
      <w:proofErr w:type="spellEnd"/>
      <w:r w:rsidR="006C6677" w:rsidRPr="0039024C">
        <w:t xml:space="preserve"> Colombia.</w:t>
      </w:r>
    </w:p>
    <w:p w14:paraId="5F7BBE27" w14:textId="77777777" w:rsidR="006C6677" w:rsidRDefault="006C6677" w:rsidP="002A5C0B">
      <w:pPr>
        <w:pStyle w:val="CETBodytext"/>
      </w:pPr>
    </w:p>
    <w:p w14:paraId="3550C9FA" w14:textId="0144E301" w:rsidR="006114D8" w:rsidRPr="007D4B0C" w:rsidRDefault="006114D8" w:rsidP="00600535">
      <w:pPr>
        <w:pStyle w:val="CETBodytext"/>
      </w:pPr>
      <w:bookmarkStart w:id="2" w:name="_GoBack"/>
      <w:bookmarkEnd w:id="2"/>
    </w:p>
    <w:p w14:paraId="185E45AF" w14:textId="77777777" w:rsidR="00BE72E0" w:rsidRPr="0052109E" w:rsidRDefault="00BE72E0" w:rsidP="00BE72E0">
      <w:pPr>
        <w:rPr>
          <w:rFonts w:cs="Arial"/>
          <w:b/>
          <w:szCs w:val="18"/>
          <w:lang w:val="en-US"/>
        </w:rPr>
      </w:pPr>
      <w:r w:rsidRPr="0052109E">
        <w:rPr>
          <w:rFonts w:cs="Arial"/>
          <w:b/>
          <w:szCs w:val="18"/>
          <w:lang w:val="en-US"/>
        </w:rPr>
        <w:t>References</w:t>
      </w:r>
    </w:p>
    <w:p w14:paraId="26DD1FCE" w14:textId="27E7BEE4" w:rsidR="00213041" w:rsidRPr="007D4B0C" w:rsidRDefault="00213041" w:rsidP="00066F65">
      <w:pPr>
        <w:widowControl w:val="0"/>
        <w:autoSpaceDE w:val="0"/>
        <w:autoSpaceDN w:val="0"/>
        <w:adjustRightInd w:val="0"/>
        <w:spacing w:line="240" w:lineRule="auto"/>
        <w:ind w:left="480" w:hanging="480"/>
        <w:rPr>
          <w:lang w:val="en-US"/>
        </w:rPr>
      </w:pPr>
      <w:r w:rsidRPr="007D4B0C">
        <w:rPr>
          <w:lang w:val="en-US"/>
        </w:rPr>
        <w:t xml:space="preserve">Chen Y., He J., Wang Y., Li, P., 2010, GC-MS used in study on the mechanism of the viscosity reduction of heavy oil through aquathermolysis catalyzed by aromatic sulfonic H3PMo12O40, Energy, 35(8), 3454-3460. </w:t>
      </w:r>
    </w:p>
    <w:p w14:paraId="0C19E965" w14:textId="200DC1D6" w:rsidR="00213041" w:rsidRPr="007D4B0C" w:rsidRDefault="00213041" w:rsidP="00E961C7">
      <w:pPr>
        <w:widowControl w:val="0"/>
        <w:autoSpaceDE w:val="0"/>
        <w:autoSpaceDN w:val="0"/>
        <w:adjustRightInd w:val="0"/>
        <w:spacing w:line="240" w:lineRule="auto"/>
        <w:ind w:left="480" w:hanging="480"/>
        <w:rPr>
          <w:rFonts w:cs="Arial"/>
          <w:noProof/>
          <w:szCs w:val="24"/>
        </w:rPr>
      </w:pPr>
      <w:r w:rsidRPr="007D4B0C">
        <w:rPr>
          <w:rFonts w:cs="Arial"/>
          <w:noProof/>
          <w:szCs w:val="24"/>
        </w:rPr>
        <w:t>Chew K.H., Klemeš J.J., Wan Alwi S.R., Abdul Manan Z., 2013, Industrial implementation issues of Total Site Heat Integration, Applied Thermal Engineering, 61, 17–25.</w:t>
      </w:r>
    </w:p>
    <w:p w14:paraId="591B8D13" w14:textId="72338C41" w:rsidR="00213041" w:rsidRPr="007D4B0C" w:rsidRDefault="00213041" w:rsidP="00066F65">
      <w:pPr>
        <w:widowControl w:val="0"/>
        <w:autoSpaceDE w:val="0"/>
        <w:autoSpaceDN w:val="0"/>
        <w:adjustRightInd w:val="0"/>
        <w:spacing w:line="240" w:lineRule="auto"/>
        <w:ind w:left="480" w:hanging="480"/>
        <w:rPr>
          <w:lang w:val="en-US"/>
        </w:rPr>
      </w:pPr>
      <w:r w:rsidRPr="007D4B0C">
        <w:rPr>
          <w:lang w:val="en-US"/>
        </w:rPr>
        <w:t>Huang S., Cao M., Huang Q., Liu B., Jiang J., 2019, Study on reaction equations of heavy oil aquathermolysis with superheated steam, International journal of environmental science and technology, 16, 5023-5032.</w:t>
      </w:r>
    </w:p>
    <w:p w14:paraId="10FFF363" w14:textId="77777777" w:rsidR="00213041" w:rsidRPr="007D4B0C" w:rsidRDefault="00213041" w:rsidP="00D614E8">
      <w:pPr>
        <w:widowControl w:val="0"/>
        <w:autoSpaceDE w:val="0"/>
        <w:autoSpaceDN w:val="0"/>
        <w:adjustRightInd w:val="0"/>
        <w:spacing w:line="240" w:lineRule="auto"/>
        <w:ind w:left="480" w:hanging="480"/>
        <w:rPr>
          <w:lang w:val="en-US"/>
        </w:rPr>
      </w:pPr>
      <w:r w:rsidRPr="007D4B0C">
        <w:rPr>
          <w:lang w:val="en-US"/>
        </w:rPr>
        <w:t>Hyne J.B., 1986, Aquathermolysis: a synopsis of work on the chemical reaction between water (steam) and heavy oil sands during simulated steam stimulation, AOSTRA Publication Series 55.</w:t>
      </w:r>
    </w:p>
    <w:p w14:paraId="4628DC81" w14:textId="7D8E6D0C" w:rsidR="00213041" w:rsidRPr="007D4B0C" w:rsidRDefault="00213041" w:rsidP="00066F65">
      <w:pPr>
        <w:widowControl w:val="0"/>
        <w:autoSpaceDE w:val="0"/>
        <w:autoSpaceDN w:val="0"/>
        <w:adjustRightInd w:val="0"/>
        <w:spacing w:line="240" w:lineRule="auto"/>
        <w:ind w:left="480" w:hanging="480"/>
        <w:rPr>
          <w:lang w:val="en-US"/>
        </w:rPr>
      </w:pPr>
      <w:r w:rsidRPr="007D4B0C">
        <w:rPr>
          <w:lang w:val="en-US"/>
        </w:rPr>
        <w:t>Kapadia P.R., Kallos M.S., Gates, I.D., 2015, A review of pyrolysis, aquathermolysis, and oxidation of Athabasca bitumen, Fuel Processing Technology, 131, 270-289.</w:t>
      </w:r>
    </w:p>
    <w:p w14:paraId="28A01BE7" w14:textId="315628C8" w:rsidR="00213041" w:rsidRPr="007D4B0C" w:rsidRDefault="00213041" w:rsidP="00066F65">
      <w:pPr>
        <w:widowControl w:val="0"/>
        <w:autoSpaceDE w:val="0"/>
        <w:autoSpaceDN w:val="0"/>
        <w:adjustRightInd w:val="0"/>
        <w:spacing w:line="240" w:lineRule="auto"/>
        <w:ind w:left="480" w:hanging="480"/>
        <w:rPr>
          <w:lang w:val="en-US"/>
        </w:rPr>
      </w:pPr>
      <w:r w:rsidRPr="007D4B0C">
        <w:rPr>
          <w:lang w:val="en-US"/>
        </w:rPr>
        <w:t>León A.Y., Núñez-Méndez K.S., Salas-Chia L.M., Orozco-Agamez J.C., Peña-Ballesteros D.Y., Martínez-</w:t>
      </w:r>
      <w:proofErr w:type="spellStart"/>
      <w:r w:rsidRPr="007D4B0C">
        <w:rPr>
          <w:lang w:val="en-US"/>
        </w:rPr>
        <w:t>Vertel</w:t>
      </w:r>
      <w:proofErr w:type="spellEnd"/>
      <w:r w:rsidRPr="007D4B0C">
        <w:rPr>
          <w:lang w:val="en-US"/>
        </w:rPr>
        <w:t>, J.J., Molina-Velasco D.R., 2024, Prediction of some physicochemical properties in Colombian crude oils upgraded by catalytic aquathermolysis using UV–VIS spectroscopy associated with chemometric methods, Spectrochimica Acta Part A: Molecular and Biomolecular Spectroscopy, 310, 123965.</w:t>
      </w:r>
    </w:p>
    <w:p w14:paraId="215B3AFF" w14:textId="01BD51B5" w:rsidR="00213041" w:rsidRPr="007D4B0C" w:rsidRDefault="00213041" w:rsidP="00AD34C1">
      <w:pPr>
        <w:widowControl w:val="0"/>
        <w:autoSpaceDE w:val="0"/>
        <w:autoSpaceDN w:val="0"/>
        <w:adjustRightInd w:val="0"/>
        <w:spacing w:line="240" w:lineRule="auto"/>
        <w:ind w:left="480" w:hanging="480"/>
        <w:rPr>
          <w:lang w:val="en-US"/>
        </w:rPr>
      </w:pPr>
      <w:r w:rsidRPr="007D4B0C">
        <w:rPr>
          <w:lang w:val="en-US"/>
        </w:rPr>
        <w:t>Li Y., Zhang S., Wang Y., Qi G., Yu T., Xin X., Chen G., 2023, Oil-Soluble Exogenous Catalysts and Reservoir Minerals Synergistically Catalyze the Aquathermolysis of Heavy Oil, Molecules, 28(19), 6766.</w:t>
      </w:r>
    </w:p>
    <w:p w14:paraId="43F30674" w14:textId="703A6CAB" w:rsidR="00213041" w:rsidRPr="007D4B0C" w:rsidRDefault="00213041" w:rsidP="00AD34C1">
      <w:pPr>
        <w:widowControl w:val="0"/>
        <w:autoSpaceDE w:val="0"/>
        <w:autoSpaceDN w:val="0"/>
        <w:adjustRightInd w:val="0"/>
        <w:spacing w:line="240" w:lineRule="auto"/>
        <w:ind w:left="480" w:hanging="480"/>
        <w:rPr>
          <w:lang w:val="en-US"/>
        </w:rPr>
      </w:pPr>
      <w:r w:rsidRPr="007D4B0C">
        <w:rPr>
          <w:lang w:val="en-US"/>
        </w:rPr>
        <w:t xml:space="preserve">Li Y.R., Li Q.Y., Wang X.D., Yu </w:t>
      </w:r>
      <w:proofErr w:type="spellStart"/>
      <w:r w:rsidRPr="007D4B0C">
        <w:rPr>
          <w:lang w:val="en-US"/>
        </w:rPr>
        <w:t>L.G.,Yang</w:t>
      </w:r>
      <w:proofErr w:type="spellEnd"/>
      <w:r w:rsidRPr="007D4B0C">
        <w:rPr>
          <w:lang w:val="en-US"/>
        </w:rPr>
        <w:t xml:space="preserve"> J.J., 2018, </w:t>
      </w:r>
      <w:proofErr w:type="spellStart"/>
      <w:r w:rsidRPr="007D4B0C">
        <w:rPr>
          <w:lang w:val="en-US"/>
        </w:rPr>
        <w:t>Aquathermolysis</w:t>
      </w:r>
      <w:proofErr w:type="spellEnd"/>
      <w:r w:rsidRPr="007D4B0C">
        <w:rPr>
          <w:lang w:val="en-US"/>
        </w:rPr>
        <w:t xml:space="preserve"> of heavy crude oil with ferric oleate catalyst, Petroleum Science, 15, 613-624.</w:t>
      </w:r>
    </w:p>
    <w:p w14:paraId="5D4B645C" w14:textId="0839E55E" w:rsidR="00213041" w:rsidRPr="007D4B0C" w:rsidRDefault="00213041" w:rsidP="00066F65">
      <w:pPr>
        <w:widowControl w:val="0"/>
        <w:autoSpaceDE w:val="0"/>
        <w:autoSpaceDN w:val="0"/>
        <w:adjustRightInd w:val="0"/>
        <w:spacing w:line="240" w:lineRule="auto"/>
        <w:ind w:left="480" w:hanging="480"/>
        <w:rPr>
          <w:lang w:val="en-US"/>
        </w:rPr>
      </w:pPr>
      <w:r w:rsidRPr="007D4B0C">
        <w:rPr>
          <w:lang w:val="en-US"/>
        </w:rPr>
        <w:t>Lozano D.C.P., Orrego-Ruiz J.A., Barrow M.P., Hernandez R.C., Mejía-Ospino E., 2016, Analysis of the molecular weight distribution of vacuum residues and their molecular distillation fractions by laser desorption ionization mass spectrometry, Fuel, 171, 247-252.</w:t>
      </w:r>
    </w:p>
    <w:p w14:paraId="3055FD8E" w14:textId="7CB1787E" w:rsidR="00213041" w:rsidRPr="007D4B0C" w:rsidRDefault="00213041" w:rsidP="00066F65">
      <w:pPr>
        <w:widowControl w:val="0"/>
        <w:autoSpaceDE w:val="0"/>
        <w:autoSpaceDN w:val="0"/>
        <w:adjustRightInd w:val="0"/>
        <w:spacing w:line="240" w:lineRule="auto"/>
        <w:ind w:left="480" w:hanging="480"/>
        <w:rPr>
          <w:lang w:val="en-US"/>
        </w:rPr>
      </w:pPr>
      <w:proofErr w:type="spellStart"/>
      <w:r w:rsidRPr="007D4B0C">
        <w:rPr>
          <w:lang w:val="en-US"/>
        </w:rPr>
        <w:t>Muraza</w:t>
      </w:r>
      <w:proofErr w:type="spellEnd"/>
      <w:r w:rsidRPr="007D4B0C">
        <w:rPr>
          <w:lang w:val="en-US"/>
        </w:rPr>
        <w:t xml:space="preserve"> O., Galadima A., 2015, Aquathermolysis of heavy oil: A review and perspective on catalyst development, Fuel, 157, 219-231</w:t>
      </w:r>
      <w:r w:rsidR="006C5F2E" w:rsidRPr="007D4B0C">
        <w:rPr>
          <w:lang w:val="en-US"/>
        </w:rPr>
        <w:t>.</w:t>
      </w:r>
    </w:p>
    <w:p w14:paraId="6DED0C25" w14:textId="71DB395E" w:rsidR="00213041" w:rsidRPr="007D4B0C" w:rsidRDefault="00213041" w:rsidP="00066F65">
      <w:pPr>
        <w:widowControl w:val="0"/>
        <w:autoSpaceDE w:val="0"/>
        <w:autoSpaceDN w:val="0"/>
        <w:adjustRightInd w:val="0"/>
        <w:spacing w:line="240" w:lineRule="auto"/>
        <w:ind w:left="480" w:hanging="480"/>
        <w:rPr>
          <w:lang w:val="en-US"/>
        </w:rPr>
      </w:pPr>
      <w:r w:rsidRPr="007D4B0C">
        <w:rPr>
          <w:lang w:val="en-US"/>
        </w:rPr>
        <w:t>Salas-Chia L.M., Naranjo P.A.L., Bermúdez A.Y.L., 2023, Effect of Rock on Aquathermolysis Reactions at Laboratory Scale (A Review), Petroleum Chemistry, 63(3), 241-256.</w:t>
      </w:r>
    </w:p>
    <w:p w14:paraId="39F7E64C" w14:textId="3BA12D84" w:rsidR="00213041" w:rsidRPr="007D4B0C" w:rsidRDefault="00213041" w:rsidP="0011302E">
      <w:pPr>
        <w:widowControl w:val="0"/>
        <w:autoSpaceDE w:val="0"/>
        <w:autoSpaceDN w:val="0"/>
        <w:adjustRightInd w:val="0"/>
        <w:spacing w:line="240" w:lineRule="auto"/>
        <w:ind w:left="480" w:hanging="480"/>
        <w:rPr>
          <w:lang w:val="en-US"/>
        </w:rPr>
      </w:pPr>
      <w:proofErr w:type="spellStart"/>
      <w:r w:rsidRPr="007D4B0C">
        <w:rPr>
          <w:lang w:val="en-US"/>
        </w:rPr>
        <w:t>Urazov</w:t>
      </w:r>
      <w:proofErr w:type="spellEnd"/>
      <w:r w:rsidRPr="007D4B0C">
        <w:rPr>
          <w:lang w:val="en-US"/>
        </w:rPr>
        <w:t xml:space="preserve"> K.K., </w:t>
      </w:r>
      <w:proofErr w:type="spellStart"/>
      <w:r w:rsidRPr="007D4B0C">
        <w:rPr>
          <w:lang w:val="en-US"/>
        </w:rPr>
        <w:t>Sviridenko</w:t>
      </w:r>
      <w:proofErr w:type="spellEnd"/>
      <w:r w:rsidRPr="007D4B0C">
        <w:rPr>
          <w:lang w:val="en-US"/>
        </w:rPr>
        <w:t xml:space="preserve"> N.N., </w:t>
      </w:r>
      <w:proofErr w:type="spellStart"/>
      <w:r w:rsidRPr="007D4B0C">
        <w:rPr>
          <w:lang w:val="en-US"/>
        </w:rPr>
        <w:t>Iovik</w:t>
      </w:r>
      <w:proofErr w:type="spellEnd"/>
      <w:r w:rsidRPr="007D4B0C">
        <w:rPr>
          <w:lang w:val="en-US"/>
        </w:rPr>
        <w:t xml:space="preserve"> Y.A., </w:t>
      </w:r>
      <w:proofErr w:type="spellStart"/>
      <w:r w:rsidRPr="007D4B0C">
        <w:rPr>
          <w:lang w:val="en-US"/>
        </w:rPr>
        <w:t>Kolobova</w:t>
      </w:r>
      <w:proofErr w:type="spellEnd"/>
      <w:r w:rsidRPr="007D4B0C">
        <w:rPr>
          <w:lang w:val="en-US"/>
        </w:rPr>
        <w:t xml:space="preserve"> E.N., </w:t>
      </w:r>
      <w:proofErr w:type="spellStart"/>
      <w:r w:rsidRPr="007D4B0C">
        <w:rPr>
          <w:lang w:val="en-US"/>
        </w:rPr>
        <w:t>Grabchenko</w:t>
      </w:r>
      <w:proofErr w:type="spellEnd"/>
      <w:r w:rsidRPr="007D4B0C">
        <w:rPr>
          <w:lang w:val="en-US"/>
        </w:rPr>
        <w:t xml:space="preserve"> M.V., </w:t>
      </w:r>
      <w:proofErr w:type="spellStart"/>
      <w:r w:rsidRPr="007D4B0C">
        <w:rPr>
          <w:lang w:val="en-US"/>
        </w:rPr>
        <w:t>Kurzina</w:t>
      </w:r>
      <w:proofErr w:type="spellEnd"/>
      <w:r w:rsidRPr="007D4B0C">
        <w:rPr>
          <w:lang w:val="en-US"/>
        </w:rPr>
        <w:t xml:space="preserve">, I.A., </w:t>
      </w:r>
      <w:proofErr w:type="spellStart"/>
      <w:r w:rsidRPr="007D4B0C">
        <w:rPr>
          <w:lang w:val="en-US"/>
        </w:rPr>
        <w:t>Mukhamatdinov</w:t>
      </w:r>
      <w:proofErr w:type="spellEnd"/>
      <w:r w:rsidRPr="007D4B0C">
        <w:rPr>
          <w:lang w:val="en-US"/>
        </w:rPr>
        <w:t>, I.I., 2022, Effect of hydrogen-donor of heavy crude oil catalytic aquathermolysis in the presence of a nickel-based catalyst, Catalysts, 12(10), 1154.</w:t>
      </w:r>
    </w:p>
    <w:p w14:paraId="764AB903" w14:textId="2F9A52F8" w:rsidR="00213041" w:rsidRPr="007D4B0C" w:rsidRDefault="00213041" w:rsidP="00066F65">
      <w:pPr>
        <w:widowControl w:val="0"/>
        <w:autoSpaceDE w:val="0"/>
        <w:autoSpaceDN w:val="0"/>
        <w:adjustRightInd w:val="0"/>
        <w:spacing w:line="240" w:lineRule="auto"/>
        <w:ind w:left="480" w:hanging="480"/>
        <w:rPr>
          <w:lang w:val="en-US"/>
        </w:rPr>
      </w:pPr>
      <w:proofErr w:type="spellStart"/>
      <w:r w:rsidRPr="007D4B0C">
        <w:rPr>
          <w:lang w:val="en-US"/>
        </w:rPr>
        <w:t>Vakhin</w:t>
      </w:r>
      <w:proofErr w:type="spellEnd"/>
      <w:r w:rsidRPr="007D4B0C">
        <w:rPr>
          <w:lang w:val="en-US"/>
        </w:rPr>
        <w:t xml:space="preserve"> V., Aliev F.A., </w:t>
      </w:r>
      <w:proofErr w:type="spellStart"/>
      <w:r w:rsidRPr="007D4B0C">
        <w:rPr>
          <w:lang w:val="en-US"/>
        </w:rPr>
        <w:t>Kudryashov</w:t>
      </w:r>
      <w:proofErr w:type="spellEnd"/>
      <w:r w:rsidRPr="007D4B0C">
        <w:rPr>
          <w:lang w:val="en-US"/>
        </w:rPr>
        <w:t xml:space="preserve"> S.I., </w:t>
      </w:r>
      <w:proofErr w:type="spellStart"/>
      <w:r w:rsidRPr="007D4B0C">
        <w:rPr>
          <w:lang w:val="en-US"/>
        </w:rPr>
        <w:t>Afanasiev</w:t>
      </w:r>
      <w:proofErr w:type="spellEnd"/>
      <w:r w:rsidRPr="007D4B0C">
        <w:rPr>
          <w:lang w:val="en-US"/>
        </w:rPr>
        <w:t xml:space="preserve"> I.S., </w:t>
      </w:r>
      <w:proofErr w:type="spellStart"/>
      <w:r w:rsidRPr="007D4B0C">
        <w:rPr>
          <w:lang w:val="en-US"/>
        </w:rPr>
        <w:t>Petrashov</w:t>
      </w:r>
      <w:proofErr w:type="spellEnd"/>
      <w:r w:rsidRPr="007D4B0C">
        <w:rPr>
          <w:lang w:val="en-US"/>
        </w:rPr>
        <w:t xml:space="preserve"> O.V., </w:t>
      </w:r>
      <w:proofErr w:type="spellStart"/>
      <w:r w:rsidRPr="007D4B0C">
        <w:rPr>
          <w:lang w:val="en-US"/>
        </w:rPr>
        <w:t>Sitnov</w:t>
      </w:r>
      <w:proofErr w:type="spellEnd"/>
      <w:r w:rsidRPr="007D4B0C">
        <w:rPr>
          <w:lang w:val="en-US"/>
        </w:rPr>
        <w:t xml:space="preserve"> S.A., </w:t>
      </w:r>
      <w:proofErr w:type="spellStart"/>
      <w:r w:rsidRPr="007D4B0C">
        <w:rPr>
          <w:lang w:val="en-US"/>
        </w:rPr>
        <w:t>Nurgaliev</w:t>
      </w:r>
      <w:proofErr w:type="spellEnd"/>
      <w:r w:rsidRPr="007D4B0C">
        <w:rPr>
          <w:lang w:val="en-US"/>
        </w:rPr>
        <w:t xml:space="preserve"> D.K., 2018, Aquathermolysis of heavy oil in reservoir conditions with the use of oil-soluble catalysts: Part I-changes in composition of saturated hydrocarbons, Petroleum Science and Technology, 36(21), 1829-1836.</w:t>
      </w:r>
    </w:p>
    <w:p w14:paraId="2BA8AC44" w14:textId="60BF5254" w:rsidR="00213041" w:rsidRPr="007D4B0C" w:rsidRDefault="00213041" w:rsidP="00066F65">
      <w:pPr>
        <w:widowControl w:val="0"/>
        <w:autoSpaceDE w:val="0"/>
        <w:autoSpaceDN w:val="0"/>
        <w:adjustRightInd w:val="0"/>
        <w:spacing w:line="240" w:lineRule="auto"/>
        <w:ind w:left="480" w:hanging="480"/>
        <w:rPr>
          <w:lang w:val="en-US"/>
        </w:rPr>
      </w:pPr>
      <w:r w:rsidRPr="007D4B0C">
        <w:rPr>
          <w:lang w:val="en-US"/>
        </w:rPr>
        <w:t xml:space="preserve">Vo A.C., Le T.S., </w:t>
      </w:r>
      <w:proofErr w:type="spellStart"/>
      <w:r w:rsidRPr="007D4B0C">
        <w:rPr>
          <w:lang w:val="en-US"/>
        </w:rPr>
        <w:t>Maneeintr</w:t>
      </w:r>
      <w:proofErr w:type="spellEnd"/>
      <w:r w:rsidRPr="007D4B0C">
        <w:rPr>
          <w:lang w:val="en-US"/>
        </w:rPr>
        <w:t xml:space="preserve"> K., 2021, Simulation Study of Sodium 4-Vinylbenzene Sulfonate as a Surfactant for Enhanced Oil Recovery in the North of Thailand, Chemical Engineering Transactions, 89, 559-564.</w:t>
      </w:r>
    </w:p>
    <w:p w14:paraId="22DC5CB3" w14:textId="20CD234C" w:rsidR="007824C6" w:rsidRPr="007D4B0C" w:rsidRDefault="00213041" w:rsidP="004804B0">
      <w:pPr>
        <w:widowControl w:val="0"/>
        <w:autoSpaceDE w:val="0"/>
        <w:autoSpaceDN w:val="0"/>
        <w:adjustRightInd w:val="0"/>
        <w:spacing w:line="240" w:lineRule="auto"/>
        <w:ind w:left="480" w:hanging="480"/>
        <w:rPr>
          <w:lang w:val="en-US"/>
        </w:rPr>
      </w:pPr>
      <w:r w:rsidRPr="007D4B0C">
        <w:rPr>
          <w:lang w:val="en-US"/>
        </w:rPr>
        <w:t>Zhao F., Liu Y., Fu Z., Zhao X., 2014, Using hydrogen donor with oil-soluble catalysts for upgrading heavy oil, Russian Journal of Applied Chemistry, 87, 1498-1506.</w:t>
      </w:r>
    </w:p>
    <w:sectPr w:rsidR="007824C6" w:rsidRPr="007D4B0C"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FE210" w14:textId="77777777" w:rsidR="00555F72" w:rsidRDefault="00555F72" w:rsidP="004F5E36">
      <w:r>
        <w:separator/>
      </w:r>
    </w:p>
  </w:endnote>
  <w:endnote w:type="continuationSeparator" w:id="0">
    <w:p w14:paraId="57378150" w14:textId="77777777" w:rsidR="00555F72" w:rsidRDefault="00555F7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Arial"/>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D4DFF" w14:textId="77777777" w:rsidR="00555F72" w:rsidRDefault="00555F72" w:rsidP="004F5E36">
      <w:r>
        <w:separator/>
      </w:r>
    </w:p>
  </w:footnote>
  <w:footnote w:type="continuationSeparator" w:id="0">
    <w:p w14:paraId="728A9D4B" w14:textId="77777777" w:rsidR="00555F72" w:rsidRDefault="00555F7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3EF57B6"/>
    <w:multiLevelType w:val="hybridMultilevel"/>
    <w:tmpl w:val="A31CE14C"/>
    <w:lvl w:ilvl="0" w:tplc="A63A7D1A">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6C84BE4"/>
    <w:multiLevelType w:val="multilevel"/>
    <w:tmpl w:val="757EDDB2"/>
    <w:lvl w:ilvl="0">
      <w:start w:val="1"/>
      <w:numFmt w:val="decimal"/>
      <w:lvlText w:val="%1."/>
      <w:lvlJc w:val="left"/>
      <w:pPr>
        <w:ind w:left="360" w:hanging="360"/>
      </w:pPr>
      <w:rPr>
        <w:rFonts w:asciiTheme="minorHAnsi" w:hAnsiTheme="minorHAnsi" w:cstheme="minorHAnsi" w:hint="default"/>
        <w:sz w:val="32"/>
        <w:szCs w:val="32"/>
      </w:rPr>
    </w:lvl>
    <w:lvl w:ilvl="1">
      <w:start w:val="1"/>
      <w:numFmt w:val="decimal"/>
      <w:isLgl/>
      <w:lvlText w:val="%1.%2."/>
      <w:lvlJc w:val="left"/>
      <w:pPr>
        <w:ind w:left="720" w:hanging="72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8AD6035"/>
    <w:multiLevelType w:val="hybridMultilevel"/>
    <w:tmpl w:val="4266D318"/>
    <w:lvl w:ilvl="0" w:tplc="6036797E">
      <w:numFmt w:val="bullet"/>
      <w:lvlText w:val="-"/>
      <w:lvlJc w:val="left"/>
      <w:pPr>
        <w:ind w:left="360" w:hanging="360"/>
      </w:pPr>
      <w:rPr>
        <w:rFonts w:ascii="Calibri" w:eastAsiaTheme="minorHAnsi" w:hAnsi="Calibri" w:cs="Calibri" w:hint="default"/>
        <w:sz w:val="22"/>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3"/>
  </w:num>
  <w:num w:numId="14">
    <w:abstractNumId w:val="20"/>
  </w:num>
  <w:num w:numId="15">
    <w:abstractNumId w:val="23"/>
  </w:num>
  <w:num w:numId="16">
    <w:abstractNumId w:val="21"/>
  </w:num>
  <w:num w:numId="17">
    <w:abstractNumId w:val="12"/>
  </w:num>
  <w:num w:numId="18">
    <w:abstractNumId w:val="13"/>
    <w:lvlOverride w:ilvl="0">
      <w:startOverride w:val="1"/>
    </w:lvlOverride>
  </w:num>
  <w:num w:numId="19">
    <w:abstractNumId w:val="18"/>
  </w:num>
  <w:num w:numId="20">
    <w:abstractNumId w:val="17"/>
  </w:num>
  <w:num w:numId="21">
    <w:abstractNumId w:val="15"/>
  </w:num>
  <w:num w:numId="22">
    <w:abstractNumId w:val="14"/>
  </w:num>
  <w:num w:numId="23">
    <w:abstractNumId w:val="10"/>
  </w:num>
  <w:num w:numId="24">
    <w:abstractNumId w:val="22"/>
  </w:num>
  <w:num w:numId="25">
    <w:abstractNumId w:val="1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EEE"/>
    <w:rsid w:val="000027C0"/>
    <w:rsid w:val="0000297A"/>
    <w:rsid w:val="000052FB"/>
    <w:rsid w:val="00005A19"/>
    <w:rsid w:val="00006987"/>
    <w:rsid w:val="000117CB"/>
    <w:rsid w:val="00012E39"/>
    <w:rsid w:val="00013DFB"/>
    <w:rsid w:val="0001403A"/>
    <w:rsid w:val="00020D83"/>
    <w:rsid w:val="000260F9"/>
    <w:rsid w:val="0003148D"/>
    <w:rsid w:val="0003148E"/>
    <w:rsid w:val="00031EEC"/>
    <w:rsid w:val="000343C5"/>
    <w:rsid w:val="00036D63"/>
    <w:rsid w:val="0004082B"/>
    <w:rsid w:val="00051566"/>
    <w:rsid w:val="00051760"/>
    <w:rsid w:val="000520F9"/>
    <w:rsid w:val="00053CC2"/>
    <w:rsid w:val="000562A9"/>
    <w:rsid w:val="00057457"/>
    <w:rsid w:val="00062545"/>
    <w:rsid w:val="00062A9A"/>
    <w:rsid w:val="00065058"/>
    <w:rsid w:val="00066386"/>
    <w:rsid w:val="00066F65"/>
    <w:rsid w:val="00067162"/>
    <w:rsid w:val="00072717"/>
    <w:rsid w:val="00072A98"/>
    <w:rsid w:val="000758C9"/>
    <w:rsid w:val="00076D0A"/>
    <w:rsid w:val="00081F7C"/>
    <w:rsid w:val="0008388C"/>
    <w:rsid w:val="00086C39"/>
    <w:rsid w:val="000A03B2"/>
    <w:rsid w:val="000B51D4"/>
    <w:rsid w:val="000B5404"/>
    <w:rsid w:val="000C31E6"/>
    <w:rsid w:val="000C3FCC"/>
    <w:rsid w:val="000C5B63"/>
    <w:rsid w:val="000C72EF"/>
    <w:rsid w:val="000D0268"/>
    <w:rsid w:val="000D218F"/>
    <w:rsid w:val="000D34BE"/>
    <w:rsid w:val="000D3E51"/>
    <w:rsid w:val="000E02B7"/>
    <w:rsid w:val="000E0B3C"/>
    <w:rsid w:val="000E102F"/>
    <w:rsid w:val="000E299C"/>
    <w:rsid w:val="000E36F1"/>
    <w:rsid w:val="000E3A73"/>
    <w:rsid w:val="000E414A"/>
    <w:rsid w:val="000E75FD"/>
    <w:rsid w:val="000F093C"/>
    <w:rsid w:val="000F11CC"/>
    <w:rsid w:val="000F16C4"/>
    <w:rsid w:val="000F5008"/>
    <w:rsid w:val="000F54B1"/>
    <w:rsid w:val="000F6953"/>
    <w:rsid w:val="000F787B"/>
    <w:rsid w:val="001016D4"/>
    <w:rsid w:val="001063C4"/>
    <w:rsid w:val="00112266"/>
    <w:rsid w:val="0011302E"/>
    <w:rsid w:val="0012091F"/>
    <w:rsid w:val="00122C3E"/>
    <w:rsid w:val="0012369A"/>
    <w:rsid w:val="00126BC2"/>
    <w:rsid w:val="00127A8C"/>
    <w:rsid w:val="001308B6"/>
    <w:rsid w:val="0013121F"/>
    <w:rsid w:val="00131FE6"/>
    <w:rsid w:val="0013263F"/>
    <w:rsid w:val="00132F36"/>
    <w:rsid w:val="001331DF"/>
    <w:rsid w:val="00134DE4"/>
    <w:rsid w:val="00136980"/>
    <w:rsid w:val="0014034D"/>
    <w:rsid w:val="00140FE3"/>
    <w:rsid w:val="00144D16"/>
    <w:rsid w:val="00150E59"/>
    <w:rsid w:val="00152DE3"/>
    <w:rsid w:val="00161775"/>
    <w:rsid w:val="00164CF9"/>
    <w:rsid w:val="0016668E"/>
    <w:rsid w:val="001667A6"/>
    <w:rsid w:val="00173086"/>
    <w:rsid w:val="0018171E"/>
    <w:rsid w:val="00183854"/>
    <w:rsid w:val="00184AD6"/>
    <w:rsid w:val="001A4AF7"/>
    <w:rsid w:val="001A6C2C"/>
    <w:rsid w:val="001B0321"/>
    <w:rsid w:val="001B0349"/>
    <w:rsid w:val="001B1E93"/>
    <w:rsid w:val="001B65C1"/>
    <w:rsid w:val="001C00D1"/>
    <w:rsid w:val="001C1E3C"/>
    <w:rsid w:val="001C260F"/>
    <w:rsid w:val="001C5C3A"/>
    <w:rsid w:val="001C684B"/>
    <w:rsid w:val="001D0CFB"/>
    <w:rsid w:val="001D21AF"/>
    <w:rsid w:val="001D3D32"/>
    <w:rsid w:val="001D53FC"/>
    <w:rsid w:val="001D5821"/>
    <w:rsid w:val="001F02E1"/>
    <w:rsid w:val="001F03FA"/>
    <w:rsid w:val="001F22F3"/>
    <w:rsid w:val="001F3AA1"/>
    <w:rsid w:val="001F42A5"/>
    <w:rsid w:val="001F615B"/>
    <w:rsid w:val="001F7B9D"/>
    <w:rsid w:val="002019B9"/>
    <w:rsid w:val="00201C93"/>
    <w:rsid w:val="00210621"/>
    <w:rsid w:val="00213041"/>
    <w:rsid w:val="002174E3"/>
    <w:rsid w:val="002224B4"/>
    <w:rsid w:val="002247D5"/>
    <w:rsid w:val="00231026"/>
    <w:rsid w:val="00240CF6"/>
    <w:rsid w:val="002447EF"/>
    <w:rsid w:val="0024531C"/>
    <w:rsid w:val="00246834"/>
    <w:rsid w:val="00247612"/>
    <w:rsid w:val="00251550"/>
    <w:rsid w:val="00252DF7"/>
    <w:rsid w:val="0026142F"/>
    <w:rsid w:val="002617EC"/>
    <w:rsid w:val="00263B05"/>
    <w:rsid w:val="0027221A"/>
    <w:rsid w:val="0027273A"/>
    <w:rsid w:val="002744FE"/>
    <w:rsid w:val="00275B61"/>
    <w:rsid w:val="00280FAF"/>
    <w:rsid w:val="00282656"/>
    <w:rsid w:val="002842CD"/>
    <w:rsid w:val="00291720"/>
    <w:rsid w:val="00295282"/>
    <w:rsid w:val="00296B83"/>
    <w:rsid w:val="002A17E7"/>
    <w:rsid w:val="002A2EBC"/>
    <w:rsid w:val="002A5C0B"/>
    <w:rsid w:val="002A75EF"/>
    <w:rsid w:val="002B4015"/>
    <w:rsid w:val="002B78CE"/>
    <w:rsid w:val="002C2FB6"/>
    <w:rsid w:val="002C60B9"/>
    <w:rsid w:val="002D2E5E"/>
    <w:rsid w:val="002D3671"/>
    <w:rsid w:val="002E25E9"/>
    <w:rsid w:val="002E5C68"/>
    <w:rsid w:val="002E5FA7"/>
    <w:rsid w:val="002E7DCD"/>
    <w:rsid w:val="002F3309"/>
    <w:rsid w:val="003002C2"/>
    <w:rsid w:val="003008CE"/>
    <w:rsid w:val="003009B7"/>
    <w:rsid w:val="00300E56"/>
    <w:rsid w:val="0030152C"/>
    <w:rsid w:val="0030469C"/>
    <w:rsid w:val="00304CE8"/>
    <w:rsid w:val="0031497B"/>
    <w:rsid w:val="00321C55"/>
    <w:rsid w:val="00321CA6"/>
    <w:rsid w:val="003224F9"/>
    <w:rsid w:val="00323763"/>
    <w:rsid w:val="00323C5F"/>
    <w:rsid w:val="00325623"/>
    <w:rsid w:val="00331A22"/>
    <w:rsid w:val="00333A55"/>
    <w:rsid w:val="00334C09"/>
    <w:rsid w:val="00336A18"/>
    <w:rsid w:val="00345177"/>
    <w:rsid w:val="003470D1"/>
    <w:rsid w:val="00352EDB"/>
    <w:rsid w:val="00370546"/>
    <w:rsid w:val="003723D4"/>
    <w:rsid w:val="00376A27"/>
    <w:rsid w:val="00380165"/>
    <w:rsid w:val="00381905"/>
    <w:rsid w:val="00384CC8"/>
    <w:rsid w:val="003871FD"/>
    <w:rsid w:val="003A1E30"/>
    <w:rsid w:val="003A2401"/>
    <w:rsid w:val="003A2829"/>
    <w:rsid w:val="003A3E69"/>
    <w:rsid w:val="003A7D1C"/>
    <w:rsid w:val="003B304B"/>
    <w:rsid w:val="003B3146"/>
    <w:rsid w:val="003B49CD"/>
    <w:rsid w:val="003D1E02"/>
    <w:rsid w:val="003E1926"/>
    <w:rsid w:val="003E3635"/>
    <w:rsid w:val="003E4D00"/>
    <w:rsid w:val="003F015E"/>
    <w:rsid w:val="003F606D"/>
    <w:rsid w:val="003F784D"/>
    <w:rsid w:val="00400414"/>
    <w:rsid w:val="00413562"/>
    <w:rsid w:val="00413675"/>
    <w:rsid w:val="0041446B"/>
    <w:rsid w:val="00414754"/>
    <w:rsid w:val="00414AB2"/>
    <w:rsid w:val="00421A88"/>
    <w:rsid w:val="0042442B"/>
    <w:rsid w:val="004261B3"/>
    <w:rsid w:val="004277D7"/>
    <w:rsid w:val="004307E8"/>
    <w:rsid w:val="0043346F"/>
    <w:rsid w:val="0044071E"/>
    <w:rsid w:val="0044329C"/>
    <w:rsid w:val="0044396D"/>
    <w:rsid w:val="00450349"/>
    <w:rsid w:val="00453E24"/>
    <w:rsid w:val="00457456"/>
    <w:rsid w:val="004577FE"/>
    <w:rsid w:val="00457B9C"/>
    <w:rsid w:val="00457D57"/>
    <w:rsid w:val="0046164A"/>
    <w:rsid w:val="004628D2"/>
    <w:rsid w:val="00462DCD"/>
    <w:rsid w:val="004639F6"/>
    <w:rsid w:val="00463C0A"/>
    <w:rsid w:val="0046406A"/>
    <w:rsid w:val="004648AD"/>
    <w:rsid w:val="00465F82"/>
    <w:rsid w:val="004703A9"/>
    <w:rsid w:val="004760DE"/>
    <w:rsid w:val="00476365"/>
    <w:rsid w:val="004763D7"/>
    <w:rsid w:val="00477641"/>
    <w:rsid w:val="004804B0"/>
    <w:rsid w:val="0048324C"/>
    <w:rsid w:val="004866D4"/>
    <w:rsid w:val="004A004E"/>
    <w:rsid w:val="004A24CF"/>
    <w:rsid w:val="004A43BC"/>
    <w:rsid w:val="004A5A04"/>
    <w:rsid w:val="004B30EC"/>
    <w:rsid w:val="004B3546"/>
    <w:rsid w:val="004B6DB0"/>
    <w:rsid w:val="004C3D1D"/>
    <w:rsid w:val="004C3D84"/>
    <w:rsid w:val="004C56CB"/>
    <w:rsid w:val="004C6F19"/>
    <w:rsid w:val="004C7913"/>
    <w:rsid w:val="004D0B26"/>
    <w:rsid w:val="004D12C9"/>
    <w:rsid w:val="004D4CDD"/>
    <w:rsid w:val="004D5394"/>
    <w:rsid w:val="004E1018"/>
    <w:rsid w:val="004E28CE"/>
    <w:rsid w:val="004E4DD6"/>
    <w:rsid w:val="004F5E36"/>
    <w:rsid w:val="004F7FF9"/>
    <w:rsid w:val="00501239"/>
    <w:rsid w:val="00505193"/>
    <w:rsid w:val="00505422"/>
    <w:rsid w:val="00507B47"/>
    <w:rsid w:val="00507BEF"/>
    <w:rsid w:val="00507CC9"/>
    <w:rsid w:val="005119A5"/>
    <w:rsid w:val="00511A0A"/>
    <w:rsid w:val="005165EB"/>
    <w:rsid w:val="0052109E"/>
    <w:rsid w:val="005278B7"/>
    <w:rsid w:val="00532016"/>
    <w:rsid w:val="005345FE"/>
    <w:rsid w:val="005346C8"/>
    <w:rsid w:val="0053629B"/>
    <w:rsid w:val="00537B76"/>
    <w:rsid w:val="00543E7D"/>
    <w:rsid w:val="00547A68"/>
    <w:rsid w:val="00551CD4"/>
    <w:rsid w:val="005520BC"/>
    <w:rsid w:val="005531C9"/>
    <w:rsid w:val="00554879"/>
    <w:rsid w:val="00555F72"/>
    <w:rsid w:val="00556179"/>
    <w:rsid w:val="00570C43"/>
    <w:rsid w:val="00572612"/>
    <w:rsid w:val="00577EBD"/>
    <w:rsid w:val="00592274"/>
    <w:rsid w:val="005A033E"/>
    <w:rsid w:val="005A2A78"/>
    <w:rsid w:val="005A5E08"/>
    <w:rsid w:val="005B2110"/>
    <w:rsid w:val="005B350B"/>
    <w:rsid w:val="005B4F80"/>
    <w:rsid w:val="005B61E6"/>
    <w:rsid w:val="005B67C7"/>
    <w:rsid w:val="005C50D4"/>
    <w:rsid w:val="005C77E1"/>
    <w:rsid w:val="005D668A"/>
    <w:rsid w:val="005D6A2F"/>
    <w:rsid w:val="005D7903"/>
    <w:rsid w:val="005E0592"/>
    <w:rsid w:val="005E1A82"/>
    <w:rsid w:val="005E5128"/>
    <w:rsid w:val="005E5884"/>
    <w:rsid w:val="005E794C"/>
    <w:rsid w:val="005F0265"/>
    <w:rsid w:val="005F0A28"/>
    <w:rsid w:val="005F0E5E"/>
    <w:rsid w:val="00600535"/>
    <w:rsid w:val="00600FC7"/>
    <w:rsid w:val="006013B9"/>
    <w:rsid w:val="00602E91"/>
    <w:rsid w:val="00605B84"/>
    <w:rsid w:val="00610CD6"/>
    <w:rsid w:val="006114D8"/>
    <w:rsid w:val="006131E3"/>
    <w:rsid w:val="006201A7"/>
    <w:rsid w:val="00620DEE"/>
    <w:rsid w:val="00621F92"/>
    <w:rsid w:val="0062280A"/>
    <w:rsid w:val="00622F08"/>
    <w:rsid w:val="006231E1"/>
    <w:rsid w:val="00623AF1"/>
    <w:rsid w:val="00625639"/>
    <w:rsid w:val="00626342"/>
    <w:rsid w:val="00631B33"/>
    <w:rsid w:val="0063504B"/>
    <w:rsid w:val="0064184D"/>
    <w:rsid w:val="006422CC"/>
    <w:rsid w:val="00646D83"/>
    <w:rsid w:val="00646EBE"/>
    <w:rsid w:val="0064726B"/>
    <w:rsid w:val="00650121"/>
    <w:rsid w:val="00651D18"/>
    <w:rsid w:val="00660E3E"/>
    <w:rsid w:val="00662E74"/>
    <w:rsid w:val="00663255"/>
    <w:rsid w:val="00674A24"/>
    <w:rsid w:val="006750AA"/>
    <w:rsid w:val="006769A5"/>
    <w:rsid w:val="00680C23"/>
    <w:rsid w:val="00683E23"/>
    <w:rsid w:val="00685C4B"/>
    <w:rsid w:val="00690F93"/>
    <w:rsid w:val="00692FCB"/>
    <w:rsid w:val="00693766"/>
    <w:rsid w:val="00694EA1"/>
    <w:rsid w:val="0069685B"/>
    <w:rsid w:val="006A305D"/>
    <w:rsid w:val="006A3281"/>
    <w:rsid w:val="006A6DE5"/>
    <w:rsid w:val="006B0F3D"/>
    <w:rsid w:val="006B25A5"/>
    <w:rsid w:val="006B4196"/>
    <w:rsid w:val="006B4888"/>
    <w:rsid w:val="006B4F54"/>
    <w:rsid w:val="006C2E45"/>
    <w:rsid w:val="006C359C"/>
    <w:rsid w:val="006C5579"/>
    <w:rsid w:val="006C5F2E"/>
    <w:rsid w:val="006C6677"/>
    <w:rsid w:val="006C6A60"/>
    <w:rsid w:val="006D6E8B"/>
    <w:rsid w:val="006D7209"/>
    <w:rsid w:val="006E63A2"/>
    <w:rsid w:val="006E737D"/>
    <w:rsid w:val="006F5ED0"/>
    <w:rsid w:val="00702C82"/>
    <w:rsid w:val="0070707F"/>
    <w:rsid w:val="007074D3"/>
    <w:rsid w:val="00707DD1"/>
    <w:rsid w:val="00712894"/>
    <w:rsid w:val="00713973"/>
    <w:rsid w:val="00715DC6"/>
    <w:rsid w:val="00720A24"/>
    <w:rsid w:val="00732386"/>
    <w:rsid w:val="0073514D"/>
    <w:rsid w:val="00737CFB"/>
    <w:rsid w:val="00737D8C"/>
    <w:rsid w:val="00741836"/>
    <w:rsid w:val="007447F3"/>
    <w:rsid w:val="00752F08"/>
    <w:rsid w:val="007546FC"/>
    <w:rsid w:val="0075499F"/>
    <w:rsid w:val="00763132"/>
    <w:rsid w:val="007661C8"/>
    <w:rsid w:val="0077098D"/>
    <w:rsid w:val="0077112F"/>
    <w:rsid w:val="00771DB0"/>
    <w:rsid w:val="0077413C"/>
    <w:rsid w:val="007824C6"/>
    <w:rsid w:val="0078406D"/>
    <w:rsid w:val="00785BF9"/>
    <w:rsid w:val="007931FA"/>
    <w:rsid w:val="00796975"/>
    <w:rsid w:val="00796B0C"/>
    <w:rsid w:val="00797B1D"/>
    <w:rsid w:val="007A3B88"/>
    <w:rsid w:val="007A4861"/>
    <w:rsid w:val="007A7BBA"/>
    <w:rsid w:val="007B0C50"/>
    <w:rsid w:val="007B0C6F"/>
    <w:rsid w:val="007B48F9"/>
    <w:rsid w:val="007B7CCF"/>
    <w:rsid w:val="007C1A43"/>
    <w:rsid w:val="007C477D"/>
    <w:rsid w:val="007C59C2"/>
    <w:rsid w:val="007D0951"/>
    <w:rsid w:val="007D4B0C"/>
    <w:rsid w:val="007D610D"/>
    <w:rsid w:val="007D616A"/>
    <w:rsid w:val="007F24AC"/>
    <w:rsid w:val="007F45F5"/>
    <w:rsid w:val="007F72A2"/>
    <w:rsid w:val="0080013E"/>
    <w:rsid w:val="00801759"/>
    <w:rsid w:val="00804375"/>
    <w:rsid w:val="008044A3"/>
    <w:rsid w:val="00805DE1"/>
    <w:rsid w:val="00812099"/>
    <w:rsid w:val="00813288"/>
    <w:rsid w:val="008168FC"/>
    <w:rsid w:val="008176F7"/>
    <w:rsid w:val="00817FE9"/>
    <w:rsid w:val="00821F7D"/>
    <w:rsid w:val="00827557"/>
    <w:rsid w:val="00830996"/>
    <w:rsid w:val="00833FC3"/>
    <w:rsid w:val="008345F1"/>
    <w:rsid w:val="00834DE3"/>
    <w:rsid w:val="00840FD9"/>
    <w:rsid w:val="00850942"/>
    <w:rsid w:val="00855884"/>
    <w:rsid w:val="00861985"/>
    <w:rsid w:val="00865B07"/>
    <w:rsid w:val="008667EA"/>
    <w:rsid w:val="0087637F"/>
    <w:rsid w:val="00883FDE"/>
    <w:rsid w:val="0088410E"/>
    <w:rsid w:val="00892AD5"/>
    <w:rsid w:val="00893B7A"/>
    <w:rsid w:val="0089506B"/>
    <w:rsid w:val="008A1512"/>
    <w:rsid w:val="008B33DF"/>
    <w:rsid w:val="008B54DB"/>
    <w:rsid w:val="008C29C1"/>
    <w:rsid w:val="008C4C45"/>
    <w:rsid w:val="008D045E"/>
    <w:rsid w:val="008D32B9"/>
    <w:rsid w:val="008D433B"/>
    <w:rsid w:val="008D4A16"/>
    <w:rsid w:val="008D4A98"/>
    <w:rsid w:val="008E231C"/>
    <w:rsid w:val="008E263F"/>
    <w:rsid w:val="008E33EB"/>
    <w:rsid w:val="008E3DCE"/>
    <w:rsid w:val="008E462D"/>
    <w:rsid w:val="008E5401"/>
    <w:rsid w:val="008E566E"/>
    <w:rsid w:val="008F0256"/>
    <w:rsid w:val="0090161A"/>
    <w:rsid w:val="00901B70"/>
    <w:rsid w:val="00901EB6"/>
    <w:rsid w:val="009041F8"/>
    <w:rsid w:val="00904C62"/>
    <w:rsid w:val="00904F9E"/>
    <w:rsid w:val="0090501F"/>
    <w:rsid w:val="009068CC"/>
    <w:rsid w:val="009103B1"/>
    <w:rsid w:val="00922504"/>
    <w:rsid w:val="00922BA8"/>
    <w:rsid w:val="00922F12"/>
    <w:rsid w:val="00923ACC"/>
    <w:rsid w:val="00924DAC"/>
    <w:rsid w:val="00927058"/>
    <w:rsid w:val="0093570B"/>
    <w:rsid w:val="00941CAE"/>
    <w:rsid w:val="00942750"/>
    <w:rsid w:val="009450CE"/>
    <w:rsid w:val="009459BB"/>
    <w:rsid w:val="00947179"/>
    <w:rsid w:val="0095164B"/>
    <w:rsid w:val="00951A43"/>
    <w:rsid w:val="00954090"/>
    <w:rsid w:val="00954DAD"/>
    <w:rsid w:val="0095583C"/>
    <w:rsid w:val="009573E7"/>
    <w:rsid w:val="00963E05"/>
    <w:rsid w:val="00964A45"/>
    <w:rsid w:val="0096560F"/>
    <w:rsid w:val="00965C50"/>
    <w:rsid w:val="00967843"/>
    <w:rsid w:val="00967D54"/>
    <w:rsid w:val="00970C1B"/>
    <w:rsid w:val="00971028"/>
    <w:rsid w:val="009736B4"/>
    <w:rsid w:val="00984DB0"/>
    <w:rsid w:val="009929E7"/>
    <w:rsid w:val="00993B84"/>
    <w:rsid w:val="00994C6A"/>
    <w:rsid w:val="00996189"/>
    <w:rsid w:val="00996483"/>
    <w:rsid w:val="00996F5A"/>
    <w:rsid w:val="009A057A"/>
    <w:rsid w:val="009B00DE"/>
    <w:rsid w:val="009B041A"/>
    <w:rsid w:val="009B17A7"/>
    <w:rsid w:val="009B4EEF"/>
    <w:rsid w:val="009B6A8A"/>
    <w:rsid w:val="009B6A98"/>
    <w:rsid w:val="009B6E57"/>
    <w:rsid w:val="009B7860"/>
    <w:rsid w:val="009C37C3"/>
    <w:rsid w:val="009C7C86"/>
    <w:rsid w:val="009D0287"/>
    <w:rsid w:val="009D2FF7"/>
    <w:rsid w:val="009D4A23"/>
    <w:rsid w:val="009D6337"/>
    <w:rsid w:val="009D69B4"/>
    <w:rsid w:val="009E2635"/>
    <w:rsid w:val="009E536D"/>
    <w:rsid w:val="009E7884"/>
    <w:rsid w:val="009E788A"/>
    <w:rsid w:val="009F0E08"/>
    <w:rsid w:val="00A079AE"/>
    <w:rsid w:val="00A13CF2"/>
    <w:rsid w:val="00A1763D"/>
    <w:rsid w:val="00A17CEC"/>
    <w:rsid w:val="00A24F59"/>
    <w:rsid w:val="00A255B3"/>
    <w:rsid w:val="00A27EF0"/>
    <w:rsid w:val="00A34B41"/>
    <w:rsid w:val="00A42361"/>
    <w:rsid w:val="00A50B20"/>
    <w:rsid w:val="00A51390"/>
    <w:rsid w:val="00A60D13"/>
    <w:rsid w:val="00A67036"/>
    <w:rsid w:val="00A7223D"/>
    <w:rsid w:val="00A72745"/>
    <w:rsid w:val="00A743A2"/>
    <w:rsid w:val="00A76EFC"/>
    <w:rsid w:val="00A85715"/>
    <w:rsid w:val="00A87D50"/>
    <w:rsid w:val="00A91010"/>
    <w:rsid w:val="00A9754F"/>
    <w:rsid w:val="00A97F29"/>
    <w:rsid w:val="00AA15C2"/>
    <w:rsid w:val="00AA2466"/>
    <w:rsid w:val="00AA2D8F"/>
    <w:rsid w:val="00AA3602"/>
    <w:rsid w:val="00AA41E0"/>
    <w:rsid w:val="00AA702E"/>
    <w:rsid w:val="00AA7D26"/>
    <w:rsid w:val="00AB0964"/>
    <w:rsid w:val="00AB19A5"/>
    <w:rsid w:val="00AB5011"/>
    <w:rsid w:val="00AC1B8B"/>
    <w:rsid w:val="00AC7368"/>
    <w:rsid w:val="00AD088B"/>
    <w:rsid w:val="00AD16B9"/>
    <w:rsid w:val="00AD34C1"/>
    <w:rsid w:val="00AD3946"/>
    <w:rsid w:val="00AE0591"/>
    <w:rsid w:val="00AE377D"/>
    <w:rsid w:val="00AE68B9"/>
    <w:rsid w:val="00AF0468"/>
    <w:rsid w:val="00AF0EBA"/>
    <w:rsid w:val="00AF2463"/>
    <w:rsid w:val="00AF3B59"/>
    <w:rsid w:val="00AF76AE"/>
    <w:rsid w:val="00B02C8A"/>
    <w:rsid w:val="00B15BE5"/>
    <w:rsid w:val="00B15FF7"/>
    <w:rsid w:val="00B17300"/>
    <w:rsid w:val="00B17FBD"/>
    <w:rsid w:val="00B23E09"/>
    <w:rsid w:val="00B24E1E"/>
    <w:rsid w:val="00B315A6"/>
    <w:rsid w:val="00B31813"/>
    <w:rsid w:val="00B33365"/>
    <w:rsid w:val="00B40CAC"/>
    <w:rsid w:val="00B46642"/>
    <w:rsid w:val="00B506B8"/>
    <w:rsid w:val="00B5228F"/>
    <w:rsid w:val="00B528A1"/>
    <w:rsid w:val="00B57B36"/>
    <w:rsid w:val="00B57E6F"/>
    <w:rsid w:val="00B61900"/>
    <w:rsid w:val="00B62208"/>
    <w:rsid w:val="00B667FE"/>
    <w:rsid w:val="00B711B0"/>
    <w:rsid w:val="00B753DE"/>
    <w:rsid w:val="00B82728"/>
    <w:rsid w:val="00B83B6D"/>
    <w:rsid w:val="00B8686D"/>
    <w:rsid w:val="00B93F69"/>
    <w:rsid w:val="00BB1DDC"/>
    <w:rsid w:val="00BB47C8"/>
    <w:rsid w:val="00BB6552"/>
    <w:rsid w:val="00BB6B36"/>
    <w:rsid w:val="00BB7DCC"/>
    <w:rsid w:val="00BC027E"/>
    <w:rsid w:val="00BC30C9"/>
    <w:rsid w:val="00BC4C86"/>
    <w:rsid w:val="00BC5E1A"/>
    <w:rsid w:val="00BD077D"/>
    <w:rsid w:val="00BD0A5A"/>
    <w:rsid w:val="00BE0007"/>
    <w:rsid w:val="00BE3E58"/>
    <w:rsid w:val="00BE72E0"/>
    <w:rsid w:val="00BF13CE"/>
    <w:rsid w:val="00BF1E17"/>
    <w:rsid w:val="00C01616"/>
    <w:rsid w:val="00C0162B"/>
    <w:rsid w:val="00C068ED"/>
    <w:rsid w:val="00C12646"/>
    <w:rsid w:val="00C22E0C"/>
    <w:rsid w:val="00C233F2"/>
    <w:rsid w:val="00C24676"/>
    <w:rsid w:val="00C3183D"/>
    <w:rsid w:val="00C3408D"/>
    <w:rsid w:val="00C345B1"/>
    <w:rsid w:val="00C40142"/>
    <w:rsid w:val="00C429E9"/>
    <w:rsid w:val="00C468FC"/>
    <w:rsid w:val="00C51556"/>
    <w:rsid w:val="00C52C3C"/>
    <w:rsid w:val="00C57182"/>
    <w:rsid w:val="00C57863"/>
    <w:rsid w:val="00C620ED"/>
    <w:rsid w:val="00C640AF"/>
    <w:rsid w:val="00C655FD"/>
    <w:rsid w:val="00C75407"/>
    <w:rsid w:val="00C75919"/>
    <w:rsid w:val="00C8226E"/>
    <w:rsid w:val="00C841C6"/>
    <w:rsid w:val="00C870A8"/>
    <w:rsid w:val="00C93B62"/>
    <w:rsid w:val="00C94434"/>
    <w:rsid w:val="00C95004"/>
    <w:rsid w:val="00C96FD5"/>
    <w:rsid w:val="00C970F5"/>
    <w:rsid w:val="00CA0D75"/>
    <w:rsid w:val="00CA1C95"/>
    <w:rsid w:val="00CA5058"/>
    <w:rsid w:val="00CA5A9C"/>
    <w:rsid w:val="00CA7026"/>
    <w:rsid w:val="00CB6A2A"/>
    <w:rsid w:val="00CC19E5"/>
    <w:rsid w:val="00CC284B"/>
    <w:rsid w:val="00CC4C20"/>
    <w:rsid w:val="00CD1720"/>
    <w:rsid w:val="00CD3517"/>
    <w:rsid w:val="00CD3931"/>
    <w:rsid w:val="00CD5FE2"/>
    <w:rsid w:val="00CD651A"/>
    <w:rsid w:val="00CD729B"/>
    <w:rsid w:val="00CE7C68"/>
    <w:rsid w:val="00CF6912"/>
    <w:rsid w:val="00CF7A6F"/>
    <w:rsid w:val="00D003F7"/>
    <w:rsid w:val="00D00ADA"/>
    <w:rsid w:val="00D02247"/>
    <w:rsid w:val="00D02B4C"/>
    <w:rsid w:val="00D040C4"/>
    <w:rsid w:val="00D07FDA"/>
    <w:rsid w:val="00D20AD1"/>
    <w:rsid w:val="00D21DD8"/>
    <w:rsid w:val="00D2582C"/>
    <w:rsid w:val="00D40A44"/>
    <w:rsid w:val="00D46B7E"/>
    <w:rsid w:val="00D53DC0"/>
    <w:rsid w:val="00D55D4F"/>
    <w:rsid w:val="00D57C84"/>
    <w:rsid w:val="00D6057D"/>
    <w:rsid w:val="00D614E8"/>
    <w:rsid w:val="00D711C2"/>
    <w:rsid w:val="00D71640"/>
    <w:rsid w:val="00D746FD"/>
    <w:rsid w:val="00D80E25"/>
    <w:rsid w:val="00D836C5"/>
    <w:rsid w:val="00D84576"/>
    <w:rsid w:val="00D91D03"/>
    <w:rsid w:val="00D94BE4"/>
    <w:rsid w:val="00D95F24"/>
    <w:rsid w:val="00D96533"/>
    <w:rsid w:val="00DA1399"/>
    <w:rsid w:val="00DA24C6"/>
    <w:rsid w:val="00DA2FFE"/>
    <w:rsid w:val="00DA4D7B"/>
    <w:rsid w:val="00DB1AF3"/>
    <w:rsid w:val="00DB48D7"/>
    <w:rsid w:val="00DB4B4B"/>
    <w:rsid w:val="00DC2840"/>
    <w:rsid w:val="00DC313E"/>
    <w:rsid w:val="00DC3C94"/>
    <w:rsid w:val="00DC73EE"/>
    <w:rsid w:val="00DD271C"/>
    <w:rsid w:val="00DD4DEB"/>
    <w:rsid w:val="00DD72BB"/>
    <w:rsid w:val="00DE17CD"/>
    <w:rsid w:val="00DE264A"/>
    <w:rsid w:val="00DE6839"/>
    <w:rsid w:val="00DF00ED"/>
    <w:rsid w:val="00DF3559"/>
    <w:rsid w:val="00DF5072"/>
    <w:rsid w:val="00DF6F9D"/>
    <w:rsid w:val="00E0008F"/>
    <w:rsid w:val="00E02D18"/>
    <w:rsid w:val="00E041E7"/>
    <w:rsid w:val="00E05900"/>
    <w:rsid w:val="00E10E1B"/>
    <w:rsid w:val="00E111C9"/>
    <w:rsid w:val="00E13311"/>
    <w:rsid w:val="00E14722"/>
    <w:rsid w:val="00E16A25"/>
    <w:rsid w:val="00E23CA1"/>
    <w:rsid w:val="00E27002"/>
    <w:rsid w:val="00E30B58"/>
    <w:rsid w:val="00E31B9A"/>
    <w:rsid w:val="00E31FA3"/>
    <w:rsid w:val="00E33317"/>
    <w:rsid w:val="00E370F3"/>
    <w:rsid w:val="00E4023A"/>
    <w:rsid w:val="00E409A8"/>
    <w:rsid w:val="00E46DCE"/>
    <w:rsid w:val="00E47E7E"/>
    <w:rsid w:val="00E50C12"/>
    <w:rsid w:val="00E50F2D"/>
    <w:rsid w:val="00E612D7"/>
    <w:rsid w:val="00E657B2"/>
    <w:rsid w:val="00E65B91"/>
    <w:rsid w:val="00E66171"/>
    <w:rsid w:val="00E708C8"/>
    <w:rsid w:val="00E7209D"/>
    <w:rsid w:val="00E72EAD"/>
    <w:rsid w:val="00E77223"/>
    <w:rsid w:val="00E83391"/>
    <w:rsid w:val="00E8528B"/>
    <w:rsid w:val="00E85B94"/>
    <w:rsid w:val="00E85D46"/>
    <w:rsid w:val="00E90233"/>
    <w:rsid w:val="00E91909"/>
    <w:rsid w:val="00E93706"/>
    <w:rsid w:val="00E944FE"/>
    <w:rsid w:val="00E961C7"/>
    <w:rsid w:val="00E965A0"/>
    <w:rsid w:val="00E978D0"/>
    <w:rsid w:val="00EA4613"/>
    <w:rsid w:val="00EA6721"/>
    <w:rsid w:val="00EA6A91"/>
    <w:rsid w:val="00EA7F91"/>
    <w:rsid w:val="00EB115C"/>
    <w:rsid w:val="00EB1523"/>
    <w:rsid w:val="00EB2816"/>
    <w:rsid w:val="00EB4D05"/>
    <w:rsid w:val="00EB50A5"/>
    <w:rsid w:val="00EC0E49"/>
    <w:rsid w:val="00EC101F"/>
    <w:rsid w:val="00EC1199"/>
    <w:rsid w:val="00EC1D9F"/>
    <w:rsid w:val="00EC3C92"/>
    <w:rsid w:val="00ED2735"/>
    <w:rsid w:val="00ED2BBD"/>
    <w:rsid w:val="00ED547C"/>
    <w:rsid w:val="00EE0131"/>
    <w:rsid w:val="00EE17B0"/>
    <w:rsid w:val="00EE7E67"/>
    <w:rsid w:val="00EF06D9"/>
    <w:rsid w:val="00EF26D1"/>
    <w:rsid w:val="00F06576"/>
    <w:rsid w:val="00F07AB3"/>
    <w:rsid w:val="00F07B79"/>
    <w:rsid w:val="00F07B7F"/>
    <w:rsid w:val="00F1143A"/>
    <w:rsid w:val="00F13F4F"/>
    <w:rsid w:val="00F22E9A"/>
    <w:rsid w:val="00F23AFB"/>
    <w:rsid w:val="00F25CA9"/>
    <w:rsid w:val="00F3049E"/>
    <w:rsid w:val="00F30C64"/>
    <w:rsid w:val="00F32BA2"/>
    <w:rsid w:val="00F32CDB"/>
    <w:rsid w:val="00F36866"/>
    <w:rsid w:val="00F41EE4"/>
    <w:rsid w:val="00F43396"/>
    <w:rsid w:val="00F4565E"/>
    <w:rsid w:val="00F565FE"/>
    <w:rsid w:val="00F60BC4"/>
    <w:rsid w:val="00F60CA1"/>
    <w:rsid w:val="00F63A70"/>
    <w:rsid w:val="00F63D8C"/>
    <w:rsid w:val="00F6612A"/>
    <w:rsid w:val="00F6775E"/>
    <w:rsid w:val="00F721A1"/>
    <w:rsid w:val="00F72DE8"/>
    <w:rsid w:val="00F72E48"/>
    <w:rsid w:val="00F74AB7"/>
    <w:rsid w:val="00F7534E"/>
    <w:rsid w:val="00F861E9"/>
    <w:rsid w:val="00F879FF"/>
    <w:rsid w:val="00F93EDF"/>
    <w:rsid w:val="00F9489E"/>
    <w:rsid w:val="00FA1802"/>
    <w:rsid w:val="00FA21D0"/>
    <w:rsid w:val="00FA267A"/>
    <w:rsid w:val="00FA5F5F"/>
    <w:rsid w:val="00FB5A53"/>
    <w:rsid w:val="00FB730C"/>
    <w:rsid w:val="00FC22D5"/>
    <w:rsid w:val="00FC2695"/>
    <w:rsid w:val="00FC3E03"/>
    <w:rsid w:val="00FC3FC1"/>
    <w:rsid w:val="00FD0293"/>
    <w:rsid w:val="00FE367B"/>
    <w:rsid w:val="00FF74D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link w:val="PrrafodelistaCar"/>
    <w:uiPriority w:val="34"/>
    <w:qFormat/>
    <w:rsid w:val="00280FAF"/>
    <w:pPr>
      <w:ind w:left="720"/>
      <w:contextualSpacing/>
    </w:pPr>
  </w:style>
  <w:style w:type="character" w:customStyle="1" w:styleId="gmail-apple-converted-space">
    <w:name w:val="gmail-apple-converted-space"/>
    <w:basedOn w:val="Fuentedeprrafopredeter"/>
    <w:rsid w:val="00005A19"/>
  </w:style>
  <w:style w:type="character" w:styleId="Mencinsinresolver">
    <w:name w:val="Unresolved Mention"/>
    <w:basedOn w:val="Fuentedeprrafopredeter"/>
    <w:uiPriority w:val="99"/>
    <w:semiHidden/>
    <w:unhideWhenUsed/>
    <w:rsid w:val="009736B4"/>
    <w:rPr>
      <w:color w:val="605E5C"/>
      <w:shd w:val="clear" w:color="auto" w:fill="E1DFDD"/>
    </w:rPr>
  </w:style>
  <w:style w:type="character" w:customStyle="1" w:styleId="PrrafodelistaCar">
    <w:name w:val="Párrafo de lista Car"/>
    <w:basedOn w:val="Fuentedeprrafopredeter"/>
    <w:link w:val="Prrafodelista"/>
    <w:uiPriority w:val="34"/>
    <w:rsid w:val="00763132"/>
    <w:rPr>
      <w:rFonts w:ascii="Arial" w:eastAsia="Times New Roman" w:hAnsi="Arial" w:cs="Times New Roman"/>
      <w:sz w:val="18"/>
      <w:szCs w:val="20"/>
      <w:lang w:val="en-GB"/>
    </w:rPr>
  </w:style>
  <w:style w:type="paragraph" w:styleId="Sinespaciado">
    <w:name w:val="No Spacing"/>
    <w:uiPriority w:val="1"/>
    <w:qFormat/>
    <w:rsid w:val="00376A27"/>
    <w:pPr>
      <w:tabs>
        <w:tab w:val="right" w:pos="7100"/>
      </w:tabs>
      <w:spacing w:after="0" w:line="240" w:lineRule="auto"/>
      <w:jc w:val="both"/>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adanleon@uis.edu.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EBECF-2C95-4987-AEAB-089DE251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3313</Words>
  <Characters>18223</Characters>
  <Application>Microsoft Office Word</Application>
  <DocSecurity>0</DocSecurity>
  <Lines>151</Lines>
  <Paragraphs>42</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ADAN YOVANI LEON BERMÚDEZ</cp:lastModifiedBy>
  <cp:revision>4</cp:revision>
  <cp:lastPrinted>2015-05-12T18:31:00Z</cp:lastPrinted>
  <dcterms:created xsi:type="dcterms:W3CDTF">2025-04-15T13:38:00Z</dcterms:created>
  <dcterms:modified xsi:type="dcterms:W3CDTF">2025-04-15T16:05:00Z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