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D4F8987" w:rsidR="00E978D0" w:rsidRPr="00B57B36" w:rsidRDefault="00FD4EC6" w:rsidP="00E978D0">
      <w:pPr>
        <w:pStyle w:val="CETTitle"/>
      </w:pPr>
      <w:r>
        <w:t>Water Leaching of Wood Barks for Biocarbon Production</w:t>
      </w:r>
    </w:p>
    <w:p w14:paraId="0488FED2" w14:textId="46789FCC" w:rsidR="00B57E6F" w:rsidRPr="00B57B36" w:rsidRDefault="00FD4EC6" w:rsidP="00B57E6F">
      <w:pPr>
        <w:pStyle w:val="CETAuthors"/>
      </w:pPr>
      <w:r>
        <w:t>Zsuzsanna Czégény</w:t>
      </w:r>
      <w:r w:rsidR="00B57E6F" w:rsidRPr="00B57B36">
        <w:rPr>
          <w:vertAlign w:val="superscript"/>
        </w:rPr>
        <w:t>a</w:t>
      </w:r>
      <w:r>
        <w:rPr>
          <w:vertAlign w:val="superscript"/>
        </w:rPr>
        <w:t>,*</w:t>
      </w:r>
      <w:r w:rsidR="00B57E6F" w:rsidRPr="00B57B36">
        <w:t xml:space="preserve">, </w:t>
      </w:r>
      <w:r>
        <w:t>István S. Czirok</w:t>
      </w:r>
      <w:r w:rsidRPr="00B57B36">
        <w:rPr>
          <w:vertAlign w:val="superscript"/>
        </w:rPr>
        <w:t>a</w:t>
      </w:r>
      <w:r w:rsidR="00616947">
        <w:rPr>
          <w:vertAlign w:val="superscript"/>
        </w:rPr>
        <w:t>,b</w:t>
      </w:r>
      <w:r>
        <w:t>, Gergő Szabó</w:t>
      </w:r>
      <w:r w:rsidRPr="00B57B36">
        <w:rPr>
          <w:vertAlign w:val="superscript"/>
        </w:rPr>
        <w:t>a</w:t>
      </w:r>
      <w:r w:rsidR="00616947">
        <w:rPr>
          <w:vertAlign w:val="superscript"/>
        </w:rPr>
        <w:t>,b</w:t>
      </w:r>
      <w:r>
        <w:t>, Zoltán Sebest</w:t>
      </w:r>
      <w:r w:rsidR="00163715">
        <w:t>y</w:t>
      </w:r>
      <w:r>
        <w:t>én</w:t>
      </w:r>
      <w:r w:rsidRPr="00B57B36">
        <w:rPr>
          <w:vertAlign w:val="superscript"/>
        </w:rPr>
        <w:t>a</w:t>
      </w:r>
      <w:r>
        <w:t>, Bence Babinszki</w:t>
      </w:r>
      <w:r w:rsidRPr="00B57B36">
        <w:rPr>
          <w:vertAlign w:val="superscript"/>
        </w:rPr>
        <w:t>a</w:t>
      </w:r>
      <w:r>
        <w:t>,</w:t>
      </w:r>
      <w:r w:rsidR="00401D29">
        <w:t xml:space="preserve"> Emma Jakab</w:t>
      </w:r>
      <w:r w:rsidR="00401D29" w:rsidRPr="00401D29">
        <w:rPr>
          <w:vertAlign w:val="superscript"/>
        </w:rPr>
        <w:t>a</w:t>
      </w:r>
      <w:r w:rsidR="00401D29">
        <w:t>,</w:t>
      </w:r>
      <w:r>
        <w:t xml:space="preserve"> Liang Wang</w:t>
      </w:r>
      <w:r w:rsidR="00616947">
        <w:rPr>
          <w:vertAlign w:val="superscript"/>
        </w:rPr>
        <w:t>c</w:t>
      </w:r>
      <w:r>
        <w:t xml:space="preserve">, </w:t>
      </w:r>
      <w:r w:rsidR="001F69E4" w:rsidRPr="004C2546">
        <w:t>Ø</w:t>
      </w:r>
      <w:r>
        <w:t>yvind Skreiberg</w:t>
      </w:r>
      <w:r w:rsidR="00616947">
        <w:rPr>
          <w:vertAlign w:val="superscript"/>
        </w:rPr>
        <w:t>c</w:t>
      </w:r>
    </w:p>
    <w:p w14:paraId="6B2D21B3" w14:textId="123C1617" w:rsidR="00B57E6F" w:rsidRDefault="00B57E6F" w:rsidP="008B4B48">
      <w:pPr>
        <w:pStyle w:val="CETAddress"/>
        <w:rPr>
          <w:szCs w:val="16"/>
        </w:rPr>
      </w:pPr>
      <w:r w:rsidRPr="00B57B36">
        <w:rPr>
          <w:vertAlign w:val="superscript"/>
        </w:rPr>
        <w:t>a</w:t>
      </w:r>
      <w:r w:rsidR="00FD4EC6">
        <w:rPr>
          <w:szCs w:val="16"/>
        </w:rPr>
        <w:t>HUN-REN R</w:t>
      </w:r>
      <w:r w:rsidR="00FD4EC6" w:rsidRPr="009D65F1">
        <w:rPr>
          <w:szCs w:val="16"/>
        </w:rPr>
        <w:t>esearch Centre for Natural Sciences,</w:t>
      </w:r>
      <w:r w:rsidR="00FD4EC6" w:rsidRPr="001D4A59">
        <w:rPr>
          <w:szCs w:val="16"/>
        </w:rPr>
        <w:t xml:space="preserve"> </w:t>
      </w:r>
      <w:r w:rsidR="00FD4EC6">
        <w:rPr>
          <w:szCs w:val="16"/>
        </w:rPr>
        <w:t>Institute of Materials and Environmental Chemistry,</w:t>
      </w:r>
      <w:r w:rsidR="00FD4EC6" w:rsidRPr="009D65F1">
        <w:rPr>
          <w:szCs w:val="16"/>
        </w:rPr>
        <w:t xml:space="preserve"> Budapest, Hungary</w:t>
      </w:r>
    </w:p>
    <w:p w14:paraId="2628361E" w14:textId="74F34B4F" w:rsidR="00616947" w:rsidRPr="00FD4EC6" w:rsidRDefault="00616947" w:rsidP="008B4B48">
      <w:pPr>
        <w:pStyle w:val="CETAddress"/>
        <w:rPr>
          <w:szCs w:val="16"/>
        </w:rPr>
      </w:pPr>
      <w:r w:rsidRPr="00616947">
        <w:rPr>
          <w:vertAlign w:val="superscript"/>
        </w:rPr>
        <w:t>b</w:t>
      </w:r>
      <w:r w:rsidRPr="00616947">
        <w:rPr>
          <w:szCs w:val="16"/>
        </w:rPr>
        <w:t xml:space="preserve">ELTE Eötvös Loránd University, Hevesy </w:t>
      </w:r>
      <w:r>
        <w:rPr>
          <w:szCs w:val="16"/>
        </w:rPr>
        <w:t>György PhD School of Chemistry</w:t>
      </w:r>
    </w:p>
    <w:p w14:paraId="02429FC0" w14:textId="11B2587B" w:rsidR="00FD4EC6" w:rsidRDefault="00616947" w:rsidP="00FD4EC6">
      <w:pPr>
        <w:pStyle w:val="CETAddress"/>
        <w:rPr>
          <w:szCs w:val="16"/>
        </w:rPr>
      </w:pPr>
      <w:r>
        <w:rPr>
          <w:vertAlign w:val="superscript"/>
        </w:rPr>
        <w:t>c</w:t>
      </w:r>
      <w:r w:rsidR="00FD4EC6" w:rsidRPr="009D65F1">
        <w:rPr>
          <w:szCs w:val="16"/>
        </w:rPr>
        <w:t xml:space="preserve">SINTEF Energy Research, Trondheim, </w:t>
      </w:r>
      <w:r w:rsidR="00FD4EC6">
        <w:rPr>
          <w:szCs w:val="16"/>
        </w:rPr>
        <w:t>Norway</w:t>
      </w:r>
    </w:p>
    <w:p w14:paraId="4E0128FF" w14:textId="590433C1" w:rsidR="00FD4EC6" w:rsidRDefault="00B57E6F" w:rsidP="008B4B48">
      <w:pPr>
        <w:pStyle w:val="CETemail"/>
      </w:pPr>
      <w:r>
        <w:t xml:space="preserve"> </w:t>
      </w:r>
      <w:r w:rsidR="00FD4EC6" w:rsidRPr="008B4B48">
        <w:t>czegeny.zsuzsanna@ttk.hu</w:t>
      </w:r>
    </w:p>
    <w:p w14:paraId="4FC18434" w14:textId="46F716E7" w:rsidR="00AE4036" w:rsidRDefault="00913A56" w:rsidP="00AE4036">
      <w:pPr>
        <w:pStyle w:val="CETBodytext"/>
        <w:rPr>
          <w:lang w:val="en-GB"/>
        </w:rPr>
      </w:pPr>
      <w:bookmarkStart w:id="1" w:name="_Hlk495475023"/>
      <w:r w:rsidRPr="001650B0">
        <w:rPr>
          <w:lang w:val="en-GB" w:eastAsia="hu-HU"/>
        </w:rPr>
        <w:t xml:space="preserve">Water leaching of birch bark, </w:t>
      </w:r>
      <w:r w:rsidR="00D45452" w:rsidRPr="001650B0">
        <w:rPr>
          <w:lang w:val="en-GB" w:eastAsia="hu-HU"/>
        </w:rPr>
        <w:t xml:space="preserve">pine bark </w:t>
      </w:r>
      <w:r w:rsidRPr="001650B0">
        <w:rPr>
          <w:lang w:val="en-GB" w:eastAsia="hu-HU"/>
        </w:rPr>
        <w:t xml:space="preserve">and </w:t>
      </w:r>
      <w:r w:rsidR="00D45452" w:rsidRPr="001650B0">
        <w:rPr>
          <w:lang w:val="en-GB" w:eastAsia="hu-HU"/>
        </w:rPr>
        <w:t xml:space="preserve">spruce bark </w:t>
      </w:r>
      <w:r w:rsidR="00147B29" w:rsidRPr="001650B0">
        <w:rPr>
          <w:lang w:val="en-GB" w:eastAsia="hu-HU"/>
        </w:rPr>
        <w:t>performed</w:t>
      </w:r>
      <w:r w:rsidR="00D45452" w:rsidRPr="001650B0">
        <w:rPr>
          <w:lang w:val="en-GB" w:eastAsia="hu-HU"/>
        </w:rPr>
        <w:t xml:space="preserve"> </w:t>
      </w:r>
      <w:r w:rsidR="00CE401C" w:rsidRPr="001650B0">
        <w:rPr>
          <w:lang w:val="en-GB" w:eastAsia="hu-HU"/>
        </w:rPr>
        <w:t>at 25 and 60</w:t>
      </w:r>
      <w:r w:rsidR="00ED3019" w:rsidRPr="001650B0">
        <w:rPr>
          <w:lang w:val="en-GB" w:eastAsia="hu-HU"/>
        </w:rPr>
        <w:t xml:space="preserve"> </w:t>
      </w:r>
      <w:r w:rsidR="00CE401C" w:rsidRPr="001650B0">
        <w:rPr>
          <w:lang w:val="en-GB" w:eastAsia="hu-HU"/>
        </w:rPr>
        <w:t xml:space="preserve">°C with and without stirring </w:t>
      </w:r>
      <w:r w:rsidRPr="001650B0">
        <w:rPr>
          <w:lang w:val="en-GB" w:eastAsia="hu-HU"/>
        </w:rPr>
        <w:t>was tested as a pretreatment method to reduce the inorganic content of the feedstock</w:t>
      </w:r>
      <w:r w:rsidR="00AE4036" w:rsidRPr="001650B0">
        <w:rPr>
          <w:lang w:val="en-GB" w:eastAsia="hu-HU"/>
        </w:rPr>
        <w:t xml:space="preserve">. The yields of the solid demineralized bark and the dry material content of the leachate </w:t>
      </w:r>
      <w:r w:rsidR="00C53DD0" w:rsidRPr="001650B0">
        <w:rPr>
          <w:lang w:val="en-GB" w:eastAsia="hu-HU"/>
        </w:rPr>
        <w:t xml:space="preserve">were </w:t>
      </w:r>
      <w:r w:rsidR="00AE4036" w:rsidRPr="001650B0">
        <w:rPr>
          <w:lang w:val="en-GB" w:eastAsia="hu-HU"/>
        </w:rPr>
        <w:t xml:space="preserve">determined. </w:t>
      </w:r>
      <w:r w:rsidRPr="001650B0">
        <w:rPr>
          <w:lang w:val="en-GB" w:eastAsia="hu-HU"/>
        </w:rPr>
        <w:t xml:space="preserve">The effect of water leaching on </w:t>
      </w:r>
      <w:r w:rsidR="00007D5A" w:rsidRPr="001650B0">
        <w:rPr>
          <w:lang w:val="en-GB" w:eastAsia="hu-HU"/>
        </w:rPr>
        <w:t xml:space="preserve">the </w:t>
      </w:r>
      <w:r w:rsidRPr="001650B0">
        <w:rPr>
          <w:lang w:val="en-GB" w:eastAsia="hu-HU"/>
        </w:rPr>
        <w:t>properties of bark materials was assessed by inductively coupled plasma optical spectroscopy (ICP-OES)</w:t>
      </w:r>
      <w:r w:rsidR="00562E45" w:rsidRPr="001650B0">
        <w:rPr>
          <w:lang w:val="en-GB" w:eastAsia="hu-HU"/>
        </w:rPr>
        <w:t>, element composition analysis and</w:t>
      </w:r>
      <w:r w:rsidRPr="001650B0">
        <w:rPr>
          <w:lang w:val="en-GB" w:eastAsia="hu-HU"/>
        </w:rPr>
        <w:t xml:space="preserve"> </w:t>
      </w:r>
      <w:r w:rsidR="00562E45" w:rsidRPr="001650B0">
        <w:rPr>
          <w:lang w:val="en-GB" w:eastAsia="hu-HU"/>
        </w:rPr>
        <w:t>thermogravimetry (TGA).</w:t>
      </w:r>
      <w:r w:rsidR="00D45452" w:rsidRPr="001650B0">
        <w:rPr>
          <w:lang w:val="en-GB" w:eastAsia="hu-HU"/>
        </w:rPr>
        <w:t xml:space="preserve"> </w:t>
      </w:r>
    </w:p>
    <w:p w14:paraId="51487F23" w14:textId="227B39EB" w:rsidR="00913A56" w:rsidRDefault="00504013" w:rsidP="00600535">
      <w:pPr>
        <w:pStyle w:val="CETBodytext"/>
        <w:rPr>
          <w:lang w:val="en-GB"/>
        </w:rPr>
      </w:pPr>
      <w:r w:rsidRPr="001650B0">
        <w:rPr>
          <w:lang w:val="en-GB"/>
        </w:rPr>
        <w:t xml:space="preserve">The </w:t>
      </w:r>
      <w:r w:rsidR="00700E7C">
        <w:rPr>
          <w:lang w:val="en-GB"/>
        </w:rPr>
        <w:t xml:space="preserve">solid </w:t>
      </w:r>
      <w:r w:rsidRPr="001650B0">
        <w:rPr>
          <w:lang w:val="en-GB"/>
        </w:rPr>
        <w:t xml:space="preserve">yield of </w:t>
      </w:r>
      <w:r w:rsidR="00147B29" w:rsidRPr="001650B0">
        <w:rPr>
          <w:lang w:val="en-GB"/>
        </w:rPr>
        <w:t>water-</w:t>
      </w:r>
      <w:r w:rsidRPr="001650B0">
        <w:rPr>
          <w:lang w:val="en-GB"/>
        </w:rPr>
        <w:t xml:space="preserve">leached bark samples </w:t>
      </w:r>
      <w:r w:rsidR="00386F8B">
        <w:rPr>
          <w:lang w:val="en-GB"/>
        </w:rPr>
        <w:t>was</w:t>
      </w:r>
      <w:r w:rsidRPr="001650B0">
        <w:rPr>
          <w:lang w:val="en-GB"/>
        </w:rPr>
        <w:t xml:space="preserve"> around 90</w:t>
      </w:r>
      <w:r w:rsidR="00BD22DC" w:rsidRPr="001650B0">
        <w:rPr>
          <w:lang w:val="en-GB"/>
        </w:rPr>
        <w:t xml:space="preserve"> </w:t>
      </w:r>
      <w:r w:rsidRPr="001650B0">
        <w:rPr>
          <w:lang w:val="en-GB"/>
        </w:rPr>
        <w:t>% for all three type</w:t>
      </w:r>
      <w:r w:rsidR="007B3178" w:rsidRPr="001650B0">
        <w:rPr>
          <w:lang w:val="en-GB"/>
        </w:rPr>
        <w:t>s</w:t>
      </w:r>
      <w:r w:rsidRPr="001650B0">
        <w:rPr>
          <w:lang w:val="en-GB"/>
        </w:rPr>
        <w:t xml:space="preserve"> of barks. </w:t>
      </w:r>
      <w:r w:rsidR="004E05AE" w:rsidRPr="001650B0">
        <w:rPr>
          <w:lang w:val="en-GB"/>
        </w:rPr>
        <w:t>The water leaching process removed significant amount</w:t>
      </w:r>
      <w:r w:rsidR="001650B0" w:rsidRPr="001650B0">
        <w:rPr>
          <w:lang w:val="en-GB"/>
        </w:rPr>
        <w:t>s</w:t>
      </w:r>
      <w:r w:rsidR="004E05AE" w:rsidRPr="001650B0">
        <w:rPr>
          <w:lang w:val="en-GB"/>
        </w:rPr>
        <w:t xml:space="preserve"> of organic material together with the inorganics. </w:t>
      </w:r>
      <w:r w:rsidR="00A723CF" w:rsidRPr="001650B0">
        <w:rPr>
          <w:lang w:val="en-GB"/>
        </w:rPr>
        <w:t xml:space="preserve">The </w:t>
      </w:r>
      <w:r w:rsidRPr="001650B0">
        <w:rPr>
          <w:lang w:val="en-GB"/>
        </w:rPr>
        <w:t xml:space="preserve">C content </w:t>
      </w:r>
      <w:r w:rsidR="00A723CF" w:rsidRPr="001650B0">
        <w:rPr>
          <w:lang w:val="en-GB"/>
        </w:rPr>
        <w:t>of the water</w:t>
      </w:r>
      <w:r w:rsidR="001650B0" w:rsidRPr="001650B0">
        <w:rPr>
          <w:lang w:val="en-GB"/>
        </w:rPr>
        <w:t>-</w:t>
      </w:r>
      <w:r w:rsidR="00A723CF" w:rsidRPr="001650B0">
        <w:rPr>
          <w:lang w:val="en-GB"/>
        </w:rPr>
        <w:t xml:space="preserve">leached samples </w:t>
      </w:r>
      <w:r w:rsidR="00670B4F">
        <w:rPr>
          <w:lang w:val="en-GB"/>
        </w:rPr>
        <w:t>decreased by 2-5</w:t>
      </w:r>
      <w:r w:rsidR="00AC0AB8">
        <w:rPr>
          <w:lang w:val="en-GB"/>
        </w:rPr>
        <w:t xml:space="preserve"> </w:t>
      </w:r>
      <w:r w:rsidR="00670B4F">
        <w:rPr>
          <w:lang w:val="en-GB"/>
        </w:rPr>
        <w:t>%</w:t>
      </w:r>
      <w:r w:rsidR="00A723CF" w:rsidRPr="001650B0">
        <w:rPr>
          <w:lang w:val="en-GB"/>
        </w:rPr>
        <w:t xml:space="preserve">, </w:t>
      </w:r>
      <w:r w:rsidR="007B3178" w:rsidRPr="001650B0">
        <w:rPr>
          <w:lang w:val="en-GB"/>
        </w:rPr>
        <w:t xml:space="preserve">while </w:t>
      </w:r>
      <w:r w:rsidR="00A723CF" w:rsidRPr="001650B0">
        <w:rPr>
          <w:lang w:val="en-GB"/>
        </w:rPr>
        <w:t>the</w:t>
      </w:r>
      <w:r w:rsidRPr="001650B0">
        <w:rPr>
          <w:lang w:val="en-GB"/>
        </w:rPr>
        <w:t xml:space="preserve"> O content </w:t>
      </w:r>
      <w:r w:rsidR="00670B4F">
        <w:rPr>
          <w:lang w:val="en-GB"/>
        </w:rPr>
        <w:t xml:space="preserve">increased by </w:t>
      </w:r>
      <w:r w:rsidR="00AC0AB8">
        <w:rPr>
          <w:lang w:val="en-GB"/>
        </w:rPr>
        <w:t>2-5 %</w:t>
      </w:r>
      <w:r w:rsidR="00A723CF" w:rsidRPr="001650B0">
        <w:rPr>
          <w:lang w:val="en-GB"/>
        </w:rPr>
        <w:t xml:space="preserve"> comparing to the raw bark material</w:t>
      </w:r>
      <w:r w:rsidR="004E05AE" w:rsidRPr="001650B0">
        <w:rPr>
          <w:lang w:val="en-GB"/>
        </w:rPr>
        <w:t>s</w:t>
      </w:r>
      <w:r w:rsidR="00A723CF" w:rsidRPr="001650B0">
        <w:rPr>
          <w:lang w:val="en-GB"/>
        </w:rPr>
        <w:t>.</w:t>
      </w:r>
      <w:r w:rsidRPr="001650B0">
        <w:rPr>
          <w:lang w:val="en-GB"/>
        </w:rPr>
        <w:t xml:space="preserve"> </w:t>
      </w:r>
      <w:r w:rsidR="004E05AE" w:rsidRPr="001650B0">
        <w:rPr>
          <w:lang w:val="en-GB"/>
        </w:rPr>
        <w:t>Among the inorganic components</w:t>
      </w:r>
      <w:r w:rsidR="007B3178" w:rsidRPr="001650B0">
        <w:rPr>
          <w:lang w:val="en-GB"/>
        </w:rPr>
        <w:t>,</w:t>
      </w:r>
      <w:r w:rsidR="004E05AE" w:rsidRPr="001650B0">
        <w:rPr>
          <w:lang w:val="en-GB"/>
        </w:rPr>
        <w:t xml:space="preserve"> the</w:t>
      </w:r>
      <w:r w:rsidR="00AE4036">
        <w:rPr>
          <w:lang w:val="en-GB"/>
        </w:rPr>
        <w:t xml:space="preserve"> concentrations of alkali ions (K, Na) decreased </w:t>
      </w:r>
      <w:r w:rsidR="00BB08E1">
        <w:rPr>
          <w:lang w:val="en-GB"/>
        </w:rPr>
        <w:t>the</w:t>
      </w:r>
      <w:r w:rsidR="00AE4036">
        <w:rPr>
          <w:lang w:val="en-GB"/>
        </w:rPr>
        <w:t xml:space="preserve"> </w:t>
      </w:r>
      <w:r w:rsidR="001650B0" w:rsidRPr="001650B0">
        <w:rPr>
          <w:lang w:val="en-GB"/>
        </w:rPr>
        <w:t>most for</w:t>
      </w:r>
      <w:r w:rsidR="00A723CF" w:rsidRPr="001650B0">
        <w:rPr>
          <w:lang w:val="en-GB"/>
        </w:rPr>
        <w:t xml:space="preserve"> </w:t>
      </w:r>
      <w:r w:rsidR="00A723CF">
        <w:rPr>
          <w:lang w:val="en-GB"/>
        </w:rPr>
        <w:t xml:space="preserve">all three </w:t>
      </w:r>
      <w:r w:rsidR="00A723CF" w:rsidRPr="001650B0">
        <w:rPr>
          <w:lang w:val="en-GB"/>
        </w:rPr>
        <w:t>type</w:t>
      </w:r>
      <w:r w:rsidR="001650B0" w:rsidRPr="001650B0">
        <w:rPr>
          <w:lang w:val="en-GB"/>
        </w:rPr>
        <w:t>s</w:t>
      </w:r>
      <w:r w:rsidR="00A723CF">
        <w:rPr>
          <w:lang w:val="en-GB"/>
        </w:rPr>
        <w:t xml:space="preserve"> of bark.</w:t>
      </w:r>
      <w:r w:rsidR="00A723CF" w:rsidRPr="001650B0">
        <w:rPr>
          <w:lang w:val="en-GB"/>
        </w:rPr>
        <w:t xml:space="preserve"> The leaching efficiency for Ca, K and Na was higher for birch bark comparing to pine </w:t>
      </w:r>
      <w:r w:rsidR="004E05AE" w:rsidRPr="001650B0">
        <w:rPr>
          <w:lang w:val="en-GB"/>
        </w:rPr>
        <w:t xml:space="preserve">bark </w:t>
      </w:r>
      <w:r w:rsidR="00A723CF" w:rsidRPr="001650B0">
        <w:rPr>
          <w:lang w:val="en-GB"/>
        </w:rPr>
        <w:t>and spruce bark.</w:t>
      </w:r>
      <w:r w:rsidR="00616947" w:rsidRPr="001650B0">
        <w:rPr>
          <w:lang w:val="en-GB"/>
        </w:rPr>
        <w:t xml:space="preserve"> The effect of alkali ion removal and partial </w:t>
      </w:r>
      <w:r w:rsidR="00BB08E1" w:rsidRPr="001650B0">
        <w:rPr>
          <w:lang w:val="en-GB"/>
        </w:rPr>
        <w:t xml:space="preserve">removal </w:t>
      </w:r>
      <w:r w:rsidR="00616947" w:rsidRPr="001650B0">
        <w:rPr>
          <w:lang w:val="en-GB"/>
        </w:rPr>
        <w:t xml:space="preserve">of the extractives </w:t>
      </w:r>
      <w:r w:rsidR="001650B0" w:rsidRPr="001650B0">
        <w:rPr>
          <w:lang w:val="en-GB"/>
        </w:rPr>
        <w:t xml:space="preserve">is </w:t>
      </w:r>
      <w:r w:rsidR="00616947" w:rsidRPr="001650B0">
        <w:rPr>
          <w:lang w:val="en-GB"/>
        </w:rPr>
        <w:t xml:space="preserve">reflected on the thermal </w:t>
      </w:r>
      <w:r w:rsidR="001650B0" w:rsidRPr="001650B0">
        <w:rPr>
          <w:lang w:val="en-GB"/>
        </w:rPr>
        <w:t xml:space="preserve">behaviour </w:t>
      </w:r>
      <w:r w:rsidR="00616947" w:rsidRPr="001650B0">
        <w:rPr>
          <w:lang w:val="en-GB"/>
        </w:rPr>
        <w:t>of the water</w:t>
      </w:r>
      <w:r w:rsidR="001650B0" w:rsidRPr="001650B0">
        <w:rPr>
          <w:lang w:val="en-GB"/>
        </w:rPr>
        <w:t>-</w:t>
      </w:r>
      <w:r w:rsidR="00616947" w:rsidRPr="001650B0">
        <w:rPr>
          <w:lang w:val="en-GB"/>
        </w:rPr>
        <w:t>leached bark samples.</w:t>
      </w:r>
    </w:p>
    <w:bookmarkEnd w:id="1"/>
    <w:p w14:paraId="476B2F2E" w14:textId="52B36035" w:rsidR="00600535" w:rsidRPr="00B57B36" w:rsidRDefault="00600535" w:rsidP="00600535">
      <w:pPr>
        <w:pStyle w:val="CETHeading1"/>
        <w:rPr>
          <w:lang w:val="en-GB"/>
        </w:rPr>
      </w:pPr>
      <w:r w:rsidRPr="00B57B36">
        <w:rPr>
          <w:lang w:val="en-GB"/>
        </w:rPr>
        <w:t>Introduction</w:t>
      </w:r>
    </w:p>
    <w:p w14:paraId="07922157" w14:textId="2DAFD348" w:rsidR="00A459B7" w:rsidRDefault="00F26DAD" w:rsidP="00936092">
      <w:pPr>
        <w:rPr>
          <w:lang w:eastAsia="hu-HU"/>
        </w:rPr>
      </w:pPr>
      <w:r>
        <w:rPr>
          <w:lang w:eastAsia="hu-HU"/>
        </w:rPr>
        <w:t>M</w:t>
      </w:r>
      <w:r w:rsidRPr="00DE64AF">
        <w:rPr>
          <w:lang w:eastAsia="hu-HU"/>
        </w:rPr>
        <w:t xml:space="preserve">odern bioenergy applications </w:t>
      </w:r>
      <w:r>
        <w:rPr>
          <w:lang w:eastAsia="hu-HU"/>
        </w:rPr>
        <w:t>ensure t</w:t>
      </w:r>
      <w:r w:rsidR="00936092" w:rsidRPr="00DE64AF">
        <w:rPr>
          <w:lang w:eastAsia="hu-HU"/>
        </w:rPr>
        <w:t xml:space="preserve">he </w:t>
      </w:r>
      <w:r w:rsidR="00936092">
        <w:rPr>
          <w:lang w:eastAsia="hu-HU"/>
        </w:rPr>
        <w:t>use</w:t>
      </w:r>
      <w:r w:rsidR="00936092" w:rsidRPr="00DE64AF">
        <w:rPr>
          <w:lang w:eastAsia="hu-HU"/>
        </w:rPr>
        <w:t xml:space="preserve"> of renewable energy sources, </w:t>
      </w:r>
      <w:r>
        <w:rPr>
          <w:lang w:eastAsia="hu-HU"/>
        </w:rPr>
        <w:t>especially of</w:t>
      </w:r>
      <w:r w:rsidR="00936092" w:rsidRPr="00DE64AF">
        <w:rPr>
          <w:lang w:eastAsia="hu-HU"/>
        </w:rPr>
        <w:t xml:space="preserve"> biomass</w:t>
      </w:r>
      <w:r w:rsidR="00C13CAC">
        <w:rPr>
          <w:lang w:eastAsia="hu-HU"/>
        </w:rPr>
        <w:t>,</w:t>
      </w:r>
      <w:r w:rsidR="00936092" w:rsidRPr="00DE64AF">
        <w:rPr>
          <w:lang w:eastAsia="hu-HU"/>
        </w:rPr>
        <w:t xml:space="preserve"> </w:t>
      </w:r>
      <w:r>
        <w:rPr>
          <w:lang w:eastAsia="hu-HU"/>
        </w:rPr>
        <w:t>which</w:t>
      </w:r>
      <w:r w:rsidR="00936092" w:rsidRPr="00DE64AF">
        <w:rPr>
          <w:lang w:eastAsia="hu-HU"/>
        </w:rPr>
        <w:t xml:space="preserve"> </w:t>
      </w:r>
      <w:r w:rsidR="00936092">
        <w:rPr>
          <w:lang w:eastAsia="hu-HU"/>
        </w:rPr>
        <w:t xml:space="preserve">offers a solution for reducing the global </w:t>
      </w:r>
      <w:r>
        <w:rPr>
          <w:lang w:eastAsia="hu-HU"/>
        </w:rPr>
        <w:t xml:space="preserve">net </w:t>
      </w:r>
      <w:r w:rsidR="00936092">
        <w:rPr>
          <w:lang w:eastAsia="hu-HU"/>
        </w:rPr>
        <w:t>greenhouse gas emissions by partially substituting fossil fuels</w:t>
      </w:r>
      <w:r w:rsidR="00936092" w:rsidRPr="00DE64AF">
        <w:rPr>
          <w:lang w:eastAsia="hu-HU"/>
        </w:rPr>
        <w:t xml:space="preserve">. </w:t>
      </w:r>
      <w:r w:rsidR="00936092">
        <w:rPr>
          <w:lang w:eastAsia="hu-HU"/>
        </w:rPr>
        <w:t>B</w:t>
      </w:r>
      <w:r w:rsidR="00936092" w:rsidRPr="00DE64AF">
        <w:rPr>
          <w:lang w:eastAsia="hu-HU"/>
        </w:rPr>
        <w:t>iocarbon</w:t>
      </w:r>
      <w:r w:rsidR="00936092">
        <w:rPr>
          <w:lang w:eastAsia="hu-HU"/>
        </w:rPr>
        <w:t>,</w:t>
      </w:r>
      <w:r w:rsidR="00936092" w:rsidRPr="00DE64AF">
        <w:rPr>
          <w:lang w:eastAsia="hu-HU"/>
        </w:rPr>
        <w:t xml:space="preserve"> </w:t>
      </w:r>
      <w:r w:rsidR="00936092">
        <w:rPr>
          <w:lang w:eastAsia="hu-HU"/>
        </w:rPr>
        <w:t>t</w:t>
      </w:r>
      <w:r w:rsidR="00936092" w:rsidRPr="00DE64AF">
        <w:rPr>
          <w:lang w:eastAsia="hu-HU"/>
        </w:rPr>
        <w:t>he solid product of biomass pyrolysis</w:t>
      </w:r>
      <w:r w:rsidR="0084712D">
        <w:rPr>
          <w:lang w:eastAsia="hu-HU"/>
        </w:rPr>
        <w:t>,</w:t>
      </w:r>
      <w:r w:rsidR="00936092" w:rsidRPr="00DE64AF">
        <w:rPr>
          <w:lang w:eastAsia="hu-HU"/>
        </w:rPr>
        <w:t xml:space="preserve"> has various applications</w:t>
      </w:r>
      <w:r w:rsidR="0084712D">
        <w:rPr>
          <w:lang w:eastAsia="hu-HU"/>
        </w:rPr>
        <w:t>. However</w:t>
      </w:r>
      <w:r w:rsidR="00936092" w:rsidRPr="00DE64AF">
        <w:rPr>
          <w:lang w:eastAsia="hu-HU"/>
        </w:rPr>
        <w:t xml:space="preserve">, </w:t>
      </w:r>
      <w:r w:rsidR="0084712D">
        <w:rPr>
          <w:lang w:eastAsia="hu-HU"/>
        </w:rPr>
        <w:t>these technologies</w:t>
      </w:r>
      <w:r w:rsidR="0084712D" w:rsidRPr="00DE64AF">
        <w:rPr>
          <w:lang w:eastAsia="hu-HU"/>
        </w:rPr>
        <w:t xml:space="preserve"> </w:t>
      </w:r>
      <w:r w:rsidR="00936092" w:rsidRPr="00DE64AF">
        <w:rPr>
          <w:lang w:eastAsia="hu-HU"/>
        </w:rPr>
        <w:t xml:space="preserve">require </w:t>
      </w:r>
      <w:r w:rsidR="0084712D" w:rsidRPr="00DE64AF">
        <w:rPr>
          <w:lang w:eastAsia="hu-HU"/>
        </w:rPr>
        <w:t xml:space="preserve">biocarbon </w:t>
      </w:r>
      <w:r w:rsidR="0084712D">
        <w:rPr>
          <w:lang w:eastAsia="hu-HU"/>
        </w:rPr>
        <w:t xml:space="preserve">with </w:t>
      </w:r>
      <w:r w:rsidR="00936092" w:rsidRPr="00DE64AF">
        <w:rPr>
          <w:lang w:eastAsia="hu-HU"/>
        </w:rPr>
        <w:t xml:space="preserve">different </w:t>
      </w:r>
      <w:r w:rsidR="0084712D" w:rsidRPr="00DE64AF">
        <w:rPr>
          <w:lang w:eastAsia="hu-HU"/>
        </w:rPr>
        <w:t xml:space="preserve">physical and </w:t>
      </w:r>
      <w:r w:rsidR="00936092" w:rsidRPr="00DE64AF">
        <w:rPr>
          <w:lang w:eastAsia="hu-HU"/>
        </w:rPr>
        <w:t xml:space="preserve">chemical properties. The amount and composition of volatile matter </w:t>
      </w:r>
      <w:r w:rsidR="0084712D">
        <w:rPr>
          <w:lang w:eastAsia="hu-HU"/>
        </w:rPr>
        <w:t xml:space="preserve">of the biocarbon </w:t>
      </w:r>
      <w:r w:rsidR="00936092">
        <w:rPr>
          <w:lang w:eastAsia="hu-HU"/>
        </w:rPr>
        <w:t>are</w:t>
      </w:r>
      <w:r w:rsidR="00936092" w:rsidRPr="00DE64AF">
        <w:rPr>
          <w:lang w:eastAsia="hu-HU"/>
        </w:rPr>
        <w:t xml:space="preserve"> important </w:t>
      </w:r>
      <w:r w:rsidR="00936092">
        <w:rPr>
          <w:lang w:eastAsia="hu-HU"/>
        </w:rPr>
        <w:t xml:space="preserve">properties </w:t>
      </w:r>
      <w:r w:rsidR="00936092" w:rsidRPr="00DE64AF">
        <w:rPr>
          <w:lang w:eastAsia="hu-HU"/>
        </w:rPr>
        <w:t xml:space="preserve">for utilization, while high </w:t>
      </w:r>
      <w:r w:rsidR="008768DE">
        <w:rPr>
          <w:lang w:eastAsia="hu-HU"/>
        </w:rPr>
        <w:t>biocarbon</w:t>
      </w:r>
      <w:r w:rsidR="0084712D">
        <w:rPr>
          <w:lang w:eastAsia="hu-HU"/>
        </w:rPr>
        <w:t xml:space="preserve"> yields with</w:t>
      </w:r>
      <w:r w:rsidR="00936092" w:rsidRPr="00DE64AF">
        <w:rPr>
          <w:lang w:eastAsia="hu-HU"/>
        </w:rPr>
        <w:t xml:space="preserve"> </w:t>
      </w:r>
      <w:r w:rsidR="0084712D">
        <w:rPr>
          <w:lang w:eastAsia="hu-HU"/>
        </w:rPr>
        <w:t>high</w:t>
      </w:r>
      <w:r w:rsidR="0084712D" w:rsidRPr="00DE64AF">
        <w:rPr>
          <w:lang w:eastAsia="hu-HU"/>
        </w:rPr>
        <w:t xml:space="preserve"> </w:t>
      </w:r>
      <w:r w:rsidR="00936092" w:rsidRPr="00DE64AF">
        <w:rPr>
          <w:lang w:eastAsia="hu-HU"/>
        </w:rPr>
        <w:t xml:space="preserve">fixed carbon </w:t>
      </w:r>
      <w:r w:rsidR="0084712D">
        <w:rPr>
          <w:lang w:eastAsia="hu-HU"/>
        </w:rPr>
        <w:t>content</w:t>
      </w:r>
      <w:r w:rsidR="0084712D" w:rsidRPr="00DE64AF">
        <w:rPr>
          <w:lang w:eastAsia="hu-HU"/>
        </w:rPr>
        <w:t xml:space="preserve"> </w:t>
      </w:r>
      <w:r w:rsidR="00936092" w:rsidRPr="00DE64AF">
        <w:rPr>
          <w:lang w:eastAsia="hu-HU"/>
        </w:rPr>
        <w:t xml:space="preserve">are always desirable. Ash content and </w:t>
      </w:r>
      <w:r w:rsidR="00936092">
        <w:rPr>
          <w:lang w:eastAsia="hu-HU"/>
        </w:rPr>
        <w:t xml:space="preserve">inorganic </w:t>
      </w:r>
      <w:r w:rsidR="00936092" w:rsidRPr="00DE64AF">
        <w:rPr>
          <w:lang w:eastAsia="hu-HU"/>
        </w:rPr>
        <w:t xml:space="preserve">composition </w:t>
      </w:r>
      <w:r w:rsidR="00936092">
        <w:rPr>
          <w:lang w:eastAsia="hu-HU"/>
        </w:rPr>
        <w:t>of</w:t>
      </w:r>
      <w:r w:rsidR="00936092" w:rsidRPr="00DE64AF">
        <w:rPr>
          <w:lang w:eastAsia="hu-HU"/>
        </w:rPr>
        <w:t xml:space="preserve"> the </w:t>
      </w:r>
      <w:r w:rsidR="00B81474">
        <w:rPr>
          <w:lang w:eastAsia="hu-HU"/>
        </w:rPr>
        <w:t>biocarbon</w:t>
      </w:r>
      <w:r w:rsidR="00936092" w:rsidRPr="00DE64AF">
        <w:rPr>
          <w:lang w:eastAsia="hu-HU"/>
        </w:rPr>
        <w:t xml:space="preserve"> </w:t>
      </w:r>
      <w:r w:rsidR="00936092">
        <w:rPr>
          <w:lang w:eastAsia="hu-HU"/>
        </w:rPr>
        <w:t xml:space="preserve">are </w:t>
      </w:r>
      <w:r w:rsidR="00936092" w:rsidRPr="00DE64AF">
        <w:rPr>
          <w:lang w:eastAsia="hu-HU"/>
        </w:rPr>
        <w:t>also critical factor</w:t>
      </w:r>
      <w:r w:rsidR="00936092">
        <w:rPr>
          <w:lang w:eastAsia="hu-HU"/>
        </w:rPr>
        <w:t>s</w:t>
      </w:r>
      <w:r w:rsidR="00936092" w:rsidRPr="00DE64AF">
        <w:rPr>
          <w:lang w:eastAsia="hu-HU"/>
        </w:rPr>
        <w:t xml:space="preserve"> </w:t>
      </w:r>
      <w:r w:rsidR="00936092">
        <w:rPr>
          <w:lang w:eastAsia="hu-HU"/>
        </w:rPr>
        <w:t>in</w:t>
      </w:r>
      <w:r w:rsidR="00936092" w:rsidRPr="00DE64AF">
        <w:rPr>
          <w:lang w:eastAsia="hu-HU"/>
        </w:rPr>
        <w:t xml:space="preserve"> several applications, </w:t>
      </w:r>
      <w:r w:rsidR="00936092">
        <w:rPr>
          <w:lang w:eastAsia="hu-HU"/>
        </w:rPr>
        <w:t>such as</w:t>
      </w:r>
      <w:r w:rsidR="00936092" w:rsidRPr="00DE64AF">
        <w:rPr>
          <w:lang w:eastAsia="hu-HU"/>
        </w:rPr>
        <w:t xml:space="preserve"> </w:t>
      </w:r>
      <w:r w:rsidR="00936092">
        <w:rPr>
          <w:lang w:eastAsia="hu-HU"/>
        </w:rPr>
        <w:t xml:space="preserve">in </w:t>
      </w:r>
      <w:r w:rsidR="00936092" w:rsidRPr="00DE64AF">
        <w:rPr>
          <w:lang w:eastAsia="hu-HU"/>
        </w:rPr>
        <w:t xml:space="preserve">certain metallurgical processes. Metallurgical applications require large amounts of biocarbon </w:t>
      </w:r>
      <w:r w:rsidR="00936092">
        <w:rPr>
          <w:lang w:eastAsia="hu-HU"/>
        </w:rPr>
        <w:t>to</w:t>
      </w:r>
      <w:r w:rsidR="00936092" w:rsidRPr="00DE64AF">
        <w:rPr>
          <w:lang w:eastAsia="hu-HU"/>
        </w:rPr>
        <w:t xml:space="preserve"> </w:t>
      </w:r>
      <w:r w:rsidR="00035874" w:rsidRPr="00DE64AF">
        <w:rPr>
          <w:lang w:eastAsia="hu-HU"/>
        </w:rPr>
        <w:t xml:space="preserve">replace </w:t>
      </w:r>
      <w:r w:rsidR="00936092" w:rsidRPr="00DE64AF">
        <w:rPr>
          <w:lang w:eastAsia="hu-HU"/>
        </w:rPr>
        <w:t>partially</w:t>
      </w:r>
      <w:r w:rsidR="00936092">
        <w:rPr>
          <w:lang w:eastAsia="hu-HU"/>
        </w:rPr>
        <w:t xml:space="preserve"> or fully</w:t>
      </w:r>
      <w:r w:rsidR="00936092" w:rsidRPr="00DE64AF">
        <w:rPr>
          <w:lang w:eastAsia="hu-HU"/>
        </w:rPr>
        <w:t xml:space="preserve"> fossil carbon </w:t>
      </w:r>
      <w:r w:rsidR="00936092">
        <w:rPr>
          <w:lang w:eastAsia="hu-HU"/>
        </w:rPr>
        <w:t>with</w:t>
      </w:r>
      <w:r w:rsidR="00936092" w:rsidRPr="00DE64AF">
        <w:rPr>
          <w:lang w:eastAsia="hu-HU"/>
        </w:rPr>
        <w:t xml:space="preserve"> a renewable alternative. Stem wood has low ash content and produces high quality </w:t>
      </w:r>
      <w:r w:rsidR="00936092">
        <w:rPr>
          <w:lang w:eastAsia="hu-HU"/>
        </w:rPr>
        <w:t>biocarbon</w:t>
      </w:r>
      <w:r w:rsidR="00936092" w:rsidRPr="00DE64AF">
        <w:rPr>
          <w:lang w:eastAsia="hu-HU"/>
        </w:rPr>
        <w:t xml:space="preserve">, </w:t>
      </w:r>
      <w:r w:rsidR="00936092">
        <w:rPr>
          <w:lang w:eastAsia="hu-HU"/>
        </w:rPr>
        <w:t>but</w:t>
      </w:r>
      <w:r w:rsidR="00936092" w:rsidRPr="00DE64AF">
        <w:rPr>
          <w:lang w:eastAsia="hu-HU"/>
        </w:rPr>
        <w:t xml:space="preserve"> it is the most valuable part of harvested </w:t>
      </w:r>
      <w:r w:rsidR="00936092">
        <w:rPr>
          <w:lang w:eastAsia="hu-HU"/>
        </w:rPr>
        <w:t>wood</w:t>
      </w:r>
      <w:r w:rsidR="00936092" w:rsidRPr="00DE64AF">
        <w:rPr>
          <w:lang w:eastAsia="hu-HU"/>
        </w:rPr>
        <w:t xml:space="preserve"> </w:t>
      </w:r>
      <w:r w:rsidR="00CE662A">
        <w:rPr>
          <w:lang w:eastAsia="hu-HU"/>
        </w:rPr>
        <w:t>with</w:t>
      </w:r>
      <w:r w:rsidR="00936092" w:rsidRPr="00DE64AF">
        <w:rPr>
          <w:lang w:eastAsia="hu-HU"/>
        </w:rPr>
        <w:t xml:space="preserve"> limited</w:t>
      </w:r>
      <w:r w:rsidR="00CE662A">
        <w:rPr>
          <w:lang w:eastAsia="hu-HU"/>
        </w:rPr>
        <w:t xml:space="preserve"> availability</w:t>
      </w:r>
      <w:r w:rsidR="00936092" w:rsidRPr="00DE64AF">
        <w:rPr>
          <w:lang w:eastAsia="hu-HU"/>
        </w:rPr>
        <w:t xml:space="preserve">. Therefore, </w:t>
      </w:r>
      <w:r w:rsidR="00936092">
        <w:rPr>
          <w:lang w:eastAsia="hu-HU"/>
        </w:rPr>
        <w:t xml:space="preserve">a less </w:t>
      </w:r>
      <w:r w:rsidR="00F627EB">
        <w:rPr>
          <w:lang w:eastAsia="hu-HU"/>
        </w:rPr>
        <w:t>utilized</w:t>
      </w:r>
      <w:r w:rsidR="00035874">
        <w:rPr>
          <w:lang w:eastAsia="hu-HU"/>
        </w:rPr>
        <w:t xml:space="preserve"> </w:t>
      </w:r>
      <w:r w:rsidR="00936092" w:rsidRPr="00DE64AF">
        <w:rPr>
          <w:lang w:eastAsia="hu-HU"/>
        </w:rPr>
        <w:t xml:space="preserve">and cheaper feedstock </w:t>
      </w:r>
      <w:r w:rsidR="00936092">
        <w:rPr>
          <w:lang w:eastAsia="hu-HU"/>
        </w:rPr>
        <w:t>is needed for</w:t>
      </w:r>
      <w:r w:rsidR="00936092" w:rsidRPr="00DE64AF">
        <w:rPr>
          <w:lang w:eastAsia="hu-HU"/>
        </w:rPr>
        <w:t xml:space="preserve"> the biocarbon production. Bark </w:t>
      </w:r>
      <w:r w:rsidR="00936092">
        <w:rPr>
          <w:lang w:eastAsia="hu-HU"/>
        </w:rPr>
        <w:t xml:space="preserve">is </w:t>
      </w:r>
      <w:r w:rsidR="00936092" w:rsidRPr="00DE64AF">
        <w:rPr>
          <w:lang w:eastAsia="hu-HU"/>
        </w:rPr>
        <w:t xml:space="preserve">available in </w:t>
      </w:r>
      <w:r w:rsidR="00936092">
        <w:rPr>
          <w:lang w:eastAsia="hu-HU"/>
        </w:rPr>
        <w:t>large</w:t>
      </w:r>
      <w:r w:rsidR="00936092" w:rsidRPr="00DE64AF">
        <w:rPr>
          <w:lang w:eastAsia="hu-HU"/>
        </w:rPr>
        <w:t xml:space="preserve"> </w:t>
      </w:r>
      <w:r w:rsidR="00936092">
        <w:rPr>
          <w:lang w:eastAsia="hu-HU"/>
        </w:rPr>
        <w:t>quantities and at</w:t>
      </w:r>
      <w:r w:rsidR="00936092" w:rsidRPr="00DE64AF">
        <w:rPr>
          <w:lang w:eastAsia="hu-HU"/>
        </w:rPr>
        <w:t xml:space="preserve"> lower price</w:t>
      </w:r>
      <w:r w:rsidR="00936092">
        <w:rPr>
          <w:lang w:eastAsia="hu-HU"/>
        </w:rPr>
        <w:t>s</w:t>
      </w:r>
      <w:r w:rsidR="00936092" w:rsidRPr="00DE64AF">
        <w:rPr>
          <w:lang w:eastAsia="hu-HU"/>
        </w:rPr>
        <w:t xml:space="preserve"> as a by</w:t>
      </w:r>
      <w:r w:rsidR="00936092">
        <w:rPr>
          <w:lang w:eastAsia="hu-HU"/>
        </w:rPr>
        <w:t>-</w:t>
      </w:r>
      <w:r w:rsidR="00936092" w:rsidRPr="00DE64AF">
        <w:rPr>
          <w:lang w:eastAsia="hu-HU"/>
        </w:rPr>
        <w:t xml:space="preserve">product of the wood </w:t>
      </w:r>
      <w:r w:rsidR="00936092">
        <w:rPr>
          <w:lang w:eastAsia="hu-HU"/>
        </w:rPr>
        <w:t xml:space="preserve">processing </w:t>
      </w:r>
      <w:r w:rsidR="00936092" w:rsidRPr="00DE64AF">
        <w:rPr>
          <w:lang w:eastAsia="hu-HU"/>
        </w:rPr>
        <w:t xml:space="preserve">industry. </w:t>
      </w:r>
      <w:r w:rsidR="00506ACE">
        <w:rPr>
          <w:lang w:eastAsia="hu-HU"/>
        </w:rPr>
        <w:t xml:space="preserve">Birch, pine and spruce are common tree species in the Northern Hemisphere, and their bark is </w:t>
      </w:r>
      <w:r w:rsidR="00F627EB">
        <w:rPr>
          <w:lang w:eastAsia="hu-HU"/>
        </w:rPr>
        <w:t xml:space="preserve">an </w:t>
      </w:r>
      <w:r w:rsidR="00506ACE">
        <w:rPr>
          <w:lang w:eastAsia="hu-HU"/>
        </w:rPr>
        <w:t xml:space="preserve">abundant and </w:t>
      </w:r>
      <w:r w:rsidR="00F627EB">
        <w:rPr>
          <w:lang w:eastAsia="hu-HU"/>
        </w:rPr>
        <w:t xml:space="preserve">a </w:t>
      </w:r>
      <w:r w:rsidR="00F23ED8">
        <w:rPr>
          <w:lang w:eastAsia="hu-HU"/>
        </w:rPr>
        <w:t xml:space="preserve">relatively </w:t>
      </w:r>
      <w:r w:rsidR="00506ACE">
        <w:rPr>
          <w:lang w:eastAsia="hu-HU"/>
        </w:rPr>
        <w:t xml:space="preserve">cheap biomass. </w:t>
      </w:r>
      <w:r w:rsidR="00936092">
        <w:rPr>
          <w:lang w:eastAsia="hu-HU"/>
        </w:rPr>
        <w:t>However, the b</w:t>
      </w:r>
      <w:r w:rsidR="00936092" w:rsidRPr="00DE64AF">
        <w:rPr>
          <w:lang w:eastAsia="hu-HU"/>
        </w:rPr>
        <w:t xml:space="preserve">ark has </w:t>
      </w:r>
      <w:r w:rsidR="00936092">
        <w:rPr>
          <w:lang w:eastAsia="hu-HU"/>
        </w:rPr>
        <w:t xml:space="preserve">a </w:t>
      </w:r>
      <w:r w:rsidR="00936092" w:rsidRPr="00DE64AF">
        <w:rPr>
          <w:lang w:eastAsia="hu-HU"/>
        </w:rPr>
        <w:t>hi</w:t>
      </w:r>
      <w:r w:rsidR="00936092">
        <w:rPr>
          <w:lang w:eastAsia="hu-HU"/>
        </w:rPr>
        <w:t>gher inorganic content compared</w:t>
      </w:r>
      <w:r w:rsidR="00936092" w:rsidRPr="00DE64AF">
        <w:rPr>
          <w:lang w:eastAsia="hu-HU"/>
        </w:rPr>
        <w:t xml:space="preserve"> to</w:t>
      </w:r>
      <w:r w:rsidR="00936092">
        <w:rPr>
          <w:lang w:eastAsia="hu-HU"/>
        </w:rPr>
        <w:t xml:space="preserve"> the</w:t>
      </w:r>
      <w:r w:rsidR="00936092" w:rsidRPr="00DE64AF">
        <w:rPr>
          <w:lang w:eastAsia="hu-HU"/>
        </w:rPr>
        <w:t xml:space="preserve"> stem</w:t>
      </w:r>
      <w:r w:rsidR="00936092">
        <w:rPr>
          <w:lang w:eastAsia="hu-HU"/>
        </w:rPr>
        <w:t xml:space="preserve"> wood</w:t>
      </w:r>
      <w:r w:rsidR="000410F0">
        <w:rPr>
          <w:lang w:eastAsia="hu-HU"/>
        </w:rPr>
        <w:t xml:space="preserve"> (Werkelin</w:t>
      </w:r>
      <w:r w:rsidR="00905F97">
        <w:rPr>
          <w:lang w:eastAsia="hu-HU"/>
        </w:rPr>
        <w:t xml:space="preserve"> et al.,</w:t>
      </w:r>
      <w:r w:rsidR="000410F0">
        <w:rPr>
          <w:lang w:eastAsia="hu-HU"/>
        </w:rPr>
        <w:t xml:space="preserve"> 2005</w:t>
      </w:r>
      <w:r w:rsidR="00905F97">
        <w:rPr>
          <w:lang w:eastAsia="hu-HU"/>
        </w:rPr>
        <w:t>;</w:t>
      </w:r>
      <w:r w:rsidR="00AC1C61">
        <w:rPr>
          <w:lang w:eastAsia="hu-HU"/>
        </w:rPr>
        <w:t xml:space="preserve"> Saarela</w:t>
      </w:r>
      <w:r w:rsidR="00905F97">
        <w:rPr>
          <w:lang w:eastAsia="hu-HU"/>
        </w:rPr>
        <w:t xml:space="preserve"> et al.,</w:t>
      </w:r>
      <w:r w:rsidR="00AC1C61">
        <w:rPr>
          <w:lang w:eastAsia="hu-HU"/>
        </w:rPr>
        <w:t xml:space="preserve"> 2005</w:t>
      </w:r>
      <w:r w:rsidR="000410F0">
        <w:rPr>
          <w:lang w:eastAsia="hu-HU"/>
        </w:rPr>
        <w:t>)</w:t>
      </w:r>
      <w:r w:rsidR="00936092" w:rsidRPr="00DE64AF">
        <w:rPr>
          <w:lang w:eastAsia="hu-HU"/>
        </w:rPr>
        <w:t xml:space="preserve">, which </w:t>
      </w:r>
      <w:r w:rsidR="00936092">
        <w:rPr>
          <w:lang w:eastAsia="hu-HU"/>
        </w:rPr>
        <w:t>need</w:t>
      </w:r>
      <w:r w:rsidR="00F627EB">
        <w:rPr>
          <w:lang w:eastAsia="hu-HU"/>
        </w:rPr>
        <w:t>s</w:t>
      </w:r>
      <w:r w:rsidR="00936092">
        <w:rPr>
          <w:lang w:eastAsia="hu-HU"/>
        </w:rPr>
        <w:t xml:space="preserve"> to</w:t>
      </w:r>
      <w:r w:rsidR="00936092" w:rsidRPr="00DE64AF">
        <w:rPr>
          <w:lang w:eastAsia="hu-HU"/>
        </w:rPr>
        <w:t xml:space="preserve"> be reduced to </w:t>
      </w:r>
      <w:r w:rsidR="00936092">
        <w:rPr>
          <w:lang w:eastAsia="hu-HU"/>
        </w:rPr>
        <w:t xml:space="preserve">make </w:t>
      </w:r>
      <w:r w:rsidR="00F627EB">
        <w:rPr>
          <w:lang w:eastAsia="hu-HU"/>
        </w:rPr>
        <w:t xml:space="preserve">bark </w:t>
      </w:r>
      <w:r w:rsidR="00936092">
        <w:rPr>
          <w:lang w:eastAsia="hu-HU"/>
        </w:rPr>
        <w:t xml:space="preserve">a suitable </w:t>
      </w:r>
      <w:r w:rsidR="001A5487">
        <w:rPr>
          <w:lang w:eastAsia="hu-HU"/>
        </w:rPr>
        <w:t xml:space="preserve">biocarbon </w:t>
      </w:r>
      <w:r w:rsidR="00936092">
        <w:rPr>
          <w:lang w:eastAsia="hu-HU"/>
        </w:rPr>
        <w:t xml:space="preserve">feedstock </w:t>
      </w:r>
      <w:r w:rsidR="00936092" w:rsidRPr="00DE64AF">
        <w:rPr>
          <w:lang w:eastAsia="hu-HU"/>
        </w:rPr>
        <w:t>for certain industrial processes.</w:t>
      </w:r>
      <w:r w:rsidR="000410F0">
        <w:rPr>
          <w:lang w:eastAsia="hu-HU"/>
        </w:rPr>
        <w:t xml:space="preserve"> Water leaching is an efficient </w:t>
      </w:r>
      <w:r w:rsidR="008D3D95">
        <w:rPr>
          <w:lang w:eastAsia="hu-HU"/>
        </w:rPr>
        <w:t>method</w:t>
      </w:r>
      <w:r w:rsidR="000410F0">
        <w:rPr>
          <w:lang w:eastAsia="hu-HU"/>
        </w:rPr>
        <w:t xml:space="preserve"> to reduce </w:t>
      </w:r>
      <w:r w:rsidR="001A5487">
        <w:rPr>
          <w:lang w:eastAsia="hu-HU"/>
        </w:rPr>
        <w:t xml:space="preserve">the amount of </w:t>
      </w:r>
      <w:r w:rsidR="001E40C8">
        <w:rPr>
          <w:lang w:eastAsia="hu-HU"/>
        </w:rPr>
        <w:t xml:space="preserve">several </w:t>
      </w:r>
      <w:r w:rsidR="000410F0">
        <w:rPr>
          <w:lang w:eastAsia="hu-HU"/>
        </w:rPr>
        <w:t>inorganic elements</w:t>
      </w:r>
      <w:r w:rsidR="008D3D95">
        <w:rPr>
          <w:lang w:eastAsia="hu-HU"/>
        </w:rPr>
        <w:t xml:space="preserve"> </w:t>
      </w:r>
      <w:r w:rsidR="000410F0">
        <w:rPr>
          <w:lang w:eastAsia="hu-HU"/>
        </w:rPr>
        <w:t>in woody biomass</w:t>
      </w:r>
      <w:r w:rsidR="008D3D95">
        <w:rPr>
          <w:lang w:eastAsia="hu-HU"/>
        </w:rPr>
        <w:t xml:space="preserve"> (</w:t>
      </w:r>
      <w:r w:rsidR="0041099F">
        <w:rPr>
          <w:lang w:eastAsia="hu-HU"/>
        </w:rPr>
        <w:t xml:space="preserve">Singhal </w:t>
      </w:r>
      <w:r w:rsidR="00905F97">
        <w:rPr>
          <w:lang w:eastAsia="hu-HU"/>
        </w:rPr>
        <w:t>et al.,</w:t>
      </w:r>
      <w:r w:rsidR="0041099F">
        <w:rPr>
          <w:lang w:eastAsia="hu-HU"/>
        </w:rPr>
        <w:t xml:space="preserve"> 2023</w:t>
      </w:r>
      <w:r w:rsidR="00905F97">
        <w:rPr>
          <w:lang w:eastAsia="hu-HU"/>
        </w:rPr>
        <w:t>;</w:t>
      </w:r>
      <w:r w:rsidR="0041099F">
        <w:rPr>
          <w:lang w:eastAsia="hu-HU"/>
        </w:rPr>
        <w:t xml:space="preserve"> </w:t>
      </w:r>
      <w:r w:rsidR="008D3D95">
        <w:rPr>
          <w:lang w:eastAsia="hu-HU"/>
        </w:rPr>
        <w:t xml:space="preserve">Wang </w:t>
      </w:r>
      <w:r w:rsidR="00905F97">
        <w:rPr>
          <w:lang w:eastAsia="hu-HU"/>
        </w:rPr>
        <w:t xml:space="preserve">and </w:t>
      </w:r>
      <w:r w:rsidR="00905F97" w:rsidRPr="00905F97">
        <w:rPr>
          <w:lang w:eastAsia="hu-HU"/>
        </w:rPr>
        <w:t>Skreiberg</w:t>
      </w:r>
      <w:r w:rsidR="00905F97">
        <w:rPr>
          <w:lang w:eastAsia="hu-HU"/>
        </w:rPr>
        <w:t>,</w:t>
      </w:r>
      <w:r w:rsidR="00905F97" w:rsidRPr="00905F97">
        <w:rPr>
          <w:lang w:eastAsia="hu-HU"/>
        </w:rPr>
        <w:t xml:space="preserve"> </w:t>
      </w:r>
      <w:r w:rsidR="008D3D95">
        <w:rPr>
          <w:lang w:eastAsia="hu-HU"/>
        </w:rPr>
        <w:t>2023)</w:t>
      </w:r>
      <w:r w:rsidR="000410F0">
        <w:rPr>
          <w:lang w:eastAsia="hu-HU"/>
        </w:rPr>
        <w:t>.</w:t>
      </w:r>
      <w:r w:rsidR="00A459B7">
        <w:rPr>
          <w:lang w:eastAsia="hu-HU"/>
        </w:rPr>
        <w:t xml:space="preserve"> </w:t>
      </w:r>
      <w:r w:rsidR="00E47989">
        <w:rPr>
          <w:lang w:eastAsia="hu-HU"/>
        </w:rPr>
        <w:t>The water-so</w:t>
      </w:r>
      <w:r w:rsidR="00506ACE">
        <w:rPr>
          <w:lang w:eastAsia="hu-HU"/>
        </w:rPr>
        <w:t>l</w:t>
      </w:r>
      <w:r w:rsidR="00AB1109">
        <w:rPr>
          <w:lang w:eastAsia="hu-HU"/>
        </w:rPr>
        <w:t xml:space="preserve">uble fraction of biomass </w:t>
      </w:r>
      <w:r w:rsidR="00D17F51">
        <w:rPr>
          <w:lang w:eastAsia="hu-HU"/>
        </w:rPr>
        <w:t>materials</w:t>
      </w:r>
      <w:r w:rsidR="00AB1109">
        <w:rPr>
          <w:lang w:eastAsia="hu-HU"/>
        </w:rPr>
        <w:t xml:space="preserve"> vary in a large range (Vassilev </w:t>
      </w:r>
      <w:r w:rsidR="00905F97">
        <w:rPr>
          <w:lang w:eastAsia="hu-HU"/>
        </w:rPr>
        <w:t xml:space="preserve">and </w:t>
      </w:r>
      <w:r w:rsidR="00905F97" w:rsidRPr="00905F97">
        <w:rPr>
          <w:lang w:eastAsia="hu-HU"/>
        </w:rPr>
        <w:t>Vassilev</w:t>
      </w:r>
      <w:r w:rsidR="00905F97">
        <w:rPr>
          <w:lang w:eastAsia="hu-HU"/>
        </w:rPr>
        <w:t>a,</w:t>
      </w:r>
      <w:r w:rsidR="00905F97" w:rsidRPr="00905F97">
        <w:rPr>
          <w:lang w:eastAsia="hu-HU"/>
        </w:rPr>
        <w:t xml:space="preserve"> </w:t>
      </w:r>
      <w:r w:rsidR="00AB1109">
        <w:rPr>
          <w:lang w:eastAsia="hu-HU"/>
        </w:rPr>
        <w:t>2019), a</w:t>
      </w:r>
      <w:r w:rsidR="00506ACE">
        <w:rPr>
          <w:lang w:eastAsia="hu-HU"/>
        </w:rPr>
        <w:t>s</w:t>
      </w:r>
      <w:r w:rsidR="00C77B7A">
        <w:rPr>
          <w:lang w:eastAsia="hu-HU"/>
        </w:rPr>
        <w:t xml:space="preserve"> the leaching</w:t>
      </w:r>
      <w:r w:rsidR="00E47989">
        <w:rPr>
          <w:lang w:eastAsia="hu-HU"/>
        </w:rPr>
        <w:t xml:space="preserve"> of inorganic and organic </w:t>
      </w:r>
      <w:r w:rsidR="00506ACE">
        <w:rPr>
          <w:lang w:eastAsia="hu-HU"/>
        </w:rPr>
        <w:t xml:space="preserve">contents </w:t>
      </w:r>
      <w:r w:rsidR="00D17F51">
        <w:rPr>
          <w:lang w:eastAsia="hu-HU"/>
        </w:rPr>
        <w:t>is</w:t>
      </w:r>
      <w:r w:rsidR="00506ACE">
        <w:rPr>
          <w:lang w:eastAsia="hu-HU"/>
        </w:rPr>
        <w:t xml:space="preserve"> affected by different factors</w:t>
      </w:r>
      <w:r w:rsidR="008A75CB">
        <w:rPr>
          <w:lang w:eastAsia="hu-HU"/>
        </w:rPr>
        <w:t xml:space="preserve"> (e.g., </w:t>
      </w:r>
      <w:r w:rsidR="00AF4AD5">
        <w:rPr>
          <w:lang w:eastAsia="hu-HU"/>
        </w:rPr>
        <w:t xml:space="preserve">plant species, </w:t>
      </w:r>
      <w:r w:rsidR="008A75CB">
        <w:rPr>
          <w:lang w:eastAsia="hu-HU"/>
        </w:rPr>
        <w:t>composition of extractive contents, leaching conditions)</w:t>
      </w:r>
      <w:r w:rsidR="00C77B7A">
        <w:rPr>
          <w:lang w:eastAsia="hu-HU"/>
        </w:rPr>
        <w:t>.</w:t>
      </w:r>
      <w:r w:rsidR="000E48B1">
        <w:rPr>
          <w:lang w:eastAsia="hu-HU"/>
        </w:rPr>
        <w:t xml:space="preserve"> </w:t>
      </w:r>
    </w:p>
    <w:p w14:paraId="51ADDCE0" w14:textId="4D4936EA" w:rsidR="0041099F" w:rsidRPr="00DE64AF" w:rsidRDefault="0041099F" w:rsidP="00936092">
      <w:pPr>
        <w:rPr>
          <w:lang w:eastAsia="hu-HU"/>
        </w:rPr>
      </w:pPr>
      <w:r>
        <w:rPr>
          <w:lang w:eastAsia="hu-HU"/>
        </w:rPr>
        <w:t>In this study</w:t>
      </w:r>
      <w:r w:rsidR="00D17F51">
        <w:rPr>
          <w:lang w:eastAsia="hu-HU"/>
        </w:rPr>
        <w:t>,</w:t>
      </w:r>
      <w:r>
        <w:rPr>
          <w:lang w:eastAsia="hu-HU"/>
        </w:rPr>
        <w:t xml:space="preserve"> the </w:t>
      </w:r>
      <w:r w:rsidR="00873BF4">
        <w:rPr>
          <w:lang w:eastAsia="hu-HU"/>
        </w:rPr>
        <w:t xml:space="preserve">effect and </w:t>
      </w:r>
      <w:r>
        <w:rPr>
          <w:lang w:eastAsia="hu-HU"/>
        </w:rPr>
        <w:t xml:space="preserve">efficiency of water leaching on </w:t>
      </w:r>
      <w:r w:rsidR="00FC61A9">
        <w:rPr>
          <w:lang w:eastAsia="hu-HU"/>
        </w:rPr>
        <w:t xml:space="preserve">both </w:t>
      </w:r>
      <w:r w:rsidR="00873BF4">
        <w:rPr>
          <w:lang w:eastAsia="hu-HU"/>
        </w:rPr>
        <w:t xml:space="preserve">the </w:t>
      </w:r>
      <w:r w:rsidR="0040280C">
        <w:rPr>
          <w:lang w:eastAsia="hu-HU"/>
        </w:rPr>
        <w:t xml:space="preserve">organic and </w:t>
      </w:r>
      <w:r w:rsidR="00A459B7">
        <w:rPr>
          <w:lang w:eastAsia="hu-HU"/>
        </w:rPr>
        <w:t>inorganic compositi</w:t>
      </w:r>
      <w:r w:rsidR="00622927">
        <w:rPr>
          <w:lang w:eastAsia="hu-HU"/>
        </w:rPr>
        <w:t xml:space="preserve">on </w:t>
      </w:r>
      <w:r w:rsidR="00FC61A9">
        <w:rPr>
          <w:lang w:eastAsia="hu-HU"/>
        </w:rPr>
        <w:t xml:space="preserve">as well as on the </w:t>
      </w:r>
      <w:r w:rsidR="00622927">
        <w:rPr>
          <w:lang w:eastAsia="hu-HU"/>
        </w:rPr>
        <w:t xml:space="preserve">thermal behaviour of </w:t>
      </w:r>
      <w:r w:rsidR="00873BF4">
        <w:rPr>
          <w:lang w:eastAsia="hu-HU"/>
        </w:rPr>
        <w:t>birch</w:t>
      </w:r>
      <w:r w:rsidR="00622927">
        <w:rPr>
          <w:lang w:eastAsia="hu-HU"/>
        </w:rPr>
        <w:t xml:space="preserve"> bark</w:t>
      </w:r>
      <w:r w:rsidR="00873BF4">
        <w:rPr>
          <w:lang w:eastAsia="hu-HU"/>
        </w:rPr>
        <w:t xml:space="preserve">, pine </w:t>
      </w:r>
      <w:r w:rsidR="00622927">
        <w:rPr>
          <w:lang w:eastAsia="hu-HU"/>
        </w:rPr>
        <w:t xml:space="preserve">bark </w:t>
      </w:r>
      <w:r w:rsidR="00873BF4">
        <w:rPr>
          <w:lang w:eastAsia="hu-HU"/>
        </w:rPr>
        <w:t>and spruce</w:t>
      </w:r>
      <w:r w:rsidR="00622927">
        <w:rPr>
          <w:lang w:eastAsia="hu-HU"/>
        </w:rPr>
        <w:t xml:space="preserve"> bark</w:t>
      </w:r>
      <w:r w:rsidR="00A459B7">
        <w:rPr>
          <w:lang w:eastAsia="hu-HU"/>
        </w:rPr>
        <w:t xml:space="preserve"> </w:t>
      </w:r>
      <w:r w:rsidR="00D17F51">
        <w:rPr>
          <w:lang w:eastAsia="hu-HU"/>
        </w:rPr>
        <w:t>were</w:t>
      </w:r>
      <w:r w:rsidR="00A459B7">
        <w:rPr>
          <w:lang w:eastAsia="hu-HU"/>
        </w:rPr>
        <w:t xml:space="preserve"> investigated</w:t>
      </w:r>
      <w:r w:rsidR="00B7162B">
        <w:rPr>
          <w:lang w:eastAsia="hu-HU"/>
        </w:rPr>
        <w:t xml:space="preserve"> and compared</w:t>
      </w:r>
      <w:r w:rsidR="00A459B7">
        <w:rPr>
          <w:lang w:eastAsia="hu-HU"/>
        </w:rPr>
        <w:t>.</w:t>
      </w:r>
    </w:p>
    <w:p w14:paraId="4AB36A8B" w14:textId="0CCC8CF9" w:rsidR="006B725A" w:rsidRPr="006B725A" w:rsidRDefault="004F2E93" w:rsidP="006B725A">
      <w:pPr>
        <w:pStyle w:val="CETHeading1"/>
      </w:pPr>
      <w:r>
        <w:lastRenderedPageBreak/>
        <w:t>Materials and methods</w:t>
      </w:r>
    </w:p>
    <w:p w14:paraId="0636B784" w14:textId="23E9D51C" w:rsidR="00453E24" w:rsidRDefault="00936092" w:rsidP="00453E24">
      <w:pPr>
        <w:pStyle w:val="CETheadingx"/>
      </w:pPr>
      <w:r>
        <w:t>Raw materials and leaching procedure</w:t>
      </w:r>
    </w:p>
    <w:p w14:paraId="14375A86" w14:textId="0044F14C" w:rsidR="00A16DC8" w:rsidRDefault="00A61CA7" w:rsidP="00CC5559">
      <w:pPr>
        <w:pStyle w:val="CETBodytext"/>
      </w:pPr>
      <w:r>
        <w:t>Bark samples of b</w:t>
      </w:r>
      <w:r w:rsidR="00055B91">
        <w:t>irch (</w:t>
      </w:r>
      <w:r w:rsidR="00055B91" w:rsidRPr="00905F97">
        <w:rPr>
          <w:i/>
        </w:rPr>
        <w:t>Betula pubescens</w:t>
      </w:r>
      <w:r w:rsidR="00055B91">
        <w:t>), s</w:t>
      </w:r>
      <w:r w:rsidR="00F1733E">
        <w:t>pruce (</w:t>
      </w:r>
      <w:r w:rsidR="00F1733E" w:rsidRPr="00905F97">
        <w:rPr>
          <w:i/>
        </w:rPr>
        <w:t>Picea abies</w:t>
      </w:r>
      <w:r w:rsidR="00F1733E">
        <w:t xml:space="preserve">), and </w:t>
      </w:r>
      <w:r w:rsidR="00055B91">
        <w:t>pine (</w:t>
      </w:r>
      <w:r w:rsidR="00055B91" w:rsidRPr="00191BF8">
        <w:rPr>
          <w:i/>
        </w:rPr>
        <w:t xml:space="preserve">Pinus </w:t>
      </w:r>
      <w:r w:rsidR="009B3C0F" w:rsidRPr="00191BF8">
        <w:rPr>
          <w:i/>
          <w:lang w:val="en-GB"/>
        </w:rPr>
        <w:t>sylvestris</w:t>
      </w:r>
      <w:r w:rsidR="00055B91" w:rsidRPr="00191BF8">
        <w:t>)</w:t>
      </w:r>
      <w:r>
        <w:t xml:space="preserve"> were</w:t>
      </w:r>
      <w:r w:rsidR="00F1733E">
        <w:t xml:space="preserve"> obtained from</w:t>
      </w:r>
      <w:r w:rsidR="001D3CEC">
        <w:t xml:space="preserve"> southern Norway (</w:t>
      </w:r>
      <w:r w:rsidR="00CC5559">
        <w:t>Hobøl, 59°35′35″N 10°56′45″E)</w:t>
      </w:r>
      <w:r w:rsidR="00191BF8">
        <w:t xml:space="preserve">. </w:t>
      </w:r>
      <w:r w:rsidR="00F1733E">
        <w:t>The bark was chipped to 3</w:t>
      </w:r>
      <w:r w:rsidR="00ED3019">
        <w:t>–</w:t>
      </w:r>
      <w:r w:rsidR="00F1733E">
        <w:t xml:space="preserve">5 cm pieces and </w:t>
      </w:r>
      <w:r w:rsidR="003C68B9">
        <w:t xml:space="preserve">dried at room temperature to approximately </w:t>
      </w:r>
      <w:r w:rsidR="00055B91" w:rsidRPr="00055B91">
        <w:t>15</w:t>
      </w:r>
      <w:r w:rsidR="00A16DC8" w:rsidRPr="00055B91">
        <w:t xml:space="preserve"> </w:t>
      </w:r>
      <w:r w:rsidR="003C68B9" w:rsidRPr="00055B91">
        <w:t>%</w:t>
      </w:r>
      <w:r w:rsidR="003C68B9">
        <w:t xml:space="preserve"> moisture content. </w:t>
      </w:r>
      <w:r w:rsidR="00A16DC8">
        <w:t>T</w:t>
      </w:r>
      <w:r w:rsidR="003C68B9">
        <w:t>he bark chips were further dried in an oven at 105</w:t>
      </w:r>
      <w:r w:rsidR="006836C6">
        <w:t xml:space="preserve"> </w:t>
      </w:r>
      <w:r w:rsidR="003C68B9">
        <w:t>°C for 16 h.</w:t>
      </w:r>
      <w:r w:rsidR="00F1733E" w:rsidRPr="005D3CC7">
        <w:t xml:space="preserve"> </w:t>
      </w:r>
      <w:r w:rsidR="003C68B9">
        <w:t>The dried</w:t>
      </w:r>
      <w:r w:rsidR="00A16DC8">
        <w:t xml:space="preserve"> chips were ground to a particle size of &lt; 1 mm by a cutting mill equipped with a sieve.</w:t>
      </w:r>
    </w:p>
    <w:p w14:paraId="2BE08B57" w14:textId="46D00204" w:rsidR="005D2CFD" w:rsidRDefault="00007D5A" w:rsidP="00A16DC8">
      <w:pPr>
        <w:pStyle w:val="CETBodytext"/>
      </w:pPr>
      <w:r>
        <w:t>An amount of 6 g</w:t>
      </w:r>
      <w:r w:rsidR="006836C6">
        <w:t xml:space="preserve"> raw </w:t>
      </w:r>
      <w:r>
        <w:t>ground bark sample</w:t>
      </w:r>
      <w:r w:rsidR="006836C6">
        <w:t xml:space="preserve"> w</w:t>
      </w:r>
      <w:r>
        <w:t>as</w:t>
      </w:r>
      <w:r w:rsidR="006836C6">
        <w:t xml:space="preserve"> leached by </w:t>
      </w:r>
      <w:r>
        <w:t>60 m</w:t>
      </w:r>
      <w:r w:rsidR="00A61CA7">
        <w:t>L</w:t>
      </w:r>
      <w:r>
        <w:t xml:space="preserve"> </w:t>
      </w:r>
      <w:r w:rsidR="006836C6">
        <w:t>deionized water</w:t>
      </w:r>
      <w:r>
        <w:t xml:space="preserve"> in each </w:t>
      </w:r>
      <w:r w:rsidR="00BB3EF1">
        <w:t>isothermal leaching</w:t>
      </w:r>
      <w:r>
        <w:t xml:space="preserve"> experiment</w:t>
      </w:r>
      <w:r w:rsidR="006836C6">
        <w:t>.</w:t>
      </w:r>
      <w:r w:rsidR="008B4777">
        <w:t xml:space="preserve"> The temperature of the water was set to 25 </w:t>
      </w:r>
      <w:r w:rsidR="00BB3EF1">
        <w:t xml:space="preserve">or </w:t>
      </w:r>
      <w:r w:rsidR="008B4777">
        <w:t xml:space="preserve">60 °C </w:t>
      </w:r>
      <w:r w:rsidR="004912A4">
        <w:t xml:space="preserve">before </w:t>
      </w:r>
      <w:r w:rsidR="008B4777">
        <w:t xml:space="preserve">it was poured on the ground bark sample, and the temperature was maintained by a water bath </w:t>
      </w:r>
      <w:r w:rsidR="00BB3EF1">
        <w:t xml:space="preserve">for </w:t>
      </w:r>
      <w:r w:rsidR="008B4777">
        <w:t>60 min</w:t>
      </w:r>
      <w:r w:rsidR="008B4777" w:rsidRPr="002350E3">
        <w:t xml:space="preserve">. </w:t>
      </w:r>
      <w:r w:rsidR="00D34A92">
        <w:t xml:space="preserve">Relatively </w:t>
      </w:r>
      <w:r w:rsidR="00E000DF">
        <w:t>low solvent:</w:t>
      </w:r>
      <w:r w:rsidR="00036B16">
        <w:t xml:space="preserve"> </w:t>
      </w:r>
      <w:r w:rsidR="00E000DF">
        <w:t xml:space="preserve">biomass ratio and moderate temperature were chosen to keep costs low </w:t>
      </w:r>
      <w:r w:rsidR="00404362" w:rsidRPr="00D1069D">
        <w:t>considering</w:t>
      </w:r>
      <w:r w:rsidR="00E000DF" w:rsidRPr="00D1069D">
        <w:t xml:space="preserve"> an industrial </w:t>
      </w:r>
      <w:r w:rsidR="00404362">
        <w:t>application</w:t>
      </w:r>
      <w:r w:rsidR="00E000DF">
        <w:t xml:space="preserve">. </w:t>
      </w:r>
      <w:r w:rsidR="00B61891">
        <w:t>I</w:t>
      </w:r>
      <w:r w:rsidR="00B4142F">
        <w:t xml:space="preserve">n </w:t>
      </w:r>
      <w:r w:rsidR="005D2CFD">
        <w:t>the case</w:t>
      </w:r>
      <w:r w:rsidR="00BB3EF1">
        <w:t>s of leaching pretreatments performed at</w:t>
      </w:r>
      <w:r w:rsidR="005D2CFD">
        <w:t xml:space="preserve"> 60</w:t>
      </w:r>
      <w:r w:rsidR="00ED3019">
        <w:t xml:space="preserve"> </w:t>
      </w:r>
      <w:r w:rsidR="005D2CFD">
        <w:t>°C</w:t>
      </w:r>
      <w:r w:rsidR="0083628C">
        <w:t xml:space="preserve">, </w:t>
      </w:r>
      <w:r w:rsidR="00B4142F">
        <w:t>the effect of leaching</w:t>
      </w:r>
      <w:r w:rsidR="005D2CFD">
        <w:t xml:space="preserve"> </w:t>
      </w:r>
      <w:r w:rsidR="00BB3EF1">
        <w:t>was further increased by stirring the</w:t>
      </w:r>
      <w:r w:rsidR="00BB3EF1" w:rsidRPr="00BB3EF1">
        <w:t xml:space="preserve"> </w:t>
      </w:r>
      <w:r w:rsidR="00BB3EF1">
        <w:t>mixture</w:t>
      </w:r>
      <w:r w:rsidR="005D2CFD">
        <w:t xml:space="preserve"> continuously </w:t>
      </w:r>
      <w:r w:rsidR="00BB3EF1">
        <w:t>with</w:t>
      </w:r>
      <w:r w:rsidR="005D2CFD">
        <w:t xml:space="preserve"> a magnetic stirrer</w:t>
      </w:r>
      <w:r w:rsidR="00C40175">
        <w:t xml:space="preserve"> (Heidolph MR Hei-standard, 400 rpm)</w:t>
      </w:r>
      <w:r w:rsidR="00EA3B06" w:rsidRPr="002350E3">
        <w:t xml:space="preserve">. </w:t>
      </w:r>
      <w:r w:rsidR="009C4F89">
        <w:t>T</w:t>
      </w:r>
      <w:r w:rsidR="005D2CFD">
        <w:t xml:space="preserve">he </w:t>
      </w:r>
      <w:r w:rsidR="00335B7E">
        <w:t>experiments</w:t>
      </w:r>
      <w:r w:rsidR="009C4F89">
        <w:t xml:space="preserve"> performed at </w:t>
      </w:r>
      <w:r w:rsidR="005D2CFD">
        <w:t>25</w:t>
      </w:r>
      <w:r w:rsidR="00335B7E">
        <w:t> </w:t>
      </w:r>
      <w:r w:rsidR="005D2CFD">
        <w:t xml:space="preserve">°C </w:t>
      </w:r>
      <w:r w:rsidR="009C4F89">
        <w:t>were static and</w:t>
      </w:r>
      <w:r w:rsidR="005D2CFD">
        <w:t xml:space="preserve"> not stirred</w:t>
      </w:r>
      <w:r w:rsidR="006123F0">
        <w:t>.</w:t>
      </w:r>
      <w:r w:rsidR="00EA3B06">
        <w:t xml:space="preserve"> </w:t>
      </w:r>
      <w:r w:rsidR="008B4777">
        <w:t>Three parallel leaching experiment</w:t>
      </w:r>
      <w:r w:rsidR="005A2243">
        <w:t xml:space="preserve">s </w:t>
      </w:r>
      <w:r w:rsidR="006123F0">
        <w:t>were</w:t>
      </w:r>
      <w:r w:rsidR="008B4777">
        <w:t xml:space="preserve"> </w:t>
      </w:r>
      <w:r w:rsidR="005A2243">
        <w:t xml:space="preserve">performed under </w:t>
      </w:r>
      <w:r w:rsidR="006123F0">
        <w:t>each</w:t>
      </w:r>
      <w:r w:rsidR="005A2243">
        <w:t xml:space="preserve"> condition.</w:t>
      </w:r>
    </w:p>
    <w:p w14:paraId="522D5086" w14:textId="1606E23C" w:rsidR="00F04122" w:rsidRDefault="00F04122" w:rsidP="00A16DC8">
      <w:pPr>
        <w:pStyle w:val="CETBodytext"/>
      </w:pPr>
      <w:r>
        <w:t>After 60 min</w:t>
      </w:r>
      <w:r w:rsidR="004E4FFF">
        <w:t xml:space="preserve"> leaching</w:t>
      </w:r>
      <w:r>
        <w:t xml:space="preserve"> the </w:t>
      </w:r>
      <w:r w:rsidR="004E4FFF">
        <w:t>sample was filtered in a glass Büchner funnel (G3). The leached bark sample</w:t>
      </w:r>
      <w:r w:rsidR="009C4F89">
        <w:t>s</w:t>
      </w:r>
      <w:r w:rsidR="004E4FFF">
        <w:t xml:space="preserve"> </w:t>
      </w:r>
      <w:r w:rsidR="009C4F89">
        <w:t>were</w:t>
      </w:r>
      <w:r w:rsidR="004E4FFF">
        <w:t xml:space="preserve"> dried</w:t>
      </w:r>
      <w:r w:rsidR="00767C71">
        <w:t xml:space="preserve"> in an oven</w:t>
      </w:r>
      <w:r w:rsidR="004E4FFF">
        <w:t xml:space="preserve"> </w:t>
      </w:r>
      <w:r w:rsidR="00767C71">
        <w:t>at 105 °C for 16</w:t>
      </w:r>
      <w:r w:rsidR="00ED3019">
        <w:t xml:space="preserve"> </w:t>
      </w:r>
      <w:r w:rsidR="00767C71">
        <w:t xml:space="preserve">h prior </w:t>
      </w:r>
      <w:r w:rsidR="004E17FB">
        <w:t xml:space="preserve">to </w:t>
      </w:r>
      <w:r w:rsidR="00767C71">
        <w:t>weight measurement for yield calculation. The leachate was poured into a crystallizing dish and dried at 50</w:t>
      </w:r>
      <w:r w:rsidR="00ED3019">
        <w:t xml:space="preserve"> </w:t>
      </w:r>
      <w:r w:rsidR="00767C71">
        <w:t xml:space="preserve">°C </w:t>
      </w:r>
      <w:r w:rsidR="000A6A68">
        <w:t>until</w:t>
      </w:r>
      <w:r w:rsidR="00767C71">
        <w:t xml:space="preserve"> the </w:t>
      </w:r>
      <w:r w:rsidR="009C4F89">
        <w:t>water content evaporated</w:t>
      </w:r>
      <w:r w:rsidR="00767C71">
        <w:t xml:space="preserve"> complete</w:t>
      </w:r>
      <w:r w:rsidR="009C4F89">
        <w:t>ly</w:t>
      </w:r>
      <w:r w:rsidR="00767C71">
        <w:t xml:space="preserve"> (48 h).</w:t>
      </w:r>
      <w:r w:rsidR="000A6A68">
        <w:t xml:space="preserve"> The weight of the dried leachate was measured for extract yield calculation.</w:t>
      </w:r>
    </w:p>
    <w:p w14:paraId="01B28B5D" w14:textId="09913B3D" w:rsidR="00F448C8" w:rsidRPr="00B57B36" w:rsidRDefault="00F448C8" w:rsidP="00F448C8">
      <w:pPr>
        <w:pStyle w:val="CETTabletitle"/>
      </w:pPr>
      <w:r w:rsidRPr="00B57B36">
        <w:t xml:space="preserve">Table </w:t>
      </w:r>
      <w:r>
        <w:t>1</w:t>
      </w:r>
      <w:r w:rsidRPr="00B57B36">
        <w:t xml:space="preserve">: </w:t>
      </w:r>
      <w:r w:rsidR="00214A86">
        <w:t>Sample designations and conditions of l</w:t>
      </w:r>
      <w:r>
        <w:t>eaching experiments</w:t>
      </w:r>
      <w:r w:rsidR="00D55B25">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22"/>
        <w:gridCol w:w="2280"/>
        <w:gridCol w:w="1843"/>
        <w:gridCol w:w="1559"/>
      </w:tblGrid>
      <w:tr w:rsidR="00F75319" w:rsidRPr="00B57B36" w14:paraId="0D605766" w14:textId="77777777" w:rsidTr="00F75319">
        <w:tc>
          <w:tcPr>
            <w:tcW w:w="1122" w:type="dxa"/>
            <w:tcBorders>
              <w:top w:val="single" w:sz="12" w:space="0" w:color="008000"/>
              <w:bottom w:val="single" w:sz="6" w:space="0" w:color="008000"/>
            </w:tcBorders>
            <w:shd w:val="clear" w:color="auto" w:fill="FFFFFF"/>
          </w:tcPr>
          <w:p w14:paraId="3999252F" w14:textId="40546AFC" w:rsidR="00F75319" w:rsidRPr="00B57B36" w:rsidRDefault="00F75319" w:rsidP="00A90A5C">
            <w:pPr>
              <w:pStyle w:val="CETBodytext"/>
              <w:rPr>
                <w:lang w:val="en-GB"/>
              </w:rPr>
            </w:pPr>
            <w:r>
              <w:rPr>
                <w:lang w:val="en-GB"/>
              </w:rPr>
              <w:t>Sample name</w:t>
            </w:r>
          </w:p>
        </w:tc>
        <w:tc>
          <w:tcPr>
            <w:tcW w:w="2280" w:type="dxa"/>
            <w:tcBorders>
              <w:top w:val="single" w:sz="12" w:space="0" w:color="008000"/>
              <w:bottom w:val="single" w:sz="6" w:space="0" w:color="008000"/>
            </w:tcBorders>
            <w:shd w:val="clear" w:color="auto" w:fill="FFFFFF"/>
          </w:tcPr>
          <w:p w14:paraId="433450F8" w14:textId="7C2A22EB" w:rsidR="00F75319" w:rsidRPr="00B57B36" w:rsidRDefault="00F75319" w:rsidP="00A90A5C">
            <w:pPr>
              <w:pStyle w:val="CETBodytext"/>
              <w:jc w:val="center"/>
              <w:rPr>
                <w:lang w:val="en-GB"/>
              </w:rPr>
            </w:pPr>
            <w:r>
              <w:rPr>
                <w:lang w:val="en-GB"/>
              </w:rPr>
              <w:t>Raw material</w:t>
            </w:r>
          </w:p>
        </w:tc>
        <w:tc>
          <w:tcPr>
            <w:tcW w:w="1843" w:type="dxa"/>
            <w:tcBorders>
              <w:top w:val="single" w:sz="12" w:space="0" w:color="008000"/>
              <w:bottom w:val="single" w:sz="6" w:space="0" w:color="008000"/>
            </w:tcBorders>
            <w:shd w:val="clear" w:color="auto" w:fill="FFFFFF"/>
          </w:tcPr>
          <w:p w14:paraId="49132338" w14:textId="01CE27FD" w:rsidR="00F75319" w:rsidRPr="00B57B36" w:rsidRDefault="00F75319" w:rsidP="00F448C8">
            <w:pPr>
              <w:pStyle w:val="CETBodytext"/>
              <w:jc w:val="center"/>
              <w:rPr>
                <w:lang w:val="en-GB"/>
              </w:rPr>
            </w:pPr>
            <w:r>
              <w:rPr>
                <w:lang w:val="en-GB"/>
              </w:rPr>
              <w:t>Leaching temperature</w:t>
            </w:r>
          </w:p>
        </w:tc>
        <w:tc>
          <w:tcPr>
            <w:tcW w:w="1559" w:type="dxa"/>
            <w:tcBorders>
              <w:top w:val="single" w:sz="12" w:space="0" w:color="008000"/>
              <w:bottom w:val="single" w:sz="6" w:space="0" w:color="008000"/>
            </w:tcBorders>
            <w:shd w:val="clear" w:color="auto" w:fill="FFFFFF"/>
          </w:tcPr>
          <w:p w14:paraId="7E3AEF1C" w14:textId="0AC7A4BC" w:rsidR="00F75319" w:rsidRPr="00B57B36" w:rsidRDefault="00F75319" w:rsidP="00A90A5C">
            <w:pPr>
              <w:pStyle w:val="CETBodytext"/>
              <w:ind w:right="-1"/>
              <w:jc w:val="center"/>
              <w:rPr>
                <w:rFonts w:cs="Arial"/>
                <w:szCs w:val="18"/>
                <w:lang w:val="en-GB"/>
              </w:rPr>
            </w:pPr>
            <w:r>
              <w:rPr>
                <w:rFonts w:cs="Arial"/>
                <w:szCs w:val="18"/>
                <w:lang w:val="en-GB"/>
              </w:rPr>
              <w:t>Stirring</w:t>
            </w:r>
          </w:p>
        </w:tc>
      </w:tr>
      <w:tr w:rsidR="00F75319" w:rsidRPr="00B57B36" w14:paraId="02A7FB3F" w14:textId="77777777" w:rsidTr="00F75319">
        <w:tc>
          <w:tcPr>
            <w:tcW w:w="1122" w:type="dxa"/>
            <w:tcBorders>
              <w:top w:val="single" w:sz="12" w:space="0" w:color="008000"/>
              <w:bottom w:val="nil"/>
            </w:tcBorders>
            <w:shd w:val="clear" w:color="auto" w:fill="FFFFFF"/>
          </w:tcPr>
          <w:p w14:paraId="4405A983" w14:textId="1A99BCA6" w:rsidR="00F75319" w:rsidRPr="00B57B36" w:rsidRDefault="00F75319" w:rsidP="00A90A5C">
            <w:pPr>
              <w:pStyle w:val="CETBodytext"/>
              <w:rPr>
                <w:lang w:val="en-GB"/>
              </w:rPr>
            </w:pPr>
            <w:r>
              <w:rPr>
                <w:lang w:val="en-GB"/>
              </w:rPr>
              <w:t>BB(raw)</w:t>
            </w:r>
          </w:p>
        </w:tc>
        <w:tc>
          <w:tcPr>
            <w:tcW w:w="2280" w:type="dxa"/>
            <w:tcBorders>
              <w:top w:val="single" w:sz="12" w:space="0" w:color="008000"/>
              <w:bottom w:val="nil"/>
            </w:tcBorders>
            <w:shd w:val="clear" w:color="auto" w:fill="FFFFFF"/>
          </w:tcPr>
          <w:p w14:paraId="2844EF0B" w14:textId="782A5B43" w:rsidR="00F75319" w:rsidRPr="00B57B36" w:rsidRDefault="00F75319" w:rsidP="00F448C8">
            <w:pPr>
              <w:pStyle w:val="CETBodytext"/>
              <w:jc w:val="center"/>
              <w:rPr>
                <w:lang w:val="en-GB"/>
              </w:rPr>
            </w:pPr>
            <w:r>
              <w:rPr>
                <w:lang w:val="en-GB"/>
              </w:rPr>
              <w:t>Birch bark</w:t>
            </w:r>
          </w:p>
        </w:tc>
        <w:tc>
          <w:tcPr>
            <w:tcW w:w="1843" w:type="dxa"/>
            <w:tcBorders>
              <w:top w:val="single" w:sz="12" w:space="0" w:color="008000"/>
              <w:bottom w:val="nil"/>
            </w:tcBorders>
            <w:shd w:val="clear" w:color="auto" w:fill="FFFFFF"/>
          </w:tcPr>
          <w:p w14:paraId="77933469" w14:textId="4F4FE887" w:rsidR="00F75319" w:rsidRPr="00B57B36" w:rsidRDefault="00D91242" w:rsidP="00A90A5C">
            <w:pPr>
              <w:pStyle w:val="CETBodytext"/>
              <w:jc w:val="center"/>
              <w:rPr>
                <w:lang w:val="en-GB"/>
              </w:rPr>
            </w:pPr>
            <w:r>
              <w:rPr>
                <w:lang w:val="en-GB"/>
              </w:rPr>
              <w:t>–</w:t>
            </w:r>
          </w:p>
        </w:tc>
        <w:tc>
          <w:tcPr>
            <w:tcW w:w="1559" w:type="dxa"/>
            <w:tcBorders>
              <w:top w:val="single" w:sz="12" w:space="0" w:color="008000"/>
              <w:bottom w:val="nil"/>
            </w:tcBorders>
            <w:shd w:val="clear" w:color="auto" w:fill="FFFFFF"/>
          </w:tcPr>
          <w:p w14:paraId="654EA1EB" w14:textId="714B2A86" w:rsidR="00F75319" w:rsidRPr="00B57B36" w:rsidRDefault="00D91242" w:rsidP="00A90A5C">
            <w:pPr>
              <w:pStyle w:val="CETBodytext"/>
              <w:ind w:right="-1"/>
              <w:jc w:val="center"/>
              <w:rPr>
                <w:rFonts w:cs="Arial"/>
                <w:szCs w:val="18"/>
                <w:lang w:val="en-GB"/>
              </w:rPr>
            </w:pPr>
            <w:r>
              <w:rPr>
                <w:lang w:val="en-GB"/>
              </w:rPr>
              <w:t>–</w:t>
            </w:r>
          </w:p>
        </w:tc>
      </w:tr>
      <w:tr w:rsidR="00F75319" w:rsidRPr="00B57B36" w14:paraId="44C67275" w14:textId="77777777" w:rsidTr="00F75319">
        <w:tc>
          <w:tcPr>
            <w:tcW w:w="1122" w:type="dxa"/>
            <w:tcBorders>
              <w:top w:val="nil"/>
              <w:bottom w:val="nil"/>
            </w:tcBorders>
            <w:shd w:val="clear" w:color="auto" w:fill="FFFFFF"/>
          </w:tcPr>
          <w:p w14:paraId="015E4DE6" w14:textId="5B11523E" w:rsidR="00F75319" w:rsidRDefault="00F75319" w:rsidP="00A90A5C">
            <w:pPr>
              <w:pStyle w:val="CETBodytext"/>
              <w:rPr>
                <w:lang w:val="en-GB"/>
              </w:rPr>
            </w:pPr>
            <w:r>
              <w:rPr>
                <w:lang w:val="en-GB"/>
              </w:rPr>
              <w:t>BB25N</w:t>
            </w:r>
          </w:p>
        </w:tc>
        <w:tc>
          <w:tcPr>
            <w:tcW w:w="2280" w:type="dxa"/>
            <w:tcBorders>
              <w:top w:val="nil"/>
              <w:bottom w:val="nil"/>
            </w:tcBorders>
            <w:shd w:val="clear" w:color="auto" w:fill="FFFFFF"/>
          </w:tcPr>
          <w:p w14:paraId="19DF11E7" w14:textId="5BA5E27A" w:rsidR="00F75319" w:rsidRDefault="00F75319" w:rsidP="00A90A5C">
            <w:pPr>
              <w:pStyle w:val="CETBodytext"/>
              <w:jc w:val="center"/>
              <w:rPr>
                <w:lang w:val="en-GB"/>
              </w:rPr>
            </w:pPr>
            <w:r>
              <w:rPr>
                <w:lang w:val="en-GB"/>
              </w:rPr>
              <w:t>Birch bark</w:t>
            </w:r>
          </w:p>
        </w:tc>
        <w:tc>
          <w:tcPr>
            <w:tcW w:w="1843" w:type="dxa"/>
            <w:tcBorders>
              <w:top w:val="nil"/>
              <w:bottom w:val="nil"/>
            </w:tcBorders>
            <w:shd w:val="clear" w:color="auto" w:fill="FFFFFF"/>
          </w:tcPr>
          <w:p w14:paraId="1DBE8EE0" w14:textId="30B5E4B7" w:rsidR="00F75319" w:rsidRPr="00B57B36" w:rsidRDefault="00F75319" w:rsidP="00F75319">
            <w:pPr>
              <w:pStyle w:val="CETBodytext"/>
              <w:jc w:val="center"/>
              <w:rPr>
                <w:lang w:val="en-GB"/>
              </w:rPr>
            </w:pPr>
            <w:r>
              <w:rPr>
                <w:lang w:val="en-GB"/>
              </w:rPr>
              <w:t>25</w:t>
            </w:r>
            <w:r w:rsidR="00ED3019">
              <w:rPr>
                <w:lang w:val="en-GB"/>
              </w:rPr>
              <w:t xml:space="preserve"> </w:t>
            </w:r>
            <w:r>
              <w:rPr>
                <w:lang w:val="en-GB"/>
              </w:rPr>
              <w:t>°C</w:t>
            </w:r>
          </w:p>
        </w:tc>
        <w:tc>
          <w:tcPr>
            <w:tcW w:w="1559" w:type="dxa"/>
            <w:tcBorders>
              <w:top w:val="nil"/>
              <w:bottom w:val="nil"/>
            </w:tcBorders>
            <w:shd w:val="clear" w:color="auto" w:fill="FFFFFF"/>
          </w:tcPr>
          <w:p w14:paraId="327BE46D" w14:textId="12BD58AC" w:rsidR="00F75319" w:rsidRPr="00B57B36" w:rsidRDefault="00F75319" w:rsidP="00A90A5C">
            <w:pPr>
              <w:pStyle w:val="CETBodytext"/>
              <w:ind w:right="-1"/>
              <w:jc w:val="center"/>
              <w:rPr>
                <w:rFonts w:cs="Arial"/>
                <w:szCs w:val="18"/>
                <w:lang w:val="en-GB"/>
              </w:rPr>
            </w:pPr>
            <w:r>
              <w:rPr>
                <w:rFonts w:cs="Arial"/>
                <w:szCs w:val="18"/>
                <w:lang w:val="en-GB"/>
              </w:rPr>
              <w:t>No</w:t>
            </w:r>
          </w:p>
        </w:tc>
      </w:tr>
      <w:tr w:rsidR="00F75319" w:rsidRPr="00B57B36" w14:paraId="52DFE87A" w14:textId="77777777" w:rsidTr="00F75319">
        <w:tc>
          <w:tcPr>
            <w:tcW w:w="1122" w:type="dxa"/>
            <w:tcBorders>
              <w:top w:val="nil"/>
              <w:bottom w:val="nil"/>
            </w:tcBorders>
            <w:shd w:val="clear" w:color="auto" w:fill="FFFFFF"/>
          </w:tcPr>
          <w:p w14:paraId="0C21C6CD" w14:textId="0B10F2DD" w:rsidR="00F75319" w:rsidRPr="00B57B36" w:rsidRDefault="00F75319" w:rsidP="00A90A5C">
            <w:pPr>
              <w:pStyle w:val="CETBodytext"/>
              <w:rPr>
                <w:lang w:val="en-GB"/>
              </w:rPr>
            </w:pPr>
            <w:r>
              <w:rPr>
                <w:lang w:val="en-GB"/>
              </w:rPr>
              <w:t>BB60S</w:t>
            </w:r>
          </w:p>
        </w:tc>
        <w:tc>
          <w:tcPr>
            <w:tcW w:w="2280" w:type="dxa"/>
            <w:tcBorders>
              <w:top w:val="nil"/>
              <w:bottom w:val="nil"/>
            </w:tcBorders>
            <w:shd w:val="clear" w:color="auto" w:fill="FFFFFF"/>
          </w:tcPr>
          <w:p w14:paraId="06D46737" w14:textId="20FF51A0" w:rsidR="00F75319" w:rsidRPr="00B57B36" w:rsidRDefault="00F75319" w:rsidP="00A90A5C">
            <w:pPr>
              <w:pStyle w:val="CETBodytext"/>
              <w:jc w:val="center"/>
              <w:rPr>
                <w:lang w:val="en-GB"/>
              </w:rPr>
            </w:pPr>
            <w:r>
              <w:rPr>
                <w:lang w:val="en-GB"/>
              </w:rPr>
              <w:t>Birch bark</w:t>
            </w:r>
          </w:p>
        </w:tc>
        <w:tc>
          <w:tcPr>
            <w:tcW w:w="1843" w:type="dxa"/>
            <w:tcBorders>
              <w:top w:val="nil"/>
              <w:bottom w:val="nil"/>
            </w:tcBorders>
            <w:shd w:val="clear" w:color="auto" w:fill="FFFFFF"/>
          </w:tcPr>
          <w:p w14:paraId="1D885A10" w14:textId="7D258F3C" w:rsidR="00F75319" w:rsidRPr="00B57B36" w:rsidRDefault="00F75319" w:rsidP="00A90A5C">
            <w:pPr>
              <w:pStyle w:val="CETBodytext"/>
              <w:jc w:val="center"/>
              <w:rPr>
                <w:lang w:val="en-GB"/>
              </w:rPr>
            </w:pPr>
            <w:r>
              <w:rPr>
                <w:lang w:val="en-GB"/>
              </w:rPr>
              <w:t>60</w:t>
            </w:r>
            <w:r w:rsidR="00ED3019">
              <w:rPr>
                <w:lang w:val="en-GB"/>
              </w:rPr>
              <w:t xml:space="preserve"> </w:t>
            </w:r>
            <w:r>
              <w:rPr>
                <w:lang w:val="en-GB"/>
              </w:rPr>
              <w:t>°C</w:t>
            </w:r>
          </w:p>
        </w:tc>
        <w:tc>
          <w:tcPr>
            <w:tcW w:w="1559" w:type="dxa"/>
            <w:tcBorders>
              <w:top w:val="nil"/>
              <w:bottom w:val="nil"/>
            </w:tcBorders>
            <w:shd w:val="clear" w:color="auto" w:fill="FFFFFF"/>
          </w:tcPr>
          <w:p w14:paraId="12F3CA51" w14:textId="04137FA7" w:rsidR="00F75319" w:rsidRPr="00B57B36" w:rsidRDefault="00F75319" w:rsidP="00A90A5C">
            <w:pPr>
              <w:pStyle w:val="CETBodytext"/>
              <w:ind w:right="-1"/>
              <w:jc w:val="center"/>
              <w:rPr>
                <w:rFonts w:cs="Arial"/>
                <w:szCs w:val="18"/>
                <w:lang w:val="en-GB"/>
              </w:rPr>
            </w:pPr>
            <w:r>
              <w:rPr>
                <w:rFonts w:cs="Arial"/>
                <w:szCs w:val="18"/>
                <w:lang w:val="en-GB"/>
              </w:rPr>
              <w:t>Yes</w:t>
            </w:r>
          </w:p>
        </w:tc>
      </w:tr>
      <w:tr w:rsidR="00F75319" w:rsidRPr="00B57B36" w14:paraId="6BECC7A2" w14:textId="77777777" w:rsidTr="00F75319">
        <w:tc>
          <w:tcPr>
            <w:tcW w:w="1122" w:type="dxa"/>
            <w:tcBorders>
              <w:top w:val="nil"/>
              <w:bottom w:val="nil"/>
            </w:tcBorders>
            <w:shd w:val="clear" w:color="auto" w:fill="FFFFFF"/>
          </w:tcPr>
          <w:p w14:paraId="72E662AA" w14:textId="592AA4F2" w:rsidR="00F75319" w:rsidRDefault="00E06B53" w:rsidP="00A90A5C">
            <w:pPr>
              <w:pStyle w:val="CETBodytext"/>
              <w:rPr>
                <w:lang w:val="en-GB"/>
              </w:rPr>
            </w:pPr>
            <w:r>
              <w:rPr>
                <w:lang w:val="en-GB"/>
              </w:rPr>
              <w:t>PB</w:t>
            </w:r>
            <w:r w:rsidR="00F75319">
              <w:rPr>
                <w:lang w:val="en-GB"/>
              </w:rPr>
              <w:t>(raw)</w:t>
            </w:r>
          </w:p>
        </w:tc>
        <w:tc>
          <w:tcPr>
            <w:tcW w:w="2280" w:type="dxa"/>
            <w:tcBorders>
              <w:top w:val="nil"/>
              <w:bottom w:val="nil"/>
            </w:tcBorders>
            <w:shd w:val="clear" w:color="auto" w:fill="FFFFFF"/>
          </w:tcPr>
          <w:p w14:paraId="0B640581" w14:textId="0B0CA119" w:rsidR="00F75319" w:rsidRPr="00B57B36" w:rsidRDefault="00F75319" w:rsidP="00A90A5C">
            <w:pPr>
              <w:pStyle w:val="CETBodytext"/>
              <w:jc w:val="center"/>
              <w:rPr>
                <w:lang w:val="en-GB"/>
              </w:rPr>
            </w:pPr>
            <w:r>
              <w:rPr>
                <w:lang w:val="en-GB"/>
              </w:rPr>
              <w:t>Pine bark</w:t>
            </w:r>
          </w:p>
        </w:tc>
        <w:tc>
          <w:tcPr>
            <w:tcW w:w="1843" w:type="dxa"/>
            <w:tcBorders>
              <w:top w:val="nil"/>
              <w:bottom w:val="nil"/>
            </w:tcBorders>
            <w:shd w:val="clear" w:color="auto" w:fill="FFFFFF"/>
          </w:tcPr>
          <w:p w14:paraId="1733CF27" w14:textId="12F3736E" w:rsidR="00F75319" w:rsidRPr="00B57B36" w:rsidRDefault="00D91242" w:rsidP="00A90A5C">
            <w:pPr>
              <w:pStyle w:val="CETBodytext"/>
              <w:jc w:val="center"/>
              <w:rPr>
                <w:lang w:val="en-GB"/>
              </w:rPr>
            </w:pPr>
            <w:r>
              <w:rPr>
                <w:lang w:val="en-GB"/>
              </w:rPr>
              <w:t>–</w:t>
            </w:r>
          </w:p>
        </w:tc>
        <w:tc>
          <w:tcPr>
            <w:tcW w:w="1559" w:type="dxa"/>
            <w:tcBorders>
              <w:top w:val="nil"/>
              <w:bottom w:val="nil"/>
            </w:tcBorders>
            <w:shd w:val="clear" w:color="auto" w:fill="FFFFFF"/>
          </w:tcPr>
          <w:p w14:paraId="399EC1DE" w14:textId="7BD00EFE" w:rsidR="00F75319" w:rsidRPr="00B57B36" w:rsidRDefault="00D91242" w:rsidP="00A90A5C">
            <w:pPr>
              <w:pStyle w:val="CETBodytext"/>
              <w:ind w:right="-1"/>
              <w:jc w:val="center"/>
              <w:rPr>
                <w:rFonts w:cs="Arial"/>
                <w:szCs w:val="18"/>
                <w:lang w:val="en-GB"/>
              </w:rPr>
            </w:pPr>
            <w:r>
              <w:rPr>
                <w:lang w:val="en-GB"/>
              </w:rPr>
              <w:t>–</w:t>
            </w:r>
          </w:p>
        </w:tc>
      </w:tr>
      <w:tr w:rsidR="00F75319" w:rsidRPr="00B57B36" w14:paraId="2CB67862" w14:textId="77777777" w:rsidTr="00F75319">
        <w:tc>
          <w:tcPr>
            <w:tcW w:w="1122" w:type="dxa"/>
            <w:tcBorders>
              <w:top w:val="nil"/>
              <w:bottom w:val="nil"/>
            </w:tcBorders>
            <w:shd w:val="clear" w:color="auto" w:fill="FFFFFF"/>
          </w:tcPr>
          <w:p w14:paraId="75B37B93" w14:textId="22DECB66" w:rsidR="00F75319" w:rsidRDefault="00F75319" w:rsidP="00A90A5C">
            <w:pPr>
              <w:pStyle w:val="CETBodytext"/>
              <w:rPr>
                <w:lang w:val="en-GB"/>
              </w:rPr>
            </w:pPr>
            <w:r>
              <w:rPr>
                <w:lang w:val="en-GB"/>
              </w:rPr>
              <w:t>PB25N</w:t>
            </w:r>
          </w:p>
        </w:tc>
        <w:tc>
          <w:tcPr>
            <w:tcW w:w="2280" w:type="dxa"/>
            <w:tcBorders>
              <w:top w:val="nil"/>
              <w:bottom w:val="nil"/>
            </w:tcBorders>
            <w:shd w:val="clear" w:color="auto" w:fill="FFFFFF"/>
          </w:tcPr>
          <w:p w14:paraId="01989BA2" w14:textId="7A82679F" w:rsidR="00F75319" w:rsidRPr="00B57B36" w:rsidRDefault="00F75319" w:rsidP="00A90A5C">
            <w:pPr>
              <w:pStyle w:val="CETBodytext"/>
              <w:jc w:val="center"/>
              <w:rPr>
                <w:lang w:val="en-GB"/>
              </w:rPr>
            </w:pPr>
            <w:r>
              <w:rPr>
                <w:lang w:val="en-GB"/>
              </w:rPr>
              <w:t>Pine bark</w:t>
            </w:r>
          </w:p>
        </w:tc>
        <w:tc>
          <w:tcPr>
            <w:tcW w:w="1843" w:type="dxa"/>
            <w:tcBorders>
              <w:top w:val="nil"/>
              <w:bottom w:val="nil"/>
            </w:tcBorders>
            <w:shd w:val="clear" w:color="auto" w:fill="FFFFFF"/>
          </w:tcPr>
          <w:p w14:paraId="5697589D" w14:textId="0CE2569F" w:rsidR="00F75319" w:rsidRPr="00B57B36" w:rsidRDefault="00F75319" w:rsidP="00A90A5C">
            <w:pPr>
              <w:pStyle w:val="CETBodytext"/>
              <w:jc w:val="center"/>
              <w:rPr>
                <w:lang w:val="en-GB"/>
              </w:rPr>
            </w:pPr>
            <w:r>
              <w:rPr>
                <w:lang w:val="en-GB"/>
              </w:rPr>
              <w:t>25</w:t>
            </w:r>
            <w:r w:rsidR="00ED3019">
              <w:rPr>
                <w:lang w:val="en-GB"/>
              </w:rPr>
              <w:t xml:space="preserve"> </w:t>
            </w:r>
            <w:r>
              <w:rPr>
                <w:lang w:val="en-GB"/>
              </w:rPr>
              <w:t>°C</w:t>
            </w:r>
          </w:p>
        </w:tc>
        <w:tc>
          <w:tcPr>
            <w:tcW w:w="1559" w:type="dxa"/>
            <w:tcBorders>
              <w:top w:val="nil"/>
              <w:bottom w:val="nil"/>
            </w:tcBorders>
            <w:shd w:val="clear" w:color="auto" w:fill="FFFFFF"/>
          </w:tcPr>
          <w:p w14:paraId="072F52CF" w14:textId="35DE1E14" w:rsidR="00F75319" w:rsidRPr="00B57B36" w:rsidRDefault="00F75319" w:rsidP="00A90A5C">
            <w:pPr>
              <w:pStyle w:val="CETBodytext"/>
              <w:ind w:right="-1"/>
              <w:jc w:val="center"/>
              <w:rPr>
                <w:rFonts w:cs="Arial"/>
                <w:szCs w:val="18"/>
                <w:lang w:val="en-GB"/>
              </w:rPr>
            </w:pPr>
            <w:r>
              <w:rPr>
                <w:rFonts w:cs="Arial"/>
                <w:szCs w:val="18"/>
                <w:lang w:val="en-GB"/>
              </w:rPr>
              <w:t>No</w:t>
            </w:r>
          </w:p>
        </w:tc>
      </w:tr>
      <w:tr w:rsidR="00F75319" w:rsidRPr="00B57B36" w14:paraId="058F1B54" w14:textId="77777777" w:rsidTr="00F75319">
        <w:tc>
          <w:tcPr>
            <w:tcW w:w="1122" w:type="dxa"/>
            <w:tcBorders>
              <w:top w:val="nil"/>
              <w:bottom w:val="nil"/>
            </w:tcBorders>
            <w:shd w:val="clear" w:color="auto" w:fill="FFFFFF"/>
          </w:tcPr>
          <w:p w14:paraId="6F3520B0" w14:textId="01907DEF" w:rsidR="00F75319" w:rsidRDefault="00F75319" w:rsidP="00A90A5C">
            <w:pPr>
              <w:pStyle w:val="CETBodytext"/>
              <w:rPr>
                <w:lang w:val="en-GB"/>
              </w:rPr>
            </w:pPr>
            <w:r>
              <w:rPr>
                <w:lang w:val="en-GB"/>
              </w:rPr>
              <w:t>PB60S</w:t>
            </w:r>
          </w:p>
        </w:tc>
        <w:tc>
          <w:tcPr>
            <w:tcW w:w="2280" w:type="dxa"/>
            <w:tcBorders>
              <w:top w:val="nil"/>
              <w:bottom w:val="nil"/>
            </w:tcBorders>
            <w:shd w:val="clear" w:color="auto" w:fill="FFFFFF"/>
          </w:tcPr>
          <w:p w14:paraId="6433FF04" w14:textId="77CE3966" w:rsidR="00F75319" w:rsidRPr="00B57B36" w:rsidRDefault="00F75319" w:rsidP="00A90A5C">
            <w:pPr>
              <w:pStyle w:val="CETBodytext"/>
              <w:jc w:val="center"/>
              <w:rPr>
                <w:lang w:val="en-GB"/>
              </w:rPr>
            </w:pPr>
            <w:r>
              <w:rPr>
                <w:lang w:val="en-GB"/>
              </w:rPr>
              <w:t>Pine bark</w:t>
            </w:r>
          </w:p>
        </w:tc>
        <w:tc>
          <w:tcPr>
            <w:tcW w:w="1843" w:type="dxa"/>
            <w:tcBorders>
              <w:top w:val="nil"/>
              <w:bottom w:val="nil"/>
            </w:tcBorders>
            <w:shd w:val="clear" w:color="auto" w:fill="FFFFFF"/>
          </w:tcPr>
          <w:p w14:paraId="39CB18B1" w14:textId="0689D220" w:rsidR="00F75319" w:rsidRPr="00B57B36" w:rsidRDefault="00F75319" w:rsidP="00A90A5C">
            <w:pPr>
              <w:pStyle w:val="CETBodytext"/>
              <w:jc w:val="center"/>
              <w:rPr>
                <w:lang w:val="en-GB"/>
              </w:rPr>
            </w:pPr>
            <w:r>
              <w:rPr>
                <w:lang w:val="en-GB"/>
              </w:rPr>
              <w:t>60</w:t>
            </w:r>
            <w:r w:rsidR="00ED3019">
              <w:rPr>
                <w:lang w:val="en-GB"/>
              </w:rPr>
              <w:t xml:space="preserve"> </w:t>
            </w:r>
            <w:r>
              <w:rPr>
                <w:lang w:val="en-GB"/>
              </w:rPr>
              <w:t>°C</w:t>
            </w:r>
          </w:p>
        </w:tc>
        <w:tc>
          <w:tcPr>
            <w:tcW w:w="1559" w:type="dxa"/>
            <w:tcBorders>
              <w:top w:val="nil"/>
              <w:bottom w:val="nil"/>
            </w:tcBorders>
            <w:shd w:val="clear" w:color="auto" w:fill="FFFFFF"/>
          </w:tcPr>
          <w:p w14:paraId="3F7F08C8" w14:textId="6863189E" w:rsidR="00F75319" w:rsidRPr="00B57B36" w:rsidRDefault="00F75319" w:rsidP="00A90A5C">
            <w:pPr>
              <w:pStyle w:val="CETBodytext"/>
              <w:ind w:right="-1"/>
              <w:jc w:val="center"/>
              <w:rPr>
                <w:rFonts w:cs="Arial"/>
                <w:szCs w:val="18"/>
                <w:lang w:val="en-GB"/>
              </w:rPr>
            </w:pPr>
            <w:r>
              <w:rPr>
                <w:rFonts w:cs="Arial"/>
                <w:szCs w:val="18"/>
                <w:lang w:val="en-GB"/>
              </w:rPr>
              <w:t>Yes</w:t>
            </w:r>
          </w:p>
        </w:tc>
      </w:tr>
      <w:tr w:rsidR="00F75319" w:rsidRPr="00B57B36" w14:paraId="138E7213" w14:textId="77777777" w:rsidTr="00F75319">
        <w:tc>
          <w:tcPr>
            <w:tcW w:w="1122" w:type="dxa"/>
            <w:tcBorders>
              <w:top w:val="nil"/>
            </w:tcBorders>
            <w:shd w:val="clear" w:color="auto" w:fill="FFFFFF"/>
          </w:tcPr>
          <w:p w14:paraId="5E1825E1" w14:textId="1594404D" w:rsidR="00F75319" w:rsidRPr="00B57B36" w:rsidRDefault="00F75319" w:rsidP="00A90A5C">
            <w:pPr>
              <w:pStyle w:val="CETBodytext"/>
              <w:rPr>
                <w:lang w:val="en-GB"/>
              </w:rPr>
            </w:pPr>
            <w:r>
              <w:rPr>
                <w:lang w:val="en-GB"/>
              </w:rPr>
              <w:t>SB(raw)</w:t>
            </w:r>
          </w:p>
        </w:tc>
        <w:tc>
          <w:tcPr>
            <w:tcW w:w="2280" w:type="dxa"/>
            <w:tcBorders>
              <w:top w:val="nil"/>
            </w:tcBorders>
            <w:shd w:val="clear" w:color="auto" w:fill="FFFFFF"/>
          </w:tcPr>
          <w:p w14:paraId="5F7203B3" w14:textId="35A6CAA9" w:rsidR="00F75319" w:rsidRPr="00B57B36" w:rsidRDefault="00F75319" w:rsidP="00A90A5C">
            <w:pPr>
              <w:pStyle w:val="CETBodytext"/>
              <w:jc w:val="center"/>
              <w:rPr>
                <w:lang w:val="en-GB"/>
              </w:rPr>
            </w:pPr>
            <w:r>
              <w:rPr>
                <w:lang w:val="en-GB"/>
              </w:rPr>
              <w:t>Spruce bark</w:t>
            </w:r>
          </w:p>
        </w:tc>
        <w:tc>
          <w:tcPr>
            <w:tcW w:w="1843" w:type="dxa"/>
            <w:tcBorders>
              <w:top w:val="nil"/>
            </w:tcBorders>
            <w:shd w:val="clear" w:color="auto" w:fill="FFFFFF"/>
          </w:tcPr>
          <w:p w14:paraId="3404D780" w14:textId="67108364" w:rsidR="00F75319" w:rsidRPr="00B57B36" w:rsidRDefault="00D91242" w:rsidP="00A90A5C">
            <w:pPr>
              <w:pStyle w:val="CETBodytext"/>
              <w:jc w:val="center"/>
              <w:rPr>
                <w:lang w:val="en-GB"/>
              </w:rPr>
            </w:pPr>
            <w:r>
              <w:rPr>
                <w:lang w:val="en-GB"/>
              </w:rPr>
              <w:t>–</w:t>
            </w:r>
          </w:p>
        </w:tc>
        <w:tc>
          <w:tcPr>
            <w:tcW w:w="1559" w:type="dxa"/>
            <w:tcBorders>
              <w:top w:val="nil"/>
            </w:tcBorders>
            <w:shd w:val="clear" w:color="auto" w:fill="FFFFFF"/>
          </w:tcPr>
          <w:p w14:paraId="38CC0B70" w14:textId="5E4BF3AE" w:rsidR="00F75319" w:rsidRPr="00B57B36" w:rsidRDefault="00D91242" w:rsidP="00A90A5C">
            <w:pPr>
              <w:pStyle w:val="CETBodytext"/>
              <w:ind w:right="-1"/>
              <w:jc w:val="center"/>
              <w:rPr>
                <w:rFonts w:cs="Arial"/>
                <w:szCs w:val="18"/>
                <w:lang w:val="en-GB"/>
              </w:rPr>
            </w:pPr>
            <w:r>
              <w:rPr>
                <w:lang w:val="en-GB"/>
              </w:rPr>
              <w:t>–</w:t>
            </w:r>
          </w:p>
        </w:tc>
      </w:tr>
      <w:tr w:rsidR="00F75319" w:rsidRPr="00B57B36" w14:paraId="265AAE73" w14:textId="77777777" w:rsidTr="00F75319">
        <w:tc>
          <w:tcPr>
            <w:tcW w:w="1122" w:type="dxa"/>
            <w:shd w:val="clear" w:color="auto" w:fill="FFFFFF"/>
          </w:tcPr>
          <w:p w14:paraId="5ABB0CA1" w14:textId="4CAF2FD8" w:rsidR="00F75319" w:rsidRPr="00BA0C33" w:rsidRDefault="00F75319" w:rsidP="00F448C8">
            <w:pPr>
              <w:pStyle w:val="CETBodytext"/>
              <w:rPr>
                <w:lang w:val="en-GB"/>
              </w:rPr>
            </w:pPr>
            <w:r>
              <w:rPr>
                <w:lang w:val="en-GB"/>
              </w:rPr>
              <w:t>SB25N</w:t>
            </w:r>
          </w:p>
        </w:tc>
        <w:tc>
          <w:tcPr>
            <w:tcW w:w="2280" w:type="dxa"/>
            <w:shd w:val="clear" w:color="auto" w:fill="FFFFFF"/>
          </w:tcPr>
          <w:p w14:paraId="54E07280" w14:textId="0E4DE0B2" w:rsidR="00F75319" w:rsidRPr="00B57B36" w:rsidRDefault="00F75319" w:rsidP="00F448C8">
            <w:pPr>
              <w:pStyle w:val="CETBodytext"/>
              <w:ind w:right="-1"/>
              <w:jc w:val="center"/>
              <w:rPr>
                <w:rFonts w:cs="Arial"/>
                <w:szCs w:val="18"/>
                <w:lang w:val="en-GB"/>
              </w:rPr>
            </w:pPr>
            <w:r>
              <w:rPr>
                <w:lang w:val="en-GB"/>
              </w:rPr>
              <w:t>Spruce bark</w:t>
            </w:r>
          </w:p>
        </w:tc>
        <w:tc>
          <w:tcPr>
            <w:tcW w:w="1843" w:type="dxa"/>
            <w:shd w:val="clear" w:color="auto" w:fill="FFFFFF"/>
          </w:tcPr>
          <w:p w14:paraId="41957590" w14:textId="2896D40B" w:rsidR="00F75319" w:rsidRPr="00B57B36" w:rsidRDefault="00F75319" w:rsidP="00F448C8">
            <w:pPr>
              <w:pStyle w:val="CETBodytext"/>
              <w:ind w:right="-1"/>
              <w:jc w:val="center"/>
              <w:rPr>
                <w:rFonts w:cs="Arial"/>
                <w:szCs w:val="18"/>
                <w:lang w:val="en-GB"/>
              </w:rPr>
            </w:pPr>
            <w:r>
              <w:rPr>
                <w:lang w:val="en-GB"/>
              </w:rPr>
              <w:t>25</w:t>
            </w:r>
            <w:r w:rsidR="00ED3019">
              <w:rPr>
                <w:lang w:val="en-GB"/>
              </w:rPr>
              <w:t xml:space="preserve"> </w:t>
            </w:r>
            <w:r>
              <w:rPr>
                <w:lang w:val="en-GB"/>
              </w:rPr>
              <w:t>°C</w:t>
            </w:r>
          </w:p>
        </w:tc>
        <w:tc>
          <w:tcPr>
            <w:tcW w:w="1559" w:type="dxa"/>
            <w:shd w:val="clear" w:color="auto" w:fill="FFFFFF"/>
          </w:tcPr>
          <w:p w14:paraId="1DCBDFB8" w14:textId="63E29CA9" w:rsidR="00F75319" w:rsidRPr="00B57B36" w:rsidRDefault="00F75319" w:rsidP="00F448C8">
            <w:pPr>
              <w:pStyle w:val="CETBodytext"/>
              <w:ind w:right="-1"/>
              <w:jc w:val="center"/>
              <w:rPr>
                <w:rFonts w:cs="Arial"/>
                <w:szCs w:val="18"/>
                <w:lang w:val="en-GB"/>
              </w:rPr>
            </w:pPr>
            <w:r>
              <w:rPr>
                <w:rFonts w:cs="Arial"/>
                <w:szCs w:val="18"/>
                <w:lang w:val="en-GB"/>
              </w:rPr>
              <w:t>No</w:t>
            </w:r>
          </w:p>
        </w:tc>
      </w:tr>
      <w:tr w:rsidR="00F75319" w:rsidRPr="00B57B36" w14:paraId="5A8E072A" w14:textId="77777777" w:rsidTr="00F75319">
        <w:tc>
          <w:tcPr>
            <w:tcW w:w="1122" w:type="dxa"/>
            <w:shd w:val="clear" w:color="auto" w:fill="FFFFFF"/>
          </w:tcPr>
          <w:p w14:paraId="7FE32998" w14:textId="65A29B25" w:rsidR="00F75319" w:rsidRDefault="00F75319" w:rsidP="00F448C8">
            <w:pPr>
              <w:pStyle w:val="CETBodytext"/>
              <w:rPr>
                <w:lang w:val="en-GB"/>
              </w:rPr>
            </w:pPr>
            <w:r>
              <w:rPr>
                <w:lang w:val="en-GB"/>
              </w:rPr>
              <w:t>SB60S</w:t>
            </w:r>
          </w:p>
        </w:tc>
        <w:tc>
          <w:tcPr>
            <w:tcW w:w="2280" w:type="dxa"/>
            <w:shd w:val="clear" w:color="auto" w:fill="FFFFFF"/>
          </w:tcPr>
          <w:p w14:paraId="48BFB8C9" w14:textId="57B64FD6" w:rsidR="00F75319" w:rsidRPr="00B57B36" w:rsidRDefault="00F75319" w:rsidP="00F448C8">
            <w:pPr>
              <w:pStyle w:val="CETBodytext"/>
              <w:ind w:right="-1"/>
              <w:jc w:val="center"/>
              <w:rPr>
                <w:rFonts w:cs="Arial"/>
                <w:szCs w:val="18"/>
                <w:lang w:val="en-GB"/>
              </w:rPr>
            </w:pPr>
            <w:r>
              <w:rPr>
                <w:lang w:val="en-GB"/>
              </w:rPr>
              <w:t>Spruce bark</w:t>
            </w:r>
          </w:p>
        </w:tc>
        <w:tc>
          <w:tcPr>
            <w:tcW w:w="1843" w:type="dxa"/>
            <w:shd w:val="clear" w:color="auto" w:fill="FFFFFF"/>
          </w:tcPr>
          <w:p w14:paraId="7E20C790" w14:textId="0B47C706" w:rsidR="00F75319" w:rsidRPr="00B57B36" w:rsidRDefault="00F75319" w:rsidP="00F448C8">
            <w:pPr>
              <w:pStyle w:val="CETBodytext"/>
              <w:ind w:right="-1"/>
              <w:jc w:val="center"/>
              <w:rPr>
                <w:rFonts w:cs="Arial"/>
                <w:szCs w:val="18"/>
                <w:lang w:val="en-GB"/>
              </w:rPr>
            </w:pPr>
            <w:r>
              <w:rPr>
                <w:lang w:val="en-GB"/>
              </w:rPr>
              <w:t>60</w:t>
            </w:r>
            <w:r w:rsidR="00ED3019">
              <w:rPr>
                <w:lang w:val="en-GB"/>
              </w:rPr>
              <w:t xml:space="preserve"> </w:t>
            </w:r>
            <w:r>
              <w:rPr>
                <w:lang w:val="en-GB"/>
              </w:rPr>
              <w:t>°C</w:t>
            </w:r>
          </w:p>
        </w:tc>
        <w:tc>
          <w:tcPr>
            <w:tcW w:w="1559" w:type="dxa"/>
            <w:shd w:val="clear" w:color="auto" w:fill="FFFFFF"/>
          </w:tcPr>
          <w:p w14:paraId="4A94E9A1" w14:textId="370790C0" w:rsidR="00F75319" w:rsidRPr="00B57B36" w:rsidRDefault="00F75319" w:rsidP="00F448C8">
            <w:pPr>
              <w:pStyle w:val="CETBodytext"/>
              <w:ind w:right="-1"/>
              <w:jc w:val="center"/>
              <w:rPr>
                <w:rFonts w:cs="Arial"/>
                <w:szCs w:val="18"/>
                <w:lang w:val="en-GB"/>
              </w:rPr>
            </w:pPr>
            <w:r>
              <w:rPr>
                <w:rFonts w:cs="Arial"/>
                <w:szCs w:val="18"/>
                <w:lang w:val="en-GB"/>
              </w:rPr>
              <w:t>Yes</w:t>
            </w:r>
          </w:p>
        </w:tc>
      </w:tr>
    </w:tbl>
    <w:p w14:paraId="3FF6FF72" w14:textId="1B506524" w:rsidR="00F448C8" w:rsidRDefault="00F448C8" w:rsidP="00A16DC8">
      <w:pPr>
        <w:pStyle w:val="CETBodytext"/>
      </w:pPr>
    </w:p>
    <w:p w14:paraId="663FA697" w14:textId="095EF7AD" w:rsidR="006836C6" w:rsidRDefault="00F75319" w:rsidP="006836C6">
      <w:pPr>
        <w:pStyle w:val="CETheadingx"/>
      </w:pPr>
      <w:r>
        <w:t>Characteriz</w:t>
      </w:r>
      <w:r w:rsidR="006836C6">
        <w:t>ation methods</w:t>
      </w:r>
    </w:p>
    <w:p w14:paraId="53053B7E" w14:textId="2107159A" w:rsidR="00DC4805" w:rsidRDefault="008B7706" w:rsidP="00DC4805">
      <w:pPr>
        <w:pStyle w:val="CETBodytext"/>
        <w:rPr>
          <w:lang w:val="en-GB"/>
        </w:rPr>
      </w:pPr>
      <w:r>
        <w:rPr>
          <w:lang w:val="en-GB"/>
        </w:rPr>
        <w:t>The u</w:t>
      </w:r>
      <w:r w:rsidR="00C25D30" w:rsidRPr="002B4F2D">
        <w:rPr>
          <w:lang w:val="en-GB"/>
        </w:rPr>
        <w:t>ltimate analys</w:t>
      </w:r>
      <w:r w:rsidR="009C4F89">
        <w:rPr>
          <w:lang w:val="en-GB"/>
        </w:rPr>
        <w:t>i</w:t>
      </w:r>
      <w:r w:rsidR="00C25D30" w:rsidRPr="002B4F2D">
        <w:rPr>
          <w:lang w:val="en-GB"/>
        </w:rPr>
        <w:t xml:space="preserve">s of the dried </w:t>
      </w:r>
      <w:r>
        <w:rPr>
          <w:lang w:val="en-GB"/>
        </w:rPr>
        <w:t>bark</w:t>
      </w:r>
      <w:r w:rsidRPr="002B4F2D">
        <w:rPr>
          <w:lang w:val="en-GB"/>
        </w:rPr>
        <w:t xml:space="preserve"> </w:t>
      </w:r>
      <w:r w:rsidR="00C25D30" w:rsidRPr="002B4F2D">
        <w:rPr>
          <w:lang w:val="en-GB"/>
        </w:rPr>
        <w:t>chips w</w:t>
      </w:r>
      <w:r w:rsidR="000969C0">
        <w:rPr>
          <w:lang w:val="en-GB"/>
        </w:rPr>
        <w:t>as</w:t>
      </w:r>
      <w:r w:rsidR="00C25D30" w:rsidRPr="002B4F2D">
        <w:rPr>
          <w:lang w:val="en-GB"/>
        </w:rPr>
        <w:t xml:space="preserve"> conducted by using an elemental analy</w:t>
      </w:r>
      <w:r w:rsidR="009C4F89">
        <w:rPr>
          <w:lang w:val="en-GB"/>
        </w:rPr>
        <w:t>s</w:t>
      </w:r>
      <w:r w:rsidR="00C25D30" w:rsidRPr="002B4F2D">
        <w:rPr>
          <w:lang w:val="en-GB"/>
        </w:rPr>
        <w:t>er (</w:t>
      </w:r>
      <w:r w:rsidR="00C25D30" w:rsidRPr="00287C75">
        <w:rPr>
          <w:lang w:val="en-GB"/>
        </w:rPr>
        <w:t>E</w:t>
      </w:r>
      <w:r w:rsidR="00C25D30" w:rsidRPr="00BE6ECD">
        <w:rPr>
          <w:lang w:val="en-GB"/>
        </w:rPr>
        <w:t>urovector EA 3000 CHNS-O Elemental Analyser</w:t>
      </w:r>
      <w:r w:rsidR="00C25D30" w:rsidRPr="002B4F2D">
        <w:rPr>
          <w:lang w:val="en-GB"/>
        </w:rPr>
        <w:t xml:space="preserve">). Oxygen content of </w:t>
      </w:r>
      <w:r w:rsidR="00FA4CC9">
        <w:rPr>
          <w:lang w:val="en-GB"/>
        </w:rPr>
        <w:t>the</w:t>
      </w:r>
      <w:r w:rsidR="00FA4CC9" w:rsidRPr="002B4F2D">
        <w:rPr>
          <w:lang w:val="en-GB"/>
        </w:rPr>
        <w:t xml:space="preserve"> </w:t>
      </w:r>
      <w:r w:rsidR="00C25D30" w:rsidRPr="002B4F2D">
        <w:rPr>
          <w:lang w:val="en-GB"/>
        </w:rPr>
        <w:t>sample</w:t>
      </w:r>
      <w:r w:rsidR="00FA4CC9">
        <w:rPr>
          <w:lang w:val="en-GB"/>
        </w:rPr>
        <w:t>s</w:t>
      </w:r>
      <w:r w:rsidR="00C25D30" w:rsidRPr="002B4F2D">
        <w:rPr>
          <w:lang w:val="en-GB"/>
        </w:rPr>
        <w:t xml:space="preserve"> was calculated by difference. For each sample, triplicate </w:t>
      </w:r>
      <w:r w:rsidR="009C4F89">
        <w:rPr>
          <w:lang w:val="en-GB"/>
        </w:rPr>
        <w:t>measurements</w:t>
      </w:r>
      <w:r w:rsidR="009C4F89" w:rsidRPr="002B4F2D">
        <w:rPr>
          <w:lang w:val="en-GB"/>
        </w:rPr>
        <w:t xml:space="preserve"> </w:t>
      </w:r>
      <w:r w:rsidR="00C25D30" w:rsidRPr="002B4F2D">
        <w:rPr>
          <w:lang w:val="en-GB"/>
        </w:rPr>
        <w:t xml:space="preserve">were conducted and </w:t>
      </w:r>
      <w:r>
        <w:rPr>
          <w:lang w:val="en-GB"/>
        </w:rPr>
        <w:t xml:space="preserve">the </w:t>
      </w:r>
      <w:r w:rsidR="009C4F89">
        <w:rPr>
          <w:lang w:val="en-GB"/>
        </w:rPr>
        <w:t>mean</w:t>
      </w:r>
      <w:r w:rsidR="009C4F89" w:rsidRPr="002B4F2D">
        <w:rPr>
          <w:lang w:val="en-GB"/>
        </w:rPr>
        <w:t xml:space="preserve"> </w:t>
      </w:r>
      <w:r w:rsidR="00C25D30" w:rsidRPr="002B4F2D">
        <w:rPr>
          <w:lang w:val="en-GB"/>
        </w:rPr>
        <w:t>values are presented</w:t>
      </w:r>
      <w:r w:rsidR="00C25D30">
        <w:rPr>
          <w:lang w:val="en-GB"/>
        </w:rPr>
        <w:t>.</w:t>
      </w:r>
    </w:p>
    <w:p w14:paraId="2DF61C62" w14:textId="30E5B400" w:rsidR="00D56F71" w:rsidRPr="00C25D30" w:rsidRDefault="00D56F71" w:rsidP="00D56F71">
      <w:pPr>
        <w:pStyle w:val="CETBodytext"/>
      </w:pPr>
      <w:r>
        <w:t xml:space="preserve">For </w:t>
      </w:r>
      <w:r w:rsidR="009C4F89">
        <w:t xml:space="preserve">determination of </w:t>
      </w:r>
      <w:r>
        <w:t>ash content</w:t>
      </w:r>
      <w:r w:rsidR="009C4F89">
        <w:t>,</w:t>
      </w:r>
      <w:r>
        <w:t xml:space="preserve"> approximately 0.5 g of each sample was ashed in a furnace using a two</w:t>
      </w:r>
      <w:r w:rsidR="00410CBC">
        <w:t>-</w:t>
      </w:r>
      <w:r>
        <w:t xml:space="preserve">step heating program </w:t>
      </w:r>
      <w:r w:rsidR="009C4F89">
        <w:t xml:space="preserve">up to </w:t>
      </w:r>
      <w:r>
        <w:t>550</w:t>
      </w:r>
      <w:r w:rsidR="00ED3019">
        <w:t xml:space="preserve"> </w:t>
      </w:r>
      <w:r>
        <w:t xml:space="preserve">°C final temperature (holding time 120 min). The ashes were cooled down in a desiccator to room temperature prior </w:t>
      </w:r>
      <w:r w:rsidR="008B7706">
        <w:t xml:space="preserve">to </w:t>
      </w:r>
      <w:r w:rsidR="009C4F89">
        <w:t xml:space="preserve">weight </w:t>
      </w:r>
      <w:r>
        <w:t xml:space="preserve">measurement of the residues. </w:t>
      </w:r>
      <w:r w:rsidR="00AC193E">
        <w:t xml:space="preserve">Triplicates </w:t>
      </w:r>
      <w:r>
        <w:t xml:space="preserve">were carried out for each sample. </w:t>
      </w:r>
    </w:p>
    <w:p w14:paraId="42BC7FF2" w14:textId="179917B6" w:rsidR="00E1216F" w:rsidRDefault="00E33C3A" w:rsidP="00E1216F">
      <w:pPr>
        <w:pStyle w:val="CETBodytext"/>
      </w:pPr>
      <w:r w:rsidRPr="00F5235F">
        <w:t>Inductively coupled plasma–optical emission</w:t>
      </w:r>
      <w:r w:rsidR="00F5235F">
        <w:t xml:space="preserve"> spectrometry</w:t>
      </w:r>
      <w:r w:rsidRPr="00F5235F">
        <w:t xml:space="preserve"> </w:t>
      </w:r>
      <w:r w:rsidR="00F5235F">
        <w:t>(</w:t>
      </w:r>
      <w:r w:rsidR="00D56F71" w:rsidRPr="00F5235F">
        <w:t>ICP</w:t>
      </w:r>
      <w:r w:rsidR="00F5235F">
        <w:t>-OES</w:t>
      </w:r>
      <w:r w:rsidR="00E1216F">
        <w:t>,</w:t>
      </w:r>
      <w:r w:rsidR="00E1216F" w:rsidRPr="00E1216F">
        <w:t xml:space="preserve"> </w:t>
      </w:r>
      <w:r w:rsidR="00E1216F">
        <w:t>Thermo Scientific iCAP 6300 Duo</w:t>
      </w:r>
    </w:p>
    <w:p w14:paraId="6D77E9E9" w14:textId="33554B35" w:rsidR="000C5B88" w:rsidRPr="00DC4805" w:rsidRDefault="00E1216F" w:rsidP="00DC4805">
      <w:pPr>
        <w:pStyle w:val="CETBodytext"/>
      </w:pPr>
      <w:r>
        <w:t>View ICP Emission Spectrometer</w:t>
      </w:r>
      <w:r w:rsidR="00F5235F">
        <w:t xml:space="preserve">) measurements were </w:t>
      </w:r>
      <w:r w:rsidR="00AC193E">
        <w:t xml:space="preserve">performed </w:t>
      </w:r>
      <w:r w:rsidR="00F5235F">
        <w:t>to determine the inorganic contents of the raw and water</w:t>
      </w:r>
      <w:r w:rsidR="00AC193E">
        <w:t>-</w:t>
      </w:r>
      <w:r w:rsidR="00F5235F">
        <w:t>leached bark samples.</w:t>
      </w:r>
      <w:r w:rsidR="002220EF">
        <w:t xml:space="preserve"> Each sample was </w:t>
      </w:r>
      <w:r w:rsidR="006402C7">
        <w:t xml:space="preserve">digested with mixture of </w:t>
      </w:r>
      <w:r w:rsidR="006402C7" w:rsidRPr="006402C7">
        <w:t>HNO</w:t>
      </w:r>
      <w:r w:rsidR="006402C7" w:rsidRPr="00D34A92">
        <w:rPr>
          <w:vertAlign w:val="subscript"/>
        </w:rPr>
        <w:t>3</w:t>
      </w:r>
      <w:r w:rsidR="006402C7" w:rsidRPr="006402C7">
        <w:t xml:space="preserve"> (65%), HF (40%), H</w:t>
      </w:r>
      <w:r w:rsidR="006402C7" w:rsidRPr="00D34A92">
        <w:rPr>
          <w:vertAlign w:val="subscript"/>
        </w:rPr>
        <w:t>3</w:t>
      </w:r>
      <w:r w:rsidR="006402C7" w:rsidRPr="006402C7">
        <w:t>BO</w:t>
      </w:r>
      <w:r w:rsidR="006402C7" w:rsidRPr="00D34A92">
        <w:rPr>
          <w:vertAlign w:val="subscript"/>
        </w:rPr>
        <w:t>3</w:t>
      </w:r>
      <w:r w:rsidR="006402C7" w:rsidRPr="006402C7">
        <w:t xml:space="preserve"> (4%), according to CEN/TS 15290</w:t>
      </w:r>
      <w:r w:rsidR="006402C7">
        <w:t xml:space="preserve">. </w:t>
      </w:r>
      <w:r w:rsidR="00F14105">
        <w:t xml:space="preserve">The content of inorganic elements in the </w:t>
      </w:r>
      <w:r w:rsidR="00F14105" w:rsidRPr="00F14105">
        <w:rPr>
          <w:lang w:val="en-GB"/>
        </w:rPr>
        <w:t>resulting</w:t>
      </w:r>
      <w:r w:rsidR="00F14105">
        <w:t xml:space="preserve"> solution was determined by the</w:t>
      </w:r>
      <w:r w:rsidR="00F14105" w:rsidRPr="00F14105">
        <w:rPr>
          <w:lang w:val="en-GB"/>
        </w:rPr>
        <w:t xml:space="preserve"> ICP-OES.</w:t>
      </w:r>
    </w:p>
    <w:p w14:paraId="01B91580" w14:textId="561CD52E" w:rsidR="00B61891" w:rsidRPr="00B61891" w:rsidRDefault="00B61891" w:rsidP="00B61891">
      <w:pPr>
        <w:pStyle w:val="CETBodytext"/>
      </w:pPr>
      <w:r w:rsidRPr="00B61891">
        <w:t xml:space="preserve">Thermogravimetry </w:t>
      </w:r>
      <w:r w:rsidR="00E33C3A">
        <w:t xml:space="preserve">(TGA) </w:t>
      </w:r>
      <w:r w:rsidRPr="00B61891">
        <w:t xml:space="preserve">measurements </w:t>
      </w:r>
      <w:r w:rsidR="008861D5">
        <w:t>were</w:t>
      </w:r>
      <w:r w:rsidRPr="00B61891">
        <w:t xml:space="preserve"> performed using a </w:t>
      </w:r>
      <w:r w:rsidR="00AC193E" w:rsidRPr="00B61891">
        <w:t>TGS-2</w:t>
      </w:r>
      <w:r w:rsidR="00AC193E">
        <w:t xml:space="preserve"> </w:t>
      </w:r>
      <w:r w:rsidRPr="00B61891">
        <w:t xml:space="preserve">thermobalance </w:t>
      </w:r>
      <w:r w:rsidR="00AC193E">
        <w:t xml:space="preserve">with a </w:t>
      </w:r>
      <w:r w:rsidR="00AC193E" w:rsidRPr="00B61891">
        <w:t>modified</w:t>
      </w:r>
      <w:r w:rsidR="00AC193E" w:rsidRPr="00AC193E">
        <w:t xml:space="preserve"> furnace</w:t>
      </w:r>
      <w:r w:rsidRPr="00B61891">
        <w:t xml:space="preserve"> (Perkin Elmer). Approximately 3 mg sample</w:t>
      </w:r>
      <w:r w:rsidR="008861D5">
        <w:t>s</w:t>
      </w:r>
      <w:r w:rsidRPr="00B61891">
        <w:t xml:space="preserve"> </w:t>
      </w:r>
      <w:r w:rsidR="008861D5">
        <w:t>were</w:t>
      </w:r>
      <w:r w:rsidR="008861D5" w:rsidRPr="00B61891">
        <w:t xml:space="preserve"> </w:t>
      </w:r>
      <w:r w:rsidR="00330EB2">
        <w:t>loaded</w:t>
      </w:r>
      <w:r w:rsidR="00330EB2" w:rsidRPr="00B61891">
        <w:t xml:space="preserve"> </w:t>
      </w:r>
      <w:r w:rsidR="00AC193E" w:rsidRPr="00AC193E">
        <w:t xml:space="preserve">in a platinum sample pan </w:t>
      </w:r>
      <w:r w:rsidR="00AC193E">
        <w:t>and were continuously purged by</w:t>
      </w:r>
      <w:r w:rsidR="00AC193E" w:rsidRPr="00B61891">
        <w:t xml:space="preserve"> </w:t>
      </w:r>
      <w:r w:rsidRPr="00B61891">
        <w:t>argon at a flow rate of 140 ml/min</w:t>
      </w:r>
      <w:r w:rsidR="00AC193E">
        <w:t xml:space="preserve"> before (for 40 min) and during the TGA analysis</w:t>
      </w:r>
      <w:r w:rsidRPr="00B61891">
        <w:t>. The samples were heated at a rate of 20 °C/min from 25 to 900 °C.</w:t>
      </w:r>
    </w:p>
    <w:p w14:paraId="677EBFF0" w14:textId="2050174B" w:rsidR="00600535" w:rsidRPr="00B57B36" w:rsidRDefault="00C42E97" w:rsidP="00600535">
      <w:pPr>
        <w:pStyle w:val="CETHeading1"/>
        <w:tabs>
          <w:tab w:val="clear" w:pos="360"/>
          <w:tab w:val="right" w:pos="7100"/>
        </w:tabs>
        <w:jc w:val="both"/>
        <w:rPr>
          <w:lang w:val="en-GB"/>
        </w:rPr>
      </w:pPr>
      <w:r>
        <w:rPr>
          <w:lang w:val="en-GB"/>
        </w:rPr>
        <w:t>Results and discussions</w:t>
      </w:r>
    </w:p>
    <w:p w14:paraId="4754F575" w14:textId="026A3C4C" w:rsidR="008C194D" w:rsidRDefault="00C25D30" w:rsidP="008C194D">
      <w:pPr>
        <w:pStyle w:val="CETheadingx"/>
      </w:pPr>
      <w:r>
        <w:t xml:space="preserve">Yields and </w:t>
      </w:r>
      <w:r w:rsidR="003504ED">
        <w:t xml:space="preserve">characterization of the </w:t>
      </w:r>
      <w:r w:rsidR="00980E63">
        <w:t xml:space="preserve">composition of the raw and leached </w:t>
      </w:r>
      <w:r w:rsidR="00235145">
        <w:t>bark samples</w:t>
      </w:r>
    </w:p>
    <w:p w14:paraId="11209464" w14:textId="5176420C" w:rsidR="00F63D2B" w:rsidRDefault="000A6A68" w:rsidP="00F63D2B">
      <w:pPr>
        <w:pStyle w:val="CETBodytext"/>
      </w:pPr>
      <w:r>
        <w:t xml:space="preserve">The obtained solid </w:t>
      </w:r>
      <w:r w:rsidR="00082434">
        <w:t xml:space="preserve">bark </w:t>
      </w:r>
      <w:r>
        <w:t xml:space="preserve">yield and </w:t>
      </w:r>
      <w:r w:rsidR="00622274">
        <w:t xml:space="preserve">the </w:t>
      </w:r>
      <w:r>
        <w:t>dried e</w:t>
      </w:r>
      <w:r w:rsidR="00AB1041">
        <w:t xml:space="preserve">xtract yield data </w:t>
      </w:r>
      <w:r w:rsidR="00F443AA">
        <w:t>are presented</w:t>
      </w:r>
      <w:r w:rsidR="00AB1041">
        <w:t xml:space="preserve"> in</w:t>
      </w:r>
      <w:r w:rsidR="00F443AA">
        <w:t xml:space="preserve"> Figure 1</w:t>
      </w:r>
      <w:r>
        <w:t>. The yield of the water</w:t>
      </w:r>
      <w:r w:rsidR="00C839A6">
        <w:t>-</w:t>
      </w:r>
      <w:r>
        <w:t xml:space="preserve">leached dry </w:t>
      </w:r>
      <w:r w:rsidR="00D8116F">
        <w:t xml:space="preserve">bark samples </w:t>
      </w:r>
      <w:r w:rsidR="005E60DC">
        <w:t>was</w:t>
      </w:r>
      <w:r w:rsidR="00D8116F">
        <w:t xml:space="preserve"> around 90</w:t>
      </w:r>
      <w:r w:rsidR="00B75EF9">
        <w:t xml:space="preserve"> </w:t>
      </w:r>
      <w:r w:rsidR="00D8116F">
        <w:t xml:space="preserve">%, </w:t>
      </w:r>
      <w:r w:rsidR="00E000DF">
        <w:t xml:space="preserve">as an </w:t>
      </w:r>
      <w:r w:rsidR="0012346A">
        <w:t xml:space="preserve">effect of leaching temperature and </w:t>
      </w:r>
      <w:r w:rsidR="0027080F">
        <w:t>stirring</w:t>
      </w:r>
      <w:r w:rsidR="0040280C">
        <w:t>,</w:t>
      </w:r>
      <w:r w:rsidR="0027080F">
        <w:t xml:space="preserve"> </w:t>
      </w:r>
      <w:r w:rsidR="00E000DF" w:rsidRPr="00731769">
        <w:t xml:space="preserve">the </w:t>
      </w:r>
      <w:r w:rsidR="00E000DF" w:rsidRPr="0040280C">
        <w:t>results changed</w:t>
      </w:r>
      <w:r w:rsidR="00E000DF" w:rsidRPr="00731769">
        <w:t xml:space="preserve"> </w:t>
      </w:r>
      <w:r w:rsidR="00E000DF">
        <w:t>within the SD of the procedure</w:t>
      </w:r>
      <w:r w:rsidR="00A8565A">
        <w:t xml:space="preserve"> (Figure 1a)</w:t>
      </w:r>
      <w:r w:rsidR="0027080F">
        <w:t xml:space="preserve">. The weight loss due to water leaching </w:t>
      </w:r>
      <w:r w:rsidR="00A23A6C">
        <w:t>originates from</w:t>
      </w:r>
      <w:r w:rsidR="00C43DC3">
        <w:t xml:space="preserve"> </w:t>
      </w:r>
      <w:r w:rsidR="00A23A6C">
        <w:t xml:space="preserve">the </w:t>
      </w:r>
      <w:r w:rsidR="00C43DC3">
        <w:t>extraction of water-</w:t>
      </w:r>
      <w:r w:rsidR="008B3AD2">
        <w:t>soluble inorganic and organic mat</w:t>
      </w:r>
      <w:r w:rsidR="00C43DC3">
        <w:t>ter and</w:t>
      </w:r>
      <w:r w:rsidR="00A23A6C">
        <w:t xml:space="preserve"> from</w:t>
      </w:r>
      <w:r w:rsidR="004A7413">
        <w:t xml:space="preserve"> some</w:t>
      </w:r>
      <w:r w:rsidR="00C43DC3">
        <w:t xml:space="preserve"> </w:t>
      </w:r>
      <w:r w:rsidR="0027080F">
        <w:t>loss during sample handling</w:t>
      </w:r>
      <w:r w:rsidR="00A23A6C">
        <w:t xml:space="preserve"> (e.g.</w:t>
      </w:r>
      <w:r w:rsidR="00A8565A">
        <w:t>,</w:t>
      </w:r>
      <w:r w:rsidR="00A23A6C">
        <w:t xml:space="preserve"> </w:t>
      </w:r>
      <w:r w:rsidR="00694103">
        <w:t>material st</w:t>
      </w:r>
      <w:r w:rsidR="00A8565A">
        <w:t>u</w:t>
      </w:r>
      <w:r w:rsidR="00694103">
        <w:t>ck</w:t>
      </w:r>
      <w:r w:rsidR="004A7413">
        <w:t xml:space="preserve"> on glass filter)</w:t>
      </w:r>
      <w:r w:rsidR="0027080F">
        <w:t>.</w:t>
      </w:r>
      <w:r w:rsidR="00C43DC3">
        <w:t xml:space="preserve"> </w:t>
      </w:r>
      <w:r w:rsidR="004A7413">
        <w:t xml:space="preserve">After </w:t>
      </w:r>
      <w:r w:rsidR="00044159">
        <w:t>filtration,</w:t>
      </w:r>
      <w:r w:rsidR="004A7413">
        <w:t xml:space="preserve"> the</w:t>
      </w:r>
      <w:r w:rsidR="00C43DC3">
        <w:t xml:space="preserve"> </w:t>
      </w:r>
      <w:r w:rsidR="004A7413">
        <w:t>leachate was dried at 50</w:t>
      </w:r>
      <w:r w:rsidR="002B1156">
        <w:t xml:space="preserve"> </w:t>
      </w:r>
      <w:r w:rsidR="004A7413">
        <w:t xml:space="preserve">°C until the complete evaporation of </w:t>
      </w:r>
      <w:r w:rsidR="004A7413">
        <w:lastRenderedPageBreak/>
        <w:t>the water. The yield of this fraction</w:t>
      </w:r>
      <w:r w:rsidR="00044159">
        <w:t xml:space="preserve">, which contains the extracted </w:t>
      </w:r>
      <w:r w:rsidR="00257E95">
        <w:t>water-</w:t>
      </w:r>
      <w:r w:rsidR="00044159">
        <w:t>soluble inorganic and organic matter</w:t>
      </w:r>
      <w:r w:rsidR="00257E95" w:rsidRPr="00257E95">
        <w:t xml:space="preserve"> </w:t>
      </w:r>
      <w:r w:rsidR="00AB1041">
        <w:t xml:space="preserve">is shown in </w:t>
      </w:r>
      <w:r w:rsidR="00A8565A">
        <w:t>Figure 1b</w:t>
      </w:r>
      <w:r w:rsidR="00257E95">
        <w:t xml:space="preserve"> (extract yield)</w:t>
      </w:r>
      <w:r w:rsidR="00044159">
        <w:t xml:space="preserve">. </w:t>
      </w:r>
      <w:r w:rsidR="00252473">
        <w:t>The extract yield of birch bark was the highest (</w:t>
      </w:r>
      <w:r w:rsidR="00BD22DC">
        <w:t xml:space="preserve">ca. </w:t>
      </w:r>
      <w:r w:rsidR="00252473">
        <w:t>8</w:t>
      </w:r>
      <w:r w:rsidR="00BD22DC">
        <w:t xml:space="preserve"> </w:t>
      </w:r>
      <w:r w:rsidR="00252473">
        <w:t>%), and that of spruce bark was the lowest (</w:t>
      </w:r>
      <w:r w:rsidR="00BD22DC">
        <w:t xml:space="preserve">ca. </w:t>
      </w:r>
      <w:r w:rsidR="00252473">
        <w:t>6</w:t>
      </w:r>
      <w:r w:rsidR="00BD22DC">
        <w:t xml:space="preserve"> </w:t>
      </w:r>
      <w:r w:rsidR="00252473">
        <w:t xml:space="preserve">%) among the three studied barks. These values are </w:t>
      </w:r>
      <w:r w:rsidR="002966E1">
        <w:t xml:space="preserve">somewhat higher than </w:t>
      </w:r>
      <w:r w:rsidR="00252473">
        <w:t>the average water</w:t>
      </w:r>
      <w:r w:rsidR="00BD22DC">
        <w:t>-soluble</w:t>
      </w:r>
      <w:r w:rsidR="00252473">
        <w:t xml:space="preserve"> content of woody biomass (5.8</w:t>
      </w:r>
      <w:r w:rsidR="00BD22DC">
        <w:t xml:space="preserve"> </w:t>
      </w:r>
      <w:r w:rsidR="00252473">
        <w:t>%)</w:t>
      </w:r>
      <w:r w:rsidR="002966E1">
        <w:t>; however,</w:t>
      </w:r>
      <w:r w:rsidR="00FE45D2">
        <w:t xml:space="preserve"> significantly lower than that of</w:t>
      </w:r>
      <w:r w:rsidR="002966E1">
        <w:t xml:space="preserve"> </w:t>
      </w:r>
      <w:r w:rsidR="00252473">
        <w:t xml:space="preserve">herbaceous and agricultural biomass </w:t>
      </w:r>
      <w:r w:rsidR="00144A51">
        <w:t xml:space="preserve">materials </w:t>
      </w:r>
      <w:r w:rsidR="00252473">
        <w:t>(14.3</w:t>
      </w:r>
      <w:r w:rsidR="00BD22DC">
        <w:t xml:space="preserve"> </w:t>
      </w:r>
      <w:r w:rsidR="00252473">
        <w:t xml:space="preserve">%) (Vassilev </w:t>
      </w:r>
      <w:r w:rsidR="00295826">
        <w:t xml:space="preserve">and </w:t>
      </w:r>
      <w:r w:rsidR="00295826" w:rsidRPr="00295826">
        <w:t>Vassileva</w:t>
      </w:r>
      <w:r w:rsidR="006A7406">
        <w:t>,</w:t>
      </w:r>
      <w:r w:rsidR="00252473">
        <w:t xml:space="preserve"> 2019). The extract yield was </w:t>
      </w:r>
      <w:r w:rsidR="00FE45D2">
        <w:t xml:space="preserve">higher </w:t>
      </w:r>
      <w:r w:rsidR="00252473">
        <w:t>for</w:t>
      </w:r>
      <w:r w:rsidR="00FE45D2">
        <w:t xml:space="preserve"> the</w:t>
      </w:r>
      <w:r w:rsidR="00257E95">
        <w:t xml:space="preserve"> </w:t>
      </w:r>
      <w:r w:rsidR="004A5D68">
        <w:t>samples leached</w:t>
      </w:r>
      <w:r w:rsidR="00FE45D2">
        <w:t xml:space="preserve"> at </w:t>
      </w:r>
      <w:r w:rsidR="00252473">
        <w:t>60</w:t>
      </w:r>
      <w:r w:rsidR="002B1156">
        <w:t xml:space="preserve"> </w:t>
      </w:r>
      <w:r w:rsidR="00252473">
        <w:t>°C</w:t>
      </w:r>
      <w:r w:rsidR="00257E95">
        <w:t xml:space="preserve"> temperature</w:t>
      </w:r>
      <w:r w:rsidR="00252473">
        <w:t xml:space="preserve"> </w:t>
      </w:r>
      <w:r w:rsidR="00257E95">
        <w:t>with stirring</w:t>
      </w:r>
      <w:r w:rsidR="00044159">
        <w:t xml:space="preserve">, </w:t>
      </w:r>
      <w:r w:rsidR="00252473">
        <w:t>comparing to the 25</w:t>
      </w:r>
      <w:r w:rsidR="00BD22DC">
        <w:t xml:space="preserve"> </w:t>
      </w:r>
      <w:r w:rsidR="00252473">
        <w:t xml:space="preserve">°C experiments indicating that </w:t>
      </w:r>
      <w:r w:rsidR="00044159">
        <w:t xml:space="preserve">leaching of these components were more effective at </w:t>
      </w:r>
      <w:r w:rsidR="00E974D1">
        <w:t>higher temperature</w:t>
      </w:r>
      <w:r w:rsidR="00044159">
        <w:t xml:space="preserve"> with continuous stirring.</w:t>
      </w:r>
      <w:r w:rsidR="00257E95">
        <w:t xml:space="preserve"> This effect was observed for all three type</w:t>
      </w:r>
      <w:r w:rsidR="002966E1">
        <w:t>s</w:t>
      </w:r>
      <w:r w:rsidR="00257E95">
        <w:t xml:space="preserve"> of bark samples.</w:t>
      </w:r>
      <w:r w:rsidR="00095A20">
        <w:t xml:space="preserve"> </w:t>
      </w:r>
      <w:r w:rsidR="00F63D2B">
        <w:t>Considering the relatively small decrease in the ash content (0.1</w:t>
      </w:r>
      <w:r w:rsidR="002B1156">
        <w:t>–</w:t>
      </w:r>
      <w:r w:rsidR="00F63D2B">
        <w:t>0.2</w:t>
      </w:r>
      <w:r w:rsidR="00B75EF9">
        <w:t xml:space="preserve"> </w:t>
      </w:r>
      <w:r w:rsidR="00F63D2B">
        <w:t>%, see Table 2) of the leached samples in all three type</w:t>
      </w:r>
      <w:r w:rsidR="00FE45D2">
        <w:t>s</w:t>
      </w:r>
      <w:r w:rsidR="00F63D2B">
        <w:t xml:space="preserve"> of barks, it can be concluded that the majority of the dried bark extract, which represents </w:t>
      </w:r>
      <w:r w:rsidR="00FE45D2">
        <w:t>6</w:t>
      </w:r>
      <w:r w:rsidR="00B75EF9">
        <w:t>–</w:t>
      </w:r>
      <w:r w:rsidR="00F63D2B">
        <w:t>8</w:t>
      </w:r>
      <w:r w:rsidR="00B75EF9">
        <w:t xml:space="preserve"> </w:t>
      </w:r>
      <w:r w:rsidR="00F63D2B">
        <w:t>% of the raw material</w:t>
      </w:r>
      <w:r w:rsidR="009117A3">
        <w:t>,</w:t>
      </w:r>
      <w:r w:rsidR="00F63D2B">
        <w:t xml:space="preserve"> is organic matter. </w:t>
      </w:r>
    </w:p>
    <w:p w14:paraId="06DCF494" w14:textId="77777777" w:rsidR="00C25D30" w:rsidRDefault="00C25D30" w:rsidP="005402BF">
      <w:pPr>
        <w:pStyle w:val="CETBodytext"/>
      </w:pPr>
    </w:p>
    <w:p w14:paraId="32999AC7" w14:textId="551A1351" w:rsidR="00C25D30" w:rsidRDefault="0075634F" w:rsidP="005402BF">
      <w:pPr>
        <w:pStyle w:val="CETBodytext"/>
      </w:pPr>
      <w:r>
        <w:rPr>
          <w:noProof/>
        </w:rPr>
        <w:drawing>
          <wp:inline distT="0" distB="0" distL="0" distR="0" wp14:anchorId="2CE83C8E" wp14:editId="20C20F43">
            <wp:extent cx="5153675" cy="150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336" cy="1531486"/>
                    </a:xfrm>
                    <a:prstGeom prst="rect">
                      <a:avLst/>
                    </a:prstGeom>
                    <a:noFill/>
                  </pic:spPr>
                </pic:pic>
              </a:graphicData>
            </a:graphic>
          </wp:inline>
        </w:drawing>
      </w:r>
    </w:p>
    <w:p w14:paraId="0CF023DA" w14:textId="78FBE813" w:rsidR="007B2E72" w:rsidRPr="00365DB6" w:rsidRDefault="007B2E72" w:rsidP="00365DB6">
      <w:pPr>
        <w:pStyle w:val="CETCaption"/>
        <w:rPr>
          <w:rStyle w:val="CETCaptionCarattere"/>
          <w:i/>
        </w:rPr>
      </w:pPr>
      <w:r w:rsidRPr="00365DB6">
        <w:rPr>
          <w:rStyle w:val="CETCaptionCarattere"/>
          <w:i/>
        </w:rPr>
        <w:t xml:space="preserve">Figure </w:t>
      </w:r>
      <w:r>
        <w:rPr>
          <w:rStyle w:val="CETCaptionCarattere"/>
          <w:i/>
        </w:rPr>
        <w:t>1</w:t>
      </w:r>
      <w:r w:rsidRPr="00365DB6">
        <w:rPr>
          <w:rStyle w:val="CETCaptionCarattere"/>
          <w:i/>
        </w:rPr>
        <w:t xml:space="preserve">: </w:t>
      </w:r>
      <w:r w:rsidR="0002498F" w:rsidRPr="00365DB6">
        <w:rPr>
          <w:rStyle w:val="CETCaptionCarattere"/>
          <w:i/>
        </w:rPr>
        <w:t>(a)</w:t>
      </w:r>
      <w:r w:rsidR="0002498F">
        <w:rPr>
          <w:rStyle w:val="CETCaptionCarattere"/>
          <w:i/>
        </w:rPr>
        <w:t xml:space="preserve"> </w:t>
      </w:r>
      <w:r w:rsidR="00F443AA" w:rsidRPr="00365DB6">
        <w:rPr>
          <w:rStyle w:val="CETCaptionCarattere"/>
          <w:i/>
        </w:rPr>
        <w:t>Solid y</w:t>
      </w:r>
      <w:r w:rsidRPr="00365DB6">
        <w:rPr>
          <w:rStyle w:val="CETCaptionCarattere"/>
          <w:i/>
        </w:rPr>
        <w:t>ields of water leaching experiments</w:t>
      </w:r>
      <w:r w:rsidR="00E143D7" w:rsidRPr="00365DB6">
        <w:rPr>
          <w:rStyle w:val="CETCaptionCarattere"/>
          <w:i/>
        </w:rPr>
        <w:t>, and</w:t>
      </w:r>
      <w:r w:rsidR="0002498F">
        <w:rPr>
          <w:rStyle w:val="CETCaptionCarattere"/>
          <w:i/>
        </w:rPr>
        <w:t xml:space="preserve"> </w:t>
      </w:r>
      <w:r w:rsidR="0002498F" w:rsidRPr="00365DB6">
        <w:rPr>
          <w:rStyle w:val="CETCaptionCarattere"/>
          <w:i/>
        </w:rPr>
        <w:t>(b)</w:t>
      </w:r>
      <w:r w:rsidR="00E143D7" w:rsidRPr="00365DB6">
        <w:rPr>
          <w:rStyle w:val="CETCaptionCarattere"/>
          <w:i/>
        </w:rPr>
        <w:t xml:space="preserve"> yields of the dry extracts</w:t>
      </w:r>
      <w:r w:rsidRPr="00365DB6">
        <w:rPr>
          <w:rStyle w:val="CETCaptionCarattere"/>
          <w:i/>
        </w:rPr>
        <w:t>.</w:t>
      </w:r>
    </w:p>
    <w:p w14:paraId="226B5EAB" w14:textId="509EA111" w:rsidR="00C25D30" w:rsidRDefault="006F530D" w:rsidP="005402BF">
      <w:pPr>
        <w:pStyle w:val="CETBodytext"/>
      </w:pPr>
      <w:r>
        <w:t xml:space="preserve">Differences </w:t>
      </w:r>
      <w:r w:rsidR="00E80E10">
        <w:t>in the a</w:t>
      </w:r>
      <w:r w:rsidR="00D56F71">
        <w:t>sh content of the raw and leached bark sample</w:t>
      </w:r>
      <w:r w:rsidR="00E1497E">
        <w:t>s</w:t>
      </w:r>
      <w:r w:rsidR="006B2413">
        <w:t xml:space="preserve">, shown in </w:t>
      </w:r>
      <w:r w:rsidR="00AB1041">
        <w:t>T</w:t>
      </w:r>
      <w:r w:rsidR="002823EB">
        <w:t>able 2</w:t>
      </w:r>
      <w:r w:rsidR="00D82464">
        <w:t>,</w:t>
      </w:r>
      <w:r w:rsidR="002823EB">
        <w:t xml:space="preserve"> </w:t>
      </w:r>
      <w:r w:rsidR="00D56F71">
        <w:t xml:space="preserve">provides information about the </w:t>
      </w:r>
      <w:r w:rsidR="003504ED">
        <w:t xml:space="preserve">overall </w:t>
      </w:r>
      <w:r w:rsidR="00D56F71">
        <w:t>efficiency of inorganic con</w:t>
      </w:r>
      <w:r w:rsidR="00E80E10">
        <w:t xml:space="preserve">tent removal by water leaching, and about the accessibility and solubility of </w:t>
      </w:r>
      <w:r w:rsidR="002823EB">
        <w:t>the inorganic content of birch, pine and spruce bark.</w:t>
      </w:r>
      <w:r w:rsidR="00D56F71">
        <w:t xml:space="preserve"> </w:t>
      </w:r>
      <w:r w:rsidR="00793734">
        <w:t>Among the studied raw materials</w:t>
      </w:r>
      <w:r w:rsidR="00E1497E">
        <w:t>,</w:t>
      </w:r>
      <w:r w:rsidR="00793734">
        <w:t xml:space="preserve"> birch bark has the lowest ash content (1.22</w:t>
      </w:r>
      <w:r w:rsidR="00462F84">
        <w:t xml:space="preserve"> </w:t>
      </w:r>
      <w:r w:rsidR="00793734">
        <w:t xml:space="preserve">%), pine bark contains somewhat more </w:t>
      </w:r>
      <w:r w:rsidR="00732C0C">
        <w:t>(1.</w:t>
      </w:r>
      <w:r w:rsidR="00AC1C61">
        <w:t>69</w:t>
      </w:r>
      <w:r w:rsidR="00462F84">
        <w:t xml:space="preserve"> </w:t>
      </w:r>
      <w:r w:rsidR="00AC1C61">
        <w:t>%) and spruce bark has the highest ash content (4.14</w:t>
      </w:r>
      <w:r w:rsidR="00462F84">
        <w:t xml:space="preserve"> </w:t>
      </w:r>
      <w:r w:rsidR="00AC1C61">
        <w:t xml:space="preserve">%), which is in agreement with literature data (Saarela </w:t>
      </w:r>
      <w:r w:rsidR="00295826">
        <w:t>et al.</w:t>
      </w:r>
      <w:r w:rsidR="006A7406">
        <w:t>,</w:t>
      </w:r>
      <w:r w:rsidR="00AC1C61">
        <w:t xml:space="preserve"> 2005)</w:t>
      </w:r>
      <w:r w:rsidR="00732C0C">
        <w:t xml:space="preserve"> for samples from environmentally clean areas</w:t>
      </w:r>
      <w:r w:rsidR="00AC1C61">
        <w:t>.</w:t>
      </w:r>
      <w:r w:rsidR="00F966B1">
        <w:t xml:space="preserve"> As a result of water leaching</w:t>
      </w:r>
      <w:r w:rsidR="00707FEE">
        <w:t>,</w:t>
      </w:r>
      <w:r w:rsidR="00732C0C">
        <w:t xml:space="preserve"> the a</w:t>
      </w:r>
      <w:r w:rsidR="00F966B1">
        <w:t>sh content decreased moderately</w:t>
      </w:r>
      <w:r w:rsidR="00325C53">
        <w:t>, indicating limited accessibility and solubility of the</w:t>
      </w:r>
      <w:r w:rsidR="003504ED">
        <w:t xml:space="preserve"> inorganic content of the bark g</w:t>
      </w:r>
      <w:r w:rsidR="00325C53">
        <w:t>round to 1 mm</w:t>
      </w:r>
      <w:r w:rsidR="00A5472E" w:rsidRPr="00A5472E">
        <w:t>. T</w:t>
      </w:r>
      <w:r w:rsidR="00F966B1" w:rsidRPr="00A5472E">
        <w:t xml:space="preserve">he </w:t>
      </w:r>
      <w:r w:rsidR="00107848" w:rsidRPr="00A5472E">
        <w:t xml:space="preserve">ash content values decreased by </w:t>
      </w:r>
      <w:r w:rsidR="00732C0C" w:rsidRPr="00A5472E">
        <w:t>about 0.1</w:t>
      </w:r>
      <w:r w:rsidR="002B1156">
        <w:t>–</w:t>
      </w:r>
      <w:r w:rsidR="00732C0C" w:rsidRPr="00A5472E">
        <w:t>0.2</w:t>
      </w:r>
      <w:r w:rsidR="00462F84">
        <w:t xml:space="preserve"> </w:t>
      </w:r>
      <w:r w:rsidR="00F966B1" w:rsidRPr="00A5472E">
        <w:t xml:space="preserve">% regardless </w:t>
      </w:r>
      <w:r w:rsidR="00587ED7">
        <w:t xml:space="preserve">of </w:t>
      </w:r>
      <w:r w:rsidR="00F966B1" w:rsidRPr="00A5472E">
        <w:t xml:space="preserve">the raw material, which means higher efficiency </w:t>
      </w:r>
      <w:r w:rsidR="00DD1BA1">
        <w:t>(10</w:t>
      </w:r>
      <w:r w:rsidR="002B1156">
        <w:t>–</w:t>
      </w:r>
      <w:r w:rsidR="00DD1BA1">
        <w:t xml:space="preserve">12 %) </w:t>
      </w:r>
      <w:r w:rsidR="00F966B1" w:rsidRPr="00A5472E">
        <w:t>for birch bark and pine bark</w:t>
      </w:r>
      <w:r w:rsidR="00A5472E" w:rsidRPr="00A5472E">
        <w:t xml:space="preserve"> </w:t>
      </w:r>
      <w:r w:rsidR="00F63D2B" w:rsidRPr="00A5472E">
        <w:t>due to their lower ash content</w:t>
      </w:r>
      <w:r w:rsidR="00DD1BA1">
        <w:t xml:space="preserve">, while the ash content of spruce decreased </w:t>
      </w:r>
      <w:r w:rsidR="007D626A">
        <w:t xml:space="preserve">only </w:t>
      </w:r>
      <w:r w:rsidR="00DD1BA1">
        <w:t>by 2</w:t>
      </w:r>
      <w:r w:rsidR="002B1156">
        <w:t>–</w:t>
      </w:r>
      <w:r w:rsidR="00DD1BA1">
        <w:t>5</w:t>
      </w:r>
      <w:r w:rsidR="001D10D4">
        <w:t xml:space="preserve"> </w:t>
      </w:r>
      <w:r w:rsidR="00DD1BA1">
        <w:t>%</w:t>
      </w:r>
      <w:r w:rsidR="00F966B1" w:rsidRPr="00A5472E">
        <w:t>.</w:t>
      </w:r>
      <w:r w:rsidR="00107848" w:rsidRPr="00A5472E">
        <w:t xml:space="preserve"> </w:t>
      </w:r>
      <w:r w:rsidR="008F7CFB">
        <w:t xml:space="preserve">The </w:t>
      </w:r>
      <w:r w:rsidR="00107848" w:rsidRPr="00A5472E">
        <w:t xml:space="preserve">effect of leaching time </w:t>
      </w:r>
      <w:r w:rsidR="00F94EC9">
        <w:t>and</w:t>
      </w:r>
      <w:r w:rsidR="00F94EC9" w:rsidRPr="00A5472E">
        <w:t xml:space="preserve"> </w:t>
      </w:r>
      <w:r w:rsidR="00107848" w:rsidRPr="00A5472E">
        <w:t>leac</w:t>
      </w:r>
      <w:r w:rsidR="00107848">
        <w:t xml:space="preserve">hing temperature was </w:t>
      </w:r>
      <w:r w:rsidR="008F7CFB">
        <w:t>n</w:t>
      </w:r>
      <w:r w:rsidR="008F7CFB" w:rsidRPr="00A5472E">
        <w:t>o</w:t>
      </w:r>
      <w:r w:rsidR="008F7CFB">
        <w:t>t</w:t>
      </w:r>
      <w:r w:rsidR="008F7CFB" w:rsidRPr="00A5472E">
        <w:t xml:space="preserve"> significant </w:t>
      </w:r>
      <w:r w:rsidR="00107848">
        <w:t>in the case</w:t>
      </w:r>
      <w:r w:rsidR="00D35F86">
        <w:t>s</w:t>
      </w:r>
      <w:r w:rsidR="00107848">
        <w:t xml:space="preserve"> of the studied bark samples</w:t>
      </w:r>
      <w:r w:rsidR="00A5472E">
        <w:t xml:space="preserve">, the measured values </w:t>
      </w:r>
      <w:r w:rsidR="00DD1BA1">
        <w:t xml:space="preserve">of the leached samples </w:t>
      </w:r>
      <w:r w:rsidR="00A5472E">
        <w:t xml:space="preserve">changed within the </w:t>
      </w:r>
      <w:r w:rsidR="00565A00">
        <w:t xml:space="preserve">uncertainty </w:t>
      </w:r>
      <w:r w:rsidR="008751A6">
        <w:t xml:space="preserve">of </w:t>
      </w:r>
      <w:r w:rsidR="004D2C7D">
        <w:t>the gravimetric</w:t>
      </w:r>
      <w:r w:rsidR="00CC4E37">
        <w:t xml:space="preserve"> data</w:t>
      </w:r>
      <w:r w:rsidR="008751A6">
        <w:t xml:space="preserve"> </w:t>
      </w:r>
      <w:r w:rsidR="00A5472E">
        <w:t>of leaching experiment</w:t>
      </w:r>
      <w:r w:rsidR="00EA2034">
        <w:t>s</w:t>
      </w:r>
      <w:r w:rsidR="00A5472E">
        <w:t xml:space="preserve"> and ash content </w:t>
      </w:r>
      <w:r w:rsidR="00EA2034">
        <w:t>analysis</w:t>
      </w:r>
      <w:r w:rsidR="00107848">
        <w:t>.</w:t>
      </w:r>
    </w:p>
    <w:p w14:paraId="082E3748" w14:textId="4E0FAC9D" w:rsidR="008C194D" w:rsidRPr="00B57B36" w:rsidRDefault="008C194D" w:rsidP="008C194D">
      <w:pPr>
        <w:pStyle w:val="CETTabletitle"/>
      </w:pPr>
      <w:r w:rsidRPr="00B57B36">
        <w:t xml:space="preserve">Table </w:t>
      </w:r>
      <w:r w:rsidR="00F448C8">
        <w:t>2</w:t>
      </w:r>
      <w:r w:rsidRPr="00B57B36">
        <w:t>:</w:t>
      </w:r>
      <w:r w:rsidR="002350E3">
        <w:t xml:space="preserve"> </w:t>
      </w:r>
      <w:r w:rsidR="007251C1">
        <w:t xml:space="preserve">Ash, </w:t>
      </w:r>
      <w:r w:rsidR="004A5E12">
        <w:t>volatile matter (</w:t>
      </w:r>
      <w:r w:rsidR="007251C1">
        <w:t>VM</w:t>
      </w:r>
      <w:r w:rsidR="004A5E12">
        <w:t>)</w:t>
      </w:r>
      <w:r w:rsidR="007251C1">
        <w:t xml:space="preserve"> and </w:t>
      </w:r>
      <w:r w:rsidR="004A5E12">
        <w:t>fixed carbon (</w:t>
      </w:r>
      <w:r w:rsidR="007251C1">
        <w:t>FC</w:t>
      </w:r>
      <w:r w:rsidR="004A5E12">
        <w:t>)</w:t>
      </w:r>
      <w:r w:rsidR="007251C1">
        <w:t xml:space="preserve"> content</w:t>
      </w:r>
      <w:r w:rsidR="00DC67AB">
        <w:t xml:space="preserve"> (</w:t>
      </w:r>
      <w:r w:rsidR="00A36DC8">
        <w:t xml:space="preserve">% on </w:t>
      </w:r>
      <w:r w:rsidR="00DC67AB">
        <w:t>dry basis)</w:t>
      </w:r>
      <w:r w:rsidR="007251C1">
        <w:t>, and c</w:t>
      </w:r>
      <w:r w:rsidR="002350E3">
        <w:t>oncentration</w:t>
      </w:r>
      <w:r w:rsidR="00A36DC8">
        <w:t xml:space="preserve"> (</w:t>
      </w:r>
      <w:r w:rsidR="008B167C">
        <w:t>mg/kg</w:t>
      </w:r>
      <w:r w:rsidR="00A36DC8">
        <w:t>)</w:t>
      </w:r>
      <w:r w:rsidR="002350E3">
        <w:t xml:space="preserve"> of </w:t>
      </w:r>
      <w:r w:rsidR="00622274">
        <w:t xml:space="preserve">the </w:t>
      </w:r>
      <w:r w:rsidR="002350E3">
        <w:t xml:space="preserve">major inorganic elements </w:t>
      </w:r>
      <w:r w:rsidR="00D041FC">
        <w:t xml:space="preserve">measured by ICP-OES </w:t>
      </w:r>
      <w:r w:rsidR="002350E3">
        <w:t>in the raw and leached bark samples</w:t>
      </w:r>
      <w:r w:rsidR="00D55B25">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709"/>
        <w:gridCol w:w="708"/>
        <w:gridCol w:w="426"/>
        <w:gridCol w:w="708"/>
        <w:gridCol w:w="851"/>
        <w:gridCol w:w="709"/>
        <w:gridCol w:w="283"/>
        <w:gridCol w:w="858"/>
        <w:gridCol w:w="791"/>
        <w:gridCol w:w="759"/>
      </w:tblGrid>
      <w:tr w:rsidR="00045BCE" w:rsidRPr="00B57B36" w14:paraId="1383D690" w14:textId="77777777" w:rsidTr="001863BA">
        <w:tc>
          <w:tcPr>
            <w:tcW w:w="1134" w:type="dxa"/>
            <w:tcBorders>
              <w:top w:val="single" w:sz="12" w:space="0" w:color="008000"/>
              <w:bottom w:val="single" w:sz="6" w:space="0" w:color="008000"/>
            </w:tcBorders>
            <w:shd w:val="clear" w:color="auto" w:fill="FFFFFF"/>
          </w:tcPr>
          <w:p w14:paraId="700B7987" w14:textId="40D0B46E" w:rsidR="00045BCE" w:rsidRPr="00B57B36" w:rsidRDefault="00045BCE" w:rsidP="00045BCE">
            <w:pPr>
              <w:pStyle w:val="CETBodytext"/>
              <w:jc w:val="left"/>
              <w:rPr>
                <w:lang w:val="en-GB"/>
              </w:rPr>
            </w:pPr>
          </w:p>
        </w:tc>
        <w:tc>
          <w:tcPr>
            <w:tcW w:w="851" w:type="dxa"/>
            <w:tcBorders>
              <w:top w:val="single" w:sz="12" w:space="0" w:color="008000"/>
              <w:bottom w:val="single" w:sz="6" w:space="0" w:color="008000"/>
            </w:tcBorders>
            <w:shd w:val="clear" w:color="auto" w:fill="FFFFFF"/>
          </w:tcPr>
          <w:p w14:paraId="03422EFA" w14:textId="5EBF9E62" w:rsidR="00045BCE" w:rsidRPr="00B57B36" w:rsidRDefault="00045BCE" w:rsidP="00045BCE">
            <w:pPr>
              <w:pStyle w:val="CETBodytext"/>
              <w:jc w:val="center"/>
              <w:rPr>
                <w:lang w:val="en-GB"/>
              </w:rPr>
            </w:pPr>
            <w:r>
              <w:rPr>
                <w:lang w:val="en-GB"/>
              </w:rPr>
              <w:t>BB(raw)</w:t>
            </w:r>
          </w:p>
        </w:tc>
        <w:tc>
          <w:tcPr>
            <w:tcW w:w="709" w:type="dxa"/>
            <w:tcBorders>
              <w:top w:val="single" w:sz="12" w:space="0" w:color="008000"/>
              <w:bottom w:val="single" w:sz="6" w:space="0" w:color="008000"/>
            </w:tcBorders>
            <w:shd w:val="clear" w:color="auto" w:fill="FFFFFF"/>
          </w:tcPr>
          <w:p w14:paraId="1D10D4E9" w14:textId="48EF4F53" w:rsidR="00045BCE" w:rsidRPr="00B57B36" w:rsidRDefault="00045BCE" w:rsidP="00045BCE">
            <w:pPr>
              <w:pStyle w:val="CETBodytext"/>
              <w:jc w:val="center"/>
              <w:rPr>
                <w:lang w:val="en-GB"/>
              </w:rPr>
            </w:pPr>
            <w:r>
              <w:rPr>
                <w:lang w:val="en-GB"/>
              </w:rPr>
              <w:t>BB25N</w:t>
            </w:r>
          </w:p>
        </w:tc>
        <w:tc>
          <w:tcPr>
            <w:tcW w:w="708" w:type="dxa"/>
            <w:tcBorders>
              <w:top w:val="single" w:sz="12" w:space="0" w:color="008000"/>
              <w:bottom w:val="single" w:sz="6" w:space="0" w:color="008000"/>
            </w:tcBorders>
            <w:shd w:val="clear" w:color="auto" w:fill="FFFFFF"/>
          </w:tcPr>
          <w:p w14:paraId="29C4A8F1" w14:textId="1FC309E2" w:rsidR="00045BCE" w:rsidRPr="00B57B36" w:rsidRDefault="00045BCE" w:rsidP="00045BCE">
            <w:pPr>
              <w:pStyle w:val="CETBodytext"/>
              <w:ind w:right="-1"/>
              <w:jc w:val="center"/>
              <w:rPr>
                <w:rFonts w:cs="Arial"/>
                <w:szCs w:val="18"/>
                <w:lang w:val="en-GB"/>
              </w:rPr>
            </w:pPr>
            <w:r>
              <w:rPr>
                <w:rFonts w:cs="Arial"/>
                <w:szCs w:val="18"/>
                <w:lang w:val="en-GB"/>
              </w:rPr>
              <w:t>BB60S</w:t>
            </w:r>
          </w:p>
        </w:tc>
        <w:tc>
          <w:tcPr>
            <w:tcW w:w="426" w:type="dxa"/>
            <w:tcBorders>
              <w:top w:val="single" w:sz="12" w:space="0" w:color="008000"/>
              <w:bottom w:val="single" w:sz="6" w:space="0" w:color="008000"/>
            </w:tcBorders>
            <w:shd w:val="clear" w:color="auto" w:fill="FFFFFF"/>
          </w:tcPr>
          <w:p w14:paraId="1A219393" w14:textId="77777777" w:rsidR="00045BCE" w:rsidRDefault="00045BCE" w:rsidP="00045BCE">
            <w:pPr>
              <w:pStyle w:val="CETBodytext"/>
              <w:ind w:right="-1"/>
              <w:jc w:val="center"/>
              <w:rPr>
                <w:rFonts w:cs="Arial"/>
                <w:szCs w:val="18"/>
                <w:lang w:val="en-GB"/>
              </w:rPr>
            </w:pPr>
          </w:p>
        </w:tc>
        <w:tc>
          <w:tcPr>
            <w:tcW w:w="708" w:type="dxa"/>
            <w:tcBorders>
              <w:top w:val="single" w:sz="12" w:space="0" w:color="008000"/>
              <w:bottom w:val="single" w:sz="6" w:space="0" w:color="008000"/>
            </w:tcBorders>
            <w:shd w:val="clear" w:color="auto" w:fill="FFFFFF"/>
          </w:tcPr>
          <w:p w14:paraId="4D7D9828" w14:textId="684E2D02" w:rsidR="00045BCE" w:rsidRPr="00B57B36" w:rsidRDefault="00045BCE" w:rsidP="00045BCE">
            <w:pPr>
              <w:pStyle w:val="CETBodytext"/>
              <w:ind w:right="-1"/>
              <w:jc w:val="center"/>
              <w:rPr>
                <w:rFonts w:cs="Arial"/>
                <w:szCs w:val="18"/>
                <w:lang w:val="en-GB"/>
              </w:rPr>
            </w:pPr>
            <w:r>
              <w:rPr>
                <w:rFonts w:cs="Arial"/>
                <w:szCs w:val="18"/>
                <w:lang w:val="en-GB"/>
              </w:rPr>
              <w:t>PB(raw)</w:t>
            </w:r>
          </w:p>
        </w:tc>
        <w:tc>
          <w:tcPr>
            <w:tcW w:w="851" w:type="dxa"/>
            <w:tcBorders>
              <w:top w:val="single" w:sz="12" w:space="0" w:color="008000"/>
              <w:bottom w:val="single" w:sz="6" w:space="0" w:color="008000"/>
            </w:tcBorders>
            <w:shd w:val="clear" w:color="auto" w:fill="FFFFFF"/>
          </w:tcPr>
          <w:p w14:paraId="19E843B5" w14:textId="0985DB80" w:rsidR="00045BCE" w:rsidRPr="00B57B36" w:rsidRDefault="00045BCE" w:rsidP="00045BCE">
            <w:pPr>
              <w:pStyle w:val="CETBodytext"/>
              <w:ind w:right="-1"/>
              <w:jc w:val="center"/>
              <w:rPr>
                <w:rFonts w:cs="Arial"/>
                <w:szCs w:val="18"/>
                <w:lang w:val="en-GB"/>
              </w:rPr>
            </w:pPr>
            <w:r>
              <w:rPr>
                <w:rFonts w:cs="Arial"/>
                <w:szCs w:val="18"/>
                <w:lang w:val="en-GB"/>
              </w:rPr>
              <w:t>PB25N</w:t>
            </w:r>
          </w:p>
        </w:tc>
        <w:tc>
          <w:tcPr>
            <w:tcW w:w="709" w:type="dxa"/>
            <w:tcBorders>
              <w:top w:val="single" w:sz="12" w:space="0" w:color="008000"/>
              <w:bottom w:val="single" w:sz="6" w:space="0" w:color="008000"/>
            </w:tcBorders>
            <w:shd w:val="clear" w:color="auto" w:fill="FFFFFF"/>
          </w:tcPr>
          <w:p w14:paraId="22CCADAA" w14:textId="6F427F6F" w:rsidR="00045BCE" w:rsidRPr="00B57B36" w:rsidRDefault="00045BCE" w:rsidP="00045BCE">
            <w:pPr>
              <w:pStyle w:val="CETBodytext"/>
              <w:ind w:right="-1"/>
              <w:jc w:val="center"/>
              <w:rPr>
                <w:rFonts w:cs="Arial"/>
                <w:szCs w:val="18"/>
                <w:lang w:val="en-GB"/>
              </w:rPr>
            </w:pPr>
            <w:r>
              <w:rPr>
                <w:rFonts w:cs="Arial"/>
                <w:szCs w:val="18"/>
                <w:lang w:val="en-GB"/>
              </w:rPr>
              <w:t>PB60S</w:t>
            </w:r>
          </w:p>
        </w:tc>
        <w:tc>
          <w:tcPr>
            <w:tcW w:w="283" w:type="dxa"/>
            <w:tcBorders>
              <w:top w:val="single" w:sz="12" w:space="0" w:color="008000"/>
              <w:bottom w:val="single" w:sz="6" w:space="0" w:color="008000"/>
            </w:tcBorders>
            <w:shd w:val="clear" w:color="auto" w:fill="FFFFFF"/>
          </w:tcPr>
          <w:p w14:paraId="6E51B2F6" w14:textId="77777777" w:rsidR="00045BCE" w:rsidRDefault="00045BCE" w:rsidP="00045BCE">
            <w:pPr>
              <w:pStyle w:val="CETBodytext"/>
              <w:ind w:right="-1"/>
              <w:jc w:val="center"/>
              <w:rPr>
                <w:rFonts w:cs="Arial"/>
                <w:szCs w:val="18"/>
                <w:lang w:val="en-GB"/>
              </w:rPr>
            </w:pPr>
          </w:p>
        </w:tc>
        <w:tc>
          <w:tcPr>
            <w:tcW w:w="858" w:type="dxa"/>
            <w:tcBorders>
              <w:top w:val="single" w:sz="12" w:space="0" w:color="008000"/>
              <w:bottom w:val="single" w:sz="6" w:space="0" w:color="008000"/>
            </w:tcBorders>
            <w:shd w:val="clear" w:color="auto" w:fill="FFFFFF"/>
          </w:tcPr>
          <w:p w14:paraId="0CB3E84C" w14:textId="217A5D15" w:rsidR="00045BCE" w:rsidRPr="00B57B36" w:rsidRDefault="00045BCE" w:rsidP="00045BCE">
            <w:pPr>
              <w:pStyle w:val="CETBodytext"/>
              <w:ind w:right="-1"/>
              <w:jc w:val="center"/>
              <w:rPr>
                <w:rFonts w:cs="Arial"/>
                <w:szCs w:val="18"/>
                <w:lang w:val="en-GB"/>
              </w:rPr>
            </w:pPr>
            <w:r>
              <w:rPr>
                <w:rFonts w:cs="Arial"/>
                <w:szCs w:val="18"/>
                <w:lang w:val="en-GB"/>
              </w:rPr>
              <w:t>SB(raw)</w:t>
            </w:r>
          </w:p>
        </w:tc>
        <w:tc>
          <w:tcPr>
            <w:tcW w:w="791" w:type="dxa"/>
            <w:tcBorders>
              <w:top w:val="single" w:sz="12" w:space="0" w:color="008000"/>
              <w:bottom w:val="single" w:sz="6" w:space="0" w:color="008000"/>
            </w:tcBorders>
            <w:shd w:val="clear" w:color="auto" w:fill="FFFFFF"/>
          </w:tcPr>
          <w:p w14:paraId="7DEE6618" w14:textId="0E03A824" w:rsidR="00045BCE" w:rsidRPr="00B57B36" w:rsidRDefault="00045BCE" w:rsidP="00045BCE">
            <w:pPr>
              <w:pStyle w:val="CETBodytext"/>
              <w:ind w:right="-1"/>
              <w:jc w:val="center"/>
              <w:rPr>
                <w:rFonts w:cs="Arial"/>
                <w:szCs w:val="18"/>
                <w:lang w:val="en-GB"/>
              </w:rPr>
            </w:pPr>
            <w:r>
              <w:rPr>
                <w:rFonts w:cs="Arial"/>
                <w:szCs w:val="18"/>
                <w:lang w:val="en-GB"/>
              </w:rPr>
              <w:t>SB25N</w:t>
            </w:r>
          </w:p>
        </w:tc>
        <w:tc>
          <w:tcPr>
            <w:tcW w:w="759" w:type="dxa"/>
            <w:tcBorders>
              <w:top w:val="single" w:sz="12" w:space="0" w:color="008000"/>
              <w:bottom w:val="single" w:sz="6" w:space="0" w:color="008000"/>
            </w:tcBorders>
            <w:shd w:val="clear" w:color="auto" w:fill="FFFFFF"/>
          </w:tcPr>
          <w:p w14:paraId="7891FC2A" w14:textId="3D56177D" w:rsidR="00045BCE" w:rsidRPr="00B57B36" w:rsidRDefault="00045BCE" w:rsidP="00045BCE">
            <w:pPr>
              <w:pStyle w:val="CETBodytext"/>
              <w:ind w:right="-1"/>
              <w:jc w:val="center"/>
              <w:rPr>
                <w:rFonts w:cs="Arial"/>
                <w:szCs w:val="18"/>
                <w:lang w:val="en-GB"/>
              </w:rPr>
            </w:pPr>
            <w:r>
              <w:rPr>
                <w:rFonts w:cs="Arial"/>
                <w:szCs w:val="18"/>
                <w:lang w:val="en-GB"/>
              </w:rPr>
              <w:t>SB60S</w:t>
            </w:r>
          </w:p>
        </w:tc>
      </w:tr>
      <w:tr w:rsidR="00045BCE" w:rsidRPr="00B57B36" w14:paraId="2E7E33D3" w14:textId="77777777" w:rsidTr="001863BA">
        <w:tc>
          <w:tcPr>
            <w:tcW w:w="1134" w:type="dxa"/>
            <w:tcBorders>
              <w:top w:val="single" w:sz="4" w:space="0" w:color="auto"/>
              <w:bottom w:val="nil"/>
            </w:tcBorders>
            <w:shd w:val="clear" w:color="auto" w:fill="FFFFFF"/>
          </w:tcPr>
          <w:p w14:paraId="43CB1D2A" w14:textId="34B2F27C" w:rsidR="00045BCE" w:rsidRPr="00B57B36" w:rsidRDefault="00045BCE" w:rsidP="00045BCE">
            <w:pPr>
              <w:pStyle w:val="CETBodytext"/>
              <w:jc w:val="left"/>
              <w:rPr>
                <w:lang w:val="en-GB"/>
              </w:rPr>
            </w:pPr>
            <w:r>
              <w:rPr>
                <w:lang w:val="en-GB"/>
              </w:rPr>
              <w:t>Ash</w:t>
            </w:r>
          </w:p>
        </w:tc>
        <w:tc>
          <w:tcPr>
            <w:tcW w:w="851" w:type="dxa"/>
            <w:tcBorders>
              <w:top w:val="single" w:sz="4" w:space="0" w:color="auto"/>
              <w:bottom w:val="nil"/>
            </w:tcBorders>
            <w:shd w:val="clear" w:color="auto" w:fill="FFFFFF"/>
          </w:tcPr>
          <w:p w14:paraId="622ABFB4" w14:textId="11D530EF" w:rsidR="00045BCE" w:rsidRPr="00B57B36" w:rsidRDefault="00045BCE" w:rsidP="00045BCE">
            <w:pPr>
              <w:pStyle w:val="CETBodytext"/>
              <w:jc w:val="center"/>
              <w:rPr>
                <w:lang w:val="en-GB"/>
              </w:rPr>
            </w:pPr>
            <w:r>
              <w:rPr>
                <w:lang w:val="en-GB"/>
              </w:rPr>
              <w:t>1.22</w:t>
            </w:r>
          </w:p>
        </w:tc>
        <w:tc>
          <w:tcPr>
            <w:tcW w:w="709" w:type="dxa"/>
            <w:tcBorders>
              <w:top w:val="single" w:sz="4" w:space="0" w:color="auto"/>
              <w:bottom w:val="nil"/>
            </w:tcBorders>
            <w:shd w:val="clear" w:color="auto" w:fill="FFFFFF"/>
          </w:tcPr>
          <w:p w14:paraId="1D09485D" w14:textId="14C2FE2D" w:rsidR="00045BCE" w:rsidRPr="00B57B36" w:rsidRDefault="00045BCE" w:rsidP="00045BCE">
            <w:pPr>
              <w:pStyle w:val="CETBodytext"/>
              <w:jc w:val="center"/>
              <w:rPr>
                <w:lang w:val="en-GB"/>
              </w:rPr>
            </w:pPr>
            <w:r>
              <w:rPr>
                <w:lang w:val="en-GB"/>
              </w:rPr>
              <w:t>1.09</w:t>
            </w:r>
          </w:p>
        </w:tc>
        <w:tc>
          <w:tcPr>
            <w:tcW w:w="708" w:type="dxa"/>
            <w:tcBorders>
              <w:top w:val="single" w:sz="4" w:space="0" w:color="auto"/>
              <w:bottom w:val="nil"/>
            </w:tcBorders>
            <w:shd w:val="clear" w:color="auto" w:fill="FFFFFF"/>
          </w:tcPr>
          <w:p w14:paraId="0829E7D0" w14:textId="28A62E01" w:rsidR="00045BCE" w:rsidRPr="00B57B36" w:rsidRDefault="00045BCE" w:rsidP="00045BCE">
            <w:pPr>
              <w:pStyle w:val="CETBodytext"/>
              <w:ind w:right="-1"/>
              <w:jc w:val="center"/>
              <w:rPr>
                <w:rFonts w:cs="Arial"/>
                <w:szCs w:val="18"/>
                <w:lang w:val="en-GB"/>
              </w:rPr>
            </w:pPr>
            <w:r>
              <w:rPr>
                <w:rFonts w:cs="Arial"/>
                <w:szCs w:val="18"/>
                <w:lang w:val="en-GB"/>
              </w:rPr>
              <w:t>1.08</w:t>
            </w:r>
          </w:p>
        </w:tc>
        <w:tc>
          <w:tcPr>
            <w:tcW w:w="426" w:type="dxa"/>
            <w:tcBorders>
              <w:top w:val="single" w:sz="4" w:space="0" w:color="auto"/>
              <w:bottom w:val="nil"/>
            </w:tcBorders>
            <w:shd w:val="clear" w:color="auto" w:fill="FFFFFF"/>
          </w:tcPr>
          <w:p w14:paraId="1AEF3388" w14:textId="77777777" w:rsidR="00045BCE" w:rsidRDefault="00045BCE" w:rsidP="00045BCE">
            <w:pPr>
              <w:pStyle w:val="CETBodytext"/>
              <w:ind w:right="-1"/>
              <w:jc w:val="center"/>
              <w:rPr>
                <w:rFonts w:cs="Arial"/>
                <w:szCs w:val="18"/>
                <w:lang w:val="en-GB"/>
              </w:rPr>
            </w:pPr>
          </w:p>
        </w:tc>
        <w:tc>
          <w:tcPr>
            <w:tcW w:w="708" w:type="dxa"/>
            <w:tcBorders>
              <w:top w:val="single" w:sz="4" w:space="0" w:color="auto"/>
              <w:bottom w:val="nil"/>
            </w:tcBorders>
            <w:shd w:val="clear" w:color="auto" w:fill="FFFFFF"/>
          </w:tcPr>
          <w:p w14:paraId="34878D51" w14:textId="15272CD2" w:rsidR="00045BCE" w:rsidRPr="00B57B36" w:rsidRDefault="00045BCE" w:rsidP="00045BCE">
            <w:pPr>
              <w:pStyle w:val="CETBodytext"/>
              <w:ind w:right="-1"/>
              <w:jc w:val="center"/>
              <w:rPr>
                <w:rFonts w:cs="Arial"/>
                <w:szCs w:val="18"/>
                <w:lang w:val="en-GB"/>
              </w:rPr>
            </w:pPr>
            <w:r>
              <w:rPr>
                <w:rFonts w:cs="Arial"/>
                <w:szCs w:val="18"/>
                <w:lang w:val="en-GB"/>
              </w:rPr>
              <w:t>1.69</w:t>
            </w:r>
          </w:p>
        </w:tc>
        <w:tc>
          <w:tcPr>
            <w:tcW w:w="851" w:type="dxa"/>
            <w:tcBorders>
              <w:top w:val="single" w:sz="4" w:space="0" w:color="auto"/>
              <w:bottom w:val="nil"/>
            </w:tcBorders>
            <w:shd w:val="clear" w:color="auto" w:fill="FFFFFF"/>
          </w:tcPr>
          <w:p w14:paraId="32DAA6C4" w14:textId="4A554388" w:rsidR="00045BCE" w:rsidRPr="00B57B36" w:rsidRDefault="00045BCE" w:rsidP="00045BCE">
            <w:pPr>
              <w:pStyle w:val="CETBodytext"/>
              <w:ind w:right="-1"/>
              <w:jc w:val="center"/>
              <w:rPr>
                <w:rFonts w:cs="Arial"/>
                <w:szCs w:val="18"/>
                <w:lang w:val="en-GB"/>
              </w:rPr>
            </w:pPr>
            <w:r>
              <w:rPr>
                <w:rFonts w:cs="Arial"/>
                <w:szCs w:val="18"/>
                <w:lang w:val="en-GB"/>
              </w:rPr>
              <w:t>1.47</w:t>
            </w:r>
          </w:p>
        </w:tc>
        <w:tc>
          <w:tcPr>
            <w:tcW w:w="709" w:type="dxa"/>
            <w:tcBorders>
              <w:top w:val="single" w:sz="4" w:space="0" w:color="auto"/>
              <w:bottom w:val="nil"/>
            </w:tcBorders>
            <w:shd w:val="clear" w:color="auto" w:fill="FFFFFF"/>
          </w:tcPr>
          <w:p w14:paraId="24459B03" w14:textId="29C4E001" w:rsidR="00045BCE" w:rsidRPr="00B57B36" w:rsidRDefault="00045BCE" w:rsidP="00045BCE">
            <w:pPr>
              <w:pStyle w:val="CETBodytext"/>
              <w:ind w:right="-1"/>
              <w:jc w:val="center"/>
              <w:rPr>
                <w:rFonts w:cs="Arial"/>
                <w:szCs w:val="18"/>
                <w:lang w:val="en-GB"/>
              </w:rPr>
            </w:pPr>
            <w:r>
              <w:rPr>
                <w:rFonts w:cs="Arial"/>
                <w:szCs w:val="18"/>
                <w:lang w:val="en-GB"/>
              </w:rPr>
              <w:t>1.49</w:t>
            </w:r>
          </w:p>
        </w:tc>
        <w:tc>
          <w:tcPr>
            <w:tcW w:w="283" w:type="dxa"/>
            <w:tcBorders>
              <w:top w:val="single" w:sz="4" w:space="0" w:color="auto"/>
              <w:bottom w:val="nil"/>
            </w:tcBorders>
            <w:shd w:val="clear" w:color="auto" w:fill="FFFFFF"/>
          </w:tcPr>
          <w:p w14:paraId="1DA2D48D" w14:textId="77777777" w:rsidR="00045BCE" w:rsidRDefault="00045BCE" w:rsidP="00045BCE">
            <w:pPr>
              <w:pStyle w:val="CETBodytext"/>
              <w:ind w:right="-1"/>
              <w:jc w:val="center"/>
              <w:rPr>
                <w:rFonts w:cs="Arial"/>
                <w:szCs w:val="18"/>
                <w:lang w:val="en-GB"/>
              </w:rPr>
            </w:pPr>
          </w:p>
        </w:tc>
        <w:tc>
          <w:tcPr>
            <w:tcW w:w="858" w:type="dxa"/>
            <w:tcBorders>
              <w:top w:val="single" w:sz="4" w:space="0" w:color="auto"/>
              <w:bottom w:val="nil"/>
            </w:tcBorders>
            <w:shd w:val="clear" w:color="auto" w:fill="FFFFFF"/>
          </w:tcPr>
          <w:p w14:paraId="6A7B9863" w14:textId="4F4B7A62" w:rsidR="00045BCE" w:rsidRPr="00B57B36" w:rsidRDefault="00045BCE" w:rsidP="00045BCE">
            <w:pPr>
              <w:pStyle w:val="CETBodytext"/>
              <w:ind w:right="-1"/>
              <w:jc w:val="center"/>
              <w:rPr>
                <w:rFonts w:cs="Arial"/>
                <w:szCs w:val="18"/>
                <w:lang w:val="en-GB"/>
              </w:rPr>
            </w:pPr>
            <w:r>
              <w:rPr>
                <w:rFonts w:cs="Arial"/>
                <w:szCs w:val="18"/>
                <w:lang w:val="en-GB"/>
              </w:rPr>
              <w:t>4.14</w:t>
            </w:r>
          </w:p>
        </w:tc>
        <w:tc>
          <w:tcPr>
            <w:tcW w:w="791" w:type="dxa"/>
            <w:tcBorders>
              <w:top w:val="single" w:sz="4" w:space="0" w:color="auto"/>
              <w:bottom w:val="nil"/>
            </w:tcBorders>
            <w:shd w:val="clear" w:color="auto" w:fill="FFFFFF"/>
          </w:tcPr>
          <w:p w14:paraId="621E1F3C" w14:textId="0A6B08A9" w:rsidR="00045BCE" w:rsidRPr="00B57B36" w:rsidRDefault="00045BCE" w:rsidP="00045BCE">
            <w:pPr>
              <w:pStyle w:val="CETBodytext"/>
              <w:ind w:right="-1"/>
              <w:jc w:val="center"/>
              <w:rPr>
                <w:rFonts w:cs="Arial"/>
                <w:szCs w:val="18"/>
                <w:lang w:val="en-GB"/>
              </w:rPr>
            </w:pPr>
            <w:r>
              <w:rPr>
                <w:rFonts w:cs="Arial"/>
                <w:szCs w:val="18"/>
                <w:lang w:val="en-GB"/>
              </w:rPr>
              <w:t>3.93</w:t>
            </w:r>
          </w:p>
        </w:tc>
        <w:tc>
          <w:tcPr>
            <w:tcW w:w="759" w:type="dxa"/>
            <w:tcBorders>
              <w:top w:val="single" w:sz="4" w:space="0" w:color="auto"/>
              <w:bottom w:val="nil"/>
            </w:tcBorders>
            <w:shd w:val="clear" w:color="auto" w:fill="FFFFFF"/>
          </w:tcPr>
          <w:p w14:paraId="4AAEC9BD" w14:textId="745409A8" w:rsidR="00045BCE" w:rsidRPr="00B57B36" w:rsidRDefault="00045BCE" w:rsidP="00045BCE">
            <w:pPr>
              <w:pStyle w:val="CETBodytext"/>
              <w:ind w:right="-1"/>
              <w:jc w:val="center"/>
              <w:rPr>
                <w:rFonts w:cs="Arial"/>
                <w:szCs w:val="18"/>
                <w:lang w:val="en-GB"/>
              </w:rPr>
            </w:pPr>
            <w:r>
              <w:rPr>
                <w:rFonts w:cs="Arial"/>
                <w:szCs w:val="18"/>
                <w:lang w:val="en-GB"/>
              </w:rPr>
              <w:t>4.06</w:t>
            </w:r>
          </w:p>
        </w:tc>
      </w:tr>
      <w:tr w:rsidR="00045BCE" w:rsidRPr="00B57B36" w14:paraId="3FB87022" w14:textId="77777777" w:rsidTr="001863BA">
        <w:tc>
          <w:tcPr>
            <w:tcW w:w="1134" w:type="dxa"/>
            <w:tcBorders>
              <w:top w:val="nil"/>
              <w:bottom w:val="nil"/>
            </w:tcBorders>
            <w:shd w:val="clear" w:color="auto" w:fill="FFFFFF"/>
          </w:tcPr>
          <w:p w14:paraId="70D4046A" w14:textId="5E0D7793" w:rsidR="00045BCE" w:rsidRDefault="00045BCE" w:rsidP="00045BCE">
            <w:pPr>
              <w:pStyle w:val="CETBodytext"/>
              <w:jc w:val="left"/>
              <w:rPr>
                <w:lang w:val="en-GB"/>
              </w:rPr>
            </w:pPr>
            <w:r>
              <w:rPr>
                <w:lang w:val="en-GB"/>
              </w:rPr>
              <w:t>VM</w:t>
            </w:r>
          </w:p>
        </w:tc>
        <w:tc>
          <w:tcPr>
            <w:tcW w:w="851" w:type="dxa"/>
            <w:tcBorders>
              <w:top w:val="nil"/>
              <w:bottom w:val="nil"/>
            </w:tcBorders>
            <w:shd w:val="clear" w:color="auto" w:fill="FFFFFF"/>
          </w:tcPr>
          <w:p w14:paraId="10BA397E" w14:textId="1604786E" w:rsidR="00045BCE" w:rsidRPr="00B57B36" w:rsidRDefault="00045BCE" w:rsidP="00045BCE">
            <w:pPr>
              <w:pStyle w:val="CETBodytext"/>
              <w:jc w:val="center"/>
              <w:rPr>
                <w:lang w:val="en-GB"/>
              </w:rPr>
            </w:pPr>
            <w:r>
              <w:rPr>
                <w:lang w:val="en-GB"/>
              </w:rPr>
              <w:t>81.55</w:t>
            </w:r>
          </w:p>
        </w:tc>
        <w:tc>
          <w:tcPr>
            <w:tcW w:w="709" w:type="dxa"/>
            <w:tcBorders>
              <w:top w:val="nil"/>
              <w:bottom w:val="nil"/>
            </w:tcBorders>
            <w:shd w:val="clear" w:color="auto" w:fill="FFFFFF"/>
          </w:tcPr>
          <w:p w14:paraId="533C484D" w14:textId="28BDD18E" w:rsidR="00045BCE" w:rsidRPr="00B57B36" w:rsidRDefault="00045BCE" w:rsidP="00045BCE">
            <w:pPr>
              <w:pStyle w:val="CETBodytext"/>
              <w:jc w:val="center"/>
              <w:rPr>
                <w:lang w:val="en-GB"/>
              </w:rPr>
            </w:pPr>
            <w:r>
              <w:rPr>
                <w:lang w:val="en-GB"/>
              </w:rPr>
              <w:t>81.11</w:t>
            </w:r>
          </w:p>
        </w:tc>
        <w:tc>
          <w:tcPr>
            <w:tcW w:w="708" w:type="dxa"/>
            <w:tcBorders>
              <w:top w:val="nil"/>
              <w:bottom w:val="nil"/>
            </w:tcBorders>
            <w:shd w:val="clear" w:color="auto" w:fill="FFFFFF"/>
          </w:tcPr>
          <w:p w14:paraId="4AAE8E49" w14:textId="08A195B2" w:rsidR="00045BCE" w:rsidRPr="00B57B36" w:rsidRDefault="00045BCE" w:rsidP="00045BCE">
            <w:pPr>
              <w:pStyle w:val="CETBodytext"/>
              <w:ind w:right="-1"/>
              <w:jc w:val="center"/>
              <w:rPr>
                <w:rFonts w:cs="Arial"/>
                <w:szCs w:val="18"/>
                <w:lang w:val="en-GB"/>
              </w:rPr>
            </w:pPr>
            <w:r>
              <w:rPr>
                <w:rFonts w:cs="Arial"/>
                <w:szCs w:val="18"/>
                <w:lang w:val="en-GB"/>
              </w:rPr>
              <w:t>80.65</w:t>
            </w:r>
          </w:p>
        </w:tc>
        <w:tc>
          <w:tcPr>
            <w:tcW w:w="426" w:type="dxa"/>
            <w:tcBorders>
              <w:top w:val="nil"/>
              <w:bottom w:val="nil"/>
            </w:tcBorders>
            <w:shd w:val="clear" w:color="auto" w:fill="FFFFFF"/>
          </w:tcPr>
          <w:p w14:paraId="2C616A9A" w14:textId="77777777" w:rsidR="00045BCE" w:rsidRDefault="00045BCE" w:rsidP="00045BCE">
            <w:pPr>
              <w:pStyle w:val="CETBodytext"/>
              <w:ind w:right="-1"/>
              <w:jc w:val="center"/>
              <w:rPr>
                <w:rFonts w:cs="Arial"/>
                <w:szCs w:val="18"/>
                <w:lang w:val="en-GB"/>
              </w:rPr>
            </w:pPr>
          </w:p>
        </w:tc>
        <w:tc>
          <w:tcPr>
            <w:tcW w:w="708" w:type="dxa"/>
            <w:tcBorders>
              <w:top w:val="nil"/>
              <w:bottom w:val="nil"/>
            </w:tcBorders>
            <w:shd w:val="clear" w:color="auto" w:fill="FFFFFF"/>
          </w:tcPr>
          <w:p w14:paraId="259557F8" w14:textId="6598A792" w:rsidR="00045BCE" w:rsidRPr="00B57B36" w:rsidRDefault="00045BCE" w:rsidP="00045BCE">
            <w:pPr>
              <w:pStyle w:val="CETBodytext"/>
              <w:ind w:right="-1"/>
              <w:jc w:val="center"/>
              <w:rPr>
                <w:rFonts w:cs="Arial"/>
                <w:szCs w:val="18"/>
                <w:lang w:val="en-GB"/>
              </w:rPr>
            </w:pPr>
            <w:r>
              <w:rPr>
                <w:rFonts w:cs="Arial"/>
                <w:szCs w:val="18"/>
                <w:lang w:val="en-GB"/>
              </w:rPr>
              <w:t>73.62</w:t>
            </w:r>
          </w:p>
        </w:tc>
        <w:tc>
          <w:tcPr>
            <w:tcW w:w="851" w:type="dxa"/>
            <w:tcBorders>
              <w:top w:val="nil"/>
              <w:bottom w:val="nil"/>
            </w:tcBorders>
            <w:shd w:val="clear" w:color="auto" w:fill="FFFFFF"/>
          </w:tcPr>
          <w:p w14:paraId="6D5C8993" w14:textId="4E433D68" w:rsidR="00045BCE" w:rsidRPr="00B57B36" w:rsidRDefault="00045BCE" w:rsidP="00045BCE">
            <w:pPr>
              <w:pStyle w:val="CETBodytext"/>
              <w:ind w:right="-1"/>
              <w:jc w:val="center"/>
              <w:rPr>
                <w:rFonts w:cs="Arial"/>
                <w:szCs w:val="18"/>
                <w:lang w:val="en-GB"/>
              </w:rPr>
            </w:pPr>
            <w:r>
              <w:rPr>
                <w:rFonts w:cs="Arial"/>
                <w:szCs w:val="18"/>
                <w:lang w:val="en-GB"/>
              </w:rPr>
              <w:t>73.36</w:t>
            </w:r>
          </w:p>
        </w:tc>
        <w:tc>
          <w:tcPr>
            <w:tcW w:w="709" w:type="dxa"/>
            <w:tcBorders>
              <w:top w:val="nil"/>
              <w:bottom w:val="nil"/>
            </w:tcBorders>
            <w:shd w:val="clear" w:color="auto" w:fill="FFFFFF"/>
          </w:tcPr>
          <w:p w14:paraId="1216CD5B" w14:textId="7C724796" w:rsidR="00045BCE" w:rsidRPr="00B57B36" w:rsidRDefault="00045BCE" w:rsidP="00045BCE">
            <w:pPr>
              <w:pStyle w:val="CETBodytext"/>
              <w:ind w:right="-1"/>
              <w:jc w:val="center"/>
              <w:rPr>
                <w:rFonts w:cs="Arial"/>
                <w:szCs w:val="18"/>
                <w:lang w:val="en-GB"/>
              </w:rPr>
            </w:pPr>
            <w:r>
              <w:rPr>
                <w:rFonts w:cs="Arial"/>
                <w:szCs w:val="18"/>
                <w:lang w:val="en-GB"/>
              </w:rPr>
              <w:t>74.00</w:t>
            </w:r>
          </w:p>
        </w:tc>
        <w:tc>
          <w:tcPr>
            <w:tcW w:w="283" w:type="dxa"/>
            <w:tcBorders>
              <w:top w:val="nil"/>
              <w:bottom w:val="nil"/>
            </w:tcBorders>
            <w:shd w:val="clear" w:color="auto" w:fill="FFFFFF"/>
          </w:tcPr>
          <w:p w14:paraId="23B637A8" w14:textId="77777777" w:rsidR="00045BCE" w:rsidRDefault="00045BCE" w:rsidP="00045BCE">
            <w:pPr>
              <w:pStyle w:val="CETBodytext"/>
              <w:ind w:right="-1"/>
              <w:jc w:val="center"/>
              <w:rPr>
                <w:rFonts w:cs="Arial"/>
                <w:szCs w:val="18"/>
                <w:lang w:val="en-GB"/>
              </w:rPr>
            </w:pPr>
          </w:p>
        </w:tc>
        <w:tc>
          <w:tcPr>
            <w:tcW w:w="858" w:type="dxa"/>
            <w:tcBorders>
              <w:top w:val="nil"/>
              <w:bottom w:val="nil"/>
            </w:tcBorders>
            <w:shd w:val="clear" w:color="auto" w:fill="FFFFFF"/>
          </w:tcPr>
          <w:p w14:paraId="0FD0E6C4" w14:textId="0AC0DBA0" w:rsidR="00045BCE" w:rsidRPr="00B57B36" w:rsidRDefault="00045BCE" w:rsidP="00045BCE">
            <w:pPr>
              <w:pStyle w:val="CETBodytext"/>
              <w:ind w:right="-1"/>
              <w:jc w:val="center"/>
              <w:rPr>
                <w:rFonts w:cs="Arial"/>
                <w:szCs w:val="18"/>
                <w:lang w:val="en-GB"/>
              </w:rPr>
            </w:pPr>
            <w:r>
              <w:rPr>
                <w:rFonts w:cs="Arial"/>
                <w:szCs w:val="18"/>
                <w:lang w:val="en-GB"/>
              </w:rPr>
              <w:t>72.39</w:t>
            </w:r>
          </w:p>
        </w:tc>
        <w:tc>
          <w:tcPr>
            <w:tcW w:w="791" w:type="dxa"/>
            <w:tcBorders>
              <w:top w:val="nil"/>
              <w:bottom w:val="nil"/>
            </w:tcBorders>
            <w:shd w:val="clear" w:color="auto" w:fill="FFFFFF"/>
          </w:tcPr>
          <w:p w14:paraId="5C31A459" w14:textId="31C1194E" w:rsidR="00045BCE" w:rsidRPr="00B57B36" w:rsidRDefault="00045BCE" w:rsidP="00045BCE">
            <w:pPr>
              <w:pStyle w:val="CETBodytext"/>
              <w:ind w:right="-1"/>
              <w:jc w:val="center"/>
              <w:rPr>
                <w:rFonts w:cs="Arial"/>
                <w:szCs w:val="18"/>
                <w:lang w:val="en-GB"/>
              </w:rPr>
            </w:pPr>
            <w:r>
              <w:rPr>
                <w:rFonts w:cs="Arial"/>
                <w:szCs w:val="18"/>
                <w:lang w:val="en-GB"/>
              </w:rPr>
              <w:t>72.90</w:t>
            </w:r>
          </w:p>
        </w:tc>
        <w:tc>
          <w:tcPr>
            <w:tcW w:w="759" w:type="dxa"/>
            <w:tcBorders>
              <w:top w:val="nil"/>
              <w:bottom w:val="nil"/>
            </w:tcBorders>
            <w:shd w:val="clear" w:color="auto" w:fill="FFFFFF"/>
          </w:tcPr>
          <w:p w14:paraId="777ADE8B" w14:textId="32D436DA" w:rsidR="00045BCE" w:rsidRPr="00B57B36" w:rsidRDefault="00045BCE" w:rsidP="00045BCE">
            <w:pPr>
              <w:pStyle w:val="CETBodytext"/>
              <w:ind w:right="-1"/>
              <w:jc w:val="center"/>
              <w:rPr>
                <w:rFonts w:cs="Arial"/>
                <w:szCs w:val="18"/>
                <w:lang w:val="en-GB"/>
              </w:rPr>
            </w:pPr>
            <w:r>
              <w:rPr>
                <w:rFonts w:cs="Arial"/>
                <w:szCs w:val="18"/>
                <w:lang w:val="en-GB"/>
              </w:rPr>
              <w:t>73.35</w:t>
            </w:r>
          </w:p>
        </w:tc>
      </w:tr>
      <w:tr w:rsidR="00045BCE" w:rsidRPr="00B57B36" w14:paraId="43F36AAF" w14:textId="77777777" w:rsidTr="001863BA">
        <w:tc>
          <w:tcPr>
            <w:tcW w:w="1134" w:type="dxa"/>
            <w:tcBorders>
              <w:top w:val="nil"/>
              <w:bottom w:val="single" w:sz="4" w:space="0" w:color="auto"/>
            </w:tcBorders>
            <w:shd w:val="clear" w:color="auto" w:fill="FFFFFF"/>
          </w:tcPr>
          <w:p w14:paraId="22682D66" w14:textId="4B01FA21" w:rsidR="00045BCE" w:rsidRDefault="00045BCE" w:rsidP="00045BCE">
            <w:pPr>
              <w:pStyle w:val="CETBodytext"/>
              <w:jc w:val="left"/>
              <w:rPr>
                <w:lang w:val="en-GB"/>
              </w:rPr>
            </w:pPr>
            <w:r>
              <w:rPr>
                <w:lang w:val="en-GB"/>
              </w:rPr>
              <w:t>FC</w:t>
            </w:r>
          </w:p>
        </w:tc>
        <w:tc>
          <w:tcPr>
            <w:tcW w:w="851" w:type="dxa"/>
            <w:tcBorders>
              <w:top w:val="nil"/>
              <w:bottom w:val="single" w:sz="4" w:space="0" w:color="auto"/>
            </w:tcBorders>
            <w:shd w:val="clear" w:color="auto" w:fill="FFFFFF"/>
          </w:tcPr>
          <w:p w14:paraId="11A259CE" w14:textId="0CA8A39F" w:rsidR="00045BCE" w:rsidRPr="00B57B36" w:rsidRDefault="00045BCE" w:rsidP="00045BCE">
            <w:pPr>
              <w:pStyle w:val="CETBodytext"/>
              <w:jc w:val="center"/>
              <w:rPr>
                <w:lang w:val="en-GB"/>
              </w:rPr>
            </w:pPr>
            <w:r>
              <w:rPr>
                <w:lang w:val="en-GB"/>
              </w:rPr>
              <w:t>17.23</w:t>
            </w:r>
          </w:p>
        </w:tc>
        <w:tc>
          <w:tcPr>
            <w:tcW w:w="709" w:type="dxa"/>
            <w:tcBorders>
              <w:top w:val="nil"/>
              <w:bottom w:val="single" w:sz="4" w:space="0" w:color="auto"/>
            </w:tcBorders>
            <w:shd w:val="clear" w:color="auto" w:fill="FFFFFF"/>
          </w:tcPr>
          <w:p w14:paraId="1C5BECB6" w14:textId="327B48D1" w:rsidR="00045BCE" w:rsidRPr="00B57B36" w:rsidRDefault="00045BCE" w:rsidP="00045BCE">
            <w:pPr>
              <w:pStyle w:val="CETBodytext"/>
              <w:jc w:val="center"/>
              <w:rPr>
                <w:lang w:val="en-GB"/>
              </w:rPr>
            </w:pPr>
            <w:r>
              <w:rPr>
                <w:lang w:val="en-GB"/>
              </w:rPr>
              <w:t>17.8</w:t>
            </w:r>
          </w:p>
        </w:tc>
        <w:tc>
          <w:tcPr>
            <w:tcW w:w="708" w:type="dxa"/>
            <w:tcBorders>
              <w:top w:val="nil"/>
              <w:bottom w:val="single" w:sz="4" w:space="0" w:color="auto"/>
            </w:tcBorders>
            <w:shd w:val="clear" w:color="auto" w:fill="FFFFFF"/>
          </w:tcPr>
          <w:p w14:paraId="0D94B06D" w14:textId="330118AF" w:rsidR="00045BCE" w:rsidRPr="00B57B36" w:rsidRDefault="00045BCE" w:rsidP="00045BCE">
            <w:pPr>
              <w:pStyle w:val="CETBodytext"/>
              <w:ind w:right="-1"/>
              <w:jc w:val="center"/>
              <w:rPr>
                <w:rFonts w:cs="Arial"/>
                <w:szCs w:val="18"/>
                <w:lang w:val="en-GB"/>
              </w:rPr>
            </w:pPr>
            <w:r>
              <w:rPr>
                <w:rFonts w:cs="Arial"/>
                <w:szCs w:val="18"/>
                <w:lang w:val="en-GB"/>
              </w:rPr>
              <w:t>18.27</w:t>
            </w:r>
          </w:p>
        </w:tc>
        <w:tc>
          <w:tcPr>
            <w:tcW w:w="426" w:type="dxa"/>
            <w:tcBorders>
              <w:top w:val="nil"/>
              <w:bottom w:val="single" w:sz="4" w:space="0" w:color="auto"/>
            </w:tcBorders>
            <w:shd w:val="clear" w:color="auto" w:fill="FFFFFF"/>
          </w:tcPr>
          <w:p w14:paraId="21B7B6A6" w14:textId="77777777" w:rsidR="00045BCE" w:rsidRDefault="00045BCE" w:rsidP="00045BCE">
            <w:pPr>
              <w:pStyle w:val="CETBodytext"/>
              <w:ind w:right="-1"/>
              <w:jc w:val="center"/>
              <w:rPr>
                <w:rFonts w:cs="Arial"/>
                <w:szCs w:val="18"/>
                <w:lang w:val="en-GB"/>
              </w:rPr>
            </w:pPr>
          </w:p>
        </w:tc>
        <w:tc>
          <w:tcPr>
            <w:tcW w:w="708" w:type="dxa"/>
            <w:tcBorders>
              <w:top w:val="nil"/>
              <w:bottom w:val="single" w:sz="4" w:space="0" w:color="auto"/>
            </w:tcBorders>
            <w:shd w:val="clear" w:color="auto" w:fill="FFFFFF"/>
          </w:tcPr>
          <w:p w14:paraId="1C4102D1" w14:textId="30435244" w:rsidR="00045BCE" w:rsidRPr="00B57B36" w:rsidRDefault="00045BCE" w:rsidP="00045BCE">
            <w:pPr>
              <w:pStyle w:val="CETBodytext"/>
              <w:ind w:right="-1"/>
              <w:jc w:val="center"/>
              <w:rPr>
                <w:rFonts w:cs="Arial"/>
                <w:szCs w:val="18"/>
                <w:lang w:val="en-GB"/>
              </w:rPr>
            </w:pPr>
            <w:r>
              <w:rPr>
                <w:rFonts w:cs="Arial"/>
                <w:szCs w:val="18"/>
                <w:lang w:val="en-GB"/>
              </w:rPr>
              <w:t>24.69</w:t>
            </w:r>
          </w:p>
        </w:tc>
        <w:tc>
          <w:tcPr>
            <w:tcW w:w="851" w:type="dxa"/>
            <w:tcBorders>
              <w:top w:val="nil"/>
              <w:bottom w:val="single" w:sz="4" w:space="0" w:color="auto"/>
            </w:tcBorders>
            <w:shd w:val="clear" w:color="auto" w:fill="FFFFFF"/>
          </w:tcPr>
          <w:p w14:paraId="0515CEC4" w14:textId="288D7F4E" w:rsidR="00045BCE" w:rsidRPr="00B57B36" w:rsidRDefault="00045BCE" w:rsidP="00045BCE">
            <w:pPr>
              <w:pStyle w:val="CETBodytext"/>
              <w:ind w:right="-1"/>
              <w:jc w:val="center"/>
              <w:rPr>
                <w:rFonts w:cs="Arial"/>
                <w:szCs w:val="18"/>
                <w:lang w:val="en-GB"/>
              </w:rPr>
            </w:pPr>
            <w:r>
              <w:rPr>
                <w:rFonts w:cs="Arial"/>
                <w:szCs w:val="18"/>
                <w:lang w:val="en-GB"/>
              </w:rPr>
              <w:t>25.16</w:t>
            </w:r>
          </w:p>
        </w:tc>
        <w:tc>
          <w:tcPr>
            <w:tcW w:w="709" w:type="dxa"/>
            <w:tcBorders>
              <w:top w:val="nil"/>
              <w:bottom w:val="single" w:sz="4" w:space="0" w:color="auto"/>
            </w:tcBorders>
            <w:shd w:val="clear" w:color="auto" w:fill="FFFFFF"/>
          </w:tcPr>
          <w:p w14:paraId="30A9E994" w14:textId="142F1BBD" w:rsidR="00045BCE" w:rsidRPr="00B57B36" w:rsidRDefault="00045BCE" w:rsidP="00045BCE">
            <w:pPr>
              <w:pStyle w:val="CETBodytext"/>
              <w:ind w:right="-1"/>
              <w:jc w:val="center"/>
              <w:rPr>
                <w:rFonts w:cs="Arial"/>
                <w:szCs w:val="18"/>
                <w:lang w:val="en-GB"/>
              </w:rPr>
            </w:pPr>
            <w:r>
              <w:rPr>
                <w:rFonts w:cs="Arial"/>
                <w:szCs w:val="18"/>
                <w:lang w:val="en-GB"/>
              </w:rPr>
              <w:t>24.51</w:t>
            </w:r>
          </w:p>
        </w:tc>
        <w:tc>
          <w:tcPr>
            <w:tcW w:w="283" w:type="dxa"/>
            <w:tcBorders>
              <w:top w:val="nil"/>
              <w:bottom w:val="single" w:sz="4" w:space="0" w:color="auto"/>
            </w:tcBorders>
            <w:shd w:val="clear" w:color="auto" w:fill="FFFFFF"/>
          </w:tcPr>
          <w:p w14:paraId="35668701" w14:textId="77777777" w:rsidR="00045BCE" w:rsidRDefault="00045BCE" w:rsidP="00045BCE">
            <w:pPr>
              <w:pStyle w:val="CETBodytext"/>
              <w:ind w:right="-1"/>
              <w:jc w:val="center"/>
              <w:rPr>
                <w:rFonts w:cs="Arial"/>
                <w:szCs w:val="18"/>
                <w:lang w:val="en-GB"/>
              </w:rPr>
            </w:pPr>
          </w:p>
        </w:tc>
        <w:tc>
          <w:tcPr>
            <w:tcW w:w="858" w:type="dxa"/>
            <w:tcBorders>
              <w:top w:val="nil"/>
              <w:bottom w:val="single" w:sz="4" w:space="0" w:color="auto"/>
            </w:tcBorders>
            <w:shd w:val="clear" w:color="auto" w:fill="FFFFFF"/>
          </w:tcPr>
          <w:p w14:paraId="0172AB56" w14:textId="2081FA28" w:rsidR="00045BCE" w:rsidRPr="00B57B36" w:rsidRDefault="00045BCE" w:rsidP="00045BCE">
            <w:pPr>
              <w:pStyle w:val="CETBodytext"/>
              <w:ind w:right="-1"/>
              <w:jc w:val="center"/>
              <w:rPr>
                <w:rFonts w:cs="Arial"/>
                <w:szCs w:val="18"/>
                <w:lang w:val="en-GB"/>
              </w:rPr>
            </w:pPr>
            <w:r>
              <w:rPr>
                <w:rFonts w:cs="Arial"/>
                <w:szCs w:val="18"/>
                <w:lang w:val="en-GB"/>
              </w:rPr>
              <w:t>23.47</w:t>
            </w:r>
          </w:p>
        </w:tc>
        <w:tc>
          <w:tcPr>
            <w:tcW w:w="791" w:type="dxa"/>
            <w:tcBorders>
              <w:top w:val="nil"/>
              <w:bottom w:val="single" w:sz="4" w:space="0" w:color="auto"/>
            </w:tcBorders>
            <w:shd w:val="clear" w:color="auto" w:fill="FFFFFF"/>
          </w:tcPr>
          <w:p w14:paraId="2723AA2E" w14:textId="4ED902B7" w:rsidR="00045BCE" w:rsidRPr="00B57B36" w:rsidRDefault="00045BCE" w:rsidP="00045BCE">
            <w:pPr>
              <w:pStyle w:val="CETBodytext"/>
              <w:ind w:right="-1"/>
              <w:jc w:val="center"/>
              <w:rPr>
                <w:rFonts w:cs="Arial"/>
                <w:szCs w:val="18"/>
                <w:lang w:val="en-GB"/>
              </w:rPr>
            </w:pPr>
            <w:r>
              <w:rPr>
                <w:rFonts w:cs="Arial"/>
                <w:szCs w:val="18"/>
                <w:lang w:val="en-GB"/>
              </w:rPr>
              <w:t>23.17</w:t>
            </w:r>
          </w:p>
        </w:tc>
        <w:tc>
          <w:tcPr>
            <w:tcW w:w="759" w:type="dxa"/>
            <w:tcBorders>
              <w:top w:val="nil"/>
              <w:bottom w:val="single" w:sz="4" w:space="0" w:color="auto"/>
            </w:tcBorders>
            <w:shd w:val="clear" w:color="auto" w:fill="FFFFFF"/>
          </w:tcPr>
          <w:p w14:paraId="1E44796F" w14:textId="356021DA" w:rsidR="00045BCE" w:rsidRPr="00B57B36" w:rsidRDefault="00045BCE" w:rsidP="00045BCE">
            <w:pPr>
              <w:pStyle w:val="CETBodytext"/>
              <w:ind w:right="-1"/>
              <w:jc w:val="center"/>
              <w:rPr>
                <w:rFonts w:cs="Arial"/>
                <w:szCs w:val="18"/>
                <w:lang w:val="en-GB"/>
              </w:rPr>
            </w:pPr>
            <w:r>
              <w:rPr>
                <w:rFonts w:cs="Arial"/>
                <w:szCs w:val="18"/>
                <w:lang w:val="en-GB"/>
              </w:rPr>
              <w:t>22.59</w:t>
            </w:r>
          </w:p>
        </w:tc>
      </w:tr>
      <w:tr w:rsidR="00045BCE" w:rsidRPr="00B57B36" w14:paraId="679926E1" w14:textId="77777777" w:rsidTr="001863BA">
        <w:tc>
          <w:tcPr>
            <w:tcW w:w="1134" w:type="dxa"/>
            <w:tcBorders>
              <w:top w:val="single" w:sz="4" w:space="0" w:color="auto"/>
              <w:bottom w:val="nil"/>
            </w:tcBorders>
            <w:shd w:val="clear" w:color="auto" w:fill="FFFFFF"/>
          </w:tcPr>
          <w:p w14:paraId="57D52D57" w14:textId="2A918708" w:rsidR="00045BCE" w:rsidRPr="001863BA" w:rsidRDefault="00045BCE" w:rsidP="00045BCE">
            <w:pPr>
              <w:pStyle w:val="CETBodytext"/>
              <w:jc w:val="left"/>
              <w:rPr>
                <w:lang w:val="en-GB"/>
              </w:rPr>
            </w:pPr>
            <w:r w:rsidRPr="001863BA">
              <w:rPr>
                <w:lang w:val="en-GB"/>
              </w:rPr>
              <w:t>Ca</w:t>
            </w:r>
          </w:p>
        </w:tc>
        <w:tc>
          <w:tcPr>
            <w:tcW w:w="851" w:type="dxa"/>
            <w:tcBorders>
              <w:top w:val="single" w:sz="4" w:space="0" w:color="auto"/>
              <w:bottom w:val="nil"/>
            </w:tcBorders>
            <w:shd w:val="clear" w:color="auto" w:fill="FFFFFF"/>
            <w:vAlign w:val="bottom"/>
          </w:tcPr>
          <w:p w14:paraId="28395758" w14:textId="6A9979E2" w:rsidR="00045BCE" w:rsidRPr="00045BCE" w:rsidRDefault="00045BCE" w:rsidP="00045BCE">
            <w:pPr>
              <w:pStyle w:val="CETBodytext"/>
              <w:jc w:val="center"/>
              <w:rPr>
                <w:lang w:val="en-GB"/>
              </w:rPr>
            </w:pPr>
            <w:r w:rsidRPr="00045BCE">
              <w:rPr>
                <w:lang w:val="en-GB"/>
              </w:rPr>
              <w:t>3990</w:t>
            </w:r>
          </w:p>
        </w:tc>
        <w:tc>
          <w:tcPr>
            <w:tcW w:w="709" w:type="dxa"/>
            <w:tcBorders>
              <w:top w:val="single" w:sz="4" w:space="0" w:color="auto"/>
              <w:left w:val="nil"/>
              <w:bottom w:val="nil"/>
              <w:right w:val="nil"/>
            </w:tcBorders>
            <w:shd w:val="clear" w:color="auto" w:fill="auto"/>
            <w:vAlign w:val="bottom"/>
          </w:tcPr>
          <w:p w14:paraId="3AD8A4A9" w14:textId="477480C9" w:rsidR="00045BCE" w:rsidRPr="00045BCE" w:rsidRDefault="00045BCE" w:rsidP="00045BCE">
            <w:pPr>
              <w:pStyle w:val="CETBodytext"/>
              <w:jc w:val="center"/>
              <w:rPr>
                <w:lang w:val="en-GB"/>
              </w:rPr>
            </w:pPr>
            <w:r w:rsidRPr="00045BCE">
              <w:rPr>
                <w:lang w:val="en-GB"/>
              </w:rPr>
              <w:t>3433</w:t>
            </w:r>
          </w:p>
        </w:tc>
        <w:tc>
          <w:tcPr>
            <w:tcW w:w="708" w:type="dxa"/>
            <w:tcBorders>
              <w:top w:val="single" w:sz="4" w:space="0" w:color="auto"/>
              <w:left w:val="nil"/>
              <w:bottom w:val="nil"/>
              <w:right w:val="nil"/>
            </w:tcBorders>
            <w:shd w:val="clear" w:color="auto" w:fill="auto"/>
            <w:vAlign w:val="bottom"/>
          </w:tcPr>
          <w:p w14:paraId="2431AB22" w14:textId="0F87E3B0" w:rsidR="00045BCE" w:rsidRPr="00045BCE" w:rsidRDefault="00045BCE" w:rsidP="00045BCE">
            <w:pPr>
              <w:pStyle w:val="CETBodytext"/>
              <w:ind w:right="-1"/>
              <w:jc w:val="center"/>
              <w:rPr>
                <w:lang w:val="en-GB"/>
              </w:rPr>
            </w:pPr>
            <w:r w:rsidRPr="00045BCE">
              <w:rPr>
                <w:lang w:val="en-GB"/>
              </w:rPr>
              <w:t>3049</w:t>
            </w:r>
          </w:p>
        </w:tc>
        <w:tc>
          <w:tcPr>
            <w:tcW w:w="426" w:type="dxa"/>
            <w:tcBorders>
              <w:top w:val="single" w:sz="4" w:space="0" w:color="auto"/>
              <w:left w:val="nil"/>
              <w:bottom w:val="nil"/>
              <w:right w:val="nil"/>
            </w:tcBorders>
          </w:tcPr>
          <w:p w14:paraId="720B02A2" w14:textId="77777777" w:rsidR="00045BCE" w:rsidRPr="00045BCE" w:rsidRDefault="00045BCE" w:rsidP="00045BCE">
            <w:pPr>
              <w:pStyle w:val="CETBodytext"/>
              <w:ind w:right="-1"/>
              <w:jc w:val="center"/>
              <w:rPr>
                <w:lang w:val="en-GB"/>
              </w:rPr>
            </w:pPr>
          </w:p>
        </w:tc>
        <w:tc>
          <w:tcPr>
            <w:tcW w:w="708" w:type="dxa"/>
            <w:tcBorders>
              <w:top w:val="single" w:sz="4" w:space="0" w:color="auto"/>
              <w:left w:val="nil"/>
              <w:bottom w:val="nil"/>
              <w:right w:val="nil"/>
            </w:tcBorders>
            <w:shd w:val="clear" w:color="auto" w:fill="auto"/>
            <w:vAlign w:val="bottom"/>
          </w:tcPr>
          <w:p w14:paraId="207EF29F" w14:textId="44805303" w:rsidR="00045BCE" w:rsidRPr="00045BCE" w:rsidRDefault="001863BA" w:rsidP="00045BCE">
            <w:pPr>
              <w:pStyle w:val="CETBodytext"/>
              <w:ind w:right="-1"/>
              <w:jc w:val="center"/>
              <w:rPr>
                <w:lang w:val="en-GB"/>
              </w:rPr>
            </w:pPr>
            <w:r>
              <w:rPr>
                <w:lang w:val="en-GB"/>
              </w:rPr>
              <w:t>5530</w:t>
            </w:r>
          </w:p>
        </w:tc>
        <w:tc>
          <w:tcPr>
            <w:tcW w:w="851" w:type="dxa"/>
            <w:tcBorders>
              <w:top w:val="single" w:sz="4" w:space="0" w:color="auto"/>
              <w:left w:val="nil"/>
              <w:bottom w:val="nil"/>
              <w:right w:val="nil"/>
            </w:tcBorders>
            <w:shd w:val="clear" w:color="auto" w:fill="auto"/>
            <w:vAlign w:val="bottom"/>
          </w:tcPr>
          <w:p w14:paraId="412E8B3D" w14:textId="7CD173EA" w:rsidR="00045BCE" w:rsidRPr="00045BCE" w:rsidRDefault="001863BA" w:rsidP="00045BCE">
            <w:pPr>
              <w:pStyle w:val="CETBodytext"/>
              <w:ind w:right="-1"/>
              <w:jc w:val="center"/>
              <w:rPr>
                <w:lang w:val="en-GB"/>
              </w:rPr>
            </w:pPr>
            <w:r>
              <w:rPr>
                <w:lang w:val="en-GB"/>
              </w:rPr>
              <w:t>5280</w:t>
            </w:r>
          </w:p>
        </w:tc>
        <w:tc>
          <w:tcPr>
            <w:tcW w:w="709" w:type="dxa"/>
            <w:tcBorders>
              <w:top w:val="single" w:sz="4" w:space="0" w:color="auto"/>
              <w:left w:val="nil"/>
              <w:bottom w:val="nil"/>
              <w:right w:val="nil"/>
            </w:tcBorders>
            <w:shd w:val="clear" w:color="auto" w:fill="auto"/>
            <w:vAlign w:val="bottom"/>
          </w:tcPr>
          <w:p w14:paraId="31A075F5" w14:textId="322A507B" w:rsidR="00045BCE" w:rsidRPr="00045BCE" w:rsidRDefault="001863BA" w:rsidP="00045BCE">
            <w:pPr>
              <w:pStyle w:val="CETBodytext"/>
              <w:ind w:right="-1"/>
              <w:jc w:val="center"/>
              <w:rPr>
                <w:lang w:val="en-GB"/>
              </w:rPr>
            </w:pPr>
            <w:r>
              <w:rPr>
                <w:lang w:val="en-GB"/>
              </w:rPr>
              <w:t>5137</w:t>
            </w:r>
          </w:p>
        </w:tc>
        <w:tc>
          <w:tcPr>
            <w:tcW w:w="283" w:type="dxa"/>
            <w:tcBorders>
              <w:top w:val="single" w:sz="4" w:space="0" w:color="auto"/>
              <w:left w:val="nil"/>
              <w:bottom w:val="nil"/>
              <w:right w:val="nil"/>
            </w:tcBorders>
          </w:tcPr>
          <w:p w14:paraId="35463812" w14:textId="77777777" w:rsidR="00045BCE" w:rsidRPr="00045BCE" w:rsidRDefault="00045BCE" w:rsidP="00045BCE">
            <w:pPr>
              <w:pStyle w:val="CETBodytext"/>
              <w:ind w:right="-1"/>
              <w:jc w:val="center"/>
              <w:rPr>
                <w:lang w:val="en-GB"/>
              </w:rPr>
            </w:pPr>
          </w:p>
        </w:tc>
        <w:tc>
          <w:tcPr>
            <w:tcW w:w="858" w:type="dxa"/>
            <w:tcBorders>
              <w:top w:val="single" w:sz="4" w:space="0" w:color="auto"/>
              <w:left w:val="nil"/>
              <w:bottom w:val="nil"/>
              <w:right w:val="nil"/>
            </w:tcBorders>
            <w:shd w:val="clear" w:color="auto" w:fill="auto"/>
            <w:vAlign w:val="bottom"/>
          </w:tcPr>
          <w:p w14:paraId="73DA06D3" w14:textId="40FD3255" w:rsidR="00045BCE" w:rsidRPr="00045BCE" w:rsidRDefault="001863BA" w:rsidP="00045BCE">
            <w:pPr>
              <w:pStyle w:val="CETBodytext"/>
              <w:ind w:right="-1"/>
              <w:jc w:val="center"/>
              <w:rPr>
                <w:lang w:val="en-GB"/>
              </w:rPr>
            </w:pPr>
            <w:r>
              <w:rPr>
                <w:lang w:val="en-GB"/>
              </w:rPr>
              <w:t>17397</w:t>
            </w:r>
          </w:p>
        </w:tc>
        <w:tc>
          <w:tcPr>
            <w:tcW w:w="791" w:type="dxa"/>
            <w:tcBorders>
              <w:top w:val="single" w:sz="4" w:space="0" w:color="auto"/>
              <w:left w:val="nil"/>
              <w:bottom w:val="nil"/>
              <w:right w:val="nil"/>
            </w:tcBorders>
            <w:shd w:val="clear" w:color="auto" w:fill="auto"/>
            <w:vAlign w:val="bottom"/>
          </w:tcPr>
          <w:p w14:paraId="0E44D028" w14:textId="54770E91" w:rsidR="00045BCE" w:rsidRPr="00045BCE" w:rsidRDefault="001863BA" w:rsidP="00045BCE">
            <w:pPr>
              <w:pStyle w:val="CETBodytext"/>
              <w:ind w:right="-1"/>
              <w:jc w:val="center"/>
              <w:rPr>
                <w:lang w:val="en-GB"/>
              </w:rPr>
            </w:pPr>
            <w:r>
              <w:rPr>
                <w:lang w:val="en-GB"/>
              </w:rPr>
              <w:t>16137</w:t>
            </w:r>
          </w:p>
        </w:tc>
        <w:tc>
          <w:tcPr>
            <w:tcW w:w="759" w:type="dxa"/>
            <w:tcBorders>
              <w:top w:val="single" w:sz="4" w:space="0" w:color="auto"/>
              <w:left w:val="nil"/>
              <w:bottom w:val="nil"/>
              <w:right w:val="nil"/>
            </w:tcBorders>
            <w:shd w:val="clear" w:color="auto" w:fill="auto"/>
            <w:vAlign w:val="bottom"/>
          </w:tcPr>
          <w:p w14:paraId="00F2399F" w14:textId="197C73C0" w:rsidR="00045BCE" w:rsidRPr="00045BCE" w:rsidRDefault="001863BA" w:rsidP="001863BA">
            <w:pPr>
              <w:pStyle w:val="CETBodytext"/>
              <w:ind w:right="-1"/>
              <w:jc w:val="center"/>
              <w:rPr>
                <w:lang w:val="en-GB"/>
              </w:rPr>
            </w:pPr>
            <w:r>
              <w:rPr>
                <w:lang w:val="en-GB"/>
              </w:rPr>
              <w:t>15748</w:t>
            </w:r>
          </w:p>
        </w:tc>
      </w:tr>
      <w:tr w:rsidR="00045BCE" w:rsidRPr="00B57B36" w14:paraId="1180BCB3" w14:textId="77777777" w:rsidTr="001863BA">
        <w:tc>
          <w:tcPr>
            <w:tcW w:w="1134" w:type="dxa"/>
            <w:tcBorders>
              <w:top w:val="nil"/>
            </w:tcBorders>
            <w:shd w:val="clear" w:color="auto" w:fill="FFFFFF"/>
          </w:tcPr>
          <w:p w14:paraId="0295B26D" w14:textId="1A5B5733" w:rsidR="00045BCE" w:rsidRPr="001863BA" w:rsidRDefault="00045BCE" w:rsidP="00045BCE">
            <w:pPr>
              <w:pStyle w:val="CETBodytext"/>
              <w:jc w:val="left"/>
              <w:rPr>
                <w:lang w:val="en-GB"/>
              </w:rPr>
            </w:pPr>
            <w:r w:rsidRPr="001863BA">
              <w:rPr>
                <w:lang w:val="en-GB"/>
              </w:rPr>
              <w:t>K</w:t>
            </w:r>
          </w:p>
        </w:tc>
        <w:tc>
          <w:tcPr>
            <w:tcW w:w="851" w:type="dxa"/>
            <w:tcBorders>
              <w:top w:val="nil"/>
            </w:tcBorders>
            <w:shd w:val="clear" w:color="auto" w:fill="FFFFFF"/>
            <w:vAlign w:val="bottom"/>
          </w:tcPr>
          <w:p w14:paraId="43EAAC2E" w14:textId="1CE5D448" w:rsidR="00045BCE" w:rsidRPr="00045BCE" w:rsidRDefault="00045BCE" w:rsidP="00045BCE">
            <w:pPr>
              <w:pStyle w:val="CETBodytext"/>
              <w:jc w:val="center"/>
              <w:rPr>
                <w:lang w:val="en-GB"/>
              </w:rPr>
            </w:pPr>
            <w:r w:rsidRPr="00045BCE">
              <w:rPr>
                <w:lang w:val="en-GB"/>
              </w:rPr>
              <w:t>887</w:t>
            </w:r>
          </w:p>
        </w:tc>
        <w:tc>
          <w:tcPr>
            <w:tcW w:w="709" w:type="dxa"/>
            <w:tcBorders>
              <w:top w:val="nil"/>
              <w:left w:val="nil"/>
              <w:bottom w:val="nil"/>
              <w:right w:val="nil"/>
            </w:tcBorders>
            <w:shd w:val="clear" w:color="auto" w:fill="auto"/>
            <w:vAlign w:val="bottom"/>
          </w:tcPr>
          <w:p w14:paraId="1CDC3D7A" w14:textId="5B7D72CA" w:rsidR="00045BCE" w:rsidRPr="00045BCE" w:rsidRDefault="00045BCE" w:rsidP="00045BCE">
            <w:pPr>
              <w:pStyle w:val="CETBodytext"/>
              <w:jc w:val="center"/>
              <w:rPr>
                <w:lang w:val="en-GB"/>
              </w:rPr>
            </w:pPr>
            <w:r w:rsidRPr="00045BCE">
              <w:rPr>
                <w:lang w:val="en-GB"/>
              </w:rPr>
              <w:t>420</w:t>
            </w:r>
          </w:p>
        </w:tc>
        <w:tc>
          <w:tcPr>
            <w:tcW w:w="708" w:type="dxa"/>
            <w:tcBorders>
              <w:top w:val="nil"/>
              <w:left w:val="nil"/>
              <w:bottom w:val="nil"/>
              <w:right w:val="nil"/>
            </w:tcBorders>
            <w:shd w:val="clear" w:color="auto" w:fill="auto"/>
            <w:vAlign w:val="bottom"/>
          </w:tcPr>
          <w:p w14:paraId="482F36DB" w14:textId="6B367EA6" w:rsidR="00045BCE" w:rsidRPr="00045BCE" w:rsidRDefault="00045BCE" w:rsidP="00045BCE">
            <w:pPr>
              <w:pStyle w:val="CETBodytext"/>
              <w:ind w:right="-1"/>
              <w:jc w:val="center"/>
              <w:rPr>
                <w:lang w:val="en-GB"/>
              </w:rPr>
            </w:pPr>
            <w:r w:rsidRPr="00045BCE">
              <w:rPr>
                <w:lang w:val="en-GB"/>
              </w:rPr>
              <w:t>334</w:t>
            </w:r>
          </w:p>
        </w:tc>
        <w:tc>
          <w:tcPr>
            <w:tcW w:w="426" w:type="dxa"/>
            <w:tcBorders>
              <w:top w:val="nil"/>
              <w:left w:val="nil"/>
              <w:bottom w:val="nil"/>
              <w:right w:val="nil"/>
            </w:tcBorders>
          </w:tcPr>
          <w:p w14:paraId="281D1507" w14:textId="77777777" w:rsidR="00045BCE" w:rsidRPr="00045BCE" w:rsidRDefault="00045BCE" w:rsidP="00045BCE">
            <w:pPr>
              <w:pStyle w:val="CETBodytext"/>
              <w:ind w:right="-1"/>
              <w:jc w:val="center"/>
              <w:rPr>
                <w:lang w:val="en-GB"/>
              </w:rPr>
            </w:pPr>
          </w:p>
        </w:tc>
        <w:tc>
          <w:tcPr>
            <w:tcW w:w="708" w:type="dxa"/>
            <w:tcBorders>
              <w:top w:val="nil"/>
              <w:left w:val="nil"/>
              <w:bottom w:val="nil"/>
              <w:right w:val="nil"/>
            </w:tcBorders>
            <w:shd w:val="clear" w:color="auto" w:fill="auto"/>
            <w:vAlign w:val="bottom"/>
          </w:tcPr>
          <w:p w14:paraId="2AB31DBC" w14:textId="1090197C" w:rsidR="00045BCE" w:rsidRPr="00045BCE" w:rsidRDefault="001863BA" w:rsidP="00045BCE">
            <w:pPr>
              <w:pStyle w:val="CETBodytext"/>
              <w:ind w:right="-1"/>
              <w:jc w:val="center"/>
              <w:rPr>
                <w:lang w:val="en-GB"/>
              </w:rPr>
            </w:pPr>
            <w:r>
              <w:rPr>
                <w:lang w:val="en-GB"/>
              </w:rPr>
              <w:t>1692</w:t>
            </w:r>
          </w:p>
        </w:tc>
        <w:tc>
          <w:tcPr>
            <w:tcW w:w="851" w:type="dxa"/>
            <w:tcBorders>
              <w:top w:val="nil"/>
              <w:left w:val="nil"/>
              <w:bottom w:val="nil"/>
              <w:right w:val="nil"/>
            </w:tcBorders>
            <w:shd w:val="clear" w:color="auto" w:fill="auto"/>
            <w:vAlign w:val="bottom"/>
          </w:tcPr>
          <w:p w14:paraId="70F60F99" w14:textId="38799681" w:rsidR="00045BCE" w:rsidRPr="00045BCE" w:rsidRDefault="001863BA" w:rsidP="00045BCE">
            <w:pPr>
              <w:pStyle w:val="CETBodytext"/>
              <w:ind w:right="-1"/>
              <w:jc w:val="center"/>
              <w:rPr>
                <w:lang w:val="en-GB"/>
              </w:rPr>
            </w:pPr>
            <w:r>
              <w:rPr>
                <w:lang w:val="en-GB"/>
              </w:rPr>
              <w:t>1051</w:t>
            </w:r>
          </w:p>
        </w:tc>
        <w:tc>
          <w:tcPr>
            <w:tcW w:w="709" w:type="dxa"/>
            <w:tcBorders>
              <w:top w:val="nil"/>
              <w:left w:val="nil"/>
              <w:bottom w:val="nil"/>
              <w:right w:val="nil"/>
            </w:tcBorders>
            <w:shd w:val="clear" w:color="auto" w:fill="auto"/>
            <w:vAlign w:val="bottom"/>
          </w:tcPr>
          <w:p w14:paraId="6B152E9F" w14:textId="512914AF" w:rsidR="00045BCE" w:rsidRPr="00045BCE" w:rsidRDefault="001863BA" w:rsidP="00045BCE">
            <w:pPr>
              <w:pStyle w:val="CETBodytext"/>
              <w:ind w:right="-1"/>
              <w:jc w:val="center"/>
              <w:rPr>
                <w:lang w:val="en-GB"/>
              </w:rPr>
            </w:pPr>
            <w:r>
              <w:rPr>
                <w:lang w:val="en-GB"/>
              </w:rPr>
              <w:t>884</w:t>
            </w:r>
          </w:p>
        </w:tc>
        <w:tc>
          <w:tcPr>
            <w:tcW w:w="283" w:type="dxa"/>
            <w:tcBorders>
              <w:top w:val="nil"/>
              <w:left w:val="nil"/>
              <w:bottom w:val="nil"/>
              <w:right w:val="nil"/>
            </w:tcBorders>
          </w:tcPr>
          <w:p w14:paraId="32848917" w14:textId="77777777" w:rsidR="00045BCE" w:rsidRPr="00045BCE" w:rsidRDefault="00045BCE" w:rsidP="00045BCE">
            <w:pPr>
              <w:pStyle w:val="CETBodytext"/>
              <w:ind w:right="-1"/>
              <w:jc w:val="center"/>
              <w:rPr>
                <w:lang w:val="en-GB"/>
              </w:rPr>
            </w:pPr>
          </w:p>
        </w:tc>
        <w:tc>
          <w:tcPr>
            <w:tcW w:w="858" w:type="dxa"/>
            <w:tcBorders>
              <w:top w:val="nil"/>
              <w:left w:val="nil"/>
              <w:bottom w:val="nil"/>
              <w:right w:val="nil"/>
            </w:tcBorders>
            <w:shd w:val="clear" w:color="auto" w:fill="auto"/>
            <w:vAlign w:val="bottom"/>
          </w:tcPr>
          <w:p w14:paraId="532313BF" w14:textId="3F538B3D" w:rsidR="00045BCE" w:rsidRPr="00045BCE" w:rsidRDefault="001863BA" w:rsidP="00045BCE">
            <w:pPr>
              <w:pStyle w:val="CETBodytext"/>
              <w:ind w:right="-1"/>
              <w:jc w:val="center"/>
              <w:rPr>
                <w:lang w:val="en-GB"/>
              </w:rPr>
            </w:pPr>
            <w:r>
              <w:rPr>
                <w:lang w:val="en-GB"/>
              </w:rPr>
              <w:t>1178</w:t>
            </w:r>
          </w:p>
        </w:tc>
        <w:tc>
          <w:tcPr>
            <w:tcW w:w="791" w:type="dxa"/>
            <w:tcBorders>
              <w:top w:val="nil"/>
              <w:left w:val="nil"/>
              <w:bottom w:val="nil"/>
              <w:right w:val="nil"/>
            </w:tcBorders>
            <w:shd w:val="clear" w:color="auto" w:fill="auto"/>
            <w:vAlign w:val="bottom"/>
          </w:tcPr>
          <w:p w14:paraId="1BD49F5B" w14:textId="1CAC6839" w:rsidR="00045BCE" w:rsidRPr="00045BCE" w:rsidRDefault="001863BA" w:rsidP="001863BA">
            <w:pPr>
              <w:pStyle w:val="CETBodytext"/>
              <w:ind w:right="-1"/>
              <w:jc w:val="center"/>
              <w:rPr>
                <w:lang w:val="en-GB"/>
              </w:rPr>
            </w:pPr>
            <w:r>
              <w:rPr>
                <w:lang w:val="en-GB"/>
              </w:rPr>
              <w:t>935</w:t>
            </w:r>
          </w:p>
        </w:tc>
        <w:tc>
          <w:tcPr>
            <w:tcW w:w="759" w:type="dxa"/>
            <w:tcBorders>
              <w:top w:val="nil"/>
              <w:left w:val="nil"/>
              <w:bottom w:val="nil"/>
              <w:right w:val="nil"/>
            </w:tcBorders>
            <w:shd w:val="clear" w:color="auto" w:fill="auto"/>
            <w:vAlign w:val="bottom"/>
          </w:tcPr>
          <w:p w14:paraId="5658389D" w14:textId="7DC880AD" w:rsidR="00045BCE" w:rsidRPr="00045BCE" w:rsidRDefault="001863BA" w:rsidP="00045BCE">
            <w:pPr>
              <w:pStyle w:val="CETBodytext"/>
              <w:ind w:right="-1"/>
              <w:jc w:val="center"/>
              <w:rPr>
                <w:lang w:val="en-GB"/>
              </w:rPr>
            </w:pPr>
            <w:r>
              <w:rPr>
                <w:lang w:val="en-GB"/>
              </w:rPr>
              <w:t>725</w:t>
            </w:r>
          </w:p>
        </w:tc>
      </w:tr>
      <w:tr w:rsidR="00045BCE" w:rsidRPr="00B57B36" w14:paraId="5D612288" w14:textId="77777777" w:rsidTr="001863BA">
        <w:tc>
          <w:tcPr>
            <w:tcW w:w="1134" w:type="dxa"/>
            <w:shd w:val="clear" w:color="auto" w:fill="FFFFFF"/>
          </w:tcPr>
          <w:p w14:paraId="3A96E92A" w14:textId="4A32B467" w:rsidR="00045BCE" w:rsidRPr="001863BA" w:rsidRDefault="00045BCE" w:rsidP="00045BCE">
            <w:pPr>
              <w:pStyle w:val="CETBodytext"/>
              <w:jc w:val="left"/>
              <w:rPr>
                <w:lang w:val="en-GB"/>
              </w:rPr>
            </w:pPr>
            <w:r w:rsidRPr="001863BA">
              <w:rPr>
                <w:lang w:val="en-GB"/>
              </w:rPr>
              <w:t>Na</w:t>
            </w:r>
          </w:p>
        </w:tc>
        <w:tc>
          <w:tcPr>
            <w:tcW w:w="851" w:type="dxa"/>
            <w:shd w:val="clear" w:color="auto" w:fill="FFFFFF"/>
            <w:vAlign w:val="bottom"/>
          </w:tcPr>
          <w:p w14:paraId="4A7BBCFC" w14:textId="380D8754" w:rsidR="00045BCE" w:rsidRPr="00045BCE" w:rsidRDefault="00045BCE" w:rsidP="00045BCE">
            <w:pPr>
              <w:pStyle w:val="CETBodytext"/>
              <w:jc w:val="center"/>
              <w:rPr>
                <w:lang w:val="en-GB"/>
              </w:rPr>
            </w:pPr>
            <w:r w:rsidRPr="00045BCE">
              <w:rPr>
                <w:lang w:val="en-GB"/>
              </w:rPr>
              <w:t>248</w:t>
            </w:r>
          </w:p>
        </w:tc>
        <w:tc>
          <w:tcPr>
            <w:tcW w:w="709" w:type="dxa"/>
            <w:tcBorders>
              <w:top w:val="nil"/>
              <w:left w:val="nil"/>
              <w:bottom w:val="nil"/>
              <w:right w:val="nil"/>
            </w:tcBorders>
            <w:shd w:val="clear" w:color="auto" w:fill="auto"/>
            <w:vAlign w:val="bottom"/>
          </w:tcPr>
          <w:p w14:paraId="080DE964" w14:textId="76A98C11" w:rsidR="00045BCE" w:rsidRPr="00045BCE" w:rsidRDefault="00045BCE" w:rsidP="00045BCE">
            <w:pPr>
              <w:pStyle w:val="CETBodytext"/>
              <w:jc w:val="center"/>
              <w:rPr>
                <w:lang w:val="en-GB"/>
              </w:rPr>
            </w:pPr>
            <w:r w:rsidRPr="00045BCE">
              <w:rPr>
                <w:lang w:val="en-GB"/>
              </w:rPr>
              <w:t>83</w:t>
            </w:r>
          </w:p>
        </w:tc>
        <w:tc>
          <w:tcPr>
            <w:tcW w:w="708" w:type="dxa"/>
            <w:tcBorders>
              <w:top w:val="nil"/>
              <w:left w:val="nil"/>
              <w:bottom w:val="nil"/>
              <w:right w:val="nil"/>
            </w:tcBorders>
            <w:shd w:val="clear" w:color="auto" w:fill="auto"/>
            <w:vAlign w:val="bottom"/>
          </w:tcPr>
          <w:p w14:paraId="18BF4CA4" w14:textId="24A58A7C" w:rsidR="00045BCE" w:rsidRPr="00045BCE" w:rsidRDefault="00045BCE" w:rsidP="00045BCE">
            <w:pPr>
              <w:pStyle w:val="CETBodytext"/>
              <w:jc w:val="center"/>
              <w:rPr>
                <w:lang w:val="en-GB"/>
              </w:rPr>
            </w:pPr>
            <w:r w:rsidRPr="00045BCE">
              <w:rPr>
                <w:lang w:val="en-GB"/>
              </w:rPr>
              <w:t>42</w:t>
            </w:r>
          </w:p>
        </w:tc>
        <w:tc>
          <w:tcPr>
            <w:tcW w:w="426" w:type="dxa"/>
            <w:tcBorders>
              <w:top w:val="nil"/>
              <w:left w:val="nil"/>
              <w:bottom w:val="nil"/>
              <w:right w:val="nil"/>
            </w:tcBorders>
          </w:tcPr>
          <w:p w14:paraId="1C9DA616" w14:textId="77777777" w:rsidR="00045BCE" w:rsidRPr="00045BCE" w:rsidRDefault="00045BCE" w:rsidP="00045BCE">
            <w:pPr>
              <w:pStyle w:val="CETBodytext"/>
              <w:jc w:val="center"/>
              <w:rPr>
                <w:lang w:val="en-GB"/>
              </w:rPr>
            </w:pPr>
          </w:p>
        </w:tc>
        <w:tc>
          <w:tcPr>
            <w:tcW w:w="708" w:type="dxa"/>
            <w:tcBorders>
              <w:top w:val="nil"/>
              <w:left w:val="nil"/>
              <w:bottom w:val="nil"/>
              <w:right w:val="nil"/>
            </w:tcBorders>
            <w:shd w:val="clear" w:color="auto" w:fill="auto"/>
            <w:vAlign w:val="bottom"/>
          </w:tcPr>
          <w:p w14:paraId="724D4CE6" w14:textId="5D9A73BE" w:rsidR="00045BCE" w:rsidRPr="00045BCE" w:rsidRDefault="001863BA" w:rsidP="00045BCE">
            <w:pPr>
              <w:pStyle w:val="CETBodytext"/>
              <w:jc w:val="center"/>
              <w:rPr>
                <w:lang w:val="en-GB"/>
              </w:rPr>
            </w:pPr>
            <w:r>
              <w:rPr>
                <w:lang w:val="en-GB"/>
              </w:rPr>
              <w:t>66</w:t>
            </w:r>
          </w:p>
        </w:tc>
        <w:tc>
          <w:tcPr>
            <w:tcW w:w="851" w:type="dxa"/>
            <w:tcBorders>
              <w:top w:val="nil"/>
              <w:left w:val="nil"/>
              <w:bottom w:val="nil"/>
              <w:right w:val="nil"/>
            </w:tcBorders>
            <w:shd w:val="clear" w:color="auto" w:fill="auto"/>
            <w:vAlign w:val="bottom"/>
          </w:tcPr>
          <w:p w14:paraId="561E229D" w14:textId="7C8086B4" w:rsidR="00045BCE" w:rsidRPr="00045BCE" w:rsidRDefault="001863BA" w:rsidP="00045BCE">
            <w:pPr>
              <w:pStyle w:val="CETBodytext"/>
              <w:jc w:val="center"/>
              <w:rPr>
                <w:lang w:val="en-GB"/>
              </w:rPr>
            </w:pPr>
            <w:r>
              <w:rPr>
                <w:lang w:val="en-GB"/>
              </w:rPr>
              <w:t>57</w:t>
            </w:r>
          </w:p>
        </w:tc>
        <w:tc>
          <w:tcPr>
            <w:tcW w:w="709" w:type="dxa"/>
            <w:tcBorders>
              <w:top w:val="nil"/>
              <w:left w:val="nil"/>
              <w:bottom w:val="nil"/>
              <w:right w:val="nil"/>
            </w:tcBorders>
            <w:shd w:val="clear" w:color="auto" w:fill="auto"/>
            <w:vAlign w:val="bottom"/>
          </w:tcPr>
          <w:p w14:paraId="76D7C1EC" w14:textId="4E42137F" w:rsidR="00045BCE" w:rsidRPr="00045BCE" w:rsidRDefault="001863BA" w:rsidP="00045BCE">
            <w:pPr>
              <w:pStyle w:val="CETBodytext"/>
              <w:jc w:val="center"/>
              <w:rPr>
                <w:lang w:val="en-GB"/>
              </w:rPr>
            </w:pPr>
            <w:r>
              <w:rPr>
                <w:lang w:val="en-GB"/>
              </w:rPr>
              <w:t>22</w:t>
            </w:r>
          </w:p>
        </w:tc>
        <w:tc>
          <w:tcPr>
            <w:tcW w:w="283" w:type="dxa"/>
            <w:tcBorders>
              <w:top w:val="nil"/>
              <w:left w:val="nil"/>
              <w:bottom w:val="nil"/>
              <w:right w:val="nil"/>
            </w:tcBorders>
          </w:tcPr>
          <w:p w14:paraId="165F929F" w14:textId="77777777" w:rsidR="00045BCE" w:rsidRPr="00045BCE" w:rsidRDefault="00045BCE" w:rsidP="00045BCE">
            <w:pPr>
              <w:pStyle w:val="CETBodytext"/>
              <w:jc w:val="center"/>
              <w:rPr>
                <w:lang w:val="en-GB"/>
              </w:rPr>
            </w:pPr>
          </w:p>
        </w:tc>
        <w:tc>
          <w:tcPr>
            <w:tcW w:w="858" w:type="dxa"/>
            <w:tcBorders>
              <w:top w:val="nil"/>
              <w:left w:val="nil"/>
              <w:bottom w:val="nil"/>
              <w:right w:val="nil"/>
            </w:tcBorders>
            <w:shd w:val="clear" w:color="auto" w:fill="auto"/>
            <w:vAlign w:val="bottom"/>
          </w:tcPr>
          <w:p w14:paraId="7CCC7EC9" w14:textId="67C95B40" w:rsidR="00045BCE" w:rsidRPr="00045BCE" w:rsidRDefault="001863BA" w:rsidP="00045BCE">
            <w:pPr>
              <w:pStyle w:val="CETBodytext"/>
              <w:jc w:val="center"/>
              <w:rPr>
                <w:lang w:val="en-GB"/>
              </w:rPr>
            </w:pPr>
            <w:r>
              <w:rPr>
                <w:lang w:val="en-GB"/>
              </w:rPr>
              <w:t>73</w:t>
            </w:r>
          </w:p>
        </w:tc>
        <w:tc>
          <w:tcPr>
            <w:tcW w:w="791" w:type="dxa"/>
            <w:tcBorders>
              <w:top w:val="nil"/>
              <w:left w:val="nil"/>
              <w:bottom w:val="nil"/>
              <w:right w:val="nil"/>
            </w:tcBorders>
            <w:shd w:val="clear" w:color="auto" w:fill="auto"/>
            <w:vAlign w:val="bottom"/>
          </w:tcPr>
          <w:p w14:paraId="55A71671" w14:textId="7333D947" w:rsidR="00045BCE" w:rsidRPr="00045BCE" w:rsidRDefault="001863BA" w:rsidP="00045BCE">
            <w:pPr>
              <w:pStyle w:val="CETBodytext"/>
              <w:jc w:val="center"/>
              <w:rPr>
                <w:lang w:val="en-GB"/>
              </w:rPr>
            </w:pPr>
            <w:r>
              <w:rPr>
                <w:lang w:val="en-GB"/>
              </w:rPr>
              <w:t>62</w:t>
            </w:r>
          </w:p>
        </w:tc>
        <w:tc>
          <w:tcPr>
            <w:tcW w:w="759" w:type="dxa"/>
            <w:tcBorders>
              <w:top w:val="nil"/>
              <w:left w:val="nil"/>
              <w:bottom w:val="nil"/>
              <w:right w:val="nil"/>
            </w:tcBorders>
            <w:shd w:val="clear" w:color="auto" w:fill="auto"/>
            <w:vAlign w:val="bottom"/>
          </w:tcPr>
          <w:p w14:paraId="7DEBE29A" w14:textId="1AB6E081" w:rsidR="00045BCE" w:rsidRPr="00045BCE" w:rsidRDefault="001863BA" w:rsidP="00045BCE">
            <w:pPr>
              <w:pStyle w:val="CETBodytext"/>
              <w:jc w:val="center"/>
              <w:rPr>
                <w:lang w:val="en-GB"/>
              </w:rPr>
            </w:pPr>
            <w:r>
              <w:rPr>
                <w:lang w:val="en-GB"/>
              </w:rPr>
              <w:t>53</w:t>
            </w:r>
          </w:p>
        </w:tc>
      </w:tr>
      <w:tr w:rsidR="00045BCE" w:rsidRPr="00B57B36" w14:paraId="749C724E" w14:textId="77777777" w:rsidTr="001863BA">
        <w:tc>
          <w:tcPr>
            <w:tcW w:w="1134" w:type="dxa"/>
            <w:shd w:val="clear" w:color="auto" w:fill="FFFFFF"/>
          </w:tcPr>
          <w:p w14:paraId="22D4224F" w14:textId="7403A8BE" w:rsidR="00045BCE" w:rsidRPr="001863BA" w:rsidRDefault="00045BCE" w:rsidP="00045BCE">
            <w:pPr>
              <w:pStyle w:val="CETBodytext"/>
              <w:jc w:val="left"/>
              <w:rPr>
                <w:lang w:val="en-GB"/>
              </w:rPr>
            </w:pPr>
            <w:r w:rsidRPr="001863BA">
              <w:rPr>
                <w:lang w:val="en-GB"/>
              </w:rPr>
              <w:t>P</w:t>
            </w:r>
          </w:p>
        </w:tc>
        <w:tc>
          <w:tcPr>
            <w:tcW w:w="851" w:type="dxa"/>
            <w:shd w:val="clear" w:color="auto" w:fill="FFFFFF"/>
            <w:vAlign w:val="bottom"/>
          </w:tcPr>
          <w:p w14:paraId="3F350166" w14:textId="7A0D6BB1" w:rsidR="00045BCE" w:rsidRPr="00045BCE" w:rsidRDefault="00045BCE" w:rsidP="00045BCE">
            <w:pPr>
              <w:pStyle w:val="CETBodytext"/>
              <w:jc w:val="center"/>
              <w:rPr>
                <w:lang w:val="en-GB"/>
              </w:rPr>
            </w:pPr>
            <w:r w:rsidRPr="00045BCE">
              <w:rPr>
                <w:lang w:val="en-GB"/>
              </w:rPr>
              <w:t>231</w:t>
            </w:r>
          </w:p>
        </w:tc>
        <w:tc>
          <w:tcPr>
            <w:tcW w:w="709" w:type="dxa"/>
            <w:tcBorders>
              <w:top w:val="nil"/>
              <w:left w:val="nil"/>
              <w:bottom w:val="nil"/>
              <w:right w:val="nil"/>
            </w:tcBorders>
            <w:shd w:val="clear" w:color="auto" w:fill="auto"/>
            <w:vAlign w:val="bottom"/>
          </w:tcPr>
          <w:p w14:paraId="6F837194" w14:textId="616F5C76" w:rsidR="00045BCE" w:rsidRPr="00045BCE" w:rsidRDefault="00045BCE" w:rsidP="00045BCE">
            <w:pPr>
              <w:pStyle w:val="CETBodytext"/>
              <w:jc w:val="center"/>
              <w:rPr>
                <w:lang w:val="en-GB"/>
              </w:rPr>
            </w:pPr>
            <w:r w:rsidRPr="00045BCE">
              <w:rPr>
                <w:lang w:val="en-GB"/>
              </w:rPr>
              <w:t>182</w:t>
            </w:r>
          </w:p>
        </w:tc>
        <w:tc>
          <w:tcPr>
            <w:tcW w:w="708" w:type="dxa"/>
            <w:tcBorders>
              <w:top w:val="nil"/>
              <w:left w:val="nil"/>
              <w:bottom w:val="nil"/>
              <w:right w:val="nil"/>
            </w:tcBorders>
            <w:shd w:val="clear" w:color="auto" w:fill="auto"/>
            <w:vAlign w:val="bottom"/>
          </w:tcPr>
          <w:p w14:paraId="20A93E91" w14:textId="7DBE8B56" w:rsidR="00045BCE" w:rsidRPr="00045BCE" w:rsidRDefault="00045BCE" w:rsidP="00045BCE">
            <w:pPr>
              <w:pStyle w:val="CETBodytext"/>
              <w:jc w:val="center"/>
              <w:rPr>
                <w:lang w:val="en-GB"/>
              </w:rPr>
            </w:pPr>
            <w:r w:rsidRPr="00045BCE">
              <w:rPr>
                <w:lang w:val="en-GB"/>
              </w:rPr>
              <w:t>149</w:t>
            </w:r>
          </w:p>
        </w:tc>
        <w:tc>
          <w:tcPr>
            <w:tcW w:w="426" w:type="dxa"/>
            <w:tcBorders>
              <w:top w:val="nil"/>
              <w:left w:val="nil"/>
              <w:bottom w:val="nil"/>
              <w:right w:val="nil"/>
            </w:tcBorders>
          </w:tcPr>
          <w:p w14:paraId="052945C1" w14:textId="77777777" w:rsidR="00045BCE" w:rsidRPr="00045BCE" w:rsidRDefault="00045BCE" w:rsidP="00045BCE">
            <w:pPr>
              <w:pStyle w:val="CETBodytext"/>
              <w:jc w:val="center"/>
              <w:rPr>
                <w:lang w:val="en-GB"/>
              </w:rPr>
            </w:pPr>
          </w:p>
        </w:tc>
        <w:tc>
          <w:tcPr>
            <w:tcW w:w="708" w:type="dxa"/>
            <w:tcBorders>
              <w:top w:val="nil"/>
              <w:left w:val="nil"/>
              <w:bottom w:val="nil"/>
              <w:right w:val="nil"/>
            </w:tcBorders>
            <w:shd w:val="clear" w:color="auto" w:fill="auto"/>
            <w:vAlign w:val="bottom"/>
          </w:tcPr>
          <w:p w14:paraId="17D207A3" w14:textId="4E5F482D" w:rsidR="00045BCE" w:rsidRPr="00045BCE" w:rsidRDefault="001863BA" w:rsidP="00045BCE">
            <w:pPr>
              <w:pStyle w:val="CETBodytext"/>
              <w:jc w:val="center"/>
              <w:rPr>
                <w:lang w:val="en-GB"/>
              </w:rPr>
            </w:pPr>
            <w:r>
              <w:rPr>
                <w:lang w:val="en-GB"/>
              </w:rPr>
              <w:t>374</w:t>
            </w:r>
          </w:p>
        </w:tc>
        <w:tc>
          <w:tcPr>
            <w:tcW w:w="851" w:type="dxa"/>
            <w:tcBorders>
              <w:top w:val="nil"/>
              <w:left w:val="nil"/>
              <w:bottom w:val="nil"/>
              <w:right w:val="nil"/>
            </w:tcBorders>
            <w:shd w:val="clear" w:color="auto" w:fill="auto"/>
            <w:vAlign w:val="bottom"/>
          </w:tcPr>
          <w:p w14:paraId="6F7BAC36" w14:textId="577DB70C" w:rsidR="00045BCE" w:rsidRPr="00045BCE" w:rsidRDefault="001863BA" w:rsidP="00045BCE">
            <w:pPr>
              <w:pStyle w:val="CETBodytext"/>
              <w:jc w:val="center"/>
              <w:rPr>
                <w:lang w:val="en-GB"/>
              </w:rPr>
            </w:pPr>
            <w:r>
              <w:rPr>
                <w:lang w:val="en-GB"/>
              </w:rPr>
              <w:t>296</w:t>
            </w:r>
          </w:p>
        </w:tc>
        <w:tc>
          <w:tcPr>
            <w:tcW w:w="709" w:type="dxa"/>
            <w:tcBorders>
              <w:top w:val="nil"/>
              <w:left w:val="nil"/>
              <w:bottom w:val="nil"/>
              <w:right w:val="nil"/>
            </w:tcBorders>
            <w:shd w:val="clear" w:color="auto" w:fill="auto"/>
            <w:vAlign w:val="bottom"/>
          </w:tcPr>
          <w:p w14:paraId="768A9610" w14:textId="76B18129" w:rsidR="00045BCE" w:rsidRPr="00045BCE" w:rsidRDefault="001863BA" w:rsidP="00045BCE">
            <w:pPr>
              <w:pStyle w:val="CETBodytext"/>
              <w:jc w:val="center"/>
              <w:rPr>
                <w:lang w:val="en-GB"/>
              </w:rPr>
            </w:pPr>
            <w:r>
              <w:rPr>
                <w:lang w:val="en-GB"/>
              </w:rPr>
              <w:t>261</w:t>
            </w:r>
          </w:p>
        </w:tc>
        <w:tc>
          <w:tcPr>
            <w:tcW w:w="283" w:type="dxa"/>
            <w:tcBorders>
              <w:top w:val="nil"/>
              <w:left w:val="nil"/>
              <w:bottom w:val="nil"/>
              <w:right w:val="nil"/>
            </w:tcBorders>
          </w:tcPr>
          <w:p w14:paraId="741B6198" w14:textId="77777777" w:rsidR="00045BCE" w:rsidRPr="00045BCE" w:rsidRDefault="00045BCE" w:rsidP="00045BCE">
            <w:pPr>
              <w:pStyle w:val="CETBodytext"/>
              <w:jc w:val="center"/>
              <w:rPr>
                <w:lang w:val="en-GB"/>
              </w:rPr>
            </w:pPr>
          </w:p>
        </w:tc>
        <w:tc>
          <w:tcPr>
            <w:tcW w:w="858" w:type="dxa"/>
            <w:tcBorders>
              <w:top w:val="nil"/>
              <w:left w:val="nil"/>
              <w:bottom w:val="nil"/>
              <w:right w:val="nil"/>
            </w:tcBorders>
            <w:shd w:val="clear" w:color="auto" w:fill="auto"/>
            <w:vAlign w:val="bottom"/>
          </w:tcPr>
          <w:p w14:paraId="3DABED28" w14:textId="6369D008" w:rsidR="00045BCE" w:rsidRPr="00045BCE" w:rsidRDefault="001863BA" w:rsidP="00045BCE">
            <w:pPr>
              <w:pStyle w:val="CETBodytext"/>
              <w:jc w:val="center"/>
              <w:rPr>
                <w:lang w:val="en-GB"/>
              </w:rPr>
            </w:pPr>
            <w:r>
              <w:rPr>
                <w:lang w:val="en-GB"/>
              </w:rPr>
              <w:t>210</w:t>
            </w:r>
          </w:p>
        </w:tc>
        <w:tc>
          <w:tcPr>
            <w:tcW w:w="791" w:type="dxa"/>
            <w:tcBorders>
              <w:top w:val="nil"/>
              <w:left w:val="nil"/>
              <w:bottom w:val="nil"/>
              <w:right w:val="nil"/>
            </w:tcBorders>
            <w:shd w:val="clear" w:color="auto" w:fill="auto"/>
            <w:vAlign w:val="bottom"/>
          </w:tcPr>
          <w:p w14:paraId="07B5EF6D" w14:textId="5FBDDFC1" w:rsidR="00045BCE" w:rsidRPr="00045BCE" w:rsidRDefault="001863BA" w:rsidP="00045BCE">
            <w:pPr>
              <w:pStyle w:val="CETBodytext"/>
              <w:jc w:val="center"/>
              <w:rPr>
                <w:lang w:val="en-GB"/>
              </w:rPr>
            </w:pPr>
            <w:r>
              <w:rPr>
                <w:lang w:val="en-GB"/>
              </w:rPr>
              <w:t>183</w:t>
            </w:r>
          </w:p>
        </w:tc>
        <w:tc>
          <w:tcPr>
            <w:tcW w:w="759" w:type="dxa"/>
            <w:tcBorders>
              <w:top w:val="nil"/>
              <w:left w:val="nil"/>
              <w:bottom w:val="nil"/>
              <w:right w:val="nil"/>
            </w:tcBorders>
            <w:shd w:val="clear" w:color="auto" w:fill="auto"/>
            <w:vAlign w:val="bottom"/>
          </w:tcPr>
          <w:p w14:paraId="69AEDE8B" w14:textId="5BD14528" w:rsidR="00045BCE" w:rsidRPr="00045BCE" w:rsidRDefault="001863BA" w:rsidP="00045BCE">
            <w:pPr>
              <w:pStyle w:val="CETBodytext"/>
              <w:jc w:val="center"/>
              <w:rPr>
                <w:lang w:val="en-GB"/>
              </w:rPr>
            </w:pPr>
            <w:r>
              <w:rPr>
                <w:lang w:val="en-GB"/>
              </w:rPr>
              <w:t>148</w:t>
            </w:r>
          </w:p>
        </w:tc>
      </w:tr>
      <w:tr w:rsidR="00045BCE" w:rsidRPr="00B57B36" w14:paraId="1DC6F076" w14:textId="77777777" w:rsidTr="001863BA">
        <w:tc>
          <w:tcPr>
            <w:tcW w:w="1134" w:type="dxa"/>
            <w:shd w:val="clear" w:color="auto" w:fill="FFFFFF"/>
          </w:tcPr>
          <w:p w14:paraId="73DE4DA9" w14:textId="4B6D84F9" w:rsidR="00045BCE" w:rsidRPr="001863BA" w:rsidRDefault="00045BCE" w:rsidP="00045BCE">
            <w:pPr>
              <w:pStyle w:val="CETBodytext"/>
              <w:jc w:val="left"/>
              <w:rPr>
                <w:lang w:val="en-GB"/>
              </w:rPr>
            </w:pPr>
            <w:r w:rsidRPr="001863BA">
              <w:rPr>
                <w:lang w:val="en-GB"/>
              </w:rPr>
              <w:t>S</w:t>
            </w:r>
          </w:p>
        </w:tc>
        <w:tc>
          <w:tcPr>
            <w:tcW w:w="851" w:type="dxa"/>
            <w:shd w:val="clear" w:color="auto" w:fill="FFFFFF"/>
            <w:vAlign w:val="bottom"/>
          </w:tcPr>
          <w:p w14:paraId="325648B4" w14:textId="6FE95EC2" w:rsidR="00045BCE" w:rsidRPr="00045BCE" w:rsidRDefault="00045BCE" w:rsidP="00045BCE">
            <w:pPr>
              <w:pStyle w:val="CETBodytext"/>
              <w:jc w:val="center"/>
              <w:rPr>
                <w:lang w:val="en-GB"/>
              </w:rPr>
            </w:pPr>
            <w:r w:rsidRPr="00045BCE">
              <w:rPr>
                <w:lang w:val="en-GB"/>
              </w:rPr>
              <w:t>285</w:t>
            </w:r>
          </w:p>
        </w:tc>
        <w:tc>
          <w:tcPr>
            <w:tcW w:w="709" w:type="dxa"/>
            <w:tcBorders>
              <w:top w:val="nil"/>
              <w:left w:val="nil"/>
              <w:bottom w:val="nil"/>
              <w:right w:val="nil"/>
            </w:tcBorders>
            <w:shd w:val="clear" w:color="auto" w:fill="auto"/>
            <w:vAlign w:val="bottom"/>
          </w:tcPr>
          <w:p w14:paraId="332FE20E" w14:textId="083B177A" w:rsidR="00045BCE" w:rsidRPr="00045BCE" w:rsidRDefault="00045BCE" w:rsidP="00045BCE">
            <w:pPr>
              <w:pStyle w:val="CETBodytext"/>
              <w:jc w:val="center"/>
              <w:rPr>
                <w:lang w:val="en-GB"/>
              </w:rPr>
            </w:pPr>
            <w:r w:rsidRPr="00045BCE">
              <w:rPr>
                <w:lang w:val="en-GB"/>
              </w:rPr>
              <w:t>256</w:t>
            </w:r>
          </w:p>
        </w:tc>
        <w:tc>
          <w:tcPr>
            <w:tcW w:w="708" w:type="dxa"/>
            <w:tcBorders>
              <w:top w:val="nil"/>
              <w:left w:val="nil"/>
              <w:bottom w:val="nil"/>
              <w:right w:val="nil"/>
            </w:tcBorders>
            <w:shd w:val="clear" w:color="auto" w:fill="auto"/>
            <w:vAlign w:val="bottom"/>
          </w:tcPr>
          <w:p w14:paraId="4F00038F" w14:textId="11F46FB6" w:rsidR="00045BCE" w:rsidRPr="00045BCE" w:rsidRDefault="00045BCE" w:rsidP="00045BCE">
            <w:pPr>
              <w:pStyle w:val="CETBodytext"/>
              <w:jc w:val="center"/>
              <w:rPr>
                <w:lang w:val="en-GB"/>
              </w:rPr>
            </w:pPr>
            <w:r w:rsidRPr="00045BCE">
              <w:rPr>
                <w:lang w:val="en-GB"/>
              </w:rPr>
              <w:t>210</w:t>
            </w:r>
          </w:p>
        </w:tc>
        <w:tc>
          <w:tcPr>
            <w:tcW w:w="426" w:type="dxa"/>
            <w:tcBorders>
              <w:top w:val="nil"/>
              <w:left w:val="nil"/>
              <w:bottom w:val="nil"/>
              <w:right w:val="nil"/>
            </w:tcBorders>
          </w:tcPr>
          <w:p w14:paraId="24AABFC2" w14:textId="77777777" w:rsidR="00045BCE" w:rsidRPr="00045BCE" w:rsidRDefault="00045BCE" w:rsidP="00045BCE">
            <w:pPr>
              <w:pStyle w:val="CETBodytext"/>
              <w:jc w:val="center"/>
              <w:rPr>
                <w:lang w:val="en-GB"/>
              </w:rPr>
            </w:pPr>
          </w:p>
        </w:tc>
        <w:tc>
          <w:tcPr>
            <w:tcW w:w="708" w:type="dxa"/>
            <w:tcBorders>
              <w:top w:val="nil"/>
              <w:left w:val="nil"/>
              <w:bottom w:val="nil"/>
              <w:right w:val="nil"/>
            </w:tcBorders>
            <w:shd w:val="clear" w:color="auto" w:fill="auto"/>
            <w:vAlign w:val="bottom"/>
          </w:tcPr>
          <w:p w14:paraId="4E9561EF" w14:textId="7D95C44A" w:rsidR="00045BCE" w:rsidRPr="00045BCE" w:rsidRDefault="001863BA" w:rsidP="00045BCE">
            <w:pPr>
              <w:pStyle w:val="CETBodytext"/>
              <w:jc w:val="center"/>
              <w:rPr>
                <w:lang w:val="en-GB"/>
              </w:rPr>
            </w:pPr>
            <w:r>
              <w:rPr>
                <w:lang w:val="en-GB"/>
              </w:rPr>
              <w:t>450</w:t>
            </w:r>
          </w:p>
        </w:tc>
        <w:tc>
          <w:tcPr>
            <w:tcW w:w="851" w:type="dxa"/>
            <w:tcBorders>
              <w:top w:val="nil"/>
              <w:left w:val="nil"/>
              <w:bottom w:val="nil"/>
              <w:right w:val="nil"/>
            </w:tcBorders>
            <w:shd w:val="clear" w:color="auto" w:fill="auto"/>
            <w:vAlign w:val="bottom"/>
          </w:tcPr>
          <w:p w14:paraId="53DAF79F" w14:textId="0FBB9557" w:rsidR="00045BCE" w:rsidRPr="00045BCE" w:rsidRDefault="001863BA" w:rsidP="00045BCE">
            <w:pPr>
              <w:pStyle w:val="CETBodytext"/>
              <w:jc w:val="center"/>
              <w:rPr>
                <w:lang w:val="en-GB"/>
              </w:rPr>
            </w:pPr>
            <w:r>
              <w:rPr>
                <w:lang w:val="en-GB"/>
              </w:rPr>
              <w:t>330</w:t>
            </w:r>
          </w:p>
        </w:tc>
        <w:tc>
          <w:tcPr>
            <w:tcW w:w="709" w:type="dxa"/>
            <w:tcBorders>
              <w:top w:val="nil"/>
              <w:left w:val="nil"/>
              <w:bottom w:val="nil"/>
              <w:right w:val="nil"/>
            </w:tcBorders>
            <w:shd w:val="clear" w:color="auto" w:fill="auto"/>
            <w:vAlign w:val="bottom"/>
          </w:tcPr>
          <w:p w14:paraId="125A7AE3" w14:textId="1C3ADCBD" w:rsidR="00045BCE" w:rsidRPr="00045BCE" w:rsidRDefault="001863BA" w:rsidP="00045BCE">
            <w:pPr>
              <w:pStyle w:val="CETBodytext"/>
              <w:jc w:val="center"/>
              <w:rPr>
                <w:lang w:val="en-GB"/>
              </w:rPr>
            </w:pPr>
            <w:r>
              <w:rPr>
                <w:lang w:val="en-GB"/>
              </w:rPr>
              <w:t>315</w:t>
            </w:r>
          </w:p>
        </w:tc>
        <w:tc>
          <w:tcPr>
            <w:tcW w:w="283" w:type="dxa"/>
            <w:tcBorders>
              <w:top w:val="nil"/>
              <w:left w:val="nil"/>
              <w:bottom w:val="nil"/>
              <w:right w:val="nil"/>
            </w:tcBorders>
          </w:tcPr>
          <w:p w14:paraId="02361DDA" w14:textId="77777777" w:rsidR="00045BCE" w:rsidRPr="00045BCE" w:rsidRDefault="00045BCE" w:rsidP="00045BCE">
            <w:pPr>
              <w:pStyle w:val="CETBodytext"/>
              <w:jc w:val="center"/>
              <w:rPr>
                <w:lang w:val="en-GB"/>
              </w:rPr>
            </w:pPr>
          </w:p>
        </w:tc>
        <w:tc>
          <w:tcPr>
            <w:tcW w:w="858" w:type="dxa"/>
            <w:tcBorders>
              <w:top w:val="nil"/>
              <w:left w:val="nil"/>
              <w:bottom w:val="nil"/>
              <w:right w:val="nil"/>
            </w:tcBorders>
            <w:shd w:val="clear" w:color="auto" w:fill="auto"/>
            <w:vAlign w:val="bottom"/>
          </w:tcPr>
          <w:p w14:paraId="34290E10" w14:textId="5D020EDD" w:rsidR="00045BCE" w:rsidRPr="00045BCE" w:rsidRDefault="001863BA" w:rsidP="00045BCE">
            <w:pPr>
              <w:pStyle w:val="CETBodytext"/>
              <w:jc w:val="center"/>
              <w:rPr>
                <w:lang w:val="en-GB"/>
              </w:rPr>
            </w:pPr>
            <w:r>
              <w:rPr>
                <w:lang w:val="en-GB"/>
              </w:rPr>
              <w:t>266</w:t>
            </w:r>
          </w:p>
        </w:tc>
        <w:tc>
          <w:tcPr>
            <w:tcW w:w="791" w:type="dxa"/>
            <w:tcBorders>
              <w:top w:val="nil"/>
              <w:left w:val="nil"/>
              <w:bottom w:val="nil"/>
              <w:right w:val="nil"/>
            </w:tcBorders>
            <w:shd w:val="clear" w:color="auto" w:fill="auto"/>
            <w:vAlign w:val="bottom"/>
          </w:tcPr>
          <w:p w14:paraId="260D4D1D" w14:textId="5AD7B7DB" w:rsidR="00045BCE" w:rsidRPr="00045BCE" w:rsidRDefault="001863BA" w:rsidP="00045BCE">
            <w:pPr>
              <w:pStyle w:val="CETBodytext"/>
              <w:jc w:val="center"/>
              <w:rPr>
                <w:lang w:val="en-GB"/>
              </w:rPr>
            </w:pPr>
            <w:r>
              <w:rPr>
                <w:lang w:val="en-GB"/>
              </w:rPr>
              <w:t>252</w:t>
            </w:r>
          </w:p>
        </w:tc>
        <w:tc>
          <w:tcPr>
            <w:tcW w:w="759" w:type="dxa"/>
            <w:tcBorders>
              <w:top w:val="nil"/>
              <w:left w:val="nil"/>
              <w:bottom w:val="nil"/>
              <w:right w:val="nil"/>
            </w:tcBorders>
            <w:shd w:val="clear" w:color="auto" w:fill="auto"/>
            <w:vAlign w:val="bottom"/>
          </w:tcPr>
          <w:p w14:paraId="67540815" w14:textId="7A79B152" w:rsidR="00045BCE" w:rsidRPr="00045BCE" w:rsidRDefault="001863BA" w:rsidP="00045BCE">
            <w:pPr>
              <w:pStyle w:val="CETBodytext"/>
              <w:jc w:val="center"/>
              <w:rPr>
                <w:lang w:val="en-GB"/>
              </w:rPr>
            </w:pPr>
            <w:r>
              <w:rPr>
                <w:lang w:val="en-GB"/>
              </w:rPr>
              <w:t>258</w:t>
            </w:r>
          </w:p>
        </w:tc>
      </w:tr>
      <w:tr w:rsidR="00045BCE" w:rsidRPr="00B57B36" w14:paraId="108A177D" w14:textId="77777777" w:rsidTr="001863BA">
        <w:tc>
          <w:tcPr>
            <w:tcW w:w="1134" w:type="dxa"/>
            <w:shd w:val="clear" w:color="auto" w:fill="FFFFFF"/>
          </w:tcPr>
          <w:p w14:paraId="7AD5475C" w14:textId="46AF85C7" w:rsidR="00045BCE" w:rsidRPr="001863BA" w:rsidRDefault="00045BCE" w:rsidP="00045BCE">
            <w:pPr>
              <w:pStyle w:val="CETBodytext"/>
              <w:jc w:val="left"/>
              <w:rPr>
                <w:lang w:val="en-GB"/>
              </w:rPr>
            </w:pPr>
            <w:r w:rsidRPr="001863BA">
              <w:rPr>
                <w:lang w:val="en-GB"/>
              </w:rPr>
              <w:t>Zn</w:t>
            </w:r>
          </w:p>
        </w:tc>
        <w:tc>
          <w:tcPr>
            <w:tcW w:w="851" w:type="dxa"/>
            <w:shd w:val="clear" w:color="auto" w:fill="FFFFFF"/>
          </w:tcPr>
          <w:p w14:paraId="631F8DCE" w14:textId="05954FB9" w:rsidR="00045BCE" w:rsidRPr="00045BCE" w:rsidRDefault="00045BCE" w:rsidP="00045BCE">
            <w:pPr>
              <w:pStyle w:val="CETBodytext"/>
              <w:jc w:val="center"/>
              <w:rPr>
                <w:lang w:val="en-GB"/>
              </w:rPr>
            </w:pPr>
            <w:r w:rsidRPr="00045BCE">
              <w:rPr>
                <w:lang w:val="en-GB"/>
              </w:rPr>
              <w:t>203</w:t>
            </w:r>
          </w:p>
        </w:tc>
        <w:tc>
          <w:tcPr>
            <w:tcW w:w="709" w:type="dxa"/>
            <w:shd w:val="clear" w:color="auto" w:fill="FFFFFF"/>
          </w:tcPr>
          <w:p w14:paraId="4C8FFB91" w14:textId="303F9594" w:rsidR="00045BCE" w:rsidRPr="00045BCE" w:rsidRDefault="00045BCE" w:rsidP="00045BCE">
            <w:pPr>
              <w:pStyle w:val="CETBodytext"/>
              <w:jc w:val="center"/>
              <w:rPr>
                <w:lang w:val="en-GB"/>
              </w:rPr>
            </w:pPr>
            <w:r w:rsidRPr="00045BCE">
              <w:rPr>
                <w:lang w:val="en-GB"/>
              </w:rPr>
              <w:t>185</w:t>
            </w:r>
          </w:p>
        </w:tc>
        <w:tc>
          <w:tcPr>
            <w:tcW w:w="708" w:type="dxa"/>
            <w:shd w:val="clear" w:color="auto" w:fill="FFFFFF"/>
          </w:tcPr>
          <w:p w14:paraId="4AB2BA73" w14:textId="23CDC202" w:rsidR="00045BCE" w:rsidRPr="00045BCE" w:rsidRDefault="00045BCE" w:rsidP="00045BCE">
            <w:pPr>
              <w:pStyle w:val="CETBodytext"/>
              <w:jc w:val="center"/>
              <w:rPr>
                <w:lang w:val="en-GB"/>
              </w:rPr>
            </w:pPr>
            <w:r w:rsidRPr="00045BCE">
              <w:rPr>
                <w:lang w:val="en-GB"/>
              </w:rPr>
              <w:t>163</w:t>
            </w:r>
          </w:p>
        </w:tc>
        <w:tc>
          <w:tcPr>
            <w:tcW w:w="426" w:type="dxa"/>
            <w:shd w:val="clear" w:color="auto" w:fill="FFFFFF"/>
          </w:tcPr>
          <w:p w14:paraId="0835D8BA" w14:textId="77777777" w:rsidR="00045BCE" w:rsidRPr="00045BCE" w:rsidRDefault="00045BCE" w:rsidP="00045BCE">
            <w:pPr>
              <w:pStyle w:val="CETBodytext"/>
              <w:jc w:val="center"/>
              <w:rPr>
                <w:lang w:val="en-GB"/>
              </w:rPr>
            </w:pPr>
          </w:p>
        </w:tc>
        <w:tc>
          <w:tcPr>
            <w:tcW w:w="708" w:type="dxa"/>
            <w:shd w:val="clear" w:color="auto" w:fill="FFFFFF"/>
          </w:tcPr>
          <w:p w14:paraId="45A7A046" w14:textId="0EF53469" w:rsidR="00045BCE" w:rsidRPr="00045BCE" w:rsidRDefault="001863BA" w:rsidP="00045BCE">
            <w:pPr>
              <w:pStyle w:val="CETBodytext"/>
              <w:jc w:val="center"/>
              <w:rPr>
                <w:lang w:val="en-GB"/>
              </w:rPr>
            </w:pPr>
            <w:r>
              <w:rPr>
                <w:lang w:val="en-GB"/>
              </w:rPr>
              <w:t>88</w:t>
            </w:r>
          </w:p>
        </w:tc>
        <w:tc>
          <w:tcPr>
            <w:tcW w:w="851" w:type="dxa"/>
            <w:shd w:val="clear" w:color="auto" w:fill="FFFFFF"/>
          </w:tcPr>
          <w:p w14:paraId="4ABC76BE" w14:textId="7EC02A5C" w:rsidR="00045BCE" w:rsidRPr="00045BCE" w:rsidRDefault="001863BA" w:rsidP="00045BCE">
            <w:pPr>
              <w:pStyle w:val="CETBodytext"/>
              <w:jc w:val="center"/>
              <w:rPr>
                <w:lang w:val="en-GB"/>
              </w:rPr>
            </w:pPr>
            <w:r>
              <w:rPr>
                <w:lang w:val="en-GB"/>
              </w:rPr>
              <w:t>63</w:t>
            </w:r>
          </w:p>
        </w:tc>
        <w:tc>
          <w:tcPr>
            <w:tcW w:w="709" w:type="dxa"/>
            <w:shd w:val="clear" w:color="auto" w:fill="FFFFFF"/>
          </w:tcPr>
          <w:p w14:paraId="3B2444A5" w14:textId="646ADD7B" w:rsidR="00045BCE" w:rsidRPr="00045BCE" w:rsidRDefault="001863BA" w:rsidP="00045BCE">
            <w:pPr>
              <w:pStyle w:val="CETBodytext"/>
              <w:jc w:val="center"/>
              <w:rPr>
                <w:lang w:val="en-GB"/>
              </w:rPr>
            </w:pPr>
            <w:r>
              <w:rPr>
                <w:lang w:val="en-GB"/>
              </w:rPr>
              <w:t>59</w:t>
            </w:r>
          </w:p>
        </w:tc>
        <w:tc>
          <w:tcPr>
            <w:tcW w:w="283" w:type="dxa"/>
            <w:shd w:val="clear" w:color="auto" w:fill="FFFFFF"/>
          </w:tcPr>
          <w:p w14:paraId="0A251B88" w14:textId="77777777" w:rsidR="00045BCE" w:rsidRPr="00045BCE" w:rsidRDefault="00045BCE" w:rsidP="00045BCE">
            <w:pPr>
              <w:pStyle w:val="CETBodytext"/>
              <w:jc w:val="center"/>
              <w:rPr>
                <w:lang w:val="en-GB"/>
              </w:rPr>
            </w:pPr>
          </w:p>
        </w:tc>
        <w:tc>
          <w:tcPr>
            <w:tcW w:w="858" w:type="dxa"/>
            <w:shd w:val="clear" w:color="auto" w:fill="FFFFFF"/>
          </w:tcPr>
          <w:p w14:paraId="796A3DD0" w14:textId="5DC2CF67" w:rsidR="00045BCE" w:rsidRPr="00045BCE" w:rsidRDefault="001863BA" w:rsidP="00045BCE">
            <w:pPr>
              <w:pStyle w:val="CETBodytext"/>
              <w:jc w:val="center"/>
              <w:rPr>
                <w:lang w:val="en-GB"/>
              </w:rPr>
            </w:pPr>
            <w:r>
              <w:rPr>
                <w:lang w:val="en-GB"/>
              </w:rPr>
              <w:t>186</w:t>
            </w:r>
          </w:p>
        </w:tc>
        <w:tc>
          <w:tcPr>
            <w:tcW w:w="791" w:type="dxa"/>
            <w:shd w:val="clear" w:color="auto" w:fill="FFFFFF"/>
          </w:tcPr>
          <w:p w14:paraId="7BD24686" w14:textId="11D886BB" w:rsidR="00045BCE" w:rsidRPr="00045BCE" w:rsidRDefault="001863BA" w:rsidP="00045BCE">
            <w:pPr>
              <w:pStyle w:val="CETBodytext"/>
              <w:jc w:val="center"/>
              <w:rPr>
                <w:lang w:val="en-GB"/>
              </w:rPr>
            </w:pPr>
            <w:r>
              <w:rPr>
                <w:lang w:val="en-GB"/>
              </w:rPr>
              <w:t>171</w:t>
            </w:r>
          </w:p>
        </w:tc>
        <w:tc>
          <w:tcPr>
            <w:tcW w:w="759" w:type="dxa"/>
            <w:shd w:val="clear" w:color="auto" w:fill="FFFFFF"/>
          </w:tcPr>
          <w:p w14:paraId="4CE88D85" w14:textId="1E829A47" w:rsidR="00045BCE" w:rsidRPr="00045BCE" w:rsidRDefault="001863BA" w:rsidP="00045BCE">
            <w:pPr>
              <w:pStyle w:val="CETBodytext"/>
              <w:jc w:val="center"/>
              <w:rPr>
                <w:lang w:val="en-GB"/>
              </w:rPr>
            </w:pPr>
            <w:r>
              <w:rPr>
                <w:lang w:val="en-GB"/>
              </w:rPr>
              <w:t>167</w:t>
            </w:r>
          </w:p>
        </w:tc>
      </w:tr>
    </w:tbl>
    <w:p w14:paraId="21067E8B" w14:textId="77777777" w:rsidR="00E9515A" w:rsidRDefault="00E9515A" w:rsidP="00E9515A">
      <w:pPr>
        <w:pStyle w:val="CETBodytext"/>
        <w:rPr>
          <w:lang w:val="en-GB"/>
        </w:rPr>
      </w:pPr>
    </w:p>
    <w:p w14:paraId="701D3462" w14:textId="21A6B349" w:rsidR="00E9515A" w:rsidRDefault="00E9515A" w:rsidP="00E9515A">
      <w:pPr>
        <w:pStyle w:val="CETBodytext"/>
        <w:rPr>
          <w:lang w:val="en-GB"/>
        </w:rPr>
      </w:pPr>
      <w:r>
        <w:rPr>
          <w:lang w:val="en-GB"/>
        </w:rPr>
        <w:t xml:space="preserve">The </w:t>
      </w:r>
      <w:r w:rsidR="00B14929">
        <w:rPr>
          <w:lang w:val="en-GB"/>
        </w:rPr>
        <w:t xml:space="preserve">effects of </w:t>
      </w:r>
      <w:r>
        <w:rPr>
          <w:lang w:val="en-GB"/>
        </w:rPr>
        <w:t xml:space="preserve">leaching on the removal of specific inorganic elements was studied by ICP-OES measurements. Table 2 summarizes the concentration of the major inorganic elements in the raw and leached bark samples. Among inorganics, </w:t>
      </w:r>
      <w:r w:rsidRPr="0075634F">
        <w:rPr>
          <w:lang w:val="en-GB"/>
        </w:rPr>
        <w:t>Ca was measured in the highest concentration, and K wa</w:t>
      </w:r>
      <w:r>
        <w:rPr>
          <w:lang w:val="en-GB"/>
        </w:rPr>
        <w:t xml:space="preserve">s the second most abundant element in all raw and leached samples. As an effect of water leaching, the </w:t>
      </w:r>
      <w:r w:rsidRPr="008F7CFB">
        <w:rPr>
          <w:lang w:val="en-GB"/>
        </w:rPr>
        <w:t>K</w:t>
      </w:r>
      <w:r>
        <w:rPr>
          <w:lang w:val="en-GB"/>
        </w:rPr>
        <w:t xml:space="preserve"> and </w:t>
      </w:r>
      <w:r w:rsidRPr="008F7CFB">
        <w:rPr>
          <w:lang w:val="en-GB"/>
        </w:rPr>
        <w:t>Na</w:t>
      </w:r>
      <w:r>
        <w:rPr>
          <w:lang w:val="en-GB"/>
        </w:rPr>
        <w:t xml:space="preserve"> content of bark samples decreased to a greater extent, especially from birch bark. </w:t>
      </w:r>
      <w:r w:rsidRPr="008F7CFB">
        <w:rPr>
          <w:lang w:val="en-GB"/>
        </w:rPr>
        <w:t>Ca</w:t>
      </w:r>
      <w:r>
        <w:rPr>
          <w:lang w:val="en-GB"/>
        </w:rPr>
        <w:t xml:space="preserve"> is mainly present in organically associated, ion-exchangeable form in the biomass (Werkelin et al., 2010).</w:t>
      </w:r>
      <w:r w:rsidRPr="00A5049B">
        <w:rPr>
          <w:lang w:val="en-GB"/>
        </w:rPr>
        <w:t xml:space="preserve"> </w:t>
      </w:r>
      <w:r>
        <w:rPr>
          <w:lang w:val="en-GB"/>
        </w:rPr>
        <w:t xml:space="preserve">15–24 % of it was removed by the cold and hot water leaching from birch bark, and less than 10 % of the Ca content was removed from the coniferous barks </w:t>
      </w:r>
      <w:r>
        <w:rPr>
          <w:lang w:val="en-GB"/>
        </w:rPr>
        <w:lastRenderedPageBreak/>
        <w:t xml:space="preserve">regardless of the leaching temperature. In general, the removal of the given elements was more effective from birch bark comparing to pine bark and spruce bark and was somewhat more effective using 60 °C water leaching with stirring comparing to 25 °C without stirring experiment.   </w:t>
      </w:r>
    </w:p>
    <w:p w14:paraId="751254F1" w14:textId="4F4EADD1" w:rsidR="000E6D76" w:rsidRDefault="005402BF" w:rsidP="00600535">
      <w:pPr>
        <w:pStyle w:val="CETBodytext"/>
        <w:rPr>
          <w:lang w:val="en-GB"/>
        </w:rPr>
      </w:pPr>
      <w:r>
        <w:rPr>
          <w:lang w:val="en-GB"/>
        </w:rPr>
        <w:t xml:space="preserve">The results of the elemental analysis of raw and leached bark samples are presented in Figure </w:t>
      </w:r>
      <w:r w:rsidR="004347CE">
        <w:rPr>
          <w:lang w:val="en-GB"/>
        </w:rPr>
        <w:t>2</w:t>
      </w:r>
      <w:r>
        <w:rPr>
          <w:lang w:val="en-GB"/>
        </w:rPr>
        <w:t xml:space="preserve">. The </w:t>
      </w:r>
      <w:r w:rsidR="008E59C4">
        <w:rPr>
          <w:lang w:val="en-GB"/>
        </w:rPr>
        <w:t>measured values</w:t>
      </w:r>
      <w:r>
        <w:rPr>
          <w:lang w:val="en-GB"/>
        </w:rPr>
        <w:t xml:space="preserve"> clearly show that the </w:t>
      </w:r>
      <w:r w:rsidR="008E3E4B">
        <w:rPr>
          <w:lang w:val="en-GB"/>
        </w:rPr>
        <w:t>C</w:t>
      </w:r>
      <w:r>
        <w:rPr>
          <w:lang w:val="en-GB"/>
        </w:rPr>
        <w:t xml:space="preserve"> and </w:t>
      </w:r>
      <w:r w:rsidR="008E3E4B">
        <w:rPr>
          <w:lang w:val="en-GB"/>
        </w:rPr>
        <w:t>H</w:t>
      </w:r>
      <w:r>
        <w:rPr>
          <w:lang w:val="en-GB"/>
        </w:rPr>
        <w:t xml:space="preserve"> content of the </w:t>
      </w:r>
      <w:r w:rsidR="00773A6F">
        <w:rPr>
          <w:lang w:val="en-GB"/>
        </w:rPr>
        <w:t>bark</w:t>
      </w:r>
      <w:r>
        <w:rPr>
          <w:lang w:val="en-GB"/>
        </w:rPr>
        <w:t xml:space="preserve"> sample</w:t>
      </w:r>
      <w:r w:rsidR="00773A6F">
        <w:rPr>
          <w:lang w:val="en-GB"/>
        </w:rPr>
        <w:t>s</w:t>
      </w:r>
      <w:r>
        <w:rPr>
          <w:lang w:val="en-GB"/>
        </w:rPr>
        <w:t xml:space="preserve"> slightly decrease</w:t>
      </w:r>
      <w:r w:rsidR="00652A83">
        <w:rPr>
          <w:lang w:val="en-GB"/>
        </w:rPr>
        <w:t>d</w:t>
      </w:r>
      <w:r w:rsidR="00033036" w:rsidRPr="00033036">
        <w:rPr>
          <w:lang w:val="en-GB"/>
        </w:rPr>
        <w:t xml:space="preserve"> </w:t>
      </w:r>
      <w:r w:rsidR="00033036">
        <w:rPr>
          <w:lang w:val="en-GB"/>
        </w:rPr>
        <w:t>as an effect of water leaching</w:t>
      </w:r>
      <w:r>
        <w:rPr>
          <w:lang w:val="en-GB"/>
        </w:rPr>
        <w:t xml:space="preserve">, while the </w:t>
      </w:r>
      <w:r w:rsidR="008E3E4B">
        <w:rPr>
          <w:lang w:val="en-GB"/>
        </w:rPr>
        <w:t>O</w:t>
      </w:r>
      <w:r>
        <w:rPr>
          <w:lang w:val="en-GB"/>
        </w:rPr>
        <w:t xml:space="preserve"> content of the leached samples increase</w:t>
      </w:r>
      <w:r w:rsidR="00652A83">
        <w:rPr>
          <w:lang w:val="en-GB"/>
        </w:rPr>
        <w:t>d</w:t>
      </w:r>
      <w:r>
        <w:rPr>
          <w:lang w:val="en-GB"/>
        </w:rPr>
        <w:t>.</w:t>
      </w:r>
      <w:r w:rsidR="00407971">
        <w:rPr>
          <w:lang w:val="en-GB"/>
        </w:rPr>
        <w:t xml:space="preserve"> This effect</w:t>
      </w:r>
      <w:r w:rsidR="00E549FA">
        <w:rPr>
          <w:lang w:val="en-GB"/>
        </w:rPr>
        <w:t xml:space="preserve"> of </w:t>
      </w:r>
      <w:r w:rsidR="00CD1E42">
        <w:rPr>
          <w:lang w:val="en-GB"/>
        </w:rPr>
        <w:t>leaching</w:t>
      </w:r>
      <w:r w:rsidR="00E549FA">
        <w:rPr>
          <w:lang w:val="en-GB"/>
        </w:rPr>
        <w:t xml:space="preserve"> was</w:t>
      </w:r>
      <w:r w:rsidR="00407971">
        <w:rPr>
          <w:lang w:val="en-GB"/>
        </w:rPr>
        <w:t xml:space="preserve"> the most </w:t>
      </w:r>
      <w:r w:rsidR="00503FD0">
        <w:rPr>
          <w:lang w:val="en-GB"/>
        </w:rPr>
        <w:t xml:space="preserve">significant </w:t>
      </w:r>
      <w:r w:rsidR="00407971">
        <w:rPr>
          <w:lang w:val="en-GB"/>
        </w:rPr>
        <w:t xml:space="preserve">in the case of the birch bark, while the changes </w:t>
      </w:r>
      <w:r w:rsidR="00CD1E42">
        <w:rPr>
          <w:lang w:val="en-GB"/>
        </w:rPr>
        <w:t>were</w:t>
      </w:r>
      <w:r w:rsidR="00407971">
        <w:rPr>
          <w:lang w:val="en-GB"/>
        </w:rPr>
        <w:t xml:space="preserve"> very slight for the two coniferous bark samples.</w:t>
      </w:r>
      <w:r>
        <w:rPr>
          <w:lang w:val="en-GB"/>
        </w:rPr>
        <w:t xml:space="preserve"> </w:t>
      </w:r>
      <w:r w:rsidR="008D6F7A">
        <w:rPr>
          <w:lang w:val="en-GB"/>
        </w:rPr>
        <w:t>T</w:t>
      </w:r>
      <w:r w:rsidR="00773A6F">
        <w:rPr>
          <w:lang w:val="en-GB"/>
        </w:rPr>
        <w:t xml:space="preserve">he </w:t>
      </w:r>
      <w:r w:rsidR="008E3E4B">
        <w:rPr>
          <w:lang w:val="en-GB"/>
        </w:rPr>
        <w:t>C</w:t>
      </w:r>
      <w:r w:rsidR="00773A6F">
        <w:rPr>
          <w:lang w:val="en-GB"/>
        </w:rPr>
        <w:t xml:space="preserve"> content of the </w:t>
      </w:r>
      <w:r w:rsidR="00281F3C">
        <w:rPr>
          <w:lang w:val="en-GB"/>
        </w:rPr>
        <w:t xml:space="preserve">birch bark </w:t>
      </w:r>
      <w:r w:rsidR="00773A6F">
        <w:rPr>
          <w:lang w:val="en-GB"/>
        </w:rPr>
        <w:t>samples leached at 60</w:t>
      </w:r>
      <w:r w:rsidR="000A5250">
        <w:rPr>
          <w:lang w:val="en-GB"/>
        </w:rPr>
        <w:t xml:space="preserve"> </w:t>
      </w:r>
      <w:r w:rsidR="00773A6F">
        <w:rPr>
          <w:lang w:val="en-GB"/>
        </w:rPr>
        <w:t xml:space="preserve">°C </w:t>
      </w:r>
      <w:r w:rsidR="007227D1">
        <w:rPr>
          <w:lang w:val="en-GB"/>
        </w:rPr>
        <w:t>with continuous stirring</w:t>
      </w:r>
      <w:r w:rsidR="00773A6F">
        <w:rPr>
          <w:lang w:val="en-GB"/>
        </w:rPr>
        <w:t xml:space="preserve"> </w:t>
      </w:r>
      <w:r w:rsidR="00CD1E42">
        <w:rPr>
          <w:lang w:val="en-GB"/>
        </w:rPr>
        <w:t xml:space="preserve">was </w:t>
      </w:r>
      <w:r w:rsidR="00773A6F">
        <w:rPr>
          <w:lang w:val="en-GB"/>
        </w:rPr>
        <w:t xml:space="preserve">slightly less </w:t>
      </w:r>
      <w:r w:rsidR="007227D1">
        <w:rPr>
          <w:lang w:val="en-GB"/>
        </w:rPr>
        <w:t xml:space="preserve">comparing to the </w:t>
      </w:r>
      <w:r w:rsidR="00281F3C">
        <w:rPr>
          <w:lang w:val="en-GB"/>
        </w:rPr>
        <w:t xml:space="preserve">birch </w:t>
      </w:r>
      <w:r w:rsidR="007227D1">
        <w:rPr>
          <w:lang w:val="en-GB"/>
        </w:rPr>
        <w:t>bark samples leached at 25</w:t>
      </w:r>
      <w:r w:rsidR="000A5250">
        <w:rPr>
          <w:lang w:val="en-GB"/>
        </w:rPr>
        <w:t xml:space="preserve"> </w:t>
      </w:r>
      <w:r w:rsidR="007227D1">
        <w:rPr>
          <w:lang w:val="en-GB"/>
        </w:rPr>
        <w:t xml:space="preserve">°C without stirring, indicating the enhanced solubility at higher temperature and </w:t>
      </w:r>
      <w:r w:rsidR="00166E32">
        <w:rPr>
          <w:lang w:val="en-GB"/>
        </w:rPr>
        <w:t>by</w:t>
      </w:r>
      <w:r w:rsidR="007227D1">
        <w:rPr>
          <w:lang w:val="en-GB"/>
        </w:rPr>
        <w:t xml:space="preserve"> mechanical stirring. The decreased </w:t>
      </w:r>
      <w:r w:rsidR="008E3E4B">
        <w:rPr>
          <w:lang w:val="en-GB"/>
        </w:rPr>
        <w:t>C</w:t>
      </w:r>
      <w:r w:rsidR="007227D1">
        <w:rPr>
          <w:lang w:val="en-GB"/>
        </w:rPr>
        <w:t xml:space="preserve"> and </w:t>
      </w:r>
      <w:r w:rsidR="008E3E4B">
        <w:rPr>
          <w:lang w:val="en-GB"/>
        </w:rPr>
        <w:t>H</w:t>
      </w:r>
      <w:r w:rsidR="007227D1">
        <w:rPr>
          <w:lang w:val="en-GB"/>
        </w:rPr>
        <w:t xml:space="preserve"> content</w:t>
      </w:r>
      <w:r w:rsidR="00033036">
        <w:rPr>
          <w:lang w:val="en-GB"/>
        </w:rPr>
        <w:t>s</w:t>
      </w:r>
      <w:r w:rsidR="007227D1">
        <w:rPr>
          <w:lang w:val="en-GB"/>
        </w:rPr>
        <w:t xml:space="preserve"> of the leached samples clearly indicate that </w:t>
      </w:r>
      <w:r w:rsidR="00B93AD6">
        <w:rPr>
          <w:lang w:val="en-GB"/>
        </w:rPr>
        <w:t xml:space="preserve">considerable </w:t>
      </w:r>
      <w:r w:rsidR="007227D1">
        <w:rPr>
          <w:lang w:val="en-GB"/>
        </w:rPr>
        <w:t>amount</w:t>
      </w:r>
      <w:r w:rsidR="00033036">
        <w:rPr>
          <w:lang w:val="en-GB"/>
        </w:rPr>
        <w:t>s</w:t>
      </w:r>
      <w:r w:rsidR="007227D1">
        <w:rPr>
          <w:lang w:val="en-GB"/>
        </w:rPr>
        <w:t xml:space="preserve"> of organic material </w:t>
      </w:r>
      <w:r w:rsidR="00033036">
        <w:rPr>
          <w:lang w:val="en-GB"/>
        </w:rPr>
        <w:t xml:space="preserve">were </w:t>
      </w:r>
      <w:r w:rsidR="00B93AD6">
        <w:rPr>
          <w:lang w:val="en-GB"/>
        </w:rPr>
        <w:t xml:space="preserve">dissolved </w:t>
      </w:r>
      <w:r w:rsidR="007227D1">
        <w:rPr>
          <w:lang w:val="en-GB"/>
        </w:rPr>
        <w:t xml:space="preserve">besides the inorganics. </w:t>
      </w:r>
      <w:r w:rsidR="00DD2BAF">
        <w:rPr>
          <w:lang w:val="en-GB"/>
        </w:rPr>
        <w:t>The main water</w:t>
      </w:r>
      <w:r w:rsidR="0082299B">
        <w:rPr>
          <w:lang w:val="en-GB"/>
        </w:rPr>
        <w:t>-</w:t>
      </w:r>
      <w:r w:rsidR="00DD2BAF">
        <w:rPr>
          <w:lang w:val="en-GB"/>
        </w:rPr>
        <w:t xml:space="preserve">extractable organic compounds of </w:t>
      </w:r>
      <w:r w:rsidR="00A82D0B">
        <w:rPr>
          <w:lang w:val="en-GB"/>
        </w:rPr>
        <w:t xml:space="preserve">the </w:t>
      </w:r>
      <w:r w:rsidR="00DD2BAF">
        <w:rPr>
          <w:lang w:val="en-GB"/>
        </w:rPr>
        <w:t>woo</w:t>
      </w:r>
      <w:r w:rsidR="00A82D0B">
        <w:rPr>
          <w:lang w:val="en-GB"/>
        </w:rPr>
        <w:t xml:space="preserve">d </w:t>
      </w:r>
      <w:r w:rsidR="00DD2BAF">
        <w:rPr>
          <w:lang w:val="en-GB"/>
        </w:rPr>
        <w:t>bark</w:t>
      </w:r>
      <w:r w:rsidR="00A82D0B">
        <w:rPr>
          <w:lang w:val="en-GB"/>
        </w:rPr>
        <w:t>s</w:t>
      </w:r>
      <w:r w:rsidR="00DD2BAF">
        <w:rPr>
          <w:lang w:val="en-GB"/>
        </w:rPr>
        <w:t xml:space="preserve"> </w:t>
      </w:r>
      <w:r w:rsidR="00A82D0B">
        <w:rPr>
          <w:lang w:val="en-GB"/>
        </w:rPr>
        <w:t xml:space="preserve">are phenolic compounds like tannins, lignans and flavanols (Kilpelainen </w:t>
      </w:r>
      <w:r w:rsidR="00295826">
        <w:rPr>
          <w:lang w:val="en-GB"/>
        </w:rPr>
        <w:t>et al.</w:t>
      </w:r>
      <w:r w:rsidR="006A7406">
        <w:rPr>
          <w:lang w:val="en-GB"/>
        </w:rPr>
        <w:t>,</w:t>
      </w:r>
      <w:r w:rsidR="00A82D0B">
        <w:rPr>
          <w:lang w:val="en-GB"/>
        </w:rPr>
        <w:t xml:space="preserve"> 2023</w:t>
      </w:r>
      <w:r w:rsidR="006A7406">
        <w:rPr>
          <w:lang w:val="en-GB"/>
        </w:rPr>
        <w:t>;</w:t>
      </w:r>
      <w:r w:rsidR="00A82D0B">
        <w:rPr>
          <w:lang w:val="en-GB"/>
        </w:rPr>
        <w:t xml:space="preserve"> Liimatainen </w:t>
      </w:r>
      <w:r w:rsidR="00295826">
        <w:rPr>
          <w:lang w:val="en-GB"/>
        </w:rPr>
        <w:t>et al.</w:t>
      </w:r>
      <w:r w:rsidR="006A7406">
        <w:rPr>
          <w:lang w:val="en-GB"/>
        </w:rPr>
        <w:t>,</w:t>
      </w:r>
      <w:r w:rsidR="00A82D0B">
        <w:rPr>
          <w:lang w:val="en-GB"/>
        </w:rPr>
        <w:t xml:space="preserve"> 2012)</w:t>
      </w:r>
      <w:r w:rsidR="00462FA0">
        <w:rPr>
          <w:lang w:val="en-GB"/>
        </w:rPr>
        <w:t xml:space="preserve">. The leaching </w:t>
      </w:r>
      <w:r w:rsidR="004779DE">
        <w:rPr>
          <w:lang w:val="en-GB"/>
        </w:rPr>
        <w:t xml:space="preserve">of </w:t>
      </w:r>
      <w:r w:rsidR="00462FA0">
        <w:rPr>
          <w:lang w:val="en-GB"/>
        </w:rPr>
        <w:t>some of these compounds</w:t>
      </w:r>
      <w:r w:rsidR="00950295">
        <w:rPr>
          <w:lang w:val="en-GB"/>
        </w:rPr>
        <w:t xml:space="preserve"> </w:t>
      </w:r>
      <w:r w:rsidR="00DF178E">
        <w:rPr>
          <w:lang w:val="en-GB"/>
        </w:rPr>
        <w:t>can be related to</w:t>
      </w:r>
      <w:r w:rsidR="00DD1BA1">
        <w:rPr>
          <w:lang w:val="en-GB"/>
        </w:rPr>
        <w:t xml:space="preserve"> the decreased C and increased </w:t>
      </w:r>
      <w:r w:rsidR="0091519F">
        <w:rPr>
          <w:lang w:val="en-GB"/>
        </w:rPr>
        <w:t>O</w:t>
      </w:r>
      <w:r w:rsidR="00DD1BA1">
        <w:rPr>
          <w:lang w:val="en-GB"/>
        </w:rPr>
        <w:t xml:space="preserve"> content of the leached bark samples.</w:t>
      </w:r>
      <w:r w:rsidR="008D6F7A">
        <w:rPr>
          <w:lang w:val="en-GB"/>
        </w:rPr>
        <w:t xml:space="preserve"> </w:t>
      </w:r>
    </w:p>
    <w:p w14:paraId="071D0AE9" w14:textId="6CC8577D" w:rsidR="00916933" w:rsidRDefault="005402BF" w:rsidP="00600535">
      <w:pPr>
        <w:pStyle w:val="CETBodytext"/>
        <w:rPr>
          <w:lang w:val="en-GB"/>
        </w:rPr>
      </w:pPr>
      <w:r>
        <w:rPr>
          <w:lang w:val="en-GB"/>
        </w:rPr>
        <w:t xml:space="preserve">The nitrogen content of the bark samples </w:t>
      </w:r>
      <w:r w:rsidR="00921222">
        <w:rPr>
          <w:lang w:val="en-GB"/>
        </w:rPr>
        <w:t>was</w:t>
      </w:r>
      <w:r>
        <w:rPr>
          <w:lang w:val="en-GB"/>
        </w:rPr>
        <w:t xml:space="preserve"> </w:t>
      </w:r>
      <w:r w:rsidR="00A823A6">
        <w:rPr>
          <w:lang w:val="en-GB"/>
        </w:rPr>
        <w:t>measured</w:t>
      </w:r>
      <w:r>
        <w:rPr>
          <w:lang w:val="en-GB"/>
        </w:rPr>
        <w:t xml:space="preserve"> </w:t>
      </w:r>
      <w:r w:rsidR="00BC2E71">
        <w:rPr>
          <w:lang w:val="en-GB"/>
        </w:rPr>
        <w:t xml:space="preserve">to be </w:t>
      </w:r>
      <w:r w:rsidR="000C5B88" w:rsidRPr="000C5B88">
        <w:rPr>
          <w:lang w:val="en-GB"/>
        </w:rPr>
        <w:t>0.3</w:t>
      </w:r>
      <w:r w:rsidR="000A5250">
        <w:rPr>
          <w:lang w:val="en-GB"/>
        </w:rPr>
        <w:t>–</w:t>
      </w:r>
      <w:r w:rsidR="000C5B88" w:rsidRPr="000C5B88">
        <w:rPr>
          <w:lang w:val="en-GB"/>
        </w:rPr>
        <w:t>0.4</w:t>
      </w:r>
      <w:r w:rsidR="00D91242">
        <w:rPr>
          <w:lang w:val="en-GB"/>
        </w:rPr>
        <w:t xml:space="preserve"> </w:t>
      </w:r>
      <w:r w:rsidR="00537947" w:rsidRPr="000C5B88">
        <w:rPr>
          <w:lang w:val="en-GB"/>
        </w:rPr>
        <w:t xml:space="preserve">%. </w:t>
      </w:r>
      <w:r w:rsidR="00537947">
        <w:rPr>
          <w:lang w:val="en-GB"/>
        </w:rPr>
        <w:t xml:space="preserve">Among the selected bark </w:t>
      </w:r>
      <w:r w:rsidR="000C5B88">
        <w:rPr>
          <w:lang w:val="en-GB"/>
        </w:rPr>
        <w:t>samples,</w:t>
      </w:r>
      <w:r w:rsidR="00537947">
        <w:rPr>
          <w:lang w:val="en-GB"/>
        </w:rPr>
        <w:t xml:space="preserve"> </w:t>
      </w:r>
      <w:r w:rsidR="00900894">
        <w:rPr>
          <w:lang w:val="en-GB"/>
        </w:rPr>
        <w:t>s</w:t>
      </w:r>
      <w:r w:rsidR="00537947">
        <w:rPr>
          <w:lang w:val="en-GB"/>
        </w:rPr>
        <w:t>pruce bark has the lowest N content (</w:t>
      </w:r>
      <w:r w:rsidR="000C5B88">
        <w:rPr>
          <w:lang w:val="en-GB"/>
        </w:rPr>
        <w:t>0.3</w:t>
      </w:r>
      <w:r w:rsidR="00D91242">
        <w:rPr>
          <w:lang w:val="en-GB"/>
        </w:rPr>
        <w:t xml:space="preserve"> </w:t>
      </w:r>
      <w:r w:rsidR="00537947">
        <w:rPr>
          <w:lang w:val="en-GB"/>
        </w:rPr>
        <w:t>%)</w:t>
      </w:r>
      <w:r w:rsidR="00B65EBF">
        <w:rPr>
          <w:lang w:val="en-GB"/>
        </w:rPr>
        <w:t>;</w:t>
      </w:r>
      <w:r w:rsidR="00537947">
        <w:rPr>
          <w:lang w:val="en-GB"/>
        </w:rPr>
        <w:t xml:space="preserve"> </w:t>
      </w:r>
      <w:r w:rsidR="00900894">
        <w:rPr>
          <w:lang w:val="en-GB"/>
        </w:rPr>
        <w:t>the obtained result</w:t>
      </w:r>
      <w:r w:rsidR="00537947">
        <w:rPr>
          <w:lang w:val="en-GB"/>
        </w:rPr>
        <w:t xml:space="preserve"> is in agreement with </w:t>
      </w:r>
      <w:r w:rsidR="00773A6F">
        <w:rPr>
          <w:lang w:val="en-GB"/>
        </w:rPr>
        <w:t>literature data</w:t>
      </w:r>
      <w:r w:rsidR="00900894">
        <w:rPr>
          <w:lang w:val="en-GB"/>
        </w:rPr>
        <w:t xml:space="preserve"> (Singhal </w:t>
      </w:r>
      <w:r w:rsidR="00295826">
        <w:rPr>
          <w:lang w:val="en-GB"/>
        </w:rPr>
        <w:t>et al.</w:t>
      </w:r>
      <w:r w:rsidR="006A7406">
        <w:rPr>
          <w:lang w:val="en-GB"/>
        </w:rPr>
        <w:t>,</w:t>
      </w:r>
      <w:r w:rsidR="00900894">
        <w:rPr>
          <w:lang w:val="en-GB"/>
        </w:rPr>
        <w:t xml:space="preserve"> 2023</w:t>
      </w:r>
      <w:r w:rsidR="00900894" w:rsidRPr="00294CC9">
        <w:rPr>
          <w:lang w:val="en-GB"/>
        </w:rPr>
        <w:t>)</w:t>
      </w:r>
      <w:r w:rsidR="00537947" w:rsidRPr="00294CC9">
        <w:rPr>
          <w:lang w:val="en-GB"/>
        </w:rPr>
        <w:t>.</w:t>
      </w:r>
      <w:r w:rsidR="00900894" w:rsidRPr="00294CC9">
        <w:rPr>
          <w:lang w:val="en-GB"/>
        </w:rPr>
        <w:t xml:space="preserve"> </w:t>
      </w:r>
      <w:r w:rsidR="00E143D7">
        <w:t>The N content of the studied bark samples did not change</w:t>
      </w:r>
      <w:r w:rsidR="00B65EBF">
        <w:t xml:space="preserve"> significantly</w:t>
      </w:r>
      <w:r w:rsidR="00E143D7">
        <w:t xml:space="preserve"> </w:t>
      </w:r>
      <w:r w:rsidR="00281F3C">
        <w:t xml:space="preserve">or slightly increased </w:t>
      </w:r>
      <w:r w:rsidR="00E143D7">
        <w:t>as an effect of water leaching.</w:t>
      </w:r>
    </w:p>
    <w:p w14:paraId="4D9B642D" w14:textId="722FD053" w:rsidR="00E143D7" w:rsidRDefault="008D6F7A" w:rsidP="00600535">
      <w:pPr>
        <w:pStyle w:val="CETBodytext"/>
        <w:rPr>
          <w:lang w:val="en-GB"/>
        </w:rPr>
      </w:pPr>
      <w:r>
        <w:rPr>
          <w:lang w:val="en-GB"/>
        </w:rPr>
        <w:t>As a result of water leaching</w:t>
      </w:r>
      <w:r w:rsidR="00450422">
        <w:rPr>
          <w:lang w:val="en-GB"/>
        </w:rPr>
        <w:t>,</w:t>
      </w:r>
      <w:r>
        <w:rPr>
          <w:lang w:val="en-GB"/>
        </w:rPr>
        <w:t xml:space="preserve"> </w:t>
      </w:r>
      <w:r w:rsidR="00805D70">
        <w:rPr>
          <w:lang w:val="en-GB"/>
        </w:rPr>
        <w:t xml:space="preserve">the same tendencies </w:t>
      </w:r>
      <w:r>
        <w:rPr>
          <w:lang w:val="en-GB"/>
        </w:rPr>
        <w:t xml:space="preserve">(decreased C and </w:t>
      </w:r>
      <w:r w:rsidR="00D45452">
        <w:rPr>
          <w:lang w:val="en-GB"/>
        </w:rPr>
        <w:t>H</w:t>
      </w:r>
      <w:r>
        <w:rPr>
          <w:lang w:val="en-GB"/>
        </w:rPr>
        <w:t xml:space="preserve"> content) w</w:t>
      </w:r>
      <w:r w:rsidR="00805D70">
        <w:rPr>
          <w:lang w:val="en-GB"/>
        </w:rPr>
        <w:t>ere</w:t>
      </w:r>
      <w:r>
        <w:rPr>
          <w:lang w:val="en-GB"/>
        </w:rPr>
        <w:t xml:space="preserve"> reported on spruce bark </w:t>
      </w:r>
      <w:r w:rsidR="00450422">
        <w:rPr>
          <w:lang w:val="en-GB"/>
        </w:rPr>
        <w:t xml:space="preserve">by </w:t>
      </w:r>
      <w:r>
        <w:rPr>
          <w:lang w:val="en-GB"/>
        </w:rPr>
        <w:t>Sing</w:t>
      </w:r>
      <w:r w:rsidR="00450422">
        <w:rPr>
          <w:lang w:val="en-GB"/>
        </w:rPr>
        <w:t>h</w:t>
      </w:r>
      <w:r>
        <w:rPr>
          <w:lang w:val="en-GB"/>
        </w:rPr>
        <w:t xml:space="preserve">al </w:t>
      </w:r>
      <w:r w:rsidR="00450422">
        <w:rPr>
          <w:lang w:val="en-GB"/>
        </w:rPr>
        <w:t>et al. (</w:t>
      </w:r>
      <w:r>
        <w:rPr>
          <w:lang w:val="en-GB"/>
        </w:rPr>
        <w:t>20</w:t>
      </w:r>
      <w:r w:rsidR="005E3FEB">
        <w:rPr>
          <w:lang w:val="en-GB"/>
        </w:rPr>
        <w:t>2</w:t>
      </w:r>
      <w:r>
        <w:rPr>
          <w:lang w:val="en-GB"/>
        </w:rPr>
        <w:t xml:space="preserve">3), while </w:t>
      </w:r>
      <w:r w:rsidR="00805D70">
        <w:rPr>
          <w:lang w:val="en-GB"/>
        </w:rPr>
        <w:t xml:space="preserve">increased C and decreased </w:t>
      </w:r>
      <w:r w:rsidR="001819F3">
        <w:rPr>
          <w:lang w:val="en-GB"/>
        </w:rPr>
        <w:t>O</w:t>
      </w:r>
      <w:r w:rsidR="00805D70">
        <w:rPr>
          <w:lang w:val="en-GB"/>
        </w:rPr>
        <w:t xml:space="preserve"> content was measured on water</w:t>
      </w:r>
      <w:r w:rsidR="00150F91">
        <w:rPr>
          <w:lang w:val="en-GB"/>
        </w:rPr>
        <w:t>-</w:t>
      </w:r>
      <w:r w:rsidR="00805D70">
        <w:rPr>
          <w:lang w:val="en-GB"/>
        </w:rPr>
        <w:t>leached po</w:t>
      </w:r>
      <w:r w:rsidR="00E37611">
        <w:rPr>
          <w:lang w:val="en-GB"/>
        </w:rPr>
        <w:t>ngamia pods</w:t>
      </w:r>
      <w:r w:rsidR="00B82867">
        <w:rPr>
          <w:lang w:val="en-GB"/>
        </w:rPr>
        <w:t xml:space="preserve"> (Fu </w:t>
      </w:r>
      <w:r w:rsidR="00EC1E61">
        <w:rPr>
          <w:lang w:val="en-GB"/>
        </w:rPr>
        <w:t>et al.</w:t>
      </w:r>
      <w:r w:rsidR="006A7406">
        <w:rPr>
          <w:lang w:val="en-GB"/>
        </w:rPr>
        <w:t>,</w:t>
      </w:r>
      <w:r w:rsidR="00B82867">
        <w:rPr>
          <w:lang w:val="en-GB"/>
        </w:rPr>
        <w:t xml:space="preserve"> 2021)</w:t>
      </w:r>
      <w:r w:rsidR="00E143D7">
        <w:rPr>
          <w:lang w:val="en-GB"/>
        </w:rPr>
        <w:t>.</w:t>
      </w:r>
      <w:r w:rsidR="00E37611">
        <w:rPr>
          <w:lang w:val="en-GB"/>
        </w:rPr>
        <w:t xml:space="preserve"> </w:t>
      </w:r>
      <w:r w:rsidR="001819F3">
        <w:rPr>
          <w:lang w:val="en-GB"/>
        </w:rPr>
        <w:t>These</w:t>
      </w:r>
      <w:r w:rsidR="00E143D7">
        <w:rPr>
          <w:lang w:val="en-GB"/>
        </w:rPr>
        <w:t xml:space="preserve"> </w:t>
      </w:r>
      <w:r w:rsidR="001819F3">
        <w:rPr>
          <w:lang w:val="en-GB"/>
        </w:rPr>
        <w:t>observations</w:t>
      </w:r>
      <w:r w:rsidR="00E37611">
        <w:rPr>
          <w:lang w:val="en-GB"/>
        </w:rPr>
        <w:t xml:space="preserve"> highlight that the</w:t>
      </w:r>
      <w:r w:rsidR="00B82867">
        <w:rPr>
          <w:lang w:val="en-GB"/>
        </w:rPr>
        <w:t xml:space="preserve"> composition of</w:t>
      </w:r>
      <w:r w:rsidR="001819F3">
        <w:rPr>
          <w:lang w:val="en-GB"/>
        </w:rPr>
        <w:t xml:space="preserve"> the</w:t>
      </w:r>
      <w:r w:rsidR="00B82867">
        <w:rPr>
          <w:lang w:val="en-GB"/>
        </w:rPr>
        <w:t xml:space="preserve"> different</w:t>
      </w:r>
      <w:r w:rsidR="00E37611">
        <w:rPr>
          <w:lang w:val="en-GB"/>
        </w:rPr>
        <w:t xml:space="preserve"> type</w:t>
      </w:r>
      <w:r w:rsidR="00B82867">
        <w:rPr>
          <w:lang w:val="en-GB"/>
        </w:rPr>
        <w:t>s</w:t>
      </w:r>
      <w:r w:rsidR="00E37611">
        <w:rPr>
          <w:lang w:val="en-GB"/>
        </w:rPr>
        <w:t xml:space="preserve"> of biomass </w:t>
      </w:r>
      <w:r w:rsidR="00BC796C">
        <w:rPr>
          <w:lang w:val="en-GB"/>
        </w:rPr>
        <w:t xml:space="preserve">affect </w:t>
      </w:r>
      <w:r w:rsidR="00E143D7">
        <w:rPr>
          <w:lang w:val="en-GB"/>
        </w:rPr>
        <w:t>the composition</w:t>
      </w:r>
      <w:r w:rsidR="00BC796C">
        <w:rPr>
          <w:lang w:val="en-GB"/>
        </w:rPr>
        <w:t xml:space="preserve"> and amount</w:t>
      </w:r>
      <w:r w:rsidR="00E143D7">
        <w:rPr>
          <w:lang w:val="en-GB"/>
        </w:rPr>
        <w:t xml:space="preserve"> of leachable organic compounds and </w:t>
      </w:r>
      <w:r w:rsidR="00363143">
        <w:rPr>
          <w:lang w:val="en-GB"/>
        </w:rPr>
        <w:t xml:space="preserve">hence </w:t>
      </w:r>
      <w:r w:rsidR="00BC2E71">
        <w:rPr>
          <w:lang w:val="en-GB"/>
        </w:rPr>
        <w:t xml:space="preserve">the </w:t>
      </w:r>
      <w:r w:rsidR="001819F3">
        <w:rPr>
          <w:lang w:val="en-GB"/>
        </w:rPr>
        <w:t xml:space="preserve">elemental composition </w:t>
      </w:r>
      <w:r w:rsidR="00BC796C">
        <w:rPr>
          <w:lang w:val="en-GB"/>
        </w:rPr>
        <w:t>of the leached biomass</w:t>
      </w:r>
      <w:r w:rsidR="00E37611">
        <w:rPr>
          <w:lang w:val="en-GB"/>
        </w:rPr>
        <w:t xml:space="preserve">. </w:t>
      </w:r>
    </w:p>
    <w:p w14:paraId="016A4BA0" w14:textId="2825CFA3" w:rsidR="000E6D76" w:rsidRDefault="00805D70" w:rsidP="00600535">
      <w:pPr>
        <w:pStyle w:val="CETBodytext"/>
        <w:rPr>
          <w:lang w:val="en-GB"/>
        </w:rPr>
      </w:pPr>
      <w:r>
        <w:rPr>
          <w:lang w:val="en-GB"/>
        </w:rPr>
        <w:t xml:space="preserve"> </w:t>
      </w:r>
    </w:p>
    <w:p w14:paraId="09F22C13" w14:textId="34089468" w:rsidR="00916933" w:rsidRDefault="00B41647" w:rsidP="00600535">
      <w:pPr>
        <w:pStyle w:val="CETBodytext"/>
        <w:rPr>
          <w:lang w:val="en-GB"/>
        </w:rPr>
      </w:pPr>
      <w:r>
        <w:rPr>
          <w:noProof/>
        </w:rPr>
        <w:drawing>
          <wp:inline distT="0" distB="0" distL="0" distR="0" wp14:anchorId="22622F7C" wp14:editId="27080717">
            <wp:extent cx="5130165" cy="31074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0536" cy="3125813"/>
                    </a:xfrm>
                    <a:prstGeom prst="rect">
                      <a:avLst/>
                    </a:prstGeom>
                    <a:noFill/>
                  </pic:spPr>
                </pic:pic>
              </a:graphicData>
            </a:graphic>
          </wp:inline>
        </w:drawing>
      </w:r>
    </w:p>
    <w:p w14:paraId="4BD113A1" w14:textId="770CD1DF" w:rsidR="00F448C8" w:rsidRPr="00BD077D" w:rsidRDefault="00F448C8" w:rsidP="00F448C8">
      <w:pPr>
        <w:pStyle w:val="CETCaption"/>
      </w:pPr>
      <w:r w:rsidRPr="00BD077D">
        <w:rPr>
          <w:rStyle w:val="CETCaptionCarattere"/>
          <w:i/>
        </w:rPr>
        <w:t xml:space="preserve">Figure </w:t>
      </w:r>
      <w:r w:rsidR="007B2E72">
        <w:rPr>
          <w:rStyle w:val="CETCaptionCarattere"/>
          <w:i/>
        </w:rPr>
        <w:t>2</w:t>
      </w:r>
      <w:r w:rsidRPr="00BD077D">
        <w:rPr>
          <w:rStyle w:val="CETCaptionCarattere"/>
          <w:i/>
        </w:rPr>
        <w:t xml:space="preserve">: </w:t>
      </w:r>
      <w:r>
        <w:rPr>
          <w:rStyle w:val="CETCaptionCarattere"/>
          <w:i/>
        </w:rPr>
        <w:t>Results of the elemental analysis of the raw and leached bark samples</w:t>
      </w:r>
      <w:r w:rsidR="00E143D7">
        <w:t xml:space="preserve">. </w:t>
      </w:r>
      <w:r w:rsidR="00E157D3">
        <w:t>(</w:t>
      </w:r>
      <w:r w:rsidR="00E143D7">
        <w:t>a</w:t>
      </w:r>
      <w:r w:rsidR="00E157D3">
        <w:t>)</w:t>
      </w:r>
      <w:r w:rsidR="00E143D7">
        <w:t xml:space="preserve"> </w:t>
      </w:r>
      <w:r w:rsidR="00E157D3">
        <w:t>C</w:t>
      </w:r>
      <w:r w:rsidR="00E143D7">
        <w:t xml:space="preserve">arbon content, </w:t>
      </w:r>
      <w:r w:rsidR="00E157D3">
        <w:t>(</w:t>
      </w:r>
      <w:r w:rsidR="00E143D7">
        <w:t>b</w:t>
      </w:r>
      <w:r w:rsidR="00E157D3">
        <w:t>)</w:t>
      </w:r>
      <w:r w:rsidR="00E143D7">
        <w:t xml:space="preserve"> hydrogen content, </w:t>
      </w:r>
      <w:r w:rsidR="00E157D3">
        <w:t>(</w:t>
      </w:r>
      <w:r w:rsidR="00E143D7">
        <w:t>c</w:t>
      </w:r>
      <w:r w:rsidR="00E157D3">
        <w:t>)</w:t>
      </w:r>
      <w:r w:rsidR="00E143D7">
        <w:t xml:space="preserve"> nitrogen content, </w:t>
      </w:r>
      <w:r w:rsidR="00E157D3">
        <w:t>(</w:t>
      </w:r>
      <w:r w:rsidR="00E143D7">
        <w:t>d</w:t>
      </w:r>
      <w:r w:rsidR="00E157D3">
        <w:t>)</w:t>
      </w:r>
      <w:r w:rsidR="00E143D7">
        <w:t xml:space="preserve"> oxygen content (calculated by difference). Values calculated on </w:t>
      </w:r>
      <w:r w:rsidR="00E157D3">
        <w:t xml:space="preserve">dry </w:t>
      </w:r>
      <w:r w:rsidR="00E143D7">
        <w:t>ash free basis.</w:t>
      </w:r>
    </w:p>
    <w:p w14:paraId="1F96CA21" w14:textId="7AB91552" w:rsidR="00600535" w:rsidRDefault="00D93923" w:rsidP="00FA5F5F">
      <w:pPr>
        <w:pStyle w:val="CETheadingx"/>
      </w:pPr>
      <w:r>
        <w:t xml:space="preserve">Effect of leaching on the thermogravimetric properties of bark </w:t>
      </w:r>
      <w:r w:rsidR="007A3642">
        <w:t>samples</w:t>
      </w:r>
    </w:p>
    <w:p w14:paraId="69FE6C7A" w14:textId="49C23269" w:rsidR="001040BF" w:rsidRDefault="004346F4" w:rsidP="001040BF">
      <w:pPr>
        <w:pStyle w:val="CETBodytext"/>
      </w:pPr>
      <w:r>
        <w:t>The</w:t>
      </w:r>
      <w:r w:rsidR="00DF5C5D">
        <w:t xml:space="preserve"> TG and DTG curves of the raw bark sa</w:t>
      </w:r>
      <w:r w:rsidR="00AB1041">
        <w:t xml:space="preserve">mples are compared </w:t>
      </w:r>
      <w:r w:rsidR="007A3642">
        <w:t xml:space="preserve">in </w:t>
      </w:r>
      <w:r w:rsidR="00AB1041">
        <w:t>Figure 3a.</w:t>
      </w:r>
      <w:r w:rsidR="00DF5C5D">
        <w:t xml:space="preserve"> </w:t>
      </w:r>
      <w:r w:rsidR="00915CF0">
        <w:t xml:space="preserve">The small weight loss </w:t>
      </w:r>
      <w:r w:rsidR="00E06B53">
        <w:t>below 150</w:t>
      </w:r>
      <w:r w:rsidR="00DA0749">
        <w:t> </w:t>
      </w:r>
      <w:r w:rsidR="00E06B53">
        <w:t>°C indicates the evaporation of the moisture content of the sampl</w:t>
      </w:r>
      <w:r w:rsidR="00325C53">
        <w:t xml:space="preserve">es. The evaporation of extractives </w:t>
      </w:r>
      <w:r w:rsidR="0027151F">
        <w:t>start</w:t>
      </w:r>
      <w:r w:rsidR="00403D15">
        <w:t>ed</w:t>
      </w:r>
      <w:r w:rsidR="0027151F">
        <w:t xml:space="preserve"> at around </w:t>
      </w:r>
      <w:r w:rsidR="00535892">
        <w:t xml:space="preserve">180 </w:t>
      </w:r>
      <w:r w:rsidR="0027151F">
        <w:t>°C from all three type</w:t>
      </w:r>
      <w:r w:rsidR="00D55C01">
        <w:t>s</w:t>
      </w:r>
      <w:r w:rsidR="0027151F">
        <w:t xml:space="preserve"> of barks</w:t>
      </w:r>
      <w:r w:rsidR="00535892">
        <w:t xml:space="preserve"> resulting in a </w:t>
      </w:r>
      <w:r w:rsidR="00F66D81">
        <w:t>small</w:t>
      </w:r>
      <w:r w:rsidR="00535892">
        <w:t xml:space="preserve"> shoulder on the DTG curves</w:t>
      </w:r>
      <w:r w:rsidR="0027151F">
        <w:t xml:space="preserve">. </w:t>
      </w:r>
      <w:r w:rsidR="000D038E">
        <w:t>In the next step</w:t>
      </w:r>
      <w:r w:rsidR="00961450">
        <w:t>,</w:t>
      </w:r>
      <w:r w:rsidR="000D038E">
        <w:t xml:space="preserve"> t</w:t>
      </w:r>
      <w:r w:rsidR="0052329B">
        <w:t xml:space="preserve">he thermal decomposition of hemicellulose </w:t>
      </w:r>
      <w:r w:rsidR="000D038E">
        <w:t>beg</w:t>
      </w:r>
      <w:r w:rsidR="009D1B43">
        <w:t>a</w:t>
      </w:r>
      <w:r w:rsidR="000D038E">
        <w:t>n</w:t>
      </w:r>
      <w:r w:rsidR="0052329B">
        <w:t xml:space="preserve">, </w:t>
      </w:r>
      <w:r w:rsidR="000D038E">
        <w:t>along with</w:t>
      </w:r>
      <w:r w:rsidR="0052329B">
        <w:t xml:space="preserve"> further evaporation and decomposition of extractives. Birch bark ha</w:t>
      </w:r>
      <w:r w:rsidR="009A3AC9">
        <w:t>d</w:t>
      </w:r>
      <w:r w:rsidR="0052329B">
        <w:t xml:space="preserve"> </w:t>
      </w:r>
      <w:r w:rsidR="0038206A">
        <w:t xml:space="preserve">markedly </w:t>
      </w:r>
      <w:r w:rsidR="0052329B">
        <w:t>higher weight loss rate compar</w:t>
      </w:r>
      <w:r w:rsidR="00396E88">
        <w:t>ed</w:t>
      </w:r>
      <w:r w:rsidR="0052329B">
        <w:t xml:space="preserve"> to spruce bark and pine bark (Figure 3a) in this temperature range (250</w:t>
      </w:r>
      <w:r w:rsidR="000A5250">
        <w:t>–</w:t>
      </w:r>
      <w:r w:rsidR="0052329B">
        <w:t>330</w:t>
      </w:r>
      <w:r w:rsidR="000A5250">
        <w:t xml:space="preserve"> </w:t>
      </w:r>
      <w:r w:rsidR="0052329B">
        <w:t>°C)</w:t>
      </w:r>
      <w:r w:rsidR="000D038E">
        <w:t xml:space="preserve">, which </w:t>
      </w:r>
      <w:r w:rsidR="008E62B7">
        <w:t>can be explained by the high suberin content of birch bark</w:t>
      </w:r>
      <w:r w:rsidR="006A366A">
        <w:t xml:space="preserve"> </w:t>
      </w:r>
      <w:r w:rsidR="006A366A">
        <w:lastRenderedPageBreak/>
        <w:t>(Sjöström, 1993</w:t>
      </w:r>
      <w:r w:rsidR="00C5748B">
        <w:t>; Miranda</w:t>
      </w:r>
      <w:r w:rsidR="00B7162B">
        <w:t xml:space="preserve"> et al.,</w:t>
      </w:r>
      <w:r w:rsidR="00C5748B">
        <w:t xml:space="preserve"> 2013</w:t>
      </w:r>
      <w:r w:rsidR="006A366A">
        <w:t>)</w:t>
      </w:r>
      <w:r w:rsidR="008E62B7">
        <w:t xml:space="preserve">. Suberins are complex polyesters, which </w:t>
      </w:r>
      <w:r w:rsidR="00D55C01">
        <w:t>probably</w:t>
      </w:r>
      <w:r w:rsidR="008E62B7">
        <w:t xml:space="preserve"> decompose in this temperature range.</w:t>
      </w:r>
      <w:r w:rsidR="00D55C01">
        <w:t xml:space="preserve"> </w:t>
      </w:r>
      <w:r w:rsidR="0052329B">
        <w:t>Cellulose decompose</w:t>
      </w:r>
      <w:r w:rsidR="00DD0439">
        <w:t>s</w:t>
      </w:r>
      <w:r w:rsidR="0052329B">
        <w:t xml:space="preserve"> in a narrow temperature range and </w:t>
      </w:r>
      <w:r w:rsidR="000D038E">
        <w:t xml:space="preserve">the </w:t>
      </w:r>
      <w:r w:rsidR="0052329B">
        <w:t>DTG peak at the maximal rate of thermal decomposition of bark samples (at around 380</w:t>
      </w:r>
      <w:r w:rsidR="000A5250">
        <w:t xml:space="preserve"> </w:t>
      </w:r>
      <w:r w:rsidR="0052329B">
        <w:t>°C</w:t>
      </w:r>
      <w:r w:rsidR="00034267">
        <w:t>)</w:t>
      </w:r>
      <w:r w:rsidR="00BE229E">
        <w:t xml:space="preserve"> can be attributed</w:t>
      </w:r>
      <w:r w:rsidR="0052329B">
        <w:t xml:space="preserve"> </w:t>
      </w:r>
      <w:r w:rsidR="00BE229E">
        <w:t xml:space="preserve">mainly to </w:t>
      </w:r>
      <w:r w:rsidR="0052329B">
        <w:t xml:space="preserve">the decomposition of cellulose. The </w:t>
      </w:r>
      <w:r w:rsidR="00667A98">
        <w:t>catalytic effect of alkali ions</w:t>
      </w:r>
      <w:r w:rsidR="008E2638">
        <w:t xml:space="preserve">, especially </w:t>
      </w:r>
      <w:r w:rsidR="00D377A9">
        <w:t>potassium ion</w:t>
      </w:r>
      <w:r w:rsidR="008E2638">
        <w:t xml:space="preserve"> </w:t>
      </w:r>
      <w:r w:rsidR="00667A98">
        <w:t xml:space="preserve">on the thermal decomposition of cellulose is known </w:t>
      </w:r>
      <w:r w:rsidR="000D038E">
        <w:t xml:space="preserve">from the literature </w:t>
      </w:r>
      <w:r w:rsidR="00667A98">
        <w:t xml:space="preserve">(DeGroot </w:t>
      </w:r>
      <w:r w:rsidR="00EC1E61">
        <w:t xml:space="preserve">and </w:t>
      </w:r>
      <w:r w:rsidR="00EC1E61" w:rsidRPr="00EC1E61">
        <w:t>Shafizadeh</w:t>
      </w:r>
      <w:r w:rsidR="006A7406">
        <w:t>,</w:t>
      </w:r>
      <w:r w:rsidR="00667A98">
        <w:t xml:space="preserve"> 1984</w:t>
      </w:r>
      <w:r w:rsidR="0096307D">
        <w:t>; Barta-Rajnai, 2018</w:t>
      </w:r>
      <w:r w:rsidR="00667A98">
        <w:t xml:space="preserve">). The results of the ICP measurements </w:t>
      </w:r>
      <w:r w:rsidR="00546C15">
        <w:t xml:space="preserve">in </w:t>
      </w:r>
      <w:r w:rsidR="00667A98">
        <w:t>Table 2</w:t>
      </w:r>
      <w:r w:rsidR="008E2638">
        <w:t xml:space="preserve"> </w:t>
      </w:r>
      <w:r w:rsidR="00D377A9">
        <w:t>show that pine bark ha</w:t>
      </w:r>
      <w:r w:rsidR="00095A56">
        <w:t>d</w:t>
      </w:r>
      <w:r w:rsidR="00D377A9">
        <w:t xml:space="preserve"> the highest K content, </w:t>
      </w:r>
      <w:r w:rsidR="00095A56">
        <w:t xml:space="preserve">while </w:t>
      </w:r>
      <w:r w:rsidR="00D377A9">
        <w:t xml:space="preserve">birch bark </w:t>
      </w:r>
      <w:r w:rsidR="00095A56">
        <w:t xml:space="preserve">had </w:t>
      </w:r>
      <w:r w:rsidR="00D377A9">
        <w:t xml:space="preserve">the </w:t>
      </w:r>
      <w:r w:rsidR="00BE229E">
        <w:t>lowest</w:t>
      </w:r>
      <w:r w:rsidR="00A94BE8">
        <w:t xml:space="preserve"> one</w:t>
      </w:r>
      <w:r w:rsidR="00BE229E">
        <w:t xml:space="preserve"> </w:t>
      </w:r>
      <w:r w:rsidR="00D377A9">
        <w:t xml:space="preserve">among the studied bark samples. The different K content is reflected in the temperatures </w:t>
      </w:r>
      <w:r w:rsidR="00C72372">
        <w:t>belonging to the DTG</w:t>
      </w:r>
      <w:r w:rsidR="00C72372" w:rsidRPr="00D377A9">
        <w:rPr>
          <w:vertAlign w:val="subscript"/>
        </w:rPr>
        <w:t>max</w:t>
      </w:r>
      <w:r w:rsidR="00C72372">
        <w:t xml:space="preserve"> values </w:t>
      </w:r>
      <w:r w:rsidR="00D377A9">
        <w:t>of the raw barks, which increas</w:t>
      </w:r>
      <w:r w:rsidR="00F8435E">
        <w:t>ed</w:t>
      </w:r>
      <w:r w:rsidR="00D377A9">
        <w:t xml:space="preserve"> with the decreasing K concentration in the order of PB&lt;SB&lt;BB. Lignin decompose</w:t>
      </w:r>
      <w:r w:rsidR="00F8435E">
        <w:t>d</w:t>
      </w:r>
      <w:r w:rsidR="00D377A9">
        <w:t xml:space="preserve"> in a wide temperature range</w:t>
      </w:r>
      <w:r w:rsidR="001040BF">
        <w:t>.</w:t>
      </w:r>
      <w:r w:rsidR="00D377A9">
        <w:t xml:space="preserve"> </w:t>
      </w:r>
      <w:r w:rsidR="001040BF">
        <w:t>The shoulder on the DTG curves of pine bark and spruce bark</w:t>
      </w:r>
      <w:r w:rsidR="00045A8E">
        <w:t>,</w:t>
      </w:r>
      <w:r w:rsidR="001040BF">
        <w:t xml:space="preserve"> and the small peak on the DTG curve of birch bark </w:t>
      </w:r>
      <w:r w:rsidR="00045A8E">
        <w:t xml:space="preserve">above </w:t>
      </w:r>
      <w:r w:rsidR="00D377A9">
        <w:t>400</w:t>
      </w:r>
      <w:r w:rsidR="00410CBC">
        <w:t xml:space="preserve"> </w:t>
      </w:r>
      <w:r w:rsidR="00D377A9">
        <w:t xml:space="preserve">°C </w:t>
      </w:r>
      <w:r w:rsidR="00045A8E">
        <w:t>can be ascribe</w:t>
      </w:r>
      <w:r w:rsidR="0038206A">
        <w:t>d</w:t>
      </w:r>
      <w:r w:rsidR="00045A8E">
        <w:t xml:space="preserve"> to </w:t>
      </w:r>
      <w:r w:rsidR="00EF03AE">
        <w:t>the decomposi</w:t>
      </w:r>
      <w:r w:rsidR="00045A8E">
        <w:t>tion of</w:t>
      </w:r>
      <w:r w:rsidR="00EF03AE">
        <w:t xml:space="preserve"> lignin</w:t>
      </w:r>
      <w:r w:rsidR="001040BF">
        <w:t>.</w:t>
      </w:r>
      <w:r w:rsidR="003F6CD8">
        <w:t xml:space="preserve"> </w:t>
      </w:r>
      <w:r w:rsidR="00045A8E">
        <w:t xml:space="preserve">Table 2 shows the </w:t>
      </w:r>
      <w:r w:rsidR="00417554">
        <w:t>volatile matter (</w:t>
      </w:r>
      <w:r w:rsidR="001040BF">
        <w:t>VM</w:t>
      </w:r>
      <w:r w:rsidR="00417554">
        <w:t>)</w:t>
      </w:r>
      <w:r w:rsidR="001040BF">
        <w:t xml:space="preserve"> and </w:t>
      </w:r>
      <w:r w:rsidR="00417554">
        <w:t>fixed carbon (</w:t>
      </w:r>
      <w:r w:rsidR="001040BF">
        <w:t>FC</w:t>
      </w:r>
      <w:r w:rsidR="00417554">
        <w:t>)</w:t>
      </w:r>
      <w:r w:rsidR="001040BF">
        <w:t xml:space="preserve"> data calculated </w:t>
      </w:r>
      <w:r w:rsidR="0057377E">
        <w:t>from</w:t>
      </w:r>
      <w:r w:rsidR="001040BF">
        <w:t xml:space="preserve"> the </w:t>
      </w:r>
      <w:r w:rsidR="00100976">
        <w:t xml:space="preserve">results of </w:t>
      </w:r>
      <w:r w:rsidR="001040BF">
        <w:t>TGA measurement</w:t>
      </w:r>
      <w:r w:rsidR="00AB1041">
        <w:t>s and ash content data</w:t>
      </w:r>
      <w:r w:rsidR="001040BF">
        <w:t>.</w:t>
      </w:r>
      <w:r w:rsidR="00AB1041">
        <w:t xml:space="preserve"> Comparing the three </w:t>
      </w:r>
      <w:r w:rsidR="00C24EBC">
        <w:t xml:space="preserve">studied </w:t>
      </w:r>
      <w:r w:rsidR="00AB1041">
        <w:t>bark fee</w:t>
      </w:r>
      <w:bookmarkStart w:id="2" w:name="_GoBack"/>
      <w:bookmarkEnd w:id="2"/>
      <w:r w:rsidR="00AB1041">
        <w:t>dstock</w:t>
      </w:r>
      <w:r w:rsidR="005D1C54">
        <w:t>s</w:t>
      </w:r>
      <w:r w:rsidR="00AB1041">
        <w:t>, pine bark and spruce bark ha</w:t>
      </w:r>
      <w:r w:rsidR="00100976">
        <w:t>d</w:t>
      </w:r>
      <w:r w:rsidR="00AB1041">
        <w:t xml:space="preserve"> similar FC content (25</w:t>
      </w:r>
      <w:r w:rsidR="00410CBC">
        <w:t>–</w:t>
      </w:r>
      <w:r w:rsidR="00AB1041">
        <w:t>23</w:t>
      </w:r>
      <w:r w:rsidR="00D91242">
        <w:t xml:space="preserve"> </w:t>
      </w:r>
      <w:r w:rsidR="00AB1041">
        <w:t xml:space="preserve">%), while that of the birch bark </w:t>
      </w:r>
      <w:r w:rsidR="00FC374E">
        <w:t xml:space="preserve">was </w:t>
      </w:r>
      <w:r w:rsidR="00AB1041">
        <w:t>significantly less (17</w:t>
      </w:r>
      <w:r w:rsidR="007305F6">
        <w:t xml:space="preserve"> </w:t>
      </w:r>
      <w:r w:rsidR="00AB1041">
        <w:t>%)</w:t>
      </w:r>
      <w:r w:rsidR="0038206A">
        <w:t>, which can be related to the different lignin content</w:t>
      </w:r>
      <w:r w:rsidR="00FC374E">
        <w:t>s</w:t>
      </w:r>
      <w:r w:rsidR="00AB1041">
        <w:t>.</w:t>
      </w:r>
    </w:p>
    <w:p w14:paraId="21145EB9" w14:textId="77777777" w:rsidR="00385F5D" w:rsidRDefault="00385F5D" w:rsidP="001040BF">
      <w:pPr>
        <w:pStyle w:val="CETBodytext"/>
      </w:pPr>
    </w:p>
    <w:p w14:paraId="2FD94970" w14:textId="04D3A2BF" w:rsidR="00D93923" w:rsidRDefault="002A1BA6" w:rsidP="00D93923">
      <w:pPr>
        <w:pStyle w:val="CETBodytext"/>
      </w:pPr>
      <w:r>
        <w:rPr>
          <w:noProof/>
        </w:rPr>
        <w:drawing>
          <wp:inline distT="0" distB="0" distL="0" distR="0" wp14:anchorId="072ACEA1" wp14:editId="64401E94">
            <wp:extent cx="5048148" cy="37242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934" cy="3731495"/>
                    </a:xfrm>
                    <a:prstGeom prst="rect">
                      <a:avLst/>
                    </a:prstGeom>
                    <a:noFill/>
                  </pic:spPr>
                </pic:pic>
              </a:graphicData>
            </a:graphic>
          </wp:inline>
        </w:drawing>
      </w:r>
    </w:p>
    <w:p w14:paraId="0AA9641E" w14:textId="18B2F833" w:rsidR="00D93923" w:rsidRDefault="00D93923" w:rsidP="00D93923">
      <w:pPr>
        <w:pStyle w:val="CETCaption"/>
      </w:pPr>
      <w:r w:rsidRPr="00BD077D">
        <w:rPr>
          <w:rStyle w:val="CETCaptionCarattere"/>
          <w:i/>
        </w:rPr>
        <w:t xml:space="preserve">Figure </w:t>
      </w:r>
      <w:r w:rsidR="00915CF0">
        <w:rPr>
          <w:rStyle w:val="CETCaptionCarattere"/>
          <w:i/>
        </w:rPr>
        <w:t>3</w:t>
      </w:r>
      <w:r w:rsidRPr="00BD077D">
        <w:rPr>
          <w:rStyle w:val="CETCaptionCarattere"/>
          <w:i/>
        </w:rPr>
        <w:t xml:space="preserve">: </w:t>
      </w:r>
      <w:r w:rsidR="00FC29CE">
        <w:rPr>
          <w:rStyle w:val="CETCaptionCarattere"/>
          <w:i/>
        </w:rPr>
        <w:t xml:space="preserve">Comparison of </w:t>
      </w:r>
      <w:r>
        <w:rPr>
          <w:rStyle w:val="CETCaptionCarattere"/>
          <w:i/>
        </w:rPr>
        <w:t xml:space="preserve">TG and DTG curves of the raw and leached </w:t>
      </w:r>
      <w:r w:rsidR="005773B8">
        <w:rPr>
          <w:rStyle w:val="CETCaptionCarattere"/>
          <w:i/>
        </w:rPr>
        <w:t>bark samples in inert atmosphere.</w:t>
      </w:r>
      <w:r w:rsidR="00FC29CE">
        <w:rPr>
          <w:rStyle w:val="CETCaptionCarattere"/>
          <w:i/>
        </w:rPr>
        <w:t xml:space="preserve"> </w:t>
      </w:r>
      <w:r w:rsidR="004B1EAB">
        <w:rPr>
          <w:rStyle w:val="CETCaptionCarattere"/>
          <w:i/>
        </w:rPr>
        <w:br/>
      </w:r>
      <w:r w:rsidR="00F0067C">
        <w:rPr>
          <w:rStyle w:val="CETCaptionCarattere"/>
          <w:i/>
        </w:rPr>
        <w:t xml:space="preserve">(a) </w:t>
      </w:r>
      <w:r w:rsidR="002C042C">
        <w:rPr>
          <w:rStyle w:val="CETCaptionCarattere"/>
          <w:i/>
        </w:rPr>
        <w:t>R</w:t>
      </w:r>
      <w:r w:rsidR="00FC29CE" w:rsidRPr="00A23861">
        <w:rPr>
          <w:rStyle w:val="CETCaptionCarattere"/>
          <w:i/>
        </w:rPr>
        <w:t>aw</w:t>
      </w:r>
      <w:r w:rsidR="005773B8">
        <w:rPr>
          <w:rStyle w:val="CETCaptionCarattere"/>
          <w:i/>
        </w:rPr>
        <w:t xml:space="preserve"> </w:t>
      </w:r>
      <w:r w:rsidR="00FC29CE">
        <w:rPr>
          <w:rStyle w:val="CETCaptionCarattere"/>
          <w:i/>
        </w:rPr>
        <w:t>b</w:t>
      </w:r>
      <w:r>
        <w:rPr>
          <w:rStyle w:val="CETCaptionCarattere"/>
          <w:i/>
        </w:rPr>
        <w:t>irch bark</w:t>
      </w:r>
      <w:r w:rsidR="00FC29CE">
        <w:rPr>
          <w:rStyle w:val="CETCaptionCarattere"/>
          <w:i/>
        </w:rPr>
        <w:t>, raw pine bark, raw spruce bark</w:t>
      </w:r>
      <w:r>
        <w:rPr>
          <w:rStyle w:val="CETCaptionCarattere"/>
          <w:i/>
        </w:rPr>
        <w:t>,</w:t>
      </w:r>
      <w:r w:rsidR="00FC29CE">
        <w:rPr>
          <w:rStyle w:val="CETCaptionCarattere"/>
          <w:i/>
        </w:rPr>
        <w:t xml:space="preserve"> </w:t>
      </w:r>
      <w:r w:rsidR="00F0067C">
        <w:rPr>
          <w:rStyle w:val="CETCaptionCarattere"/>
          <w:i/>
        </w:rPr>
        <w:t xml:space="preserve">(b) </w:t>
      </w:r>
      <w:r w:rsidR="00FC29CE">
        <w:rPr>
          <w:rStyle w:val="CETCaptionCarattere"/>
          <w:i/>
        </w:rPr>
        <w:t>raw and leached birch bark,</w:t>
      </w:r>
      <w:r w:rsidR="00F0067C" w:rsidRPr="00F0067C">
        <w:rPr>
          <w:rStyle w:val="CETCaptionCarattere"/>
          <w:i/>
        </w:rPr>
        <w:t xml:space="preserve"> </w:t>
      </w:r>
      <w:r w:rsidR="00F0067C">
        <w:rPr>
          <w:rStyle w:val="CETCaptionCarattere"/>
          <w:i/>
        </w:rPr>
        <w:t>(c)</w:t>
      </w:r>
      <w:r>
        <w:rPr>
          <w:rStyle w:val="CETCaptionCarattere"/>
          <w:i/>
        </w:rPr>
        <w:t xml:space="preserve"> </w:t>
      </w:r>
      <w:r w:rsidR="00FC29CE">
        <w:rPr>
          <w:rStyle w:val="CETCaptionCarattere"/>
          <w:i/>
        </w:rPr>
        <w:t xml:space="preserve">raw and leached </w:t>
      </w:r>
      <w:r>
        <w:rPr>
          <w:rStyle w:val="CETCaptionCarattere"/>
          <w:i/>
        </w:rPr>
        <w:t xml:space="preserve">pine bark and </w:t>
      </w:r>
      <w:r w:rsidR="00F0067C">
        <w:rPr>
          <w:rStyle w:val="CETCaptionCarattere"/>
          <w:i/>
        </w:rPr>
        <w:t xml:space="preserve">(d) </w:t>
      </w:r>
      <w:r w:rsidR="00FC29CE">
        <w:rPr>
          <w:rStyle w:val="CETCaptionCarattere"/>
          <w:i/>
        </w:rPr>
        <w:t xml:space="preserve">raw and leached </w:t>
      </w:r>
      <w:r>
        <w:rPr>
          <w:rStyle w:val="CETCaptionCarattere"/>
          <w:i/>
        </w:rPr>
        <w:t>spruce bark samples</w:t>
      </w:r>
      <w:r w:rsidR="005773B8">
        <w:rPr>
          <w:rStyle w:val="CETCaptionCarattere"/>
          <w:i/>
        </w:rPr>
        <w:t>.</w:t>
      </w:r>
      <w:r w:rsidRPr="00BD077D">
        <w:t xml:space="preserve"> </w:t>
      </w:r>
    </w:p>
    <w:p w14:paraId="7C5585FD" w14:textId="30E5183E" w:rsidR="00385F5D" w:rsidRDefault="00385F5D" w:rsidP="00385F5D">
      <w:pPr>
        <w:pStyle w:val="CETBodytext"/>
      </w:pPr>
      <w:r>
        <w:t>The TG and DTG curves of the raw and water</w:t>
      </w:r>
      <w:r w:rsidR="00082434">
        <w:t>-</w:t>
      </w:r>
      <w:r>
        <w:t xml:space="preserve">leached bark samples of the same feedstock are compared </w:t>
      </w:r>
      <w:r w:rsidR="00C908AF">
        <w:t xml:space="preserve">in </w:t>
      </w:r>
      <w:r>
        <w:t>Figure</w:t>
      </w:r>
      <w:r w:rsidR="00C908AF">
        <w:t>s</w:t>
      </w:r>
      <w:r>
        <w:t xml:space="preserve"> 3b</w:t>
      </w:r>
      <w:r w:rsidR="00CE5E3F">
        <w:t>–</w:t>
      </w:r>
      <w:r>
        <w:t>d. As described above, the water leaching process removed significant amount</w:t>
      </w:r>
      <w:r w:rsidR="00CE5E3F">
        <w:t>s</w:t>
      </w:r>
      <w:r>
        <w:t xml:space="preserve"> of organic material together with the inorganics. Changes in the inorganic and organic composition of water</w:t>
      </w:r>
      <w:r w:rsidR="00082434">
        <w:t>-</w:t>
      </w:r>
      <w:r>
        <w:t>leached samples resulted in a modified thermal decomposition pattern. In the case of birch bark (Figure 3b)</w:t>
      </w:r>
      <w:r w:rsidR="00C908AF">
        <w:t>,</w:t>
      </w:r>
      <w:r>
        <w:t xml:space="preserve"> the effect of leaching is clearly visible at low temperatures (</w:t>
      </w:r>
      <w:r w:rsidR="00C908AF">
        <w:t>180</w:t>
      </w:r>
      <w:r>
        <w:t>–250 °C)</w:t>
      </w:r>
      <w:r w:rsidR="00BF542A">
        <w:t>;</w:t>
      </w:r>
      <w:r>
        <w:t xml:space="preserve"> the weight loss rate of the washed samples </w:t>
      </w:r>
      <w:r w:rsidR="007C69F1">
        <w:t xml:space="preserve">was </w:t>
      </w:r>
      <w:r>
        <w:t>lower</w:t>
      </w:r>
      <w:r w:rsidR="00CE036D">
        <w:t xml:space="preserve">, which is </w:t>
      </w:r>
      <w:r w:rsidR="00DA5B92">
        <w:t>partially due</w:t>
      </w:r>
      <w:r>
        <w:t xml:space="preserve"> to the removal of water extractable organic compounds. This difference is visible</w:t>
      </w:r>
      <w:r w:rsidR="00BF542A">
        <w:t>,</w:t>
      </w:r>
      <w:r>
        <w:t xml:space="preserve"> but much less characteristic for the pine and spruce samples (Figure</w:t>
      </w:r>
      <w:r w:rsidR="00BF542A">
        <w:t>s</w:t>
      </w:r>
      <w:r>
        <w:t xml:space="preserve"> 3c–d). In the case of spruce bark, </w:t>
      </w:r>
      <w:r w:rsidR="00072F7C">
        <w:t>a similar</w:t>
      </w:r>
      <w:r>
        <w:t xml:space="preserve"> effect was observed at around 300 °C, which indicates the removal of organic extractable</w:t>
      </w:r>
      <w:r w:rsidR="00D62070">
        <w:t xml:space="preserve"> materials</w:t>
      </w:r>
      <w:r>
        <w:t xml:space="preserve">, like mono- and oligosaccharides </w:t>
      </w:r>
      <w:r w:rsidR="00711732">
        <w:t xml:space="preserve">and </w:t>
      </w:r>
      <w:r>
        <w:t xml:space="preserve">water-soluble lignin (LeNormand et al., 2012). The main DTG peak </w:t>
      </w:r>
      <w:r w:rsidR="00EB3084">
        <w:t xml:space="preserve">at around 350°C </w:t>
      </w:r>
      <w:r>
        <w:t xml:space="preserve">indicates the thermal decomposition of cellulose. The height of this peak </w:t>
      </w:r>
      <w:r w:rsidR="00DA395C">
        <w:t xml:space="preserve">was </w:t>
      </w:r>
      <w:r>
        <w:t>increasing as a result of water leaching in the case</w:t>
      </w:r>
      <w:r w:rsidR="00DA395C">
        <w:t>s</w:t>
      </w:r>
      <w:r>
        <w:t xml:space="preserve"> of all three type</w:t>
      </w:r>
      <w:r w:rsidR="00D55C01">
        <w:t>s</w:t>
      </w:r>
      <w:r>
        <w:t xml:space="preserve"> of bark samples. The reason </w:t>
      </w:r>
      <w:r w:rsidR="0029707C">
        <w:t xml:space="preserve">for </w:t>
      </w:r>
      <w:r>
        <w:t>this effect is the relative increase of the cellulose content in the leached samples due to the removal of the water-soluble part of the biomass. The TG and DTG curves of the raw and water</w:t>
      </w:r>
      <w:r w:rsidR="00082434">
        <w:t>-</w:t>
      </w:r>
      <w:r>
        <w:t xml:space="preserve">leached samples are very similar </w:t>
      </w:r>
      <w:r w:rsidR="008851E7">
        <w:t xml:space="preserve">above </w:t>
      </w:r>
      <w:r>
        <w:t xml:space="preserve">400 °C, which indicates that the </w:t>
      </w:r>
      <w:r>
        <w:lastRenderedPageBreak/>
        <w:t xml:space="preserve">thermal decomposition of lignin </w:t>
      </w:r>
      <w:r w:rsidR="00DE6778">
        <w:t xml:space="preserve">was </w:t>
      </w:r>
      <w:r>
        <w:t>not much affected by the partial removal of inorganics. The effect</w:t>
      </w:r>
      <w:r w:rsidR="009324F2">
        <w:t>s</w:t>
      </w:r>
      <w:r>
        <w:t xml:space="preserve"> of the 25 °C</w:t>
      </w:r>
      <w:r w:rsidR="008851E7">
        <w:t xml:space="preserve"> leaching</w:t>
      </w:r>
      <w:r>
        <w:t xml:space="preserve"> without stirring and </w:t>
      </w:r>
      <w:r w:rsidR="008851E7">
        <w:t xml:space="preserve">the </w:t>
      </w:r>
      <w:r>
        <w:t xml:space="preserve">60 °C </w:t>
      </w:r>
      <w:r w:rsidR="008851E7">
        <w:t xml:space="preserve">leaching </w:t>
      </w:r>
      <w:r>
        <w:t xml:space="preserve">with stirring were almost identical </w:t>
      </w:r>
      <w:r w:rsidR="009324F2">
        <w:t xml:space="preserve">in </w:t>
      </w:r>
      <w:r>
        <w:t>the thermogravimetric properties of all three type</w:t>
      </w:r>
      <w:r w:rsidR="00D55C01">
        <w:t>s</w:t>
      </w:r>
      <w:r>
        <w:t xml:space="preserve"> of bark samples.</w:t>
      </w:r>
    </w:p>
    <w:p w14:paraId="68D26B83" w14:textId="0B664755" w:rsidR="00600535" w:rsidRDefault="00600535" w:rsidP="00600535">
      <w:pPr>
        <w:pStyle w:val="CETHeading1"/>
        <w:rPr>
          <w:lang w:val="en-GB"/>
        </w:rPr>
      </w:pPr>
      <w:r w:rsidRPr="00B57B36">
        <w:rPr>
          <w:lang w:val="en-GB"/>
        </w:rPr>
        <w:t>Conclusions</w:t>
      </w:r>
    </w:p>
    <w:p w14:paraId="4D570F82" w14:textId="369889D5" w:rsidR="00CA7ABE" w:rsidRDefault="00F0067C" w:rsidP="00600535">
      <w:pPr>
        <w:pStyle w:val="CETBodytext"/>
        <w:rPr>
          <w:lang w:val="en-GB"/>
        </w:rPr>
      </w:pPr>
      <w:r>
        <w:rPr>
          <w:lang w:val="en-GB"/>
        </w:rPr>
        <w:t xml:space="preserve">Wood bark is an abundant </w:t>
      </w:r>
      <w:r w:rsidR="005D4018">
        <w:rPr>
          <w:lang w:val="en-GB"/>
        </w:rPr>
        <w:t>biomass by-product of the wood processing industry</w:t>
      </w:r>
      <w:r w:rsidR="00D02240">
        <w:rPr>
          <w:lang w:val="en-GB"/>
        </w:rPr>
        <w:t>.</w:t>
      </w:r>
      <w:r w:rsidR="0047180C">
        <w:rPr>
          <w:lang w:val="en-GB"/>
        </w:rPr>
        <w:t xml:space="preserve"> </w:t>
      </w:r>
      <w:r w:rsidR="00D02240">
        <w:rPr>
          <w:lang w:val="en-GB"/>
        </w:rPr>
        <w:t>H</w:t>
      </w:r>
      <w:r w:rsidR="005D4018">
        <w:rPr>
          <w:lang w:val="en-GB"/>
        </w:rPr>
        <w:t>owever</w:t>
      </w:r>
      <w:r w:rsidR="00CF7731">
        <w:rPr>
          <w:lang w:val="en-GB"/>
        </w:rPr>
        <w:t>,</w:t>
      </w:r>
      <w:r w:rsidR="005D4018">
        <w:rPr>
          <w:lang w:val="en-GB"/>
        </w:rPr>
        <w:t xml:space="preserve"> the use of biocarbon produced from bark is limited </w:t>
      </w:r>
      <w:r w:rsidR="00B61E39">
        <w:rPr>
          <w:lang w:val="en-GB"/>
        </w:rPr>
        <w:t xml:space="preserve">for </w:t>
      </w:r>
      <w:r w:rsidR="005D4018">
        <w:rPr>
          <w:lang w:val="en-GB"/>
        </w:rPr>
        <w:t xml:space="preserve">certain applications due to </w:t>
      </w:r>
      <w:r w:rsidR="00AC4D5D">
        <w:rPr>
          <w:lang w:val="en-GB"/>
        </w:rPr>
        <w:t xml:space="preserve">drawbacks of this largely available biomass material (i.e., </w:t>
      </w:r>
      <w:r w:rsidR="005D4018">
        <w:rPr>
          <w:lang w:val="en-GB"/>
        </w:rPr>
        <w:t>high inorganic content</w:t>
      </w:r>
      <w:r w:rsidR="00AC4D5D">
        <w:rPr>
          <w:lang w:val="en-GB"/>
        </w:rPr>
        <w:t>)</w:t>
      </w:r>
      <w:r w:rsidR="005D4018">
        <w:rPr>
          <w:lang w:val="en-GB"/>
        </w:rPr>
        <w:t>. In this study</w:t>
      </w:r>
      <w:r w:rsidR="00CF7731">
        <w:rPr>
          <w:lang w:val="en-GB"/>
        </w:rPr>
        <w:t>,</w:t>
      </w:r>
      <w:r w:rsidR="005D4018">
        <w:rPr>
          <w:lang w:val="en-GB"/>
        </w:rPr>
        <w:t xml:space="preserve"> the </w:t>
      </w:r>
      <w:r w:rsidR="00D224DB">
        <w:rPr>
          <w:lang w:val="en-GB"/>
        </w:rPr>
        <w:t xml:space="preserve">effects </w:t>
      </w:r>
      <w:r w:rsidR="005D4018">
        <w:rPr>
          <w:lang w:val="en-GB"/>
        </w:rPr>
        <w:t xml:space="preserve">of water leaching </w:t>
      </w:r>
      <w:r w:rsidR="00D34A92">
        <w:rPr>
          <w:lang w:val="en-GB"/>
        </w:rPr>
        <w:t xml:space="preserve">on the composition and thermal </w:t>
      </w:r>
      <w:r w:rsidR="002103ED">
        <w:rPr>
          <w:lang w:val="en-GB"/>
        </w:rPr>
        <w:t>properties of</w:t>
      </w:r>
      <w:r w:rsidR="00CA7ABE">
        <w:rPr>
          <w:lang w:val="en-GB"/>
        </w:rPr>
        <w:t xml:space="preserve"> birch bark, spruce bark and pine bark samples </w:t>
      </w:r>
      <w:r w:rsidR="002103ED">
        <w:rPr>
          <w:lang w:val="en-GB"/>
        </w:rPr>
        <w:t>were studied</w:t>
      </w:r>
      <w:r w:rsidR="00CA7ABE">
        <w:rPr>
          <w:lang w:val="en-GB"/>
        </w:rPr>
        <w:t>.</w:t>
      </w:r>
    </w:p>
    <w:p w14:paraId="6E3198D3" w14:textId="3CCD0432" w:rsidR="0075634F" w:rsidRDefault="002A1BA6" w:rsidP="00600535">
      <w:pPr>
        <w:pStyle w:val="CETBodytext"/>
        <w:rPr>
          <w:lang w:val="en-GB"/>
        </w:rPr>
      </w:pPr>
      <w:r>
        <w:rPr>
          <w:lang w:val="en-GB"/>
        </w:rPr>
        <w:t>The solid yield of the dry leached bark</w:t>
      </w:r>
      <w:r w:rsidR="001B1D17">
        <w:rPr>
          <w:lang w:val="en-GB"/>
        </w:rPr>
        <w:t xml:space="preserve">s </w:t>
      </w:r>
      <w:r>
        <w:rPr>
          <w:lang w:val="en-GB"/>
        </w:rPr>
        <w:t>was around 90 %</w:t>
      </w:r>
      <w:r w:rsidR="001B1D17">
        <w:rPr>
          <w:lang w:val="en-GB"/>
        </w:rPr>
        <w:t xml:space="preserve"> for all three </w:t>
      </w:r>
      <w:r w:rsidR="00870F75">
        <w:rPr>
          <w:lang w:val="en-GB"/>
        </w:rPr>
        <w:t xml:space="preserve">bark types. </w:t>
      </w:r>
      <w:r w:rsidR="00205946">
        <w:rPr>
          <w:lang w:val="en-GB"/>
        </w:rPr>
        <w:t>Based on</w:t>
      </w:r>
      <w:r w:rsidR="00870F75">
        <w:rPr>
          <w:lang w:val="en-GB"/>
        </w:rPr>
        <w:t xml:space="preserve"> the results</w:t>
      </w:r>
      <w:r w:rsidR="00536799">
        <w:rPr>
          <w:lang w:val="en-GB"/>
        </w:rPr>
        <w:t>,</w:t>
      </w:r>
      <w:r w:rsidR="00870F75">
        <w:rPr>
          <w:lang w:val="en-GB"/>
        </w:rPr>
        <w:t xml:space="preserve"> it can be concluded that the majority of the extracted mass </w:t>
      </w:r>
      <w:r w:rsidR="00205946">
        <w:rPr>
          <w:lang w:val="en-GB"/>
        </w:rPr>
        <w:t xml:space="preserve">was </w:t>
      </w:r>
      <w:r w:rsidR="00870F75">
        <w:rPr>
          <w:lang w:val="en-GB"/>
        </w:rPr>
        <w:t>organic material</w:t>
      </w:r>
      <w:r w:rsidR="00CD71D0">
        <w:rPr>
          <w:lang w:val="en-GB"/>
        </w:rPr>
        <w:t xml:space="preserve">, further studies are needed to determine the utilization </w:t>
      </w:r>
      <w:r w:rsidR="0097102A">
        <w:rPr>
          <w:lang w:val="en-GB"/>
        </w:rPr>
        <w:t>possibilities</w:t>
      </w:r>
      <w:r w:rsidR="00CD71D0">
        <w:rPr>
          <w:lang w:val="en-GB"/>
        </w:rPr>
        <w:t xml:space="preserve"> of this fraction</w:t>
      </w:r>
      <w:r w:rsidR="00870F75">
        <w:rPr>
          <w:lang w:val="en-GB"/>
        </w:rPr>
        <w:t xml:space="preserve">. </w:t>
      </w:r>
      <w:r w:rsidR="0097102A">
        <w:rPr>
          <w:lang w:val="en-GB"/>
        </w:rPr>
        <w:t>Although t</w:t>
      </w:r>
      <w:r w:rsidR="001B1D17" w:rsidRPr="0097102A">
        <w:rPr>
          <w:lang w:val="en-GB"/>
        </w:rPr>
        <w:t>he</w:t>
      </w:r>
      <w:r w:rsidR="001B1D17" w:rsidRPr="0097102A">
        <w:t xml:space="preserve"> ash content</w:t>
      </w:r>
      <w:r w:rsidR="003F4DDB" w:rsidRPr="0097102A">
        <w:t>s</w:t>
      </w:r>
      <w:r w:rsidR="001B1D17" w:rsidRPr="0097102A">
        <w:t xml:space="preserve"> decreased</w:t>
      </w:r>
      <w:r w:rsidR="00870F75" w:rsidRPr="0097102A">
        <w:t xml:space="preserve"> moderately</w:t>
      </w:r>
      <w:r w:rsidR="00870F75">
        <w:t>,</w:t>
      </w:r>
      <w:r w:rsidR="0097102A">
        <w:t xml:space="preserve"> the amount of alkali </w:t>
      </w:r>
      <w:r w:rsidR="0044317D">
        <w:t>elements</w:t>
      </w:r>
      <w:r w:rsidR="0097102A">
        <w:t xml:space="preserve"> reduced by 40-60%;</w:t>
      </w:r>
      <w:r w:rsidR="00870F75">
        <w:t xml:space="preserve"> </w:t>
      </w:r>
      <w:r w:rsidR="00536799">
        <w:t>to a higher extent</w:t>
      </w:r>
      <w:r w:rsidR="001B1D17">
        <w:t xml:space="preserve"> </w:t>
      </w:r>
      <w:r w:rsidR="001B1D17" w:rsidRPr="00A5472E">
        <w:t>for birch bark and pine bark</w:t>
      </w:r>
      <w:r w:rsidR="001B1D17">
        <w:t xml:space="preserve"> </w:t>
      </w:r>
      <w:r w:rsidR="00870F75">
        <w:t>comparing to</w:t>
      </w:r>
      <w:r w:rsidR="001B1D17">
        <w:t xml:space="preserve"> spruce</w:t>
      </w:r>
      <w:r w:rsidR="00870F75">
        <w:t xml:space="preserve">. The results of elemental analysis reflect </w:t>
      </w:r>
      <w:r w:rsidR="00613B32">
        <w:t xml:space="preserve">the </w:t>
      </w:r>
      <w:r w:rsidR="00870F75">
        <w:t>decreased C and increased O content</w:t>
      </w:r>
      <w:r w:rsidR="00613B32">
        <w:t>s</w:t>
      </w:r>
      <w:r w:rsidR="00870F75">
        <w:t xml:space="preserve"> in the leached </w:t>
      </w:r>
      <w:r w:rsidR="00121FAB">
        <w:t>barks.</w:t>
      </w:r>
      <w:r w:rsidR="00870F75">
        <w:t xml:space="preserve"> </w:t>
      </w:r>
      <w:r w:rsidR="00121FAB">
        <w:t>T</w:t>
      </w:r>
      <w:r w:rsidR="00870F75">
        <w:t xml:space="preserve">he </w:t>
      </w:r>
      <w:r w:rsidR="001118BF">
        <w:t xml:space="preserve">change was the </w:t>
      </w:r>
      <w:r w:rsidR="00870F75">
        <w:t>most characteristic for birch bark.</w:t>
      </w:r>
      <w:r w:rsidR="001B1D17">
        <w:t xml:space="preserve"> </w:t>
      </w:r>
      <w:r w:rsidR="00CA7ABE">
        <w:rPr>
          <w:lang w:val="en-GB"/>
        </w:rPr>
        <w:t xml:space="preserve">The results </w:t>
      </w:r>
      <w:r w:rsidR="00B01764">
        <w:rPr>
          <w:lang w:val="en-GB"/>
        </w:rPr>
        <w:t xml:space="preserve">also </w:t>
      </w:r>
      <w:r w:rsidR="008B167C">
        <w:rPr>
          <w:lang w:val="en-GB"/>
        </w:rPr>
        <w:t>indicate</w:t>
      </w:r>
      <w:r w:rsidR="00CA7ABE">
        <w:rPr>
          <w:lang w:val="en-GB"/>
        </w:rPr>
        <w:t xml:space="preserve"> that</w:t>
      </w:r>
      <w:r w:rsidR="008B167C">
        <w:rPr>
          <w:lang w:val="en-GB"/>
        </w:rPr>
        <w:t xml:space="preserve"> elevated</w:t>
      </w:r>
      <w:r w:rsidR="00CA7ABE">
        <w:rPr>
          <w:lang w:val="en-GB"/>
        </w:rPr>
        <w:t xml:space="preserve"> leaching temperature (60</w:t>
      </w:r>
      <w:r w:rsidR="008B167C">
        <w:rPr>
          <w:lang w:val="en-GB"/>
        </w:rPr>
        <w:t xml:space="preserve"> </w:t>
      </w:r>
      <w:r w:rsidR="001118BF">
        <w:rPr>
          <w:lang w:val="en-GB"/>
        </w:rPr>
        <w:t xml:space="preserve">vs. 25 </w:t>
      </w:r>
      <w:r w:rsidR="00CA7ABE">
        <w:rPr>
          <w:lang w:val="en-GB"/>
        </w:rPr>
        <w:t>°C)</w:t>
      </w:r>
      <w:r w:rsidR="008B167C">
        <w:rPr>
          <w:lang w:val="en-GB"/>
        </w:rPr>
        <w:t xml:space="preserve"> and continuous stirring </w:t>
      </w:r>
      <w:r w:rsidR="001118BF">
        <w:rPr>
          <w:lang w:val="en-GB"/>
        </w:rPr>
        <w:t xml:space="preserve">facilitated </w:t>
      </w:r>
      <w:r w:rsidR="008B167C">
        <w:rPr>
          <w:lang w:val="en-GB"/>
        </w:rPr>
        <w:t xml:space="preserve">the removal of Ca, K and Na </w:t>
      </w:r>
      <w:r w:rsidR="001118BF">
        <w:rPr>
          <w:lang w:val="en-GB"/>
        </w:rPr>
        <w:t xml:space="preserve">to </w:t>
      </w:r>
      <w:r w:rsidR="008B167C">
        <w:rPr>
          <w:lang w:val="en-GB"/>
        </w:rPr>
        <w:t xml:space="preserve">different </w:t>
      </w:r>
      <w:r w:rsidR="001118BF">
        <w:rPr>
          <w:lang w:val="en-GB"/>
        </w:rPr>
        <w:t>extents</w:t>
      </w:r>
      <w:r w:rsidR="008B167C">
        <w:rPr>
          <w:lang w:val="en-GB"/>
        </w:rPr>
        <w:t>.</w:t>
      </w:r>
      <w:r w:rsidR="0075634F">
        <w:rPr>
          <w:lang w:val="en-GB"/>
        </w:rPr>
        <w:t xml:space="preserve"> In general, the removal of the given elements</w:t>
      </w:r>
      <w:r w:rsidR="00A35889">
        <w:rPr>
          <w:lang w:val="en-GB"/>
        </w:rPr>
        <w:t xml:space="preserve"> by water leaching</w:t>
      </w:r>
      <w:r w:rsidR="0075634F">
        <w:rPr>
          <w:lang w:val="en-GB"/>
        </w:rPr>
        <w:t xml:space="preserve"> was found more effective from birch bark compar</w:t>
      </w:r>
      <w:r w:rsidR="00C87DF3">
        <w:rPr>
          <w:lang w:val="en-GB"/>
        </w:rPr>
        <w:t>ed</w:t>
      </w:r>
      <w:r w:rsidR="0075634F">
        <w:rPr>
          <w:lang w:val="en-GB"/>
        </w:rPr>
        <w:t xml:space="preserve"> to </w:t>
      </w:r>
      <w:r w:rsidR="00BC70BF">
        <w:rPr>
          <w:lang w:val="en-GB"/>
        </w:rPr>
        <w:t xml:space="preserve">the coniferous </w:t>
      </w:r>
      <w:r w:rsidR="0075634F">
        <w:rPr>
          <w:lang w:val="en-GB"/>
        </w:rPr>
        <w:t xml:space="preserve">pine bark and spruce bark. </w:t>
      </w:r>
      <w:r w:rsidR="003135DA">
        <w:t xml:space="preserve">The </w:t>
      </w:r>
      <w:r w:rsidR="00F82282">
        <w:t xml:space="preserve">apparent </w:t>
      </w:r>
      <w:r w:rsidR="003135DA">
        <w:t>effect</w:t>
      </w:r>
      <w:r w:rsidR="000A697D">
        <w:t>s</w:t>
      </w:r>
      <w:r w:rsidR="003135DA">
        <w:t xml:space="preserve"> of alkali </w:t>
      </w:r>
      <w:r w:rsidR="00A77C5E">
        <w:t xml:space="preserve">elements </w:t>
      </w:r>
      <w:r w:rsidR="003135DA">
        <w:t xml:space="preserve">removal and partial removal of the extractives </w:t>
      </w:r>
      <w:r w:rsidR="00F82282">
        <w:t xml:space="preserve">were </w:t>
      </w:r>
      <w:r w:rsidR="003135DA">
        <w:t xml:space="preserve">reflected </w:t>
      </w:r>
      <w:r w:rsidR="000A697D">
        <w:t xml:space="preserve">in </w:t>
      </w:r>
      <w:r w:rsidR="003135DA">
        <w:t xml:space="preserve">the thermoanalytical </w:t>
      </w:r>
      <w:r w:rsidR="0068474B">
        <w:t>behaviour</w:t>
      </w:r>
      <w:r w:rsidR="003135DA">
        <w:t xml:space="preserve"> of the </w:t>
      </w:r>
      <w:r w:rsidR="00687A25">
        <w:t xml:space="preserve">leached </w:t>
      </w:r>
      <w:r w:rsidR="003135DA">
        <w:t>samples.</w:t>
      </w:r>
    </w:p>
    <w:p w14:paraId="459D05E6" w14:textId="039A7F7F" w:rsidR="00600535" w:rsidRPr="00B57B36" w:rsidRDefault="00600535" w:rsidP="00600535">
      <w:pPr>
        <w:pStyle w:val="CETAcknowledgementstitle"/>
      </w:pPr>
      <w:r w:rsidRPr="00B57B36">
        <w:t>Acknowledgments</w:t>
      </w:r>
    </w:p>
    <w:p w14:paraId="33F8138F" w14:textId="18BC4E5D" w:rsidR="00600535" w:rsidRPr="00294CC9" w:rsidRDefault="00007D5A" w:rsidP="00600535">
      <w:pPr>
        <w:pStyle w:val="CETBodytext"/>
        <w:rPr>
          <w:lang w:val="en-GB"/>
        </w:rPr>
      </w:pPr>
      <w:r>
        <w:rPr>
          <w:lang w:val="en-GB"/>
        </w:rPr>
        <w:t>This work was supported by the Research Council of Norway and a number of industrial partners through the project BioCarbUpgrade (</w:t>
      </w:r>
      <w:r w:rsidRPr="00B60097">
        <w:rPr>
          <w:lang w:val="en-GB"/>
        </w:rPr>
        <w:t xml:space="preserve">Grant </w:t>
      </w:r>
      <w:r w:rsidRPr="00294CC9">
        <w:rPr>
          <w:lang w:val="en-GB"/>
        </w:rPr>
        <w:t xml:space="preserve">No. </w:t>
      </w:r>
      <w:r w:rsidR="00B60097" w:rsidRPr="00294CC9">
        <w:rPr>
          <w:lang w:val="en-GB"/>
        </w:rPr>
        <w:t>336309</w:t>
      </w:r>
      <w:r w:rsidRPr="00294CC9">
        <w:rPr>
          <w:lang w:val="en-GB"/>
        </w:rPr>
        <w:t>)</w:t>
      </w:r>
      <w:r w:rsidR="00B60097" w:rsidRPr="00294CC9">
        <w:rPr>
          <w:lang w:val="en-GB"/>
        </w:rPr>
        <w:t>.</w:t>
      </w:r>
    </w:p>
    <w:p w14:paraId="4F1327F8" w14:textId="4FB947CF" w:rsidR="00600535" w:rsidRDefault="00600535" w:rsidP="00600535">
      <w:pPr>
        <w:pStyle w:val="CETReference"/>
      </w:pPr>
      <w:r w:rsidRPr="00294CC9">
        <w:t>References</w:t>
      </w:r>
    </w:p>
    <w:p w14:paraId="3B116806" w14:textId="4004F9B8" w:rsidR="00FC29CE" w:rsidRDefault="00FC29CE" w:rsidP="006B4888">
      <w:pPr>
        <w:pStyle w:val="CETReferencetext"/>
      </w:pPr>
      <w:r>
        <w:t>Barta-Rajnai E., Babinszki B., Sebestyén Z., Czirok I.S., May Z., Jakab E., Czégény Zs</w:t>
      </w:r>
      <w:r w:rsidRPr="00D26AAC">
        <w:t>.</w:t>
      </w:r>
      <w:r w:rsidR="005A6E75">
        <w:t>,</w:t>
      </w:r>
      <w:r>
        <w:t xml:space="preserve"> 2018, On the significance of potassium and chlorine content of lignocellulose during torrefaction, </w:t>
      </w:r>
      <w:r w:rsidR="005A6E75" w:rsidRPr="005A6E75">
        <w:t>Journal of Analytical and Applied Pyrolysis</w:t>
      </w:r>
      <w:r w:rsidR="005A6E75">
        <w:t xml:space="preserve">, </w:t>
      </w:r>
      <w:r w:rsidRPr="00D26AAC">
        <w:t>135, 32</w:t>
      </w:r>
      <w:r w:rsidR="005A6E75">
        <w:t>–</w:t>
      </w:r>
      <w:r w:rsidRPr="00D26AAC">
        <w:t>43</w:t>
      </w:r>
      <w:r w:rsidR="005A6E75">
        <w:t xml:space="preserve">. </w:t>
      </w:r>
    </w:p>
    <w:p w14:paraId="71E4D17B" w14:textId="6C05DC31" w:rsidR="00667A98" w:rsidRDefault="00667A98" w:rsidP="006B4888">
      <w:pPr>
        <w:pStyle w:val="CETReferencetext"/>
      </w:pPr>
      <w:r w:rsidRPr="00667A98">
        <w:t>DeGroot</w:t>
      </w:r>
      <w:r>
        <w:t xml:space="preserve"> WF., Shafizadeh F.,</w:t>
      </w:r>
      <w:r w:rsidRPr="00667A98">
        <w:t xml:space="preserve"> </w:t>
      </w:r>
      <w:r>
        <w:t>1984,</w:t>
      </w:r>
      <w:r w:rsidR="0053518B">
        <w:t xml:space="preserve"> </w:t>
      </w:r>
      <w:r w:rsidRPr="00667A98">
        <w:t xml:space="preserve">The influence of </w:t>
      </w:r>
      <w:r w:rsidR="002C172C" w:rsidRPr="00D26AAC">
        <w:t>exchangeable</w:t>
      </w:r>
      <w:r w:rsidRPr="00667A98">
        <w:t xml:space="preserve"> cations on the</w:t>
      </w:r>
      <w:r>
        <w:t xml:space="preserve"> carbonization of biomass. Journal of </w:t>
      </w:r>
      <w:r w:rsidRPr="00667A98">
        <w:t>Anal</w:t>
      </w:r>
      <w:r>
        <w:t>ytical and</w:t>
      </w:r>
      <w:r w:rsidRPr="00667A98">
        <w:t xml:space="preserve"> Appl</w:t>
      </w:r>
      <w:r>
        <w:t>ied</w:t>
      </w:r>
      <w:r w:rsidRPr="00667A98">
        <w:t xml:space="preserve"> Pyrolysis</w:t>
      </w:r>
      <w:r w:rsidR="005A6E75">
        <w:t>,</w:t>
      </w:r>
      <w:r w:rsidRPr="00667A98">
        <w:t xml:space="preserve"> 6</w:t>
      </w:r>
      <w:r w:rsidR="005A6E75">
        <w:t xml:space="preserve">, </w:t>
      </w:r>
      <w:r w:rsidRPr="00667A98">
        <w:t>217–</w:t>
      </w:r>
      <w:r>
        <w:t>2</w:t>
      </w:r>
      <w:r w:rsidRPr="00667A98">
        <w:t xml:space="preserve">32. </w:t>
      </w:r>
    </w:p>
    <w:p w14:paraId="0E4AD7B2" w14:textId="53CFCB16" w:rsidR="002C172C" w:rsidRPr="00D26AAC" w:rsidRDefault="002C172C" w:rsidP="002C172C">
      <w:pPr>
        <w:pStyle w:val="CETReferencetext"/>
      </w:pPr>
      <w:r w:rsidRPr="00D26AAC">
        <w:t xml:space="preserve">Fu J., Allen G., Weber S., Turn Q.S., Kusch W., 2021, Water leaching for improving fuel properties of pongamia </w:t>
      </w:r>
      <w:r>
        <w:t>P</w:t>
      </w:r>
      <w:r w:rsidRPr="00D26AAC">
        <w:t>od: Informing process design, Fuel</w:t>
      </w:r>
      <w:r>
        <w:t>,</w:t>
      </w:r>
      <w:r w:rsidRPr="00D26AAC">
        <w:t xml:space="preserve"> 305</w:t>
      </w:r>
      <w:r>
        <w:t>,</w:t>
      </w:r>
      <w:r w:rsidRPr="00D26AAC">
        <w:t xml:space="preserve"> 121480</w:t>
      </w:r>
      <w:r>
        <w:t>.</w:t>
      </w:r>
      <w:r w:rsidRPr="00D26AAC">
        <w:t xml:space="preserve"> </w:t>
      </w:r>
    </w:p>
    <w:p w14:paraId="27E350C4" w14:textId="685A5AE3" w:rsidR="002C172C" w:rsidRPr="00D26AAC" w:rsidRDefault="002C172C" w:rsidP="002C172C">
      <w:pPr>
        <w:pStyle w:val="CETReferencetext"/>
      </w:pPr>
      <w:r w:rsidRPr="00D26AAC">
        <w:t xml:space="preserve">Kilpeläinen P., Liski E., Saranpää P., 2023, Optimising and scaling up hot water extraction of tannins from Norway spruce and Scots </w:t>
      </w:r>
      <w:r>
        <w:t>p</w:t>
      </w:r>
      <w:r w:rsidRPr="00D26AAC">
        <w:t>ine bark, Industrial Crops &amp; Products</w:t>
      </w:r>
      <w:r>
        <w:t>,</w:t>
      </w:r>
      <w:r w:rsidRPr="00D26AAC">
        <w:t xml:space="preserve"> 192</w:t>
      </w:r>
      <w:r>
        <w:t>,</w:t>
      </w:r>
      <w:r w:rsidRPr="00D26AAC">
        <w:t xml:space="preserve"> 116089. </w:t>
      </w:r>
    </w:p>
    <w:p w14:paraId="6BABD5C8" w14:textId="6DEB333A" w:rsidR="002D5DD8" w:rsidRDefault="002D5DD8" w:rsidP="006B4888">
      <w:pPr>
        <w:pStyle w:val="CETReferencetext"/>
      </w:pPr>
      <w:r>
        <w:t xml:space="preserve">LeNormand M., Edlund., Holmborm B., Ek M., </w:t>
      </w:r>
      <w:r w:rsidRPr="00D26AAC">
        <w:t>20</w:t>
      </w:r>
      <w:r w:rsidR="006C20A8">
        <w:t>1</w:t>
      </w:r>
      <w:r w:rsidRPr="00D26AAC">
        <w:t>2</w:t>
      </w:r>
      <w:r>
        <w:t>, Hot-water extraction and characterisation of spruce bark</w:t>
      </w:r>
      <w:r w:rsidR="009F54BD">
        <w:t xml:space="preserve"> non-cellulosic polysaccharides, Nordic Pulp </w:t>
      </w:r>
      <w:r w:rsidR="00651FA0">
        <w:t>&amp;</w:t>
      </w:r>
      <w:r w:rsidR="009F54BD">
        <w:t xml:space="preserve"> Paper Research Journal</w:t>
      </w:r>
      <w:r w:rsidR="00651FA0">
        <w:t>,</w:t>
      </w:r>
      <w:r w:rsidR="009F54BD">
        <w:t xml:space="preserve"> 27, 18</w:t>
      </w:r>
      <w:r w:rsidR="00651FA0">
        <w:t>–</w:t>
      </w:r>
      <w:r w:rsidR="009F54BD">
        <w:t>23</w:t>
      </w:r>
      <w:r w:rsidR="00651FA0">
        <w:t xml:space="preserve">. </w:t>
      </w:r>
    </w:p>
    <w:p w14:paraId="5737BD71" w14:textId="77777777" w:rsidR="00C5748B" w:rsidRDefault="002C172C" w:rsidP="002C172C">
      <w:pPr>
        <w:pStyle w:val="CETReferencetext"/>
      </w:pPr>
      <w:r w:rsidRPr="00D26AAC">
        <w:t>Liimatainen J., Karonen M., Sinkkonen J., Helander M., Salminen J-P., 2012, Phenolic compounds of the inner bark of Betula pendula: Seasonal and Genetic Variation and Induction by Wounding, Journal of Chemical Ecology, 38</w:t>
      </w:r>
      <w:r>
        <w:t>,</w:t>
      </w:r>
      <w:r w:rsidRPr="00D26AAC">
        <w:t xml:space="preserve"> 1410</w:t>
      </w:r>
      <w:r>
        <w:t>–</w:t>
      </w:r>
      <w:r w:rsidRPr="00D26AAC">
        <w:t>1418.</w:t>
      </w:r>
    </w:p>
    <w:p w14:paraId="25564BD4" w14:textId="5630FDA7" w:rsidR="00C5748B" w:rsidRDefault="00C5748B" w:rsidP="00C5748B">
      <w:pPr>
        <w:pStyle w:val="CETReferencetext"/>
      </w:pPr>
      <w:r>
        <w:t>Miranda, I., Gominho, J., Pereira, H. 2013, Fractioning and chemical characterization of barks of Betula pendula</w:t>
      </w:r>
    </w:p>
    <w:p w14:paraId="63F2AF71" w14:textId="0667C659" w:rsidR="002C172C" w:rsidRPr="00D26AAC" w:rsidRDefault="00C5748B" w:rsidP="00D34A92">
      <w:pPr>
        <w:pStyle w:val="CETReferencetext"/>
        <w:ind w:firstLine="0"/>
      </w:pPr>
      <w:r>
        <w:t>and Eucalyptus globulus. Industrial Crops and Products, 41, 299-305</w:t>
      </w:r>
    </w:p>
    <w:p w14:paraId="47181AB6" w14:textId="77777777" w:rsidR="002C172C" w:rsidRPr="00D26AAC" w:rsidRDefault="002C172C" w:rsidP="002C172C">
      <w:pPr>
        <w:pStyle w:val="CETReferencetext"/>
      </w:pPr>
      <w:r w:rsidRPr="00D26AAC">
        <w:t>Saarela K.E., Harju L., Lill J.O., Heselius S.J., Rajander J., Lindroos A., 2005, Quantitative Elemental Analysis of Dry-ashed Bark and Wood Samples of Birch, Spruce and Pine from South-Western Finland Using PIXE, Acta Academiae Aboensis Ser</w:t>
      </w:r>
      <w:r>
        <w:t>.</w:t>
      </w:r>
      <w:r w:rsidRPr="00D26AAC">
        <w:t xml:space="preserve"> B.</w:t>
      </w:r>
      <w:r>
        <w:t>,</w:t>
      </w:r>
      <w:r w:rsidRPr="00D26AAC">
        <w:t xml:space="preserve"> 6</w:t>
      </w:r>
      <w:r>
        <w:t>5</w:t>
      </w:r>
      <w:r w:rsidRPr="00D26AAC">
        <w:t>, 4</w:t>
      </w:r>
      <w:r>
        <w:t>.</w:t>
      </w:r>
    </w:p>
    <w:p w14:paraId="45D30827" w14:textId="4D9FA0C1" w:rsidR="002C172C" w:rsidRDefault="002C172C" w:rsidP="002C172C">
      <w:pPr>
        <w:pStyle w:val="CETReferencetext"/>
      </w:pPr>
      <w:r w:rsidRPr="00D26AAC">
        <w:t>Singhal A., Goel A., Bhatnagar A., Roslander C., Wallberg O., Konttinen J., Joronen T., 2023, Improving Inorganic Composition and Ash Fusion Behavior of Spruce Bark by Leaching with Water, Acetic Acid, and Steam Pre-Treatment Condensate, Chemical Engineering Journal, 452</w:t>
      </w:r>
      <w:r>
        <w:t>,</w:t>
      </w:r>
      <w:r w:rsidRPr="00D26AAC">
        <w:t xml:space="preserve"> 139351. </w:t>
      </w:r>
    </w:p>
    <w:p w14:paraId="539A36E2" w14:textId="5765ABEA" w:rsidR="006A366A" w:rsidRPr="00D26AAC" w:rsidRDefault="006A366A" w:rsidP="002C172C">
      <w:pPr>
        <w:pStyle w:val="CETReferencetext"/>
      </w:pPr>
      <w:r>
        <w:t>Sjöström E, 1993, Wood Chemistry: Fundamentals and Applications, Academic Press, Inc. 2</w:t>
      </w:r>
      <w:r w:rsidRPr="006A366A">
        <w:rPr>
          <w:vertAlign w:val="superscript"/>
        </w:rPr>
        <w:t>nd</w:t>
      </w:r>
      <w:r>
        <w:t xml:space="preserve"> Ed. San Diego, CA, USA. </w:t>
      </w:r>
    </w:p>
    <w:p w14:paraId="121FD6A8" w14:textId="093B916A" w:rsidR="002C172C" w:rsidRPr="00D26AAC" w:rsidRDefault="002C172C" w:rsidP="002C172C">
      <w:pPr>
        <w:pStyle w:val="CETReferencetext"/>
      </w:pPr>
      <w:r w:rsidRPr="00D26AAC">
        <w:t xml:space="preserve">Vassilev S.V., Vassileva C.G., 2019, Water-Soluble Fractions of Biomass and Biomass Ash and their Significance for Biofuel Application, Energy </w:t>
      </w:r>
      <w:r>
        <w:t xml:space="preserve">&amp; </w:t>
      </w:r>
      <w:r w:rsidRPr="00D26AAC">
        <w:t>Fuel</w:t>
      </w:r>
      <w:r>
        <w:t>s</w:t>
      </w:r>
      <w:r w:rsidRPr="00D26AAC">
        <w:t>, 33</w:t>
      </w:r>
      <w:r>
        <w:t xml:space="preserve">, </w:t>
      </w:r>
      <w:r w:rsidRPr="00D26AAC">
        <w:t>2763</w:t>
      </w:r>
      <w:r>
        <w:t>–</w:t>
      </w:r>
      <w:r w:rsidRPr="00D26AAC">
        <w:t xml:space="preserve">2777. </w:t>
      </w:r>
    </w:p>
    <w:p w14:paraId="2BAD8A6F" w14:textId="124A6E69" w:rsidR="002C172C" w:rsidRPr="00D26AAC" w:rsidRDefault="002C172C" w:rsidP="002C172C">
      <w:pPr>
        <w:pStyle w:val="CETReferencetext"/>
        <w:rPr>
          <w:rStyle w:val="Hyperlink"/>
          <w:color w:val="auto"/>
          <w:u w:val="none"/>
        </w:rPr>
      </w:pPr>
      <w:r w:rsidRPr="00D26AAC">
        <w:t>Wang L., Skreiberg Ø., 2003, Evaluation of Water Leaching on Properties of Woody Biomass for Biocarbon Prodiction, Chemica</w:t>
      </w:r>
      <w:r>
        <w:t>l Engineering Transactions, 105,</w:t>
      </w:r>
      <w:r w:rsidRPr="00D26AAC">
        <w:t xml:space="preserve"> 277</w:t>
      </w:r>
      <w:r>
        <w:t>–</w:t>
      </w:r>
      <w:r w:rsidRPr="00D26AAC">
        <w:t>282</w:t>
      </w:r>
      <w:r>
        <w:t>.</w:t>
      </w:r>
      <w:r w:rsidRPr="00D26AAC">
        <w:t xml:space="preserve"> </w:t>
      </w:r>
    </w:p>
    <w:p w14:paraId="2EEDD927" w14:textId="5D13D105" w:rsidR="002C172C" w:rsidRPr="00D26AAC" w:rsidRDefault="002C172C" w:rsidP="002C172C">
      <w:pPr>
        <w:pStyle w:val="CETReferencetext"/>
      </w:pPr>
      <w:r w:rsidRPr="00D26AAC">
        <w:t>Werkelin J., Skrifvars B-J., Hupa., 2005, Ash-forming elements in four Scandinavian wood species. Part 1: Summer harvest, Biomass and Bioenergy, 29, 451</w:t>
      </w:r>
      <w:r>
        <w:t>–</w:t>
      </w:r>
      <w:r w:rsidRPr="00D26AAC">
        <w:t>466.</w:t>
      </w:r>
      <w:r>
        <w:t xml:space="preserve"> </w:t>
      </w:r>
    </w:p>
    <w:p w14:paraId="18CCE11D" w14:textId="6672364D" w:rsidR="00667A98" w:rsidRDefault="00AB620F" w:rsidP="00873BF4">
      <w:pPr>
        <w:pStyle w:val="CETReferencetext"/>
      </w:pPr>
      <w:r w:rsidRPr="00AB620F">
        <w:t xml:space="preserve">Werkelin </w:t>
      </w:r>
      <w:r w:rsidR="005F4105">
        <w:t>J.</w:t>
      </w:r>
      <w:r w:rsidRPr="00AB620F">
        <w:t>, Skrifvars</w:t>
      </w:r>
      <w:r w:rsidR="005F4105">
        <w:t xml:space="preserve"> B-J.</w:t>
      </w:r>
      <w:r w:rsidRPr="00AB620F">
        <w:t>, Zevenhoven</w:t>
      </w:r>
      <w:r w:rsidR="005F4105">
        <w:t xml:space="preserve"> M</w:t>
      </w:r>
      <w:r w:rsidRPr="00AB620F">
        <w:t>, Holmbom</w:t>
      </w:r>
      <w:r w:rsidR="005F4105">
        <w:t xml:space="preserve"> B</w:t>
      </w:r>
      <w:r w:rsidR="00DA0CDF">
        <w:t>.</w:t>
      </w:r>
      <w:r w:rsidRPr="00AB620F">
        <w:t>, Hupa</w:t>
      </w:r>
      <w:r w:rsidR="00DA0CDF">
        <w:t xml:space="preserve"> M</w:t>
      </w:r>
      <w:r w:rsidR="00651FA0">
        <w:t>.</w:t>
      </w:r>
      <w:r w:rsidRPr="00D26AAC">
        <w:t>,</w:t>
      </w:r>
      <w:r w:rsidRPr="00AB620F">
        <w:t xml:space="preserve"> </w:t>
      </w:r>
      <w:r w:rsidR="00DA0CDF">
        <w:t xml:space="preserve">2010, </w:t>
      </w:r>
      <w:r w:rsidRPr="00AB620F">
        <w:t xml:space="preserve">Chemical forms of ash-forming elements in woody biomass fuels, </w:t>
      </w:r>
      <w:r w:rsidR="00DA0CDF">
        <w:t>Fuel</w:t>
      </w:r>
      <w:r w:rsidR="00651FA0">
        <w:t>,</w:t>
      </w:r>
      <w:r w:rsidR="00DA0CDF">
        <w:t xml:space="preserve"> 89, </w:t>
      </w:r>
      <w:r w:rsidRPr="00AB620F">
        <w:t>481–493</w:t>
      </w:r>
      <w:r w:rsidR="00651FA0">
        <w:t>.</w:t>
      </w:r>
      <w:r w:rsidRPr="00AB620F">
        <w:t xml:space="preserve"> </w:t>
      </w:r>
    </w:p>
    <w:sectPr w:rsidR="00667A9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8623" w14:textId="77777777" w:rsidR="0098301D" w:rsidRDefault="0098301D" w:rsidP="004F5E36">
      <w:r>
        <w:separator/>
      </w:r>
    </w:p>
  </w:endnote>
  <w:endnote w:type="continuationSeparator" w:id="0">
    <w:p w14:paraId="1850D983" w14:textId="77777777" w:rsidR="0098301D" w:rsidRDefault="0098301D" w:rsidP="004F5E36">
      <w:r>
        <w:continuationSeparator/>
      </w:r>
    </w:p>
  </w:endnote>
  <w:endnote w:type="continuationNotice" w:id="1">
    <w:p w14:paraId="72E1CB69" w14:textId="77777777" w:rsidR="0098301D" w:rsidRDefault="009830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49ED" w14:textId="77777777" w:rsidR="0098301D" w:rsidRDefault="0098301D" w:rsidP="004F5E36">
      <w:r>
        <w:separator/>
      </w:r>
    </w:p>
  </w:footnote>
  <w:footnote w:type="continuationSeparator" w:id="0">
    <w:p w14:paraId="552DA06B" w14:textId="77777777" w:rsidR="0098301D" w:rsidRDefault="0098301D" w:rsidP="004F5E36">
      <w:r>
        <w:continuationSeparator/>
      </w:r>
    </w:p>
  </w:footnote>
  <w:footnote w:type="continuationNotice" w:id="1">
    <w:p w14:paraId="2EDCC983" w14:textId="77777777" w:rsidR="0098301D" w:rsidRDefault="0098301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5F"/>
    <w:rsid w:val="00001FEE"/>
    <w:rsid w:val="000027C0"/>
    <w:rsid w:val="00002EE6"/>
    <w:rsid w:val="00003E0D"/>
    <w:rsid w:val="000052FB"/>
    <w:rsid w:val="00005A19"/>
    <w:rsid w:val="00007D5A"/>
    <w:rsid w:val="00011174"/>
    <w:rsid w:val="000117CB"/>
    <w:rsid w:val="00020F36"/>
    <w:rsid w:val="0002443C"/>
    <w:rsid w:val="0002498F"/>
    <w:rsid w:val="0003148D"/>
    <w:rsid w:val="00031EEC"/>
    <w:rsid w:val="00033036"/>
    <w:rsid w:val="00034267"/>
    <w:rsid w:val="00035874"/>
    <w:rsid w:val="00036B16"/>
    <w:rsid w:val="000410F0"/>
    <w:rsid w:val="00043C75"/>
    <w:rsid w:val="00044159"/>
    <w:rsid w:val="00045A8E"/>
    <w:rsid w:val="00045BCE"/>
    <w:rsid w:val="00051157"/>
    <w:rsid w:val="00051566"/>
    <w:rsid w:val="00055B91"/>
    <w:rsid w:val="000562A9"/>
    <w:rsid w:val="00062A9A"/>
    <w:rsid w:val="00065058"/>
    <w:rsid w:val="00072F7C"/>
    <w:rsid w:val="0007421E"/>
    <w:rsid w:val="00082434"/>
    <w:rsid w:val="00086C39"/>
    <w:rsid w:val="0008738C"/>
    <w:rsid w:val="00095A20"/>
    <w:rsid w:val="00095A56"/>
    <w:rsid w:val="000969C0"/>
    <w:rsid w:val="000A03B2"/>
    <w:rsid w:val="000A12A6"/>
    <w:rsid w:val="000A5250"/>
    <w:rsid w:val="000A697D"/>
    <w:rsid w:val="000A6A68"/>
    <w:rsid w:val="000C5B88"/>
    <w:rsid w:val="000D0268"/>
    <w:rsid w:val="000D038E"/>
    <w:rsid w:val="000D0478"/>
    <w:rsid w:val="000D0CBC"/>
    <w:rsid w:val="000D2FFD"/>
    <w:rsid w:val="000D34BE"/>
    <w:rsid w:val="000E0B3C"/>
    <w:rsid w:val="000E102F"/>
    <w:rsid w:val="000E36F1"/>
    <w:rsid w:val="000E3A73"/>
    <w:rsid w:val="000E3F99"/>
    <w:rsid w:val="000E414A"/>
    <w:rsid w:val="000E48B1"/>
    <w:rsid w:val="000E6D76"/>
    <w:rsid w:val="000E75FD"/>
    <w:rsid w:val="000F093C"/>
    <w:rsid w:val="000F600C"/>
    <w:rsid w:val="000F787B"/>
    <w:rsid w:val="00100976"/>
    <w:rsid w:val="001014DB"/>
    <w:rsid w:val="00101B74"/>
    <w:rsid w:val="001040BF"/>
    <w:rsid w:val="00105D09"/>
    <w:rsid w:val="00107848"/>
    <w:rsid w:val="001118BF"/>
    <w:rsid w:val="0012091F"/>
    <w:rsid w:val="00121FAB"/>
    <w:rsid w:val="0012346A"/>
    <w:rsid w:val="00126BC2"/>
    <w:rsid w:val="001308B6"/>
    <w:rsid w:val="0013121F"/>
    <w:rsid w:val="00131FE6"/>
    <w:rsid w:val="0013263F"/>
    <w:rsid w:val="001331DF"/>
    <w:rsid w:val="00134DE4"/>
    <w:rsid w:val="0014034D"/>
    <w:rsid w:val="00140FE3"/>
    <w:rsid w:val="00144A51"/>
    <w:rsid w:val="00144D16"/>
    <w:rsid w:val="00147B29"/>
    <w:rsid w:val="00150E59"/>
    <w:rsid w:val="00150F91"/>
    <w:rsid w:val="00151CCD"/>
    <w:rsid w:val="00152DE3"/>
    <w:rsid w:val="00155934"/>
    <w:rsid w:val="00163715"/>
    <w:rsid w:val="00164CF9"/>
    <w:rsid w:val="001650B0"/>
    <w:rsid w:val="0016668E"/>
    <w:rsid w:val="001667A6"/>
    <w:rsid w:val="00166E32"/>
    <w:rsid w:val="00170803"/>
    <w:rsid w:val="00180AE6"/>
    <w:rsid w:val="00181616"/>
    <w:rsid w:val="0018171E"/>
    <w:rsid w:val="001819F3"/>
    <w:rsid w:val="00184AD6"/>
    <w:rsid w:val="001863BA"/>
    <w:rsid w:val="00191BF8"/>
    <w:rsid w:val="001A4AF7"/>
    <w:rsid w:val="001A5487"/>
    <w:rsid w:val="001B0349"/>
    <w:rsid w:val="001B1D17"/>
    <w:rsid w:val="001B1E93"/>
    <w:rsid w:val="001B4FCF"/>
    <w:rsid w:val="001B65C1"/>
    <w:rsid w:val="001C260F"/>
    <w:rsid w:val="001C5004"/>
    <w:rsid w:val="001C5228"/>
    <w:rsid w:val="001C5C3A"/>
    <w:rsid w:val="001C684B"/>
    <w:rsid w:val="001D0CFB"/>
    <w:rsid w:val="001D10D4"/>
    <w:rsid w:val="001D21AF"/>
    <w:rsid w:val="001D3CEC"/>
    <w:rsid w:val="001D3D32"/>
    <w:rsid w:val="001D53FC"/>
    <w:rsid w:val="001D73DC"/>
    <w:rsid w:val="001E40C8"/>
    <w:rsid w:val="001E458F"/>
    <w:rsid w:val="001F42A5"/>
    <w:rsid w:val="001F69E4"/>
    <w:rsid w:val="001F7B9D"/>
    <w:rsid w:val="00200544"/>
    <w:rsid w:val="00201C93"/>
    <w:rsid w:val="00203F12"/>
    <w:rsid w:val="00205946"/>
    <w:rsid w:val="00206485"/>
    <w:rsid w:val="002103ED"/>
    <w:rsid w:val="00210C54"/>
    <w:rsid w:val="00214A86"/>
    <w:rsid w:val="00217059"/>
    <w:rsid w:val="002220EF"/>
    <w:rsid w:val="002224B4"/>
    <w:rsid w:val="0022423A"/>
    <w:rsid w:val="00224FE5"/>
    <w:rsid w:val="002331F3"/>
    <w:rsid w:val="002350E3"/>
    <w:rsid w:val="00235145"/>
    <w:rsid w:val="002447EF"/>
    <w:rsid w:val="00251550"/>
    <w:rsid w:val="00252119"/>
    <w:rsid w:val="00252473"/>
    <w:rsid w:val="00257E95"/>
    <w:rsid w:val="00262CFC"/>
    <w:rsid w:val="00263B05"/>
    <w:rsid w:val="0027080F"/>
    <w:rsid w:val="0027151F"/>
    <w:rsid w:val="00271FDE"/>
    <w:rsid w:val="0027221A"/>
    <w:rsid w:val="00273E9B"/>
    <w:rsid w:val="00275B61"/>
    <w:rsid w:val="00280FAF"/>
    <w:rsid w:val="00281F3C"/>
    <w:rsid w:val="002823EB"/>
    <w:rsid w:val="00282656"/>
    <w:rsid w:val="00285BF5"/>
    <w:rsid w:val="00287335"/>
    <w:rsid w:val="00287C75"/>
    <w:rsid w:val="00294CC9"/>
    <w:rsid w:val="00295826"/>
    <w:rsid w:val="002966E1"/>
    <w:rsid w:val="00296B83"/>
    <w:rsid w:val="0029707C"/>
    <w:rsid w:val="002A1BA6"/>
    <w:rsid w:val="002A6499"/>
    <w:rsid w:val="002B1156"/>
    <w:rsid w:val="002B18C0"/>
    <w:rsid w:val="002B1D3F"/>
    <w:rsid w:val="002B4015"/>
    <w:rsid w:val="002B78CE"/>
    <w:rsid w:val="002C042C"/>
    <w:rsid w:val="002C172C"/>
    <w:rsid w:val="002C2FB6"/>
    <w:rsid w:val="002D2B30"/>
    <w:rsid w:val="002D3BDC"/>
    <w:rsid w:val="002D5DD8"/>
    <w:rsid w:val="002E5FA7"/>
    <w:rsid w:val="002F2230"/>
    <w:rsid w:val="002F3309"/>
    <w:rsid w:val="002F4E73"/>
    <w:rsid w:val="003008CE"/>
    <w:rsid w:val="003009B7"/>
    <w:rsid w:val="00300E56"/>
    <w:rsid w:val="0030152C"/>
    <w:rsid w:val="003026FF"/>
    <w:rsid w:val="0030469C"/>
    <w:rsid w:val="00304B74"/>
    <w:rsid w:val="00304CE8"/>
    <w:rsid w:val="003135DA"/>
    <w:rsid w:val="00314DAE"/>
    <w:rsid w:val="00317BFE"/>
    <w:rsid w:val="003207DC"/>
    <w:rsid w:val="00321CA6"/>
    <w:rsid w:val="00323763"/>
    <w:rsid w:val="00323C5F"/>
    <w:rsid w:val="00325C53"/>
    <w:rsid w:val="00327980"/>
    <w:rsid w:val="00327A31"/>
    <w:rsid w:val="00330EB2"/>
    <w:rsid w:val="00334C09"/>
    <w:rsid w:val="0033535B"/>
    <w:rsid w:val="00335B7E"/>
    <w:rsid w:val="003364F7"/>
    <w:rsid w:val="00340D43"/>
    <w:rsid w:val="00346F62"/>
    <w:rsid w:val="003504ED"/>
    <w:rsid w:val="00363143"/>
    <w:rsid w:val="00365DB6"/>
    <w:rsid w:val="00367C8F"/>
    <w:rsid w:val="003723D4"/>
    <w:rsid w:val="00376636"/>
    <w:rsid w:val="00376C59"/>
    <w:rsid w:val="00381905"/>
    <w:rsid w:val="0038206A"/>
    <w:rsid w:val="00384CC8"/>
    <w:rsid w:val="00385F5D"/>
    <w:rsid w:val="00386F8B"/>
    <w:rsid w:val="003871FD"/>
    <w:rsid w:val="00390810"/>
    <w:rsid w:val="00396CFD"/>
    <w:rsid w:val="00396E88"/>
    <w:rsid w:val="003A1E30"/>
    <w:rsid w:val="003A2829"/>
    <w:rsid w:val="003A7D1C"/>
    <w:rsid w:val="003B02E1"/>
    <w:rsid w:val="003B19F3"/>
    <w:rsid w:val="003B304B"/>
    <w:rsid w:val="003B3146"/>
    <w:rsid w:val="003B49CD"/>
    <w:rsid w:val="003B6A2A"/>
    <w:rsid w:val="003C5795"/>
    <w:rsid w:val="003C58F7"/>
    <w:rsid w:val="003C61BE"/>
    <w:rsid w:val="003C68B9"/>
    <w:rsid w:val="003D1E02"/>
    <w:rsid w:val="003D32F3"/>
    <w:rsid w:val="003E1BDE"/>
    <w:rsid w:val="003E6D60"/>
    <w:rsid w:val="003F015E"/>
    <w:rsid w:val="003F07F7"/>
    <w:rsid w:val="003F2C08"/>
    <w:rsid w:val="003F3F9B"/>
    <w:rsid w:val="003F4DDB"/>
    <w:rsid w:val="003F6CD8"/>
    <w:rsid w:val="00400414"/>
    <w:rsid w:val="00401D29"/>
    <w:rsid w:val="0040280C"/>
    <w:rsid w:val="00403D15"/>
    <w:rsid w:val="00404362"/>
    <w:rsid w:val="00407971"/>
    <w:rsid w:val="0041099F"/>
    <w:rsid w:val="00410CBC"/>
    <w:rsid w:val="004126C0"/>
    <w:rsid w:val="0041446B"/>
    <w:rsid w:val="00417554"/>
    <w:rsid w:val="00422EA8"/>
    <w:rsid w:val="00422ED7"/>
    <w:rsid w:val="00431BAD"/>
    <w:rsid w:val="004346F4"/>
    <w:rsid w:val="004347CE"/>
    <w:rsid w:val="0044071E"/>
    <w:rsid w:val="00441C91"/>
    <w:rsid w:val="0044317D"/>
    <w:rsid w:val="0044329C"/>
    <w:rsid w:val="00450422"/>
    <w:rsid w:val="00453E24"/>
    <w:rsid w:val="004552E1"/>
    <w:rsid w:val="00455F64"/>
    <w:rsid w:val="00457456"/>
    <w:rsid w:val="004577FE"/>
    <w:rsid w:val="00457B9C"/>
    <w:rsid w:val="0046164A"/>
    <w:rsid w:val="004628D2"/>
    <w:rsid w:val="00462DCD"/>
    <w:rsid w:val="00462F84"/>
    <w:rsid w:val="00462FA0"/>
    <w:rsid w:val="004648AD"/>
    <w:rsid w:val="004703A9"/>
    <w:rsid w:val="0047180C"/>
    <w:rsid w:val="004760DE"/>
    <w:rsid w:val="004763D7"/>
    <w:rsid w:val="004779DE"/>
    <w:rsid w:val="00484D0E"/>
    <w:rsid w:val="0048785C"/>
    <w:rsid w:val="004912A4"/>
    <w:rsid w:val="00492FAA"/>
    <w:rsid w:val="0049765A"/>
    <w:rsid w:val="004A004E"/>
    <w:rsid w:val="004A00DF"/>
    <w:rsid w:val="004A24CF"/>
    <w:rsid w:val="004A5D68"/>
    <w:rsid w:val="004A5E12"/>
    <w:rsid w:val="004A7413"/>
    <w:rsid w:val="004B1EAB"/>
    <w:rsid w:val="004C1600"/>
    <w:rsid w:val="004C1C9B"/>
    <w:rsid w:val="004C2546"/>
    <w:rsid w:val="004C3D1D"/>
    <w:rsid w:val="004C3D84"/>
    <w:rsid w:val="004C7913"/>
    <w:rsid w:val="004D0CF5"/>
    <w:rsid w:val="004D174F"/>
    <w:rsid w:val="004D2C7D"/>
    <w:rsid w:val="004E05AE"/>
    <w:rsid w:val="004E17FB"/>
    <w:rsid w:val="004E3309"/>
    <w:rsid w:val="004E4DD6"/>
    <w:rsid w:val="004E4FFF"/>
    <w:rsid w:val="004E67DE"/>
    <w:rsid w:val="004F08C8"/>
    <w:rsid w:val="004F2E93"/>
    <w:rsid w:val="004F3A63"/>
    <w:rsid w:val="004F5E36"/>
    <w:rsid w:val="00503BBB"/>
    <w:rsid w:val="00503FD0"/>
    <w:rsid w:val="00504013"/>
    <w:rsid w:val="00506ACE"/>
    <w:rsid w:val="00506E2C"/>
    <w:rsid w:val="00507B47"/>
    <w:rsid w:val="00507BEF"/>
    <w:rsid w:val="00507CC9"/>
    <w:rsid w:val="005119A5"/>
    <w:rsid w:val="0052329B"/>
    <w:rsid w:val="005275C3"/>
    <w:rsid w:val="005278B7"/>
    <w:rsid w:val="00531241"/>
    <w:rsid w:val="00532016"/>
    <w:rsid w:val="005346C8"/>
    <w:rsid w:val="0053518B"/>
    <w:rsid w:val="00535892"/>
    <w:rsid w:val="00536799"/>
    <w:rsid w:val="00537947"/>
    <w:rsid w:val="005402BF"/>
    <w:rsid w:val="00543751"/>
    <w:rsid w:val="00543E7D"/>
    <w:rsid w:val="0054467D"/>
    <w:rsid w:val="00546784"/>
    <w:rsid w:val="00546C15"/>
    <w:rsid w:val="00547A68"/>
    <w:rsid w:val="00550C4E"/>
    <w:rsid w:val="005531C9"/>
    <w:rsid w:val="00553451"/>
    <w:rsid w:val="005540CF"/>
    <w:rsid w:val="00554879"/>
    <w:rsid w:val="00555188"/>
    <w:rsid w:val="00560997"/>
    <w:rsid w:val="00561CEF"/>
    <w:rsid w:val="00562E45"/>
    <w:rsid w:val="00565A00"/>
    <w:rsid w:val="00570C43"/>
    <w:rsid w:val="0057377E"/>
    <w:rsid w:val="005773B8"/>
    <w:rsid w:val="005817DF"/>
    <w:rsid w:val="00587ED7"/>
    <w:rsid w:val="005908A1"/>
    <w:rsid w:val="00592274"/>
    <w:rsid w:val="00595E05"/>
    <w:rsid w:val="005A2243"/>
    <w:rsid w:val="005A4200"/>
    <w:rsid w:val="005A4A56"/>
    <w:rsid w:val="005A6E75"/>
    <w:rsid w:val="005B2110"/>
    <w:rsid w:val="005B350B"/>
    <w:rsid w:val="005B61E6"/>
    <w:rsid w:val="005B6C20"/>
    <w:rsid w:val="005C0350"/>
    <w:rsid w:val="005C6886"/>
    <w:rsid w:val="005C77E1"/>
    <w:rsid w:val="005D10A3"/>
    <w:rsid w:val="005D1C54"/>
    <w:rsid w:val="005D246C"/>
    <w:rsid w:val="005D2CFD"/>
    <w:rsid w:val="005D4018"/>
    <w:rsid w:val="005D668A"/>
    <w:rsid w:val="005D6A2F"/>
    <w:rsid w:val="005E0592"/>
    <w:rsid w:val="005E1A82"/>
    <w:rsid w:val="005E3FEB"/>
    <w:rsid w:val="005E5E9A"/>
    <w:rsid w:val="005E60DC"/>
    <w:rsid w:val="005E794C"/>
    <w:rsid w:val="005F0A28"/>
    <w:rsid w:val="005F0CC5"/>
    <w:rsid w:val="005F0E5E"/>
    <w:rsid w:val="005F3EC6"/>
    <w:rsid w:val="005F4105"/>
    <w:rsid w:val="00600535"/>
    <w:rsid w:val="00610CD6"/>
    <w:rsid w:val="006123F0"/>
    <w:rsid w:val="00613B32"/>
    <w:rsid w:val="00616947"/>
    <w:rsid w:val="006173B8"/>
    <w:rsid w:val="00620DEE"/>
    <w:rsid w:val="00621F92"/>
    <w:rsid w:val="00622274"/>
    <w:rsid w:val="0062280A"/>
    <w:rsid w:val="00622927"/>
    <w:rsid w:val="006231E1"/>
    <w:rsid w:val="00625639"/>
    <w:rsid w:val="00626342"/>
    <w:rsid w:val="00631B33"/>
    <w:rsid w:val="006402C7"/>
    <w:rsid w:val="0064120E"/>
    <w:rsid w:val="0064184D"/>
    <w:rsid w:val="0064191F"/>
    <w:rsid w:val="006422CC"/>
    <w:rsid w:val="00650F54"/>
    <w:rsid w:val="00651D18"/>
    <w:rsid w:val="00651FA0"/>
    <w:rsid w:val="00652A83"/>
    <w:rsid w:val="00652E53"/>
    <w:rsid w:val="006539F7"/>
    <w:rsid w:val="0065604B"/>
    <w:rsid w:val="006570F9"/>
    <w:rsid w:val="00657A02"/>
    <w:rsid w:val="00660E3E"/>
    <w:rsid w:val="00661C79"/>
    <w:rsid w:val="00662E74"/>
    <w:rsid w:val="00667A98"/>
    <w:rsid w:val="00670B4F"/>
    <w:rsid w:val="0068073C"/>
    <w:rsid w:val="00680C23"/>
    <w:rsid w:val="006836C6"/>
    <w:rsid w:val="00683E23"/>
    <w:rsid w:val="0068474B"/>
    <w:rsid w:val="00685301"/>
    <w:rsid w:val="0068584A"/>
    <w:rsid w:val="00686D98"/>
    <w:rsid w:val="00687A25"/>
    <w:rsid w:val="006934A3"/>
    <w:rsid w:val="00693766"/>
    <w:rsid w:val="00694103"/>
    <w:rsid w:val="00697343"/>
    <w:rsid w:val="006A2940"/>
    <w:rsid w:val="006A3281"/>
    <w:rsid w:val="006A366A"/>
    <w:rsid w:val="006A39D3"/>
    <w:rsid w:val="006A4E3E"/>
    <w:rsid w:val="006A6758"/>
    <w:rsid w:val="006A6DE5"/>
    <w:rsid w:val="006A7406"/>
    <w:rsid w:val="006B1B30"/>
    <w:rsid w:val="006B2413"/>
    <w:rsid w:val="006B36FE"/>
    <w:rsid w:val="006B4888"/>
    <w:rsid w:val="006B4EB2"/>
    <w:rsid w:val="006B5344"/>
    <w:rsid w:val="006B725A"/>
    <w:rsid w:val="006C20A8"/>
    <w:rsid w:val="006C2E45"/>
    <w:rsid w:val="006C359C"/>
    <w:rsid w:val="006C5579"/>
    <w:rsid w:val="006D0132"/>
    <w:rsid w:val="006D3765"/>
    <w:rsid w:val="006D6E8B"/>
    <w:rsid w:val="006D7209"/>
    <w:rsid w:val="006E737D"/>
    <w:rsid w:val="006F4306"/>
    <w:rsid w:val="006F530D"/>
    <w:rsid w:val="006F75BE"/>
    <w:rsid w:val="00700E7C"/>
    <w:rsid w:val="007035FE"/>
    <w:rsid w:val="00704D9A"/>
    <w:rsid w:val="00705579"/>
    <w:rsid w:val="00707DD1"/>
    <w:rsid w:val="00707FEE"/>
    <w:rsid w:val="00711732"/>
    <w:rsid w:val="00713973"/>
    <w:rsid w:val="00715D9C"/>
    <w:rsid w:val="00717163"/>
    <w:rsid w:val="00720A24"/>
    <w:rsid w:val="007227D1"/>
    <w:rsid w:val="0072482E"/>
    <w:rsid w:val="007251C1"/>
    <w:rsid w:val="00726ED9"/>
    <w:rsid w:val="007305F6"/>
    <w:rsid w:val="00731769"/>
    <w:rsid w:val="00732386"/>
    <w:rsid w:val="00732C0C"/>
    <w:rsid w:val="0073514D"/>
    <w:rsid w:val="0073531B"/>
    <w:rsid w:val="007447F3"/>
    <w:rsid w:val="0074731D"/>
    <w:rsid w:val="00750A5D"/>
    <w:rsid w:val="00752DC2"/>
    <w:rsid w:val="00753ABF"/>
    <w:rsid w:val="0075499F"/>
    <w:rsid w:val="0075634F"/>
    <w:rsid w:val="007661C8"/>
    <w:rsid w:val="00767C71"/>
    <w:rsid w:val="0077098D"/>
    <w:rsid w:val="00773A6F"/>
    <w:rsid w:val="00785BF9"/>
    <w:rsid w:val="007877B3"/>
    <w:rsid w:val="007931FA"/>
    <w:rsid w:val="00793734"/>
    <w:rsid w:val="00797BC2"/>
    <w:rsid w:val="007A3642"/>
    <w:rsid w:val="007A4861"/>
    <w:rsid w:val="007A7BBA"/>
    <w:rsid w:val="007B0C50"/>
    <w:rsid w:val="007B1AE7"/>
    <w:rsid w:val="007B2E72"/>
    <w:rsid w:val="007B3178"/>
    <w:rsid w:val="007B48F9"/>
    <w:rsid w:val="007B7780"/>
    <w:rsid w:val="007C0067"/>
    <w:rsid w:val="007C1A43"/>
    <w:rsid w:val="007C1A94"/>
    <w:rsid w:val="007C1EBE"/>
    <w:rsid w:val="007C69F1"/>
    <w:rsid w:val="007D0951"/>
    <w:rsid w:val="007D610D"/>
    <w:rsid w:val="007D626A"/>
    <w:rsid w:val="007D65EA"/>
    <w:rsid w:val="007D720A"/>
    <w:rsid w:val="007E34F1"/>
    <w:rsid w:val="007F143E"/>
    <w:rsid w:val="007F1737"/>
    <w:rsid w:val="007F58B7"/>
    <w:rsid w:val="0080013E"/>
    <w:rsid w:val="00801759"/>
    <w:rsid w:val="00805D70"/>
    <w:rsid w:val="0081235E"/>
    <w:rsid w:val="00813288"/>
    <w:rsid w:val="008168FC"/>
    <w:rsid w:val="00821E2B"/>
    <w:rsid w:val="0082299B"/>
    <w:rsid w:val="00824E8D"/>
    <w:rsid w:val="008262F4"/>
    <w:rsid w:val="00830996"/>
    <w:rsid w:val="008345F1"/>
    <w:rsid w:val="0083628C"/>
    <w:rsid w:val="008410AC"/>
    <w:rsid w:val="00843708"/>
    <w:rsid w:val="0084712D"/>
    <w:rsid w:val="00847A00"/>
    <w:rsid w:val="00865B07"/>
    <w:rsid w:val="008667EA"/>
    <w:rsid w:val="00870F75"/>
    <w:rsid w:val="00873BF4"/>
    <w:rsid w:val="008751A6"/>
    <w:rsid w:val="0087637F"/>
    <w:rsid w:val="008768DE"/>
    <w:rsid w:val="00877FF7"/>
    <w:rsid w:val="00880107"/>
    <w:rsid w:val="008850D6"/>
    <w:rsid w:val="008851E7"/>
    <w:rsid w:val="008861D5"/>
    <w:rsid w:val="00892AD5"/>
    <w:rsid w:val="00893296"/>
    <w:rsid w:val="008941BF"/>
    <w:rsid w:val="008A1512"/>
    <w:rsid w:val="008A3A19"/>
    <w:rsid w:val="008A5B8E"/>
    <w:rsid w:val="008A6228"/>
    <w:rsid w:val="008A75CB"/>
    <w:rsid w:val="008B167C"/>
    <w:rsid w:val="008B215B"/>
    <w:rsid w:val="008B3AD2"/>
    <w:rsid w:val="008B4777"/>
    <w:rsid w:val="008B4B48"/>
    <w:rsid w:val="008B7706"/>
    <w:rsid w:val="008C143C"/>
    <w:rsid w:val="008C194D"/>
    <w:rsid w:val="008C2F7B"/>
    <w:rsid w:val="008D32B9"/>
    <w:rsid w:val="008D3D95"/>
    <w:rsid w:val="008D433B"/>
    <w:rsid w:val="008D4A16"/>
    <w:rsid w:val="008D6F7A"/>
    <w:rsid w:val="008E2638"/>
    <w:rsid w:val="008E3E4B"/>
    <w:rsid w:val="008E5401"/>
    <w:rsid w:val="008E566E"/>
    <w:rsid w:val="008E59C4"/>
    <w:rsid w:val="008E62B7"/>
    <w:rsid w:val="008F7CFB"/>
    <w:rsid w:val="008F7D23"/>
    <w:rsid w:val="00900894"/>
    <w:rsid w:val="00900FBF"/>
    <w:rsid w:val="0090161A"/>
    <w:rsid w:val="00901EB6"/>
    <w:rsid w:val="00901FA2"/>
    <w:rsid w:val="009041F8"/>
    <w:rsid w:val="00904C62"/>
    <w:rsid w:val="00905F97"/>
    <w:rsid w:val="009100F1"/>
    <w:rsid w:val="009117A3"/>
    <w:rsid w:val="00913A56"/>
    <w:rsid w:val="0091519F"/>
    <w:rsid w:val="00915CF0"/>
    <w:rsid w:val="00916933"/>
    <w:rsid w:val="009202F8"/>
    <w:rsid w:val="00921222"/>
    <w:rsid w:val="00922864"/>
    <w:rsid w:val="00922BA8"/>
    <w:rsid w:val="00923FEE"/>
    <w:rsid w:val="00924DAC"/>
    <w:rsid w:val="009265BE"/>
    <w:rsid w:val="00927058"/>
    <w:rsid w:val="009324F2"/>
    <w:rsid w:val="00933D4C"/>
    <w:rsid w:val="00936092"/>
    <w:rsid w:val="00936F42"/>
    <w:rsid w:val="00941EC1"/>
    <w:rsid w:val="00942750"/>
    <w:rsid w:val="009450CE"/>
    <w:rsid w:val="009459BB"/>
    <w:rsid w:val="00946DA7"/>
    <w:rsid w:val="00947179"/>
    <w:rsid w:val="00947D3B"/>
    <w:rsid w:val="00950295"/>
    <w:rsid w:val="0095164B"/>
    <w:rsid w:val="00954090"/>
    <w:rsid w:val="009573E7"/>
    <w:rsid w:val="00961450"/>
    <w:rsid w:val="00961908"/>
    <w:rsid w:val="0096302E"/>
    <w:rsid w:val="0096307D"/>
    <w:rsid w:val="009638A8"/>
    <w:rsid w:val="00963E05"/>
    <w:rsid w:val="00964A45"/>
    <w:rsid w:val="00967843"/>
    <w:rsid w:val="00967D54"/>
    <w:rsid w:val="00971028"/>
    <w:rsid w:val="0097102A"/>
    <w:rsid w:val="00974AF4"/>
    <w:rsid w:val="00980E63"/>
    <w:rsid w:val="0098301D"/>
    <w:rsid w:val="0098588E"/>
    <w:rsid w:val="00993B84"/>
    <w:rsid w:val="00994C2D"/>
    <w:rsid w:val="00994C6A"/>
    <w:rsid w:val="00996483"/>
    <w:rsid w:val="00996F5A"/>
    <w:rsid w:val="009A2262"/>
    <w:rsid w:val="009A3AC9"/>
    <w:rsid w:val="009A61A2"/>
    <w:rsid w:val="009A7E72"/>
    <w:rsid w:val="009B041A"/>
    <w:rsid w:val="009B1D53"/>
    <w:rsid w:val="009B3C0F"/>
    <w:rsid w:val="009B6E57"/>
    <w:rsid w:val="009C37C3"/>
    <w:rsid w:val="009C4DC0"/>
    <w:rsid w:val="009C4F89"/>
    <w:rsid w:val="009C7C86"/>
    <w:rsid w:val="009C7EF0"/>
    <w:rsid w:val="009D00B6"/>
    <w:rsid w:val="009D1B43"/>
    <w:rsid w:val="009D2FF7"/>
    <w:rsid w:val="009D5060"/>
    <w:rsid w:val="009E2F9B"/>
    <w:rsid w:val="009E625D"/>
    <w:rsid w:val="009E7884"/>
    <w:rsid w:val="009E788A"/>
    <w:rsid w:val="009F0E08"/>
    <w:rsid w:val="009F54BD"/>
    <w:rsid w:val="00A05FFC"/>
    <w:rsid w:val="00A079AE"/>
    <w:rsid w:val="00A16DC8"/>
    <w:rsid w:val="00A1763D"/>
    <w:rsid w:val="00A17CEC"/>
    <w:rsid w:val="00A204C6"/>
    <w:rsid w:val="00A23861"/>
    <w:rsid w:val="00A23A6C"/>
    <w:rsid w:val="00A24EF9"/>
    <w:rsid w:val="00A27EF0"/>
    <w:rsid w:val="00A35889"/>
    <w:rsid w:val="00A36B21"/>
    <w:rsid w:val="00A36DC8"/>
    <w:rsid w:val="00A42361"/>
    <w:rsid w:val="00A459B7"/>
    <w:rsid w:val="00A5049B"/>
    <w:rsid w:val="00A50B20"/>
    <w:rsid w:val="00A51390"/>
    <w:rsid w:val="00A5472E"/>
    <w:rsid w:val="00A601C6"/>
    <w:rsid w:val="00A60D13"/>
    <w:rsid w:val="00A613A8"/>
    <w:rsid w:val="00A61CA7"/>
    <w:rsid w:val="00A7223D"/>
    <w:rsid w:val="00A723CF"/>
    <w:rsid w:val="00A724BF"/>
    <w:rsid w:val="00A72745"/>
    <w:rsid w:val="00A73DCD"/>
    <w:rsid w:val="00A76EFC"/>
    <w:rsid w:val="00A77C5E"/>
    <w:rsid w:val="00A823A6"/>
    <w:rsid w:val="00A82D0B"/>
    <w:rsid w:val="00A838A3"/>
    <w:rsid w:val="00A8565A"/>
    <w:rsid w:val="00A87D50"/>
    <w:rsid w:val="00A90675"/>
    <w:rsid w:val="00A90A5C"/>
    <w:rsid w:val="00A91010"/>
    <w:rsid w:val="00A91F69"/>
    <w:rsid w:val="00A94745"/>
    <w:rsid w:val="00A94BE8"/>
    <w:rsid w:val="00A95664"/>
    <w:rsid w:val="00A97F29"/>
    <w:rsid w:val="00AA5E62"/>
    <w:rsid w:val="00AA702E"/>
    <w:rsid w:val="00AA7D26"/>
    <w:rsid w:val="00AB0964"/>
    <w:rsid w:val="00AB1041"/>
    <w:rsid w:val="00AB1109"/>
    <w:rsid w:val="00AB5011"/>
    <w:rsid w:val="00AB620F"/>
    <w:rsid w:val="00AC0AB8"/>
    <w:rsid w:val="00AC193E"/>
    <w:rsid w:val="00AC1C61"/>
    <w:rsid w:val="00AC28BA"/>
    <w:rsid w:val="00AC4D5D"/>
    <w:rsid w:val="00AC7368"/>
    <w:rsid w:val="00AD16B9"/>
    <w:rsid w:val="00AD1CC5"/>
    <w:rsid w:val="00AD5075"/>
    <w:rsid w:val="00AE0314"/>
    <w:rsid w:val="00AE377D"/>
    <w:rsid w:val="00AE4036"/>
    <w:rsid w:val="00AE4B12"/>
    <w:rsid w:val="00AF0D43"/>
    <w:rsid w:val="00AF0EBA"/>
    <w:rsid w:val="00AF2463"/>
    <w:rsid w:val="00AF4AD5"/>
    <w:rsid w:val="00B01764"/>
    <w:rsid w:val="00B02C8A"/>
    <w:rsid w:val="00B11EE9"/>
    <w:rsid w:val="00B14929"/>
    <w:rsid w:val="00B17FBD"/>
    <w:rsid w:val="00B3032D"/>
    <w:rsid w:val="00B315A6"/>
    <w:rsid w:val="00B31813"/>
    <w:rsid w:val="00B31BFE"/>
    <w:rsid w:val="00B33365"/>
    <w:rsid w:val="00B36A28"/>
    <w:rsid w:val="00B40510"/>
    <w:rsid w:val="00B4142F"/>
    <w:rsid w:val="00B41647"/>
    <w:rsid w:val="00B41EEC"/>
    <w:rsid w:val="00B50D74"/>
    <w:rsid w:val="00B5104B"/>
    <w:rsid w:val="00B52199"/>
    <w:rsid w:val="00B54AAA"/>
    <w:rsid w:val="00B55C49"/>
    <w:rsid w:val="00B57B36"/>
    <w:rsid w:val="00B57E6F"/>
    <w:rsid w:val="00B60097"/>
    <w:rsid w:val="00B61891"/>
    <w:rsid w:val="00B61E39"/>
    <w:rsid w:val="00B65EBF"/>
    <w:rsid w:val="00B7162B"/>
    <w:rsid w:val="00B71FD4"/>
    <w:rsid w:val="00B754DE"/>
    <w:rsid w:val="00B75EF9"/>
    <w:rsid w:val="00B81474"/>
    <w:rsid w:val="00B82867"/>
    <w:rsid w:val="00B8686D"/>
    <w:rsid w:val="00B87FF8"/>
    <w:rsid w:val="00B90BE9"/>
    <w:rsid w:val="00B9327E"/>
    <w:rsid w:val="00B93AD6"/>
    <w:rsid w:val="00B93F69"/>
    <w:rsid w:val="00B95626"/>
    <w:rsid w:val="00BA02AD"/>
    <w:rsid w:val="00BA0C33"/>
    <w:rsid w:val="00BA109F"/>
    <w:rsid w:val="00BB08E1"/>
    <w:rsid w:val="00BB1DDC"/>
    <w:rsid w:val="00BB3EF1"/>
    <w:rsid w:val="00BC2E71"/>
    <w:rsid w:val="00BC30C9"/>
    <w:rsid w:val="00BC579E"/>
    <w:rsid w:val="00BC64A0"/>
    <w:rsid w:val="00BC70BF"/>
    <w:rsid w:val="00BC796C"/>
    <w:rsid w:val="00BD077D"/>
    <w:rsid w:val="00BD22DC"/>
    <w:rsid w:val="00BD6E07"/>
    <w:rsid w:val="00BE229E"/>
    <w:rsid w:val="00BE3E58"/>
    <w:rsid w:val="00BE6ECD"/>
    <w:rsid w:val="00BF13CE"/>
    <w:rsid w:val="00BF4F86"/>
    <w:rsid w:val="00BF542A"/>
    <w:rsid w:val="00BF54EB"/>
    <w:rsid w:val="00C0071C"/>
    <w:rsid w:val="00C01616"/>
    <w:rsid w:val="00C0162B"/>
    <w:rsid w:val="00C056D8"/>
    <w:rsid w:val="00C068ED"/>
    <w:rsid w:val="00C13CAC"/>
    <w:rsid w:val="00C14839"/>
    <w:rsid w:val="00C22E0C"/>
    <w:rsid w:val="00C23436"/>
    <w:rsid w:val="00C24EBC"/>
    <w:rsid w:val="00C25D30"/>
    <w:rsid w:val="00C25E84"/>
    <w:rsid w:val="00C268CB"/>
    <w:rsid w:val="00C345B1"/>
    <w:rsid w:val="00C40142"/>
    <w:rsid w:val="00C40175"/>
    <w:rsid w:val="00C42E97"/>
    <w:rsid w:val="00C43DC3"/>
    <w:rsid w:val="00C45EB7"/>
    <w:rsid w:val="00C52C3C"/>
    <w:rsid w:val="00C53DD0"/>
    <w:rsid w:val="00C56418"/>
    <w:rsid w:val="00C57182"/>
    <w:rsid w:val="00C5748B"/>
    <w:rsid w:val="00C57863"/>
    <w:rsid w:val="00C640AF"/>
    <w:rsid w:val="00C655FD"/>
    <w:rsid w:val="00C65CC7"/>
    <w:rsid w:val="00C66FB0"/>
    <w:rsid w:val="00C72372"/>
    <w:rsid w:val="00C75407"/>
    <w:rsid w:val="00C77B7A"/>
    <w:rsid w:val="00C839A6"/>
    <w:rsid w:val="00C83E7E"/>
    <w:rsid w:val="00C841C6"/>
    <w:rsid w:val="00C85F7B"/>
    <w:rsid w:val="00C870A8"/>
    <w:rsid w:val="00C87DF3"/>
    <w:rsid w:val="00C908AF"/>
    <w:rsid w:val="00C94434"/>
    <w:rsid w:val="00CA0D75"/>
    <w:rsid w:val="00CA1C95"/>
    <w:rsid w:val="00CA5A9C"/>
    <w:rsid w:val="00CA7ABE"/>
    <w:rsid w:val="00CC4C20"/>
    <w:rsid w:val="00CC4E37"/>
    <w:rsid w:val="00CC5559"/>
    <w:rsid w:val="00CD0F51"/>
    <w:rsid w:val="00CD1E42"/>
    <w:rsid w:val="00CD3517"/>
    <w:rsid w:val="00CD53EC"/>
    <w:rsid w:val="00CD5FE2"/>
    <w:rsid w:val="00CD71D0"/>
    <w:rsid w:val="00CE036D"/>
    <w:rsid w:val="00CE401C"/>
    <w:rsid w:val="00CE5E3F"/>
    <w:rsid w:val="00CE662A"/>
    <w:rsid w:val="00CE7C68"/>
    <w:rsid w:val="00CF158B"/>
    <w:rsid w:val="00CF3ABB"/>
    <w:rsid w:val="00CF7731"/>
    <w:rsid w:val="00D02240"/>
    <w:rsid w:val="00D02B4C"/>
    <w:rsid w:val="00D040C4"/>
    <w:rsid w:val="00D041FC"/>
    <w:rsid w:val="00D1069D"/>
    <w:rsid w:val="00D14F3A"/>
    <w:rsid w:val="00D17F51"/>
    <w:rsid w:val="00D20478"/>
    <w:rsid w:val="00D20926"/>
    <w:rsid w:val="00D20AD1"/>
    <w:rsid w:val="00D224DB"/>
    <w:rsid w:val="00D24998"/>
    <w:rsid w:val="00D2582C"/>
    <w:rsid w:val="00D26AAC"/>
    <w:rsid w:val="00D31128"/>
    <w:rsid w:val="00D34A92"/>
    <w:rsid w:val="00D35F86"/>
    <w:rsid w:val="00D377A9"/>
    <w:rsid w:val="00D4510A"/>
    <w:rsid w:val="00D45452"/>
    <w:rsid w:val="00D46B7E"/>
    <w:rsid w:val="00D51998"/>
    <w:rsid w:val="00D55B25"/>
    <w:rsid w:val="00D55C01"/>
    <w:rsid w:val="00D56F71"/>
    <w:rsid w:val="00D57C84"/>
    <w:rsid w:val="00D6057D"/>
    <w:rsid w:val="00D62070"/>
    <w:rsid w:val="00D70C4B"/>
    <w:rsid w:val="00D71640"/>
    <w:rsid w:val="00D74D30"/>
    <w:rsid w:val="00D8116F"/>
    <w:rsid w:val="00D82464"/>
    <w:rsid w:val="00D836C5"/>
    <w:rsid w:val="00D84576"/>
    <w:rsid w:val="00D91242"/>
    <w:rsid w:val="00D93923"/>
    <w:rsid w:val="00D94012"/>
    <w:rsid w:val="00D974B2"/>
    <w:rsid w:val="00DA05A6"/>
    <w:rsid w:val="00DA0749"/>
    <w:rsid w:val="00DA0CDF"/>
    <w:rsid w:val="00DA1399"/>
    <w:rsid w:val="00DA1B24"/>
    <w:rsid w:val="00DA24C6"/>
    <w:rsid w:val="00DA395C"/>
    <w:rsid w:val="00DA4D7B"/>
    <w:rsid w:val="00DA5B92"/>
    <w:rsid w:val="00DC2840"/>
    <w:rsid w:val="00DC4805"/>
    <w:rsid w:val="00DC5E8E"/>
    <w:rsid w:val="00DC67AB"/>
    <w:rsid w:val="00DC73EE"/>
    <w:rsid w:val="00DD0439"/>
    <w:rsid w:val="00DD1BA1"/>
    <w:rsid w:val="00DD271C"/>
    <w:rsid w:val="00DD2BAF"/>
    <w:rsid w:val="00DD2DD6"/>
    <w:rsid w:val="00DD59F8"/>
    <w:rsid w:val="00DE264A"/>
    <w:rsid w:val="00DE2ECC"/>
    <w:rsid w:val="00DE6778"/>
    <w:rsid w:val="00DF178E"/>
    <w:rsid w:val="00DF1819"/>
    <w:rsid w:val="00DF1CE1"/>
    <w:rsid w:val="00DF3E3C"/>
    <w:rsid w:val="00DF5072"/>
    <w:rsid w:val="00DF5C5D"/>
    <w:rsid w:val="00E000DF"/>
    <w:rsid w:val="00E02D18"/>
    <w:rsid w:val="00E041E7"/>
    <w:rsid w:val="00E06B53"/>
    <w:rsid w:val="00E1216F"/>
    <w:rsid w:val="00E143D7"/>
    <w:rsid w:val="00E1497E"/>
    <w:rsid w:val="00E157D3"/>
    <w:rsid w:val="00E17FAB"/>
    <w:rsid w:val="00E2012D"/>
    <w:rsid w:val="00E23378"/>
    <w:rsid w:val="00E23CA1"/>
    <w:rsid w:val="00E33C3A"/>
    <w:rsid w:val="00E36A26"/>
    <w:rsid w:val="00E37611"/>
    <w:rsid w:val="00E409A8"/>
    <w:rsid w:val="00E47989"/>
    <w:rsid w:val="00E50C12"/>
    <w:rsid w:val="00E52463"/>
    <w:rsid w:val="00E52645"/>
    <w:rsid w:val="00E549FA"/>
    <w:rsid w:val="00E54ADD"/>
    <w:rsid w:val="00E61422"/>
    <w:rsid w:val="00E634D1"/>
    <w:rsid w:val="00E65B91"/>
    <w:rsid w:val="00E7209D"/>
    <w:rsid w:val="00E72EAD"/>
    <w:rsid w:val="00E77223"/>
    <w:rsid w:val="00E80E10"/>
    <w:rsid w:val="00E8528B"/>
    <w:rsid w:val="00E85B94"/>
    <w:rsid w:val="00E9515A"/>
    <w:rsid w:val="00E974D1"/>
    <w:rsid w:val="00E978D0"/>
    <w:rsid w:val="00EA2034"/>
    <w:rsid w:val="00EA3B06"/>
    <w:rsid w:val="00EA4613"/>
    <w:rsid w:val="00EA7F91"/>
    <w:rsid w:val="00EB1523"/>
    <w:rsid w:val="00EB3084"/>
    <w:rsid w:val="00EC0E49"/>
    <w:rsid w:val="00EC101F"/>
    <w:rsid w:val="00EC1D9F"/>
    <w:rsid w:val="00EC1E61"/>
    <w:rsid w:val="00ED26B6"/>
    <w:rsid w:val="00ED3019"/>
    <w:rsid w:val="00EE0131"/>
    <w:rsid w:val="00EE08AA"/>
    <w:rsid w:val="00EE17B0"/>
    <w:rsid w:val="00EF03AE"/>
    <w:rsid w:val="00EF06D9"/>
    <w:rsid w:val="00F0067C"/>
    <w:rsid w:val="00F0220E"/>
    <w:rsid w:val="00F04122"/>
    <w:rsid w:val="00F0628C"/>
    <w:rsid w:val="00F11693"/>
    <w:rsid w:val="00F11D81"/>
    <w:rsid w:val="00F12A01"/>
    <w:rsid w:val="00F14105"/>
    <w:rsid w:val="00F1733E"/>
    <w:rsid w:val="00F23050"/>
    <w:rsid w:val="00F23ED8"/>
    <w:rsid w:val="00F26DAD"/>
    <w:rsid w:val="00F3049E"/>
    <w:rsid w:val="00F30C64"/>
    <w:rsid w:val="00F327B0"/>
    <w:rsid w:val="00F32BA2"/>
    <w:rsid w:val="00F32C25"/>
    <w:rsid w:val="00F32CDB"/>
    <w:rsid w:val="00F34B1C"/>
    <w:rsid w:val="00F41EE4"/>
    <w:rsid w:val="00F443AA"/>
    <w:rsid w:val="00F448C8"/>
    <w:rsid w:val="00F44D6D"/>
    <w:rsid w:val="00F45C11"/>
    <w:rsid w:val="00F50A35"/>
    <w:rsid w:val="00F5235F"/>
    <w:rsid w:val="00F565FE"/>
    <w:rsid w:val="00F56FF9"/>
    <w:rsid w:val="00F627EB"/>
    <w:rsid w:val="00F62F8E"/>
    <w:rsid w:val="00F63A70"/>
    <w:rsid w:val="00F63D2B"/>
    <w:rsid w:val="00F63D8C"/>
    <w:rsid w:val="00F65D56"/>
    <w:rsid w:val="00F66D81"/>
    <w:rsid w:val="00F71038"/>
    <w:rsid w:val="00F72807"/>
    <w:rsid w:val="00F75319"/>
    <w:rsid w:val="00F7534E"/>
    <w:rsid w:val="00F82282"/>
    <w:rsid w:val="00F8435E"/>
    <w:rsid w:val="00F93EDF"/>
    <w:rsid w:val="00F94EC9"/>
    <w:rsid w:val="00F964A8"/>
    <w:rsid w:val="00F966B1"/>
    <w:rsid w:val="00F97496"/>
    <w:rsid w:val="00F978B9"/>
    <w:rsid w:val="00FA1802"/>
    <w:rsid w:val="00FA21D0"/>
    <w:rsid w:val="00FA4CC9"/>
    <w:rsid w:val="00FA5F5F"/>
    <w:rsid w:val="00FB2208"/>
    <w:rsid w:val="00FB26F2"/>
    <w:rsid w:val="00FB442B"/>
    <w:rsid w:val="00FB730C"/>
    <w:rsid w:val="00FC2695"/>
    <w:rsid w:val="00FC26D4"/>
    <w:rsid w:val="00FC29CE"/>
    <w:rsid w:val="00FC374E"/>
    <w:rsid w:val="00FC3E03"/>
    <w:rsid w:val="00FC3FC1"/>
    <w:rsid w:val="00FC61A9"/>
    <w:rsid w:val="00FD4EC6"/>
    <w:rsid w:val="00FE0F43"/>
    <w:rsid w:val="00FE45D2"/>
    <w:rsid w:val="00FF633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customStyle="1" w:styleId="fontstyle01">
    <w:name w:val="fontstyle01"/>
    <w:basedOn w:val="DefaultParagraphFont"/>
    <w:rsid w:val="00537947"/>
    <w:rPr>
      <w:rFonts w:ascii="ArialMT" w:hAnsi="ArialMT" w:hint="default"/>
      <w:b w:val="0"/>
      <w:bCs w:val="0"/>
      <w:i w:val="0"/>
      <w:iCs w:val="0"/>
      <w:color w:val="000000"/>
      <w:sz w:val="18"/>
      <w:szCs w:val="18"/>
    </w:rPr>
  </w:style>
  <w:style w:type="character" w:customStyle="1" w:styleId="fontstyle21">
    <w:name w:val="fontstyle21"/>
    <w:basedOn w:val="DefaultParagraphFont"/>
    <w:rsid w:val="00537947"/>
    <w:rPr>
      <w:rFonts w:ascii="Arial-ItalicMT" w:hAnsi="Arial-ItalicMT" w:hint="default"/>
      <w:b w:val="0"/>
      <w:bCs w:val="0"/>
      <w:i/>
      <w:iCs/>
      <w:color w:val="000000"/>
      <w:sz w:val="18"/>
      <w:szCs w:val="18"/>
    </w:rPr>
  </w:style>
  <w:style w:type="paragraph" w:styleId="Revision">
    <w:name w:val="Revision"/>
    <w:hidden/>
    <w:uiPriority w:val="99"/>
    <w:semiHidden/>
    <w:rsid w:val="00C839A6"/>
    <w:pPr>
      <w:spacing w:after="0" w:line="240" w:lineRule="auto"/>
    </w:pPr>
    <w:rPr>
      <w:rFonts w:ascii="Arial" w:eastAsia="Times New Roman" w:hAnsi="Arial" w:cs="Times New Roman"/>
      <w:sz w:val="18"/>
      <w:szCs w:val="20"/>
      <w:lang w:val="en-GB"/>
    </w:rPr>
  </w:style>
  <w:style w:type="character" w:customStyle="1" w:styleId="Ulstomtale1">
    <w:name w:val="Uløst omtale1"/>
    <w:basedOn w:val="DefaultParagraphFont"/>
    <w:uiPriority w:val="99"/>
    <w:semiHidden/>
    <w:unhideWhenUsed/>
    <w:rsid w:val="00CC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1382">
      <w:bodyDiv w:val="1"/>
      <w:marLeft w:val="0"/>
      <w:marRight w:val="0"/>
      <w:marTop w:val="0"/>
      <w:marBottom w:val="0"/>
      <w:divBdr>
        <w:top w:val="none" w:sz="0" w:space="0" w:color="auto"/>
        <w:left w:val="none" w:sz="0" w:space="0" w:color="auto"/>
        <w:bottom w:val="none" w:sz="0" w:space="0" w:color="auto"/>
        <w:right w:val="none" w:sz="0" w:space="0" w:color="auto"/>
      </w:divBdr>
    </w:div>
    <w:div w:id="133451739">
      <w:bodyDiv w:val="1"/>
      <w:marLeft w:val="0"/>
      <w:marRight w:val="0"/>
      <w:marTop w:val="0"/>
      <w:marBottom w:val="0"/>
      <w:divBdr>
        <w:top w:val="none" w:sz="0" w:space="0" w:color="auto"/>
        <w:left w:val="none" w:sz="0" w:space="0" w:color="auto"/>
        <w:bottom w:val="none" w:sz="0" w:space="0" w:color="auto"/>
        <w:right w:val="none" w:sz="0" w:space="0" w:color="auto"/>
      </w:divBdr>
    </w:div>
    <w:div w:id="175000901">
      <w:bodyDiv w:val="1"/>
      <w:marLeft w:val="0"/>
      <w:marRight w:val="0"/>
      <w:marTop w:val="0"/>
      <w:marBottom w:val="0"/>
      <w:divBdr>
        <w:top w:val="none" w:sz="0" w:space="0" w:color="auto"/>
        <w:left w:val="none" w:sz="0" w:space="0" w:color="auto"/>
        <w:bottom w:val="none" w:sz="0" w:space="0" w:color="auto"/>
        <w:right w:val="none" w:sz="0" w:space="0" w:color="auto"/>
      </w:divBdr>
    </w:div>
    <w:div w:id="190722977">
      <w:bodyDiv w:val="1"/>
      <w:marLeft w:val="0"/>
      <w:marRight w:val="0"/>
      <w:marTop w:val="0"/>
      <w:marBottom w:val="0"/>
      <w:divBdr>
        <w:top w:val="none" w:sz="0" w:space="0" w:color="auto"/>
        <w:left w:val="none" w:sz="0" w:space="0" w:color="auto"/>
        <w:bottom w:val="none" w:sz="0" w:space="0" w:color="auto"/>
        <w:right w:val="none" w:sz="0" w:space="0" w:color="auto"/>
      </w:divBdr>
    </w:div>
    <w:div w:id="48080452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3039">
      <w:bodyDiv w:val="1"/>
      <w:marLeft w:val="0"/>
      <w:marRight w:val="0"/>
      <w:marTop w:val="0"/>
      <w:marBottom w:val="0"/>
      <w:divBdr>
        <w:top w:val="none" w:sz="0" w:space="0" w:color="auto"/>
        <w:left w:val="none" w:sz="0" w:space="0" w:color="auto"/>
        <w:bottom w:val="none" w:sz="0" w:space="0" w:color="auto"/>
        <w:right w:val="none" w:sz="0" w:space="0" w:color="auto"/>
      </w:divBdr>
    </w:div>
    <w:div w:id="1265192942">
      <w:bodyDiv w:val="1"/>
      <w:marLeft w:val="0"/>
      <w:marRight w:val="0"/>
      <w:marTop w:val="0"/>
      <w:marBottom w:val="0"/>
      <w:divBdr>
        <w:top w:val="none" w:sz="0" w:space="0" w:color="auto"/>
        <w:left w:val="none" w:sz="0" w:space="0" w:color="auto"/>
        <w:bottom w:val="none" w:sz="0" w:space="0" w:color="auto"/>
        <w:right w:val="none" w:sz="0" w:space="0" w:color="auto"/>
      </w:divBdr>
    </w:div>
    <w:div w:id="130141802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2367782">
      <w:bodyDiv w:val="1"/>
      <w:marLeft w:val="0"/>
      <w:marRight w:val="0"/>
      <w:marTop w:val="0"/>
      <w:marBottom w:val="0"/>
      <w:divBdr>
        <w:top w:val="none" w:sz="0" w:space="0" w:color="auto"/>
        <w:left w:val="none" w:sz="0" w:space="0" w:color="auto"/>
        <w:bottom w:val="none" w:sz="0" w:space="0" w:color="auto"/>
        <w:right w:val="none" w:sz="0" w:space="0" w:color="auto"/>
      </w:divBdr>
    </w:div>
    <w:div w:id="139627556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5351158">
      <w:bodyDiv w:val="1"/>
      <w:marLeft w:val="0"/>
      <w:marRight w:val="0"/>
      <w:marTop w:val="0"/>
      <w:marBottom w:val="0"/>
      <w:divBdr>
        <w:top w:val="none" w:sz="0" w:space="0" w:color="auto"/>
        <w:left w:val="none" w:sz="0" w:space="0" w:color="auto"/>
        <w:bottom w:val="none" w:sz="0" w:space="0" w:color="auto"/>
        <w:right w:val="none" w:sz="0" w:space="0" w:color="auto"/>
      </w:divBdr>
    </w:div>
    <w:div w:id="16582627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60059159">
      <w:bodyDiv w:val="1"/>
      <w:marLeft w:val="0"/>
      <w:marRight w:val="0"/>
      <w:marTop w:val="0"/>
      <w:marBottom w:val="0"/>
      <w:divBdr>
        <w:top w:val="none" w:sz="0" w:space="0" w:color="auto"/>
        <w:left w:val="none" w:sz="0" w:space="0" w:color="auto"/>
        <w:bottom w:val="none" w:sz="0" w:space="0" w:color="auto"/>
        <w:right w:val="none" w:sz="0" w:space="0" w:color="auto"/>
      </w:divBdr>
    </w:div>
    <w:div w:id="2022581443">
      <w:bodyDiv w:val="1"/>
      <w:marLeft w:val="0"/>
      <w:marRight w:val="0"/>
      <w:marTop w:val="0"/>
      <w:marBottom w:val="0"/>
      <w:divBdr>
        <w:top w:val="none" w:sz="0" w:space="0" w:color="auto"/>
        <w:left w:val="none" w:sz="0" w:space="0" w:color="auto"/>
        <w:bottom w:val="none" w:sz="0" w:space="0" w:color="auto"/>
        <w:right w:val="none" w:sz="0" w:space="0" w:color="auto"/>
      </w:divBdr>
    </w:div>
    <w:div w:id="210660787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D9561A141D141BAE87D3EC58266C3" ma:contentTypeVersion="12" ma:contentTypeDescription="Create a new document." ma:contentTypeScope="" ma:versionID="dd01beb447401e084e0892852f1572b5">
  <xsd:schema xmlns:xsd="http://www.w3.org/2001/XMLSchema" xmlns:xs="http://www.w3.org/2001/XMLSchema" xmlns:p="http://schemas.microsoft.com/office/2006/metadata/properties" xmlns:ns2="3f9daa2c-78e5-485f-9751-1e16be40693e" xmlns:ns3="4d15763e-c38d-4388-b890-056d70fadfad" targetNamespace="http://schemas.microsoft.com/office/2006/metadata/properties" ma:root="true" ma:fieldsID="f280a9506c1e7ce20b86290efaffd992" ns2:_="" ns3:_="">
    <xsd:import namespace="3f9daa2c-78e5-485f-9751-1e16be40693e"/>
    <xsd:import namespace="4d15763e-c38d-4388-b890-056d70fad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aa2c-78e5-485f-9751-1e16be40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82b61e-a22a-4a17-8e76-e39c120a58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5763e-c38d-4388-b890-056d70fadf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ed493-07ac-448f-8e44-a740951d1c74}" ma:internalName="TaxCatchAll" ma:showField="CatchAllData" ma:web="4d15763e-c38d-4388-b890-056d70fad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9daa2c-78e5-485f-9751-1e16be40693e">
      <Terms xmlns="http://schemas.microsoft.com/office/infopath/2007/PartnerControls"/>
    </lcf76f155ced4ddcb4097134ff3c332f>
    <TaxCatchAll xmlns="4d15763e-c38d-4388-b890-056d70fadf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3EAD-0AFE-4BE6-B173-F1D519B11648}">
  <ds:schemaRefs>
    <ds:schemaRef ds:uri="http://schemas.microsoft.com/sharepoint/v3/contenttype/forms"/>
  </ds:schemaRefs>
</ds:datastoreItem>
</file>

<file path=customXml/itemProps2.xml><?xml version="1.0" encoding="utf-8"?>
<ds:datastoreItem xmlns:ds="http://schemas.openxmlformats.org/officeDocument/2006/customXml" ds:itemID="{3E86D4A7-E286-4022-B395-6FECAE19B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daa2c-78e5-485f-9751-1e16be40693e"/>
    <ds:schemaRef ds:uri="4d15763e-c38d-4388-b890-056d70fad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BEB44-81D3-4BA7-81DC-7FDFAFE27099}">
  <ds:schemaRefs>
    <ds:schemaRef ds:uri="http://schemas.microsoft.com/office/2006/metadata/properties"/>
    <ds:schemaRef ds:uri="http://schemas.microsoft.com/office/infopath/2007/PartnerControls"/>
    <ds:schemaRef ds:uri="3f9daa2c-78e5-485f-9751-1e16be40693e"/>
    <ds:schemaRef ds:uri="4d15763e-c38d-4388-b890-056d70fadfad"/>
  </ds:schemaRefs>
</ds:datastoreItem>
</file>

<file path=customXml/itemProps4.xml><?xml version="1.0" encoding="utf-8"?>
<ds:datastoreItem xmlns:ds="http://schemas.openxmlformats.org/officeDocument/2006/customXml" ds:itemID="{D52423D2-B34D-4583-9324-B9D25F16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3442</Words>
  <Characters>19622</Characters>
  <Application>Microsoft Office Word</Application>
  <DocSecurity>0</DocSecurity>
  <Lines>163</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Czégény  Zsuzsanna</cp:lastModifiedBy>
  <cp:revision>2</cp:revision>
  <cp:lastPrinted>2015-05-12T18:31:00Z</cp:lastPrinted>
  <dcterms:created xsi:type="dcterms:W3CDTF">2025-01-10T08:04:00Z</dcterms:created>
  <dcterms:modified xsi:type="dcterms:W3CDTF">2025-01-10T08:04:00Z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0x010100DE0D9561A141D141BAE87D3EC58266C3</vt:lpwstr>
  </property>
  <property fmtid="{D5CDD505-2E9C-101B-9397-08002B2CF9AE}" pid="5" name="MediaServiceImageTags">
    <vt:lpwstr/>
  </property>
</Properties>
</file>