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844D35">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84737404"/>
            <w:bookmarkStart w:id="1" w:name="_Hlk145068772"/>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844D35">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844D35">
        <w:trPr>
          <w:trHeight w:val="68"/>
          <w:jc w:val="center"/>
        </w:trPr>
        <w:tc>
          <w:tcPr>
            <w:tcW w:w="8782"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1"/>
    <w:p w14:paraId="2E667253" w14:textId="37F6B5F6" w:rsidR="00E978D0" w:rsidRPr="00844D35" w:rsidRDefault="00844D35" w:rsidP="00E978D0">
      <w:pPr>
        <w:pStyle w:val="CETTitle"/>
        <w:rPr>
          <w:lang w:val="en-US"/>
        </w:rPr>
      </w:pPr>
      <w:r w:rsidRPr="00844D35">
        <w:t>Mitigation Strategies for CO</w:t>
      </w:r>
      <w:r w:rsidRPr="00D06F12">
        <w:rPr>
          <w:vertAlign w:val="subscript"/>
        </w:rPr>
        <w:t>2</w:t>
      </w:r>
      <w:r w:rsidRPr="00844D35">
        <w:t xml:space="preserve"> Capture with Advanced Techniques in </w:t>
      </w:r>
      <w:r w:rsidR="00BF768B">
        <w:t>Fl</w:t>
      </w:r>
      <w:r w:rsidRPr="00844D35">
        <w:t xml:space="preserve">uidized </w:t>
      </w:r>
      <w:r w:rsidR="00BF768B">
        <w:t>B</w:t>
      </w:r>
      <w:r w:rsidRPr="00844D35">
        <w:t>eds</w:t>
      </w:r>
    </w:p>
    <w:p w14:paraId="480BD1CE" w14:textId="77777777" w:rsidR="00844D35" w:rsidRDefault="00844D35" w:rsidP="00B57E6F">
      <w:pPr>
        <w:pStyle w:val="CETAddress"/>
        <w:rPr>
          <w:sz w:val="24"/>
          <w:lang w:val="it-IT"/>
        </w:rPr>
      </w:pPr>
      <w:r w:rsidRPr="00844D35">
        <w:rPr>
          <w:sz w:val="24"/>
          <w:lang w:val="it-IT"/>
        </w:rPr>
        <w:t>Francesca Lucia</w:t>
      </w:r>
      <w:r w:rsidRPr="00844D35">
        <w:rPr>
          <w:sz w:val="24"/>
          <w:vertAlign w:val="superscript"/>
          <w:lang w:val="it-IT"/>
        </w:rPr>
        <w:t>1</w:t>
      </w:r>
      <w:r w:rsidRPr="00844D35">
        <w:rPr>
          <w:sz w:val="24"/>
          <w:lang w:val="it-IT"/>
        </w:rPr>
        <w:t>, Daniele Sofia</w:t>
      </w:r>
      <w:r w:rsidRPr="00844D35">
        <w:rPr>
          <w:sz w:val="24"/>
          <w:vertAlign w:val="superscript"/>
          <w:lang w:val="it-IT"/>
        </w:rPr>
        <w:t>1</w:t>
      </w:r>
      <w:r w:rsidRPr="00844D35">
        <w:rPr>
          <w:sz w:val="24"/>
          <w:lang w:val="it-IT"/>
        </w:rPr>
        <w:t>, Flaviano Testa</w:t>
      </w:r>
      <w:r w:rsidRPr="00844D35">
        <w:rPr>
          <w:sz w:val="24"/>
          <w:vertAlign w:val="superscript"/>
          <w:lang w:val="it-IT"/>
        </w:rPr>
        <w:t>1</w:t>
      </w:r>
      <w:r w:rsidRPr="00844D35">
        <w:rPr>
          <w:sz w:val="24"/>
          <w:lang w:val="it-IT"/>
        </w:rPr>
        <w:t>, Rossella Girimonte</w:t>
      </w:r>
      <w:r w:rsidRPr="00844D35">
        <w:rPr>
          <w:sz w:val="24"/>
          <w:vertAlign w:val="superscript"/>
          <w:lang w:val="it-IT"/>
        </w:rPr>
        <w:t>1</w:t>
      </w:r>
      <w:r w:rsidRPr="00844D35">
        <w:rPr>
          <w:sz w:val="24"/>
          <w:lang w:val="it-IT"/>
        </w:rPr>
        <w:t>*</w:t>
      </w:r>
    </w:p>
    <w:p w14:paraId="080851D3" w14:textId="42E1C305" w:rsidR="00844D35" w:rsidRPr="00844D35" w:rsidRDefault="00844D35" w:rsidP="00844D35">
      <w:pPr>
        <w:pStyle w:val="CETAddress"/>
        <w:rPr>
          <w:lang w:val="en-US"/>
        </w:rPr>
      </w:pPr>
      <w:r w:rsidRPr="00844D35">
        <w:rPr>
          <w:vertAlign w:val="superscript"/>
          <w:lang w:val="en-US"/>
        </w:rPr>
        <w:t>1</w:t>
      </w:r>
      <w:r w:rsidRPr="00844D35">
        <w:rPr>
          <w:lang w:val="en-US"/>
        </w:rPr>
        <w:t xml:space="preserve">Department of Computer Engineering, Modeling, Electronics and Systems, University of Calabria, Via P. Bucci cubo 44/a Rende (CS), 87036, ITALY </w:t>
      </w:r>
    </w:p>
    <w:p w14:paraId="73F1267A" w14:textId="1507FF04" w:rsidR="00B57E6F" w:rsidRPr="00844D35" w:rsidRDefault="00844D35" w:rsidP="00844D35">
      <w:pPr>
        <w:pStyle w:val="CETAddress"/>
        <w:rPr>
          <w:lang w:val="en-US"/>
        </w:rPr>
      </w:pPr>
      <w:r w:rsidRPr="00844D35">
        <w:rPr>
          <w:lang w:val="en-US"/>
        </w:rPr>
        <w:t>*Email: rossella.girimonte@unical.it</w:t>
      </w:r>
    </w:p>
    <w:p w14:paraId="649B0B71" w14:textId="32344AF9" w:rsidR="00E14CDC" w:rsidRDefault="00E14CDC" w:rsidP="00600535">
      <w:pPr>
        <w:pStyle w:val="CETBodytext"/>
        <w:rPr>
          <w:lang w:val="en-GB"/>
        </w:rPr>
      </w:pPr>
    </w:p>
    <w:p w14:paraId="38F76186" w14:textId="26C8391E" w:rsidR="006A6DE5" w:rsidRDefault="00E14CDC" w:rsidP="00E14CDC">
      <w:pPr>
        <w:pStyle w:val="CETBodytext"/>
      </w:pPr>
      <w:r w:rsidRPr="00E14CDC">
        <w:rPr>
          <w:lang w:val="en-GB"/>
        </w:rPr>
        <w:t>Carbon dioxide (CO</w:t>
      </w:r>
      <w:r w:rsidRPr="003C7358">
        <w:rPr>
          <w:vertAlign w:val="subscript"/>
          <w:lang w:val="en-GB"/>
        </w:rPr>
        <w:t>2</w:t>
      </w:r>
      <w:r w:rsidRPr="00E14CDC">
        <w:rPr>
          <w:lang w:val="en-GB"/>
        </w:rPr>
        <w:t>) is one of the main greenhouse gases responsible for global warming and climate changes on a global scale. This work studies CO</w:t>
      </w:r>
      <w:r w:rsidRPr="003C7358">
        <w:rPr>
          <w:vertAlign w:val="subscript"/>
          <w:lang w:val="en-GB"/>
        </w:rPr>
        <w:t>2</w:t>
      </w:r>
      <w:r w:rsidRPr="00E14CDC">
        <w:rPr>
          <w:lang w:val="en-GB"/>
        </w:rPr>
        <w:t xml:space="preserve"> capture and sequestration technology (CCS), with a particular focus on adsorption. An in-depth analysis is presented on the thermodynamic properties and structural characteristics of the materials used in separation processes, with special attention to innovative materials such as amino-functionalized adsorbents. The study also addresses the main operational and environmental challenges related to the implementation of CCS/CCU technologies in industrial plants, proposing optimized configurations to reduce costs and increase CO</w:t>
      </w:r>
      <w:r w:rsidRPr="003C7358">
        <w:rPr>
          <w:vertAlign w:val="subscript"/>
          <w:lang w:val="en-GB"/>
        </w:rPr>
        <w:t>2</w:t>
      </w:r>
      <w:r w:rsidRPr="00E14CDC">
        <w:rPr>
          <w:lang w:val="en-GB"/>
        </w:rPr>
        <w:t xml:space="preserve"> capture efficiency. Finally, the experimental results obtained through testing on selected materials are discussed. Both the capture and regeneration phases of the sorbent were </w:t>
      </w:r>
      <w:proofErr w:type="spellStart"/>
      <w:r w:rsidRPr="00E14CDC">
        <w:rPr>
          <w:lang w:val="en-GB"/>
        </w:rPr>
        <w:t>analyzed</w:t>
      </w:r>
      <w:proofErr w:type="spellEnd"/>
      <w:r w:rsidRPr="00E14CDC">
        <w:rPr>
          <w:lang w:val="en-GB"/>
        </w:rPr>
        <w:t>, maintaining the same equipment configuration, with the aim of identifying the optimal temperature and time conditions for each process.</w:t>
      </w:r>
      <w:r w:rsidR="006A6DE5" w:rsidRPr="00B60AE4">
        <w:t xml:space="preserve"> </w:t>
      </w:r>
    </w:p>
    <w:p w14:paraId="2C43F7C7" w14:textId="77777777" w:rsidR="007F2999" w:rsidRDefault="007F2999" w:rsidP="00E14CDC">
      <w:pPr>
        <w:pStyle w:val="CETBodytext"/>
      </w:pPr>
    </w:p>
    <w:p w14:paraId="60023240" w14:textId="77777777" w:rsidR="007F2999" w:rsidRPr="007F2999" w:rsidRDefault="007F2999" w:rsidP="007F2999">
      <w:pPr>
        <w:pStyle w:val="CETBodytext"/>
        <w:rPr>
          <w:b/>
          <w:bCs/>
          <w:sz w:val="16"/>
          <w:szCs w:val="18"/>
        </w:rPr>
      </w:pPr>
      <w:r w:rsidRPr="007F2999">
        <w:rPr>
          <w:b/>
          <w:bCs/>
          <w:sz w:val="16"/>
          <w:szCs w:val="18"/>
        </w:rPr>
        <w:t>Keywords:</w:t>
      </w:r>
    </w:p>
    <w:p w14:paraId="30BC4606" w14:textId="173300ED" w:rsidR="007F2999" w:rsidRPr="007F2999" w:rsidRDefault="007F2999" w:rsidP="007F2999">
      <w:pPr>
        <w:pStyle w:val="CETBodytext"/>
        <w:rPr>
          <w:sz w:val="16"/>
          <w:szCs w:val="18"/>
        </w:rPr>
      </w:pPr>
      <w:r w:rsidRPr="007F2999">
        <w:rPr>
          <w:sz w:val="16"/>
          <w:szCs w:val="18"/>
        </w:rPr>
        <w:t>CO</w:t>
      </w:r>
      <w:r w:rsidRPr="003C7358">
        <w:rPr>
          <w:sz w:val="16"/>
          <w:szCs w:val="18"/>
          <w:vertAlign w:val="subscript"/>
        </w:rPr>
        <w:t>2</w:t>
      </w:r>
      <w:r w:rsidRPr="007F2999">
        <w:rPr>
          <w:sz w:val="16"/>
          <w:szCs w:val="18"/>
        </w:rPr>
        <w:t xml:space="preserve"> capture, Carbon sequestration, Adsorption, Amino-functionalized silica gel, fluidized beds, Environmental impact, CCS, CCU, Climate change, Sorbent materials, Sustainable technologies.</w:t>
      </w:r>
    </w:p>
    <w:p w14:paraId="476B2F2E" w14:textId="52B36035" w:rsidR="00600535" w:rsidRDefault="00600535" w:rsidP="00600535">
      <w:pPr>
        <w:pStyle w:val="CETHeading1"/>
        <w:rPr>
          <w:lang w:val="en-GB"/>
        </w:rPr>
      </w:pPr>
      <w:r w:rsidRPr="00B57B36">
        <w:rPr>
          <w:lang w:val="en-GB"/>
        </w:rPr>
        <w:t>Introduction</w:t>
      </w:r>
    </w:p>
    <w:p w14:paraId="6BFC7C3A" w14:textId="002A848D" w:rsidR="00B44EDC" w:rsidRPr="00F73742" w:rsidRDefault="00B44EDC" w:rsidP="00B44EDC">
      <w:pPr>
        <w:pStyle w:val="CETBodytext"/>
        <w:rPr>
          <w:lang w:val="en-GB"/>
        </w:rPr>
      </w:pPr>
      <w:r w:rsidRPr="00B44EDC">
        <w:rPr>
          <w:lang w:val="en-GB"/>
        </w:rPr>
        <w:t xml:space="preserve">The </w:t>
      </w:r>
      <w:r>
        <w:t>d</w:t>
      </w:r>
      <w:r w:rsidRPr="00B44EDC">
        <w:t xml:space="preserve">isastrous </w:t>
      </w:r>
      <w:r w:rsidRPr="00B44EDC">
        <w:rPr>
          <w:lang w:val="en-GB"/>
        </w:rPr>
        <w:t>effects of climate change</w:t>
      </w:r>
      <w:r>
        <w:rPr>
          <w:lang w:val="en-GB"/>
        </w:rPr>
        <w:t xml:space="preserve"> </w:t>
      </w:r>
      <w:r w:rsidRPr="00B44EDC">
        <w:rPr>
          <w:lang w:val="en-GB"/>
        </w:rPr>
        <w:t xml:space="preserve">are </w:t>
      </w:r>
      <w:r w:rsidR="00BA0079">
        <w:rPr>
          <w:lang w:val="en-GB"/>
        </w:rPr>
        <w:t xml:space="preserve">primarily </w:t>
      </w:r>
      <w:r>
        <w:rPr>
          <w:lang w:val="en-GB"/>
        </w:rPr>
        <w:t>caus</w:t>
      </w:r>
      <w:r w:rsidRPr="00B44EDC">
        <w:rPr>
          <w:lang w:val="en-GB"/>
        </w:rPr>
        <w:t xml:space="preserve">ed by anthropogenic </w:t>
      </w:r>
      <w:r>
        <w:rPr>
          <w:lang w:val="en-GB"/>
        </w:rPr>
        <w:t xml:space="preserve">activities, requiring high energetic level, deriving of fossil fuel, and thus </w:t>
      </w:r>
      <w:r w:rsidR="00BB00AD">
        <w:rPr>
          <w:lang w:val="en-GB"/>
        </w:rPr>
        <w:t xml:space="preserve">causing </w:t>
      </w:r>
      <w:r>
        <w:rPr>
          <w:lang w:val="en-GB"/>
        </w:rPr>
        <w:t xml:space="preserve">high </w:t>
      </w:r>
      <w:r w:rsidRPr="00B44EDC">
        <w:rPr>
          <w:lang w:val="en-GB"/>
        </w:rPr>
        <w:t>CO</w:t>
      </w:r>
      <w:r w:rsidRPr="00B44EDC">
        <w:rPr>
          <w:vertAlign w:val="subscript"/>
          <w:lang w:val="en-GB"/>
        </w:rPr>
        <w:t>2</w:t>
      </w:r>
      <w:r>
        <w:rPr>
          <w:lang w:val="en-GB"/>
        </w:rPr>
        <w:t xml:space="preserve"> </w:t>
      </w:r>
      <w:r w:rsidRPr="00B44EDC">
        <w:rPr>
          <w:lang w:val="en-GB"/>
        </w:rPr>
        <w:t>emissions</w:t>
      </w:r>
      <w:r w:rsidR="00642ADA">
        <w:rPr>
          <w:lang w:val="en-GB"/>
        </w:rPr>
        <w:t>.</w:t>
      </w:r>
      <w:r w:rsidRPr="00B44EDC">
        <w:rPr>
          <w:lang w:val="en-GB"/>
        </w:rPr>
        <w:t xml:space="preserve"> </w:t>
      </w:r>
      <w:r w:rsidR="00642ADA">
        <w:rPr>
          <w:lang w:val="en-GB"/>
        </w:rPr>
        <w:t>This is the main</w:t>
      </w:r>
      <w:r w:rsidRPr="00B44EDC">
        <w:rPr>
          <w:lang w:val="en-GB"/>
        </w:rPr>
        <w:t xml:space="preserve"> </w:t>
      </w:r>
      <w:r w:rsidR="00642ADA" w:rsidRPr="00B44EDC">
        <w:rPr>
          <w:lang w:val="en-GB"/>
        </w:rPr>
        <w:t xml:space="preserve">problem </w:t>
      </w:r>
      <w:r w:rsidR="00642ADA">
        <w:rPr>
          <w:lang w:val="en-GB"/>
        </w:rPr>
        <w:t xml:space="preserve">of </w:t>
      </w:r>
      <w:r w:rsidR="00642ADA" w:rsidRPr="00B44EDC">
        <w:rPr>
          <w:lang w:val="en-GB"/>
        </w:rPr>
        <w:t xml:space="preserve">the last century </w:t>
      </w:r>
      <w:r w:rsidR="00642ADA">
        <w:rPr>
          <w:lang w:val="en-GB"/>
        </w:rPr>
        <w:t xml:space="preserve">and </w:t>
      </w:r>
      <w:r w:rsidR="00642ADA" w:rsidRPr="00B44EDC">
        <w:rPr>
          <w:lang w:val="en-GB"/>
        </w:rPr>
        <w:t>requires an urgent solution</w:t>
      </w:r>
      <w:r w:rsidRPr="00B44EDC">
        <w:rPr>
          <w:lang w:val="en-GB"/>
        </w:rPr>
        <w:t xml:space="preserve">. </w:t>
      </w:r>
      <w:r w:rsidR="00642ADA">
        <w:rPr>
          <w:lang w:val="en-GB"/>
        </w:rPr>
        <w:t>Among the</w:t>
      </w:r>
      <w:r w:rsidRPr="00B44EDC">
        <w:rPr>
          <w:lang w:val="en-GB"/>
        </w:rPr>
        <w:t xml:space="preserve"> various</w:t>
      </w:r>
      <w:r w:rsidR="00642ADA">
        <w:rPr>
          <w:lang w:val="en-GB"/>
        </w:rPr>
        <w:t xml:space="preserve"> </w:t>
      </w:r>
      <w:r w:rsidRPr="00B44EDC">
        <w:rPr>
          <w:lang w:val="en-GB"/>
        </w:rPr>
        <w:t>alternatives to reduce greenhouse gas emissions</w:t>
      </w:r>
      <w:r w:rsidR="00642ADA">
        <w:rPr>
          <w:lang w:val="en-GB"/>
        </w:rPr>
        <w:t>, such as</w:t>
      </w:r>
      <w:r w:rsidRPr="00B44EDC">
        <w:rPr>
          <w:lang w:val="en-GB"/>
        </w:rPr>
        <w:t xml:space="preserve"> reducing the</w:t>
      </w:r>
      <w:r w:rsidR="00642ADA">
        <w:rPr>
          <w:lang w:val="en-GB"/>
        </w:rPr>
        <w:t xml:space="preserve"> </w:t>
      </w:r>
      <w:r w:rsidRPr="00B44EDC">
        <w:rPr>
          <w:lang w:val="en-GB"/>
        </w:rPr>
        <w:t>consumption of fossil sources, increasing energy efficiency, using renewable sources or</w:t>
      </w:r>
      <w:r w:rsidR="00642ADA">
        <w:rPr>
          <w:lang w:val="en-GB"/>
        </w:rPr>
        <w:t xml:space="preserve"> </w:t>
      </w:r>
      <w:r w:rsidRPr="00B44EDC">
        <w:rPr>
          <w:lang w:val="en-GB"/>
        </w:rPr>
        <w:t>nuclear energy</w:t>
      </w:r>
      <w:r w:rsidR="00642ADA">
        <w:rPr>
          <w:lang w:val="en-GB"/>
        </w:rPr>
        <w:t>,</w:t>
      </w:r>
      <w:r w:rsidRPr="00B44EDC">
        <w:rPr>
          <w:lang w:val="en-GB"/>
        </w:rPr>
        <w:t xml:space="preserve"> </w:t>
      </w:r>
      <w:r w:rsidR="00642ADA">
        <w:rPr>
          <w:lang w:val="en-GB"/>
        </w:rPr>
        <w:t>all these</w:t>
      </w:r>
      <w:r w:rsidRPr="00B44EDC">
        <w:rPr>
          <w:lang w:val="en-GB"/>
        </w:rPr>
        <w:t xml:space="preserve"> solutions</w:t>
      </w:r>
      <w:r w:rsidR="00642ADA">
        <w:rPr>
          <w:lang w:val="en-GB"/>
        </w:rPr>
        <w:t xml:space="preserve"> </w:t>
      </w:r>
      <w:r w:rsidRPr="00B44EDC">
        <w:rPr>
          <w:lang w:val="en-GB"/>
        </w:rPr>
        <w:t>involve a radical change</w:t>
      </w:r>
      <w:r w:rsidR="00642ADA">
        <w:rPr>
          <w:lang w:val="en-GB"/>
        </w:rPr>
        <w:t xml:space="preserve"> </w:t>
      </w:r>
      <w:r w:rsidRPr="00B44EDC">
        <w:rPr>
          <w:lang w:val="en-GB"/>
        </w:rPr>
        <w:t xml:space="preserve">in energy policies, which therefore require a long period of implementation. </w:t>
      </w:r>
      <w:r w:rsidR="00642ADA">
        <w:rPr>
          <w:lang w:val="en-GB"/>
        </w:rPr>
        <w:t>I</w:t>
      </w:r>
      <w:r w:rsidR="00642ADA" w:rsidRPr="00B44EDC">
        <w:rPr>
          <w:lang w:val="en-GB"/>
        </w:rPr>
        <w:t>n the medium term</w:t>
      </w:r>
      <w:r w:rsidR="00642ADA">
        <w:rPr>
          <w:lang w:val="en-GB"/>
        </w:rPr>
        <w:t xml:space="preserve">, without </w:t>
      </w:r>
      <w:r w:rsidR="00642ADA">
        <w:t>renounce</w:t>
      </w:r>
      <w:r w:rsidR="00642ADA" w:rsidRPr="00B44EDC">
        <w:rPr>
          <w:lang w:val="en-GB"/>
        </w:rPr>
        <w:t xml:space="preserve"> </w:t>
      </w:r>
      <w:r w:rsidR="00642ADA">
        <w:rPr>
          <w:lang w:val="en-GB"/>
        </w:rPr>
        <w:t>to</w:t>
      </w:r>
      <w:r w:rsidRPr="00B44EDC">
        <w:rPr>
          <w:lang w:val="en-GB"/>
        </w:rPr>
        <w:t xml:space="preserve"> fossil fuels for energy production, several techniques are </w:t>
      </w:r>
      <w:r w:rsidR="00642ADA">
        <w:rPr>
          <w:lang w:val="en-GB"/>
        </w:rPr>
        <w:t xml:space="preserve">explored to </w:t>
      </w:r>
      <w:r w:rsidR="00642ADA" w:rsidRPr="00F73742">
        <w:rPr>
          <w:lang w:val="en-GB"/>
        </w:rPr>
        <w:t>mitigate or reduce</w:t>
      </w:r>
      <w:r w:rsidRPr="00F73742">
        <w:rPr>
          <w:lang w:val="en-GB"/>
        </w:rPr>
        <w:t xml:space="preserve"> CO</w:t>
      </w:r>
      <w:r w:rsidRPr="00F73742">
        <w:rPr>
          <w:vertAlign w:val="subscript"/>
          <w:lang w:val="en-GB"/>
        </w:rPr>
        <w:t>2</w:t>
      </w:r>
      <w:r w:rsidRPr="00F73742">
        <w:rPr>
          <w:lang w:val="en-GB"/>
        </w:rPr>
        <w:t xml:space="preserve"> emissions, under</w:t>
      </w:r>
      <w:r w:rsidR="00D01561" w:rsidRPr="00F73742">
        <w:rPr>
          <w:lang w:val="en-GB"/>
        </w:rPr>
        <w:t xml:space="preserve"> </w:t>
      </w:r>
      <w:r w:rsidRPr="00F73742">
        <w:rPr>
          <w:lang w:val="en-GB"/>
        </w:rPr>
        <w:t xml:space="preserve">the terms </w:t>
      </w:r>
      <w:r w:rsidR="00D01561" w:rsidRPr="00F73742">
        <w:rPr>
          <w:lang w:val="en-GB"/>
        </w:rPr>
        <w:t xml:space="preserve">Carbon Capture </w:t>
      </w:r>
      <w:r w:rsidR="00626EE9" w:rsidRPr="00F73742">
        <w:rPr>
          <w:lang w:val="en-GB"/>
        </w:rPr>
        <w:t>Storage or</w:t>
      </w:r>
      <w:r w:rsidR="00D01561" w:rsidRPr="00F73742">
        <w:rPr>
          <w:lang w:val="en-GB"/>
        </w:rPr>
        <w:t xml:space="preserve"> Utilisation (CC</w:t>
      </w:r>
      <w:r w:rsidR="00626EE9" w:rsidRPr="00F73742">
        <w:rPr>
          <w:lang w:val="en-GB"/>
        </w:rPr>
        <w:t>S/</w:t>
      </w:r>
      <w:r w:rsidR="00D01561" w:rsidRPr="00F73742">
        <w:rPr>
          <w:lang w:val="en-GB"/>
        </w:rPr>
        <w:t>U)</w:t>
      </w:r>
      <w:r w:rsidR="00EB57CC" w:rsidRPr="00F73742">
        <w:rPr>
          <w:lang w:val="en-GB"/>
        </w:rPr>
        <w:t xml:space="preserve"> (Sofia et al., 2015)</w:t>
      </w:r>
      <w:r w:rsidR="00D01561" w:rsidRPr="00F73742">
        <w:rPr>
          <w:lang w:val="en-GB"/>
        </w:rPr>
        <w:t>. It refers to a range of applications through which CO</w:t>
      </w:r>
      <w:r w:rsidR="00D01561" w:rsidRPr="00F73742">
        <w:rPr>
          <w:vertAlign w:val="subscript"/>
          <w:lang w:val="en-GB"/>
        </w:rPr>
        <w:t>2</w:t>
      </w:r>
      <w:r w:rsidR="00D01561" w:rsidRPr="00F73742">
        <w:rPr>
          <w:lang w:val="en-GB"/>
        </w:rPr>
        <w:t xml:space="preserve"> is captured</w:t>
      </w:r>
      <w:r w:rsidR="00BA0079">
        <w:rPr>
          <w:lang w:val="en-GB"/>
        </w:rPr>
        <w:t xml:space="preserve"> and also </w:t>
      </w:r>
      <w:r w:rsidR="00D01561" w:rsidRPr="00F73742">
        <w:rPr>
          <w:lang w:val="en-GB"/>
        </w:rPr>
        <w:t>used either directly (i.e. not chemically altered) or indirectly (i.e. transformed) into various products</w:t>
      </w:r>
      <w:r w:rsidR="00B839E0" w:rsidRPr="00F73742">
        <w:rPr>
          <w:lang w:val="en-GB"/>
        </w:rPr>
        <w:t xml:space="preserve"> </w:t>
      </w:r>
      <w:r w:rsidR="00D01561" w:rsidRPr="00F73742">
        <w:rPr>
          <w:lang w:val="en-GB"/>
        </w:rPr>
        <w:t>(</w:t>
      </w:r>
      <w:r w:rsidR="00B839E0" w:rsidRPr="00F73742">
        <w:t>Energy Technology Perspectives 2024).</w:t>
      </w:r>
    </w:p>
    <w:p w14:paraId="50369EA0" w14:textId="27057550" w:rsidR="00B44EDC" w:rsidRPr="00F73742" w:rsidRDefault="00B839E0" w:rsidP="00B44EDC">
      <w:pPr>
        <w:pStyle w:val="CETBodytext"/>
        <w:rPr>
          <w:lang w:val="en-GB"/>
        </w:rPr>
      </w:pPr>
      <w:r w:rsidRPr="00F73742">
        <w:rPr>
          <w:lang w:val="en-GB"/>
        </w:rPr>
        <w:t>Among t</w:t>
      </w:r>
      <w:r w:rsidR="00B44EDC" w:rsidRPr="00F73742">
        <w:rPr>
          <w:lang w:val="en-GB"/>
        </w:rPr>
        <w:t>he current technique</w:t>
      </w:r>
      <w:r w:rsidRPr="00F73742">
        <w:rPr>
          <w:lang w:val="en-GB"/>
        </w:rPr>
        <w:t>s</w:t>
      </w:r>
      <w:r w:rsidR="00B44EDC" w:rsidRPr="00F73742">
        <w:rPr>
          <w:lang w:val="en-GB"/>
        </w:rPr>
        <w:t xml:space="preserve"> </w:t>
      </w:r>
      <w:r w:rsidRPr="00F73742">
        <w:rPr>
          <w:lang w:val="en-GB"/>
        </w:rPr>
        <w:t>mainly explored for CO</w:t>
      </w:r>
      <w:r w:rsidRPr="00F73742">
        <w:rPr>
          <w:vertAlign w:val="subscript"/>
          <w:lang w:val="en-GB"/>
        </w:rPr>
        <w:t>2</w:t>
      </w:r>
      <w:r w:rsidRPr="00F73742">
        <w:rPr>
          <w:lang w:val="en-GB"/>
        </w:rPr>
        <w:t xml:space="preserve"> capture</w:t>
      </w:r>
      <w:r w:rsidR="003F2273" w:rsidRPr="00F73742">
        <w:rPr>
          <w:lang w:val="en-GB"/>
        </w:rPr>
        <w:t>,</w:t>
      </w:r>
      <w:r w:rsidRPr="00F73742">
        <w:rPr>
          <w:lang w:val="en-GB"/>
        </w:rPr>
        <w:t xml:space="preserve"> there is </w:t>
      </w:r>
      <w:r w:rsidR="00B44EDC" w:rsidRPr="00F73742">
        <w:rPr>
          <w:lang w:val="en-GB"/>
        </w:rPr>
        <w:t>physical and chemical a</w:t>
      </w:r>
      <w:r w:rsidRPr="00F73742">
        <w:rPr>
          <w:lang w:val="en-GB"/>
        </w:rPr>
        <w:t>d</w:t>
      </w:r>
      <w:r w:rsidR="00B44EDC" w:rsidRPr="00F73742">
        <w:rPr>
          <w:lang w:val="en-GB"/>
        </w:rPr>
        <w:t>sorption</w:t>
      </w:r>
      <w:r w:rsidRPr="00F73742">
        <w:rPr>
          <w:lang w:val="en-GB"/>
        </w:rPr>
        <w:t xml:space="preserve"> on solid adsorbent (</w:t>
      </w:r>
      <w:r w:rsidRPr="00F73742">
        <w:t>Younas et al., 2016)</w:t>
      </w:r>
      <w:r w:rsidR="003F2273" w:rsidRPr="00F73742">
        <w:rPr>
          <w:lang w:val="en-GB"/>
        </w:rPr>
        <w:t xml:space="preserve">, offering the possibility of reducing the costs of the process of Carbon Capture. This challenge requires efforts to select/synthetize </w:t>
      </w:r>
      <w:r w:rsidR="00626EE9" w:rsidRPr="00F73742">
        <w:rPr>
          <w:lang w:val="en-GB"/>
        </w:rPr>
        <w:t>suitable</w:t>
      </w:r>
      <w:r w:rsidR="003F2273" w:rsidRPr="00F73742">
        <w:rPr>
          <w:lang w:val="en-GB"/>
        </w:rPr>
        <w:t xml:space="preserve"> adsorbents (</w:t>
      </w:r>
      <w:r w:rsidR="003F2273" w:rsidRPr="00F73742">
        <w:t xml:space="preserve">Varghese and </w:t>
      </w:r>
      <w:proofErr w:type="spellStart"/>
      <w:r w:rsidR="003F2273" w:rsidRPr="00F73742">
        <w:t>Karanikolos</w:t>
      </w:r>
      <w:proofErr w:type="spellEnd"/>
      <w:r w:rsidR="003F2273" w:rsidRPr="00F73742">
        <w:t>, 2020</w:t>
      </w:r>
      <w:r w:rsidR="003F2273" w:rsidRPr="00F73742">
        <w:rPr>
          <w:lang w:val="en-GB"/>
        </w:rPr>
        <w:t>), but also to design efficient units for CO</w:t>
      </w:r>
      <w:r w:rsidR="003F2273" w:rsidRPr="00F73742">
        <w:rPr>
          <w:vertAlign w:val="subscript"/>
          <w:lang w:val="en-GB"/>
        </w:rPr>
        <w:t>2</w:t>
      </w:r>
      <w:r w:rsidR="003F2273" w:rsidRPr="00F73742">
        <w:rPr>
          <w:lang w:val="en-GB"/>
        </w:rPr>
        <w:t xml:space="preserve"> capture (</w:t>
      </w:r>
      <w:proofErr w:type="spellStart"/>
      <w:r w:rsidR="003F2273" w:rsidRPr="00F73742">
        <w:rPr>
          <w:lang w:val="en-GB"/>
        </w:rPr>
        <w:t>Parket</w:t>
      </w:r>
      <w:proofErr w:type="spellEnd"/>
      <w:r w:rsidR="003F2273" w:rsidRPr="00F73742">
        <w:rPr>
          <w:lang w:val="en-GB"/>
        </w:rPr>
        <w:t xml:space="preserve"> al., 2017). </w:t>
      </w:r>
    </w:p>
    <w:p w14:paraId="241CCC13" w14:textId="1FE1B8E7" w:rsidR="00521291" w:rsidRPr="00521291" w:rsidRDefault="00521291" w:rsidP="004056A7">
      <w:pPr>
        <w:pStyle w:val="CETBodytext"/>
        <w:rPr>
          <w:lang w:val="en-GB"/>
        </w:rPr>
      </w:pPr>
      <w:r w:rsidRPr="00F73742">
        <w:t>The aim of the present work is to verify the efficacy of an amino-functionalized mesoporous silica</w:t>
      </w:r>
      <w:r w:rsidR="008D008A" w:rsidRPr="00F73742">
        <w:t xml:space="preserve"> </w:t>
      </w:r>
      <w:r w:rsidR="00BB00AD" w:rsidRPr="00F73742">
        <w:t>as adsorbent for CO</w:t>
      </w:r>
      <w:r w:rsidR="00BB00AD" w:rsidRPr="00F73742">
        <w:rPr>
          <w:vertAlign w:val="subscript"/>
        </w:rPr>
        <w:t>2</w:t>
      </w:r>
      <w:r w:rsidR="00BB00AD" w:rsidRPr="00F73742">
        <w:t xml:space="preserve"> capture </w:t>
      </w:r>
      <w:r w:rsidR="008D008A" w:rsidRPr="00F73742">
        <w:t xml:space="preserve">and </w:t>
      </w:r>
      <w:r w:rsidR="00BB00AD" w:rsidRPr="00F73742">
        <w:t xml:space="preserve">of </w:t>
      </w:r>
      <w:r w:rsidR="008D008A" w:rsidRPr="00F73742">
        <w:t xml:space="preserve">the </w:t>
      </w:r>
      <w:r w:rsidR="00626EE9" w:rsidRPr="00F73742">
        <w:t xml:space="preserve">special </w:t>
      </w:r>
      <w:r w:rsidR="008D008A" w:rsidRPr="00F73742">
        <w:t>type of contactor</w:t>
      </w:r>
      <w:r w:rsidR="008D008A">
        <w:t xml:space="preserve"> adopted</w:t>
      </w:r>
      <w:r w:rsidRPr="00521291">
        <w:t xml:space="preserve">. </w:t>
      </w:r>
      <w:r w:rsidR="00F73742" w:rsidRPr="00F73742">
        <w:rPr>
          <w:lang w:val="en-GB"/>
        </w:rPr>
        <w:t>Specifically, the adsorption and desorption phases were studied within the same packed-fluidized bed configuration, eliminating the need for solid unloading or transport from the column.</w:t>
      </w:r>
    </w:p>
    <w:p w14:paraId="25C702C4" w14:textId="795B44D3" w:rsidR="006D2F60" w:rsidRDefault="008D008A" w:rsidP="006D2F60">
      <w:pPr>
        <w:pStyle w:val="CETBodytext"/>
      </w:pPr>
      <w:r w:rsidRPr="00521291">
        <w:t>The de</w:t>
      </w:r>
      <w:r>
        <w:t>sign</w:t>
      </w:r>
      <w:r w:rsidRPr="00521291">
        <w:t xml:space="preserve"> of a</w:t>
      </w:r>
      <w:r>
        <w:t>n</w:t>
      </w:r>
      <w:r w:rsidRPr="00521291">
        <w:t xml:space="preserve"> </w:t>
      </w:r>
      <w:r>
        <w:t>apparatus</w:t>
      </w:r>
      <w:r w:rsidRPr="00521291">
        <w:t xml:space="preserve"> </w:t>
      </w:r>
      <w:r w:rsidR="0003156F">
        <w:t xml:space="preserve">with external heating system, </w:t>
      </w:r>
      <w:r w:rsidRPr="00521291">
        <w:t xml:space="preserve">capable of </w:t>
      </w:r>
      <w:r w:rsidR="0003156F">
        <w:t>carrying</w:t>
      </w:r>
      <w:r w:rsidRPr="00521291">
        <w:t xml:space="preserve"> </w:t>
      </w:r>
      <w:r w:rsidR="0003156F">
        <w:t>out adsorption/desorption</w:t>
      </w:r>
      <w:r w:rsidRPr="00521291">
        <w:t xml:space="preserve"> cycle</w:t>
      </w:r>
      <w:r w:rsidR="0003156F">
        <w:t>s</w:t>
      </w:r>
      <w:r w:rsidRPr="00521291">
        <w:t xml:space="preserve"> </w:t>
      </w:r>
      <w:r w:rsidR="0003156F">
        <w:t>could</w:t>
      </w:r>
      <w:r w:rsidRPr="00521291">
        <w:t xml:space="preserve"> ensure a continuous process without handling the adsorbent solid, </w:t>
      </w:r>
      <w:r w:rsidR="0003156F">
        <w:t>and the</w:t>
      </w:r>
      <w:r w:rsidRPr="00521291">
        <w:t xml:space="preserve"> consequent optimization of the characteristic time of the single cycle</w:t>
      </w:r>
      <w:r w:rsidR="0003156F">
        <w:t xml:space="preserve"> could be explored</w:t>
      </w:r>
      <w:r w:rsidR="00521291" w:rsidRPr="008D008A">
        <w:rPr>
          <w:lang w:val="en-GB"/>
        </w:rPr>
        <w:t>.</w:t>
      </w:r>
      <w:r w:rsidR="008B6B88" w:rsidRPr="008B6B88">
        <w:rPr>
          <w:lang w:val="en-GB"/>
        </w:rPr>
        <w:t xml:space="preserve"> This study builds upon previous findings that the addition of packing material in a confined fluidized bed enhances mass transport from the gas to the solid during </w:t>
      </w:r>
      <w:r w:rsidR="008B6B88" w:rsidRPr="008B6B88">
        <w:rPr>
          <w:lang w:val="en-GB"/>
        </w:rPr>
        <w:lastRenderedPageBreak/>
        <w:t>the adsorption cycle (Girimonte &amp; Vivacqua, 2011). It further investigates and confirms its effectiveness in improving heat transfer from the column walls to the sorbent during the desorption cycle.</w:t>
      </w:r>
    </w:p>
    <w:p w14:paraId="00D1C01A" w14:textId="77777777" w:rsidR="008B6B88" w:rsidRPr="0056655F" w:rsidRDefault="008B6B88" w:rsidP="006D2F60">
      <w:pPr>
        <w:pStyle w:val="CETBodytext"/>
        <w:rPr>
          <w:lang w:val="en-GB"/>
        </w:rPr>
      </w:pPr>
    </w:p>
    <w:p w14:paraId="2BDD407C" w14:textId="2D54421E" w:rsidR="00C75B63" w:rsidRDefault="00C75B63" w:rsidP="00600535">
      <w:pPr>
        <w:pStyle w:val="CETHeading1"/>
        <w:rPr>
          <w:lang w:val="en-GB"/>
        </w:rPr>
      </w:pPr>
      <w:r>
        <w:rPr>
          <w:lang w:val="en-GB"/>
        </w:rPr>
        <w:t>Materials and Methods</w:t>
      </w:r>
    </w:p>
    <w:p w14:paraId="514F4CBB" w14:textId="07A362D7" w:rsidR="00C75B63" w:rsidRPr="00280FAF" w:rsidRDefault="00D54306" w:rsidP="00C75B63">
      <w:pPr>
        <w:pStyle w:val="CETHeadingxx"/>
        <w:rPr>
          <w:lang w:val="en-GB"/>
        </w:rPr>
        <w:sectPr w:rsidR="00C75B63" w:rsidRPr="00280FAF" w:rsidSect="00C75B63">
          <w:type w:val="continuous"/>
          <w:pgSz w:w="11906" w:h="16838" w:code="9"/>
          <w:pgMar w:top="1701" w:right="1418" w:bottom="1701" w:left="1701" w:header="1701" w:footer="0" w:gutter="0"/>
          <w:cols w:space="708"/>
          <w:formProt w:val="0"/>
          <w:titlePg/>
          <w:docGrid w:linePitch="360"/>
        </w:sectPr>
      </w:pPr>
      <w:r>
        <w:t xml:space="preserve">2.1 </w:t>
      </w:r>
      <w:r w:rsidR="00C75B63">
        <w:t>Materials</w:t>
      </w:r>
    </w:p>
    <w:p w14:paraId="0B14E91B" w14:textId="667B50BC" w:rsidR="00C75B63" w:rsidRDefault="00A0753F" w:rsidP="00C75B63">
      <w:pPr>
        <w:pStyle w:val="CETBodytext"/>
      </w:pPr>
      <w:r w:rsidRPr="00A0753F">
        <w:t xml:space="preserve">The adsorbent material </w:t>
      </w:r>
      <w:r w:rsidR="00BA0079" w:rsidRPr="00A0753F">
        <w:t>consist</w:t>
      </w:r>
      <w:r w:rsidR="00BA0079">
        <w:t xml:space="preserve">ed </w:t>
      </w:r>
      <w:r w:rsidRPr="00A0753F">
        <w:t xml:space="preserve">of commercial silica gel, </w:t>
      </w:r>
      <w:r w:rsidR="00BA0079">
        <w:rPr>
          <w:rStyle w:val="cf01"/>
        </w:rPr>
        <w:t xml:space="preserve">that was subsequently subjected </w:t>
      </w:r>
      <w:r w:rsidRPr="00A0753F">
        <w:t>to a functionalization procedure aimed at obtaining a suitable sorbent for CO</w:t>
      </w:r>
      <w:r w:rsidRPr="003C7358">
        <w:rPr>
          <w:vertAlign w:val="subscript"/>
        </w:rPr>
        <w:t>2</w:t>
      </w:r>
      <w:r w:rsidRPr="00A0753F">
        <w:t xml:space="preserve"> capture envisages the use of 3-aminopropyltriethoxysilane (APTES, &gt;98%). Silica gel and the chemical were provided by Sigma-Aldrich (St. Louis, MO, USA). During the functionalization procedure, Ethanol (96%, analysis grade), provided by J.T. Baker-Avantor (Radnor, PA, USA), was used as a solvent.</w:t>
      </w:r>
    </w:p>
    <w:p w14:paraId="178C7B33" w14:textId="77777777" w:rsidR="00D54306" w:rsidRPr="00F73742" w:rsidRDefault="00D54306" w:rsidP="00D54306">
      <w:pPr>
        <w:pStyle w:val="CETHeadingxx"/>
        <w:sectPr w:rsidR="00D54306" w:rsidRPr="00F73742" w:rsidSect="00D54306">
          <w:type w:val="continuous"/>
          <w:pgSz w:w="11906" w:h="16838" w:code="9"/>
          <w:pgMar w:top="1701" w:right="1418" w:bottom="1701" w:left="1701" w:header="1701" w:footer="0" w:gutter="0"/>
          <w:cols w:space="708"/>
          <w:formProt w:val="0"/>
          <w:titlePg/>
          <w:docGrid w:linePitch="360"/>
        </w:sectPr>
      </w:pPr>
      <w:r w:rsidRPr="00F73742">
        <w:t>2.2 Adsorbent Preparation</w:t>
      </w:r>
    </w:p>
    <w:p w14:paraId="035F0043" w14:textId="43F80945" w:rsidR="00D54306" w:rsidRPr="00F73742" w:rsidRDefault="00D54306" w:rsidP="00D54306">
      <w:pPr>
        <w:pStyle w:val="CETBodytext"/>
      </w:pPr>
      <w:r w:rsidRPr="00F73742">
        <w:t>A modified procedure reported by</w:t>
      </w:r>
      <w:r w:rsidR="00556983" w:rsidRPr="00556983">
        <w:t xml:space="preserve"> </w:t>
      </w:r>
      <w:r w:rsidR="00556983" w:rsidRPr="00F73742">
        <w:t>Quang et al.</w:t>
      </w:r>
      <w:r w:rsidRPr="00F73742">
        <w:t xml:space="preserve"> </w:t>
      </w:r>
      <w:r w:rsidR="00C7695F" w:rsidRPr="00F73742">
        <w:t>(</w:t>
      </w:r>
      <w:r w:rsidRPr="00F73742">
        <w:t>Quang et al.</w:t>
      </w:r>
      <w:r w:rsidR="00587823" w:rsidRPr="00F73742">
        <w:t xml:space="preserve">, </w:t>
      </w:r>
      <w:r w:rsidRPr="00F73742">
        <w:t xml:space="preserve">2016) was used to prepare the amino-functionalized silica sample, by grafting amino groups on solid surface. Before the functionalization procedure, 100 g of silica gel were dried in an oven at 120 °C for 2 h. Subsequently, the solid sample was soaked with 400 g of an APTES and </w:t>
      </w:r>
      <w:r w:rsidR="00BA0079">
        <w:t>e</w:t>
      </w:r>
      <w:r w:rsidRPr="00F73742">
        <w:t>thanol/</w:t>
      </w:r>
      <w:r w:rsidR="00BA0079">
        <w:t>w</w:t>
      </w:r>
      <w:r w:rsidRPr="00F73742">
        <w:t xml:space="preserve">ater (20/80 w/w) impregnating solution in a laboratory flask at room temperature for 72 h, and at a later stage at 40 °C for 48 h, under mechanical stirring. The final stage of the procedure </w:t>
      </w:r>
      <w:r w:rsidR="003B44B1" w:rsidRPr="00F73742">
        <w:t>involved</w:t>
      </w:r>
      <w:r w:rsidRPr="00F73742">
        <w:t xml:space="preserve"> </w:t>
      </w:r>
      <w:r w:rsidR="00F73742" w:rsidRPr="00F73742">
        <w:t>drying</w:t>
      </w:r>
      <w:r w:rsidRPr="00F73742">
        <w:t xml:space="preserve"> in an oven at 60 °C for 48 h.</w:t>
      </w:r>
    </w:p>
    <w:p w14:paraId="44C718EA" w14:textId="437B113E" w:rsidR="00A0753F" w:rsidRPr="00F73742" w:rsidRDefault="00D54306" w:rsidP="00A0753F">
      <w:pPr>
        <w:pStyle w:val="CETHeadingxx"/>
        <w:sectPr w:rsidR="00A0753F" w:rsidRPr="00F73742" w:rsidSect="00A0753F">
          <w:type w:val="continuous"/>
          <w:pgSz w:w="11906" w:h="16838" w:code="9"/>
          <w:pgMar w:top="1701" w:right="1418" w:bottom="1701" w:left="1701" w:header="1701" w:footer="0" w:gutter="0"/>
          <w:cols w:space="708"/>
          <w:formProt w:val="0"/>
          <w:titlePg/>
          <w:docGrid w:linePitch="360"/>
        </w:sectPr>
      </w:pPr>
      <w:r w:rsidRPr="00F73742">
        <w:t xml:space="preserve">2.3 </w:t>
      </w:r>
      <w:r w:rsidR="00A0753F" w:rsidRPr="00F73742">
        <w:t>Characterization</w:t>
      </w:r>
    </w:p>
    <w:p w14:paraId="2D286879" w14:textId="412A2F38" w:rsidR="00A0753F" w:rsidRPr="00F73742" w:rsidRDefault="00876182" w:rsidP="00A0753F">
      <w:pPr>
        <w:pStyle w:val="CETBodytext"/>
      </w:pPr>
      <w:r w:rsidRPr="00F73742">
        <w:t xml:space="preserve">By sieving </w:t>
      </w:r>
      <w:r w:rsidR="005056EA" w:rsidRPr="00F73742">
        <w:t xml:space="preserve">silica, </w:t>
      </w:r>
      <w:r w:rsidRPr="00F73742">
        <w:t>a</w:t>
      </w:r>
      <w:r w:rsidR="00A0753F" w:rsidRPr="00F73742">
        <w:t xml:space="preserve"> 400-500 </w:t>
      </w:r>
      <w:proofErr w:type="spellStart"/>
      <w:r w:rsidR="00A0753F" w:rsidRPr="00F73742">
        <w:t>μm</w:t>
      </w:r>
      <w:proofErr w:type="spellEnd"/>
      <w:r w:rsidR="00A0753F" w:rsidRPr="00F73742">
        <w:t xml:space="preserve"> sample was obtained</w:t>
      </w:r>
      <w:r w:rsidRPr="00F73742">
        <w:t>;</w:t>
      </w:r>
      <w:r w:rsidR="00A0753F" w:rsidRPr="00F73742">
        <w:t xml:space="preserve"> a</w:t>
      </w:r>
      <w:r w:rsidRPr="00F73742">
        <w:t>fter, by a laser diffractometer Helos (</w:t>
      </w:r>
      <w:proofErr w:type="spellStart"/>
      <w:r w:rsidRPr="00F73742">
        <w:t>Sympatec</w:t>
      </w:r>
      <w:proofErr w:type="spellEnd"/>
      <w:r w:rsidRPr="00F73742">
        <w:t xml:space="preserve"> </w:t>
      </w:r>
      <w:proofErr w:type="spellStart"/>
      <w:r w:rsidRPr="00F73742">
        <w:t>GmbH,Clausthal-Zellerfeld</w:t>
      </w:r>
      <w:proofErr w:type="spellEnd"/>
      <w:r w:rsidRPr="00F73742">
        <w:t xml:space="preserve">, Germany), </w:t>
      </w:r>
      <w:r w:rsidR="00A0753F" w:rsidRPr="00F73742">
        <w:t xml:space="preserve">its particle size distribution was determined. Particle shape characterization was obtained by means of a </w:t>
      </w:r>
      <w:proofErr w:type="spellStart"/>
      <w:r w:rsidR="00A0753F" w:rsidRPr="00F73742">
        <w:t>QicPic</w:t>
      </w:r>
      <w:proofErr w:type="spellEnd"/>
      <w:r w:rsidR="00A0753F" w:rsidRPr="00F73742">
        <w:t xml:space="preserve"> image analy</w:t>
      </w:r>
      <w:r w:rsidR="005056EA" w:rsidRPr="00F73742">
        <w:t>zer</w:t>
      </w:r>
      <w:r w:rsidR="00F73742">
        <w:t xml:space="preserve"> </w:t>
      </w:r>
      <w:r w:rsidR="00A0753F" w:rsidRPr="00F73742">
        <w:t>(</w:t>
      </w:r>
      <w:proofErr w:type="spellStart"/>
      <w:r w:rsidR="00A0753F" w:rsidRPr="00F73742">
        <w:t>Sympatec</w:t>
      </w:r>
      <w:proofErr w:type="spellEnd"/>
      <w:r w:rsidR="00A0753F" w:rsidRPr="00F73742">
        <w:t xml:space="preserve"> GmbH, Clausthal-</w:t>
      </w:r>
      <w:proofErr w:type="spellStart"/>
      <w:r w:rsidR="00A0753F" w:rsidRPr="00F73742">
        <w:t>Zellerfeld</w:t>
      </w:r>
      <w:proofErr w:type="spellEnd"/>
      <w:r w:rsidR="00A0753F" w:rsidRPr="00F73742">
        <w:t>, Germany).</w:t>
      </w:r>
    </w:p>
    <w:p w14:paraId="023CC4B3" w14:textId="3877955B" w:rsidR="00A0753F" w:rsidRPr="00F73742" w:rsidRDefault="00A0753F" w:rsidP="00A0753F">
      <w:pPr>
        <w:pStyle w:val="CETBodytext"/>
      </w:pPr>
      <w:r w:rsidRPr="00F73742">
        <w:t>The apparent particle density of amino-functionalized adsorbent (</w:t>
      </w:r>
      <w:r w:rsidR="00876182" w:rsidRPr="00F73742">
        <w:t xml:space="preserve">indicated as </w:t>
      </w:r>
      <w:r w:rsidRPr="00F73742">
        <w:t xml:space="preserve">APTES20) was determined according to the method proposed by </w:t>
      </w:r>
      <w:r w:rsidR="00D70280" w:rsidRPr="00F73742">
        <w:t>(</w:t>
      </w:r>
      <w:r w:rsidRPr="00F73742">
        <w:t>Abrahamsen and Geldart</w:t>
      </w:r>
      <w:r w:rsidR="00D70280" w:rsidRPr="00F73742">
        <w:t xml:space="preserve">, </w:t>
      </w:r>
      <w:r w:rsidRPr="00F73742">
        <w:t>1980) and widely explained in previous works</w:t>
      </w:r>
      <w:r w:rsidR="00BD10F0" w:rsidRPr="00F73742">
        <w:t xml:space="preserve"> </w:t>
      </w:r>
      <w:r w:rsidR="000E16E3" w:rsidRPr="00F73742">
        <w:t>(Girimonte et al., 2020)</w:t>
      </w:r>
      <w:r w:rsidRPr="00F73742">
        <w:t xml:space="preserve">. This method consists of a comparison of the porous adsorbent with a non-porous solid </w:t>
      </w:r>
      <w:r w:rsidR="00876182" w:rsidRPr="00F73742">
        <w:t>of</w:t>
      </w:r>
      <w:r w:rsidRPr="00F73742">
        <w:t xml:space="preserve"> known density and characterized by the same particle distribution and similar shape.</w:t>
      </w:r>
    </w:p>
    <w:p w14:paraId="2C739EEE" w14:textId="5F4BEA08" w:rsidR="00A0753F" w:rsidRPr="00F73742" w:rsidRDefault="00A0753F" w:rsidP="00A0753F">
      <w:pPr>
        <w:pStyle w:val="CETBodytext"/>
      </w:pPr>
      <w:r w:rsidRPr="00F73742">
        <w:t>Several fluidization experiments, c</w:t>
      </w:r>
      <w:r w:rsidR="00876182" w:rsidRPr="00F73742">
        <w:t>arri</w:t>
      </w:r>
      <w:r w:rsidRPr="00F73742">
        <w:t xml:space="preserve">ed </w:t>
      </w:r>
      <w:r w:rsidR="00876182" w:rsidRPr="00F73742">
        <w:t xml:space="preserve">out </w:t>
      </w:r>
      <w:r w:rsidRPr="00F73742">
        <w:t xml:space="preserve">in a confined </w:t>
      </w:r>
      <w:r w:rsidR="00876182" w:rsidRPr="00F73742">
        <w:t>fluidized bed</w:t>
      </w:r>
      <w:r w:rsidRPr="00F73742">
        <w:t xml:space="preserve"> and using air</w:t>
      </w:r>
      <w:r w:rsidR="00876182" w:rsidRPr="00F73742">
        <w:t xml:space="preserve"> as gas</w:t>
      </w:r>
      <w:r w:rsidRPr="00F73742">
        <w:t xml:space="preserve">, </w:t>
      </w:r>
      <w:r w:rsidR="00D54306" w:rsidRPr="00F73742">
        <w:t>allowed</w:t>
      </w:r>
      <w:r w:rsidRPr="00F73742">
        <w:t xml:space="preserve"> a fluid-dynamic characterization of the amino-functionalized adsorbent. The experiments led to the determination of the minimum fluidization velocity and the corresponding bed </w:t>
      </w:r>
      <w:proofErr w:type="spellStart"/>
      <w:r w:rsidRPr="00F73742">
        <w:t>voidage</w:t>
      </w:r>
      <w:proofErr w:type="spellEnd"/>
      <w:r w:rsidRPr="00F73742">
        <w:t xml:space="preserve"> in </w:t>
      </w:r>
      <w:r w:rsidR="00D54306" w:rsidRPr="00F73742">
        <w:t xml:space="preserve">the </w:t>
      </w:r>
      <w:r w:rsidRPr="00F73742">
        <w:t xml:space="preserve">confined </w:t>
      </w:r>
      <w:r w:rsidR="00D54306" w:rsidRPr="00F73742">
        <w:t>bed</w:t>
      </w:r>
      <w:r w:rsidR="000E16E3" w:rsidRPr="00F73742">
        <w:t xml:space="preserve"> (Girimonte and Vivacqua, 201</w:t>
      </w:r>
      <w:r w:rsidR="00C71559" w:rsidRPr="00F73742">
        <w:t>3</w:t>
      </w:r>
      <w:r w:rsidR="000E16E3" w:rsidRPr="00F73742">
        <w:t>)</w:t>
      </w:r>
      <w:r w:rsidRPr="00F73742">
        <w:t>.</w:t>
      </w:r>
    </w:p>
    <w:p w14:paraId="028DD067" w14:textId="773D62FB" w:rsidR="00601F9B" w:rsidRPr="00F73742" w:rsidRDefault="00601F9B" w:rsidP="00A0753F">
      <w:pPr>
        <w:pStyle w:val="CETBodytext"/>
      </w:pPr>
      <w:r w:rsidRPr="00F73742">
        <w:t>A Thermogravimetric Analysis (TGA) was performed using a DSC-TGA STA 409C analyzer (</w:t>
      </w:r>
      <w:proofErr w:type="spellStart"/>
      <w:r w:rsidRPr="00F73742">
        <w:t>Netzsch-Gerätebau</w:t>
      </w:r>
      <w:proofErr w:type="spellEnd"/>
      <w:r w:rsidRPr="00F73742">
        <w:t xml:space="preserve"> GmbH, Selb, Germany) from 20 to 800 °C at a heating rate of 10 °C/min in static air</w:t>
      </w:r>
      <w:r w:rsidR="00D54306" w:rsidRPr="00F73742">
        <w:t xml:space="preserve"> to identify the thermal level for desorption without decomposition of the organic moieties</w:t>
      </w:r>
      <w:r w:rsidRPr="00F73742">
        <w:t>.</w:t>
      </w:r>
    </w:p>
    <w:p w14:paraId="40B03085" w14:textId="4A22A424" w:rsidR="00A0753F" w:rsidRPr="00F73742" w:rsidRDefault="00A0753F" w:rsidP="00A0753F">
      <w:pPr>
        <w:pStyle w:val="CETTabletitle"/>
      </w:pPr>
      <w:r w:rsidRPr="00F73742">
        <w:t xml:space="preserve">Table 1: </w:t>
      </w:r>
      <w:r w:rsidR="00584C5A" w:rsidRPr="00F73742">
        <w:t>Size, shape</w:t>
      </w:r>
      <w:r w:rsidR="00D54306" w:rsidRPr="00F73742">
        <w:t xml:space="preserve"> a</w:t>
      </w:r>
      <w:r w:rsidR="00584C5A" w:rsidRPr="00F73742">
        <w:t>nd fluidization properties</w:t>
      </w:r>
      <w:r w:rsidRPr="00F73742">
        <w:t xml:space="preserve"> of adsorbent particles.</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27"/>
        <w:gridCol w:w="899"/>
        <w:gridCol w:w="899"/>
        <w:gridCol w:w="898"/>
        <w:gridCol w:w="919"/>
        <w:gridCol w:w="889"/>
        <w:gridCol w:w="824"/>
        <w:gridCol w:w="944"/>
        <w:gridCol w:w="794"/>
        <w:gridCol w:w="794"/>
      </w:tblGrid>
      <w:tr w:rsidR="00A0753F" w:rsidRPr="00B57B36" w14:paraId="014449FD" w14:textId="4C5A7179" w:rsidTr="00D70280">
        <w:trPr>
          <w:jc w:val="center"/>
        </w:trPr>
        <w:tc>
          <w:tcPr>
            <w:tcW w:w="927" w:type="dxa"/>
            <w:tcBorders>
              <w:top w:val="single" w:sz="12" w:space="0" w:color="008000"/>
              <w:bottom w:val="single" w:sz="6" w:space="0" w:color="008000"/>
            </w:tcBorders>
            <w:shd w:val="clear" w:color="auto" w:fill="FFFFFF"/>
          </w:tcPr>
          <w:p w14:paraId="0F8C3D25" w14:textId="77777777" w:rsidR="00A0753F" w:rsidRPr="00F73742" w:rsidRDefault="00A0753F" w:rsidP="00D54306">
            <w:pPr>
              <w:pStyle w:val="CETBodytext"/>
              <w:jc w:val="center"/>
              <w:rPr>
                <w:lang w:val="en-GB"/>
              </w:rPr>
            </w:pPr>
            <w:r w:rsidRPr="00F73742">
              <w:rPr>
                <w:lang w:val="en-GB"/>
              </w:rPr>
              <w:t>Sieve size</w:t>
            </w:r>
          </w:p>
          <w:p w14:paraId="4242420C" w14:textId="109DA248" w:rsidR="00A0753F" w:rsidRPr="00F73742" w:rsidRDefault="00A0753F" w:rsidP="00D54306">
            <w:pPr>
              <w:pStyle w:val="CETBodytext"/>
              <w:jc w:val="center"/>
              <w:rPr>
                <w:lang w:val="en-GB"/>
              </w:rPr>
            </w:pPr>
            <w:r w:rsidRPr="00F73742">
              <w:rPr>
                <w:lang w:val="en-GB"/>
              </w:rPr>
              <w:t>[</w:t>
            </w:r>
            <w:proofErr w:type="spellStart"/>
            <w:r w:rsidRPr="00F73742">
              <w:rPr>
                <w:lang w:val="en-GB"/>
              </w:rPr>
              <w:t>μm</w:t>
            </w:r>
            <w:proofErr w:type="spellEnd"/>
            <w:r w:rsidRPr="00F73742">
              <w:rPr>
                <w:lang w:val="en-GB"/>
              </w:rPr>
              <w:t>]</w:t>
            </w:r>
          </w:p>
        </w:tc>
        <w:tc>
          <w:tcPr>
            <w:tcW w:w="899" w:type="dxa"/>
            <w:tcBorders>
              <w:top w:val="single" w:sz="12" w:space="0" w:color="008000"/>
              <w:bottom w:val="single" w:sz="6" w:space="0" w:color="008000"/>
            </w:tcBorders>
            <w:shd w:val="clear" w:color="auto" w:fill="FFFFFF"/>
          </w:tcPr>
          <w:p w14:paraId="4F784991" w14:textId="77777777" w:rsidR="00A0753F" w:rsidRPr="00F73742" w:rsidRDefault="00A0753F" w:rsidP="00D54306">
            <w:pPr>
              <w:pStyle w:val="CETBodytext"/>
              <w:jc w:val="center"/>
              <w:rPr>
                <w:vertAlign w:val="subscript"/>
                <w:lang w:val="en-GB"/>
              </w:rPr>
            </w:pPr>
            <w:r w:rsidRPr="00F73742">
              <w:rPr>
                <w:lang w:val="en-GB"/>
              </w:rPr>
              <w:t>d</w:t>
            </w:r>
            <w:r w:rsidRPr="00F73742">
              <w:rPr>
                <w:vertAlign w:val="subscript"/>
                <w:lang w:val="en-GB"/>
              </w:rPr>
              <w:t>10%</w:t>
            </w:r>
          </w:p>
          <w:p w14:paraId="02EC9723" w14:textId="54AB129F" w:rsidR="00A0753F" w:rsidRPr="00F73742" w:rsidRDefault="00A0753F" w:rsidP="00D54306">
            <w:pPr>
              <w:pStyle w:val="CETBodytext"/>
              <w:jc w:val="center"/>
              <w:rPr>
                <w:lang w:val="en-GB"/>
              </w:rPr>
            </w:pPr>
            <w:r w:rsidRPr="00F73742">
              <w:rPr>
                <w:lang w:val="en-GB"/>
              </w:rPr>
              <w:t>[</w:t>
            </w:r>
            <w:proofErr w:type="spellStart"/>
            <w:r w:rsidRPr="00F73742">
              <w:rPr>
                <w:lang w:val="en-GB"/>
              </w:rPr>
              <w:t>μm</w:t>
            </w:r>
            <w:proofErr w:type="spellEnd"/>
            <w:r w:rsidRPr="00F73742">
              <w:rPr>
                <w:lang w:val="en-GB"/>
              </w:rPr>
              <w:t>]</w:t>
            </w:r>
          </w:p>
        </w:tc>
        <w:tc>
          <w:tcPr>
            <w:tcW w:w="899" w:type="dxa"/>
            <w:tcBorders>
              <w:top w:val="single" w:sz="12" w:space="0" w:color="008000"/>
              <w:bottom w:val="single" w:sz="6" w:space="0" w:color="008000"/>
            </w:tcBorders>
            <w:shd w:val="clear" w:color="auto" w:fill="FFFFFF"/>
          </w:tcPr>
          <w:p w14:paraId="5D9CE6BE" w14:textId="77777777" w:rsidR="00A0753F" w:rsidRPr="00F73742" w:rsidRDefault="00A0753F" w:rsidP="00D54306">
            <w:pPr>
              <w:pStyle w:val="CETBodytext"/>
              <w:jc w:val="center"/>
              <w:rPr>
                <w:lang w:val="en-GB"/>
              </w:rPr>
            </w:pPr>
            <w:r w:rsidRPr="00F73742">
              <w:rPr>
                <w:lang w:val="en-GB"/>
              </w:rPr>
              <w:t>d</w:t>
            </w:r>
            <w:r w:rsidRPr="00F73742">
              <w:rPr>
                <w:vertAlign w:val="subscript"/>
                <w:lang w:val="en-GB"/>
              </w:rPr>
              <w:t>50%</w:t>
            </w:r>
          </w:p>
          <w:p w14:paraId="496EC5D9" w14:textId="674CED4C" w:rsidR="00A0753F" w:rsidRPr="00F73742" w:rsidRDefault="00A0753F" w:rsidP="00D54306">
            <w:pPr>
              <w:pStyle w:val="CETBodytext"/>
              <w:jc w:val="center"/>
              <w:rPr>
                <w:lang w:val="en-GB"/>
              </w:rPr>
            </w:pPr>
            <w:r w:rsidRPr="00F73742">
              <w:rPr>
                <w:lang w:val="en-GB"/>
              </w:rPr>
              <w:t>[</w:t>
            </w:r>
            <w:proofErr w:type="spellStart"/>
            <w:r w:rsidRPr="00F73742">
              <w:rPr>
                <w:lang w:val="en-GB"/>
              </w:rPr>
              <w:t>μm</w:t>
            </w:r>
            <w:proofErr w:type="spellEnd"/>
            <w:r w:rsidRPr="00F73742">
              <w:rPr>
                <w:lang w:val="en-GB"/>
              </w:rPr>
              <w:t>]</w:t>
            </w:r>
          </w:p>
        </w:tc>
        <w:tc>
          <w:tcPr>
            <w:tcW w:w="898" w:type="dxa"/>
            <w:tcBorders>
              <w:top w:val="single" w:sz="12" w:space="0" w:color="008000"/>
              <w:bottom w:val="single" w:sz="6" w:space="0" w:color="008000"/>
            </w:tcBorders>
            <w:shd w:val="clear" w:color="auto" w:fill="FFFFFF"/>
          </w:tcPr>
          <w:p w14:paraId="1AF9701B" w14:textId="35AD5DA7" w:rsidR="00A0753F" w:rsidRPr="00F73742" w:rsidRDefault="00A0753F" w:rsidP="00D54306">
            <w:pPr>
              <w:pStyle w:val="CETBodytext"/>
              <w:ind w:right="-1"/>
              <w:jc w:val="center"/>
              <w:rPr>
                <w:rFonts w:cs="Arial"/>
                <w:szCs w:val="18"/>
                <w:vertAlign w:val="subscript"/>
                <w:lang w:val="en-GB"/>
              </w:rPr>
            </w:pPr>
            <w:r w:rsidRPr="00F73742">
              <w:rPr>
                <w:rFonts w:cs="Arial"/>
                <w:szCs w:val="18"/>
                <w:lang w:val="en-GB"/>
              </w:rPr>
              <w:t>d</w:t>
            </w:r>
            <w:r w:rsidRPr="00F73742">
              <w:rPr>
                <w:rFonts w:cs="Arial"/>
                <w:szCs w:val="18"/>
                <w:vertAlign w:val="subscript"/>
                <w:lang w:val="en-GB"/>
              </w:rPr>
              <w:t>90%</w:t>
            </w:r>
          </w:p>
          <w:p w14:paraId="39A8EF26" w14:textId="15D9F1C3" w:rsidR="00A0753F" w:rsidRPr="00F73742" w:rsidRDefault="00A0753F" w:rsidP="00D54306">
            <w:pPr>
              <w:pStyle w:val="CETBodytext"/>
              <w:ind w:right="-1"/>
              <w:jc w:val="center"/>
              <w:rPr>
                <w:rFonts w:cs="Arial"/>
                <w:szCs w:val="18"/>
                <w:lang w:val="en-GB"/>
              </w:rPr>
            </w:pPr>
            <w:r w:rsidRPr="00F73742">
              <w:rPr>
                <w:rFonts w:cs="Arial"/>
                <w:szCs w:val="18"/>
                <w:lang w:val="en-GB"/>
              </w:rPr>
              <w:t>[</w:t>
            </w:r>
            <w:proofErr w:type="spellStart"/>
            <w:r w:rsidRPr="00F73742">
              <w:rPr>
                <w:rFonts w:cs="Arial"/>
                <w:szCs w:val="18"/>
                <w:lang w:val="en-GB"/>
              </w:rPr>
              <w:t>μm</w:t>
            </w:r>
            <w:proofErr w:type="spellEnd"/>
            <w:r w:rsidRPr="00F73742">
              <w:rPr>
                <w:rFonts w:cs="Arial"/>
                <w:szCs w:val="18"/>
                <w:lang w:val="en-GB"/>
              </w:rPr>
              <w:t>]</w:t>
            </w:r>
          </w:p>
        </w:tc>
        <w:tc>
          <w:tcPr>
            <w:tcW w:w="919" w:type="dxa"/>
            <w:tcBorders>
              <w:top w:val="single" w:sz="12" w:space="0" w:color="008000"/>
              <w:bottom w:val="single" w:sz="6" w:space="0" w:color="008000"/>
            </w:tcBorders>
            <w:shd w:val="clear" w:color="auto" w:fill="FFFFFF"/>
          </w:tcPr>
          <w:p w14:paraId="1B5BE613" w14:textId="77777777" w:rsidR="00A0753F" w:rsidRPr="00F73742" w:rsidRDefault="00A0753F" w:rsidP="00D54306">
            <w:pPr>
              <w:pStyle w:val="CETBodytext"/>
              <w:ind w:right="-1"/>
              <w:jc w:val="center"/>
              <w:rPr>
                <w:rFonts w:cs="Arial"/>
                <w:szCs w:val="18"/>
                <w:lang w:val="en-GB"/>
              </w:rPr>
            </w:pPr>
            <w:r w:rsidRPr="00F73742">
              <w:rPr>
                <w:rFonts w:cs="Arial"/>
                <w:szCs w:val="18"/>
                <w:lang w:val="en-GB"/>
              </w:rPr>
              <w:t>Span</w:t>
            </w:r>
          </w:p>
          <w:p w14:paraId="20EB6311" w14:textId="2F961536" w:rsidR="00A0753F" w:rsidRPr="00F73742" w:rsidRDefault="00A0753F" w:rsidP="00D54306">
            <w:pPr>
              <w:pStyle w:val="CETBodytext"/>
              <w:ind w:right="-1"/>
              <w:jc w:val="center"/>
              <w:rPr>
                <w:rFonts w:cs="Arial"/>
                <w:szCs w:val="18"/>
                <w:lang w:val="en-GB"/>
              </w:rPr>
            </w:pPr>
            <w:r w:rsidRPr="00F73742">
              <w:rPr>
                <w:rFonts w:cs="Arial"/>
                <w:szCs w:val="18"/>
                <w:lang w:val="en-GB"/>
              </w:rPr>
              <w:t>[-]</w:t>
            </w:r>
          </w:p>
        </w:tc>
        <w:tc>
          <w:tcPr>
            <w:tcW w:w="889" w:type="dxa"/>
            <w:tcBorders>
              <w:top w:val="single" w:sz="12" w:space="0" w:color="008000"/>
              <w:bottom w:val="single" w:sz="6" w:space="0" w:color="008000"/>
            </w:tcBorders>
            <w:shd w:val="clear" w:color="auto" w:fill="FFFFFF"/>
          </w:tcPr>
          <w:p w14:paraId="771B75FF" w14:textId="77777777" w:rsidR="00A0753F" w:rsidRPr="00F73742" w:rsidRDefault="00A0753F" w:rsidP="00D54306">
            <w:pPr>
              <w:pStyle w:val="CETBodytext"/>
              <w:ind w:right="-1"/>
              <w:jc w:val="center"/>
              <w:rPr>
                <w:rFonts w:cs="Arial"/>
                <w:szCs w:val="18"/>
                <w:lang w:val="en-GB"/>
              </w:rPr>
            </w:pPr>
            <w:r w:rsidRPr="00F73742">
              <w:rPr>
                <w:rFonts w:cs="Arial"/>
                <w:szCs w:val="18"/>
                <w:lang w:val="en-GB"/>
              </w:rPr>
              <w:t>d</w:t>
            </w:r>
            <w:r w:rsidRPr="00F73742">
              <w:rPr>
                <w:rFonts w:cs="Arial"/>
                <w:szCs w:val="18"/>
                <w:vertAlign w:val="subscript"/>
                <w:lang w:val="en-GB"/>
              </w:rPr>
              <w:t>v</w:t>
            </w:r>
          </w:p>
          <w:p w14:paraId="6E377E73" w14:textId="738A9CDD" w:rsidR="00A0753F" w:rsidRPr="00F73742" w:rsidRDefault="00A0753F" w:rsidP="00D54306">
            <w:pPr>
              <w:pStyle w:val="CETBodytext"/>
              <w:ind w:right="-1"/>
              <w:jc w:val="center"/>
              <w:rPr>
                <w:rFonts w:cs="Arial"/>
                <w:szCs w:val="18"/>
                <w:lang w:val="en-GB"/>
              </w:rPr>
            </w:pPr>
            <w:r w:rsidRPr="00F73742">
              <w:rPr>
                <w:rFonts w:cs="Arial"/>
                <w:szCs w:val="18"/>
                <w:lang w:val="en-GB"/>
              </w:rPr>
              <w:t>[</w:t>
            </w:r>
            <w:proofErr w:type="spellStart"/>
            <w:r w:rsidRPr="00F73742">
              <w:rPr>
                <w:rFonts w:cs="Arial"/>
                <w:szCs w:val="18"/>
                <w:lang w:val="en-GB"/>
              </w:rPr>
              <w:t>μm</w:t>
            </w:r>
            <w:proofErr w:type="spellEnd"/>
            <w:r w:rsidRPr="00F73742">
              <w:rPr>
                <w:rFonts w:cs="Arial"/>
                <w:szCs w:val="18"/>
                <w:lang w:val="en-GB"/>
              </w:rPr>
              <w:t>]</w:t>
            </w:r>
          </w:p>
        </w:tc>
        <w:tc>
          <w:tcPr>
            <w:tcW w:w="824" w:type="dxa"/>
            <w:tcBorders>
              <w:top w:val="single" w:sz="12" w:space="0" w:color="008000"/>
              <w:bottom w:val="single" w:sz="6" w:space="0" w:color="008000"/>
            </w:tcBorders>
            <w:shd w:val="clear" w:color="auto" w:fill="FFFFFF"/>
          </w:tcPr>
          <w:p w14:paraId="57DDCBB2" w14:textId="77777777" w:rsidR="00A0753F" w:rsidRPr="00F73742" w:rsidRDefault="00A0753F" w:rsidP="00D54306">
            <w:pPr>
              <w:pStyle w:val="CETBodytext"/>
              <w:ind w:right="-1"/>
              <w:jc w:val="center"/>
              <w:rPr>
                <w:rFonts w:cs="Arial"/>
                <w:szCs w:val="18"/>
                <w:lang w:val="en-GB"/>
              </w:rPr>
            </w:pPr>
            <w:r w:rsidRPr="00F73742">
              <w:rPr>
                <w:rFonts w:cs="Arial"/>
                <w:szCs w:val="18"/>
                <w:lang w:val="en-GB"/>
              </w:rPr>
              <w:t>φ</w:t>
            </w:r>
          </w:p>
          <w:p w14:paraId="506E4F65" w14:textId="72DC46ED" w:rsidR="00A0753F" w:rsidRPr="00F73742" w:rsidRDefault="00A0753F" w:rsidP="00D54306">
            <w:pPr>
              <w:pStyle w:val="CETBodytext"/>
              <w:ind w:right="-1"/>
              <w:jc w:val="center"/>
              <w:rPr>
                <w:rFonts w:cs="Arial"/>
                <w:szCs w:val="18"/>
                <w:lang w:val="en-GB"/>
              </w:rPr>
            </w:pPr>
            <w:r w:rsidRPr="00F73742">
              <w:rPr>
                <w:rFonts w:cs="Arial"/>
                <w:szCs w:val="18"/>
                <w:lang w:val="en-GB"/>
              </w:rPr>
              <w:t>[-]</w:t>
            </w:r>
          </w:p>
        </w:tc>
        <w:tc>
          <w:tcPr>
            <w:tcW w:w="944" w:type="dxa"/>
            <w:tcBorders>
              <w:top w:val="single" w:sz="12" w:space="0" w:color="008000"/>
              <w:bottom w:val="single" w:sz="6" w:space="0" w:color="008000"/>
            </w:tcBorders>
            <w:shd w:val="clear" w:color="auto" w:fill="FFFFFF"/>
          </w:tcPr>
          <w:p w14:paraId="0713638E" w14:textId="0A675B28" w:rsidR="00601F9B" w:rsidRPr="00F73742" w:rsidRDefault="00A0753F" w:rsidP="00D54306">
            <w:pPr>
              <w:pStyle w:val="CETBodytext"/>
              <w:ind w:right="-1"/>
              <w:jc w:val="center"/>
              <w:rPr>
                <w:rFonts w:cs="Arial"/>
                <w:szCs w:val="18"/>
                <w:lang w:val="en-GB"/>
              </w:rPr>
            </w:pPr>
            <w:proofErr w:type="spellStart"/>
            <w:r w:rsidRPr="00F73742">
              <w:rPr>
                <w:rFonts w:cs="Arial"/>
                <w:szCs w:val="18"/>
                <w:lang w:val="en-GB"/>
              </w:rPr>
              <w:t>ρ</w:t>
            </w:r>
            <w:r w:rsidR="00010AFE" w:rsidRPr="00F73742">
              <w:rPr>
                <w:rFonts w:cs="Arial"/>
                <w:szCs w:val="18"/>
                <w:vertAlign w:val="subscript"/>
                <w:lang w:val="en-GB"/>
              </w:rPr>
              <w:t>f</w:t>
            </w:r>
            <w:proofErr w:type="spellEnd"/>
          </w:p>
          <w:p w14:paraId="2BFE793A" w14:textId="2856053B" w:rsidR="00A0753F" w:rsidRPr="00F73742" w:rsidRDefault="00A0753F" w:rsidP="00D54306">
            <w:pPr>
              <w:pStyle w:val="CETBodytext"/>
              <w:ind w:right="-1"/>
              <w:jc w:val="center"/>
              <w:rPr>
                <w:rFonts w:cs="Arial"/>
                <w:szCs w:val="18"/>
                <w:lang w:val="en-GB"/>
              </w:rPr>
            </w:pPr>
            <w:r w:rsidRPr="00F73742">
              <w:rPr>
                <w:rFonts w:cs="Arial"/>
                <w:szCs w:val="18"/>
                <w:lang w:val="en-GB"/>
              </w:rPr>
              <w:t>[kg/m</w:t>
            </w:r>
            <w:r w:rsidRPr="00F73742">
              <w:rPr>
                <w:rFonts w:cs="Arial"/>
                <w:szCs w:val="18"/>
                <w:vertAlign w:val="superscript"/>
                <w:lang w:val="en-GB"/>
              </w:rPr>
              <w:t>3</w:t>
            </w:r>
            <w:r w:rsidRPr="00F73742">
              <w:rPr>
                <w:rFonts w:cs="Arial"/>
                <w:szCs w:val="18"/>
                <w:lang w:val="en-GB"/>
              </w:rPr>
              <w:t>]</w:t>
            </w:r>
          </w:p>
        </w:tc>
        <w:tc>
          <w:tcPr>
            <w:tcW w:w="794" w:type="dxa"/>
            <w:tcBorders>
              <w:top w:val="single" w:sz="12" w:space="0" w:color="008000"/>
              <w:bottom w:val="single" w:sz="6" w:space="0" w:color="008000"/>
            </w:tcBorders>
            <w:shd w:val="clear" w:color="auto" w:fill="FFFFFF"/>
          </w:tcPr>
          <w:p w14:paraId="711B5AC3" w14:textId="77777777" w:rsidR="00601F9B" w:rsidRPr="00F73742" w:rsidRDefault="00601F9B" w:rsidP="00D54306">
            <w:pPr>
              <w:pStyle w:val="CETBodytext"/>
              <w:ind w:right="-1"/>
              <w:jc w:val="center"/>
              <w:rPr>
                <w:rFonts w:cs="Arial"/>
                <w:szCs w:val="18"/>
                <w:lang w:val="en-GB"/>
              </w:rPr>
            </w:pPr>
            <w:proofErr w:type="spellStart"/>
            <w:r w:rsidRPr="00F73742">
              <w:rPr>
                <w:rFonts w:cs="Arial"/>
                <w:szCs w:val="18"/>
                <w:lang w:val="en-GB"/>
              </w:rPr>
              <w:t>u</w:t>
            </w:r>
            <w:r w:rsidRPr="00F73742">
              <w:rPr>
                <w:rFonts w:cs="Arial"/>
                <w:szCs w:val="18"/>
                <w:vertAlign w:val="subscript"/>
                <w:lang w:val="en-GB"/>
              </w:rPr>
              <w:t>mf</w:t>
            </w:r>
            <w:proofErr w:type="spellEnd"/>
          </w:p>
          <w:p w14:paraId="66EE0989" w14:textId="180F91B8" w:rsidR="00A0753F" w:rsidRPr="00F73742" w:rsidRDefault="00601F9B" w:rsidP="00D54306">
            <w:pPr>
              <w:pStyle w:val="CETBodytext"/>
              <w:ind w:right="-1"/>
              <w:jc w:val="center"/>
              <w:rPr>
                <w:rFonts w:cs="Arial"/>
                <w:szCs w:val="18"/>
                <w:lang w:val="en-GB"/>
              </w:rPr>
            </w:pPr>
            <w:r w:rsidRPr="00F73742">
              <w:rPr>
                <w:rFonts w:cs="Arial"/>
                <w:szCs w:val="18"/>
                <w:lang w:val="en-GB"/>
              </w:rPr>
              <w:t>[10</w:t>
            </w:r>
            <w:r w:rsidRPr="00F73742">
              <w:rPr>
                <w:rFonts w:cs="Arial"/>
                <w:szCs w:val="18"/>
                <w:vertAlign w:val="superscript"/>
                <w:lang w:val="en-GB"/>
              </w:rPr>
              <w:t>-2</w:t>
            </w:r>
            <w:r w:rsidRPr="00F73742">
              <w:rPr>
                <w:rFonts w:cs="Arial"/>
                <w:szCs w:val="18"/>
                <w:lang w:val="en-GB"/>
              </w:rPr>
              <w:t xml:space="preserve"> m/s]</w:t>
            </w:r>
          </w:p>
        </w:tc>
        <w:tc>
          <w:tcPr>
            <w:tcW w:w="794" w:type="dxa"/>
            <w:tcBorders>
              <w:top w:val="single" w:sz="12" w:space="0" w:color="008000"/>
              <w:bottom w:val="single" w:sz="6" w:space="0" w:color="008000"/>
            </w:tcBorders>
            <w:shd w:val="clear" w:color="auto" w:fill="FFFFFF"/>
          </w:tcPr>
          <w:p w14:paraId="57102F83" w14:textId="77777777" w:rsidR="00601F9B" w:rsidRPr="00F73742" w:rsidRDefault="00601F9B" w:rsidP="00D54306">
            <w:pPr>
              <w:pStyle w:val="CETBodytext"/>
              <w:ind w:right="-1"/>
              <w:jc w:val="center"/>
              <w:rPr>
                <w:rFonts w:cs="Arial"/>
                <w:szCs w:val="18"/>
                <w:lang w:val="en-GB"/>
              </w:rPr>
            </w:pPr>
            <w:proofErr w:type="spellStart"/>
            <w:r w:rsidRPr="00F73742">
              <w:rPr>
                <w:rFonts w:cs="Arial"/>
                <w:szCs w:val="18"/>
                <w:lang w:val="en-GB"/>
              </w:rPr>
              <w:t>ε</w:t>
            </w:r>
            <w:r w:rsidRPr="00F73742">
              <w:rPr>
                <w:rFonts w:cs="Arial"/>
                <w:szCs w:val="18"/>
                <w:vertAlign w:val="subscript"/>
                <w:lang w:val="en-GB"/>
              </w:rPr>
              <w:t>mf</w:t>
            </w:r>
            <w:proofErr w:type="spellEnd"/>
          </w:p>
          <w:p w14:paraId="44C00DD1" w14:textId="22FB9028" w:rsidR="00A0753F" w:rsidRPr="00A0753F" w:rsidRDefault="00601F9B" w:rsidP="00D54306">
            <w:pPr>
              <w:pStyle w:val="CETBodytext"/>
              <w:ind w:right="-1"/>
              <w:jc w:val="center"/>
              <w:rPr>
                <w:rFonts w:cs="Arial"/>
                <w:szCs w:val="18"/>
                <w:lang w:val="en-GB"/>
              </w:rPr>
            </w:pPr>
            <w:r w:rsidRPr="00F73742">
              <w:rPr>
                <w:rFonts w:cs="Arial"/>
                <w:szCs w:val="18"/>
                <w:lang w:val="en-GB"/>
              </w:rPr>
              <w:t>[-]</w:t>
            </w:r>
          </w:p>
        </w:tc>
      </w:tr>
      <w:tr w:rsidR="00A0753F" w:rsidRPr="00B57B36" w14:paraId="3EAF9895" w14:textId="16DEE31F" w:rsidTr="00D70280">
        <w:trPr>
          <w:trHeight w:val="381"/>
          <w:jc w:val="center"/>
        </w:trPr>
        <w:tc>
          <w:tcPr>
            <w:tcW w:w="927" w:type="dxa"/>
            <w:shd w:val="clear" w:color="auto" w:fill="FFFFFF"/>
            <w:vAlign w:val="center"/>
          </w:tcPr>
          <w:p w14:paraId="33D714FA" w14:textId="33FE1543" w:rsidR="00A0753F" w:rsidRPr="00B57B36" w:rsidRDefault="00A0753F" w:rsidP="00D54306">
            <w:pPr>
              <w:pStyle w:val="CETBodytext"/>
              <w:jc w:val="center"/>
              <w:rPr>
                <w:lang w:val="en-GB"/>
              </w:rPr>
            </w:pPr>
            <w:r>
              <w:rPr>
                <w:lang w:val="en-GB"/>
              </w:rPr>
              <w:t>400-500</w:t>
            </w:r>
          </w:p>
        </w:tc>
        <w:tc>
          <w:tcPr>
            <w:tcW w:w="899" w:type="dxa"/>
            <w:shd w:val="clear" w:color="auto" w:fill="FFFFFF"/>
            <w:vAlign w:val="center"/>
          </w:tcPr>
          <w:p w14:paraId="5D4C78C9" w14:textId="7ACE6C30" w:rsidR="00A0753F" w:rsidRPr="00B57B36" w:rsidRDefault="00A0753F" w:rsidP="00D54306">
            <w:pPr>
              <w:pStyle w:val="CETBodytext"/>
              <w:jc w:val="center"/>
              <w:rPr>
                <w:lang w:val="en-GB"/>
              </w:rPr>
            </w:pPr>
            <w:r>
              <w:rPr>
                <w:lang w:val="en-GB"/>
              </w:rPr>
              <w:t>363</w:t>
            </w:r>
          </w:p>
        </w:tc>
        <w:tc>
          <w:tcPr>
            <w:tcW w:w="899" w:type="dxa"/>
            <w:shd w:val="clear" w:color="auto" w:fill="FFFFFF"/>
            <w:vAlign w:val="center"/>
          </w:tcPr>
          <w:p w14:paraId="59C2A4AD" w14:textId="08FC40EE" w:rsidR="00A0753F" w:rsidRPr="00B57B36" w:rsidRDefault="00601F9B" w:rsidP="00D54306">
            <w:pPr>
              <w:pStyle w:val="CETBodytext"/>
              <w:jc w:val="center"/>
              <w:rPr>
                <w:lang w:val="en-GB"/>
              </w:rPr>
            </w:pPr>
            <w:r>
              <w:rPr>
                <w:lang w:val="en-GB"/>
              </w:rPr>
              <w:t>532</w:t>
            </w:r>
          </w:p>
        </w:tc>
        <w:tc>
          <w:tcPr>
            <w:tcW w:w="898" w:type="dxa"/>
            <w:shd w:val="clear" w:color="auto" w:fill="FFFFFF"/>
            <w:vAlign w:val="center"/>
          </w:tcPr>
          <w:p w14:paraId="1B34675A" w14:textId="1EC97E3F" w:rsidR="00A0753F" w:rsidRPr="00B57B36" w:rsidRDefault="00601F9B" w:rsidP="00D54306">
            <w:pPr>
              <w:pStyle w:val="CETBodytext"/>
              <w:ind w:right="-1"/>
              <w:jc w:val="center"/>
              <w:rPr>
                <w:rFonts w:cs="Arial"/>
                <w:szCs w:val="18"/>
                <w:lang w:val="en-GB"/>
              </w:rPr>
            </w:pPr>
            <w:r>
              <w:rPr>
                <w:rFonts w:cs="Arial"/>
                <w:szCs w:val="18"/>
                <w:lang w:val="en-GB"/>
              </w:rPr>
              <w:t>773</w:t>
            </w:r>
          </w:p>
        </w:tc>
        <w:tc>
          <w:tcPr>
            <w:tcW w:w="919" w:type="dxa"/>
            <w:shd w:val="clear" w:color="auto" w:fill="FFFFFF"/>
            <w:vAlign w:val="center"/>
          </w:tcPr>
          <w:p w14:paraId="446DADC1" w14:textId="485FF3F2" w:rsidR="00A0753F" w:rsidRPr="00B57B36" w:rsidRDefault="00601F9B" w:rsidP="00D54306">
            <w:pPr>
              <w:pStyle w:val="CETBodytext"/>
              <w:ind w:right="-1"/>
              <w:jc w:val="center"/>
              <w:rPr>
                <w:rFonts w:cs="Arial"/>
                <w:szCs w:val="18"/>
                <w:lang w:val="en-GB"/>
              </w:rPr>
            </w:pPr>
            <w:r>
              <w:rPr>
                <w:rFonts w:cs="Arial"/>
                <w:szCs w:val="18"/>
                <w:lang w:val="en-GB"/>
              </w:rPr>
              <w:t>0.770</w:t>
            </w:r>
          </w:p>
        </w:tc>
        <w:tc>
          <w:tcPr>
            <w:tcW w:w="889" w:type="dxa"/>
            <w:shd w:val="clear" w:color="auto" w:fill="FFFFFF"/>
            <w:vAlign w:val="center"/>
          </w:tcPr>
          <w:p w14:paraId="71015FF9" w14:textId="0EC8E8DB" w:rsidR="00A0753F" w:rsidRPr="00B57B36" w:rsidRDefault="00601F9B" w:rsidP="00D54306">
            <w:pPr>
              <w:pStyle w:val="CETBodytext"/>
              <w:ind w:right="-1"/>
              <w:jc w:val="center"/>
              <w:rPr>
                <w:rFonts w:cs="Arial"/>
                <w:szCs w:val="18"/>
                <w:lang w:val="en-GB"/>
              </w:rPr>
            </w:pPr>
            <w:r>
              <w:rPr>
                <w:rFonts w:cs="Arial"/>
                <w:szCs w:val="18"/>
                <w:lang w:val="en-GB"/>
              </w:rPr>
              <w:t>553</w:t>
            </w:r>
          </w:p>
        </w:tc>
        <w:tc>
          <w:tcPr>
            <w:tcW w:w="824" w:type="dxa"/>
            <w:shd w:val="clear" w:color="auto" w:fill="FFFFFF"/>
            <w:vAlign w:val="center"/>
          </w:tcPr>
          <w:p w14:paraId="2693E432" w14:textId="6C29CC21" w:rsidR="00A0753F" w:rsidRPr="00B57B36" w:rsidRDefault="00601F9B" w:rsidP="00D54306">
            <w:pPr>
              <w:pStyle w:val="CETBodytext"/>
              <w:ind w:right="-1"/>
              <w:jc w:val="center"/>
              <w:rPr>
                <w:rFonts w:cs="Arial"/>
                <w:szCs w:val="18"/>
                <w:lang w:val="en-GB"/>
              </w:rPr>
            </w:pPr>
            <w:r>
              <w:rPr>
                <w:rFonts w:cs="Arial"/>
                <w:szCs w:val="18"/>
                <w:lang w:val="en-GB"/>
              </w:rPr>
              <w:t>0.75</w:t>
            </w:r>
          </w:p>
        </w:tc>
        <w:tc>
          <w:tcPr>
            <w:tcW w:w="944" w:type="dxa"/>
            <w:shd w:val="clear" w:color="auto" w:fill="FFFFFF"/>
            <w:vAlign w:val="center"/>
          </w:tcPr>
          <w:p w14:paraId="561C79C1" w14:textId="1A0B2E27" w:rsidR="00A0753F" w:rsidRPr="00B57B36" w:rsidRDefault="00601F9B" w:rsidP="00D54306">
            <w:pPr>
              <w:pStyle w:val="CETBodytext"/>
              <w:ind w:right="-1"/>
              <w:jc w:val="center"/>
              <w:rPr>
                <w:rFonts w:cs="Arial"/>
                <w:szCs w:val="18"/>
                <w:lang w:val="en-GB"/>
              </w:rPr>
            </w:pPr>
            <w:r>
              <w:rPr>
                <w:rFonts w:cs="Arial"/>
                <w:szCs w:val="18"/>
                <w:lang w:val="en-GB"/>
              </w:rPr>
              <w:t>1380</w:t>
            </w:r>
          </w:p>
        </w:tc>
        <w:tc>
          <w:tcPr>
            <w:tcW w:w="794" w:type="dxa"/>
            <w:shd w:val="clear" w:color="auto" w:fill="FFFFFF"/>
            <w:vAlign w:val="center"/>
          </w:tcPr>
          <w:p w14:paraId="335370E2" w14:textId="21619151" w:rsidR="00A0753F" w:rsidRPr="00B57B36" w:rsidRDefault="00601F9B" w:rsidP="00D54306">
            <w:pPr>
              <w:pStyle w:val="CETBodytext"/>
              <w:ind w:right="-1"/>
              <w:jc w:val="center"/>
              <w:rPr>
                <w:rFonts w:cs="Arial"/>
                <w:szCs w:val="18"/>
                <w:lang w:val="en-GB"/>
              </w:rPr>
            </w:pPr>
            <w:r>
              <w:rPr>
                <w:rFonts w:cs="Arial"/>
                <w:szCs w:val="18"/>
                <w:lang w:val="en-GB"/>
              </w:rPr>
              <w:t>5.80</w:t>
            </w:r>
          </w:p>
        </w:tc>
        <w:tc>
          <w:tcPr>
            <w:tcW w:w="794" w:type="dxa"/>
            <w:shd w:val="clear" w:color="auto" w:fill="FFFFFF"/>
            <w:vAlign w:val="center"/>
          </w:tcPr>
          <w:p w14:paraId="7FBBC7B7" w14:textId="06D1C715" w:rsidR="00A0753F" w:rsidRPr="00B57B36" w:rsidRDefault="00601F9B" w:rsidP="00D54306">
            <w:pPr>
              <w:pStyle w:val="CETBodytext"/>
              <w:ind w:right="-1"/>
              <w:jc w:val="center"/>
              <w:rPr>
                <w:rFonts w:cs="Arial"/>
                <w:szCs w:val="18"/>
                <w:lang w:val="en-GB"/>
              </w:rPr>
            </w:pPr>
            <w:r>
              <w:rPr>
                <w:rFonts w:cs="Arial"/>
                <w:szCs w:val="18"/>
                <w:lang w:val="en-GB"/>
              </w:rPr>
              <w:t>0.225</w:t>
            </w:r>
          </w:p>
        </w:tc>
      </w:tr>
    </w:tbl>
    <w:p w14:paraId="15EA01C3" w14:textId="1F9CAA50" w:rsidR="00601F9B" w:rsidRPr="00A0753F" w:rsidRDefault="00D54306" w:rsidP="00601F9B">
      <w:pPr>
        <w:pStyle w:val="CETHeadingxx"/>
        <w:sectPr w:rsidR="00601F9B" w:rsidRPr="00A0753F" w:rsidSect="00601F9B">
          <w:type w:val="continuous"/>
          <w:pgSz w:w="11906" w:h="16838" w:code="9"/>
          <w:pgMar w:top="1701" w:right="1418" w:bottom="1701" w:left="1701" w:header="1701" w:footer="0" w:gutter="0"/>
          <w:cols w:space="708"/>
          <w:formProt w:val="0"/>
          <w:titlePg/>
          <w:docGrid w:linePitch="360"/>
        </w:sectPr>
      </w:pPr>
      <w:bookmarkStart w:id="2" w:name="_Hlk184199855"/>
      <w:r>
        <w:t xml:space="preserve">2.4 </w:t>
      </w:r>
      <w:r w:rsidR="003C7358">
        <w:t>Experimental Apparatus and Procedure for Adsorption and Desorption Tests</w:t>
      </w:r>
    </w:p>
    <w:bookmarkEnd w:id="2"/>
    <w:p w14:paraId="7242E74F" w14:textId="77777777" w:rsidR="00F73742" w:rsidRPr="007F265F" w:rsidRDefault="00D54306" w:rsidP="00F73742">
      <w:pPr>
        <w:pStyle w:val="CETBodytext"/>
      </w:pPr>
      <w:r>
        <w:t xml:space="preserve">The experimental campaign of </w:t>
      </w:r>
      <w:r w:rsidR="003C7358">
        <w:t>CO</w:t>
      </w:r>
      <w:r w:rsidR="003C7358" w:rsidRPr="003043EB">
        <w:rPr>
          <w:vertAlign w:val="subscript"/>
        </w:rPr>
        <w:t>2</w:t>
      </w:r>
      <w:r w:rsidR="003C7358">
        <w:t xml:space="preserve"> adsorption and desorption tests w</w:t>
      </w:r>
      <w:r>
        <w:t>as</w:t>
      </w:r>
      <w:r w:rsidR="003C7358">
        <w:t xml:space="preserve"> carried out in a </w:t>
      </w:r>
      <w:proofErr w:type="spellStart"/>
      <w:r w:rsidR="003C7358">
        <w:t>pyrex</w:t>
      </w:r>
      <w:proofErr w:type="spellEnd"/>
      <w:r w:rsidR="003C7358">
        <w:t xml:space="preserve"> laboratory-scale fluidization column, with an internal diameter of 50 mm and </w:t>
      </w:r>
      <w:r w:rsidR="00791055">
        <w:t xml:space="preserve">height of </w:t>
      </w:r>
      <w:r w:rsidR="003C7358">
        <w:t xml:space="preserve">520 mm. The </w:t>
      </w:r>
      <w:r w:rsidR="002516C5">
        <w:t>packed</w:t>
      </w:r>
      <w:r w:rsidR="003C7358">
        <w:t xml:space="preserve"> </w:t>
      </w:r>
      <w:r w:rsidR="002516C5">
        <w:t xml:space="preserve">bed </w:t>
      </w:r>
      <w:r w:rsidR="00791055">
        <w:t xml:space="preserve">inside the fluidization column </w:t>
      </w:r>
      <w:r w:rsidR="003C7358">
        <w:t xml:space="preserve">was created </w:t>
      </w:r>
      <w:r w:rsidR="00791055">
        <w:t>using</w:t>
      </w:r>
      <w:r w:rsidR="003C7358">
        <w:t xml:space="preserve"> glass beads with a diameter of 11 mm and density of 2.48 g/cm</w:t>
      </w:r>
      <w:r w:rsidR="003C7358" w:rsidRPr="003043EB">
        <w:rPr>
          <w:vertAlign w:val="superscript"/>
        </w:rPr>
        <w:t>3</w:t>
      </w:r>
      <w:r w:rsidR="002516C5">
        <w:t>,</w:t>
      </w:r>
      <w:r w:rsidR="00791055" w:rsidRPr="00791055">
        <w:t xml:space="preserve"> </w:t>
      </w:r>
      <w:r w:rsidR="002516C5">
        <w:t>that work as</w:t>
      </w:r>
      <w:r w:rsidR="00791055">
        <w:t xml:space="preserve"> packing material</w:t>
      </w:r>
      <w:r w:rsidR="003C7358">
        <w:t xml:space="preserve">. </w:t>
      </w:r>
      <w:r w:rsidR="00F73742" w:rsidRPr="007F265F">
        <w:t>A packing mass of 1000 g is used to form a bed with a height of 360 mm. Subsequently, 50 g of amino-functionalized silica adsorbent is introduced into the column, filling the void spaces within the packing.</w:t>
      </w:r>
    </w:p>
    <w:p w14:paraId="27CFB0BD" w14:textId="7CC6F047" w:rsidR="003C7358" w:rsidRDefault="007F265F" w:rsidP="003C7358">
      <w:pPr>
        <w:pStyle w:val="CETBodytext"/>
      </w:pPr>
      <w:r>
        <w:t>G</w:t>
      </w:r>
      <w:r w:rsidR="003C7358">
        <w:t xml:space="preserve">as distribution was allowed by means of a porous </w:t>
      </w:r>
      <w:r w:rsidR="001C05D3">
        <w:t>distributor</w:t>
      </w:r>
      <w:r w:rsidR="003C7358">
        <w:t xml:space="preserve">, placed on the bottom of the column. Each adsorption test was carried out </w:t>
      </w:r>
      <w:r w:rsidR="002516C5">
        <w:t>with</w:t>
      </w:r>
      <w:r w:rsidR="003C7358">
        <w:t xml:space="preserve"> a gas mixture containing air, supplied by a compressor, and</w:t>
      </w:r>
      <w:r w:rsidR="00156FB4">
        <w:t xml:space="preserve"> </w:t>
      </w:r>
      <w:r w:rsidR="003C7358">
        <w:t>CO</w:t>
      </w:r>
      <w:r w:rsidR="003C7358" w:rsidRPr="003043EB">
        <w:rPr>
          <w:vertAlign w:val="subscript"/>
        </w:rPr>
        <w:t>2</w:t>
      </w:r>
      <w:r w:rsidR="003C7358">
        <w:t xml:space="preserve">, added from a cylinder. </w:t>
      </w:r>
      <w:r w:rsidR="002516C5">
        <w:t>The gas</w:t>
      </w:r>
      <w:r w:rsidR="003C7358">
        <w:t xml:space="preserve"> flow rate was regulated by a set of rotameters covering the range 10-1600 </w:t>
      </w:r>
      <w:proofErr w:type="spellStart"/>
      <w:r w:rsidR="003C7358">
        <w:t>Nl</w:t>
      </w:r>
      <w:proofErr w:type="spellEnd"/>
      <w:r w:rsidR="003C7358">
        <w:t xml:space="preserve">/h. Before passing through the adsorbent bed, the air stream was fed to a moisture removal column, filled with zeolite and activated carbon. </w:t>
      </w:r>
    </w:p>
    <w:p w14:paraId="65BC02CC" w14:textId="48C51835" w:rsidR="003C7358" w:rsidRDefault="003C7358" w:rsidP="003C7358">
      <w:pPr>
        <w:pStyle w:val="CETBodytext"/>
      </w:pPr>
      <w:r>
        <w:t>The CO</w:t>
      </w:r>
      <w:r w:rsidRPr="003043EB">
        <w:rPr>
          <w:vertAlign w:val="subscript"/>
        </w:rPr>
        <w:t>2</w:t>
      </w:r>
      <w:r>
        <w:t xml:space="preserve"> concentration of the outlet stream was measured by a gas analyzer (GA-21 plus - Madur Polska Sp. z </w:t>
      </w:r>
      <w:proofErr w:type="spellStart"/>
      <w:r>
        <w:t>o.o.</w:t>
      </w:r>
      <w:proofErr w:type="spellEnd"/>
      <w:r>
        <w:t xml:space="preserve">, Zgierz, Poland) and the acquired data were subsequently elaborated to obtain the breakthrough curve, </w:t>
      </w:r>
      <w:r>
        <w:lastRenderedPageBreak/>
        <w:t xml:space="preserve">from which </w:t>
      </w:r>
      <w:r w:rsidR="001C05D3">
        <w:t>calculate</w:t>
      </w:r>
      <w:r>
        <w:t xml:space="preserve"> many parameters of interests: </w:t>
      </w:r>
      <w:bookmarkStart w:id="3" w:name="_Hlk184209218"/>
      <w:r>
        <w:t>breakthrough time, saturation time,</w:t>
      </w:r>
      <w:r w:rsidR="00FC7645">
        <w:t xml:space="preserve"> contact time, </w:t>
      </w:r>
      <w:r w:rsidR="002F534C">
        <w:t>adsorption capacity</w:t>
      </w:r>
      <w:r w:rsidR="00BD10F0">
        <w:t xml:space="preserve"> </w:t>
      </w:r>
      <w:r>
        <w:t>and the fraction of bed used at the breakpoint</w:t>
      </w:r>
      <w:bookmarkEnd w:id="3"/>
      <w:r>
        <w:t xml:space="preserve">. </w:t>
      </w:r>
    </w:p>
    <w:p w14:paraId="6867EF92" w14:textId="4E7DEE58" w:rsidR="007B74A5" w:rsidRPr="007B74A5" w:rsidRDefault="003C7358" w:rsidP="007B74A5">
      <w:pPr>
        <w:pStyle w:val="CETBodytext"/>
      </w:pPr>
      <w:bookmarkStart w:id="4" w:name="_Hlk184204285"/>
      <w:r>
        <w:t>CO</w:t>
      </w:r>
      <w:r w:rsidRPr="003043EB">
        <w:rPr>
          <w:vertAlign w:val="subscript"/>
        </w:rPr>
        <w:t>2</w:t>
      </w:r>
      <w:r>
        <w:t xml:space="preserve"> </w:t>
      </w:r>
      <w:bookmarkEnd w:id="4"/>
      <w:r>
        <w:t xml:space="preserve">desorption tests were carried out in the same column to avoid solid </w:t>
      </w:r>
      <w:r w:rsidR="001C05D3">
        <w:t>carrying to another column for adsorbent regeneration</w:t>
      </w:r>
      <w:r>
        <w:t xml:space="preserve">, which may </w:t>
      </w:r>
      <w:r w:rsidR="002516C5">
        <w:t>cause</w:t>
      </w:r>
      <w:r>
        <w:t xml:space="preserve"> its abrasion, and to optimize the time required for each capture and regeneration operating cycle. </w:t>
      </w:r>
      <w:r w:rsidR="00F813CF">
        <w:t>To</w:t>
      </w:r>
      <w:r>
        <w:t xml:space="preserve"> achieve the sorbent regeneration by Temperature Swing Adsorption (TSA), the column was equipped with an external heating system consisting of two IR lamps</w:t>
      </w:r>
      <w:r w:rsidR="007B74A5">
        <w:t xml:space="preserve"> </w:t>
      </w:r>
      <w:r>
        <w:t xml:space="preserve">placed on its sides. </w:t>
      </w:r>
      <w:r w:rsidR="007B74A5" w:rsidRPr="007B74A5">
        <w:t xml:space="preserve">The </w:t>
      </w:r>
      <w:r w:rsidR="007B74A5">
        <w:t xml:space="preserve">lamps </w:t>
      </w:r>
      <w:r w:rsidR="007B74A5" w:rsidRPr="007B74A5">
        <w:t xml:space="preserve">R7S 118 mm light bulb was used, featuring a power of 400 W, luminous flux of 4000 </w:t>
      </w:r>
      <w:proofErr w:type="spellStart"/>
      <w:r w:rsidR="007B74A5" w:rsidRPr="007B74A5">
        <w:t>lm</w:t>
      </w:r>
      <w:proofErr w:type="spellEnd"/>
      <w:r w:rsidR="007B74A5" w:rsidRPr="007B74A5">
        <w:t>, and operating voltage of 230 V. Compatible with all T3 118 mm versions, the bulb provides a 360° lighting angle, CRI of 99, and warm light.</w:t>
      </w:r>
    </w:p>
    <w:p w14:paraId="765EB4B0" w14:textId="77777777" w:rsidR="007B74A5" w:rsidRPr="007B74A5" w:rsidRDefault="007B74A5" w:rsidP="007B74A5">
      <w:pPr>
        <w:pStyle w:val="CETBodytext"/>
      </w:pPr>
      <w:r w:rsidRPr="007B74A5">
        <w:t>The bulb was tested in applications such as ceiling lights, floor lamps, landscape lighting, and security lights, demonstrating easier maintenance and better light penetration in foggy conditions compared to LED solutions. The manufacturer offers a 90-day return policy for damaged products.</w:t>
      </w:r>
    </w:p>
    <w:p w14:paraId="5E75176A" w14:textId="2A46BF6C" w:rsidR="00601F9B" w:rsidRPr="00B35FEC" w:rsidRDefault="003C7358" w:rsidP="003C7358">
      <w:pPr>
        <w:pStyle w:val="CETBodytext"/>
      </w:pPr>
      <w:r>
        <w:t xml:space="preserve">The temperature of the adsorbent bed was detected </w:t>
      </w:r>
      <w:r w:rsidR="001C05D3">
        <w:t>by</w:t>
      </w:r>
      <w:r>
        <w:t xml:space="preserve"> a thermocouple and controlled by a programmable logic controller (PLC), which, comparing the measured value with the set point, acted by switching the lamps on and off.</w:t>
      </w:r>
      <w:r w:rsidR="00B35FEC">
        <w:t xml:space="preserve"> </w:t>
      </w:r>
      <w:r w:rsidR="00CF2EFE">
        <w:t>PID</w:t>
      </w:r>
      <w:r w:rsidR="00A64874">
        <w:t xml:space="preserve"> logic was used for the thermal control system. </w:t>
      </w:r>
      <w:r w:rsidR="00B35FEC">
        <w:t>The CO</w:t>
      </w:r>
      <w:r w:rsidR="00B35FEC" w:rsidRPr="003043EB">
        <w:rPr>
          <w:vertAlign w:val="subscript"/>
        </w:rPr>
        <w:t>2</w:t>
      </w:r>
      <w:r w:rsidR="00B35FEC">
        <w:t xml:space="preserve"> concentration at the column outlet was measured to obtain the desorption curve. Desorption time was</w:t>
      </w:r>
      <w:r w:rsidR="00F813CF">
        <w:t xml:space="preserve"> also</w:t>
      </w:r>
      <w:r w:rsidR="00B35FEC">
        <w:t xml:space="preserve"> estimated</w:t>
      </w:r>
      <w:r w:rsidR="00566272">
        <w:t>.</w:t>
      </w:r>
    </w:p>
    <w:p w14:paraId="68D26B83" w14:textId="4FD34A10" w:rsidR="00600535" w:rsidRDefault="003043EB" w:rsidP="00600535">
      <w:pPr>
        <w:pStyle w:val="CETHeading1"/>
        <w:rPr>
          <w:lang w:val="en-GB"/>
        </w:rPr>
      </w:pPr>
      <w:r>
        <w:rPr>
          <w:lang w:val="en-GB"/>
        </w:rPr>
        <w:t>Results and Discussion</w:t>
      </w:r>
    </w:p>
    <w:p w14:paraId="30B3B2AE" w14:textId="5228629B" w:rsidR="005F4D10" w:rsidRPr="00A0753F" w:rsidRDefault="00BF14FF" w:rsidP="005F4D10">
      <w:pPr>
        <w:pStyle w:val="CETHeadingxx"/>
        <w:sectPr w:rsidR="005F4D10" w:rsidRPr="00A0753F" w:rsidSect="005F4D10">
          <w:type w:val="continuous"/>
          <w:pgSz w:w="11906" w:h="16838" w:code="9"/>
          <w:pgMar w:top="1701" w:right="1418" w:bottom="1701" w:left="1701" w:header="1701" w:footer="0" w:gutter="0"/>
          <w:cols w:space="708"/>
          <w:formProt w:val="0"/>
          <w:titlePg/>
          <w:docGrid w:linePitch="360"/>
        </w:sectPr>
      </w:pPr>
      <w:r>
        <w:t xml:space="preserve">3.1 </w:t>
      </w:r>
      <w:r w:rsidR="005F4D10">
        <w:t xml:space="preserve">Adsorption </w:t>
      </w:r>
      <w:r w:rsidR="002713BA">
        <w:t>T</w:t>
      </w:r>
      <w:r w:rsidR="005F4D10">
        <w:t>ests</w:t>
      </w:r>
      <w:r w:rsidR="008406E5">
        <w:t xml:space="preserve"> for </w:t>
      </w:r>
      <w:r w:rsidR="002713BA">
        <w:t>A</w:t>
      </w:r>
      <w:r w:rsidR="008406E5">
        <w:t xml:space="preserve">mino-functionalized </w:t>
      </w:r>
      <w:r w:rsidR="002713BA">
        <w:t>S</w:t>
      </w:r>
      <w:r w:rsidR="008406E5">
        <w:t>ilica</w:t>
      </w:r>
    </w:p>
    <w:p w14:paraId="7AC21DA5" w14:textId="5B49BBCC" w:rsidR="00104789" w:rsidRPr="00F73742" w:rsidRDefault="00003513" w:rsidP="005F4D10">
      <w:pPr>
        <w:pStyle w:val="CETBodytext"/>
      </w:pPr>
      <w:r>
        <w:t xml:space="preserve">A confined-fluidized bed configuration was adopted to perform </w:t>
      </w:r>
      <w:r w:rsidR="00634FAB">
        <w:t>CO</w:t>
      </w:r>
      <w:r w:rsidR="00634FAB" w:rsidRPr="003043EB">
        <w:rPr>
          <w:vertAlign w:val="subscript"/>
        </w:rPr>
        <w:t>2</w:t>
      </w:r>
      <w:r w:rsidR="00634FAB">
        <w:t xml:space="preserve"> </w:t>
      </w:r>
      <w:r>
        <w:t>adsorption tests</w:t>
      </w:r>
      <w:r w:rsidR="00BF14FF">
        <w:t xml:space="preserve"> </w:t>
      </w:r>
      <w:r w:rsidR="00EF299E">
        <w:t>since</w:t>
      </w:r>
      <w:r w:rsidR="00BF14FF">
        <w:t xml:space="preserve"> in this apparatus </w:t>
      </w:r>
      <w:r w:rsidR="00BF14FF" w:rsidRPr="00F73742">
        <w:t>fluidization occurs</w:t>
      </w:r>
      <w:r w:rsidR="00713882" w:rsidRPr="00F73742">
        <w:t xml:space="preserve"> </w:t>
      </w:r>
      <w:r w:rsidR="00BF14FF" w:rsidRPr="00F73742">
        <w:t>without</w:t>
      </w:r>
      <w:r w:rsidR="00713882" w:rsidRPr="00F73742">
        <w:t xml:space="preserve"> bypass effects </w:t>
      </w:r>
      <w:r w:rsidR="00BF14FF" w:rsidRPr="00F73742">
        <w:t>due to the bubbling regime, ensuring</w:t>
      </w:r>
      <w:r w:rsidR="00713882" w:rsidRPr="00F73742">
        <w:t xml:space="preserve"> </w:t>
      </w:r>
      <w:r w:rsidR="00BF14FF" w:rsidRPr="00F73742">
        <w:t>a</w:t>
      </w:r>
      <w:r w:rsidR="00713882" w:rsidRPr="00F73742">
        <w:t xml:space="preserve"> </w:t>
      </w:r>
      <w:r w:rsidR="00BF14FF" w:rsidRPr="00F73742">
        <w:t xml:space="preserve">better </w:t>
      </w:r>
      <w:r w:rsidR="00713882" w:rsidRPr="00F73742">
        <w:t>solid-gas contact</w:t>
      </w:r>
      <w:r w:rsidR="00BF14FF" w:rsidRPr="00F73742">
        <w:t xml:space="preserve"> for the</w:t>
      </w:r>
      <w:r w:rsidR="00713882" w:rsidRPr="00F73742">
        <w:t xml:space="preserve"> </w:t>
      </w:r>
      <w:r w:rsidR="00BF14FF" w:rsidRPr="00F73742">
        <w:t>adsorption process</w:t>
      </w:r>
      <w:r w:rsidR="000E16E3" w:rsidRPr="00F73742">
        <w:t xml:space="preserve"> (Girimonte &amp; Vivacqua, 201</w:t>
      </w:r>
      <w:r w:rsidR="00C71559" w:rsidRPr="00F73742">
        <w:t>1</w:t>
      </w:r>
      <w:r w:rsidR="000E16E3" w:rsidRPr="00F73742">
        <w:t>)</w:t>
      </w:r>
      <w:r w:rsidR="00713882" w:rsidRPr="00F73742">
        <w:t>. Furthermore, t</w:t>
      </w:r>
      <w:r w:rsidRPr="00F73742">
        <w:t xml:space="preserve">he previous fluid-dynamic characterization of the sorbent enabled the choice of the fluid-dynamic </w:t>
      </w:r>
      <w:r w:rsidR="00DC316B" w:rsidRPr="00F73742">
        <w:t xml:space="preserve">operating </w:t>
      </w:r>
      <w:r w:rsidRPr="00F73742">
        <w:t xml:space="preserve">conditions to be set </w:t>
      </w:r>
      <w:r w:rsidR="007F265F" w:rsidRPr="00F73742">
        <w:t>to</w:t>
      </w:r>
      <w:r w:rsidRPr="00F73742">
        <w:t xml:space="preserve"> </w:t>
      </w:r>
      <w:r w:rsidR="00EF299E" w:rsidRPr="00F73742">
        <w:t>optimi</w:t>
      </w:r>
      <w:r w:rsidRPr="00F73742">
        <w:t xml:space="preserve">ze the </w:t>
      </w:r>
      <w:r w:rsidR="00EF35A4" w:rsidRPr="00F73742">
        <w:t>contact</w:t>
      </w:r>
      <w:r w:rsidRPr="00F73742">
        <w:t xml:space="preserve"> </w:t>
      </w:r>
      <w:r w:rsidR="00EF299E" w:rsidRPr="00F73742">
        <w:t xml:space="preserve">time </w:t>
      </w:r>
      <w:r w:rsidRPr="00F73742">
        <w:t xml:space="preserve">between solid and gas phases. </w:t>
      </w:r>
      <w:r w:rsidR="00713882" w:rsidRPr="00F73742">
        <w:t xml:space="preserve">By operating </w:t>
      </w:r>
      <w:r w:rsidR="00EF299E" w:rsidRPr="00F73742">
        <w:t xml:space="preserve">always </w:t>
      </w:r>
      <w:r w:rsidR="00713882" w:rsidRPr="00F73742">
        <w:t xml:space="preserve">under homogeneous expansion, with surface velocities higher than the minimum fluidization </w:t>
      </w:r>
      <w:r w:rsidR="003805B1" w:rsidRPr="00F73742">
        <w:t>velocity</w:t>
      </w:r>
      <w:r w:rsidR="00713882" w:rsidRPr="00F73742">
        <w:t xml:space="preserve">, </w:t>
      </w:r>
      <w:r w:rsidR="003805B1" w:rsidRPr="00F73742">
        <w:t>energy</w:t>
      </w:r>
      <w:r w:rsidR="00713882" w:rsidRPr="00F73742">
        <w:t xml:space="preserve"> and ma</w:t>
      </w:r>
      <w:r w:rsidR="003805B1" w:rsidRPr="00F73742">
        <w:t>ss</w:t>
      </w:r>
      <w:r w:rsidR="00713882" w:rsidRPr="00F73742">
        <w:t xml:space="preserve"> </w:t>
      </w:r>
      <w:r w:rsidR="003805B1" w:rsidRPr="00F73742">
        <w:t>transfer</w:t>
      </w:r>
      <w:r w:rsidR="00713882" w:rsidRPr="00F73742">
        <w:t xml:space="preserve"> are improved and the heat generated during adsorption is dissipated more efficiently</w:t>
      </w:r>
      <w:r w:rsidR="00634FAB" w:rsidRPr="00F73742">
        <w:t>, as discussed in previous works</w:t>
      </w:r>
      <w:r w:rsidR="00BD10F0" w:rsidRPr="00F73742">
        <w:t xml:space="preserve"> </w:t>
      </w:r>
      <w:r w:rsidR="00940507" w:rsidRPr="00F73742">
        <w:t>(Girimonte et al., 2022)</w:t>
      </w:r>
      <w:r w:rsidR="00634FAB" w:rsidRPr="00F73742">
        <w:t>.</w:t>
      </w:r>
    </w:p>
    <w:p w14:paraId="67628688" w14:textId="5DF106C0" w:rsidR="00104789" w:rsidRDefault="00BF14FF" w:rsidP="005F4D10">
      <w:pPr>
        <w:pStyle w:val="CETBodytext"/>
      </w:pPr>
      <w:r w:rsidRPr="00F73742">
        <w:t>For each adsorption test, 50 g of APTES20 was used and a</w:t>
      </w:r>
      <w:r w:rsidR="00634FAB" w:rsidRPr="00F73742">
        <w:t xml:space="preserve"> </w:t>
      </w:r>
      <w:r w:rsidR="00051228" w:rsidRPr="00F73742">
        <w:t>superficial</w:t>
      </w:r>
      <w:r w:rsidR="00634FAB" w:rsidRPr="00F73742">
        <w:t xml:space="preserve"> velocity of 8.4 cm/s was </w:t>
      </w:r>
      <w:r w:rsidR="00FC1045" w:rsidRPr="00F73742">
        <w:t>set</w:t>
      </w:r>
      <w:r w:rsidRPr="00F73742">
        <w:t>,</w:t>
      </w:r>
      <w:r w:rsidR="00FC1045" w:rsidRPr="00F73742">
        <w:t xml:space="preserve"> </w:t>
      </w:r>
      <w:r w:rsidRPr="00F73742">
        <w:t>higher</w:t>
      </w:r>
      <w:r w:rsidR="00FC1045" w:rsidRPr="00F73742">
        <w:t xml:space="preserve"> th</w:t>
      </w:r>
      <w:r w:rsidRPr="00F73742">
        <w:t>an the</w:t>
      </w:r>
      <w:r w:rsidR="00FC1045" w:rsidRPr="00F73742">
        <w:t xml:space="preserve"> minimum fluidization</w:t>
      </w:r>
      <w:r w:rsidR="009E054A" w:rsidRPr="00F73742">
        <w:t xml:space="preserve"> velocity (</w:t>
      </w:r>
      <w:r w:rsidR="00EF299E" w:rsidRPr="00F73742">
        <w:t xml:space="preserve">i.e. </w:t>
      </w:r>
      <w:r w:rsidRPr="00F73742">
        <w:t xml:space="preserve">equal to </w:t>
      </w:r>
      <w:r w:rsidR="009E054A" w:rsidRPr="00F73742">
        <w:t>1.45u</w:t>
      </w:r>
      <w:r w:rsidR="009E054A" w:rsidRPr="00F73742">
        <w:rPr>
          <w:vertAlign w:val="subscript"/>
        </w:rPr>
        <w:t>mf</w:t>
      </w:r>
      <w:r w:rsidR="009E054A" w:rsidRPr="00F73742">
        <w:t>)</w:t>
      </w:r>
      <w:r w:rsidR="00EF299E" w:rsidRPr="00F73742">
        <w:t xml:space="preserve">. </w:t>
      </w:r>
      <w:r w:rsidR="008D11AF" w:rsidRPr="00F73742">
        <w:t>The</w:t>
      </w:r>
      <w:r w:rsidR="002F7A37" w:rsidRPr="00F73742">
        <w:t xml:space="preserve"> </w:t>
      </w:r>
      <w:r w:rsidR="0012228D" w:rsidRPr="00F73742">
        <w:t>total</w:t>
      </w:r>
      <w:r w:rsidR="002F7A37" w:rsidRPr="00F73742">
        <w:t xml:space="preserve"> </w:t>
      </w:r>
      <w:r w:rsidR="00D64DC0" w:rsidRPr="00F73742">
        <w:t xml:space="preserve">volumetric </w:t>
      </w:r>
      <w:r w:rsidR="002F7A37" w:rsidRPr="00F73742">
        <w:t>flow</w:t>
      </w:r>
      <w:r w:rsidR="002F7A37">
        <w:t xml:space="preserve"> rate of the</w:t>
      </w:r>
      <w:r w:rsidR="008D11AF">
        <w:t xml:space="preserve"> </w:t>
      </w:r>
      <w:r w:rsidR="00A7779D">
        <w:t>air/CO</w:t>
      </w:r>
      <w:r w:rsidR="00A7779D" w:rsidRPr="00A7779D">
        <w:rPr>
          <w:vertAlign w:val="subscript"/>
        </w:rPr>
        <w:t>2</w:t>
      </w:r>
      <w:r w:rsidR="00A7779D">
        <w:t xml:space="preserve"> </w:t>
      </w:r>
      <w:r w:rsidR="002F7A37">
        <w:t>mixture</w:t>
      </w:r>
      <w:r w:rsidR="008D11AF">
        <w:t xml:space="preserve"> </w:t>
      </w:r>
      <w:r w:rsidR="002F7A37">
        <w:t>fed to the column</w:t>
      </w:r>
      <w:r w:rsidR="00A0563A">
        <w:t xml:space="preserve"> (</w:t>
      </w:r>
      <w:proofErr w:type="spellStart"/>
      <w:r w:rsidR="00A0563A">
        <w:t>Q</w:t>
      </w:r>
      <w:r w:rsidR="00A0563A">
        <w:rPr>
          <w:vertAlign w:val="subscript"/>
        </w:rPr>
        <w:t>mix</w:t>
      </w:r>
      <w:proofErr w:type="spellEnd"/>
      <w:r w:rsidR="00A0563A">
        <w:t>)</w:t>
      </w:r>
      <w:r w:rsidR="00E8629D">
        <w:t>, Eq (1),</w:t>
      </w:r>
      <w:r w:rsidR="002F7A37">
        <w:t xml:space="preserve"> </w:t>
      </w:r>
      <w:r w:rsidR="006F552C">
        <w:t>and the partial flow rate</w:t>
      </w:r>
      <w:r w:rsidR="0012228D">
        <w:t>s</w:t>
      </w:r>
      <w:r w:rsidR="006F552C">
        <w:t xml:space="preserve"> of air</w:t>
      </w:r>
      <w:r w:rsidR="00A0563A">
        <w:t xml:space="preserve"> (</w:t>
      </w:r>
      <w:proofErr w:type="spellStart"/>
      <w:r w:rsidR="00A0563A">
        <w:t>Q</w:t>
      </w:r>
      <w:r w:rsidR="00A0563A">
        <w:rPr>
          <w:vertAlign w:val="subscript"/>
        </w:rPr>
        <w:t>air</w:t>
      </w:r>
      <w:proofErr w:type="spellEnd"/>
      <w:r w:rsidR="00A0563A">
        <w:t>)</w:t>
      </w:r>
      <w:r w:rsidR="00E8629D">
        <w:t>, Eq (2),</w:t>
      </w:r>
      <w:r w:rsidR="006F552C">
        <w:t xml:space="preserve"> and CO</w:t>
      </w:r>
      <w:r w:rsidR="006F552C" w:rsidRPr="003043EB">
        <w:rPr>
          <w:vertAlign w:val="subscript"/>
        </w:rPr>
        <w:t>2</w:t>
      </w:r>
      <w:r w:rsidR="006F552C">
        <w:t xml:space="preserve"> </w:t>
      </w:r>
      <w:r w:rsidR="00A0563A">
        <w:t>(</w:t>
      </w:r>
      <w:r w:rsidR="00A0563A" w:rsidRPr="00A0563A">
        <w:t>Q</w:t>
      </w:r>
      <w:r w:rsidR="00A0563A" w:rsidRPr="00A0563A">
        <w:rPr>
          <w:vertAlign w:val="subscript"/>
        </w:rPr>
        <w:t>CO2</w:t>
      </w:r>
      <w:r w:rsidR="00A0563A">
        <w:t>)</w:t>
      </w:r>
      <w:r w:rsidR="00E8629D">
        <w:t>, Eq (3),</w:t>
      </w:r>
      <w:r w:rsidR="00A0563A">
        <w:t xml:space="preserve"> </w:t>
      </w:r>
      <w:r w:rsidR="0012228D">
        <w:t>we</w:t>
      </w:r>
      <w:r w:rsidR="006F552C" w:rsidRPr="00A0563A">
        <w:t>re</w:t>
      </w:r>
      <w:r w:rsidR="002F7A37">
        <w:t xml:space="preserve"> determined as follows:</w:t>
      </w:r>
    </w:p>
    <w:tbl>
      <w:tblPr>
        <w:tblW w:w="5000" w:type="pct"/>
        <w:tblLook w:val="04A0" w:firstRow="1" w:lastRow="0" w:firstColumn="1" w:lastColumn="0" w:noHBand="0" w:noVBand="1"/>
      </w:tblPr>
      <w:tblGrid>
        <w:gridCol w:w="7982"/>
        <w:gridCol w:w="805"/>
      </w:tblGrid>
      <w:tr w:rsidR="006F552C" w:rsidRPr="00B57B36" w14:paraId="77CFB379" w14:textId="77777777" w:rsidTr="006F552C">
        <w:tc>
          <w:tcPr>
            <w:tcW w:w="7982" w:type="dxa"/>
            <w:shd w:val="clear" w:color="auto" w:fill="auto"/>
            <w:vAlign w:val="center"/>
          </w:tcPr>
          <w:p w14:paraId="460B505D" w14:textId="4BBE0F38" w:rsidR="006F552C" w:rsidRPr="006F552C" w:rsidRDefault="00000000" w:rsidP="004039BC">
            <w:pPr>
              <w:pStyle w:val="CETEquation"/>
              <w:rPr>
                <w:rFonts w:cs="Arial"/>
                <w:szCs w:val="18"/>
              </w:rPr>
            </w:pPr>
            <m:oMathPara>
              <m:oMathParaPr>
                <m:jc m:val="left"/>
              </m:oMathParaPr>
              <m:oMath>
                <m:sSub>
                  <m:sSubPr>
                    <m:ctrlPr>
                      <w:rPr>
                        <w:rFonts w:ascii="Cambria Math" w:hAnsi="Cambria Math" w:cs="Arial"/>
                        <w:i/>
                        <w:szCs w:val="18"/>
                      </w:rPr>
                    </m:ctrlPr>
                  </m:sSubPr>
                  <m:e>
                    <m:r>
                      <w:rPr>
                        <w:rFonts w:ascii="Cambria Math" w:hAnsi="Cambria Math" w:cs="Arial"/>
                        <w:szCs w:val="18"/>
                      </w:rPr>
                      <m:t>Q</m:t>
                    </m:r>
                  </m:e>
                  <m:sub>
                    <m:r>
                      <w:rPr>
                        <w:rFonts w:ascii="Cambria Math" w:hAnsi="Cambria Math" w:cs="Arial"/>
                        <w:szCs w:val="18"/>
                      </w:rPr>
                      <m:t>mix</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Q</m:t>
                    </m:r>
                  </m:e>
                  <m:sub>
                    <m:r>
                      <w:rPr>
                        <w:rFonts w:ascii="Cambria Math" w:hAnsi="Cambria Math" w:cs="Arial"/>
                        <w:szCs w:val="18"/>
                      </w:rPr>
                      <m:t>air</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Q</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rPr>
                          <m:t>2</m:t>
                        </m:r>
                      </m:sub>
                    </m:sSub>
                  </m:sub>
                </m:sSub>
                <m:r>
                  <w:rPr>
                    <w:rFonts w:ascii="Cambria Math" w:hAnsi="Cambria Math" w:cs="Arial"/>
                    <w:szCs w:val="18"/>
                  </w:rPr>
                  <m:t>=u A</m:t>
                </m:r>
              </m:oMath>
            </m:oMathPara>
          </w:p>
        </w:tc>
        <w:tc>
          <w:tcPr>
            <w:tcW w:w="805" w:type="dxa"/>
            <w:shd w:val="clear" w:color="auto" w:fill="auto"/>
            <w:vAlign w:val="center"/>
          </w:tcPr>
          <w:p w14:paraId="3B16E158" w14:textId="77777777" w:rsidR="006F552C" w:rsidRPr="00B57B36" w:rsidRDefault="006F552C" w:rsidP="004039BC">
            <w:pPr>
              <w:pStyle w:val="CETEquation"/>
              <w:jc w:val="right"/>
            </w:pPr>
            <w:r w:rsidRPr="00B57B36">
              <w:t>(1)</w:t>
            </w:r>
          </w:p>
        </w:tc>
      </w:tr>
      <w:tr w:rsidR="006F552C" w:rsidRPr="00B57B36" w14:paraId="0CE3EB6B" w14:textId="77777777" w:rsidTr="006F552C">
        <w:tc>
          <w:tcPr>
            <w:tcW w:w="7982" w:type="dxa"/>
            <w:shd w:val="clear" w:color="auto" w:fill="auto"/>
            <w:vAlign w:val="center"/>
          </w:tcPr>
          <w:p w14:paraId="23EED2B3" w14:textId="22578207" w:rsidR="006F552C" w:rsidRPr="006F552C" w:rsidRDefault="00000000" w:rsidP="004039BC">
            <w:pPr>
              <w:pStyle w:val="CETEquation"/>
              <w:rPr>
                <w:rFonts w:ascii="Cambria Math" w:hAnsi="Cambria Math" w:cs="Arial"/>
                <w:szCs w:val="18"/>
                <w:oMath/>
              </w:rPr>
            </w:pPr>
            <m:oMathPara>
              <m:oMathParaPr>
                <m:jc m:val="left"/>
              </m:oMathParaPr>
              <m:oMath>
                <m:sSub>
                  <m:sSubPr>
                    <m:ctrlPr>
                      <w:rPr>
                        <w:rFonts w:ascii="Cambria Math" w:hAnsi="Cambria Math" w:cs="Arial"/>
                        <w:i/>
                        <w:szCs w:val="18"/>
                      </w:rPr>
                    </m:ctrlPr>
                  </m:sSubPr>
                  <m:e>
                    <m:r>
                      <w:rPr>
                        <w:rFonts w:ascii="Cambria Math" w:hAnsi="Cambria Math" w:cs="Arial"/>
                        <w:szCs w:val="18"/>
                      </w:rPr>
                      <m:t>Q</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rPr>
                          <m:t>2</m:t>
                        </m:r>
                      </m:sub>
                    </m:sSub>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Q</m:t>
                    </m:r>
                  </m:e>
                  <m:sub>
                    <m:r>
                      <w:rPr>
                        <w:rFonts w:ascii="Cambria Math" w:hAnsi="Cambria Math" w:cs="Arial"/>
                        <w:szCs w:val="18"/>
                      </w:rPr>
                      <m:t>mix</m:t>
                    </m:r>
                  </m:sub>
                </m:sSub>
                <m:sSub>
                  <m:sSubPr>
                    <m:ctrlPr>
                      <w:rPr>
                        <w:rFonts w:ascii="Cambria Math" w:hAnsi="Cambria Math" w:cs="Arial"/>
                        <w:i/>
                        <w:szCs w:val="18"/>
                      </w:rPr>
                    </m:ctrlPr>
                  </m:sSubPr>
                  <m:e>
                    <m:r>
                      <w:rPr>
                        <w:rFonts w:ascii="Cambria Math" w:hAnsi="Cambria Math" w:cs="Arial"/>
                        <w:szCs w:val="18"/>
                      </w:rPr>
                      <m:t>x</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rPr>
                          <m:t>2</m:t>
                        </m:r>
                      </m:sub>
                    </m:sSub>
                  </m:sub>
                </m:sSub>
              </m:oMath>
            </m:oMathPara>
          </w:p>
        </w:tc>
        <w:tc>
          <w:tcPr>
            <w:tcW w:w="805" w:type="dxa"/>
            <w:shd w:val="clear" w:color="auto" w:fill="auto"/>
            <w:vAlign w:val="center"/>
          </w:tcPr>
          <w:p w14:paraId="1C15D6F3" w14:textId="0B82E93D" w:rsidR="006F552C" w:rsidRPr="00B57B36" w:rsidRDefault="006F552C" w:rsidP="004039BC">
            <w:pPr>
              <w:pStyle w:val="CETEquation"/>
              <w:jc w:val="right"/>
            </w:pPr>
            <w:r w:rsidRPr="00B57B36">
              <w:t>(</w:t>
            </w:r>
            <w:r>
              <w:t>2</w:t>
            </w:r>
            <w:r w:rsidRPr="00B57B36">
              <w:t>)</w:t>
            </w:r>
          </w:p>
        </w:tc>
      </w:tr>
      <w:tr w:rsidR="006F552C" w:rsidRPr="00B57B36" w14:paraId="2687E217" w14:textId="77777777" w:rsidTr="006F552C">
        <w:tc>
          <w:tcPr>
            <w:tcW w:w="7982" w:type="dxa"/>
            <w:shd w:val="clear" w:color="auto" w:fill="auto"/>
            <w:vAlign w:val="center"/>
          </w:tcPr>
          <w:p w14:paraId="65F637AF" w14:textId="53566E79" w:rsidR="006F552C" w:rsidRPr="006F552C" w:rsidRDefault="00000000" w:rsidP="004039BC">
            <w:pPr>
              <w:pStyle w:val="CETEquation"/>
              <w:rPr>
                <w:szCs w:val="18"/>
              </w:rPr>
            </w:pPr>
            <m:oMathPara>
              <m:oMathParaPr>
                <m:jc m:val="left"/>
              </m:oMathParaPr>
              <m:oMath>
                <m:sSub>
                  <m:sSubPr>
                    <m:ctrlPr>
                      <w:rPr>
                        <w:rFonts w:ascii="Cambria Math" w:hAnsi="Cambria Math" w:cs="Arial"/>
                        <w:i/>
                        <w:szCs w:val="18"/>
                      </w:rPr>
                    </m:ctrlPr>
                  </m:sSubPr>
                  <m:e>
                    <m:r>
                      <w:rPr>
                        <w:rFonts w:ascii="Cambria Math" w:hAnsi="Cambria Math" w:cs="Arial"/>
                        <w:szCs w:val="18"/>
                      </w:rPr>
                      <m:t>Q</m:t>
                    </m:r>
                  </m:e>
                  <m:sub>
                    <m:r>
                      <w:rPr>
                        <w:rFonts w:ascii="Cambria Math" w:hAnsi="Cambria Math" w:cs="Arial"/>
                        <w:szCs w:val="18"/>
                      </w:rPr>
                      <m:t>air</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Q</m:t>
                    </m:r>
                  </m:e>
                  <m:sub>
                    <m:r>
                      <w:rPr>
                        <w:rFonts w:ascii="Cambria Math" w:hAnsi="Cambria Math" w:cs="Arial"/>
                        <w:szCs w:val="18"/>
                      </w:rPr>
                      <m:t>mix</m:t>
                    </m:r>
                  </m:sub>
                </m:sSub>
                <m:r>
                  <w:rPr>
                    <w:rFonts w:ascii="Cambria Math" w:hAnsi="Cambria Math" w:cs="Arial"/>
                    <w:szCs w:val="18"/>
                  </w:rPr>
                  <m:t>(1-</m:t>
                </m:r>
                <m:sSub>
                  <m:sSubPr>
                    <m:ctrlPr>
                      <w:rPr>
                        <w:rFonts w:ascii="Cambria Math" w:hAnsi="Cambria Math" w:cs="Arial"/>
                        <w:i/>
                        <w:szCs w:val="18"/>
                      </w:rPr>
                    </m:ctrlPr>
                  </m:sSubPr>
                  <m:e>
                    <m:r>
                      <w:rPr>
                        <w:rFonts w:ascii="Cambria Math" w:hAnsi="Cambria Math" w:cs="Arial"/>
                        <w:szCs w:val="18"/>
                      </w:rPr>
                      <m:t>x</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rPr>
                          <m:t>2</m:t>
                        </m:r>
                      </m:sub>
                    </m:sSub>
                  </m:sub>
                </m:sSub>
                <m:r>
                  <w:rPr>
                    <w:rFonts w:ascii="Cambria Math" w:hAnsi="Cambria Math" w:cs="Arial"/>
                    <w:szCs w:val="18"/>
                  </w:rPr>
                  <m:t>)</m:t>
                </m:r>
              </m:oMath>
            </m:oMathPara>
          </w:p>
        </w:tc>
        <w:tc>
          <w:tcPr>
            <w:tcW w:w="805" w:type="dxa"/>
            <w:shd w:val="clear" w:color="auto" w:fill="auto"/>
            <w:vAlign w:val="center"/>
          </w:tcPr>
          <w:p w14:paraId="31C325A4" w14:textId="19196E19" w:rsidR="006F552C" w:rsidRPr="00B57B36" w:rsidRDefault="006F552C" w:rsidP="004039BC">
            <w:pPr>
              <w:pStyle w:val="CETEquation"/>
              <w:jc w:val="right"/>
            </w:pPr>
            <w:r w:rsidRPr="00B57B36">
              <w:t>(</w:t>
            </w:r>
            <w:r>
              <w:t>3</w:t>
            </w:r>
            <w:r w:rsidRPr="00B57B36">
              <w:t>)</w:t>
            </w:r>
          </w:p>
        </w:tc>
      </w:tr>
    </w:tbl>
    <w:p w14:paraId="5C43A510" w14:textId="4D1608A6" w:rsidR="00A0563A" w:rsidRPr="00A0563A" w:rsidRDefault="00A0563A" w:rsidP="005F4D10">
      <w:pPr>
        <w:pStyle w:val="CETBodytext"/>
      </w:pPr>
      <w:r>
        <w:t xml:space="preserve">where u </w:t>
      </w:r>
      <w:r w:rsidR="0012228D">
        <w:t>represent</w:t>
      </w:r>
      <w:r w:rsidR="00EF299E">
        <w:t>s</w:t>
      </w:r>
      <w:r>
        <w:t xml:space="preserve"> the</w:t>
      </w:r>
      <w:r w:rsidR="005D5CEF">
        <w:t xml:space="preserve"> superficial</w:t>
      </w:r>
      <w:r>
        <w:t xml:space="preserve"> velocity of the gas mixture, A </w:t>
      </w:r>
      <w:r w:rsidR="00EF299E">
        <w:t>i</w:t>
      </w:r>
      <w:r>
        <w:t>s the column section and x</w:t>
      </w:r>
      <w:r w:rsidRPr="00A0563A">
        <w:rPr>
          <w:vertAlign w:val="subscript"/>
        </w:rPr>
        <w:t>CO2</w:t>
      </w:r>
      <w:r>
        <w:t xml:space="preserve"> </w:t>
      </w:r>
      <w:r w:rsidR="00EF299E">
        <w:t>i</w:t>
      </w:r>
      <w:r>
        <w:t>s the CO</w:t>
      </w:r>
      <w:r w:rsidRPr="00A0563A">
        <w:rPr>
          <w:vertAlign w:val="subscript"/>
        </w:rPr>
        <w:t>2</w:t>
      </w:r>
      <w:r>
        <w:t xml:space="preserve"> </w:t>
      </w:r>
      <w:r w:rsidR="00D64DC0">
        <w:t>volumetric concentration</w:t>
      </w:r>
      <w:r>
        <w:t xml:space="preserve"> in the inlet mixture.</w:t>
      </w:r>
    </w:p>
    <w:p w14:paraId="4CBD7F00" w14:textId="2F9D86AD" w:rsidR="002F7A37" w:rsidRDefault="000E396F" w:rsidP="005F4D10">
      <w:pPr>
        <w:pStyle w:val="CETBodytext"/>
      </w:pPr>
      <w:r>
        <w:t xml:space="preserve">The breakthrough curve, defined as the ratio between the </w:t>
      </w:r>
      <w:r w:rsidR="00EF299E">
        <w:t xml:space="preserve">outlet </w:t>
      </w:r>
      <w:r>
        <w:t xml:space="preserve">concentration </w:t>
      </w:r>
      <w:r w:rsidR="00792A5E">
        <w:t>and</w:t>
      </w:r>
      <w:r>
        <w:t xml:space="preserve"> </w:t>
      </w:r>
      <w:r w:rsidR="00792A5E">
        <w:t>the initial concentration</w:t>
      </w:r>
      <w:r w:rsidR="001069F7">
        <w:t xml:space="preserve"> </w:t>
      </w:r>
      <w:r w:rsidR="00EF299E">
        <w:t xml:space="preserve">of the stream </w:t>
      </w:r>
      <w:r>
        <w:t>versus time, w</w:t>
      </w:r>
      <w:r w:rsidR="00FD2F6D">
        <w:t>as</w:t>
      </w:r>
      <w:r>
        <w:t xml:space="preserve"> </w:t>
      </w:r>
      <w:r w:rsidR="00A7779D">
        <w:t>obtained for</w:t>
      </w:r>
      <w:r w:rsidR="00F7006D">
        <w:t xml:space="preserve"> an</w:t>
      </w:r>
      <w:r w:rsidR="00A7779D">
        <w:t xml:space="preserve"> </w:t>
      </w:r>
      <w:r w:rsidR="007048E4">
        <w:t>i</w:t>
      </w:r>
      <w:r w:rsidR="00A7779D">
        <w:t>nlet gas mixture containing 15% CO</w:t>
      </w:r>
      <w:r w:rsidR="00A7779D" w:rsidRPr="00A7779D">
        <w:rPr>
          <w:vertAlign w:val="subscript"/>
        </w:rPr>
        <w:t>2</w:t>
      </w:r>
      <w:r w:rsidR="00332E6E">
        <w:t>. Its</w:t>
      </w:r>
      <w:r w:rsidR="00AA5E75">
        <w:t xml:space="preserve"> trend</w:t>
      </w:r>
      <w:r w:rsidR="00FD2F6D">
        <w:t xml:space="preserve"> </w:t>
      </w:r>
      <w:r w:rsidR="007048E4">
        <w:t>is shown</w:t>
      </w:r>
      <w:r w:rsidR="00FD2F6D">
        <w:t xml:space="preserve"> </w:t>
      </w:r>
      <w:r w:rsidR="00AA5E75">
        <w:t>in Figure</w:t>
      </w:r>
      <w:r w:rsidR="00B941E5">
        <w:t> </w:t>
      </w:r>
      <w:r w:rsidR="00AA5E75">
        <w:t>1.</w:t>
      </w:r>
    </w:p>
    <w:p w14:paraId="4E8D8D11" w14:textId="77777777" w:rsidR="00F7006D" w:rsidRDefault="00F7006D" w:rsidP="005F4D10">
      <w:pPr>
        <w:pStyle w:val="CETBodytext"/>
      </w:pPr>
    </w:p>
    <w:p w14:paraId="1F6815BF" w14:textId="31BCCDC2" w:rsidR="002B6552" w:rsidRDefault="00205AE8" w:rsidP="002B6552">
      <w:pPr>
        <w:pStyle w:val="CETBodytext"/>
        <w:keepNext/>
      </w:pPr>
      <w:r>
        <w:rPr>
          <w:noProof/>
        </w:rPr>
        <w:drawing>
          <wp:inline distT="0" distB="0" distL="0" distR="0" wp14:anchorId="332E489F" wp14:editId="61616C75">
            <wp:extent cx="4312920" cy="2202815"/>
            <wp:effectExtent l="0" t="0" r="0" b="6985"/>
            <wp:docPr id="1987506613" name="Grafico 1">
              <a:extLst xmlns:a="http://schemas.openxmlformats.org/drawingml/2006/main">
                <a:ext uri="{FF2B5EF4-FFF2-40B4-BE49-F238E27FC236}">
                  <a16:creationId xmlns:a16="http://schemas.microsoft.com/office/drawing/2014/main" id="{1151128E-F87D-4C6F-99CE-13F3D742E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E1BE68" w14:textId="126D8B56" w:rsidR="001069F7" w:rsidRPr="002B6552" w:rsidRDefault="002B6552" w:rsidP="002B6552">
      <w:pPr>
        <w:pStyle w:val="Didascalia"/>
        <w:rPr>
          <w:b w:val="0"/>
          <w:bCs w:val="0"/>
          <w:i/>
          <w:iCs/>
          <w:color w:val="000000" w:themeColor="text1"/>
        </w:rPr>
      </w:pPr>
      <w:r w:rsidRPr="002B6552">
        <w:rPr>
          <w:b w:val="0"/>
          <w:bCs w:val="0"/>
          <w:i/>
          <w:iCs/>
          <w:color w:val="000000" w:themeColor="text1"/>
        </w:rPr>
        <w:t xml:space="preserve">Figure </w:t>
      </w:r>
      <w:r w:rsidRPr="002B6552">
        <w:rPr>
          <w:b w:val="0"/>
          <w:bCs w:val="0"/>
          <w:i/>
          <w:iCs/>
          <w:color w:val="000000" w:themeColor="text1"/>
        </w:rPr>
        <w:fldChar w:fldCharType="begin"/>
      </w:r>
      <w:r w:rsidRPr="002B6552">
        <w:rPr>
          <w:b w:val="0"/>
          <w:bCs w:val="0"/>
          <w:i/>
          <w:iCs/>
          <w:color w:val="000000" w:themeColor="text1"/>
        </w:rPr>
        <w:instrText xml:space="preserve"> SEQ Figure \* ARABIC </w:instrText>
      </w:r>
      <w:r w:rsidRPr="002B6552">
        <w:rPr>
          <w:b w:val="0"/>
          <w:bCs w:val="0"/>
          <w:i/>
          <w:iCs/>
          <w:color w:val="000000" w:themeColor="text1"/>
        </w:rPr>
        <w:fldChar w:fldCharType="separate"/>
      </w:r>
      <w:r w:rsidR="00BB00AD">
        <w:rPr>
          <w:b w:val="0"/>
          <w:bCs w:val="0"/>
          <w:i/>
          <w:iCs/>
          <w:noProof/>
          <w:color w:val="000000" w:themeColor="text1"/>
        </w:rPr>
        <w:t>1</w:t>
      </w:r>
      <w:r w:rsidRPr="002B6552">
        <w:rPr>
          <w:b w:val="0"/>
          <w:bCs w:val="0"/>
          <w:i/>
          <w:iCs/>
          <w:color w:val="000000" w:themeColor="text1"/>
        </w:rPr>
        <w:fldChar w:fldCharType="end"/>
      </w:r>
      <w:r w:rsidRPr="002B6552">
        <w:rPr>
          <w:b w:val="0"/>
          <w:bCs w:val="0"/>
          <w:i/>
          <w:iCs/>
          <w:color w:val="000000" w:themeColor="text1"/>
        </w:rPr>
        <w:t>. Breakthrough curve</w:t>
      </w:r>
      <w:r>
        <w:rPr>
          <w:b w:val="0"/>
          <w:bCs w:val="0"/>
          <w:i/>
          <w:iCs/>
          <w:color w:val="000000" w:themeColor="text1"/>
        </w:rPr>
        <w:t xml:space="preserve"> </w:t>
      </w:r>
      <w:r w:rsidR="00FA3B4C">
        <w:rPr>
          <w:b w:val="0"/>
          <w:bCs w:val="0"/>
          <w:i/>
          <w:iCs/>
          <w:color w:val="000000" w:themeColor="text1"/>
        </w:rPr>
        <w:t>for APTES20 (</w:t>
      </w:r>
      <w:r w:rsidR="002713BA">
        <w:rPr>
          <w:b w:val="0"/>
          <w:bCs w:val="0"/>
          <w:i/>
          <w:iCs/>
          <w:color w:val="000000" w:themeColor="text1"/>
        </w:rPr>
        <w:t xml:space="preserve">mass of sorbent: </w:t>
      </w:r>
      <w:r w:rsidR="00FA3B4C">
        <w:rPr>
          <w:b w:val="0"/>
          <w:bCs w:val="0"/>
          <w:i/>
          <w:iCs/>
          <w:color w:val="000000" w:themeColor="text1"/>
        </w:rPr>
        <w:t>50 g) in confined</w:t>
      </w:r>
      <w:r w:rsidR="00503754">
        <w:rPr>
          <w:b w:val="0"/>
          <w:bCs w:val="0"/>
          <w:i/>
          <w:iCs/>
          <w:color w:val="000000" w:themeColor="text1"/>
        </w:rPr>
        <w:t xml:space="preserve"> expanded</w:t>
      </w:r>
      <w:r w:rsidR="00FA3B4C">
        <w:rPr>
          <w:b w:val="0"/>
          <w:bCs w:val="0"/>
          <w:i/>
          <w:iCs/>
          <w:color w:val="000000" w:themeColor="text1"/>
        </w:rPr>
        <w:t xml:space="preserve"> bed at </w:t>
      </w:r>
      <w:r w:rsidR="00740825">
        <w:rPr>
          <w:b w:val="0"/>
          <w:bCs w:val="0"/>
          <w:i/>
          <w:iCs/>
          <w:color w:val="000000" w:themeColor="text1"/>
        </w:rPr>
        <w:t xml:space="preserve">u = </w:t>
      </w:r>
      <w:r w:rsidR="00FA3B4C">
        <w:rPr>
          <w:b w:val="0"/>
          <w:bCs w:val="0"/>
          <w:i/>
          <w:iCs/>
          <w:color w:val="000000" w:themeColor="text1"/>
        </w:rPr>
        <w:t>8.4 cm/s</w:t>
      </w:r>
      <w:r w:rsidR="007606E7">
        <w:rPr>
          <w:b w:val="0"/>
          <w:bCs w:val="0"/>
          <w:i/>
          <w:iCs/>
          <w:color w:val="000000" w:themeColor="text1"/>
        </w:rPr>
        <w:t>.</w:t>
      </w:r>
    </w:p>
    <w:p w14:paraId="217DA67A" w14:textId="77777777" w:rsidR="007606E7" w:rsidRDefault="007606E7" w:rsidP="005F4D10">
      <w:pPr>
        <w:pStyle w:val="CETBodytext"/>
      </w:pPr>
    </w:p>
    <w:p w14:paraId="03E4769B" w14:textId="1D887BFA" w:rsidR="00C0240A" w:rsidRPr="00F73742" w:rsidRDefault="00B941E5" w:rsidP="005F4D10">
      <w:pPr>
        <w:pStyle w:val="CETBodytext"/>
      </w:pPr>
      <w:r>
        <w:lastRenderedPageBreak/>
        <w:t>The</w:t>
      </w:r>
      <w:r w:rsidR="007606E7">
        <w:t xml:space="preserve"> breakthrough time</w:t>
      </w:r>
      <w:r w:rsidR="00AF314E">
        <w:t xml:space="preserve"> (t</w:t>
      </w:r>
      <w:r w:rsidR="00AF314E" w:rsidRPr="00AF314E">
        <w:rPr>
          <w:vertAlign w:val="subscript"/>
        </w:rPr>
        <w:t>b</w:t>
      </w:r>
      <w:r w:rsidR="00AF314E">
        <w:t>)</w:t>
      </w:r>
      <w:r w:rsidR="00740825">
        <w:t xml:space="preserve"> and </w:t>
      </w:r>
      <w:r>
        <w:t xml:space="preserve">the </w:t>
      </w:r>
      <w:r w:rsidR="007606E7">
        <w:t>saturation time</w:t>
      </w:r>
      <w:r w:rsidR="00740825">
        <w:t xml:space="preserve"> </w:t>
      </w:r>
      <w:r w:rsidR="00AF314E">
        <w:t>(</w:t>
      </w:r>
      <w:proofErr w:type="spellStart"/>
      <w:r w:rsidR="00AF314E">
        <w:t>t</w:t>
      </w:r>
      <w:r w:rsidR="00AF314E" w:rsidRPr="00AF314E">
        <w:rPr>
          <w:vertAlign w:val="subscript"/>
        </w:rPr>
        <w:t>s</w:t>
      </w:r>
      <w:proofErr w:type="spellEnd"/>
      <w:r w:rsidR="00AF314E">
        <w:t xml:space="preserve">) </w:t>
      </w:r>
      <w:r w:rsidR="00740825">
        <w:t>were directly estimated from the breakthrough curve</w:t>
      </w:r>
      <w:r w:rsidR="00C0240A">
        <w:t xml:space="preserve">. They </w:t>
      </w:r>
      <w:r w:rsidR="00740825">
        <w:t>respectively describe</w:t>
      </w:r>
      <w:r w:rsidR="00AF314E">
        <w:t xml:space="preserve"> the time at which the CO</w:t>
      </w:r>
      <w:r w:rsidR="00AF314E" w:rsidRPr="00AF314E">
        <w:rPr>
          <w:vertAlign w:val="subscript"/>
        </w:rPr>
        <w:t>2</w:t>
      </w:r>
      <w:r w:rsidR="00AF314E">
        <w:t xml:space="preserve"> concentration of the outlet stream reaches 5 % and 95 % of the inlet value.</w:t>
      </w:r>
      <w:r w:rsidR="0038598D">
        <w:t xml:space="preserve"> </w:t>
      </w:r>
      <w:r w:rsidR="00C0240A">
        <w:t xml:space="preserve">The </w:t>
      </w:r>
      <w:r w:rsidR="00C0240A" w:rsidRPr="00F73742">
        <w:t>contact time (</w:t>
      </w:r>
      <w:proofErr w:type="spellStart"/>
      <w:r w:rsidR="00C0240A" w:rsidRPr="00F73742">
        <w:t>t</w:t>
      </w:r>
      <w:r w:rsidR="00C0240A" w:rsidRPr="00F73742">
        <w:rPr>
          <w:vertAlign w:val="subscript"/>
        </w:rPr>
        <w:t>c</w:t>
      </w:r>
      <w:proofErr w:type="spellEnd"/>
      <w:r w:rsidR="00C0240A" w:rsidRPr="00F73742">
        <w:t>)</w:t>
      </w:r>
      <w:r w:rsidR="00E8629D">
        <w:t>, Eq (4),</w:t>
      </w:r>
      <w:r w:rsidR="00C0240A" w:rsidRPr="00F73742">
        <w:t xml:space="preserve"> was calculated as the ratio between the volume</w:t>
      </w:r>
      <w:r w:rsidR="00535916" w:rsidRPr="00F73742">
        <w:t xml:space="preserve"> available for the gas flow </w:t>
      </w:r>
      <w:r w:rsidRPr="00F73742">
        <w:t>in the confined</w:t>
      </w:r>
      <w:r w:rsidR="00EF299E" w:rsidRPr="00F73742">
        <w:noBreakHyphen/>
      </w:r>
      <w:r w:rsidRPr="00F73742">
        <w:t xml:space="preserve">fluidized bed configuration </w:t>
      </w:r>
      <w:r w:rsidR="00535916" w:rsidRPr="00F73742">
        <w:t>and the inlet flow rate of the mixture</w:t>
      </w:r>
      <w:r w:rsidR="00070A68" w:rsidRPr="00F73742">
        <w:t xml:space="preserve"> </w:t>
      </w:r>
      <w:bookmarkStart w:id="5" w:name="_Hlk184737037"/>
      <w:r w:rsidR="0081317B" w:rsidRPr="00F73742">
        <w:t>(</w:t>
      </w:r>
      <w:r w:rsidR="00940507" w:rsidRPr="00F73742">
        <w:t>Girimonte et al., 2022</w:t>
      </w:r>
      <w:bookmarkEnd w:id="5"/>
      <w:r w:rsidR="0081317B" w:rsidRPr="00F73742">
        <w:t>)</w:t>
      </w:r>
      <w:r w:rsidR="00BD10F0" w:rsidRPr="00F73742">
        <w:t>:</w:t>
      </w:r>
    </w:p>
    <w:tbl>
      <w:tblPr>
        <w:tblW w:w="5000" w:type="pct"/>
        <w:tblLook w:val="04A0" w:firstRow="1" w:lastRow="0" w:firstColumn="1" w:lastColumn="0" w:noHBand="0" w:noVBand="1"/>
      </w:tblPr>
      <w:tblGrid>
        <w:gridCol w:w="7982"/>
        <w:gridCol w:w="805"/>
      </w:tblGrid>
      <w:tr w:rsidR="00535916" w:rsidRPr="00F73742" w14:paraId="5BF3C227" w14:textId="77777777" w:rsidTr="004039BC">
        <w:tc>
          <w:tcPr>
            <w:tcW w:w="7982" w:type="dxa"/>
            <w:shd w:val="clear" w:color="auto" w:fill="auto"/>
            <w:vAlign w:val="center"/>
          </w:tcPr>
          <w:p w14:paraId="4D75F53B" w14:textId="178BF822" w:rsidR="00535916" w:rsidRPr="00F73742" w:rsidRDefault="00000000" w:rsidP="004039BC">
            <w:pPr>
              <w:pStyle w:val="CETEquation"/>
              <w:rPr>
                <w:szCs w:val="18"/>
              </w:rPr>
            </w:pPr>
            <m:oMathPara>
              <m:oMathParaPr>
                <m:jc m:val="left"/>
              </m:oMathParaPr>
              <m:oMath>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c</m:t>
                    </m:r>
                  </m:sub>
                </m:sSub>
                <m:r>
                  <w:rPr>
                    <w:rFonts w:ascii="Cambria Math" w:hAnsi="Cambria Math" w:cs="Arial"/>
                    <w:szCs w:val="18"/>
                  </w:rPr>
                  <m:t>=</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V</m:t>
                        </m:r>
                      </m:e>
                      <m:sub>
                        <m:r>
                          <w:rPr>
                            <w:rFonts w:ascii="Cambria Math" w:hAnsi="Cambria Math" w:cs="Arial"/>
                            <w:szCs w:val="18"/>
                          </w:rPr>
                          <m:t>open</m:t>
                        </m:r>
                      </m:sub>
                    </m:sSub>
                  </m:num>
                  <m:den>
                    <m:sSub>
                      <m:sSubPr>
                        <m:ctrlPr>
                          <w:rPr>
                            <w:rFonts w:ascii="Cambria Math" w:hAnsi="Cambria Math" w:cs="Arial"/>
                            <w:i/>
                            <w:szCs w:val="18"/>
                          </w:rPr>
                        </m:ctrlPr>
                      </m:sSubPr>
                      <m:e>
                        <m:r>
                          <w:rPr>
                            <w:rFonts w:ascii="Cambria Math" w:hAnsi="Cambria Math" w:cs="Arial"/>
                            <w:szCs w:val="18"/>
                          </w:rPr>
                          <m:t>Q</m:t>
                        </m:r>
                      </m:e>
                      <m:sub>
                        <m:r>
                          <w:rPr>
                            <w:rFonts w:ascii="Cambria Math" w:hAnsi="Cambria Math" w:cs="Arial"/>
                            <w:szCs w:val="18"/>
                          </w:rPr>
                          <m:t>mix</m:t>
                        </m:r>
                      </m:sub>
                    </m:sSub>
                  </m:den>
                </m:f>
                <m:r>
                  <w:rPr>
                    <w:rFonts w:ascii="Cambria Math" w:hAnsi="Cambria Math" w:cs="Arial"/>
                    <w:szCs w:val="18"/>
                  </w:rPr>
                  <m:t>=</m:t>
                </m:r>
                <m:f>
                  <m:fPr>
                    <m:ctrlPr>
                      <w:rPr>
                        <w:rFonts w:ascii="Cambria Math" w:hAnsi="Cambria Math" w:cs="Arial"/>
                        <w:i/>
                        <w:szCs w:val="18"/>
                      </w:rPr>
                    </m:ctrlPr>
                  </m:fPr>
                  <m:num>
                    <m:r>
                      <w:rPr>
                        <w:rFonts w:ascii="Cambria Math" w:hAnsi="Cambria Math" w:cs="Arial"/>
                        <w:szCs w:val="18"/>
                      </w:rPr>
                      <m:t>A</m:t>
                    </m:r>
                    <m:sSub>
                      <m:sSubPr>
                        <m:ctrlPr>
                          <w:rPr>
                            <w:rFonts w:ascii="Cambria Math" w:hAnsi="Cambria Math" w:cs="Arial"/>
                            <w:i/>
                            <w:szCs w:val="18"/>
                          </w:rPr>
                        </m:ctrlPr>
                      </m:sSubPr>
                      <m:e>
                        <m:r>
                          <w:rPr>
                            <w:rFonts w:ascii="Cambria Math" w:hAnsi="Cambria Math" w:cs="Arial"/>
                            <w:szCs w:val="18"/>
                          </w:rPr>
                          <m:t>H</m:t>
                        </m:r>
                      </m:e>
                      <m:sub>
                        <m:r>
                          <w:rPr>
                            <w:rFonts w:ascii="Cambria Math" w:hAnsi="Cambria Math" w:cs="Arial"/>
                            <w:szCs w:val="18"/>
                          </w:rPr>
                          <m:t>fc</m:t>
                        </m:r>
                      </m:sub>
                    </m:sSub>
                    <m:sSub>
                      <m:sSubPr>
                        <m:ctrlPr>
                          <w:rPr>
                            <w:rFonts w:ascii="Cambria Math" w:hAnsi="Cambria Math" w:cs="Arial"/>
                            <w:i/>
                            <w:szCs w:val="18"/>
                          </w:rPr>
                        </m:ctrlPr>
                      </m:sSubPr>
                      <m:e>
                        <m:r>
                          <w:rPr>
                            <w:rFonts w:ascii="Cambria Math" w:hAnsi="Cambria Math" w:cs="Arial"/>
                            <w:szCs w:val="18"/>
                          </w:rPr>
                          <m:t>ε</m:t>
                        </m:r>
                      </m:e>
                      <m:sub>
                        <m:r>
                          <w:rPr>
                            <w:rFonts w:ascii="Cambria Math" w:hAnsi="Cambria Math" w:cs="Arial"/>
                            <w:szCs w:val="18"/>
                          </w:rPr>
                          <m:t>p</m:t>
                        </m:r>
                      </m:sub>
                    </m:sSub>
                    <m:r>
                      <w:rPr>
                        <w:rFonts w:ascii="Cambria Math" w:hAnsi="Cambria Math" w:cs="Arial"/>
                        <w:szCs w:val="18"/>
                      </w:rPr>
                      <m:t>-</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m</m:t>
                            </m:r>
                          </m:e>
                          <m:sub>
                            <m:r>
                              <w:rPr>
                                <w:rFonts w:ascii="Cambria Math" w:hAnsi="Cambria Math" w:cs="Arial"/>
                                <w:szCs w:val="18"/>
                              </w:rPr>
                              <m:t>f</m:t>
                            </m:r>
                          </m:sub>
                        </m:sSub>
                      </m:num>
                      <m:den>
                        <m:sSub>
                          <m:sSubPr>
                            <m:ctrlPr>
                              <w:rPr>
                                <w:rFonts w:ascii="Cambria Math" w:hAnsi="Cambria Math" w:cs="Arial"/>
                                <w:i/>
                                <w:szCs w:val="18"/>
                              </w:rPr>
                            </m:ctrlPr>
                          </m:sSubPr>
                          <m:e>
                            <m:r>
                              <w:rPr>
                                <w:rFonts w:ascii="Cambria Math" w:hAnsi="Cambria Math" w:cs="Arial"/>
                                <w:szCs w:val="18"/>
                              </w:rPr>
                              <m:t>ρ</m:t>
                            </m:r>
                          </m:e>
                          <m:sub>
                            <m:r>
                              <w:rPr>
                                <w:rFonts w:ascii="Cambria Math" w:hAnsi="Cambria Math" w:cs="Arial"/>
                                <w:szCs w:val="18"/>
                              </w:rPr>
                              <m:t>f</m:t>
                            </m:r>
                          </m:sub>
                        </m:sSub>
                      </m:den>
                    </m:f>
                  </m:num>
                  <m:den>
                    <m:sSub>
                      <m:sSubPr>
                        <m:ctrlPr>
                          <w:rPr>
                            <w:rFonts w:ascii="Cambria Math" w:hAnsi="Cambria Math" w:cs="Arial"/>
                            <w:i/>
                            <w:szCs w:val="18"/>
                          </w:rPr>
                        </m:ctrlPr>
                      </m:sSubPr>
                      <m:e>
                        <m:r>
                          <w:rPr>
                            <w:rFonts w:ascii="Cambria Math" w:hAnsi="Cambria Math" w:cs="Arial"/>
                            <w:szCs w:val="18"/>
                          </w:rPr>
                          <m:t>Q</m:t>
                        </m:r>
                      </m:e>
                      <m:sub>
                        <m:r>
                          <w:rPr>
                            <w:rFonts w:ascii="Cambria Math" w:hAnsi="Cambria Math" w:cs="Arial"/>
                            <w:szCs w:val="18"/>
                          </w:rPr>
                          <m:t>mix</m:t>
                        </m:r>
                      </m:sub>
                    </m:sSub>
                  </m:den>
                </m:f>
              </m:oMath>
            </m:oMathPara>
          </w:p>
        </w:tc>
        <w:tc>
          <w:tcPr>
            <w:tcW w:w="805" w:type="dxa"/>
            <w:shd w:val="clear" w:color="auto" w:fill="auto"/>
            <w:vAlign w:val="center"/>
          </w:tcPr>
          <w:p w14:paraId="414DAD07" w14:textId="06D31C5D" w:rsidR="00535916" w:rsidRPr="00F73742" w:rsidRDefault="00535916" w:rsidP="004039BC">
            <w:pPr>
              <w:pStyle w:val="CETEquation"/>
              <w:jc w:val="right"/>
            </w:pPr>
            <w:r w:rsidRPr="00F73742">
              <w:t>(4)</w:t>
            </w:r>
          </w:p>
        </w:tc>
      </w:tr>
    </w:tbl>
    <w:p w14:paraId="3C5CC241" w14:textId="15003C3F" w:rsidR="009705B2" w:rsidRPr="001A7B46" w:rsidRDefault="00C0240A" w:rsidP="005F4D10">
      <w:pPr>
        <w:pStyle w:val="CETBodytext"/>
      </w:pPr>
      <w:r w:rsidRPr="00F73742">
        <w:t>The amount of CO</w:t>
      </w:r>
      <w:r w:rsidRPr="00F73742">
        <w:rPr>
          <w:vertAlign w:val="subscript"/>
        </w:rPr>
        <w:t>2</w:t>
      </w:r>
      <w:r w:rsidRPr="00F73742">
        <w:t xml:space="preserve"> captured on the solid surface was determined by </w:t>
      </w:r>
      <w:r w:rsidR="002F534C" w:rsidRPr="00F73742">
        <w:t>integration of the breakthrough curve</w:t>
      </w:r>
      <w:r w:rsidR="00B941E5" w:rsidRPr="00F73742">
        <w:t xml:space="preserve"> between zero and </w:t>
      </w:r>
      <w:proofErr w:type="spellStart"/>
      <w:r w:rsidR="00B941E5" w:rsidRPr="00F73742">
        <w:t>t</w:t>
      </w:r>
      <w:r w:rsidR="00B941E5" w:rsidRPr="00F73742">
        <w:rPr>
          <w:vertAlign w:val="subscript"/>
        </w:rPr>
        <w:t>s</w:t>
      </w:r>
      <w:proofErr w:type="spellEnd"/>
      <w:r w:rsidR="00E8629D" w:rsidRPr="00E8629D">
        <w:t>,</w:t>
      </w:r>
      <w:r w:rsidR="00E8629D">
        <w:t xml:space="preserve"> Eq (5)</w:t>
      </w:r>
      <w:r w:rsidRPr="00F73742">
        <w:t>.</w:t>
      </w:r>
      <w:r w:rsidR="007A3598" w:rsidRPr="00F73742">
        <w:t xml:space="preserve"> </w:t>
      </w:r>
      <w:r w:rsidR="00CD2D2F" w:rsidRPr="00F73742">
        <w:t xml:space="preserve">As reported in </w:t>
      </w:r>
      <w:r w:rsidR="00EF299E" w:rsidRPr="00F73742">
        <w:t xml:space="preserve">the </w:t>
      </w:r>
      <w:r w:rsidR="009705B2" w:rsidRPr="00F73742">
        <w:t>previous</w:t>
      </w:r>
      <w:r w:rsidR="00CD2D2F" w:rsidRPr="00F73742">
        <w:t xml:space="preserve"> work</w:t>
      </w:r>
      <w:r w:rsidR="00BD10F0" w:rsidRPr="00F73742">
        <w:t xml:space="preserve"> </w:t>
      </w:r>
      <w:r w:rsidR="0081317B" w:rsidRPr="00F73742">
        <w:t>(</w:t>
      </w:r>
      <w:r w:rsidR="00940507" w:rsidRPr="00F73742">
        <w:t>Girimonte et al., 2022</w:t>
      </w:r>
      <w:r w:rsidR="0081317B" w:rsidRPr="00F73742">
        <w:t>)</w:t>
      </w:r>
      <w:r w:rsidR="00CD2D2F" w:rsidRPr="00F73742">
        <w:t xml:space="preserve">, a differential mass balance </w:t>
      </w:r>
      <w:r w:rsidR="009705B2" w:rsidRPr="00F73742">
        <w:t xml:space="preserve">in time was defined on the column to calculate the </w:t>
      </w:r>
      <w:r w:rsidR="001A7B46" w:rsidRPr="00F73742">
        <w:t>amount</w:t>
      </w:r>
      <w:r w:rsidR="009705B2" w:rsidRPr="00F73742">
        <w:t xml:space="preserve"> of adsorbed CO</w:t>
      </w:r>
      <w:r w:rsidR="009705B2" w:rsidRPr="00F73742">
        <w:rPr>
          <w:vertAlign w:val="subscript"/>
        </w:rPr>
        <w:t>2</w:t>
      </w:r>
      <w:r w:rsidR="00FD56E6" w:rsidRPr="00F73742">
        <w:rPr>
          <w:rFonts w:cs="Arial"/>
          <w:szCs w:val="18"/>
        </w:rPr>
        <w:t>, by assuming that pressure and temperature remained constant</w:t>
      </w:r>
      <w:r w:rsidR="00C202BB" w:rsidRPr="00F73742">
        <w:rPr>
          <w:rFonts w:cs="Arial"/>
          <w:szCs w:val="18"/>
        </w:rPr>
        <w:t xml:space="preserve"> through the particle</w:t>
      </w:r>
      <w:r w:rsidR="00C202BB">
        <w:rPr>
          <w:rFonts w:cs="Arial"/>
          <w:szCs w:val="18"/>
        </w:rPr>
        <w:t xml:space="preserve"> bed</w:t>
      </w:r>
      <w:r w:rsidR="00EF299E">
        <w:rPr>
          <w:rFonts w:cs="Arial"/>
          <w:szCs w:val="18"/>
        </w:rPr>
        <w:t>:</w:t>
      </w:r>
    </w:p>
    <w:tbl>
      <w:tblPr>
        <w:tblW w:w="5000" w:type="pct"/>
        <w:tblLook w:val="04A0" w:firstRow="1" w:lastRow="0" w:firstColumn="1" w:lastColumn="0" w:noHBand="0" w:noVBand="1"/>
      </w:tblPr>
      <w:tblGrid>
        <w:gridCol w:w="7982"/>
        <w:gridCol w:w="805"/>
      </w:tblGrid>
      <w:tr w:rsidR="00FD56E6" w:rsidRPr="00FD56E6" w14:paraId="23E392DA" w14:textId="77777777" w:rsidTr="004039BC">
        <w:tc>
          <w:tcPr>
            <w:tcW w:w="7982" w:type="dxa"/>
            <w:shd w:val="clear" w:color="auto" w:fill="auto"/>
            <w:vAlign w:val="center"/>
          </w:tcPr>
          <w:p w14:paraId="7B80A9A6" w14:textId="53F1DB79" w:rsidR="00FD56E6" w:rsidRPr="00FD56E6" w:rsidRDefault="00FD56E6" w:rsidP="004039BC">
            <w:pPr>
              <w:pStyle w:val="CETEquation"/>
              <w:rPr>
                <w:rFonts w:cs="Arial"/>
                <w:szCs w:val="18"/>
              </w:rPr>
            </w:pPr>
            <m:oMathPara>
              <m:oMathParaPr>
                <m:jc m:val="left"/>
              </m:oMathParaPr>
              <m:oMath>
                <m:r>
                  <w:rPr>
                    <w:rFonts w:ascii="Cambria Math" w:hAnsi="Cambria Math" w:cs="Arial"/>
                    <w:szCs w:val="18"/>
                  </w:rPr>
                  <m:t>m=</m:t>
                </m:r>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π</m:t>
                        </m:r>
                      </m:e>
                      <m:sub>
                        <m:r>
                          <w:rPr>
                            <w:rFonts w:ascii="Cambria Math" w:hAnsi="Cambria Math"/>
                            <w:szCs w:val="18"/>
                          </w:rPr>
                          <m:t xml:space="preserve"> </m:t>
                        </m:r>
                      </m:sub>
                    </m:sSub>
                    <m:r>
                      <w:rPr>
                        <w:rFonts w:ascii="Cambria Math" w:hAnsi="Cambria Math"/>
                        <w:szCs w:val="18"/>
                      </w:rPr>
                      <m:t>MW</m:t>
                    </m:r>
                  </m:num>
                  <m:den>
                    <m:r>
                      <w:rPr>
                        <w:rFonts w:ascii="Cambria Math" w:hAnsi="Cambria Math"/>
                        <w:szCs w:val="18"/>
                      </w:rPr>
                      <m:t>R T</m:t>
                    </m:r>
                  </m:den>
                </m:f>
                <m:sSub>
                  <m:sSubPr>
                    <m:ctrlPr>
                      <w:rPr>
                        <w:rFonts w:ascii="Cambria Math" w:hAnsi="Cambria Math" w:cs="Arial"/>
                        <w:i/>
                        <w:szCs w:val="18"/>
                      </w:rPr>
                    </m:ctrlPr>
                  </m:sSubPr>
                  <m:e>
                    <m:r>
                      <w:rPr>
                        <w:rFonts w:ascii="Cambria Math" w:hAnsi="Cambria Math" w:cs="Arial"/>
                        <w:szCs w:val="18"/>
                      </w:rPr>
                      <m:t>Q</m:t>
                    </m:r>
                  </m:e>
                  <m:sub>
                    <m:r>
                      <w:rPr>
                        <w:rFonts w:ascii="Cambria Math" w:hAnsi="Cambria Math" w:cs="Arial"/>
                        <w:szCs w:val="18"/>
                      </w:rPr>
                      <m:t>mix</m:t>
                    </m:r>
                  </m:sub>
                </m:sSub>
                <m:sSub>
                  <m:sSubPr>
                    <m:ctrlPr>
                      <w:rPr>
                        <w:rFonts w:ascii="Cambria Math" w:hAnsi="Cambria Math" w:cs="Arial"/>
                        <w:i/>
                        <w:szCs w:val="18"/>
                      </w:rPr>
                    </m:ctrlPr>
                  </m:sSubPr>
                  <m:e>
                    <m:r>
                      <w:rPr>
                        <w:rFonts w:ascii="Cambria Math" w:hAnsi="Cambria Math" w:cs="Arial"/>
                        <w:szCs w:val="18"/>
                      </w:rPr>
                      <m:t>x</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rPr>
                          <m:t>2</m:t>
                        </m:r>
                      </m:sub>
                    </m:sSub>
                    <m:r>
                      <w:rPr>
                        <w:rFonts w:ascii="Cambria Math" w:hAnsi="Cambria Math" w:cs="Arial"/>
                        <w:szCs w:val="18"/>
                      </w:rPr>
                      <m:t>,in</m:t>
                    </m:r>
                  </m:sub>
                </m:sSub>
                <m:nary>
                  <m:naryPr>
                    <m:limLoc m:val="subSup"/>
                    <m:ctrlPr>
                      <w:rPr>
                        <w:rFonts w:ascii="Cambria Math" w:hAnsi="Cambria Math" w:cs="Arial"/>
                        <w:i/>
                        <w:szCs w:val="18"/>
                      </w:rPr>
                    </m:ctrlPr>
                  </m:naryPr>
                  <m:sub>
                    <m:r>
                      <w:rPr>
                        <w:rFonts w:ascii="Cambria Math" w:hAnsi="Cambria Math" w:cs="Arial"/>
                        <w:szCs w:val="18"/>
                      </w:rPr>
                      <m:t>0</m:t>
                    </m:r>
                  </m:sub>
                  <m:sup>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s</m:t>
                        </m:r>
                      </m:sub>
                    </m:sSub>
                  </m:sup>
                  <m:e>
                    <m:d>
                      <m:dPr>
                        <m:ctrlPr>
                          <w:rPr>
                            <w:rFonts w:ascii="Cambria Math" w:hAnsi="Cambria Math" w:cs="Arial"/>
                            <w:i/>
                            <w:szCs w:val="18"/>
                          </w:rPr>
                        </m:ctrlPr>
                      </m:dPr>
                      <m:e>
                        <m:r>
                          <w:rPr>
                            <w:rFonts w:ascii="Cambria Math" w:hAnsi="Cambria Math" w:cs="Arial"/>
                            <w:szCs w:val="18"/>
                          </w:rPr>
                          <m:t>1-</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x</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rPr>
                                      <m:t>2</m:t>
                                    </m:r>
                                  </m:sub>
                                </m:sSub>
                                <m:r>
                                  <w:rPr>
                                    <w:rFonts w:ascii="Cambria Math" w:hAnsi="Cambria Math" w:cs="Arial"/>
                                    <w:szCs w:val="18"/>
                                  </w:rPr>
                                  <m:t>,out</m:t>
                                </m:r>
                              </m:sub>
                            </m:sSub>
                          </m:num>
                          <m:den>
                            <m:sSub>
                              <m:sSubPr>
                                <m:ctrlPr>
                                  <w:rPr>
                                    <w:rFonts w:ascii="Cambria Math" w:hAnsi="Cambria Math" w:cs="Arial"/>
                                    <w:i/>
                                    <w:szCs w:val="18"/>
                                  </w:rPr>
                                </m:ctrlPr>
                              </m:sSubPr>
                              <m:e>
                                <m:r>
                                  <w:rPr>
                                    <w:rFonts w:ascii="Cambria Math" w:hAnsi="Cambria Math" w:cs="Arial"/>
                                    <w:szCs w:val="18"/>
                                  </w:rPr>
                                  <m:t>x</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rPr>
                                      <m:t>2,</m:t>
                                    </m:r>
                                  </m:sub>
                                </m:sSub>
                                <m:r>
                                  <w:rPr>
                                    <w:rFonts w:ascii="Cambria Math" w:hAnsi="Cambria Math" w:cs="Arial"/>
                                    <w:szCs w:val="18"/>
                                  </w:rPr>
                                  <m:t>in</m:t>
                                </m:r>
                              </m:sub>
                            </m:sSub>
                          </m:den>
                        </m:f>
                      </m:e>
                    </m:d>
                  </m:e>
                </m:nary>
                <m:r>
                  <w:rPr>
                    <w:rFonts w:ascii="Cambria Math" w:hAnsi="Cambria Math" w:cs="Arial"/>
                    <w:szCs w:val="18"/>
                  </w:rPr>
                  <m:t>dt</m:t>
                </m:r>
              </m:oMath>
            </m:oMathPara>
          </w:p>
        </w:tc>
        <w:tc>
          <w:tcPr>
            <w:tcW w:w="805" w:type="dxa"/>
            <w:shd w:val="clear" w:color="auto" w:fill="auto"/>
            <w:vAlign w:val="center"/>
          </w:tcPr>
          <w:p w14:paraId="11F94BF4" w14:textId="5D1B7058" w:rsidR="00FD56E6" w:rsidRPr="00FD56E6" w:rsidRDefault="00FD56E6" w:rsidP="004039BC">
            <w:pPr>
              <w:pStyle w:val="CETEquation"/>
              <w:jc w:val="right"/>
              <w:rPr>
                <w:szCs w:val="18"/>
              </w:rPr>
            </w:pPr>
            <w:r w:rsidRPr="00FD56E6">
              <w:rPr>
                <w:szCs w:val="18"/>
              </w:rPr>
              <w:t>(</w:t>
            </w:r>
            <w:r w:rsidR="001A7B46">
              <w:rPr>
                <w:szCs w:val="18"/>
              </w:rPr>
              <w:t>5</w:t>
            </w:r>
            <w:r w:rsidRPr="00FD56E6">
              <w:rPr>
                <w:szCs w:val="18"/>
              </w:rPr>
              <w:t>)</w:t>
            </w:r>
          </w:p>
        </w:tc>
      </w:tr>
    </w:tbl>
    <w:p w14:paraId="76C4ECC9" w14:textId="17A42A95" w:rsidR="00864443" w:rsidRPr="00B57B36" w:rsidRDefault="00864443" w:rsidP="00864443">
      <w:pPr>
        <w:pStyle w:val="CETTabletitle"/>
      </w:pPr>
      <w:r w:rsidRPr="00B57B36">
        <w:t xml:space="preserve">Table </w:t>
      </w:r>
      <w:r>
        <w:t>2</w:t>
      </w:r>
      <w:r w:rsidRPr="00B57B36">
        <w:t xml:space="preserve">: </w:t>
      </w:r>
      <w:r>
        <w:t>Characteristic parameters of adsorption tests on APTES20, for a superficial velocity of 8.4 cm/s and an inlet CO</w:t>
      </w:r>
      <w:r w:rsidRPr="00864443">
        <w:rPr>
          <w:vertAlign w:val="subscript"/>
        </w:rPr>
        <w:t>2</w:t>
      </w:r>
      <w:r>
        <w:t xml:space="preserve"> concentration of 15 %vol.</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27"/>
        <w:gridCol w:w="899"/>
        <w:gridCol w:w="899"/>
        <w:gridCol w:w="898"/>
        <w:gridCol w:w="919"/>
      </w:tblGrid>
      <w:tr w:rsidR="00864443" w:rsidRPr="00B57B36" w14:paraId="3F5D0E23" w14:textId="77777777" w:rsidTr="004039BC">
        <w:tc>
          <w:tcPr>
            <w:tcW w:w="927" w:type="dxa"/>
            <w:tcBorders>
              <w:top w:val="single" w:sz="12" w:space="0" w:color="008000"/>
              <w:bottom w:val="single" w:sz="6" w:space="0" w:color="008000"/>
            </w:tcBorders>
            <w:shd w:val="clear" w:color="auto" w:fill="FFFFFF"/>
          </w:tcPr>
          <w:p w14:paraId="68301FDC" w14:textId="769D8064" w:rsidR="00864443" w:rsidRDefault="00864443" w:rsidP="00B941E5">
            <w:pPr>
              <w:pStyle w:val="CETBodytext"/>
              <w:jc w:val="center"/>
              <w:rPr>
                <w:lang w:val="en-GB"/>
              </w:rPr>
            </w:pPr>
            <w:r>
              <w:rPr>
                <w:lang w:val="en-GB"/>
              </w:rPr>
              <w:t>t</w:t>
            </w:r>
            <w:r w:rsidRPr="00864443">
              <w:rPr>
                <w:vertAlign w:val="subscript"/>
                <w:lang w:val="en-GB"/>
              </w:rPr>
              <w:t>b</w:t>
            </w:r>
          </w:p>
          <w:p w14:paraId="15DFBAB8" w14:textId="04506266" w:rsidR="00864443" w:rsidRPr="00B57B36" w:rsidRDefault="00864443" w:rsidP="00B941E5">
            <w:pPr>
              <w:pStyle w:val="CETBodytext"/>
              <w:jc w:val="center"/>
              <w:rPr>
                <w:lang w:val="en-GB"/>
              </w:rPr>
            </w:pPr>
            <w:r>
              <w:rPr>
                <w:lang w:val="en-GB"/>
              </w:rPr>
              <w:t>[s]</w:t>
            </w:r>
          </w:p>
        </w:tc>
        <w:tc>
          <w:tcPr>
            <w:tcW w:w="899" w:type="dxa"/>
            <w:tcBorders>
              <w:top w:val="single" w:sz="12" w:space="0" w:color="008000"/>
              <w:bottom w:val="single" w:sz="6" w:space="0" w:color="008000"/>
            </w:tcBorders>
            <w:shd w:val="clear" w:color="auto" w:fill="FFFFFF"/>
          </w:tcPr>
          <w:p w14:paraId="4B523D26" w14:textId="77777777" w:rsidR="00864443" w:rsidRDefault="00864443" w:rsidP="00B941E5">
            <w:pPr>
              <w:pStyle w:val="CETBodytext"/>
              <w:jc w:val="center"/>
              <w:rPr>
                <w:lang w:val="en-GB"/>
              </w:rPr>
            </w:pPr>
            <w:proofErr w:type="spellStart"/>
            <w:r>
              <w:rPr>
                <w:lang w:val="en-GB"/>
              </w:rPr>
              <w:t>t</w:t>
            </w:r>
            <w:r w:rsidRPr="00864443">
              <w:rPr>
                <w:vertAlign w:val="subscript"/>
                <w:lang w:val="en-GB"/>
              </w:rPr>
              <w:t>s</w:t>
            </w:r>
            <w:proofErr w:type="spellEnd"/>
          </w:p>
          <w:p w14:paraId="11395D8D" w14:textId="7016D0E5" w:rsidR="00864443" w:rsidRPr="00B57B36" w:rsidRDefault="00864443" w:rsidP="00B941E5">
            <w:pPr>
              <w:pStyle w:val="CETBodytext"/>
              <w:jc w:val="center"/>
              <w:rPr>
                <w:lang w:val="en-GB"/>
              </w:rPr>
            </w:pPr>
            <w:r>
              <w:rPr>
                <w:lang w:val="en-GB"/>
              </w:rPr>
              <w:t>[s]</w:t>
            </w:r>
          </w:p>
        </w:tc>
        <w:tc>
          <w:tcPr>
            <w:tcW w:w="899" w:type="dxa"/>
            <w:tcBorders>
              <w:top w:val="single" w:sz="12" w:space="0" w:color="008000"/>
              <w:bottom w:val="single" w:sz="6" w:space="0" w:color="008000"/>
            </w:tcBorders>
            <w:shd w:val="clear" w:color="auto" w:fill="FFFFFF"/>
          </w:tcPr>
          <w:p w14:paraId="60C6ABC9" w14:textId="12835025" w:rsidR="00864443" w:rsidRPr="00A0753F" w:rsidRDefault="00864443" w:rsidP="00B941E5">
            <w:pPr>
              <w:pStyle w:val="CETBodytext"/>
              <w:jc w:val="center"/>
              <w:rPr>
                <w:lang w:val="en-GB"/>
              </w:rPr>
            </w:pPr>
            <w:proofErr w:type="spellStart"/>
            <w:r>
              <w:rPr>
                <w:lang w:val="en-GB"/>
              </w:rPr>
              <w:t>t</w:t>
            </w:r>
            <w:r w:rsidRPr="00864443">
              <w:rPr>
                <w:vertAlign w:val="subscript"/>
                <w:lang w:val="en-GB"/>
              </w:rPr>
              <w:t>c</w:t>
            </w:r>
            <w:proofErr w:type="spellEnd"/>
          </w:p>
          <w:p w14:paraId="40B91563" w14:textId="5510F24C" w:rsidR="00864443" w:rsidRPr="00B57B36" w:rsidRDefault="00864443" w:rsidP="00B941E5">
            <w:pPr>
              <w:pStyle w:val="CETBodytext"/>
              <w:jc w:val="center"/>
              <w:rPr>
                <w:lang w:val="en-GB"/>
              </w:rPr>
            </w:pPr>
            <w:r w:rsidRPr="00A0753F">
              <w:rPr>
                <w:lang w:val="en-GB"/>
              </w:rPr>
              <w:t>[</w:t>
            </w:r>
            <w:r>
              <w:rPr>
                <w:lang w:val="en-GB"/>
              </w:rPr>
              <w:t>s</w:t>
            </w:r>
            <w:r w:rsidRPr="00A0753F">
              <w:rPr>
                <w:lang w:val="en-GB"/>
              </w:rPr>
              <w:t>]</w:t>
            </w:r>
          </w:p>
        </w:tc>
        <w:tc>
          <w:tcPr>
            <w:tcW w:w="898" w:type="dxa"/>
            <w:tcBorders>
              <w:top w:val="single" w:sz="12" w:space="0" w:color="008000"/>
              <w:bottom w:val="single" w:sz="6" w:space="0" w:color="008000"/>
            </w:tcBorders>
            <w:shd w:val="clear" w:color="auto" w:fill="FFFFFF"/>
          </w:tcPr>
          <w:p w14:paraId="177648DD" w14:textId="5B12B5F0" w:rsidR="00864443" w:rsidRPr="00A0753F" w:rsidRDefault="00864443" w:rsidP="00B941E5">
            <w:pPr>
              <w:pStyle w:val="CETBodytext"/>
              <w:ind w:right="-1"/>
              <w:jc w:val="center"/>
              <w:rPr>
                <w:rFonts w:cs="Arial"/>
                <w:szCs w:val="18"/>
                <w:vertAlign w:val="subscript"/>
                <w:lang w:val="en-GB"/>
              </w:rPr>
            </w:pPr>
            <w:r>
              <w:rPr>
                <w:rFonts w:cs="Arial"/>
                <w:szCs w:val="18"/>
                <w:lang w:val="en-GB"/>
              </w:rPr>
              <w:t>m</w:t>
            </w:r>
            <w:r>
              <w:rPr>
                <w:rFonts w:cs="Arial"/>
                <w:szCs w:val="18"/>
                <w:vertAlign w:val="subscript"/>
                <w:lang w:val="en-GB"/>
              </w:rPr>
              <w:t>CO</w:t>
            </w:r>
            <w:r w:rsidRPr="00864443">
              <w:rPr>
                <w:rFonts w:cs="Arial"/>
                <w:szCs w:val="18"/>
                <w:vertAlign w:val="subscript"/>
                <w:lang w:val="en-GB"/>
              </w:rPr>
              <w:t>2</w:t>
            </w:r>
          </w:p>
          <w:p w14:paraId="2FD60E38" w14:textId="0C9DDEAE" w:rsidR="00864443" w:rsidRPr="00B57B36" w:rsidRDefault="00864443" w:rsidP="00B941E5">
            <w:pPr>
              <w:pStyle w:val="CETBodytext"/>
              <w:ind w:right="-1"/>
              <w:jc w:val="center"/>
              <w:rPr>
                <w:rFonts w:cs="Arial"/>
                <w:szCs w:val="18"/>
                <w:lang w:val="en-GB"/>
              </w:rPr>
            </w:pPr>
            <w:r w:rsidRPr="00A0753F">
              <w:rPr>
                <w:rFonts w:cs="Arial"/>
                <w:szCs w:val="18"/>
                <w:lang w:val="en-GB"/>
              </w:rPr>
              <w:t>[</w:t>
            </w:r>
            <w:r>
              <w:rPr>
                <w:rFonts w:cs="Arial"/>
                <w:szCs w:val="18"/>
                <w:lang w:val="en-GB"/>
              </w:rPr>
              <w:t>mg/g]</w:t>
            </w:r>
          </w:p>
        </w:tc>
        <w:tc>
          <w:tcPr>
            <w:tcW w:w="919" w:type="dxa"/>
            <w:tcBorders>
              <w:top w:val="single" w:sz="12" w:space="0" w:color="008000"/>
              <w:bottom w:val="single" w:sz="6" w:space="0" w:color="008000"/>
            </w:tcBorders>
            <w:shd w:val="clear" w:color="auto" w:fill="FFFFFF"/>
          </w:tcPr>
          <w:p w14:paraId="41EC3C35" w14:textId="4F7D78FD" w:rsidR="00864443" w:rsidRPr="00A0753F" w:rsidRDefault="00864443" w:rsidP="00B941E5">
            <w:pPr>
              <w:pStyle w:val="CETBodytext"/>
              <w:ind w:right="-1"/>
              <w:jc w:val="center"/>
              <w:rPr>
                <w:rFonts w:cs="Arial"/>
                <w:szCs w:val="18"/>
                <w:lang w:val="en-GB"/>
              </w:rPr>
            </w:pPr>
            <w:r>
              <w:rPr>
                <w:rFonts w:cs="Arial"/>
                <w:szCs w:val="18"/>
                <w:lang w:val="en-GB"/>
              </w:rPr>
              <w:t>W</w:t>
            </w:r>
          </w:p>
          <w:p w14:paraId="1ECE8A22" w14:textId="1B314932" w:rsidR="00864443" w:rsidRPr="00B57B36" w:rsidRDefault="00864443" w:rsidP="00B941E5">
            <w:pPr>
              <w:pStyle w:val="CETBodytext"/>
              <w:ind w:right="-1"/>
              <w:jc w:val="center"/>
              <w:rPr>
                <w:rFonts w:cs="Arial"/>
                <w:szCs w:val="18"/>
                <w:lang w:val="en-GB"/>
              </w:rPr>
            </w:pPr>
            <w:r w:rsidRPr="00A0753F">
              <w:rPr>
                <w:rFonts w:cs="Arial"/>
                <w:szCs w:val="18"/>
                <w:lang w:val="en-GB"/>
              </w:rPr>
              <w:t>[</w:t>
            </w:r>
            <w:r>
              <w:rPr>
                <w:rFonts w:cs="Arial"/>
                <w:szCs w:val="18"/>
                <w:lang w:val="en-GB"/>
              </w:rPr>
              <w:t>%</w:t>
            </w:r>
            <w:r w:rsidRPr="00A0753F">
              <w:rPr>
                <w:rFonts w:cs="Arial"/>
                <w:szCs w:val="18"/>
                <w:lang w:val="en-GB"/>
              </w:rPr>
              <w:t>]</w:t>
            </w:r>
          </w:p>
        </w:tc>
      </w:tr>
      <w:tr w:rsidR="00864443" w:rsidRPr="00B57B36" w14:paraId="4D8E6685" w14:textId="77777777" w:rsidTr="004039BC">
        <w:tc>
          <w:tcPr>
            <w:tcW w:w="927" w:type="dxa"/>
            <w:shd w:val="clear" w:color="auto" w:fill="FFFFFF"/>
          </w:tcPr>
          <w:p w14:paraId="6FF41B5F" w14:textId="4272FEBE" w:rsidR="00864443" w:rsidRPr="00B57B36" w:rsidRDefault="00315194" w:rsidP="00B941E5">
            <w:pPr>
              <w:pStyle w:val="CETBodytext"/>
              <w:jc w:val="center"/>
              <w:rPr>
                <w:lang w:val="en-GB"/>
              </w:rPr>
            </w:pPr>
            <w:r>
              <w:rPr>
                <w:lang w:val="en-GB"/>
              </w:rPr>
              <w:t>1</w:t>
            </w:r>
            <w:r w:rsidR="00961120">
              <w:rPr>
                <w:lang w:val="en-GB"/>
              </w:rPr>
              <w:t>2</w:t>
            </w:r>
            <w:r>
              <w:rPr>
                <w:lang w:val="en-GB"/>
              </w:rPr>
              <w:t>.0</w:t>
            </w:r>
          </w:p>
        </w:tc>
        <w:tc>
          <w:tcPr>
            <w:tcW w:w="899" w:type="dxa"/>
            <w:shd w:val="clear" w:color="auto" w:fill="FFFFFF"/>
          </w:tcPr>
          <w:p w14:paraId="02CAF05F" w14:textId="18243EBE" w:rsidR="00864443" w:rsidRPr="00B57B36" w:rsidRDefault="00315194" w:rsidP="00B941E5">
            <w:pPr>
              <w:pStyle w:val="CETBodytext"/>
              <w:jc w:val="center"/>
              <w:rPr>
                <w:lang w:val="en-GB"/>
              </w:rPr>
            </w:pPr>
            <w:r>
              <w:rPr>
                <w:lang w:val="en-GB"/>
              </w:rPr>
              <w:t>41.0</w:t>
            </w:r>
          </w:p>
        </w:tc>
        <w:tc>
          <w:tcPr>
            <w:tcW w:w="899" w:type="dxa"/>
            <w:shd w:val="clear" w:color="auto" w:fill="FFFFFF"/>
          </w:tcPr>
          <w:p w14:paraId="3E740C82" w14:textId="04494524" w:rsidR="00864443" w:rsidRPr="00B57B36" w:rsidRDefault="00315194" w:rsidP="00B941E5">
            <w:pPr>
              <w:pStyle w:val="CETBodytext"/>
              <w:jc w:val="center"/>
              <w:rPr>
                <w:lang w:val="en-GB"/>
              </w:rPr>
            </w:pPr>
            <w:r>
              <w:rPr>
                <w:lang w:val="en-GB"/>
              </w:rPr>
              <w:t>0.31</w:t>
            </w:r>
          </w:p>
        </w:tc>
        <w:tc>
          <w:tcPr>
            <w:tcW w:w="898" w:type="dxa"/>
            <w:shd w:val="clear" w:color="auto" w:fill="FFFFFF"/>
          </w:tcPr>
          <w:p w14:paraId="0510A037" w14:textId="64933DC0" w:rsidR="00864443" w:rsidRPr="00B57B36" w:rsidRDefault="00315194" w:rsidP="00B941E5">
            <w:pPr>
              <w:pStyle w:val="CETBodytext"/>
              <w:ind w:right="-1"/>
              <w:jc w:val="center"/>
              <w:rPr>
                <w:rFonts w:cs="Arial"/>
                <w:szCs w:val="18"/>
                <w:lang w:val="en-GB"/>
              </w:rPr>
            </w:pPr>
            <w:r>
              <w:rPr>
                <w:rFonts w:cs="Arial"/>
                <w:szCs w:val="18"/>
                <w:lang w:val="en-GB"/>
              </w:rPr>
              <w:t>25.6</w:t>
            </w:r>
          </w:p>
        </w:tc>
        <w:tc>
          <w:tcPr>
            <w:tcW w:w="919" w:type="dxa"/>
            <w:shd w:val="clear" w:color="auto" w:fill="FFFFFF"/>
          </w:tcPr>
          <w:p w14:paraId="69DEFEF2" w14:textId="2B77A541" w:rsidR="00864443" w:rsidRPr="00B57B36" w:rsidRDefault="00315194" w:rsidP="00B941E5">
            <w:pPr>
              <w:pStyle w:val="CETBodytext"/>
              <w:ind w:right="-1"/>
              <w:jc w:val="center"/>
              <w:rPr>
                <w:rFonts w:cs="Arial"/>
                <w:szCs w:val="18"/>
                <w:lang w:val="en-GB"/>
              </w:rPr>
            </w:pPr>
            <w:r>
              <w:rPr>
                <w:rFonts w:cs="Arial"/>
                <w:szCs w:val="18"/>
                <w:lang w:val="en-GB"/>
              </w:rPr>
              <w:t>51.2</w:t>
            </w:r>
          </w:p>
        </w:tc>
      </w:tr>
    </w:tbl>
    <w:p w14:paraId="351C3CA8" w14:textId="77777777" w:rsidR="00B941E5" w:rsidRDefault="00B941E5" w:rsidP="00B941E5">
      <w:pPr>
        <w:pStyle w:val="CETBodytext"/>
      </w:pPr>
    </w:p>
    <w:p w14:paraId="01891332" w14:textId="0ABC138F" w:rsidR="00E8629D" w:rsidRDefault="00B941E5" w:rsidP="00B941E5">
      <w:pPr>
        <w:pStyle w:val="CETBodytext"/>
      </w:pPr>
      <w:r>
        <w:t>The adsorption capacity was defined as the amount of CO</w:t>
      </w:r>
      <w:r w:rsidRPr="002F534C">
        <w:rPr>
          <w:vertAlign w:val="subscript"/>
        </w:rPr>
        <w:t>2</w:t>
      </w:r>
      <w:r>
        <w:t xml:space="preserve"> adsorbed per unit mass of adsorbent (m</w:t>
      </w:r>
      <w:r>
        <w:rPr>
          <w:vertAlign w:val="subscript"/>
        </w:rPr>
        <w:t>CO2</w:t>
      </w:r>
      <w:r>
        <w:t xml:space="preserve">), and it represents a </w:t>
      </w:r>
      <w:r w:rsidR="00EF299E">
        <w:t>suitable</w:t>
      </w:r>
      <w:r>
        <w:t xml:space="preserve"> parameter for the comparison among different adsorbent materials.</w:t>
      </w:r>
      <w:r w:rsidR="00D654DB">
        <w:t xml:space="preserve"> </w:t>
      </w:r>
      <w:r w:rsidR="007F3107" w:rsidRPr="007F3107">
        <w:rPr>
          <w:lang w:val="en-GB"/>
        </w:rPr>
        <w:t>The results obtained in this study are consistent with those from previous research on similar sorbents, which report values in the range of 20 to 40 mg/g (Leal et al., 1995; Wei et al., 2013; Zheng et al., 2005; Quang et al., 2016). The bed utilization fraction at the breakpoint, W (Eq. 6), was calculated as the ratio between the amount of CO</w:t>
      </w:r>
      <w:r w:rsidR="007F3107" w:rsidRPr="003C298A">
        <w:rPr>
          <w:vertAlign w:val="subscript"/>
          <w:lang w:val="en-GB"/>
        </w:rPr>
        <w:t xml:space="preserve">2 </w:t>
      </w:r>
      <w:r w:rsidR="007F3107" w:rsidRPr="007F3107">
        <w:rPr>
          <w:lang w:val="en-GB"/>
        </w:rPr>
        <w:t>adsorbed at the breakpoint and the total amount adsorbed at saturation. A detailed summary of all parameters can be found in Table 2.</w:t>
      </w:r>
    </w:p>
    <w:p w14:paraId="3969D453" w14:textId="77777777" w:rsidR="00CC1BF9" w:rsidRDefault="00CC1BF9" w:rsidP="00B941E5">
      <w:pPr>
        <w:pStyle w:val="CETBodytext"/>
      </w:pPr>
    </w:p>
    <w:p w14:paraId="75ED4538" w14:textId="52DBFED9" w:rsidR="00E8629D" w:rsidRDefault="00E8629D" w:rsidP="00024278">
      <w:pPr>
        <w:pStyle w:val="CETBodytext"/>
        <w:jc w:val="left"/>
      </w:pPr>
      <m:oMath>
        <m:r>
          <w:rPr>
            <w:rFonts w:ascii="Cambria Math" w:hAnsi="Cambria Math" w:cs="Arial"/>
            <w:szCs w:val="18"/>
          </w:rPr>
          <m:t>W=</m:t>
        </m:r>
        <m:f>
          <m:fPr>
            <m:type m:val="lin"/>
            <m:ctrlPr>
              <w:rPr>
                <w:rFonts w:ascii="Cambria Math" w:hAnsi="Cambria Math" w:cs="Arial"/>
                <w:i/>
                <w:szCs w:val="18"/>
              </w:rPr>
            </m:ctrlPr>
          </m:fPr>
          <m:num>
            <m:nary>
              <m:naryPr>
                <m:limLoc m:val="subSup"/>
                <m:ctrlPr>
                  <w:rPr>
                    <w:rFonts w:ascii="Cambria Math" w:hAnsi="Cambria Math" w:cs="Arial"/>
                    <w:i/>
                    <w:szCs w:val="18"/>
                  </w:rPr>
                </m:ctrlPr>
              </m:naryPr>
              <m:sub>
                <m:r>
                  <w:rPr>
                    <w:rFonts w:ascii="Cambria Math" w:hAnsi="Cambria Math" w:cs="Arial"/>
                    <w:szCs w:val="18"/>
                  </w:rPr>
                  <m:t>0</m:t>
                </m:r>
              </m:sub>
              <m:sup>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b</m:t>
                    </m:r>
                  </m:sub>
                </m:sSub>
              </m:sup>
              <m:e>
                <m:d>
                  <m:dPr>
                    <m:ctrlPr>
                      <w:rPr>
                        <w:rFonts w:ascii="Cambria Math" w:hAnsi="Cambria Math" w:cs="Arial"/>
                        <w:i/>
                        <w:szCs w:val="18"/>
                      </w:rPr>
                    </m:ctrlPr>
                  </m:dPr>
                  <m:e>
                    <m:r>
                      <w:rPr>
                        <w:rFonts w:ascii="Cambria Math" w:hAnsi="Cambria Math" w:cs="Arial"/>
                        <w:szCs w:val="18"/>
                      </w:rPr>
                      <m:t>1-</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x</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rPr>
                                  <m:t>2</m:t>
                                </m:r>
                              </m:sub>
                            </m:sSub>
                            <m:r>
                              <w:rPr>
                                <w:rFonts w:ascii="Cambria Math" w:hAnsi="Cambria Math" w:cs="Arial"/>
                                <w:szCs w:val="18"/>
                              </w:rPr>
                              <m:t>,out</m:t>
                            </m:r>
                          </m:sub>
                        </m:sSub>
                      </m:num>
                      <m:den>
                        <m:sSub>
                          <m:sSubPr>
                            <m:ctrlPr>
                              <w:rPr>
                                <w:rFonts w:ascii="Cambria Math" w:hAnsi="Cambria Math" w:cs="Arial"/>
                                <w:i/>
                                <w:szCs w:val="18"/>
                              </w:rPr>
                            </m:ctrlPr>
                          </m:sSubPr>
                          <m:e>
                            <m:r>
                              <w:rPr>
                                <w:rFonts w:ascii="Cambria Math" w:hAnsi="Cambria Math" w:cs="Arial"/>
                                <w:szCs w:val="18"/>
                              </w:rPr>
                              <m:t>x</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rPr>
                                  <m:t>2,</m:t>
                                </m:r>
                              </m:sub>
                            </m:sSub>
                            <m:r>
                              <w:rPr>
                                <w:rFonts w:ascii="Cambria Math" w:hAnsi="Cambria Math" w:cs="Arial"/>
                                <w:szCs w:val="18"/>
                              </w:rPr>
                              <m:t>in</m:t>
                            </m:r>
                          </m:sub>
                        </m:sSub>
                      </m:den>
                    </m:f>
                  </m:e>
                </m:d>
              </m:e>
            </m:nary>
            <m:r>
              <w:rPr>
                <w:rFonts w:ascii="Cambria Math" w:hAnsi="Cambria Math" w:cs="Arial"/>
                <w:szCs w:val="18"/>
              </w:rPr>
              <m:t>dt</m:t>
            </m:r>
          </m:num>
          <m:den>
            <m:nary>
              <m:naryPr>
                <m:limLoc m:val="subSup"/>
                <m:ctrlPr>
                  <w:rPr>
                    <w:rFonts w:ascii="Cambria Math" w:hAnsi="Cambria Math" w:cs="Arial"/>
                    <w:i/>
                    <w:szCs w:val="18"/>
                  </w:rPr>
                </m:ctrlPr>
              </m:naryPr>
              <m:sub>
                <m:r>
                  <w:rPr>
                    <w:rFonts w:ascii="Cambria Math" w:hAnsi="Cambria Math" w:cs="Arial"/>
                    <w:szCs w:val="18"/>
                  </w:rPr>
                  <m:t>0</m:t>
                </m:r>
              </m:sub>
              <m:sup>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s</m:t>
                    </m:r>
                  </m:sub>
                </m:sSub>
              </m:sup>
              <m:e>
                <m:d>
                  <m:dPr>
                    <m:ctrlPr>
                      <w:rPr>
                        <w:rFonts w:ascii="Cambria Math" w:hAnsi="Cambria Math" w:cs="Arial"/>
                        <w:i/>
                        <w:szCs w:val="18"/>
                      </w:rPr>
                    </m:ctrlPr>
                  </m:dPr>
                  <m:e>
                    <m:r>
                      <w:rPr>
                        <w:rFonts w:ascii="Cambria Math" w:hAnsi="Cambria Math" w:cs="Arial"/>
                        <w:szCs w:val="18"/>
                      </w:rPr>
                      <m:t>1-</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x</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rPr>
                                  <m:t>2</m:t>
                                </m:r>
                              </m:sub>
                            </m:sSub>
                            <m:r>
                              <w:rPr>
                                <w:rFonts w:ascii="Cambria Math" w:hAnsi="Cambria Math" w:cs="Arial"/>
                                <w:szCs w:val="18"/>
                              </w:rPr>
                              <m:t>,out</m:t>
                            </m:r>
                          </m:sub>
                        </m:sSub>
                      </m:num>
                      <m:den>
                        <m:sSub>
                          <m:sSubPr>
                            <m:ctrlPr>
                              <w:rPr>
                                <w:rFonts w:ascii="Cambria Math" w:hAnsi="Cambria Math" w:cs="Arial"/>
                                <w:i/>
                                <w:szCs w:val="18"/>
                              </w:rPr>
                            </m:ctrlPr>
                          </m:sSubPr>
                          <m:e>
                            <m:r>
                              <w:rPr>
                                <w:rFonts w:ascii="Cambria Math" w:hAnsi="Cambria Math" w:cs="Arial"/>
                                <w:szCs w:val="18"/>
                              </w:rPr>
                              <m:t>x</m:t>
                            </m:r>
                          </m:e>
                          <m:sub>
                            <m:sSub>
                              <m:sSubPr>
                                <m:ctrlPr>
                                  <w:rPr>
                                    <w:rFonts w:ascii="Cambria Math" w:hAnsi="Cambria Math" w:cs="Arial"/>
                                    <w:i/>
                                    <w:szCs w:val="18"/>
                                  </w:rPr>
                                </m:ctrlPr>
                              </m:sSubPr>
                              <m:e>
                                <m:r>
                                  <w:rPr>
                                    <w:rFonts w:ascii="Cambria Math" w:hAnsi="Cambria Math" w:cs="Arial"/>
                                    <w:szCs w:val="18"/>
                                  </w:rPr>
                                  <m:t>CO</m:t>
                                </m:r>
                              </m:e>
                              <m:sub>
                                <m:r>
                                  <w:rPr>
                                    <w:rFonts w:ascii="Cambria Math" w:hAnsi="Cambria Math" w:cs="Arial"/>
                                    <w:szCs w:val="18"/>
                                  </w:rPr>
                                  <m:t>2,</m:t>
                                </m:r>
                              </m:sub>
                            </m:sSub>
                            <m:r>
                              <w:rPr>
                                <w:rFonts w:ascii="Cambria Math" w:hAnsi="Cambria Math" w:cs="Arial"/>
                                <w:szCs w:val="18"/>
                              </w:rPr>
                              <m:t>in</m:t>
                            </m:r>
                          </m:sub>
                        </m:sSub>
                      </m:den>
                    </m:f>
                  </m:e>
                </m:d>
              </m:e>
            </m:nary>
            <m:r>
              <w:rPr>
                <w:rFonts w:ascii="Cambria Math" w:hAnsi="Cambria Math" w:cs="Arial"/>
                <w:szCs w:val="18"/>
              </w:rPr>
              <m:t>dt</m:t>
            </m:r>
          </m:den>
        </m:f>
      </m:oMath>
      <w:r w:rsidRPr="00024278">
        <w:t xml:space="preserve">                                                                                              </w:t>
      </w:r>
      <w:r w:rsidR="00CC1BF9">
        <w:t xml:space="preserve">     </w:t>
      </w:r>
      <w:r w:rsidRPr="00024278">
        <w:t xml:space="preserve"> (6)</w:t>
      </w:r>
    </w:p>
    <w:p w14:paraId="7190171E" w14:textId="77777777" w:rsidR="00CC1BF9" w:rsidRDefault="00CC1BF9" w:rsidP="00E8629D">
      <w:pPr>
        <w:pStyle w:val="CETBodytext"/>
      </w:pPr>
    </w:p>
    <w:p w14:paraId="5C500DC7" w14:textId="330F236B" w:rsidR="00BF0150" w:rsidRPr="00A0753F" w:rsidRDefault="00986D8E" w:rsidP="00BF0150">
      <w:pPr>
        <w:pStyle w:val="CETHeadingxx"/>
        <w:sectPr w:rsidR="00BF0150" w:rsidRPr="00A0753F" w:rsidSect="00BF0150">
          <w:type w:val="continuous"/>
          <w:pgSz w:w="11906" w:h="16838" w:code="9"/>
          <w:pgMar w:top="1701" w:right="1418" w:bottom="1701" w:left="1701" w:header="1701" w:footer="0" w:gutter="0"/>
          <w:cols w:space="708"/>
          <w:formProt w:val="0"/>
          <w:titlePg/>
          <w:docGrid w:linePitch="360"/>
        </w:sectPr>
      </w:pPr>
      <w:r>
        <w:t xml:space="preserve">3.2 </w:t>
      </w:r>
      <w:r w:rsidR="00BF0150">
        <w:t>Desorption Tests for Amino-functionalized Silica</w:t>
      </w:r>
    </w:p>
    <w:p w14:paraId="145CCE7D" w14:textId="03B7CAEE" w:rsidR="004C202E" w:rsidRDefault="00986D8E" w:rsidP="004C202E">
      <w:pPr>
        <w:pStyle w:val="CETBodytext"/>
      </w:pPr>
      <w:r>
        <w:t>After each</w:t>
      </w:r>
      <w:r w:rsidR="002758A5">
        <w:t xml:space="preserve"> adsorption </w:t>
      </w:r>
      <w:r w:rsidR="005B26A5">
        <w:t>stage</w:t>
      </w:r>
      <w:r w:rsidR="002758A5">
        <w:t xml:space="preserve">, </w:t>
      </w:r>
      <w:r>
        <w:t xml:space="preserve">a </w:t>
      </w:r>
      <w:r w:rsidR="002758A5">
        <w:t>desorption</w:t>
      </w:r>
      <w:r w:rsidR="004C202E">
        <w:t xml:space="preserve"> test o</w:t>
      </w:r>
      <w:r>
        <w:t>f</w:t>
      </w:r>
      <w:r w:rsidR="004C202E">
        <w:t xml:space="preserve"> amino-functionali</w:t>
      </w:r>
      <w:r w:rsidR="002758A5">
        <w:t>z</w:t>
      </w:r>
      <w:r w:rsidR="004C202E">
        <w:t xml:space="preserve">ed silica </w:t>
      </w:r>
      <w:r w:rsidR="002758A5">
        <w:t>ad</w:t>
      </w:r>
      <w:r w:rsidR="004C202E">
        <w:t xml:space="preserve">sorbent </w:t>
      </w:r>
      <w:r>
        <w:t>was</w:t>
      </w:r>
      <w:r w:rsidR="004C202E">
        <w:t xml:space="preserve"> carried out within the same experimental apparatus</w:t>
      </w:r>
      <w:r w:rsidR="0041669F">
        <w:t>, avoiding the transport of the solid to a second column</w:t>
      </w:r>
      <w:r w:rsidR="000A0298">
        <w:t>. Sorbent regeneration</w:t>
      </w:r>
      <w:r w:rsidR="004C202E">
        <w:t xml:space="preserve"> was </w:t>
      </w:r>
      <w:r>
        <w:t>operate</w:t>
      </w:r>
      <w:r w:rsidR="00566272">
        <w:t>d</w:t>
      </w:r>
      <w:r w:rsidR="004C202E">
        <w:t xml:space="preserve"> by </w:t>
      </w:r>
      <w:r w:rsidR="002758A5">
        <w:t>TSA</w:t>
      </w:r>
      <w:r w:rsidR="004C202E">
        <w:t>, varying the temperature of the bed by means of the indirect heating system</w:t>
      </w:r>
      <w:r w:rsidR="0041669F">
        <w:t xml:space="preserve"> placed externally to the column</w:t>
      </w:r>
      <w:r w:rsidR="00794755">
        <w:t>.</w:t>
      </w:r>
      <w:r w:rsidR="004C202E">
        <w:t xml:space="preserve"> </w:t>
      </w:r>
      <w:r w:rsidR="000A0298">
        <w:t>T</w:t>
      </w:r>
      <w:r w:rsidR="004C202E">
        <w:t xml:space="preserve">he regeneration temperature </w:t>
      </w:r>
      <w:r w:rsidR="003B2CDE">
        <w:t>(</w:t>
      </w:r>
      <w:proofErr w:type="spellStart"/>
      <w:r w:rsidR="003B2CDE">
        <w:t>T</w:t>
      </w:r>
      <w:r w:rsidR="003B2CDE" w:rsidRPr="003B2CDE">
        <w:rPr>
          <w:vertAlign w:val="subscript"/>
        </w:rPr>
        <w:t>des</w:t>
      </w:r>
      <w:proofErr w:type="spellEnd"/>
      <w:r w:rsidR="003B2CDE">
        <w:t>)</w:t>
      </w:r>
      <w:r>
        <w:t xml:space="preserve"> </w:t>
      </w:r>
      <w:r w:rsidR="004C202E">
        <w:t>was set at 120°C</w:t>
      </w:r>
      <w:r w:rsidR="00EF299E">
        <w:t>,</w:t>
      </w:r>
      <w:r w:rsidR="003B2CDE">
        <w:t xml:space="preserve"> </w:t>
      </w:r>
      <w:r w:rsidR="00EF299E">
        <w:t xml:space="preserve">such </w:t>
      </w:r>
      <w:r>
        <w:t>as the</w:t>
      </w:r>
      <w:r w:rsidR="004C202E">
        <w:t xml:space="preserve"> thermogravimetric analysis </w:t>
      </w:r>
      <w:r>
        <w:t>carried out on the sorbent sample has indicated</w:t>
      </w:r>
      <w:r w:rsidR="001129F5">
        <w:t xml:space="preserve">, </w:t>
      </w:r>
      <w:r>
        <w:t>due to</w:t>
      </w:r>
      <w:r w:rsidR="001129F5">
        <w:t xml:space="preserve"> </w:t>
      </w:r>
      <w:r>
        <w:t>the</w:t>
      </w:r>
      <w:r w:rsidR="001129F5">
        <w:t xml:space="preserve"> mass loss</w:t>
      </w:r>
      <w:r w:rsidR="007E36A3">
        <w:t xml:space="preserve"> </w:t>
      </w:r>
      <w:r>
        <w:t>reve</w:t>
      </w:r>
      <w:r w:rsidR="005D463E">
        <w:t>a</w:t>
      </w:r>
      <w:r>
        <w:t>ling</w:t>
      </w:r>
      <w:r w:rsidR="007E36A3">
        <w:t xml:space="preserve"> the release of the adsorbed species on the solid surface in the range from room temperature and 150 °C. </w:t>
      </w:r>
      <w:r w:rsidR="005B26A5">
        <w:t xml:space="preserve">During this stage, thermal control was essential to </w:t>
      </w:r>
      <w:r>
        <w:t xml:space="preserve">avoid thermal overshoot and </w:t>
      </w:r>
      <w:r w:rsidR="00EF299E">
        <w:t xml:space="preserve">to </w:t>
      </w:r>
      <w:r w:rsidR="005B26A5">
        <w:t>ensure the stability of the adsorbent.</w:t>
      </w:r>
      <w:r w:rsidR="00972CE5">
        <w:t xml:space="preserve"> Air was used as carrier gas to completely remove the </w:t>
      </w:r>
      <w:r w:rsidR="008544FB">
        <w:t>CO</w:t>
      </w:r>
      <w:r w:rsidR="008544FB" w:rsidRPr="008544FB">
        <w:rPr>
          <w:vertAlign w:val="subscript"/>
        </w:rPr>
        <w:t>2</w:t>
      </w:r>
      <w:r w:rsidR="008544FB">
        <w:t xml:space="preserve"> from the </w:t>
      </w:r>
      <w:r>
        <w:t>b</w:t>
      </w:r>
      <w:r w:rsidR="008544FB">
        <w:t>ed</w:t>
      </w:r>
      <w:r>
        <w:t>.</w:t>
      </w:r>
      <w:r w:rsidR="002643B6">
        <w:t xml:space="preserve"> </w:t>
      </w:r>
      <w:r>
        <w:t>T</w:t>
      </w:r>
      <w:r w:rsidR="00564580">
        <w:t xml:space="preserve">he study of the release phenomenon </w:t>
      </w:r>
      <w:r w:rsidR="007F1C98">
        <w:t>involved</w:t>
      </w:r>
      <w:r>
        <w:t xml:space="preserve"> </w:t>
      </w:r>
      <w:r w:rsidR="007F1C98">
        <w:t xml:space="preserve">the </w:t>
      </w:r>
      <w:r>
        <w:t>detect</w:t>
      </w:r>
      <w:r w:rsidR="007F1C98">
        <w:t>ing</w:t>
      </w:r>
      <w:r>
        <w:t xml:space="preserve"> </w:t>
      </w:r>
      <w:r w:rsidR="007F1C98">
        <w:t xml:space="preserve">of </w:t>
      </w:r>
      <w:r w:rsidR="007F1C98" w:rsidRPr="00986D8E">
        <w:t>outlet</w:t>
      </w:r>
      <w:r w:rsidR="007F1C98">
        <w:t xml:space="preserve"> </w:t>
      </w:r>
      <w:r w:rsidR="00564580">
        <w:t>CO</w:t>
      </w:r>
      <w:r w:rsidR="00564580" w:rsidRPr="00564580">
        <w:rPr>
          <w:vertAlign w:val="subscript"/>
        </w:rPr>
        <w:t>2</w:t>
      </w:r>
      <w:r w:rsidR="00564580">
        <w:t xml:space="preserve"> concentration </w:t>
      </w:r>
      <w:r w:rsidRPr="00986D8E">
        <w:t>versus time</w:t>
      </w:r>
      <w:r w:rsidR="00564580">
        <w:t xml:space="preserve">. Thus, </w:t>
      </w:r>
      <w:r w:rsidR="002A6663">
        <w:t xml:space="preserve">the effectiveness of the external heating system was tested, which is important to enable </w:t>
      </w:r>
      <w:r w:rsidR="004169F9">
        <w:t>the performance of both adsorption and desorption stages within the same column, minimizing the dead times between the two processes.</w:t>
      </w:r>
    </w:p>
    <w:p w14:paraId="5C79064A" w14:textId="465CC057" w:rsidR="007C375F" w:rsidRDefault="007C375F" w:rsidP="004C202E">
      <w:pPr>
        <w:pStyle w:val="CETBodytext"/>
      </w:pPr>
      <w:r>
        <w:t xml:space="preserve">The surface velocity of the carrier was set </w:t>
      </w:r>
      <w:r w:rsidR="00986D8E">
        <w:t>to control</w:t>
      </w:r>
      <w:r>
        <w:t xml:space="preserve"> </w:t>
      </w:r>
      <w:r w:rsidR="00986D8E">
        <w:t>the</w:t>
      </w:r>
      <w:r>
        <w:t xml:space="preserve"> homogeneous expansion regime in the confined</w:t>
      </w:r>
      <w:r w:rsidR="007F1C98">
        <w:noBreakHyphen/>
      </w:r>
      <w:r>
        <w:t xml:space="preserve">fluidized bed configuration and </w:t>
      </w:r>
      <w:r w:rsidR="00986D8E">
        <w:t>the best</w:t>
      </w:r>
      <w:r>
        <w:t xml:space="preserve"> value was </w:t>
      </w:r>
      <w:r w:rsidR="00986D8E">
        <w:t xml:space="preserve">determined </w:t>
      </w:r>
      <w:r w:rsidR="007F1C98">
        <w:t xml:space="preserve">to be </w:t>
      </w:r>
      <w:r>
        <w:t>higher than the minimum fluidization velocity.</w:t>
      </w:r>
      <w:r w:rsidR="00F641B0">
        <w:t xml:space="preserve"> Compared to fixed bed configuration, the homogeneous expansion regime enhances the contact between the solid and gas phases, maximizing the mass and heat transfer. </w:t>
      </w:r>
      <w:r w:rsidR="00B35FEC">
        <w:t>On the other hand, high</w:t>
      </w:r>
      <w:r w:rsidR="00880A4A">
        <w:t xml:space="preserve"> </w:t>
      </w:r>
      <w:r w:rsidR="00B35FEC">
        <w:t>velocities</w:t>
      </w:r>
      <w:r w:rsidR="00986D8E">
        <w:t xml:space="preserve"> of the carrier</w:t>
      </w:r>
      <w:r w:rsidR="00B35FEC">
        <w:t xml:space="preserve">, </w:t>
      </w:r>
      <w:r w:rsidR="00986D8E">
        <w:t>slows down the achievement of desorption temperatures in the core of the bed for</w:t>
      </w:r>
      <w:r w:rsidR="00B35FEC">
        <w:t xml:space="preserve"> the sorbent regeneration. </w:t>
      </w:r>
      <w:r w:rsidR="00986D8E">
        <w:t>Thus</w:t>
      </w:r>
      <w:r w:rsidR="009B06F6">
        <w:t xml:space="preserve">, working </w:t>
      </w:r>
      <w:r w:rsidR="00986D8E">
        <w:t>just up to the</w:t>
      </w:r>
      <w:r w:rsidR="009B06F6">
        <w:t xml:space="preserve"> incipient fluidization balances the effects of heating</w:t>
      </w:r>
      <w:r w:rsidR="00C50021">
        <w:t xml:space="preserve"> and those related to an efficient removal of desorbed CO</w:t>
      </w:r>
      <w:r w:rsidR="00C50021" w:rsidRPr="00C50021">
        <w:rPr>
          <w:vertAlign w:val="subscript"/>
        </w:rPr>
        <w:t>2</w:t>
      </w:r>
      <w:r w:rsidR="00C50021">
        <w:t>.</w:t>
      </w:r>
    </w:p>
    <w:p w14:paraId="2F000CE9" w14:textId="6E11D911" w:rsidR="00057EDD" w:rsidRDefault="00D73877" w:rsidP="004C202E">
      <w:pPr>
        <w:pStyle w:val="CETBodytext"/>
      </w:pPr>
      <w:r>
        <w:t>T</w:t>
      </w:r>
      <w:r w:rsidRPr="00D73877">
        <w:t>he confined</w:t>
      </w:r>
      <w:r>
        <w:t>-fluidized</w:t>
      </w:r>
      <w:r w:rsidRPr="00D73877">
        <w:t xml:space="preserve"> bed configuration </w:t>
      </w:r>
      <w:r>
        <w:t xml:space="preserve">is </w:t>
      </w:r>
      <w:r w:rsidR="001455B9">
        <w:t xml:space="preserve">verified </w:t>
      </w:r>
      <w:r>
        <w:t>beneficial</w:t>
      </w:r>
      <w:r w:rsidRPr="00D73877">
        <w:t xml:space="preserve"> </w:t>
      </w:r>
      <w:r w:rsidR="001455B9" w:rsidRPr="00D73877">
        <w:t xml:space="preserve">also </w:t>
      </w:r>
      <w:r w:rsidRPr="00D73877">
        <w:t xml:space="preserve">for the desorption stage, </w:t>
      </w:r>
      <w:r w:rsidR="007F1C98">
        <w:t>since</w:t>
      </w:r>
      <w:r w:rsidRPr="00D73877">
        <w:t xml:space="preserve"> the presence of the </w:t>
      </w:r>
      <w:r>
        <w:t>packing</w:t>
      </w:r>
      <w:r w:rsidRPr="00D73877">
        <w:t xml:space="preserve"> </w:t>
      </w:r>
      <w:r>
        <w:t>material</w:t>
      </w:r>
      <w:r w:rsidRPr="00D73877">
        <w:t xml:space="preserve"> </w:t>
      </w:r>
      <w:r w:rsidR="001455B9">
        <w:t>help</w:t>
      </w:r>
      <w:r>
        <w:t>s</w:t>
      </w:r>
      <w:r w:rsidRPr="00D73877">
        <w:t xml:space="preserve"> </w:t>
      </w:r>
      <w:r>
        <w:t>the heat</w:t>
      </w:r>
      <w:r w:rsidRPr="00D73877">
        <w:t xml:space="preserve"> trans</w:t>
      </w:r>
      <w:r>
        <w:t>fer</w:t>
      </w:r>
      <w:r w:rsidR="001455B9">
        <w:t xml:space="preserve"> from the column walls to the core of the </w:t>
      </w:r>
      <w:r w:rsidR="007F1C98">
        <w:t>confin</w:t>
      </w:r>
      <w:r w:rsidR="001455B9">
        <w:t xml:space="preserve">ed bed, </w:t>
      </w:r>
      <w:r w:rsidR="007F1C98">
        <w:t>and</w:t>
      </w:r>
      <w:r w:rsidRPr="00D73877">
        <w:t xml:space="preserve"> the </w:t>
      </w:r>
      <w:r>
        <w:t>heat transfer</w:t>
      </w:r>
      <w:r w:rsidRPr="00D73877">
        <w:t xml:space="preserve"> to the fine solid</w:t>
      </w:r>
      <w:r w:rsidR="001455B9">
        <w:t xml:space="preserve"> adsorbent</w:t>
      </w:r>
      <w:r w:rsidRPr="00D73877">
        <w:t xml:space="preserve"> </w:t>
      </w:r>
      <w:r w:rsidR="001455B9">
        <w:t xml:space="preserve">is </w:t>
      </w:r>
      <w:r w:rsidR="007F1C98">
        <w:t xml:space="preserve">more </w:t>
      </w:r>
      <w:r w:rsidR="001455B9">
        <w:t xml:space="preserve">efficient </w:t>
      </w:r>
      <w:r w:rsidR="007F1C98">
        <w:t>due to</w:t>
      </w:r>
      <w:r w:rsidR="001455B9">
        <w:t xml:space="preserve"> the</w:t>
      </w:r>
      <w:r w:rsidRPr="00D73877">
        <w:t xml:space="preserve"> homogenous </w:t>
      </w:r>
      <w:r w:rsidR="001455B9">
        <w:t>fluidization without</w:t>
      </w:r>
      <w:r w:rsidRPr="00D73877">
        <w:t xml:space="preserve"> </w:t>
      </w:r>
      <w:r>
        <w:t xml:space="preserve">gas </w:t>
      </w:r>
      <w:r w:rsidRPr="00D73877">
        <w:t>bubbles.</w:t>
      </w:r>
    </w:p>
    <w:p w14:paraId="01916BF0" w14:textId="3DC140A3" w:rsidR="00EA79B9" w:rsidRDefault="00EA79B9" w:rsidP="004C202E">
      <w:pPr>
        <w:pStyle w:val="CETBodytext"/>
      </w:pPr>
      <w:r>
        <w:t xml:space="preserve">The desorption curve, defined as the </w:t>
      </w:r>
      <w:r w:rsidR="00057EDD">
        <w:t xml:space="preserve">ratio </w:t>
      </w:r>
      <w:r w:rsidR="00461356">
        <w:t xml:space="preserve">between </w:t>
      </w:r>
      <w:r w:rsidR="00601966">
        <w:t xml:space="preserve">the outlet </w:t>
      </w:r>
      <w:r>
        <w:t>CO</w:t>
      </w:r>
      <w:r w:rsidRPr="00EA79B9">
        <w:rPr>
          <w:vertAlign w:val="subscript"/>
        </w:rPr>
        <w:t>2</w:t>
      </w:r>
      <w:r>
        <w:t xml:space="preserve"> concentration of the carrier </w:t>
      </w:r>
      <w:r w:rsidR="00461356">
        <w:t xml:space="preserve">and its maximum value </w:t>
      </w:r>
      <w:r>
        <w:t>versus time, was</w:t>
      </w:r>
      <w:r w:rsidR="00F641B0">
        <w:t xml:space="preserve"> </w:t>
      </w:r>
      <w:r w:rsidR="00601966">
        <w:t>obtained and shown in the Figure 2.</w:t>
      </w:r>
    </w:p>
    <w:p w14:paraId="132DA192" w14:textId="4BCD80E5" w:rsidR="00112AFC" w:rsidRDefault="00BF0D2E" w:rsidP="004C202E">
      <w:pPr>
        <w:pStyle w:val="CETBodytext"/>
      </w:pPr>
      <w:r>
        <w:rPr>
          <w:noProof/>
        </w:rPr>
        <w:lastRenderedPageBreak/>
        <w:drawing>
          <wp:inline distT="0" distB="0" distL="0" distR="0" wp14:anchorId="25D6BF1D" wp14:editId="65B3752B">
            <wp:extent cx="4684088" cy="2353843"/>
            <wp:effectExtent l="0" t="0" r="2540" b="8890"/>
            <wp:docPr id="2062174320" name="Grafico 1">
              <a:extLst xmlns:a="http://schemas.openxmlformats.org/drawingml/2006/main">
                <a:ext uri="{FF2B5EF4-FFF2-40B4-BE49-F238E27FC236}">
                  <a16:creationId xmlns:a16="http://schemas.microsoft.com/office/drawing/2014/main" id="{C9775FA6-AA9C-469D-8CA4-76B2C98041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3A1768D" w14:textId="6E7E6D66" w:rsidR="00DC2CB7" w:rsidRDefault="00DC2CB7" w:rsidP="00024278">
      <w:pPr>
        <w:pStyle w:val="CETBodytext"/>
        <w:keepNext/>
        <w:jc w:val="left"/>
      </w:pPr>
    </w:p>
    <w:p w14:paraId="75A81007" w14:textId="41B6E028" w:rsidR="00057EDD" w:rsidRPr="00DC2CB7" w:rsidRDefault="00DC2CB7" w:rsidP="00DC2CB7">
      <w:pPr>
        <w:pStyle w:val="Didascalia"/>
        <w:jc w:val="left"/>
        <w:rPr>
          <w:b w:val="0"/>
          <w:bCs w:val="0"/>
          <w:i/>
          <w:iCs/>
          <w:color w:val="000000" w:themeColor="text1"/>
        </w:rPr>
      </w:pPr>
      <w:bookmarkStart w:id="6" w:name="_Hlk184737287"/>
      <w:r w:rsidRPr="00DC2CB7">
        <w:rPr>
          <w:b w:val="0"/>
          <w:bCs w:val="0"/>
          <w:i/>
          <w:iCs/>
          <w:color w:val="000000" w:themeColor="text1"/>
        </w:rPr>
        <w:t xml:space="preserve">Figure </w:t>
      </w:r>
      <w:r w:rsidRPr="00DC2CB7">
        <w:rPr>
          <w:b w:val="0"/>
          <w:bCs w:val="0"/>
          <w:i/>
          <w:iCs/>
          <w:color w:val="000000" w:themeColor="text1"/>
        </w:rPr>
        <w:fldChar w:fldCharType="begin"/>
      </w:r>
      <w:r w:rsidRPr="00DC2CB7">
        <w:rPr>
          <w:b w:val="0"/>
          <w:bCs w:val="0"/>
          <w:i/>
          <w:iCs/>
          <w:color w:val="000000" w:themeColor="text1"/>
        </w:rPr>
        <w:instrText xml:space="preserve"> SEQ Figure \* ARABIC </w:instrText>
      </w:r>
      <w:r w:rsidRPr="00DC2CB7">
        <w:rPr>
          <w:b w:val="0"/>
          <w:bCs w:val="0"/>
          <w:i/>
          <w:iCs/>
          <w:color w:val="000000" w:themeColor="text1"/>
        </w:rPr>
        <w:fldChar w:fldCharType="separate"/>
      </w:r>
      <w:r w:rsidR="00BB00AD">
        <w:rPr>
          <w:b w:val="0"/>
          <w:bCs w:val="0"/>
          <w:i/>
          <w:iCs/>
          <w:noProof/>
          <w:color w:val="000000" w:themeColor="text1"/>
        </w:rPr>
        <w:t>2</w:t>
      </w:r>
      <w:r w:rsidRPr="00DC2CB7">
        <w:rPr>
          <w:b w:val="0"/>
          <w:bCs w:val="0"/>
          <w:i/>
          <w:iCs/>
          <w:color w:val="000000" w:themeColor="text1"/>
        </w:rPr>
        <w:fldChar w:fldCharType="end"/>
      </w:r>
      <w:r w:rsidRPr="00DC2CB7">
        <w:rPr>
          <w:b w:val="0"/>
          <w:bCs w:val="0"/>
          <w:i/>
          <w:iCs/>
          <w:color w:val="000000" w:themeColor="text1"/>
        </w:rPr>
        <w:t xml:space="preserve">. Desorption curve </w:t>
      </w:r>
      <w:r w:rsidR="00601966">
        <w:rPr>
          <w:b w:val="0"/>
          <w:bCs w:val="0"/>
          <w:i/>
          <w:iCs/>
          <w:color w:val="000000" w:themeColor="text1"/>
        </w:rPr>
        <w:t>of</w:t>
      </w:r>
      <w:r w:rsidRPr="00DC2CB7">
        <w:rPr>
          <w:b w:val="0"/>
          <w:bCs w:val="0"/>
          <w:i/>
          <w:iCs/>
          <w:color w:val="000000" w:themeColor="text1"/>
        </w:rPr>
        <w:t xml:space="preserve"> APTES20 in homogeneous </w:t>
      </w:r>
      <w:r w:rsidR="00601966">
        <w:rPr>
          <w:b w:val="0"/>
          <w:bCs w:val="0"/>
          <w:i/>
          <w:iCs/>
          <w:color w:val="000000" w:themeColor="text1"/>
        </w:rPr>
        <w:t>fluidization</w:t>
      </w:r>
      <w:r w:rsidRPr="00DC2CB7">
        <w:rPr>
          <w:b w:val="0"/>
          <w:bCs w:val="0"/>
          <w:i/>
          <w:iCs/>
          <w:color w:val="000000" w:themeColor="text1"/>
        </w:rPr>
        <w:t xml:space="preserve"> regime with a</w:t>
      </w:r>
      <w:r w:rsidR="00601966">
        <w:rPr>
          <w:b w:val="0"/>
          <w:bCs w:val="0"/>
          <w:i/>
          <w:iCs/>
          <w:color w:val="000000" w:themeColor="text1"/>
        </w:rPr>
        <w:t>ir as carrier</w:t>
      </w:r>
      <w:r w:rsidRPr="00DC2CB7">
        <w:rPr>
          <w:b w:val="0"/>
          <w:bCs w:val="0"/>
          <w:i/>
          <w:iCs/>
          <w:color w:val="000000" w:themeColor="text1"/>
        </w:rPr>
        <w:t xml:space="preserve"> superficial </w:t>
      </w:r>
      <w:r w:rsidR="00601966">
        <w:rPr>
          <w:b w:val="0"/>
          <w:bCs w:val="0"/>
          <w:i/>
          <w:iCs/>
          <w:color w:val="000000" w:themeColor="text1"/>
        </w:rPr>
        <w:t>and T=120 °C.</w:t>
      </w:r>
      <w:r w:rsidRPr="00DC2CB7">
        <w:rPr>
          <w:b w:val="0"/>
          <w:bCs w:val="0"/>
          <w:i/>
          <w:iCs/>
          <w:color w:val="000000" w:themeColor="text1"/>
        </w:rPr>
        <w:t xml:space="preserve"> </w:t>
      </w:r>
    </w:p>
    <w:bookmarkEnd w:id="6"/>
    <w:p w14:paraId="7952369A" w14:textId="77777777" w:rsidR="00EA79B9" w:rsidRDefault="00EA79B9" w:rsidP="004C202E">
      <w:pPr>
        <w:pStyle w:val="CETBodytext"/>
        <w:rPr>
          <w:lang w:val="en-GB"/>
        </w:rPr>
      </w:pPr>
    </w:p>
    <w:p w14:paraId="0E4F111B" w14:textId="2DFF2E09" w:rsidR="001B3633" w:rsidRDefault="00146A46" w:rsidP="004C202E">
      <w:pPr>
        <w:pStyle w:val="CETBodytext"/>
        <w:rPr>
          <w:lang w:val="en-GB"/>
        </w:rPr>
      </w:pPr>
      <w:r>
        <w:rPr>
          <w:lang w:val="en-GB"/>
        </w:rPr>
        <w:t xml:space="preserve">During the </w:t>
      </w:r>
      <w:r w:rsidR="00601966">
        <w:rPr>
          <w:lang w:val="en-GB"/>
        </w:rPr>
        <w:t xml:space="preserve">desorption </w:t>
      </w:r>
      <w:r>
        <w:rPr>
          <w:lang w:val="en-GB"/>
        </w:rPr>
        <w:t xml:space="preserve">tests, the temperature was constantly measured in the particle bed, and </w:t>
      </w:r>
      <w:r w:rsidR="00601966">
        <w:rPr>
          <w:lang w:val="en-GB"/>
        </w:rPr>
        <w:t>the first CO</w:t>
      </w:r>
      <w:r w:rsidR="00601966" w:rsidRPr="00146A46">
        <w:rPr>
          <w:vertAlign w:val="subscript"/>
          <w:lang w:val="en-GB"/>
        </w:rPr>
        <w:t>2</w:t>
      </w:r>
      <w:r w:rsidR="00601966">
        <w:rPr>
          <w:lang w:val="en-GB"/>
        </w:rPr>
        <w:t xml:space="preserve"> release started when a bed temperature of 43 °C was reached</w:t>
      </w:r>
      <w:r w:rsidR="006A746D">
        <w:rPr>
          <w:lang w:val="en-GB"/>
        </w:rPr>
        <w:t>. From this point on, the CO</w:t>
      </w:r>
      <w:r w:rsidR="006A746D" w:rsidRPr="006A746D">
        <w:rPr>
          <w:vertAlign w:val="subscript"/>
          <w:lang w:val="en-GB"/>
        </w:rPr>
        <w:t>2</w:t>
      </w:r>
      <w:r w:rsidR="006A746D">
        <w:rPr>
          <w:lang w:val="en-GB"/>
        </w:rPr>
        <w:t xml:space="preserve"> concentration </w:t>
      </w:r>
      <w:r w:rsidR="007E03CB">
        <w:rPr>
          <w:lang w:val="en-GB"/>
        </w:rPr>
        <w:t xml:space="preserve">increased with the rise in temperature until a maximum value was reached, as can be observed from the desorption curve. </w:t>
      </w:r>
      <w:r w:rsidR="002A29A3">
        <w:rPr>
          <w:lang w:val="en-GB"/>
        </w:rPr>
        <w:t>By keeping the system at the set regeneration temperature, the adsorbent release</w:t>
      </w:r>
      <w:r w:rsidR="007F1C98">
        <w:rPr>
          <w:lang w:val="en-GB"/>
        </w:rPr>
        <w:t>d</w:t>
      </w:r>
      <w:r w:rsidR="002A29A3">
        <w:rPr>
          <w:lang w:val="en-GB"/>
        </w:rPr>
        <w:t xml:space="preserve"> all the </w:t>
      </w:r>
      <w:r w:rsidR="007F1C98">
        <w:rPr>
          <w:lang w:val="en-GB"/>
        </w:rPr>
        <w:t>CO</w:t>
      </w:r>
      <w:r w:rsidR="007F1C98" w:rsidRPr="007F1C98">
        <w:rPr>
          <w:vertAlign w:val="subscript"/>
          <w:lang w:val="en-GB"/>
        </w:rPr>
        <w:t>2</w:t>
      </w:r>
      <w:r w:rsidR="002A29A3">
        <w:rPr>
          <w:lang w:val="en-GB"/>
        </w:rPr>
        <w:t xml:space="preserve"> molecules retained on its surface and the </w:t>
      </w:r>
      <w:r w:rsidR="00AC27A6">
        <w:rPr>
          <w:lang w:val="en-GB"/>
        </w:rPr>
        <w:t xml:space="preserve">outlet </w:t>
      </w:r>
      <w:r w:rsidR="00940253">
        <w:rPr>
          <w:lang w:val="en-GB"/>
        </w:rPr>
        <w:t>CO</w:t>
      </w:r>
      <w:r w:rsidR="00940253" w:rsidRPr="00940253">
        <w:rPr>
          <w:vertAlign w:val="subscript"/>
          <w:lang w:val="en-GB"/>
        </w:rPr>
        <w:t>2</w:t>
      </w:r>
      <w:r w:rsidR="00940253">
        <w:rPr>
          <w:lang w:val="en-GB"/>
        </w:rPr>
        <w:t xml:space="preserve"> </w:t>
      </w:r>
      <w:r w:rsidR="002A29A3">
        <w:rPr>
          <w:lang w:val="en-GB"/>
        </w:rPr>
        <w:t xml:space="preserve">concentration </w:t>
      </w:r>
      <w:r w:rsidR="00AC27A6">
        <w:rPr>
          <w:lang w:val="en-GB"/>
        </w:rPr>
        <w:t>of</w:t>
      </w:r>
      <w:r w:rsidR="002A29A3">
        <w:rPr>
          <w:lang w:val="en-GB"/>
        </w:rPr>
        <w:t xml:space="preserve"> carrier </w:t>
      </w:r>
      <w:r w:rsidR="00940253">
        <w:rPr>
          <w:lang w:val="en-GB"/>
        </w:rPr>
        <w:t xml:space="preserve">started to decrease to zero. </w:t>
      </w:r>
    </w:p>
    <w:p w14:paraId="0686EB6D" w14:textId="77777777" w:rsidR="00AC27A6" w:rsidRDefault="00940253" w:rsidP="004C202E">
      <w:pPr>
        <w:pStyle w:val="CETBodytext"/>
        <w:rPr>
          <w:lang w:val="en-GB"/>
        </w:rPr>
      </w:pPr>
      <w:r>
        <w:rPr>
          <w:lang w:val="en-GB"/>
        </w:rPr>
        <w:t xml:space="preserve">The use of a carrier gas </w:t>
      </w:r>
      <w:r w:rsidR="00601966">
        <w:rPr>
          <w:lang w:val="en-GB"/>
        </w:rPr>
        <w:t>allowed</w:t>
      </w:r>
      <w:r>
        <w:rPr>
          <w:lang w:val="en-GB"/>
        </w:rPr>
        <w:t xml:space="preserve"> the tracking of the desorption phenomenon </w:t>
      </w:r>
      <w:r w:rsidR="00601966">
        <w:rPr>
          <w:lang w:val="en-GB"/>
        </w:rPr>
        <w:t>versus</w:t>
      </w:r>
      <w:r>
        <w:rPr>
          <w:lang w:val="en-GB"/>
        </w:rPr>
        <w:t xml:space="preserve"> time</w:t>
      </w:r>
      <w:r w:rsidR="00601966">
        <w:rPr>
          <w:lang w:val="en-GB"/>
        </w:rPr>
        <w:t>, because a variation of CO</w:t>
      </w:r>
      <w:r w:rsidR="00601966" w:rsidRPr="00601966">
        <w:rPr>
          <w:vertAlign w:val="subscript"/>
          <w:lang w:val="en-GB"/>
        </w:rPr>
        <w:t>2</w:t>
      </w:r>
      <w:r w:rsidR="00601966">
        <w:rPr>
          <w:lang w:val="en-GB"/>
        </w:rPr>
        <w:t xml:space="preserve"> concentration from the initial value</w:t>
      </w:r>
      <w:r w:rsidR="00AC27A6">
        <w:rPr>
          <w:lang w:val="en-GB"/>
        </w:rPr>
        <w:t>,</w:t>
      </w:r>
      <w:r w:rsidR="00601966">
        <w:rPr>
          <w:lang w:val="en-GB"/>
        </w:rPr>
        <w:t xml:space="preserve"> </w:t>
      </w:r>
      <w:r w:rsidR="00AC27A6">
        <w:rPr>
          <w:lang w:val="en-GB"/>
        </w:rPr>
        <w:t xml:space="preserve">equal to zero, </w:t>
      </w:r>
      <w:r w:rsidR="00601966">
        <w:rPr>
          <w:lang w:val="en-GB"/>
        </w:rPr>
        <w:t xml:space="preserve">was detected by gas </w:t>
      </w:r>
      <w:proofErr w:type="spellStart"/>
      <w:r w:rsidR="00601966">
        <w:rPr>
          <w:lang w:val="en-GB"/>
        </w:rPr>
        <w:t>analyzer</w:t>
      </w:r>
      <w:proofErr w:type="spellEnd"/>
      <w:r w:rsidR="00AC27A6">
        <w:rPr>
          <w:lang w:val="en-GB"/>
        </w:rPr>
        <w:t>.</w:t>
      </w:r>
    </w:p>
    <w:p w14:paraId="54E8B9C5" w14:textId="78DF51D0" w:rsidR="00940253" w:rsidRDefault="00AC27A6" w:rsidP="004C202E">
      <w:pPr>
        <w:pStyle w:val="CETBodytext"/>
        <w:rPr>
          <w:lang w:val="en-GB"/>
        </w:rPr>
      </w:pPr>
      <w:r>
        <w:rPr>
          <w:lang w:val="en-GB"/>
        </w:rPr>
        <w:t>T</w:t>
      </w:r>
      <w:r w:rsidR="00940253">
        <w:rPr>
          <w:lang w:val="en-GB"/>
        </w:rPr>
        <w:t xml:space="preserve">hus, the effectiveness of the adopted indirect heating system was verified. </w:t>
      </w:r>
      <w:r w:rsidR="00601966">
        <w:rPr>
          <w:lang w:val="en-GB"/>
        </w:rPr>
        <w:t>Moreover</w:t>
      </w:r>
      <w:r w:rsidR="00940253">
        <w:rPr>
          <w:lang w:val="en-GB"/>
        </w:rPr>
        <w:t xml:space="preserve">, it </w:t>
      </w:r>
      <w:r w:rsidR="00601966">
        <w:rPr>
          <w:lang w:val="en-GB"/>
        </w:rPr>
        <w:t>made</w:t>
      </w:r>
      <w:r w:rsidR="00940253">
        <w:rPr>
          <w:lang w:val="en-GB"/>
        </w:rPr>
        <w:t xml:space="preserve"> detect</w:t>
      </w:r>
      <w:r w:rsidR="00601966">
        <w:rPr>
          <w:lang w:val="en-GB"/>
        </w:rPr>
        <w:t>ing</w:t>
      </w:r>
      <w:r w:rsidR="00940253">
        <w:rPr>
          <w:lang w:val="en-GB"/>
        </w:rPr>
        <w:t xml:space="preserve"> the time required to obtain a complete release of CO</w:t>
      </w:r>
      <w:r w:rsidR="00940253" w:rsidRPr="00940253">
        <w:rPr>
          <w:vertAlign w:val="subscript"/>
          <w:lang w:val="en-GB"/>
        </w:rPr>
        <w:t>2</w:t>
      </w:r>
      <w:r w:rsidR="00601966">
        <w:rPr>
          <w:lang w:val="en-GB"/>
        </w:rPr>
        <w:t xml:space="preserve"> and optimize the several operative parameters of desorption process</w:t>
      </w:r>
      <w:r w:rsidR="00940253">
        <w:rPr>
          <w:lang w:val="en-GB"/>
        </w:rPr>
        <w:t>.</w:t>
      </w:r>
    </w:p>
    <w:p w14:paraId="004B7779" w14:textId="08A2C253" w:rsidR="00A64874" w:rsidRDefault="00A64874" w:rsidP="004C202E">
      <w:pPr>
        <w:pStyle w:val="CETBodytext"/>
        <w:rPr>
          <w:lang w:val="en-GB"/>
        </w:rPr>
      </w:pPr>
      <w:r>
        <w:rPr>
          <w:lang w:val="en-GB"/>
        </w:rPr>
        <w:t xml:space="preserve">The </w:t>
      </w:r>
      <w:r w:rsidR="00601966">
        <w:rPr>
          <w:lang w:val="en-GB"/>
        </w:rPr>
        <w:t>PID</w:t>
      </w:r>
      <w:r>
        <w:rPr>
          <w:lang w:val="en-GB"/>
        </w:rPr>
        <w:t xml:space="preserve"> control system </w:t>
      </w:r>
      <w:r w:rsidR="00AC35B0">
        <w:rPr>
          <w:lang w:val="en-GB"/>
        </w:rPr>
        <w:t xml:space="preserve">was also efficient in keeping the </w:t>
      </w:r>
      <w:r w:rsidR="00601966">
        <w:rPr>
          <w:lang w:val="en-GB"/>
        </w:rPr>
        <w:t>temperature</w:t>
      </w:r>
      <w:r w:rsidR="00AC35B0">
        <w:rPr>
          <w:lang w:val="en-GB"/>
        </w:rPr>
        <w:t xml:space="preserve"> bed at the desired </w:t>
      </w:r>
      <w:r w:rsidR="008C5FA7">
        <w:rPr>
          <w:lang w:val="en-GB"/>
        </w:rPr>
        <w:t>set point</w:t>
      </w:r>
      <w:r w:rsidR="00601966">
        <w:rPr>
          <w:lang w:val="en-GB"/>
        </w:rPr>
        <w:t>, avoiding the thermal degradation of the adsorbent</w:t>
      </w:r>
      <w:r w:rsidR="00AC27A6">
        <w:rPr>
          <w:lang w:val="en-GB"/>
        </w:rPr>
        <w:t>, (see Table 3)</w:t>
      </w:r>
      <w:r w:rsidR="008C5FA7">
        <w:rPr>
          <w:lang w:val="en-GB"/>
        </w:rPr>
        <w:t xml:space="preserve">. </w:t>
      </w:r>
      <w:r w:rsidR="00601966">
        <w:rPr>
          <w:lang w:val="en-GB"/>
        </w:rPr>
        <w:t>In fact,</w:t>
      </w:r>
      <w:r w:rsidR="008C5FA7">
        <w:rPr>
          <w:lang w:val="en-GB"/>
        </w:rPr>
        <w:t xml:space="preserve"> </w:t>
      </w:r>
      <w:r w:rsidR="00940507">
        <w:rPr>
          <w:lang w:val="en-GB"/>
        </w:rPr>
        <w:t xml:space="preserve">Figure 3 shows how the adsorption capacity of the APTES20 after </w:t>
      </w:r>
      <w:r w:rsidR="008C5FA7">
        <w:rPr>
          <w:lang w:val="en-GB"/>
        </w:rPr>
        <w:t>numerous adsorption</w:t>
      </w:r>
      <w:r w:rsidR="00601966">
        <w:rPr>
          <w:lang w:val="en-GB"/>
        </w:rPr>
        <w:t>/</w:t>
      </w:r>
      <w:r w:rsidR="008C5FA7">
        <w:rPr>
          <w:lang w:val="en-GB"/>
        </w:rPr>
        <w:t xml:space="preserve">desorption cycles </w:t>
      </w:r>
      <w:r w:rsidR="001712EC">
        <w:rPr>
          <w:lang w:val="en-GB"/>
        </w:rPr>
        <w:t xml:space="preserve">(i.e. 68 cycles) </w:t>
      </w:r>
      <w:r w:rsidR="00940507">
        <w:rPr>
          <w:lang w:val="en-GB"/>
        </w:rPr>
        <w:t>was preserved</w:t>
      </w:r>
      <w:r w:rsidR="00010AFE">
        <w:rPr>
          <w:lang w:val="en-GB"/>
        </w:rPr>
        <w:t>.</w:t>
      </w:r>
    </w:p>
    <w:p w14:paraId="0637D008" w14:textId="79639BD8" w:rsidR="006D5546" w:rsidRPr="00B57B36" w:rsidRDefault="006D5546" w:rsidP="006D5546">
      <w:pPr>
        <w:pStyle w:val="CETTabletitle"/>
      </w:pPr>
      <w:r w:rsidRPr="00B57B36">
        <w:t xml:space="preserve">Table </w:t>
      </w:r>
      <w:r>
        <w:t>3</w:t>
      </w:r>
      <w:r w:rsidRPr="00B57B36">
        <w:t xml:space="preserve">: </w:t>
      </w:r>
      <w:r w:rsidR="00304206">
        <w:t>Characteristic parameters for desorption tests on</w:t>
      </w:r>
      <w:r>
        <w:t xml:space="preserve"> APTES20</w:t>
      </w:r>
      <w:r w:rsidR="00304206">
        <w:t xml:space="preserve"> </w:t>
      </w:r>
      <w:r w:rsidR="00601966">
        <w:t>with</w:t>
      </w:r>
      <w:r w:rsidR="00304206">
        <w:t xml:space="preserve"> a c</w:t>
      </w:r>
      <w:r>
        <w:t xml:space="preserve">arrier volumetric flow rate of 450 </w:t>
      </w:r>
      <w:proofErr w:type="spellStart"/>
      <w:r>
        <w:t>Nl</w:t>
      </w:r>
      <w:proofErr w:type="spellEnd"/>
      <w:r>
        <w:t>/h and regeneration temperature of 120 °C.</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27"/>
        <w:gridCol w:w="899"/>
        <w:gridCol w:w="899"/>
      </w:tblGrid>
      <w:tr w:rsidR="006D5546" w:rsidRPr="00B57B36" w14:paraId="63DE9CED" w14:textId="77777777" w:rsidTr="007277B7">
        <w:tc>
          <w:tcPr>
            <w:tcW w:w="927" w:type="dxa"/>
            <w:tcBorders>
              <w:top w:val="single" w:sz="12" w:space="0" w:color="008000"/>
              <w:bottom w:val="single" w:sz="6" w:space="0" w:color="008000"/>
            </w:tcBorders>
            <w:shd w:val="clear" w:color="auto" w:fill="FFFFFF"/>
          </w:tcPr>
          <w:p w14:paraId="263480CD" w14:textId="555F3F16" w:rsidR="006D5546" w:rsidRPr="006D5546" w:rsidRDefault="006D5546" w:rsidP="00601966">
            <w:pPr>
              <w:pStyle w:val="CETBodytext"/>
              <w:jc w:val="center"/>
              <w:rPr>
                <w:vertAlign w:val="subscript"/>
                <w:lang w:val="en-GB"/>
              </w:rPr>
            </w:pPr>
            <w:r>
              <w:rPr>
                <w:lang w:val="en-GB"/>
              </w:rPr>
              <w:t>x</w:t>
            </w:r>
            <w:r w:rsidRPr="006D5546">
              <w:rPr>
                <w:vertAlign w:val="subscript"/>
                <w:lang w:val="en-GB"/>
              </w:rPr>
              <w:t>CO2,</w:t>
            </w:r>
            <w:r>
              <w:rPr>
                <w:vertAlign w:val="subscript"/>
                <w:lang w:val="en-GB"/>
              </w:rPr>
              <w:t xml:space="preserve"> </w:t>
            </w:r>
            <w:r w:rsidRPr="006D5546">
              <w:rPr>
                <w:vertAlign w:val="subscript"/>
                <w:lang w:val="en-GB"/>
              </w:rPr>
              <w:t>max</w:t>
            </w:r>
          </w:p>
          <w:p w14:paraId="473DED4C" w14:textId="2F5339D2" w:rsidR="006D5546" w:rsidRPr="00B57B36" w:rsidRDefault="006D5546" w:rsidP="00601966">
            <w:pPr>
              <w:pStyle w:val="CETBodytext"/>
              <w:jc w:val="center"/>
              <w:rPr>
                <w:lang w:val="en-GB"/>
              </w:rPr>
            </w:pPr>
            <w:r>
              <w:rPr>
                <w:lang w:val="en-GB"/>
              </w:rPr>
              <w:t>[%</w:t>
            </w:r>
            <w:r w:rsidR="007711E8">
              <w:rPr>
                <w:lang w:val="en-GB"/>
              </w:rPr>
              <w:t>vol</w:t>
            </w:r>
            <w:r>
              <w:rPr>
                <w:lang w:val="en-GB"/>
              </w:rPr>
              <w:t>]</w:t>
            </w:r>
          </w:p>
        </w:tc>
        <w:tc>
          <w:tcPr>
            <w:tcW w:w="899" w:type="dxa"/>
            <w:tcBorders>
              <w:top w:val="single" w:sz="12" w:space="0" w:color="008000"/>
              <w:bottom w:val="single" w:sz="6" w:space="0" w:color="008000"/>
            </w:tcBorders>
            <w:shd w:val="clear" w:color="auto" w:fill="FFFFFF"/>
          </w:tcPr>
          <w:p w14:paraId="2DC5589F" w14:textId="04F3B5A2" w:rsidR="006D5546" w:rsidRDefault="006D5546" w:rsidP="00601966">
            <w:pPr>
              <w:pStyle w:val="CETBodytext"/>
              <w:jc w:val="center"/>
              <w:rPr>
                <w:lang w:val="en-GB"/>
              </w:rPr>
            </w:pPr>
            <w:proofErr w:type="spellStart"/>
            <w:r>
              <w:rPr>
                <w:lang w:val="en-GB"/>
              </w:rPr>
              <w:t>T</w:t>
            </w:r>
            <w:r w:rsidRPr="006D5546">
              <w:rPr>
                <w:vertAlign w:val="subscript"/>
                <w:lang w:val="en-GB"/>
              </w:rPr>
              <w:t>max</w:t>
            </w:r>
            <w:proofErr w:type="spellEnd"/>
          </w:p>
          <w:p w14:paraId="06E5A7B4" w14:textId="5AD356A5" w:rsidR="006D5546" w:rsidRPr="00B57B36" w:rsidRDefault="006D5546" w:rsidP="00601966">
            <w:pPr>
              <w:pStyle w:val="CETBodytext"/>
              <w:jc w:val="center"/>
              <w:rPr>
                <w:lang w:val="en-GB"/>
              </w:rPr>
            </w:pPr>
            <w:r>
              <w:rPr>
                <w:lang w:val="en-GB"/>
              </w:rPr>
              <w:t>[°C]</w:t>
            </w:r>
          </w:p>
        </w:tc>
        <w:tc>
          <w:tcPr>
            <w:tcW w:w="899" w:type="dxa"/>
            <w:tcBorders>
              <w:top w:val="single" w:sz="12" w:space="0" w:color="008000"/>
              <w:bottom w:val="single" w:sz="6" w:space="0" w:color="008000"/>
            </w:tcBorders>
            <w:shd w:val="clear" w:color="auto" w:fill="FFFFFF"/>
          </w:tcPr>
          <w:p w14:paraId="335F52FF" w14:textId="7EA65B00" w:rsidR="006D5546" w:rsidRPr="00A0753F" w:rsidRDefault="007F719E" w:rsidP="00601966">
            <w:pPr>
              <w:pStyle w:val="CETBodytext"/>
              <w:jc w:val="center"/>
              <w:rPr>
                <w:lang w:val="en-GB"/>
              </w:rPr>
            </w:pPr>
            <w:proofErr w:type="spellStart"/>
            <w:r>
              <w:rPr>
                <w:lang w:val="en-GB"/>
              </w:rPr>
              <w:t>t</w:t>
            </w:r>
            <w:r w:rsidR="006D5546">
              <w:rPr>
                <w:vertAlign w:val="subscript"/>
                <w:lang w:val="en-GB"/>
              </w:rPr>
              <w:t>des</w:t>
            </w:r>
            <w:proofErr w:type="spellEnd"/>
          </w:p>
          <w:p w14:paraId="6AFFD9B9" w14:textId="01F663B1" w:rsidR="006D5546" w:rsidRPr="00B57B36" w:rsidRDefault="006D5546" w:rsidP="00601966">
            <w:pPr>
              <w:pStyle w:val="CETBodytext"/>
              <w:jc w:val="center"/>
              <w:rPr>
                <w:lang w:val="en-GB"/>
              </w:rPr>
            </w:pPr>
            <w:r w:rsidRPr="00A0753F">
              <w:rPr>
                <w:lang w:val="en-GB"/>
              </w:rPr>
              <w:t>[</w:t>
            </w:r>
            <w:r>
              <w:rPr>
                <w:lang w:val="en-GB"/>
              </w:rPr>
              <w:t>min</w:t>
            </w:r>
            <w:r w:rsidRPr="00A0753F">
              <w:rPr>
                <w:lang w:val="en-GB"/>
              </w:rPr>
              <w:t>]</w:t>
            </w:r>
          </w:p>
        </w:tc>
      </w:tr>
      <w:tr w:rsidR="006D5546" w:rsidRPr="00B57B36" w14:paraId="6C03DE1E" w14:textId="77777777" w:rsidTr="00EB57CC">
        <w:trPr>
          <w:trHeight w:val="384"/>
        </w:trPr>
        <w:tc>
          <w:tcPr>
            <w:tcW w:w="927" w:type="dxa"/>
            <w:shd w:val="clear" w:color="auto" w:fill="FFFFFF"/>
            <w:vAlign w:val="center"/>
          </w:tcPr>
          <w:p w14:paraId="6E370C8F" w14:textId="622E35D4" w:rsidR="006D5546" w:rsidRPr="00B57B36" w:rsidRDefault="006D5546" w:rsidP="00601966">
            <w:pPr>
              <w:pStyle w:val="CETBodytext"/>
              <w:jc w:val="center"/>
              <w:rPr>
                <w:lang w:val="en-GB"/>
              </w:rPr>
            </w:pPr>
            <w:r>
              <w:rPr>
                <w:lang w:val="en-GB"/>
              </w:rPr>
              <w:t>0.34</w:t>
            </w:r>
          </w:p>
        </w:tc>
        <w:tc>
          <w:tcPr>
            <w:tcW w:w="899" w:type="dxa"/>
            <w:shd w:val="clear" w:color="auto" w:fill="FFFFFF"/>
            <w:vAlign w:val="center"/>
          </w:tcPr>
          <w:p w14:paraId="50E9A955" w14:textId="18A51EB2" w:rsidR="006D5546" w:rsidRPr="00B57B36" w:rsidRDefault="006D5546" w:rsidP="00601966">
            <w:pPr>
              <w:pStyle w:val="CETBodytext"/>
              <w:jc w:val="center"/>
              <w:rPr>
                <w:lang w:val="en-GB"/>
              </w:rPr>
            </w:pPr>
            <w:r>
              <w:rPr>
                <w:lang w:val="en-GB"/>
              </w:rPr>
              <w:t>125</w:t>
            </w:r>
          </w:p>
        </w:tc>
        <w:tc>
          <w:tcPr>
            <w:tcW w:w="899" w:type="dxa"/>
            <w:shd w:val="clear" w:color="auto" w:fill="FFFFFF"/>
            <w:vAlign w:val="center"/>
          </w:tcPr>
          <w:p w14:paraId="2F120490" w14:textId="7D3AA479" w:rsidR="006D5546" w:rsidRPr="00B57B36" w:rsidRDefault="006D5546" w:rsidP="00601966">
            <w:pPr>
              <w:pStyle w:val="CETBodytext"/>
              <w:jc w:val="center"/>
              <w:rPr>
                <w:lang w:val="en-GB"/>
              </w:rPr>
            </w:pPr>
            <w:r>
              <w:rPr>
                <w:lang w:val="en-GB"/>
              </w:rPr>
              <w:t>25</w:t>
            </w:r>
          </w:p>
        </w:tc>
      </w:tr>
    </w:tbl>
    <w:p w14:paraId="0EAAB6F4" w14:textId="77777777" w:rsidR="005D463E" w:rsidRDefault="005D463E" w:rsidP="005D463E">
      <w:pPr>
        <w:pStyle w:val="CETBodytext"/>
      </w:pPr>
    </w:p>
    <w:p w14:paraId="159124D3" w14:textId="07691FB8" w:rsidR="005D463E" w:rsidRPr="00205AE8" w:rsidRDefault="005D463E" w:rsidP="005D463E">
      <w:pPr>
        <w:pStyle w:val="CETBodytext"/>
      </w:pPr>
      <w:r w:rsidRPr="001712EC">
        <w:rPr>
          <w:noProof/>
        </w:rPr>
        <w:drawing>
          <wp:inline distT="0" distB="0" distL="0" distR="0" wp14:anchorId="01DAE66A" wp14:editId="6C7DFC40">
            <wp:extent cx="4312285" cy="2277151"/>
            <wp:effectExtent l="0" t="0" r="0" b="8890"/>
            <wp:docPr id="1632390695" name="Grafico 1">
              <a:extLst xmlns:a="http://schemas.openxmlformats.org/drawingml/2006/main">
                <a:ext uri="{FF2B5EF4-FFF2-40B4-BE49-F238E27FC236}">
                  <a16:creationId xmlns:a16="http://schemas.microsoft.com/office/drawing/2014/main" id="{86C3DE02-AAE6-DFE1-9DFB-94FAB1E8E8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3E6CA5" w14:textId="77777777" w:rsidR="005D463E" w:rsidRPr="00DC2CB7" w:rsidRDefault="005D463E" w:rsidP="005D463E">
      <w:pPr>
        <w:pStyle w:val="Didascalia"/>
        <w:jc w:val="left"/>
        <w:rPr>
          <w:b w:val="0"/>
          <w:bCs w:val="0"/>
          <w:i/>
          <w:iCs/>
          <w:color w:val="000000" w:themeColor="text1"/>
        </w:rPr>
      </w:pPr>
      <w:r w:rsidRPr="00DC2CB7">
        <w:rPr>
          <w:b w:val="0"/>
          <w:bCs w:val="0"/>
          <w:i/>
          <w:iCs/>
          <w:color w:val="000000" w:themeColor="text1"/>
        </w:rPr>
        <w:t xml:space="preserve">Figure </w:t>
      </w:r>
      <w:r>
        <w:rPr>
          <w:b w:val="0"/>
          <w:bCs w:val="0"/>
          <w:i/>
          <w:iCs/>
          <w:color w:val="000000" w:themeColor="text1"/>
        </w:rPr>
        <w:t>3</w:t>
      </w:r>
      <w:r w:rsidRPr="00DC2CB7">
        <w:rPr>
          <w:b w:val="0"/>
          <w:bCs w:val="0"/>
          <w:i/>
          <w:iCs/>
          <w:color w:val="000000" w:themeColor="text1"/>
        </w:rPr>
        <w:t xml:space="preserve">. </w:t>
      </w:r>
      <w:r>
        <w:rPr>
          <w:b w:val="0"/>
          <w:bCs w:val="0"/>
          <w:i/>
          <w:iCs/>
          <w:color w:val="000000" w:themeColor="text1"/>
        </w:rPr>
        <w:t>Stability</w:t>
      </w:r>
      <w:r w:rsidRPr="00DC2CB7">
        <w:rPr>
          <w:b w:val="0"/>
          <w:bCs w:val="0"/>
          <w:i/>
          <w:iCs/>
          <w:color w:val="000000" w:themeColor="text1"/>
        </w:rPr>
        <w:t xml:space="preserve"> curve </w:t>
      </w:r>
      <w:r>
        <w:rPr>
          <w:b w:val="0"/>
          <w:bCs w:val="0"/>
          <w:i/>
          <w:iCs/>
          <w:color w:val="000000" w:themeColor="text1"/>
        </w:rPr>
        <w:t>of</w:t>
      </w:r>
      <w:r w:rsidRPr="00DC2CB7">
        <w:rPr>
          <w:b w:val="0"/>
          <w:bCs w:val="0"/>
          <w:i/>
          <w:iCs/>
          <w:color w:val="000000" w:themeColor="text1"/>
        </w:rPr>
        <w:t xml:space="preserve"> APTES20 </w:t>
      </w:r>
      <w:r>
        <w:rPr>
          <w:b w:val="0"/>
          <w:bCs w:val="0"/>
          <w:i/>
          <w:iCs/>
          <w:color w:val="000000" w:themeColor="text1"/>
        </w:rPr>
        <w:t>versus adsorption/desorption cycles.</w:t>
      </w:r>
    </w:p>
    <w:p w14:paraId="5B4DF42E" w14:textId="3E2A1AE3" w:rsidR="00AC27A6" w:rsidRDefault="00AC27A6" w:rsidP="00AC27A6">
      <w:pPr>
        <w:pStyle w:val="CETHeading1"/>
      </w:pPr>
      <w:r>
        <w:lastRenderedPageBreak/>
        <w:t>Conclusions</w:t>
      </w:r>
    </w:p>
    <w:p w14:paraId="1D5ECF05" w14:textId="77777777" w:rsidR="00F73742" w:rsidRPr="00F73742" w:rsidRDefault="00AC27A6" w:rsidP="00F73742">
      <w:pPr>
        <w:pStyle w:val="CETBodytext"/>
      </w:pPr>
      <w:r>
        <w:t xml:space="preserve">The </w:t>
      </w:r>
      <w:r w:rsidRPr="00C608C9">
        <w:t>CCS</w:t>
      </w:r>
      <w:r>
        <w:t xml:space="preserve"> strategies </w:t>
      </w:r>
      <w:r w:rsidRPr="00C608C9">
        <w:t xml:space="preserve">based </w:t>
      </w:r>
      <w:r>
        <w:t>on a</w:t>
      </w:r>
      <w:r w:rsidRPr="00C608C9">
        <w:t>dsorption processes have two levels of in</w:t>
      </w:r>
      <w:r>
        <w:t>vestigation</w:t>
      </w:r>
      <w:r w:rsidRPr="00C608C9">
        <w:t xml:space="preserve">: the </w:t>
      </w:r>
      <w:r>
        <w:t xml:space="preserve">first concerning the </w:t>
      </w:r>
      <w:r w:rsidRPr="00C608C9">
        <w:t>choice of adsorbent material</w:t>
      </w:r>
      <w:r>
        <w:t>,</w:t>
      </w:r>
      <w:r w:rsidRPr="00C608C9">
        <w:t xml:space="preserve"> and the </w:t>
      </w:r>
      <w:r>
        <w:t xml:space="preserve">second relating the </w:t>
      </w:r>
      <w:r w:rsidRPr="00C608C9">
        <w:t xml:space="preserve">type of contactor to maximize the performance. The first objective </w:t>
      </w:r>
      <w:r>
        <w:t xml:space="preserve">here </w:t>
      </w:r>
      <w:r w:rsidRPr="00C608C9">
        <w:t xml:space="preserve">was oriented towards the choice of an amino-functionalized porous adsorbent with particulate characteristics suitable for </w:t>
      </w:r>
      <w:r>
        <w:t xml:space="preserve">its </w:t>
      </w:r>
      <w:r w:rsidRPr="00C608C9">
        <w:t>use in a confined</w:t>
      </w:r>
      <w:r>
        <w:t xml:space="preserve">-fluidized </w:t>
      </w:r>
      <w:r w:rsidRPr="00C608C9">
        <w:t xml:space="preserve">bed. </w:t>
      </w:r>
      <w:r w:rsidR="00F73742" w:rsidRPr="00F73742">
        <w:t>The second objective was investigated using a confined fluidized bed contactor designed to enhance heat and mass transfer. This setup proved effective for both the adsorption and regeneration phases, facilitated by the addition of external electrical resistances to the walls of the fluidization column.</w:t>
      </w:r>
    </w:p>
    <w:p w14:paraId="44C88903" w14:textId="752E5F1A" w:rsidR="00603745" w:rsidRPr="00280FAF" w:rsidRDefault="00603745" w:rsidP="00603745">
      <w:pPr>
        <w:pStyle w:val="CETHeadingxx"/>
        <w:rPr>
          <w:lang w:val="en-GB"/>
        </w:rPr>
        <w:sectPr w:rsidR="00603745" w:rsidRPr="00280FAF" w:rsidSect="00603745">
          <w:type w:val="continuous"/>
          <w:pgSz w:w="11906" w:h="16838" w:code="9"/>
          <w:pgMar w:top="1701" w:right="1418" w:bottom="1701" w:left="1701" w:header="1701" w:footer="0" w:gutter="0"/>
          <w:cols w:space="708"/>
          <w:formProt w:val="0"/>
          <w:titlePg/>
          <w:docGrid w:linePitch="360"/>
        </w:sectPr>
      </w:pPr>
      <w:r>
        <w:t>Nomenclature</w:t>
      </w:r>
    </w:p>
    <w:p w14:paraId="78FC09D3" w14:textId="77777777" w:rsidR="00603745" w:rsidRPr="00603745" w:rsidRDefault="00603745" w:rsidP="00603745">
      <w:pPr>
        <w:pStyle w:val="CETBodytext"/>
        <w:jc w:val="left"/>
        <w:rPr>
          <w:rFonts w:eastAsia="SimSun"/>
          <w:vertAlign w:val="superscript"/>
        </w:rPr>
      </w:pPr>
      <w:r>
        <w:rPr>
          <w:rFonts w:eastAsia="SimSun"/>
        </w:rPr>
        <w:t>A</w:t>
      </w:r>
      <w:r w:rsidRPr="00280FAF">
        <w:rPr>
          <w:rFonts w:eastAsia="SimSun"/>
        </w:rPr>
        <w:t xml:space="preserve"> – </w:t>
      </w:r>
      <w:r>
        <w:rPr>
          <w:rFonts w:eastAsia="SimSun"/>
        </w:rPr>
        <w:t>column section</w:t>
      </w:r>
      <w:r w:rsidRPr="00280FAF">
        <w:rPr>
          <w:rFonts w:eastAsia="SimSun"/>
        </w:rPr>
        <w:t xml:space="preserve">, </w:t>
      </w:r>
      <w:r>
        <w:rPr>
          <w:rFonts w:eastAsia="SimSun"/>
        </w:rPr>
        <w:t>c</w:t>
      </w:r>
      <w:r w:rsidRPr="00280FAF">
        <w:rPr>
          <w:rFonts w:eastAsia="SimSun"/>
        </w:rPr>
        <w:t>m</w:t>
      </w:r>
      <w:r w:rsidRPr="005D5CEF">
        <w:rPr>
          <w:rFonts w:eastAsia="SimSun"/>
          <w:vertAlign w:val="superscript"/>
        </w:rPr>
        <w:t>2</w:t>
      </w:r>
    </w:p>
    <w:p w14:paraId="2EF99CB8" w14:textId="77777777" w:rsidR="00603745" w:rsidRPr="00280FAF" w:rsidRDefault="00603745" w:rsidP="00603745">
      <w:pPr>
        <w:pStyle w:val="CETBodytext"/>
        <w:jc w:val="left"/>
        <w:rPr>
          <w:rFonts w:eastAsia="SimSun"/>
        </w:rPr>
        <w:sectPr w:rsidR="00603745" w:rsidRPr="00280FAF" w:rsidSect="00603745">
          <w:type w:val="continuous"/>
          <w:pgSz w:w="11906" w:h="16838" w:code="9"/>
          <w:pgMar w:top="1701" w:right="1418" w:bottom="1701" w:left="1701" w:header="1701" w:footer="0" w:gutter="0"/>
          <w:cols w:space="708"/>
          <w:formProt w:val="0"/>
          <w:titlePg/>
          <w:docGrid w:linePitch="360"/>
        </w:sectPr>
      </w:pPr>
    </w:p>
    <w:p w14:paraId="16CA652E" w14:textId="2CA4206C" w:rsidR="00EC3179" w:rsidRDefault="00EC3179" w:rsidP="00603745">
      <w:pPr>
        <w:pStyle w:val="CETBodytext"/>
        <w:jc w:val="left"/>
        <w:rPr>
          <w:rFonts w:eastAsia="SimSun"/>
        </w:rPr>
      </w:pPr>
      <w:r>
        <w:rPr>
          <w:rFonts w:eastAsia="SimSun"/>
        </w:rPr>
        <w:t>C/C</w:t>
      </w:r>
      <w:r w:rsidRPr="00EC3179">
        <w:rPr>
          <w:rFonts w:eastAsia="SimSun"/>
          <w:vertAlign w:val="subscript"/>
        </w:rPr>
        <w:t>0</w:t>
      </w:r>
      <w:r>
        <w:rPr>
          <w:rFonts w:eastAsia="SimSun"/>
        </w:rPr>
        <w:t xml:space="preserve"> – dimensionless CO</w:t>
      </w:r>
      <w:r w:rsidRPr="00EC3179">
        <w:rPr>
          <w:rFonts w:eastAsia="SimSun"/>
          <w:vertAlign w:val="subscript"/>
        </w:rPr>
        <w:t>2</w:t>
      </w:r>
      <w:r>
        <w:rPr>
          <w:rFonts w:eastAsia="SimSun"/>
        </w:rPr>
        <w:t xml:space="preserve"> fraction in outlet gas, -</w:t>
      </w:r>
    </w:p>
    <w:p w14:paraId="50938FFC" w14:textId="312A1666" w:rsidR="0089008C" w:rsidRDefault="0089008C" w:rsidP="00603745">
      <w:pPr>
        <w:pStyle w:val="CETBodytext"/>
        <w:jc w:val="left"/>
        <w:rPr>
          <w:rFonts w:eastAsia="SimSun"/>
        </w:rPr>
      </w:pPr>
      <w:proofErr w:type="spellStart"/>
      <w:r>
        <w:rPr>
          <w:rFonts w:eastAsia="SimSun"/>
        </w:rPr>
        <w:t>H</w:t>
      </w:r>
      <w:r w:rsidRPr="0089008C">
        <w:rPr>
          <w:rFonts w:eastAsia="SimSun"/>
          <w:vertAlign w:val="subscript"/>
        </w:rPr>
        <w:t>fc</w:t>
      </w:r>
      <w:proofErr w:type="spellEnd"/>
      <w:r>
        <w:rPr>
          <w:rFonts w:eastAsia="SimSun"/>
        </w:rPr>
        <w:t xml:space="preserve"> – sorbent height in confined bed, cm</w:t>
      </w:r>
    </w:p>
    <w:p w14:paraId="77F266DB" w14:textId="2960C517" w:rsidR="007E067E" w:rsidRDefault="002F534C" w:rsidP="00603745">
      <w:pPr>
        <w:pStyle w:val="CETBodytext"/>
        <w:jc w:val="left"/>
      </w:pPr>
      <w:r>
        <w:t>m</w:t>
      </w:r>
      <w:r>
        <w:rPr>
          <w:vertAlign w:val="subscript"/>
        </w:rPr>
        <w:t>CO2</w:t>
      </w:r>
      <w:r>
        <w:t xml:space="preserve"> – mass of CO</w:t>
      </w:r>
      <w:r w:rsidRPr="002F534C">
        <w:rPr>
          <w:vertAlign w:val="subscript"/>
        </w:rPr>
        <w:t>2</w:t>
      </w:r>
      <w:r>
        <w:t xml:space="preserve"> adsorbed per unit mass of sorbent, mg</w:t>
      </w:r>
      <w:r w:rsidRPr="002F534C">
        <w:rPr>
          <w:vertAlign w:val="subscript"/>
        </w:rPr>
        <w:t>CO2</w:t>
      </w:r>
      <w:r>
        <w:t>/</w:t>
      </w:r>
      <w:proofErr w:type="spellStart"/>
      <w:r>
        <w:t>g</w:t>
      </w:r>
      <w:r w:rsidRPr="002F534C">
        <w:rPr>
          <w:vertAlign w:val="subscript"/>
        </w:rPr>
        <w:t>sorbent</w:t>
      </w:r>
      <w:proofErr w:type="spellEnd"/>
    </w:p>
    <w:p w14:paraId="5F51953B" w14:textId="09DBE148" w:rsidR="00205AE8" w:rsidRPr="00205AE8" w:rsidRDefault="00205AE8" w:rsidP="00603745">
      <w:pPr>
        <w:pStyle w:val="CETBodytext"/>
        <w:jc w:val="left"/>
      </w:pPr>
      <w:r>
        <w:t>m – mass of adsorbed CO</w:t>
      </w:r>
      <w:r w:rsidRPr="00205AE8">
        <w:rPr>
          <w:vertAlign w:val="subscript"/>
        </w:rPr>
        <w:t>2</w:t>
      </w:r>
      <w:r>
        <w:t>, g</w:t>
      </w:r>
    </w:p>
    <w:p w14:paraId="3FABD2C6" w14:textId="3ACCD69A" w:rsidR="007E067E" w:rsidRPr="007E067E" w:rsidRDefault="007E067E" w:rsidP="00603745">
      <w:pPr>
        <w:pStyle w:val="CETBodytext"/>
        <w:jc w:val="left"/>
      </w:pPr>
      <w:r>
        <w:t>m</w:t>
      </w:r>
      <w:r w:rsidRPr="00B96503">
        <w:rPr>
          <w:vertAlign w:val="subscript"/>
        </w:rPr>
        <w:t>f</w:t>
      </w:r>
      <w:r>
        <w:t xml:space="preserve"> – mass of </w:t>
      </w:r>
      <w:r w:rsidR="00B96503">
        <w:t>sorbent, g</w:t>
      </w:r>
    </w:p>
    <w:p w14:paraId="7CBA241C" w14:textId="6E3F8A90" w:rsidR="00575C91" w:rsidRPr="00575C91" w:rsidRDefault="00575C91" w:rsidP="00603745">
      <w:pPr>
        <w:pStyle w:val="CETBodytext"/>
        <w:jc w:val="left"/>
      </w:pPr>
      <w:r>
        <w:t xml:space="preserve">MW – </w:t>
      </w:r>
      <w:r w:rsidRPr="00575C91">
        <w:rPr>
          <w:rFonts w:eastAsia="SimSun"/>
        </w:rPr>
        <w:t>CO</w:t>
      </w:r>
      <w:r w:rsidRPr="00575C91">
        <w:rPr>
          <w:rFonts w:eastAsia="SimSun"/>
          <w:vertAlign w:val="subscript"/>
        </w:rPr>
        <w:t>2</w:t>
      </w:r>
      <w:r>
        <w:rPr>
          <w:rFonts w:eastAsia="SimSun"/>
        </w:rPr>
        <w:t xml:space="preserve"> </w:t>
      </w:r>
      <w:r w:rsidRPr="00575C91">
        <w:t>molecular</w:t>
      </w:r>
      <w:r>
        <w:t xml:space="preserve"> weight, g/mol</w:t>
      </w:r>
    </w:p>
    <w:p w14:paraId="67A028C9" w14:textId="52273149" w:rsidR="00FB56DF" w:rsidRDefault="00FB56DF" w:rsidP="00603745">
      <w:pPr>
        <w:pStyle w:val="CETBodytext"/>
        <w:jc w:val="left"/>
        <w:rPr>
          <w:rFonts w:eastAsia="SimSun"/>
        </w:rPr>
      </w:pPr>
      <w:proofErr w:type="spellStart"/>
      <w:r>
        <w:rPr>
          <w:rFonts w:eastAsia="SimSun"/>
        </w:rPr>
        <w:t>Q</w:t>
      </w:r>
      <w:r>
        <w:rPr>
          <w:rFonts w:eastAsia="SimSun"/>
          <w:vertAlign w:val="subscript"/>
        </w:rPr>
        <w:t>air</w:t>
      </w:r>
      <w:proofErr w:type="spellEnd"/>
      <w:r>
        <w:rPr>
          <w:rFonts w:eastAsia="SimSun"/>
        </w:rPr>
        <w:t xml:space="preserve"> – volumetric flow rate of air, cm</w:t>
      </w:r>
      <w:r w:rsidRPr="00FB56DF">
        <w:rPr>
          <w:rFonts w:eastAsia="SimSun"/>
          <w:vertAlign w:val="superscript"/>
        </w:rPr>
        <w:t>3</w:t>
      </w:r>
      <w:r>
        <w:rPr>
          <w:rFonts w:eastAsia="SimSun"/>
        </w:rPr>
        <w:t>/s</w:t>
      </w:r>
    </w:p>
    <w:p w14:paraId="7BB89E8E" w14:textId="703C2095" w:rsidR="00FB56DF" w:rsidRDefault="00FB56DF" w:rsidP="00603745">
      <w:pPr>
        <w:pStyle w:val="CETBodytext"/>
        <w:jc w:val="left"/>
        <w:rPr>
          <w:rFonts w:eastAsia="SimSun"/>
        </w:rPr>
      </w:pPr>
      <w:r>
        <w:rPr>
          <w:rFonts w:eastAsia="SimSun"/>
        </w:rPr>
        <w:t>Q</w:t>
      </w:r>
      <w:r>
        <w:rPr>
          <w:rFonts w:eastAsia="SimSun"/>
          <w:vertAlign w:val="subscript"/>
        </w:rPr>
        <w:t>CO2</w:t>
      </w:r>
      <w:r>
        <w:rPr>
          <w:rFonts w:eastAsia="SimSun"/>
        </w:rPr>
        <w:t xml:space="preserve"> – volumetric flow rate of CO</w:t>
      </w:r>
      <w:r w:rsidRPr="00FB56DF">
        <w:rPr>
          <w:rFonts w:eastAsia="SimSun"/>
          <w:vertAlign w:val="subscript"/>
        </w:rPr>
        <w:t>2</w:t>
      </w:r>
      <w:r>
        <w:rPr>
          <w:rFonts w:eastAsia="SimSun"/>
        </w:rPr>
        <w:t>, cm</w:t>
      </w:r>
      <w:r w:rsidRPr="00FB56DF">
        <w:rPr>
          <w:rFonts w:eastAsia="SimSun"/>
          <w:vertAlign w:val="superscript"/>
        </w:rPr>
        <w:t>3</w:t>
      </w:r>
      <w:r>
        <w:rPr>
          <w:rFonts w:eastAsia="SimSun"/>
        </w:rPr>
        <w:t>/s</w:t>
      </w:r>
    </w:p>
    <w:p w14:paraId="64837F61" w14:textId="0C27C9EF" w:rsidR="00DA1CCA" w:rsidRPr="00DA1CCA" w:rsidRDefault="00DA1CCA" w:rsidP="00603745">
      <w:pPr>
        <w:pStyle w:val="CETBodytext"/>
        <w:jc w:val="left"/>
        <w:rPr>
          <w:rFonts w:eastAsia="SimSun"/>
        </w:rPr>
      </w:pPr>
      <w:proofErr w:type="spellStart"/>
      <w:r>
        <w:rPr>
          <w:rFonts w:eastAsia="SimSun"/>
        </w:rPr>
        <w:t>Q</w:t>
      </w:r>
      <w:r>
        <w:rPr>
          <w:rFonts w:eastAsia="SimSun"/>
          <w:vertAlign w:val="subscript"/>
        </w:rPr>
        <w:t>des</w:t>
      </w:r>
      <w:proofErr w:type="spellEnd"/>
      <w:r>
        <w:rPr>
          <w:rFonts w:eastAsia="SimSun"/>
        </w:rPr>
        <w:t xml:space="preserve"> – volumetric flow rate of the carrier, cm</w:t>
      </w:r>
      <w:r w:rsidRPr="00FB56DF">
        <w:rPr>
          <w:rFonts w:eastAsia="SimSun"/>
          <w:vertAlign w:val="superscript"/>
        </w:rPr>
        <w:t>3</w:t>
      </w:r>
      <w:r>
        <w:rPr>
          <w:rFonts w:eastAsia="SimSun"/>
        </w:rPr>
        <w:t>/s</w:t>
      </w:r>
      <w:r w:rsidR="00C45E68">
        <w:rPr>
          <w:rFonts w:eastAsia="SimSun"/>
        </w:rPr>
        <w:t xml:space="preserve"> </w:t>
      </w:r>
    </w:p>
    <w:p w14:paraId="1772FBAE" w14:textId="7F1EFE8B" w:rsidR="00FB56DF" w:rsidRDefault="00FB56DF" w:rsidP="00603745">
      <w:pPr>
        <w:pStyle w:val="CETBodytext"/>
        <w:jc w:val="left"/>
        <w:rPr>
          <w:rFonts w:eastAsia="SimSun"/>
        </w:rPr>
      </w:pPr>
      <w:proofErr w:type="spellStart"/>
      <w:r>
        <w:rPr>
          <w:rFonts w:eastAsia="SimSun"/>
        </w:rPr>
        <w:t>Q</w:t>
      </w:r>
      <w:r>
        <w:rPr>
          <w:rFonts w:eastAsia="SimSun"/>
          <w:vertAlign w:val="subscript"/>
        </w:rPr>
        <w:t>mix</w:t>
      </w:r>
      <w:proofErr w:type="spellEnd"/>
      <w:r>
        <w:rPr>
          <w:rFonts w:eastAsia="SimSun"/>
        </w:rPr>
        <w:t xml:space="preserve"> – volumetric flow rate of the mixture, cm</w:t>
      </w:r>
      <w:r w:rsidRPr="00FB56DF">
        <w:rPr>
          <w:rFonts w:eastAsia="SimSun"/>
          <w:vertAlign w:val="superscript"/>
        </w:rPr>
        <w:t>3</w:t>
      </w:r>
      <w:r>
        <w:rPr>
          <w:rFonts w:eastAsia="SimSun"/>
        </w:rPr>
        <w:t>/s</w:t>
      </w:r>
    </w:p>
    <w:p w14:paraId="2B963953" w14:textId="784FE6D6" w:rsidR="00C46AF7" w:rsidRPr="00D70280" w:rsidRDefault="00C46AF7" w:rsidP="00603745">
      <w:pPr>
        <w:pStyle w:val="CETBodytext"/>
        <w:jc w:val="left"/>
        <w:rPr>
          <w:rFonts w:eastAsia="SimSun"/>
          <w:lang w:val="pt-BR"/>
        </w:rPr>
      </w:pPr>
      <w:r w:rsidRPr="00D70280">
        <w:rPr>
          <w:rFonts w:eastAsia="SimSun"/>
          <w:lang w:val="pt-BR"/>
        </w:rPr>
        <w:t>R – gas constant, atm/(mol K)</w:t>
      </w:r>
    </w:p>
    <w:p w14:paraId="39A04042" w14:textId="4D9F906A" w:rsidR="00FB56DF" w:rsidRDefault="00FB56DF" w:rsidP="00603745">
      <w:pPr>
        <w:pStyle w:val="CETBodytext"/>
        <w:jc w:val="left"/>
        <w:rPr>
          <w:rFonts w:eastAsia="SimSun"/>
        </w:rPr>
      </w:pPr>
      <w:r>
        <w:rPr>
          <w:rFonts w:eastAsia="SimSun"/>
        </w:rPr>
        <w:t>t – time, s</w:t>
      </w:r>
    </w:p>
    <w:p w14:paraId="6712A8F9" w14:textId="338F2D52" w:rsidR="00603745" w:rsidRDefault="00603745" w:rsidP="00603745">
      <w:pPr>
        <w:pStyle w:val="CETBodytext"/>
        <w:jc w:val="left"/>
        <w:rPr>
          <w:rFonts w:eastAsia="SimSun"/>
        </w:rPr>
      </w:pPr>
      <w:r>
        <w:rPr>
          <w:rFonts w:eastAsia="SimSun"/>
        </w:rPr>
        <w:t>t</w:t>
      </w:r>
      <w:r w:rsidRPr="00280FAF">
        <w:rPr>
          <w:rFonts w:eastAsia="SimSun"/>
          <w:vertAlign w:val="subscript"/>
        </w:rPr>
        <w:t>b</w:t>
      </w:r>
      <w:r w:rsidRPr="00280FAF">
        <w:rPr>
          <w:rFonts w:eastAsia="SimSun"/>
        </w:rPr>
        <w:t xml:space="preserve"> – </w:t>
      </w:r>
      <w:r>
        <w:rPr>
          <w:rFonts w:eastAsia="SimSun"/>
        </w:rPr>
        <w:t>breakthrough time, s</w:t>
      </w:r>
    </w:p>
    <w:p w14:paraId="51E9342B" w14:textId="39A12DA0" w:rsidR="00603745" w:rsidRDefault="00603745" w:rsidP="00603745">
      <w:pPr>
        <w:pStyle w:val="CETBodytext"/>
        <w:jc w:val="left"/>
        <w:rPr>
          <w:rFonts w:eastAsia="SimSun"/>
        </w:rPr>
      </w:pPr>
      <w:proofErr w:type="spellStart"/>
      <w:r>
        <w:rPr>
          <w:rFonts w:eastAsia="SimSun"/>
        </w:rPr>
        <w:t>t</w:t>
      </w:r>
      <w:r>
        <w:rPr>
          <w:rFonts w:eastAsia="SimSun"/>
          <w:vertAlign w:val="subscript"/>
        </w:rPr>
        <w:t>c</w:t>
      </w:r>
      <w:proofErr w:type="spellEnd"/>
      <w:r w:rsidRPr="00280FAF">
        <w:rPr>
          <w:rFonts w:eastAsia="SimSun"/>
        </w:rPr>
        <w:t xml:space="preserve"> – </w:t>
      </w:r>
      <w:r>
        <w:rPr>
          <w:rFonts w:eastAsia="SimSun"/>
        </w:rPr>
        <w:t>contact time, s</w:t>
      </w:r>
    </w:p>
    <w:p w14:paraId="651DA350" w14:textId="4E90D9A1" w:rsidR="00FD18C4" w:rsidRPr="00280FAF" w:rsidRDefault="00FD18C4" w:rsidP="00603745">
      <w:pPr>
        <w:pStyle w:val="CETBodytext"/>
        <w:jc w:val="left"/>
        <w:rPr>
          <w:rFonts w:eastAsia="SimSun"/>
        </w:rPr>
      </w:pPr>
      <w:proofErr w:type="spellStart"/>
      <w:r>
        <w:rPr>
          <w:rFonts w:eastAsia="SimSun"/>
        </w:rPr>
        <w:t>t</w:t>
      </w:r>
      <w:r w:rsidRPr="00FD18C4">
        <w:rPr>
          <w:rFonts w:eastAsia="SimSun"/>
          <w:vertAlign w:val="subscript"/>
        </w:rPr>
        <w:t>des</w:t>
      </w:r>
      <w:proofErr w:type="spellEnd"/>
      <w:r>
        <w:rPr>
          <w:rFonts w:eastAsia="SimSun"/>
        </w:rPr>
        <w:t xml:space="preserve"> – desorption time, min</w:t>
      </w:r>
    </w:p>
    <w:p w14:paraId="7A833C0B" w14:textId="328FDA3D" w:rsidR="00603745" w:rsidRDefault="00603745" w:rsidP="00603745">
      <w:pPr>
        <w:pStyle w:val="CETBodytext"/>
        <w:jc w:val="left"/>
        <w:rPr>
          <w:rFonts w:eastAsia="SimSun"/>
        </w:rPr>
      </w:pPr>
      <w:proofErr w:type="spellStart"/>
      <w:r>
        <w:rPr>
          <w:rFonts w:eastAsia="SimSun"/>
        </w:rPr>
        <w:t>t</w:t>
      </w:r>
      <w:r>
        <w:rPr>
          <w:rFonts w:eastAsia="SimSun"/>
          <w:vertAlign w:val="subscript"/>
        </w:rPr>
        <w:t>s</w:t>
      </w:r>
      <w:proofErr w:type="spellEnd"/>
      <w:r w:rsidRPr="00280FAF">
        <w:rPr>
          <w:rFonts w:eastAsia="SimSun"/>
        </w:rPr>
        <w:t xml:space="preserve"> – </w:t>
      </w:r>
      <w:r>
        <w:rPr>
          <w:rFonts w:eastAsia="SimSun"/>
        </w:rPr>
        <w:t>saturation time, s</w:t>
      </w:r>
    </w:p>
    <w:p w14:paraId="17A37DD1" w14:textId="77777777" w:rsidR="00603745" w:rsidRDefault="00603745" w:rsidP="00603745">
      <w:pPr>
        <w:pStyle w:val="CETBodytext"/>
        <w:jc w:val="left"/>
        <w:rPr>
          <w:rFonts w:eastAsia="SimSun"/>
        </w:rPr>
      </w:pPr>
      <w:r>
        <w:rPr>
          <w:rFonts w:eastAsia="SimSun"/>
        </w:rPr>
        <w:t xml:space="preserve">u – superficial gas velocity, cm/s </w:t>
      </w:r>
    </w:p>
    <w:p w14:paraId="506BE5CE" w14:textId="211A625C" w:rsidR="00C46AF7" w:rsidRDefault="00AD6FE1" w:rsidP="00603745">
      <w:pPr>
        <w:pStyle w:val="CETBodytext"/>
        <w:jc w:val="left"/>
        <w:rPr>
          <w:rFonts w:eastAsia="SimSun"/>
        </w:rPr>
      </w:pPr>
      <w:proofErr w:type="spellStart"/>
      <w:r w:rsidRPr="00AD6FE1">
        <w:rPr>
          <w:rFonts w:eastAsia="SimSun"/>
        </w:rPr>
        <w:t>u</w:t>
      </w:r>
      <w:r w:rsidRPr="00AD6FE1">
        <w:rPr>
          <w:rFonts w:eastAsia="SimSun"/>
          <w:vertAlign w:val="subscript"/>
        </w:rPr>
        <w:t>mf</w:t>
      </w:r>
      <w:proofErr w:type="spellEnd"/>
      <w:r w:rsidRPr="00AD6FE1">
        <w:rPr>
          <w:rFonts w:eastAsia="SimSun"/>
        </w:rPr>
        <w:t xml:space="preserve"> – minimum fluid</w:t>
      </w:r>
      <w:r>
        <w:rPr>
          <w:rFonts w:eastAsia="SimSun"/>
        </w:rPr>
        <w:t>ization velocity, cm/s</w:t>
      </w:r>
    </w:p>
    <w:p w14:paraId="73C28CF5" w14:textId="4E168151" w:rsidR="00F85CD4" w:rsidRDefault="00AD6FE1" w:rsidP="00603745">
      <w:pPr>
        <w:pStyle w:val="CETBodytext"/>
        <w:jc w:val="left"/>
        <w:rPr>
          <w:rFonts w:eastAsia="SimSun"/>
        </w:rPr>
      </w:pPr>
      <w:proofErr w:type="spellStart"/>
      <w:r w:rsidRPr="00AD6FE1">
        <w:rPr>
          <w:rFonts w:eastAsia="SimSun"/>
        </w:rPr>
        <w:t>V</w:t>
      </w:r>
      <w:r w:rsidRPr="00AD6FE1">
        <w:rPr>
          <w:rFonts w:eastAsia="SimSun"/>
          <w:vertAlign w:val="subscript"/>
        </w:rPr>
        <w:t>open</w:t>
      </w:r>
      <w:proofErr w:type="spellEnd"/>
      <w:r w:rsidRPr="00AD6FE1">
        <w:rPr>
          <w:rFonts w:eastAsia="SimSun"/>
        </w:rPr>
        <w:t xml:space="preserve"> – volume available for t</w:t>
      </w:r>
      <w:r>
        <w:rPr>
          <w:rFonts w:eastAsia="SimSun"/>
        </w:rPr>
        <w:t>he gas, cm</w:t>
      </w:r>
      <w:r w:rsidRPr="00AD6FE1">
        <w:rPr>
          <w:rFonts w:eastAsia="SimSun"/>
          <w:vertAlign w:val="superscript"/>
        </w:rPr>
        <w:t>3</w:t>
      </w:r>
    </w:p>
    <w:p w14:paraId="35F4558C" w14:textId="073F7EC6" w:rsidR="00F85CD4" w:rsidRPr="00F85CD4" w:rsidRDefault="00F85CD4" w:rsidP="00603745">
      <w:pPr>
        <w:pStyle w:val="CETBodytext"/>
        <w:jc w:val="left"/>
        <w:rPr>
          <w:rFonts w:eastAsia="SimSun"/>
        </w:rPr>
      </w:pPr>
      <w:r w:rsidRPr="00F85CD4">
        <w:rPr>
          <w:rFonts w:eastAsia="SimSun"/>
        </w:rPr>
        <w:t xml:space="preserve">W </w:t>
      </w:r>
      <w:r>
        <w:rPr>
          <w:rFonts w:eastAsia="SimSun"/>
        </w:rPr>
        <w:t>–</w:t>
      </w:r>
      <w:r w:rsidRPr="00F85CD4">
        <w:rPr>
          <w:rFonts w:eastAsia="SimSun"/>
        </w:rPr>
        <w:t xml:space="preserve"> fract</w:t>
      </w:r>
      <w:r>
        <w:rPr>
          <w:rFonts w:eastAsia="SimSun"/>
        </w:rPr>
        <w:t>ion of bed used at the breakpoint, %</w:t>
      </w:r>
    </w:p>
    <w:p w14:paraId="6CC93750" w14:textId="1C040223" w:rsidR="00603745" w:rsidRDefault="0014377D" w:rsidP="00603745">
      <w:pPr>
        <w:pStyle w:val="CETBodytext"/>
        <w:jc w:val="left"/>
        <w:rPr>
          <w:rFonts w:eastAsia="SimSun"/>
        </w:rPr>
      </w:pPr>
      <w:r w:rsidRPr="0014377D">
        <w:rPr>
          <w:rFonts w:eastAsia="SimSun"/>
        </w:rPr>
        <w:t>x</w:t>
      </w:r>
      <w:r w:rsidRPr="0014377D">
        <w:rPr>
          <w:rFonts w:eastAsia="SimSun"/>
          <w:vertAlign w:val="subscript"/>
        </w:rPr>
        <w:t>CO2</w:t>
      </w:r>
      <w:r w:rsidRPr="0014377D">
        <w:rPr>
          <w:rFonts w:eastAsia="SimSun"/>
        </w:rPr>
        <w:t xml:space="preserve"> – CO</w:t>
      </w:r>
      <w:r w:rsidRPr="0014377D">
        <w:rPr>
          <w:rFonts w:eastAsia="SimSun"/>
          <w:vertAlign w:val="subscript"/>
        </w:rPr>
        <w:t>2</w:t>
      </w:r>
      <w:r w:rsidRPr="0014377D">
        <w:rPr>
          <w:rFonts w:eastAsia="SimSun"/>
        </w:rPr>
        <w:t xml:space="preserve"> fraction in</w:t>
      </w:r>
      <w:r>
        <w:rPr>
          <w:rFonts w:eastAsia="SimSun"/>
        </w:rPr>
        <w:t xml:space="preserve"> the inlet gas, %vol</w:t>
      </w:r>
    </w:p>
    <w:p w14:paraId="0A2E1305" w14:textId="078F6948" w:rsidR="007711E8" w:rsidRPr="007711E8" w:rsidRDefault="007711E8" w:rsidP="00603745">
      <w:pPr>
        <w:pStyle w:val="CETBodytext"/>
        <w:jc w:val="left"/>
        <w:rPr>
          <w:rFonts w:eastAsia="SimSun"/>
        </w:rPr>
      </w:pPr>
      <w:r w:rsidRPr="0014377D">
        <w:rPr>
          <w:rFonts w:eastAsia="SimSun"/>
        </w:rPr>
        <w:t>x</w:t>
      </w:r>
      <w:r w:rsidRPr="0014377D">
        <w:rPr>
          <w:rFonts w:eastAsia="SimSun"/>
          <w:vertAlign w:val="subscript"/>
        </w:rPr>
        <w:t>CO2</w:t>
      </w:r>
      <w:r>
        <w:rPr>
          <w:rFonts w:eastAsia="SimSun"/>
          <w:vertAlign w:val="subscript"/>
        </w:rPr>
        <w:t xml:space="preserve">, max </w:t>
      </w:r>
      <w:r>
        <w:rPr>
          <w:rFonts w:eastAsia="SimSun"/>
        </w:rPr>
        <w:t>– maximum desorbed CO</w:t>
      </w:r>
      <w:r w:rsidRPr="007711E8">
        <w:rPr>
          <w:rFonts w:eastAsia="SimSun"/>
          <w:vertAlign w:val="subscript"/>
        </w:rPr>
        <w:t>2</w:t>
      </w:r>
      <w:r>
        <w:rPr>
          <w:rFonts w:eastAsia="SimSun"/>
        </w:rPr>
        <w:t xml:space="preserve"> fraction, %vol </w:t>
      </w:r>
    </w:p>
    <w:p w14:paraId="0B2B28D5" w14:textId="5F20FF93" w:rsidR="00603745" w:rsidRDefault="00603745" w:rsidP="00603745">
      <w:pPr>
        <w:pStyle w:val="CETBodytext"/>
        <w:jc w:val="left"/>
        <w:rPr>
          <w:rFonts w:eastAsia="SimSun"/>
        </w:rPr>
      </w:pPr>
      <w:r w:rsidRPr="00280FAF">
        <w:rPr>
          <w:rFonts w:eastAsia="SimSun"/>
        </w:rPr>
        <w:t xml:space="preserve">T – </w:t>
      </w:r>
      <w:r w:rsidR="00C06641">
        <w:rPr>
          <w:rFonts w:eastAsia="SimSun"/>
        </w:rPr>
        <w:t xml:space="preserve">adsorption </w:t>
      </w:r>
      <w:r w:rsidR="00C46AF7">
        <w:rPr>
          <w:rFonts w:eastAsia="SimSun"/>
        </w:rPr>
        <w:t>temperature</w:t>
      </w:r>
      <w:r w:rsidRPr="00280FAF">
        <w:rPr>
          <w:rFonts w:eastAsia="SimSun"/>
        </w:rPr>
        <w:t xml:space="preserve">, </w:t>
      </w:r>
      <w:r w:rsidR="00C46AF7">
        <w:rPr>
          <w:rFonts w:eastAsia="SimSun"/>
        </w:rPr>
        <w:t>°C</w:t>
      </w:r>
    </w:p>
    <w:p w14:paraId="5623EE44" w14:textId="1D40941F" w:rsidR="00C06641" w:rsidRDefault="00C06641" w:rsidP="00603745">
      <w:pPr>
        <w:pStyle w:val="CETBodytext"/>
        <w:jc w:val="left"/>
        <w:rPr>
          <w:rFonts w:eastAsia="SimSun"/>
        </w:rPr>
      </w:pPr>
      <w:proofErr w:type="spellStart"/>
      <w:r w:rsidRPr="00280FAF">
        <w:rPr>
          <w:rFonts w:eastAsia="SimSun"/>
        </w:rPr>
        <w:t>T</w:t>
      </w:r>
      <w:r w:rsidRPr="008359A8">
        <w:rPr>
          <w:rFonts w:eastAsia="SimSun"/>
          <w:vertAlign w:val="subscript"/>
        </w:rPr>
        <w:t>des</w:t>
      </w:r>
      <w:proofErr w:type="spellEnd"/>
      <w:r w:rsidRPr="00280FAF">
        <w:rPr>
          <w:rFonts w:eastAsia="SimSun"/>
        </w:rPr>
        <w:t xml:space="preserve"> – </w:t>
      </w:r>
      <w:r>
        <w:rPr>
          <w:rFonts w:eastAsia="SimSun"/>
        </w:rPr>
        <w:t>desorption temperature, °C</w:t>
      </w:r>
    </w:p>
    <w:p w14:paraId="7D260914" w14:textId="1CC3E1E5" w:rsidR="00FD18C4" w:rsidRDefault="00FD18C4" w:rsidP="00603745">
      <w:pPr>
        <w:pStyle w:val="CETBodytext"/>
        <w:jc w:val="left"/>
        <w:rPr>
          <w:rFonts w:eastAsia="SimSun"/>
        </w:rPr>
      </w:pPr>
      <w:proofErr w:type="spellStart"/>
      <w:r>
        <w:rPr>
          <w:rFonts w:eastAsia="SimSun"/>
        </w:rPr>
        <w:t>T</w:t>
      </w:r>
      <w:r w:rsidRPr="00FD18C4">
        <w:rPr>
          <w:rFonts w:eastAsia="SimSun"/>
          <w:vertAlign w:val="subscript"/>
        </w:rPr>
        <w:t>max</w:t>
      </w:r>
      <w:proofErr w:type="spellEnd"/>
      <w:r>
        <w:rPr>
          <w:rFonts w:eastAsia="SimSun"/>
        </w:rPr>
        <w:t xml:space="preserve"> – maximum desorption temperature, °C</w:t>
      </w:r>
    </w:p>
    <w:p w14:paraId="78C78D7C" w14:textId="142CDC16" w:rsidR="006A42F9" w:rsidRPr="00280FAF" w:rsidRDefault="006A42F9" w:rsidP="00603745">
      <w:pPr>
        <w:pStyle w:val="CETBodytext"/>
        <w:jc w:val="left"/>
        <w:rPr>
          <w:rFonts w:eastAsia="SimSun"/>
        </w:rPr>
      </w:pPr>
      <w:proofErr w:type="spellStart"/>
      <w:r w:rsidRPr="006A42F9">
        <w:rPr>
          <w:rFonts w:eastAsia="SimSun" w:cs="Arial"/>
        </w:rPr>
        <w:t>ε</w:t>
      </w:r>
      <w:r w:rsidRPr="006A42F9">
        <w:rPr>
          <w:rFonts w:eastAsia="SimSun" w:cs="Arial"/>
          <w:vertAlign w:val="subscript"/>
        </w:rPr>
        <w:t>p</w:t>
      </w:r>
      <w:proofErr w:type="spellEnd"/>
      <w:r>
        <w:rPr>
          <w:rFonts w:eastAsia="SimSun"/>
        </w:rPr>
        <w:t xml:space="preserve"> – </w:t>
      </w:r>
      <w:proofErr w:type="spellStart"/>
      <w:r>
        <w:rPr>
          <w:rFonts w:eastAsia="SimSun"/>
        </w:rPr>
        <w:t>voidage</w:t>
      </w:r>
      <w:proofErr w:type="spellEnd"/>
      <w:r>
        <w:rPr>
          <w:rFonts w:eastAsia="SimSun"/>
        </w:rPr>
        <w:t xml:space="preserve"> of packing bed, -</w:t>
      </w:r>
    </w:p>
    <w:p w14:paraId="7A6ACD7C" w14:textId="77777777" w:rsidR="001B3633" w:rsidRDefault="00A23170" w:rsidP="00603745">
      <w:pPr>
        <w:pStyle w:val="CETBodytext"/>
        <w:jc w:val="left"/>
        <w:rPr>
          <w:rFonts w:eastAsia="SimSun" w:cs="Arial"/>
        </w:rPr>
      </w:pPr>
      <w:r w:rsidRPr="00A23170">
        <w:rPr>
          <w:rFonts w:eastAsia="SimSun" w:cs="Arial"/>
        </w:rPr>
        <w:t>π</w:t>
      </w:r>
      <w:r>
        <w:rPr>
          <w:rFonts w:eastAsia="SimSun" w:cs="Arial"/>
        </w:rPr>
        <w:t xml:space="preserve"> – </w:t>
      </w:r>
      <w:r w:rsidR="00C06641">
        <w:rPr>
          <w:rFonts w:eastAsia="SimSun" w:cs="Arial"/>
        </w:rPr>
        <w:t>adsorption pressure</w:t>
      </w:r>
      <w:r>
        <w:rPr>
          <w:rFonts w:eastAsia="SimSun" w:cs="Arial"/>
        </w:rPr>
        <w:t>, atm</w:t>
      </w:r>
    </w:p>
    <w:p w14:paraId="0BA35034" w14:textId="09FE5AB0" w:rsidR="00603745" w:rsidRPr="001B3633" w:rsidRDefault="007A3598" w:rsidP="00603745">
      <w:pPr>
        <w:pStyle w:val="CETBodytext"/>
        <w:jc w:val="left"/>
        <w:rPr>
          <w:rFonts w:eastAsia="SimSun" w:cs="Arial"/>
        </w:rPr>
      </w:pPr>
      <w:r w:rsidRPr="007A3598">
        <w:rPr>
          <w:rFonts w:eastAsia="SimSun" w:cs="Arial"/>
          <w:lang w:val="el-GR"/>
        </w:rPr>
        <w:t>ρ</w:t>
      </w:r>
      <w:r w:rsidR="00CF2EFE" w:rsidRPr="00CF2EFE">
        <w:rPr>
          <w:rFonts w:eastAsia="SimSun" w:cs="Arial"/>
          <w:vertAlign w:val="subscript"/>
        </w:rPr>
        <w:t>f</w:t>
      </w:r>
      <w:r w:rsidR="00603745" w:rsidRPr="00280FAF">
        <w:rPr>
          <w:rFonts w:eastAsia="SimSun"/>
          <w:lang w:val="el-GR"/>
        </w:rPr>
        <w:t xml:space="preserve"> </w:t>
      </w:r>
      <w:r>
        <w:rPr>
          <w:rFonts w:eastAsia="SimSun"/>
          <w:lang w:val="el-GR"/>
        </w:rPr>
        <w:t>–</w:t>
      </w:r>
      <w:r w:rsidR="00603745" w:rsidRPr="00280FAF">
        <w:rPr>
          <w:rFonts w:eastAsia="SimSun"/>
          <w:lang w:val="el-GR"/>
        </w:rPr>
        <w:t xml:space="preserve"> </w:t>
      </w:r>
      <w:r w:rsidRPr="007A3598">
        <w:rPr>
          <w:rFonts w:eastAsia="SimSun"/>
        </w:rPr>
        <w:t xml:space="preserve">particle </w:t>
      </w:r>
      <w:r>
        <w:rPr>
          <w:rFonts w:eastAsia="SimSun"/>
        </w:rPr>
        <w:t xml:space="preserve">density of </w:t>
      </w:r>
      <w:r w:rsidR="00B96503">
        <w:rPr>
          <w:rFonts w:eastAsia="SimSun"/>
        </w:rPr>
        <w:t>sorbent</w:t>
      </w:r>
      <w:r>
        <w:rPr>
          <w:rFonts w:eastAsia="SimSun"/>
        </w:rPr>
        <w:t>, kg/m</w:t>
      </w:r>
      <w:r w:rsidRPr="007A3598">
        <w:rPr>
          <w:rFonts w:eastAsia="SimSun"/>
          <w:vertAlign w:val="superscript"/>
        </w:rPr>
        <w:t>3</w:t>
      </w:r>
    </w:p>
    <w:p w14:paraId="65A4BF4E" w14:textId="242B02E2" w:rsidR="00603745" w:rsidRPr="00E377D0" w:rsidRDefault="007A3598" w:rsidP="00603745">
      <w:pPr>
        <w:pStyle w:val="CETBodytext"/>
        <w:jc w:val="left"/>
        <w:rPr>
          <w:rFonts w:eastAsia="SimSun"/>
        </w:rPr>
        <w:sectPr w:rsidR="00603745" w:rsidRPr="00E377D0" w:rsidSect="00603745">
          <w:type w:val="continuous"/>
          <w:pgSz w:w="11906" w:h="16838" w:code="9"/>
          <w:pgMar w:top="1701" w:right="1418" w:bottom="1701" w:left="1701" w:header="1701" w:footer="0" w:gutter="0"/>
          <w:cols w:num="2" w:space="708"/>
          <w:formProt w:val="0"/>
          <w:titlePg/>
          <w:docGrid w:linePitch="360"/>
        </w:sectPr>
      </w:pPr>
      <w:r w:rsidRPr="007A3598">
        <w:rPr>
          <w:rFonts w:eastAsia="SimSun" w:cs="Arial"/>
          <w:lang w:val="el-GR"/>
        </w:rPr>
        <w:t>φ</w:t>
      </w:r>
      <w:r w:rsidR="00603745" w:rsidRPr="00280FAF">
        <w:rPr>
          <w:rFonts w:eastAsia="SimSun"/>
          <w:lang w:val="el-GR"/>
        </w:rPr>
        <w:t xml:space="preserve"> – </w:t>
      </w:r>
      <w:r>
        <w:rPr>
          <w:rFonts w:eastAsia="SimSun"/>
        </w:rPr>
        <w:t>sphericity</w:t>
      </w:r>
      <w:r w:rsidR="00A23170">
        <w:rPr>
          <w:rFonts w:eastAsia="SimSun"/>
        </w:rPr>
        <w:t xml:space="preserve"> of solid particle</w:t>
      </w:r>
      <w:r>
        <w:rPr>
          <w:rFonts w:eastAsia="SimSun"/>
        </w:rPr>
        <w:t>, -</w:t>
      </w:r>
      <w:r w:rsidR="00603745" w:rsidRPr="00280FAF">
        <w:rPr>
          <w:rFonts w:eastAsia="SimSun"/>
        </w:rPr>
        <w:t xml:space="preserve"> </w:t>
      </w:r>
    </w:p>
    <w:p w14:paraId="4F1327F8" w14:textId="77777777" w:rsidR="00600535" w:rsidRPr="00B57B36" w:rsidRDefault="00600535" w:rsidP="00600535">
      <w:pPr>
        <w:pStyle w:val="CETReference"/>
      </w:pPr>
      <w:r w:rsidRPr="00B57B36">
        <w:t>References</w:t>
      </w:r>
    </w:p>
    <w:p w14:paraId="0C7FF4DE" w14:textId="61B14260" w:rsidR="00BB00AD" w:rsidRDefault="00BB00AD" w:rsidP="00BB00AD">
      <w:pPr>
        <w:pStyle w:val="CETReferencetext"/>
      </w:pPr>
      <w:r>
        <w:t>Abrahamsen, A.R</w:t>
      </w:r>
      <w:r w:rsidR="00D654DB">
        <w:t xml:space="preserve">., </w:t>
      </w:r>
      <w:r>
        <w:t xml:space="preserve">Geldart, D. Behaviour of gas-fluidized beds of fine powders, part I. </w:t>
      </w:r>
      <w:r w:rsidR="00D654DB">
        <w:t xml:space="preserve">1980, </w:t>
      </w:r>
      <w:r>
        <w:t>Homogeneous expansion. Powder Technol.</w:t>
      </w:r>
      <w:r w:rsidR="00D654DB">
        <w:t>,</w:t>
      </w:r>
      <w:r>
        <w:t xml:space="preserve"> 26, 35–46. </w:t>
      </w:r>
    </w:p>
    <w:p w14:paraId="106FF161" w14:textId="033C7C0B" w:rsidR="00D01561" w:rsidRDefault="00B839E0" w:rsidP="00BB00AD">
      <w:pPr>
        <w:pStyle w:val="CETReferencetext"/>
      </w:pPr>
      <w:r w:rsidRPr="00B839E0">
        <w:t>Energy Technology Perspectives 2024</w:t>
      </w:r>
      <w:r w:rsidR="00D01561">
        <w:t>; Available online: https://</w:t>
      </w:r>
      <w:r w:rsidRPr="00B839E0">
        <w:t xml:space="preserve"> https://www.iea.org/reports/energy-technology-perspectives-2024#overview</w:t>
      </w:r>
      <w:r w:rsidR="00D01561">
        <w:t>.</w:t>
      </w:r>
    </w:p>
    <w:p w14:paraId="0EC5C651" w14:textId="4F9CDBDB" w:rsidR="00C71559" w:rsidRDefault="00C71559" w:rsidP="00D01561">
      <w:pPr>
        <w:pStyle w:val="CETReferencetext"/>
      </w:pPr>
      <w:r>
        <w:t>Girimonte, R. and Vivacqua, V., 2011, The expansion process of particle beds fluidized in the voids of a packing of coarse spheres, Powder Technol., 213, 63–69.</w:t>
      </w:r>
    </w:p>
    <w:p w14:paraId="7F458B66" w14:textId="6C9AEEBD" w:rsidR="000E16E3" w:rsidRDefault="000E16E3" w:rsidP="000E16E3">
      <w:pPr>
        <w:pStyle w:val="CETReferencetext"/>
      </w:pPr>
      <w:r>
        <w:t>Girimonte, R.</w:t>
      </w:r>
      <w:r w:rsidR="00C71559">
        <w:t xml:space="preserve"> and</w:t>
      </w:r>
      <w:r>
        <w:t xml:space="preserve"> Vivacqua, V., 2013, Design criteria for homogeneous fluidization of Geldart’s class B solids upward through a packed bed, Powder Technol., 249, 316–322.</w:t>
      </w:r>
    </w:p>
    <w:p w14:paraId="133CCD46" w14:textId="44132DDF" w:rsidR="00C71559" w:rsidRDefault="00C71559" w:rsidP="00C71559">
      <w:pPr>
        <w:pStyle w:val="CETReferencetext"/>
      </w:pPr>
      <w:r>
        <w:t xml:space="preserve">Girimonte, R., Testa, F., Gallo, M., </w:t>
      </w:r>
      <w:proofErr w:type="spellStart"/>
      <w:r>
        <w:t>Buscieti</w:t>
      </w:r>
      <w:proofErr w:type="spellEnd"/>
      <w:r>
        <w:t xml:space="preserve">, R., Leone, G., </w:t>
      </w:r>
      <w:proofErr w:type="spellStart"/>
      <w:r>
        <w:t>Formisani</w:t>
      </w:r>
      <w:proofErr w:type="spellEnd"/>
      <w:r>
        <w:t>, B., 2020, Adsorption of CO</w:t>
      </w:r>
      <w:r w:rsidRPr="000E16E3">
        <w:rPr>
          <w:vertAlign w:val="subscript"/>
        </w:rPr>
        <w:t>2</w:t>
      </w:r>
      <w:r>
        <w:t xml:space="preserve"> on Amine-Modified Silica Particles in a Confined-Fluidized Bed, Processes, 8, 1531. </w:t>
      </w:r>
    </w:p>
    <w:p w14:paraId="03CEA04C" w14:textId="3FA02F5B" w:rsidR="00C52C3C" w:rsidRDefault="00940507" w:rsidP="000E16E3">
      <w:pPr>
        <w:pStyle w:val="CETReferencetext"/>
      </w:pPr>
      <w:r w:rsidRPr="00940507">
        <w:t xml:space="preserve">Girimonte R., Testa F., Turano M., Leone G., Gallo M. </w:t>
      </w:r>
      <w:r>
        <w:t>and</w:t>
      </w:r>
      <w:r w:rsidRPr="00940507">
        <w:t xml:space="preserve"> </w:t>
      </w:r>
      <w:proofErr w:type="spellStart"/>
      <w:r w:rsidRPr="00940507">
        <w:t>Golemme</w:t>
      </w:r>
      <w:proofErr w:type="spellEnd"/>
      <w:r w:rsidRPr="00940507">
        <w:t xml:space="preserve"> G., 2022</w:t>
      </w:r>
      <w:r>
        <w:t xml:space="preserve">, </w:t>
      </w:r>
      <w:r w:rsidRPr="00940507">
        <w:t>Amine-Functionalized Mesoporous Silica Adsorbent for CO</w:t>
      </w:r>
      <w:r w:rsidRPr="00940507">
        <w:rPr>
          <w:vertAlign w:val="subscript"/>
        </w:rPr>
        <w:t>2</w:t>
      </w:r>
      <w:r w:rsidRPr="00940507">
        <w:t xml:space="preserve"> Capture in Confined-Fluidized Bed: Study of the Breakthrough Adsorption Curves as a Function of Several Operating Variables, Processes, 10, 422.</w:t>
      </w:r>
    </w:p>
    <w:p w14:paraId="7B563772" w14:textId="305F6A94" w:rsidR="00D654DB" w:rsidRDefault="00D654DB" w:rsidP="000E16E3">
      <w:pPr>
        <w:pStyle w:val="CETReferencetext"/>
      </w:pPr>
      <w:r w:rsidRPr="00D654DB">
        <w:t xml:space="preserve">Leal, O.; Bolívar, C.; Ovalles, C.; García, J.J.; </w:t>
      </w:r>
      <w:proofErr w:type="spellStart"/>
      <w:r w:rsidRPr="00D654DB">
        <w:t>Espidel</w:t>
      </w:r>
      <w:proofErr w:type="spellEnd"/>
      <w:r w:rsidRPr="00D654DB">
        <w:t>, Y.</w:t>
      </w:r>
      <w:r>
        <w:t>,</w:t>
      </w:r>
      <w:r w:rsidRPr="00D654DB">
        <w:t xml:space="preserve"> 1995, Reversible adsorption of carbon dioxide on amine surface-bonded silica gel</w:t>
      </w:r>
      <w:r>
        <w:t>,</w:t>
      </w:r>
      <w:r w:rsidRPr="00D654DB">
        <w:t xml:space="preserve"> Inorg. Chim. Acta</w:t>
      </w:r>
      <w:r>
        <w:t>,</w:t>
      </w:r>
      <w:r w:rsidRPr="00D654DB">
        <w:t xml:space="preserve"> 240, 183–189</w:t>
      </w:r>
      <w:r>
        <w:t>.</w:t>
      </w:r>
    </w:p>
    <w:p w14:paraId="65465B66" w14:textId="5005C4F8" w:rsidR="000E16E3" w:rsidRDefault="000E16E3" w:rsidP="000E16E3">
      <w:pPr>
        <w:pStyle w:val="CETReferencetext"/>
      </w:pPr>
      <w:r>
        <w:t>Quang, D.V., Alan Hatton, T., Abu-Zahra M.R.M., 2016, Thermally Stable Amine-Grafted Adsorbent Prepared by Impregnating 3-Aminopropyltriethoxysilane on Mesoporous Silica for CO</w:t>
      </w:r>
      <w:r w:rsidRPr="000E16E3">
        <w:rPr>
          <w:vertAlign w:val="subscript"/>
        </w:rPr>
        <w:t>2</w:t>
      </w:r>
      <w:r>
        <w:t xml:space="preserve"> Capture. Ind. Eng. Chem. Res. 55, 7841–7852.</w:t>
      </w:r>
    </w:p>
    <w:p w14:paraId="0C6E13C9" w14:textId="5020AD8A" w:rsidR="00EB57CC" w:rsidRPr="00EB57CC" w:rsidRDefault="00EB57CC" w:rsidP="00EB57CC">
      <w:pPr>
        <w:pStyle w:val="CETReferencetext"/>
        <w:rPr>
          <w:lang w:val="en-US"/>
        </w:rPr>
      </w:pPr>
      <w:r w:rsidRPr="00EB57CC">
        <w:rPr>
          <w:lang w:val="en-US"/>
        </w:rPr>
        <w:t>Sofia D</w:t>
      </w:r>
      <w:r>
        <w:rPr>
          <w:lang w:val="en-US"/>
        </w:rPr>
        <w:t>.,</w:t>
      </w:r>
      <w:r w:rsidRPr="00EB57CC">
        <w:rPr>
          <w:lang w:val="en-US"/>
        </w:rPr>
        <w:t xml:space="preserve"> Giuliano A</w:t>
      </w:r>
      <w:r>
        <w:rPr>
          <w:lang w:val="en-US"/>
        </w:rPr>
        <w:t>.,</w:t>
      </w:r>
      <w:r w:rsidRPr="00EB57CC">
        <w:rPr>
          <w:lang w:val="en-US"/>
        </w:rPr>
        <w:t xml:space="preserve"> Poletto M</w:t>
      </w:r>
      <w:r>
        <w:rPr>
          <w:lang w:val="en-US"/>
        </w:rPr>
        <w:t>.,</w:t>
      </w:r>
      <w:r w:rsidRPr="00EB57CC">
        <w:rPr>
          <w:lang w:val="en-US"/>
        </w:rPr>
        <w:t xml:space="preserve"> Barletta</w:t>
      </w:r>
      <w:r>
        <w:rPr>
          <w:lang w:val="en-US"/>
        </w:rPr>
        <w:t xml:space="preserve"> D.</w:t>
      </w:r>
      <w:r w:rsidR="00D654DB">
        <w:rPr>
          <w:lang w:val="en-US"/>
        </w:rPr>
        <w:t>, 2015</w:t>
      </w:r>
      <w:r w:rsidR="007F265F">
        <w:rPr>
          <w:lang w:val="en-US"/>
        </w:rPr>
        <w:t xml:space="preserve"> </w:t>
      </w:r>
      <w:r>
        <w:t xml:space="preserve">Techno-economic analysis of power and hydrogen co-production by an IGCC plant with CO2 capture based on membrane technology. </w:t>
      </w:r>
      <w:r w:rsidR="00D654DB" w:rsidRPr="00D654DB">
        <w:t>Computer Aided Chemical Engineering</w:t>
      </w:r>
      <w:r w:rsidR="00D654DB">
        <w:t xml:space="preserve">, 37,  </w:t>
      </w:r>
      <w:r w:rsidR="00D654DB" w:rsidRPr="00D654DB">
        <w:t>1373-1378</w:t>
      </w:r>
      <w:r w:rsidR="00D654DB">
        <w:t xml:space="preserve">. </w:t>
      </w:r>
    </w:p>
    <w:p w14:paraId="28F3B607" w14:textId="55BAA657" w:rsidR="00B839E0" w:rsidRDefault="00B839E0" w:rsidP="00B839E0">
      <w:pPr>
        <w:pStyle w:val="CETReferencetext"/>
      </w:pPr>
      <w:r>
        <w:t>Younas, M.; Sohail, M.; Leong, M.J.B.L.K.; Sumathi, S., 2016, Feasibility of CO</w:t>
      </w:r>
      <w:r w:rsidRPr="00B839E0">
        <w:rPr>
          <w:vertAlign w:val="subscript"/>
        </w:rPr>
        <w:t>2</w:t>
      </w:r>
      <w:r>
        <w:t xml:space="preserve"> adsorption by solid adsorbents: A review on low temperature </w:t>
      </w:r>
      <w:r w:rsidRPr="00B839E0">
        <w:t>systems</w:t>
      </w:r>
      <w:r>
        <w:t>,</w:t>
      </w:r>
      <w:r w:rsidRPr="00B839E0">
        <w:t xml:space="preserve"> Int. J. Environ. </w:t>
      </w:r>
      <w:r w:rsidRPr="00BB00AD">
        <w:t xml:space="preserve">Sci. Technol., </w:t>
      </w:r>
      <w:r>
        <w:t>13, 1839–1860.</w:t>
      </w:r>
    </w:p>
    <w:p w14:paraId="2DF61432" w14:textId="335D3CCC" w:rsidR="000E16E3" w:rsidRDefault="003F2273" w:rsidP="000E16E3">
      <w:pPr>
        <w:pStyle w:val="CETReferencetext"/>
      </w:pPr>
      <w:r>
        <w:t xml:space="preserve">Varghese, A.M., </w:t>
      </w:r>
      <w:proofErr w:type="spellStart"/>
      <w:r>
        <w:t>Karanikolos</w:t>
      </w:r>
      <w:proofErr w:type="spellEnd"/>
      <w:r>
        <w:t>, G.N., 2020, CO</w:t>
      </w:r>
      <w:r w:rsidRPr="003F2273">
        <w:rPr>
          <w:vertAlign w:val="subscript"/>
        </w:rPr>
        <w:t>2</w:t>
      </w:r>
      <w:r>
        <w:t xml:space="preserve"> capture adsorbents functionalized by amine–bearing polymers: A review. Int. J. </w:t>
      </w:r>
      <w:proofErr w:type="spellStart"/>
      <w:r>
        <w:t>Greenh</w:t>
      </w:r>
      <w:proofErr w:type="spellEnd"/>
      <w:r>
        <w:t>. Gas Control, 96, 103005.</w:t>
      </w:r>
    </w:p>
    <w:p w14:paraId="456311FB" w14:textId="38925758" w:rsidR="00D654DB" w:rsidRDefault="00D654DB" w:rsidP="000E16E3">
      <w:pPr>
        <w:pStyle w:val="CETReferencetext"/>
      </w:pPr>
      <w:r w:rsidRPr="00D654DB">
        <w:t>Wei, L.</w:t>
      </w:r>
      <w:r>
        <w:t>,</w:t>
      </w:r>
      <w:r w:rsidRPr="00D654DB">
        <w:t xml:space="preserve"> Gao, Z.</w:t>
      </w:r>
      <w:r>
        <w:t>,</w:t>
      </w:r>
      <w:r w:rsidRPr="00D654DB">
        <w:t xml:space="preserve"> Jing, Y.</w:t>
      </w:r>
      <w:r>
        <w:t>,</w:t>
      </w:r>
      <w:r w:rsidRPr="00D654DB">
        <w:t xml:space="preserve"> Wang, Y.</w:t>
      </w:r>
      <w:r>
        <w:t>,</w:t>
      </w:r>
      <w:r w:rsidRPr="00D654DB">
        <w:t xml:space="preserve"> 2013, Adsorption of CO</w:t>
      </w:r>
      <w:r w:rsidRPr="00024278">
        <w:rPr>
          <w:vertAlign w:val="subscript"/>
        </w:rPr>
        <w:t>2</w:t>
      </w:r>
      <w:r w:rsidRPr="00D654DB">
        <w:t xml:space="preserve"> from simulated flue gas on </w:t>
      </w:r>
      <w:proofErr w:type="spellStart"/>
      <w:r w:rsidRPr="00D654DB">
        <w:t>pentaethylenehexamine</w:t>
      </w:r>
      <w:proofErr w:type="spellEnd"/>
      <w:r w:rsidRPr="00D654DB">
        <w:t>-loaded mesoporous silica support adsorbent</w:t>
      </w:r>
      <w:r>
        <w:t>,</w:t>
      </w:r>
      <w:r w:rsidRPr="00D654DB">
        <w:t xml:space="preserve"> Ind. Eng. Chem. Res.</w:t>
      </w:r>
      <w:r>
        <w:t>,</w:t>
      </w:r>
      <w:r w:rsidRPr="00D654DB">
        <w:t xml:space="preserve"> 52, 14965–14974.</w:t>
      </w:r>
    </w:p>
    <w:p w14:paraId="5F560E5D" w14:textId="6C4D3F8A" w:rsidR="00D654DB" w:rsidRDefault="00D654DB" w:rsidP="000E16E3">
      <w:pPr>
        <w:pStyle w:val="CETReferencetext"/>
      </w:pPr>
      <w:r w:rsidRPr="00D654DB">
        <w:t>Zheng, F.</w:t>
      </w:r>
      <w:r>
        <w:t>,</w:t>
      </w:r>
      <w:r w:rsidRPr="00D654DB">
        <w:t xml:space="preserve"> Tran, D.N.</w:t>
      </w:r>
      <w:r>
        <w:t>,</w:t>
      </w:r>
      <w:r w:rsidRPr="00D654DB">
        <w:t xml:space="preserve"> Busche, B.J.</w:t>
      </w:r>
      <w:r>
        <w:t>,</w:t>
      </w:r>
      <w:r w:rsidRPr="00D654DB">
        <w:t xml:space="preserve"> Fryxell, G.E.</w:t>
      </w:r>
      <w:r>
        <w:t>,</w:t>
      </w:r>
      <w:r w:rsidRPr="00D654DB">
        <w:t xml:space="preserve"> Addleman, R.S.</w:t>
      </w:r>
      <w:r>
        <w:t>,</w:t>
      </w:r>
      <w:r w:rsidRPr="00D654DB">
        <w:t xml:space="preserve"> </w:t>
      </w:r>
      <w:proofErr w:type="spellStart"/>
      <w:r w:rsidRPr="00D654DB">
        <w:t>Zemanian</w:t>
      </w:r>
      <w:proofErr w:type="spellEnd"/>
      <w:r w:rsidRPr="00D654DB">
        <w:t>, T.S.</w:t>
      </w:r>
      <w:r>
        <w:t>,</w:t>
      </w:r>
      <w:r w:rsidRPr="00D654DB">
        <w:t xml:space="preserve"> </w:t>
      </w:r>
      <w:proofErr w:type="spellStart"/>
      <w:r w:rsidRPr="00D654DB">
        <w:t>Aardahl</w:t>
      </w:r>
      <w:proofErr w:type="spellEnd"/>
      <w:r w:rsidRPr="00D654DB">
        <w:t>, C.L.</w:t>
      </w:r>
      <w:r>
        <w:t>,</w:t>
      </w:r>
      <w:r w:rsidRPr="00D654DB">
        <w:t xml:space="preserve"> 2005, Ethylenediamine-modified SBA-15 as regenerable CO</w:t>
      </w:r>
      <w:r w:rsidRPr="00024278">
        <w:rPr>
          <w:vertAlign w:val="subscript"/>
        </w:rPr>
        <w:t>2</w:t>
      </w:r>
      <w:r w:rsidRPr="00D654DB">
        <w:t xml:space="preserve"> sorbent. Ind. Eng. Chem. Res. 44, 3099–3105.</w:t>
      </w:r>
    </w:p>
    <w:sectPr w:rsidR="00D654DB"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56E35" w14:textId="77777777" w:rsidR="009B7193" w:rsidRDefault="009B7193" w:rsidP="004F5E36">
      <w:r>
        <w:separator/>
      </w:r>
    </w:p>
  </w:endnote>
  <w:endnote w:type="continuationSeparator" w:id="0">
    <w:p w14:paraId="6B98B1F0" w14:textId="77777777" w:rsidR="009B7193" w:rsidRDefault="009B719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4925A" w14:textId="77777777" w:rsidR="009B7193" w:rsidRDefault="009B7193" w:rsidP="004F5E36">
      <w:r>
        <w:separator/>
      </w:r>
    </w:p>
  </w:footnote>
  <w:footnote w:type="continuationSeparator" w:id="0">
    <w:p w14:paraId="20268B67" w14:textId="77777777" w:rsidR="009B7193" w:rsidRDefault="009B719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513"/>
    <w:rsid w:val="000052FB"/>
    <w:rsid w:val="00005A19"/>
    <w:rsid w:val="00010AFE"/>
    <w:rsid w:val="000117CB"/>
    <w:rsid w:val="00024278"/>
    <w:rsid w:val="0003148D"/>
    <w:rsid w:val="0003156F"/>
    <w:rsid w:val="00031EEC"/>
    <w:rsid w:val="0003632E"/>
    <w:rsid w:val="00051228"/>
    <w:rsid w:val="00051566"/>
    <w:rsid w:val="000562A9"/>
    <w:rsid w:val="00057EDD"/>
    <w:rsid w:val="00062A9A"/>
    <w:rsid w:val="00065058"/>
    <w:rsid w:val="00070A68"/>
    <w:rsid w:val="00083BC4"/>
    <w:rsid w:val="00084556"/>
    <w:rsid w:val="00086C39"/>
    <w:rsid w:val="000943C4"/>
    <w:rsid w:val="000A0298"/>
    <w:rsid w:val="000A03B2"/>
    <w:rsid w:val="000A380B"/>
    <w:rsid w:val="000D0268"/>
    <w:rsid w:val="000D34BE"/>
    <w:rsid w:val="000E0B3C"/>
    <w:rsid w:val="000E102F"/>
    <w:rsid w:val="000E16E3"/>
    <w:rsid w:val="000E36F1"/>
    <w:rsid w:val="000E396F"/>
    <w:rsid w:val="000E3A73"/>
    <w:rsid w:val="000E414A"/>
    <w:rsid w:val="000E75FD"/>
    <w:rsid w:val="000F093C"/>
    <w:rsid w:val="000F787B"/>
    <w:rsid w:val="00104789"/>
    <w:rsid w:val="001069F7"/>
    <w:rsid w:val="001071A0"/>
    <w:rsid w:val="00111330"/>
    <w:rsid w:val="001129F5"/>
    <w:rsid w:val="00112AFC"/>
    <w:rsid w:val="00114EC5"/>
    <w:rsid w:val="0011571B"/>
    <w:rsid w:val="001172F3"/>
    <w:rsid w:val="0012091F"/>
    <w:rsid w:val="0012228D"/>
    <w:rsid w:val="00126BC2"/>
    <w:rsid w:val="00126DC1"/>
    <w:rsid w:val="001308B6"/>
    <w:rsid w:val="0013121F"/>
    <w:rsid w:val="00131FE6"/>
    <w:rsid w:val="0013263F"/>
    <w:rsid w:val="001331DF"/>
    <w:rsid w:val="00134DE4"/>
    <w:rsid w:val="0013604A"/>
    <w:rsid w:val="0014034D"/>
    <w:rsid w:val="00140FE3"/>
    <w:rsid w:val="0014377D"/>
    <w:rsid w:val="00144D16"/>
    <w:rsid w:val="001455B9"/>
    <w:rsid w:val="00146A46"/>
    <w:rsid w:val="0014737B"/>
    <w:rsid w:val="00150E59"/>
    <w:rsid w:val="00152DE3"/>
    <w:rsid w:val="00156FB4"/>
    <w:rsid w:val="00164CF9"/>
    <w:rsid w:val="0016668E"/>
    <w:rsid w:val="001667A6"/>
    <w:rsid w:val="001712EC"/>
    <w:rsid w:val="001740D1"/>
    <w:rsid w:val="0018171E"/>
    <w:rsid w:val="00184AD6"/>
    <w:rsid w:val="001A0E9C"/>
    <w:rsid w:val="001A4AF7"/>
    <w:rsid w:val="001A7B46"/>
    <w:rsid w:val="001B0349"/>
    <w:rsid w:val="001B1E93"/>
    <w:rsid w:val="001B3633"/>
    <w:rsid w:val="001B65C1"/>
    <w:rsid w:val="001C05D3"/>
    <w:rsid w:val="001C260F"/>
    <w:rsid w:val="001C5C3A"/>
    <w:rsid w:val="001C684B"/>
    <w:rsid w:val="001D0CFB"/>
    <w:rsid w:val="001D21AF"/>
    <w:rsid w:val="001D3D32"/>
    <w:rsid w:val="001D53FC"/>
    <w:rsid w:val="001D5B29"/>
    <w:rsid w:val="001E3F5E"/>
    <w:rsid w:val="001F42A5"/>
    <w:rsid w:val="001F7B9D"/>
    <w:rsid w:val="00201C93"/>
    <w:rsid w:val="00205AE8"/>
    <w:rsid w:val="002224B4"/>
    <w:rsid w:val="00237C24"/>
    <w:rsid w:val="002447EF"/>
    <w:rsid w:val="00251550"/>
    <w:rsid w:val="002516C5"/>
    <w:rsid w:val="002527FC"/>
    <w:rsid w:val="00263B05"/>
    <w:rsid w:val="002643B6"/>
    <w:rsid w:val="00264B42"/>
    <w:rsid w:val="00266B73"/>
    <w:rsid w:val="002713BA"/>
    <w:rsid w:val="0027221A"/>
    <w:rsid w:val="002758A5"/>
    <w:rsid w:val="00275B61"/>
    <w:rsid w:val="00280FAF"/>
    <w:rsid w:val="00282656"/>
    <w:rsid w:val="00296B83"/>
    <w:rsid w:val="002A0794"/>
    <w:rsid w:val="002A29A3"/>
    <w:rsid w:val="002A6663"/>
    <w:rsid w:val="002B4015"/>
    <w:rsid w:val="002B63AF"/>
    <w:rsid w:val="002B6552"/>
    <w:rsid w:val="002B78CE"/>
    <w:rsid w:val="002C2FB6"/>
    <w:rsid w:val="002E455A"/>
    <w:rsid w:val="002E5FA7"/>
    <w:rsid w:val="002F3309"/>
    <w:rsid w:val="002F534C"/>
    <w:rsid w:val="002F7A37"/>
    <w:rsid w:val="003008CE"/>
    <w:rsid w:val="003009B7"/>
    <w:rsid w:val="00300E56"/>
    <w:rsid w:val="0030152C"/>
    <w:rsid w:val="003041EB"/>
    <w:rsid w:val="00304206"/>
    <w:rsid w:val="003043EB"/>
    <w:rsid w:val="0030469C"/>
    <w:rsid w:val="00304CE8"/>
    <w:rsid w:val="003064B7"/>
    <w:rsid w:val="00315194"/>
    <w:rsid w:val="00321CA6"/>
    <w:rsid w:val="00323763"/>
    <w:rsid w:val="00323C5F"/>
    <w:rsid w:val="00332E6E"/>
    <w:rsid w:val="003335CD"/>
    <w:rsid w:val="00334C09"/>
    <w:rsid w:val="00335F8F"/>
    <w:rsid w:val="00350545"/>
    <w:rsid w:val="00363B27"/>
    <w:rsid w:val="003723D4"/>
    <w:rsid w:val="003805B1"/>
    <w:rsid w:val="00381905"/>
    <w:rsid w:val="00384CC8"/>
    <w:rsid w:val="0038598D"/>
    <w:rsid w:val="003871FD"/>
    <w:rsid w:val="003A1E30"/>
    <w:rsid w:val="003A2829"/>
    <w:rsid w:val="003A7D1C"/>
    <w:rsid w:val="003B2CDE"/>
    <w:rsid w:val="003B304B"/>
    <w:rsid w:val="003B3146"/>
    <w:rsid w:val="003B44B1"/>
    <w:rsid w:val="003B49CD"/>
    <w:rsid w:val="003B6276"/>
    <w:rsid w:val="003C298A"/>
    <w:rsid w:val="003C7358"/>
    <w:rsid w:val="003D1E02"/>
    <w:rsid w:val="003D3ED9"/>
    <w:rsid w:val="003F015E"/>
    <w:rsid w:val="003F2273"/>
    <w:rsid w:val="00400414"/>
    <w:rsid w:val="0041446B"/>
    <w:rsid w:val="0041669F"/>
    <w:rsid w:val="004169F9"/>
    <w:rsid w:val="0041760B"/>
    <w:rsid w:val="004207A9"/>
    <w:rsid w:val="00431BF2"/>
    <w:rsid w:val="004367AD"/>
    <w:rsid w:val="0044071E"/>
    <w:rsid w:val="0044329C"/>
    <w:rsid w:val="00451430"/>
    <w:rsid w:val="00453E24"/>
    <w:rsid w:val="00457456"/>
    <w:rsid w:val="004577FE"/>
    <w:rsid w:val="00457B9C"/>
    <w:rsid w:val="00461356"/>
    <w:rsid w:val="0046164A"/>
    <w:rsid w:val="004628D2"/>
    <w:rsid w:val="00462DCD"/>
    <w:rsid w:val="004648AD"/>
    <w:rsid w:val="0046698F"/>
    <w:rsid w:val="004703A9"/>
    <w:rsid w:val="00474457"/>
    <w:rsid w:val="004760DE"/>
    <w:rsid w:val="004763D7"/>
    <w:rsid w:val="00483EDD"/>
    <w:rsid w:val="00491DFD"/>
    <w:rsid w:val="004A004E"/>
    <w:rsid w:val="004A24CF"/>
    <w:rsid w:val="004C202E"/>
    <w:rsid w:val="004C3D1D"/>
    <w:rsid w:val="004C3D84"/>
    <w:rsid w:val="004C747B"/>
    <w:rsid w:val="004C7913"/>
    <w:rsid w:val="004D11B1"/>
    <w:rsid w:val="004E4DD6"/>
    <w:rsid w:val="004F50F2"/>
    <w:rsid w:val="004F5E36"/>
    <w:rsid w:val="00503754"/>
    <w:rsid w:val="005056EA"/>
    <w:rsid w:val="00507B47"/>
    <w:rsid w:val="00507BEF"/>
    <w:rsid w:val="00507CC9"/>
    <w:rsid w:val="00507F6A"/>
    <w:rsid w:val="005119A5"/>
    <w:rsid w:val="00521291"/>
    <w:rsid w:val="005278B7"/>
    <w:rsid w:val="00532016"/>
    <w:rsid w:val="005324FA"/>
    <w:rsid w:val="005346C8"/>
    <w:rsid w:val="00535916"/>
    <w:rsid w:val="00543E7D"/>
    <w:rsid w:val="00547A68"/>
    <w:rsid w:val="005531C9"/>
    <w:rsid w:val="00554879"/>
    <w:rsid w:val="00556983"/>
    <w:rsid w:val="005611D4"/>
    <w:rsid w:val="00564580"/>
    <w:rsid w:val="00566272"/>
    <w:rsid w:val="00570C43"/>
    <w:rsid w:val="00575C91"/>
    <w:rsid w:val="005763A5"/>
    <w:rsid w:val="00584C5A"/>
    <w:rsid w:val="00587823"/>
    <w:rsid w:val="00592274"/>
    <w:rsid w:val="005B2110"/>
    <w:rsid w:val="005B26A5"/>
    <w:rsid w:val="005B350B"/>
    <w:rsid w:val="005B61E6"/>
    <w:rsid w:val="005C77E1"/>
    <w:rsid w:val="005D463E"/>
    <w:rsid w:val="005D5CEF"/>
    <w:rsid w:val="005D668A"/>
    <w:rsid w:val="005D6A2F"/>
    <w:rsid w:val="005E0592"/>
    <w:rsid w:val="005E1A82"/>
    <w:rsid w:val="005E794C"/>
    <w:rsid w:val="005F0A28"/>
    <w:rsid w:val="005F0E5E"/>
    <w:rsid w:val="005F4D10"/>
    <w:rsid w:val="00600535"/>
    <w:rsid w:val="00601966"/>
    <w:rsid w:val="00601F9B"/>
    <w:rsid w:val="00603219"/>
    <w:rsid w:val="00603745"/>
    <w:rsid w:val="00610CD6"/>
    <w:rsid w:val="006112C9"/>
    <w:rsid w:val="00613C09"/>
    <w:rsid w:val="00620DEE"/>
    <w:rsid w:val="00621F92"/>
    <w:rsid w:val="0062280A"/>
    <w:rsid w:val="006231E1"/>
    <w:rsid w:val="00625639"/>
    <w:rsid w:val="00626342"/>
    <w:rsid w:val="006267EA"/>
    <w:rsid w:val="00626EE9"/>
    <w:rsid w:val="00631B33"/>
    <w:rsid w:val="006320FF"/>
    <w:rsid w:val="00634FAB"/>
    <w:rsid w:val="0064184D"/>
    <w:rsid w:val="006422CC"/>
    <w:rsid w:val="00642ADA"/>
    <w:rsid w:val="00644729"/>
    <w:rsid w:val="00651D18"/>
    <w:rsid w:val="0065715D"/>
    <w:rsid w:val="00660E3E"/>
    <w:rsid w:val="00662E74"/>
    <w:rsid w:val="00680C23"/>
    <w:rsid w:val="00683E23"/>
    <w:rsid w:val="00685B53"/>
    <w:rsid w:val="0069104D"/>
    <w:rsid w:val="00693766"/>
    <w:rsid w:val="006A0F96"/>
    <w:rsid w:val="006A3281"/>
    <w:rsid w:val="006A42F9"/>
    <w:rsid w:val="006A6DE5"/>
    <w:rsid w:val="006A746D"/>
    <w:rsid w:val="006B01B2"/>
    <w:rsid w:val="006B4888"/>
    <w:rsid w:val="006B6CF1"/>
    <w:rsid w:val="006C2E45"/>
    <w:rsid w:val="006C359C"/>
    <w:rsid w:val="006C5579"/>
    <w:rsid w:val="006C70FC"/>
    <w:rsid w:val="006D2F60"/>
    <w:rsid w:val="006D5546"/>
    <w:rsid w:val="006D6E8B"/>
    <w:rsid w:val="006D7209"/>
    <w:rsid w:val="006E2AD1"/>
    <w:rsid w:val="006E737D"/>
    <w:rsid w:val="006F552C"/>
    <w:rsid w:val="00701807"/>
    <w:rsid w:val="007048E4"/>
    <w:rsid w:val="007074A6"/>
    <w:rsid w:val="00707DD1"/>
    <w:rsid w:val="00713882"/>
    <w:rsid w:val="00713973"/>
    <w:rsid w:val="00715698"/>
    <w:rsid w:val="00720A24"/>
    <w:rsid w:val="00732386"/>
    <w:rsid w:val="0073514D"/>
    <w:rsid w:val="00740825"/>
    <w:rsid w:val="007427F6"/>
    <w:rsid w:val="007447F3"/>
    <w:rsid w:val="0075499F"/>
    <w:rsid w:val="00757490"/>
    <w:rsid w:val="007606E7"/>
    <w:rsid w:val="007661C8"/>
    <w:rsid w:val="0077098D"/>
    <w:rsid w:val="007711E8"/>
    <w:rsid w:val="007713C9"/>
    <w:rsid w:val="00776118"/>
    <w:rsid w:val="00782C95"/>
    <w:rsid w:val="00784453"/>
    <w:rsid w:val="00785BF9"/>
    <w:rsid w:val="0078604D"/>
    <w:rsid w:val="00791055"/>
    <w:rsid w:val="00792A5E"/>
    <w:rsid w:val="007931FA"/>
    <w:rsid w:val="00794755"/>
    <w:rsid w:val="007A3598"/>
    <w:rsid w:val="007A4861"/>
    <w:rsid w:val="007A7BBA"/>
    <w:rsid w:val="007B0C50"/>
    <w:rsid w:val="007B48F9"/>
    <w:rsid w:val="007B74A5"/>
    <w:rsid w:val="007C1A43"/>
    <w:rsid w:val="007C375F"/>
    <w:rsid w:val="007C3A49"/>
    <w:rsid w:val="007D0951"/>
    <w:rsid w:val="007D610D"/>
    <w:rsid w:val="007D6BB3"/>
    <w:rsid w:val="007E03CB"/>
    <w:rsid w:val="007E067E"/>
    <w:rsid w:val="007E36A3"/>
    <w:rsid w:val="007E5ED5"/>
    <w:rsid w:val="007F1C98"/>
    <w:rsid w:val="007F265F"/>
    <w:rsid w:val="007F2999"/>
    <w:rsid w:val="007F3107"/>
    <w:rsid w:val="007F3D9C"/>
    <w:rsid w:val="007F719E"/>
    <w:rsid w:val="0080013E"/>
    <w:rsid w:val="00801759"/>
    <w:rsid w:val="0081317B"/>
    <w:rsid w:val="00813288"/>
    <w:rsid w:val="008168FC"/>
    <w:rsid w:val="008224E4"/>
    <w:rsid w:val="00830996"/>
    <w:rsid w:val="00832349"/>
    <w:rsid w:val="008345F1"/>
    <w:rsid w:val="008359A8"/>
    <w:rsid w:val="008406E5"/>
    <w:rsid w:val="00844D35"/>
    <w:rsid w:val="008544FB"/>
    <w:rsid w:val="00864443"/>
    <w:rsid w:val="00865B07"/>
    <w:rsid w:val="008667EA"/>
    <w:rsid w:val="00876182"/>
    <w:rsid w:val="0087637F"/>
    <w:rsid w:val="00880A4A"/>
    <w:rsid w:val="0089008C"/>
    <w:rsid w:val="008920F8"/>
    <w:rsid w:val="00892AD5"/>
    <w:rsid w:val="008A1512"/>
    <w:rsid w:val="008B6B88"/>
    <w:rsid w:val="008C5FA7"/>
    <w:rsid w:val="008D008A"/>
    <w:rsid w:val="008D11AF"/>
    <w:rsid w:val="008D32B9"/>
    <w:rsid w:val="008D433B"/>
    <w:rsid w:val="008D4A16"/>
    <w:rsid w:val="008D5A01"/>
    <w:rsid w:val="008D609E"/>
    <w:rsid w:val="008E5401"/>
    <w:rsid w:val="008E566E"/>
    <w:rsid w:val="008E7225"/>
    <w:rsid w:val="008F1D7A"/>
    <w:rsid w:val="008F7EAD"/>
    <w:rsid w:val="0090161A"/>
    <w:rsid w:val="00901EB6"/>
    <w:rsid w:val="009041F8"/>
    <w:rsid w:val="00904C62"/>
    <w:rsid w:val="009065C7"/>
    <w:rsid w:val="00922BA8"/>
    <w:rsid w:val="00924DAC"/>
    <w:rsid w:val="00927058"/>
    <w:rsid w:val="00940253"/>
    <w:rsid w:val="00940507"/>
    <w:rsid w:val="00942750"/>
    <w:rsid w:val="009450CE"/>
    <w:rsid w:val="009459BB"/>
    <w:rsid w:val="00947179"/>
    <w:rsid w:val="0095164B"/>
    <w:rsid w:val="00952505"/>
    <w:rsid w:val="00954090"/>
    <w:rsid w:val="009573E7"/>
    <w:rsid w:val="00961120"/>
    <w:rsid w:val="00963E05"/>
    <w:rsid w:val="00964A45"/>
    <w:rsid w:val="00965854"/>
    <w:rsid w:val="00967843"/>
    <w:rsid w:val="00967D54"/>
    <w:rsid w:val="009705B2"/>
    <w:rsid w:val="00971028"/>
    <w:rsid w:val="00972CE5"/>
    <w:rsid w:val="00982588"/>
    <w:rsid w:val="00986D8E"/>
    <w:rsid w:val="0099124E"/>
    <w:rsid w:val="00993B84"/>
    <w:rsid w:val="00994C6A"/>
    <w:rsid w:val="00996483"/>
    <w:rsid w:val="00996F5A"/>
    <w:rsid w:val="009A5806"/>
    <w:rsid w:val="009B0263"/>
    <w:rsid w:val="009B041A"/>
    <w:rsid w:val="009B06F6"/>
    <w:rsid w:val="009B43BD"/>
    <w:rsid w:val="009B6E57"/>
    <w:rsid w:val="009B7193"/>
    <w:rsid w:val="009B76F5"/>
    <w:rsid w:val="009C0B4A"/>
    <w:rsid w:val="009C37C3"/>
    <w:rsid w:val="009C7C86"/>
    <w:rsid w:val="009D2FF7"/>
    <w:rsid w:val="009E054A"/>
    <w:rsid w:val="009E7884"/>
    <w:rsid w:val="009E788A"/>
    <w:rsid w:val="009F0E08"/>
    <w:rsid w:val="00A0563A"/>
    <w:rsid w:val="00A0753F"/>
    <w:rsid w:val="00A079AE"/>
    <w:rsid w:val="00A13449"/>
    <w:rsid w:val="00A1763D"/>
    <w:rsid w:val="00A17CEC"/>
    <w:rsid w:val="00A23170"/>
    <w:rsid w:val="00A27EF0"/>
    <w:rsid w:val="00A42361"/>
    <w:rsid w:val="00A45800"/>
    <w:rsid w:val="00A50B20"/>
    <w:rsid w:val="00A51390"/>
    <w:rsid w:val="00A60D13"/>
    <w:rsid w:val="00A64874"/>
    <w:rsid w:val="00A703F5"/>
    <w:rsid w:val="00A721D1"/>
    <w:rsid w:val="00A7223D"/>
    <w:rsid w:val="00A72745"/>
    <w:rsid w:val="00A76EFC"/>
    <w:rsid w:val="00A7779D"/>
    <w:rsid w:val="00A87D50"/>
    <w:rsid w:val="00A91010"/>
    <w:rsid w:val="00A97F29"/>
    <w:rsid w:val="00AA5E75"/>
    <w:rsid w:val="00AA6BCA"/>
    <w:rsid w:val="00AA702E"/>
    <w:rsid w:val="00AA7D26"/>
    <w:rsid w:val="00AB0964"/>
    <w:rsid w:val="00AB5011"/>
    <w:rsid w:val="00AC27A6"/>
    <w:rsid w:val="00AC35B0"/>
    <w:rsid w:val="00AC7368"/>
    <w:rsid w:val="00AD16B9"/>
    <w:rsid w:val="00AD6FE1"/>
    <w:rsid w:val="00AE377D"/>
    <w:rsid w:val="00AE3A43"/>
    <w:rsid w:val="00AF0EBA"/>
    <w:rsid w:val="00AF0ECA"/>
    <w:rsid w:val="00AF2463"/>
    <w:rsid w:val="00AF314E"/>
    <w:rsid w:val="00B00612"/>
    <w:rsid w:val="00B02C8A"/>
    <w:rsid w:val="00B17EDD"/>
    <w:rsid w:val="00B17FBD"/>
    <w:rsid w:val="00B2367A"/>
    <w:rsid w:val="00B315A6"/>
    <w:rsid w:val="00B31813"/>
    <w:rsid w:val="00B33365"/>
    <w:rsid w:val="00B35FEC"/>
    <w:rsid w:val="00B44EDC"/>
    <w:rsid w:val="00B56655"/>
    <w:rsid w:val="00B57B36"/>
    <w:rsid w:val="00B57E6F"/>
    <w:rsid w:val="00B839E0"/>
    <w:rsid w:val="00B8686D"/>
    <w:rsid w:val="00B93F69"/>
    <w:rsid w:val="00B941E5"/>
    <w:rsid w:val="00B96503"/>
    <w:rsid w:val="00BA0079"/>
    <w:rsid w:val="00BB00AD"/>
    <w:rsid w:val="00BB1DDC"/>
    <w:rsid w:val="00BB60DD"/>
    <w:rsid w:val="00BC30C9"/>
    <w:rsid w:val="00BD077D"/>
    <w:rsid w:val="00BD10F0"/>
    <w:rsid w:val="00BD56A0"/>
    <w:rsid w:val="00BE3E58"/>
    <w:rsid w:val="00BF0150"/>
    <w:rsid w:val="00BF0D2E"/>
    <w:rsid w:val="00BF13CE"/>
    <w:rsid w:val="00BF14FF"/>
    <w:rsid w:val="00BF20E0"/>
    <w:rsid w:val="00BF768B"/>
    <w:rsid w:val="00C01616"/>
    <w:rsid w:val="00C0162B"/>
    <w:rsid w:val="00C0240A"/>
    <w:rsid w:val="00C06641"/>
    <w:rsid w:val="00C068ED"/>
    <w:rsid w:val="00C202BB"/>
    <w:rsid w:val="00C22E0C"/>
    <w:rsid w:val="00C345B1"/>
    <w:rsid w:val="00C40142"/>
    <w:rsid w:val="00C45E68"/>
    <w:rsid w:val="00C46AF7"/>
    <w:rsid w:val="00C50021"/>
    <w:rsid w:val="00C52C3C"/>
    <w:rsid w:val="00C53BC4"/>
    <w:rsid w:val="00C57182"/>
    <w:rsid w:val="00C57863"/>
    <w:rsid w:val="00C608C9"/>
    <w:rsid w:val="00C640AF"/>
    <w:rsid w:val="00C655FD"/>
    <w:rsid w:val="00C71559"/>
    <w:rsid w:val="00C72B1C"/>
    <w:rsid w:val="00C75407"/>
    <w:rsid w:val="00C75B63"/>
    <w:rsid w:val="00C7695F"/>
    <w:rsid w:val="00C841C6"/>
    <w:rsid w:val="00C870A8"/>
    <w:rsid w:val="00C94434"/>
    <w:rsid w:val="00CA0D75"/>
    <w:rsid w:val="00CA1C95"/>
    <w:rsid w:val="00CA5A9C"/>
    <w:rsid w:val="00CC1BF9"/>
    <w:rsid w:val="00CC4C20"/>
    <w:rsid w:val="00CD2D2F"/>
    <w:rsid w:val="00CD3517"/>
    <w:rsid w:val="00CD5FE2"/>
    <w:rsid w:val="00CE09CE"/>
    <w:rsid w:val="00CE7C68"/>
    <w:rsid w:val="00CF2EFE"/>
    <w:rsid w:val="00D01561"/>
    <w:rsid w:val="00D02B4C"/>
    <w:rsid w:val="00D040C4"/>
    <w:rsid w:val="00D06F12"/>
    <w:rsid w:val="00D124FC"/>
    <w:rsid w:val="00D20AD1"/>
    <w:rsid w:val="00D2582C"/>
    <w:rsid w:val="00D313BE"/>
    <w:rsid w:val="00D46B7E"/>
    <w:rsid w:val="00D54306"/>
    <w:rsid w:val="00D576F6"/>
    <w:rsid w:val="00D57C84"/>
    <w:rsid w:val="00D6057D"/>
    <w:rsid w:val="00D61A37"/>
    <w:rsid w:val="00D61B78"/>
    <w:rsid w:val="00D64DC0"/>
    <w:rsid w:val="00D654DB"/>
    <w:rsid w:val="00D70280"/>
    <w:rsid w:val="00D71640"/>
    <w:rsid w:val="00D73877"/>
    <w:rsid w:val="00D836C5"/>
    <w:rsid w:val="00D84576"/>
    <w:rsid w:val="00D938FC"/>
    <w:rsid w:val="00DA1399"/>
    <w:rsid w:val="00DA1CCA"/>
    <w:rsid w:val="00DA24C6"/>
    <w:rsid w:val="00DA4D7B"/>
    <w:rsid w:val="00DB5C20"/>
    <w:rsid w:val="00DC255A"/>
    <w:rsid w:val="00DC2840"/>
    <w:rsid w:val="00DC2CB7"/>
    <w:rsid w:val="00DC316B"/>
    <w:rsid w:val="00DC73EE"/>
    <w:rsid w:val="00DD271C"/>
    <w:rsid w:val="00DD5A10"/>
    <w:rsid w:val="00DE264A"/>
    <w:rsid w:val="00DF5072"/>
    <w:rsid w:val="00E02D18"/>
    <w:rsid w:val="00E032C6"/>
    <w:rsid w:val="00E041E7"/>
    <w:rsid w:val="00E14CDC"/>
    <w:rsid w:val="00E16023"/>
    <w:rsid w:val="00E17177"/>
    <w:rsid w:val="00E23CA1"/>
    <w:rsid w:val="00E24CF4"/>
    <w:rsid w:val="00E32929"/>
    <w:rsid w:val="00E34A66"/>
    <w:rsid w:val="00E409A8"/>
    <w:rsid w:val="00E44BA8"/>
    <w:rsid w:val="00E50C12"/>
    <w:rsid w:val="00E65B91"/>
    <w:rsid w:val="00E7209D"/>
    <w:rsid w:val="00E72EAD"/>
    <w:rsid w:val="00E77223"/>
    <w:rsid w:val="00E8528B"/>
    <w:rsid w:val="00E85B94"/>
    <w:rsid w:val="00E8629D"/>
    <w:rsid w:val="00E978D0"/>
    <w:rsid w:val="00EA4613"/>
    <w:rsid w:val="00EA79B9"/>
    <w:rsid w:val="00EA7F91"/>
    <w:rsid w:val="00EB04DB"/>
    <w:rsid w:val="00EB1523"/>
    <w:rsid w:val="00EB3267"/>
    <w:rsid w:val="00EB4CF2"/>
    <w:rsid w:val="00EB57CC"/>
    <w:rsid w:val="00EC0E49"/>
    <w:rsid w:val="00EC101F"/>
    <w:rsid w:val="00EC1D9F"/>
    <w:rsid w:val="00EC3179"/>
    <w:rsid w:val="00ED7FAB"/>
    <w:rsid w:val="00EE0131"/>
    <w:rsid w:val="00EE17B0"/>
    <w:rsid w:val="00EF06D9"/>
    <w:rsid w:val="00EF299E"/>
    <w:rsid w:val="00EF35A4"/>
    <w:rsid w:val="00F1149F"/>
    <w:rsid w:val="00F154F7"/>
    <w:rsid w:val="00F227B2"/>
    <w:rsid w:val="00F23F6F"/>
    <w:rsid w:val="00F3049E"/>
    <w:rsid w:val="00F30C64"/>
    <w:rsid w:val="00F32BA2"/>
    <w:rsid w:val="00F32CDB"/>
    <w:rsid w:val="00F41EE4"/>
    <w:rsid w:val="00F44C3B"/>
    <w:rsid w:val="00F453EB"/>
    <w:rsid w:val="00F565FE"/>
    <w:rsid w:val="00F63A70"/>
    <w:rsid w:val="00F63D8C"/>
    <w:rsid w:val="00F641B0"/>
    <w:rsid w:val="00F7006D"/>
    <w:rsid w:val="00F72608"/>
    <w:rsid w:val="00F73742"/>
    <w:rsid w:val="00F7534E"/>
    <w:rsid w:val="00F813CF"/>
    <w:rsid w:val="00F8398B"/>
    <w:rsid w:val="00F854E7"/>
    <w:rsid w:val="00F85CD4"/>
    <w:rsid w:val="00F93EDF"/>
    <w:rsid w:val="00FA1802"/>
    <w:rsid w:val="00FA21D0"/>
    <w:rsid w:val="00FA3B4C"/>
    <w:rsid w:val="00FA5F5F"/>
    <w:rsid w:val="00FA67F1"/>
    <w:rsid w:val="00FA72EE"/>
    <w:rsid w:val="00FB4EF2"/>
    <w:rsid w:val="00FB56DF"/>
    <w:rsid w:val="00FB730C"/>
    <w:rsid w:val="00FC1045"/>
    <w:rsid w:val="00FC2695"/>
    <w:rsid w:val="00FC3E03"/>
    <w:rsid w:val="00FC3FC1"/>
    <w:rsid w:val="00FC5560"/>
    <w:rsid w:val="00FC6230"/>
    <w:rsid w:val="00FC7645"/>
    <w:rsid w:val="00FD18C4"/>
    <w:rsid w:val="00FD2F6D"/>
    <w:rsid w:val="00FD56E6"/>
    <w:rsid w:val="00FE3687"/>
    <w:rsid w:val="00FE5A31"/>
    <w:rsid w:val="00FF3DD8"/>
    <w:rsid w:val="00FF7C3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6F552C"/>
    <w:rPr>
      <w:color w:val="666666"/>
    </w:rPr>
  </w:style>
  <w:style w:type="character" w:styleId="Menzionenonrisolta">
    <w:name w:val="Unresolved Mention"/>
    <w:basedOn w:val="Carpredefinitoparagrafo"/>
    <w:uiPriority w:val="99"/>
    <w:semiHidden/>
    <w:unhideWhenUsed/>
    <w:rsid w:val="00D01561"/>
    <w:rPr>
      <w:color w:val="605E5C"/>
      <w:shd w:val="clear" w:color="auto" w:fill="E1DFDD"/>
    </w:rPr>
  </w:style>
  <w:style w:type="paragraph" w:styleId="Revisione">
    <w:name w:val="Revision"/>
    <w:hidden/>
    <w:uiPriority w:val="99"/>
    <w:semiHidden/>
    <w:rsid w:val="00556983"/>
    <w:pPr>
      <w:spacing w:after="0" w:line="240" w:lineRule="auto"/>
    </w:pPr>
    <w:rPr>
      <w:rFonts w:ascii="Arial" w:eastAsia="Times New Roman" w:hAnsi="Arial" w:cs="Times New Roman"/>
      <w:sz w:val="18"/>
      <w:szCs w:val="20"/>
      <w:lang w:val="en-GB"/>
    </w:rPr>
  </w:style>
  <w:style w:type="character" w:customStyle="1" w:styleId="cf01">
    <w:name w:val="cf01"/>
    <w:basedOn w:val="Carpredefinitoparagrafo"/>
    <w:rsid w:val="00BA007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3124217">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55643">
      <w:bodyDiv w:val="1"/>
      <w:marLeft w:val="0"/>
      <w:marRight w:val="0"/>
      <w:marTop w:val="0"/>
      <w:marBottom w:val="0"/>
      <w:divBdr>
        <w:top w:val="none" w:sz="0" w:space="0" w:color="auto"/>
        <w:left w:val="none" w:sz="0" w:space="0" w:color="auto"/>
        <w:bottom w:val="none" w:sz="0" w:space="0" w:color="auto"/>
        <w:right w:val="none" w:sz="0" w:space="0" w:color="auto"/>
      </w:divBdr>
    </w:div>
    <w:div w:id="1043485203">
      <w:bodyDiv w:val="1"/>
      <w:marLeft w:val="0"/>
      <w:marRight w:val="0"/>
      <w:marTop w:val="0"/>
      <w:marBottom w:val="0"/>
      <w:divBdr>
        <w:top w:val="none" w:sz="0" w:space="0" w:color="auto"/>
        <w:left w:val="none" w:sz="0" w:space="0" w:color="auto"/>
        <w:bottom w:val="none" w:sz="0" w:space="0" w:color="auto"/>
        <w:right w:val="none" w:sz="0" w:space="0" w:color="auto"/>
      </w:divBdr>
    </w:div>
    <w:div w:id="1268847983">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734124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64223">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youre\Desktop\Universit&#224;\TESI%20FILE\PROVE%20DI%20ADSORBIMENTO\PROVE_ADSORBIMENT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oure\Desktop\TESI%20FILE\PROVE%20DI%20ADSORBIMENTO\VARIAZIONE_MASSA_CO2_AD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Arial" panose="020B0604020202020204" pitchFamily="34" charset="0"/>
                <a:ea typeface="+mn-ea"/>
                <a:cs typeface="Arial" panose="020B0604020202020204" pitchFamily="34" charset="0"/>
              </a:defRPr>
            </a:pPr>
            <a:r>
              <a:rPr lang="it-IT" sz="1100" b="1">
                <a:solidFill>
                  <a:schemeClr val="tx1"/>
                </a:solidFill>
                <a:latin typeface="Arial" panose="020B0604020202020204" pitchFamily="34" charset="0"/>
                <a:cs typeface="Arial" panose="020B0604020202020204" pitchFamily="34" charset="0"/>
              </a:rPr>
              <a:t>t</a:t>
            </a:r>
            <a:r>
              <a:rPr lang="it-IT" sz="1100" b="1" baseline="-25000">
                <a:solidFill>
                  <a:schemeClr val="tx1"/>
                </a:solidFill>
                <a:latin typeface="Arial" panose="020B0604020202020204" pitchFamily="34" charset="0"/>
                <a:cs typeface="Arial" panose="020B0604020202020204" pitchFamily="34" charset="0"/>
              </a:rPr>
              <a:t>b</a:t>
            </a:r>
            <a:r>
              <a:rPr lang="it-IT" sz="1100" b="1" baseline="0">
                <a:solidFill>
                  <a:schemeClr val="tx1"/>
                </a:solidFill>
                <a:latin typeface="Arial" panose="020B0604020202020204" pitchFamily="34" charset="0"/>
                <a:cs typeface="Arial" panose="020B0604020202020204" pitchFamily="34" charset="0"/>
              </a:rPr>
              <a:t>                                  t</a:t>
            </a:r>
            <a:r>
              <a:rPr lang="it-IT" sz="1100" b="1" baseline="-25000">
                <a:solidFill>
                  <a:schemeClr val="tx1"/>
                </a:solidFill>
                <a:latin typeface="Arial" panose="020B0604020202020204" pitchFamily="34" charset="0"/>
                <a:cs typeface="Arial" panose="020B0604020202020204" pitchFamily="34" charset="0"/>
              </a:rPr>
              <a:t>s</a:t>
            </a:r>
          </a:p>
        </c:rich>
      </c:tx>
      <c:layout>
        <c:manualLayout>
          <c:xMode val="edge"/>
          <c:yMode val="edge"/>
          <c:x val="0.32417642803483487"/>
          <c:y val="0.74953865848925116"/>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Arial" panose="020B0604020202020204" pitchFamily="34" charset="0"/>
              <a:ea typeface="+mn-ea"/>
              <a:cs typeface="Arial" panose="020B0604020202020204" pitchFamily="34" charset="0"/>
            </a:defRPr>
          </a:pPr>
          <a:endParaRPr lang="it-IT"/>
        </a:p>
      </c:txPr>
    </c:title>
    <c:autoTitleDeleted val="0"/>
    <c:plotArea>
      <c:layout>
        <c:manualLayout>
          <c:layoutTarget val="inner"/>
          <c:xMode val="edge"/>
          <c:yMode val="edge"/>
          <c:x val="0.11657108381696084"/>
          <c:y val="2.4148250978410068E-2"/>
          <c:w val="0.85278024400193342"/>
          <c:h val="0.81366161025778383"/>
        </c:manualLayout>
      </c:layout>
      <c:scatterChart>
        <c:scatterStyle val="lineMarker"/>
        <c:varyColors val="0"/>
        <c:ser>
          <c:idx val="0"/>
          <c:order val="0"/>
          <c:tx>
            <c:v>Miscele al 15% di CO2</c:v>
          </c:tx>
          <c:spPr>
            <a:ln w="9525" cap="rnd">
              <a:solidFill>
                <a:schemeClr val="tx1"/>
              </a:solidFill>
              <a:round/>
            </a:ln>
            <a:effectLst/>
          </c:spPr>
          <c:marker>
            <c:symbol val="circle"/>
            <c:size val="5"/>
            <c:spPr>
              <a:solidFill>
                <a:schemeClr val="tx1"/>
              </a:solidFill>
              <a:ln w="9525">
                <a:solidFill>
                  <a:schemeClr val="tx1"/>
                </a:solidFill>
              </a:ln>
              <a:effectLst/>
            </c:spPr>
          </c:marker>
          <c:xVal>
            <c:numRef>
              <c:f>'CURVE BREAKTHROUGH A DIVERSE CO'!$A$3:$A$183</c:f>
              <c:numCache>
                <c:formatCode>General</c:formatCode>
                <c:ptCount val="18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pt idx="176">
                  <c:v>352</c:v>
                </c:pt>
                <c:pt idx="177">
                  <c:v>354</c:v>
                </c:pt>
                <c:pt idx="178">
                  <c:v>356</c:v>
                </c:pt>
                <c:pt idx="179">
                  <c:v>358</c:v>
                </c:pt>
                <c:pt idx="180">
                  <c:v>360</c:v>
                </c:pt>
              </c:numCache>
            </c:numRef>
          </c:xVal>
          <c:yVal>
            <c:numRef>
              <c:f>'CURVE BREAKTHROUGH A DIVERSE CO'!$B$3:$B$183</c:f>
              <c:numCache>
                <c:formatCode>General</c:formatCode>
                <c:ptCount val="181"/>
                <c:pt idx="0">
                  <c:v>0</c:v>
                </c:pt>
                <c:pt idx="1">
                  <c:v>0</c:v>
                </c:pt>
                <c:pt idx="2">
                  <c:v>0</c:v>
                </c:pt>
                <c:pt idx="3">
                  <c:v>0</c:v>
                </c:pt>
                <c:pt idx="4">
                  <c:v>0</c:v>
                </c:pt>
                <c:pt idx="5">
                  <c:v>2.371794871794872E-2</c:v>
                </c:pt>
                <c:pt idx="6">
                  <c:v>5.5769230769230765E-2</c:v>
                </c:pt>
                <c:pt idx="7">
                  <c:v>0.10192307692307694</c:v>
                </c:pt>
                <c:pt idx="8">
                  <c:v>0.16538461538461538</c:v>
                </c:pt>
                <c:pt idx="9">
                  <c:v>0.35320512820512817</c:v>
                </c:pt>
                <c:pt idx="10">
                  <c:v>0.47499999999999998</c:v>
                </c:pt>
                <c:pt idx="11">
                  <c:v>0.59423076923076912</c:v>
                </c:pt>
                <c:pt idx="12">
                  <c:v>0.69294871794871793</c:v>
                </c:pt>
                <c:pt idx="13">
                  <c:v>0.81923076923076921</c:v>
                </c:pt>
                <c:pt idx="14">
                  <c:v>0.85512820512820509</c:v>
                </c:pt>
                <c:pt idx="15">
                  <c:v>0.88012820512820511</c:v>
                </c:pt>
                <c:pt idx="16">
                  <c:v>0.91089743589743588</c:v>
                </c:pt>
                <c:pt idx="17">
                  <c:v>0.92179487179487185</c:v>
                </c:pt>
                <c:pt idx="18">
                  <c:v>0.93076923076923079</c:v>
                </c:pt>
                <c:pt idx="19">
                  <c:v>0.93717948717948718</c:v>
                </c:pt>
                <c:pt idx="20">
                  <c:v>0.9487179487179489</c:v>
                </c:pt>
                <c:pt idx="21">
                  <c:v>0.9525641025641024</c:v>
                </c:pt>
                <c:pt idx="22">
                  <c:v>0.96410256410256401</c:v>
                </c:pt>
                <c:pt idx="23">
                  <c:v>0.96666666666666656</c:v>
                </c:pt>
                <c:pt idx="24">
                  <c:v>0.96923076923076923</c:v>
                </c:pt>
                <c:pt idx="25">
                  <c:v>0.97307692307692306</c:v>
                </c:pt>
                <c:pt idx="26">
                  <c:v>0.97500000000000009</c:v>
                </c:pt>
                <c:pt idx="27">
                  <c:v>0.97692307692307701</c:v>
                </c:pt>
                <c:pt idx="28">
                  <c:v>0.97948717948717945</c:v>
                </c:pt>
                <c:pt idx="29">
                  <c:v>0.98076923076923073</c:v>
                </c:pt>
                <c:pt idx="30">
                  <c:v>0.98205128205128212</c:v>
                </c:pt>
                <c:pt idx="31">
                  <c:v>0.98269230769230764</c:v>
                </c:pt>
                <c:pt idx="32">
                  <c:v>0.98461538461538456</c:v>
                </c:pt>
                <c:pt idx="33">
                  <c:v>0.98525641025641031</c:v>
                </c:pt>
                <c:pt idx="34">
                  <c:v>0.98653846153846159</c:v>
                </c:pt>
                <c:pt idx="35">
                  <c:v>0.98782051282051286</c:v>
                </c:pt>
                <c:pt idx="36">
                  <c:v>0.9884615384615385</c:v>
                </c:pt>
                <c:pt idx="37">
                  <c:v>0.9884615384615385</c:v>
                </c:pt>
                <c:pt idx="38">
                  <c:v>0.98974358974358967</c:v>
                </c:pt>
                <c:pt idx="39">
                  <c:v>0.99038461538461542</c:v>
                </c:pt>
                <c:pt idx="40">
                  <c:v>0.99102564102564117</c:v>
                </c:pt>
                <c:pt idx="41">
                  <c:v>0.9916666666666667</c:v>
                </c:pt>
                <c:pt idx="42">
                  <c:v>0.99230769230769222</c:v>
                </c:pt>
                <c:pt idx="43">
                  <c:v>0.99294871794871797</c:v>
                </c:pt>
                <c:pt idx="44">
                  <c:v>0.99294871794871797</c:v>
                </c:pt>
                <c:pt idx="45">
                  <c:v>0.99358974358974361</c:v>
                </c:pt>
                <c:pt idx="46">
                  <c:v>0.99358974358974361</c:v>
                </c:pt>
                <c:pt idx="47">
                  <c:v>0.99423076923076914</c:v>
                </c:pt>
                <c:pt idx="48">
                  <c:v>0.99423076923076914</c:v>
                </c:pt>
                <c:pt idx="49">
                  <c:v>0.99487179487179489</c:v>
                </c:pt>
                <c:pt idx="50">
                  <c:v>0.99487179487179489</c:v>
                </c:pt>
                <c:pt idx="51">
                  <c:v>0.99551282051282053</c:v>
                </c:pt>
                <c:pt idx="52">
                  <c:v>0.99551282051282053</c:v>
                </c:pt>
                <c:pt idx="53">
                  <c:v>0.99487179487179489</c:v>
                </c:pt>
                <c:pt idx="54">
                  <c:v>0.99615384615384606</c:v>
                </c:pt>
                <c:pt idx="55">
                  <c:v>0.99615384615384606</c:v>
                </c:pt>
                <c:pt idx="56">
                  <c:v>0.99615384615384606</c:v>
                </c:pt>
                <c:pt idx="57">
                  <c:v>0.99615384615384606</c:v>
                </c:pt>
                <c:pt idx="58">
                  <c:v>0.99615384615384606</c:v>
                </c:pt>
                <c:pt idx="59">
                  <c:v>0.99679487179487181</c:v>
                </c:pt>
                <c:pt idx="60">
                  <c:v>0.99679487179487181</c:v>
                </c:pt>
                <c:pt idx="61">
                  <c:v>0.99615384615384606</c:v>
                </c:pt>
                <c:pt idx="62">
                  <c:v>0.99679487179487181</c:v>
                </c:pt>
                <c:pt idx="63">
                  <c:v>0.99679487179487181</c:v>
                </c:pt>
                <c:pt idx="64">
                  <c:v>0.99679487179487181</c:v>
                </c:pt>
                <c:pt idx="65">
                  <c:v>0.99679487179487181</c:v>
                </c:pt>
                <c:pt idx="66">
                  <c:v>0.99743589743589756</c:v>
                </c:pt>
                <c:pt idx="67">
                  <c:v>0.99743589743589756</c:v>
                </c:pt>
                <c:pt idx="68">
                  <c:v>0.99743589743589756</c:v>
                </c:pt>
                <c:pt idx="69">
                  <c:v>0.99743589743589756</c:v>
                </c:pt>
                <c:pt idx="70">
                  <c:v>0.99743589743589756</c:v>
                </c:pt>
                <c:pt idx="71">
                  <c:v>0.99743589743589756</c:v>
                </c:pt>
                <c:pt idx="72">
                  <c:v>0.99743589743589756</c:v>
                </c:pt>
                <c:pt idx="73">
                  <c:v>0.99743589743589756</c:v>
                </c:pt>
                <c:pt idx="74">
                  <c:v>0.99743589743589756</c:v>
                </c:pt>
                <c:pt idx="75">
                  <c:v>0.99807692307692308</c:v>
                </c:pt>
                <c:pt idx="76">
                  <c:v>0.99807692307692308</c:v>
                </c:pt>
                <c:pt idx="77">
                  <c:v>0.99807692307692308</c:v>
                </c:pt>
                <c:pt idx="78">
                  <c:v>0.99807692307692308</c:v>
                </c:pt>
                <c:pt idx="79">
                  <c:v>0.99807692307692308</c:v>
                </c:pt>
                <c:pt idx="80">
                  <c:v>0.99807692307692308</c:v>
                </c:pt>
                <c:pt idx="81">
                  <c:v>0.99807692307692308</c:v>
                </c:pt>
                <c:pt idx="82">
                  <c:v>0.99807692307692308</c:v>
                </c:pt>
                <c:pt idx="83">
                  <c:v>0.99871794871794872</c:v>
                </c:pt>
                <c:pt idx="84">
                  <c:v>0.99871794871794872</c:v>
                </c:pt>
                <c:pt idx="85">
                  <c:v>0.99871794871794872</c:v>
                </c:pt>
                <c:pt idx="86">
                  <c:v>0.99871794871794872</c:v>
                </c:pt>
                <c:pt idx="87">
                  <c:v>0.99807692307692308</c:v>
                </c:pt>
                <c:pt idx="88">
                  <c:v>0.99871794871794872</c:v>
                </c:pt>
                <c:pt idx="89">
                  <c:v>0.99871794871794872</c:v>
                </c:pt>
                <c:pt idx="90">
                  <c:v>0.99871794871794872</c:v>
                </c:pt>
                <c:pt idx="91">
                  <c:v>0.99871794871794872</c:v>
                </c:pt>
                <c:pt idx="92">
                  <c:v>0.99871794871794872</c:v>
                </c:pt>
                <c:pt idx="93">
                  <c:v>0.99871794871794872</c:v>
                </c:pt>
                <c:pt idx="94">
                  <c:v>0.99935897435897447</c:v>
                </c:pt>
                <c:pt idx="95">
                  <c:v>0.99935897435897447</c:v>
                </c:pt>
                <c:pt idx="96">
                  <c:v>0.99935897435897447</c:v>
                </c:pt>
                <c:pt idx="97">
                  <c:v>0.99935897435897447</c:v>
                </c:pt>
                <c:pt idx="98">
                  <c:v>0.99935897435897447</c:v>
                </c:pt>
                <c:pt idx="99">
                  <c:v>0.99935897435897447</c:v>
                </c:pt>
                <c:pt idx="100">
                  <c:v>0.99935897435897447</c:v>
                </c:pt>
                <c:pt idx="101">
                  <c:v>0.99935897435897447</c:v>
                </c:pt>
                <c:pt idx="102">
                  <c:v>0.99935897435897447</c:v>
                </c:pt>
                <c:pt idx="103">
                  <c:v>0.99935897435897447</c:v>
                </c:pt>
                <c:pt idx="104">
                  <c:v>0.99935897435897447</c:v>
                </c:pt>
                <c:pt idx="105">
                  <c:v>0.99935897435897447</c:v>
                </c:pt>
                <c:pt idx="106">
                  <c:v>0.99935897435897447</c:v>
                </c:pt>
                <c:pt idx="107">
                  <c:v>0.99935897435897447</c:v>
                </c:pt>
                <c:pt idx="108">
                  <c:v>0.99935897435897447</c:v>
                </c:pt>
                <c:pt idx="109">
                  <c:v>0.99935897435897447</c:v>
                </c:pt>
                <c:pt idx="110">
                  <c:v>0.99935897435897447</c:v>
                </c:pt>
                <c:pt idx="111">
                  <c:v>0.99935897435897447</c:v>
                </c:pt>
                <c:pt idx="112">
                  <c:v>0.99935897435897447</c:v>
                </c:pt>
                <c:pt idx="113">
                  <c:v>0.99935897435897447</c:v>
                </c:pt>
                <c:pt idx="114">
                  <c:v>0.99935897435897447</c:v>
                </c:pt>
                <c:pt idx="115">
                  <c:v>0.99935897435897447</c:v>
                </c:pt>
                <c:pt idx="116">
                  <c:v>0.99935897435897447</c:v>
                </c:pt>
                <c:pt idx="117">
                  <c:v>0.99935897435897447</c:v>
                </c:pt>
                <c:pt idx="118">
                  <c:v>0.99935897435897447</c:v>
                </c:pt>
                <c:pt idx="119">
                  <c:v>0.99935897435897447</c:v>
                </c:pt>
                <c:pt idx="120">
                  <c:v>0.99935897435897447</c:v>
                </c:pt>
                <c:pt idx="121">
                  <c:v>0.99935897435897447</c:v>
                </c:pt>
                <c:pt idx="122">
                  <c:v>0.99935897435897447</c:v>
                </c:pt>
                <c:pt idx="123">
                  <c:v>0.99935897435897447</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0.99935897435897447</c:v>
                </c:pt>
                <c:pt idx="142">
                  <c:v>1</c:v>
                </c:pt>
                <c:pt idx="143">
                  <c:v>1</c:v>
                </c:pt>
                <c:pt idx="144">
                  <c:v>1</c:v>
                </c:pt>
                <c:pt idx="145">
                  <c:v>1</c:v>
                </c:pt>
                <c:pt idx="146">
                  <c:v>1</c:v>
                </c:pt>
                <c:pt idx="147">
                  <c:v>1</c:v>
                </c:pt>
                <c:pt idx="148">
                  <c:v>1</c:v>
                </c:pt>
                <c:pt idx="149">
                  <c:v>1</c:v>
                </c:pt>
                <c:pt idx="150">
                  <c:v>1</c:v>
                </c:pt>
                <c:pt idx="151">
                  <c:v>1</c:v>
                </c:pt>
                <c:pt idx="152">
                  <c:v>0.99935897435897447</c:v>
                </c:pt>
                <c:pt idx="153">
                  <c:v>0.99935897435897447</c:v>
                </c:pt>
                <c:pt idx="154">
                  <c:v>1</c:v>
                </c:pt>
                <c:pt idx="155">
                  <c:v>1</c:v>
                </c:pt>
                <c:pt idx="156">
                  <c:v>1</c:v>
                </c:pt>
                <c:pt idx="157">
                  <c:v>1</c:v>
                </c:pt>
                <c:pt idx="158">
                  <c:v>1</c:v>
                </c:pt>
                <c:pt idx="159">
                  <c:v>0.99935897435897447</c:v>
                </c:pt>
                <c:pt idx="160">
                  <c:v>0.99935897435897447</c:v>
                </c:pt>
                <c:pt idx="161">
                  <c:v>1</c:v>
                </c:pt>
                <c:pt idx="162">
                  <c:v>1</c:v>
                </c:pt>
                <c:pt idx="163">
                  <c:v>1</c:v>
                </c:pt>
                <c:pt idx="164">
                  <c:v>1</c:v>
                </c:pt>
                <c:pt idx="165">
                  <c:v>1</c:v>
                </c:pt>
                <c:pt idx="166">
                  <c:v>1</c:v>
                </c:pt>
                <c:pt idx="167">
                  <c:v>1</c:v>
                </c:pt>
                <c:pt idx="168">
                  <c:v>1</c:v>
                </c:pt>
                <c:pt idx="169">
                  <c:v>1</c:v>
                </c:pt>
                <c:pt idx="170">
                  <c:v>1</c:v>
                </c:pt>
                <c:pt idx="171">
                  <c:v>0.99935897435897447</c:v>
                </c:pt>
                <c:pt idx="172">
                  <c:v>0.99935897435897447</c:v>
                </c:pt>
                <c:pt idx="173">
                  <c:v>0.99935897435897447</c:v>
                </c:pt>
                <c:pt idx="174">
                  <c:v>1</c:v>
                </c:pt>
                <c:pt idx="175">
                  <c:v>1</c:v>
                </c:pt>
                <c:pt idx="176">
                  <c:v>1</c:v>
                </c:pt>
                <c:pt idx="177">
                  <c:v>1</c:v>
                </c:pt>
                <c:pt idx="178">
                  <c:v>1</c:v>
                </c:pt>
                <c:pt idx="179">
                  <c:v>0.99935897435897447</c:v>
                </c:pt>
                <c:pt idx="180">
                  <c:v>1</c:v>
                </c:pt>
              </c:numCache>
            </c:numRef>
          </c:yVal>
          <c:smooth val="0"/>
          <c:extLst>
            <c:ext xmlns:c16="http://schemas.microsoft.com/office/drawing/2014/chart" uri="{C3380CC4-5D6E-409C-BE32-E72D297353CC}">
              <c16:uniqueId val="{00000000-9423-4CA2-AB25-29252B6F1A43}"/>
            </c:ext>
          </c:extLst>
        </c:ser>
        <c:ser>
          <c:idx val="1"/>
          <c:order val="1"/>
          <c:tx>
            <c:v>breakpoint</c:v>
          </c:tx>
          <c:spPr>
            <a:ln w="15875" cap="rnd">
              <a:solidFill>
                <a:schemeClr val="tx1"/>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9423-4CA2-AB25-29252B6F1A43}"/>
                </c:ext>
              </c:extLst>
            </c:dLbl>
            <c:dLbl>
              <c:idx val="1"/>
              <c:delete val="1"/>
              <c:extLst>
                <c:ext xmlns:c15="http://schemas.microsoft.com/office/drawing/2012/chart" uri="{CE6537A1-D6FC-4f65-9D91-7224C49458BB}"/>
                <c:ext xmlns:c16="http://schemas.microsoft.com/office/drawing/2014/chart" uri="{C3380CC4-5D6E-409C-BE32-E72D297353CC}">
                  <c16:uniqueId val="{00000002-9423-4CA2-AB25-29252B6F1A43}"/>
                </c:ext>
              </c:extLst>
            </c:dLbl>
            <c:dLbl>
              <c:idx val="2"/>
              <c:delete val="1"/>
              <c:extLst>
                <c:ext xmlns:c15="http://schemas.microsoft.com/office/drawing/2012/chart" uri="{CE6537A1-D6FC-4f65-9D91-7224C49458BB}"/>
                <c:ext xmlns:c16="http://schemas.microsoft.com/office/drawing/2014/chart" uri="{C3380CC4-5D6E-409C-BE32-E72D297353CC}">
                  <c16:uniqueId val="{00000003-9423-4CA2-AB25-29252B6F1A43}"/>
                </c:ext>
              </c:extLst>
            </c:dLbl>
            <c:dLbl>
              <c:idx val="3"/>
              <c:delete val="1"/>
              <c:extLst>
                <c:ext xmlns:c15="http://schemas.microsoft.com/office/drawing/2012/chart" uri="{CE6537A1-D6FC-4f65-9D91-7224C49458BB}"/>
                <c:ext xmlns:c16="http://schemas.microsoft.com/office/drawing/2014/chart" uri="{C3380CC4-5D6E-409C-BE32-E72D297353CC}">
                  <c16:uniqueId val="{00000004-9423-4CA2-AB25-29252B6F1A43}"/>
                </c:ext>
              </c:extLst>
            </c:dLbl>
            <c:dLbl>
              <c:idx val="4"/>
              <c:delete val="1"/>
              <c:extLst>
                <c:ext xmlns:c15="http://schemas.microsoft.com/office/drawing/2012/chart" uri="{CE6537A1-D6FC-4f65-9D91-7224C49458BB}"/>
                <c:ext xmlns:c16="http://schemas.microsoft.com/office/drawing/2014/chart" uri="{C3380CC4-5D6E-409C-BE32-E72D297353CC}">
                  <c16:uniqueId val="{00000005-9423-4CA2-AB25-29252B6F1A43}"/>
                </c:ext>
              </c:extLst>
            </c:dLbl>
            <c:dLbl>
              <c:idx val="5"/>
              <c:delete val="1"/>
              <c:extLst>
                <c:ext xmlns:c15="http://schemas.microsoft.com/office/drawing/2012/chart" uri="{CE6537A1-D6FC-4f65-9D91-7224C49458BB}">
                  <c15:layout>
                    <c:manualLayout>
                      <c:w val="3.5866013071895422E-2"/>
                      <c:h val="0.11043257376918794"/>
                    </c:manualLayout>
                  </c15:layout>
                </c:ext>
                <c:ext xmlns:c16="http://schemas.microsoft.com/office/drawing/2014/chart" uri="{C3380CC4-5D6E-409C-BE32-E72D297353CC}">
                  <c16:uniqueId val="{00000006-9423-4CA2-AB25-29252B6F1A43}"/>
                </c:ext>
              </c:extLst>
            </c:dLbl>
            <c:dLbl>
              <c:idx val="6"/>
              <c:delete val="1"/>
              <c:extLst>
                <c:ext xmlns:c15="http://schemas.microsoft.com/office/drawing/2012/chart" uri="{CE6537A1-D6FC-4f65-9D91-7224C49458BB}"/>
                <c:ext xmlns:c16="http://schemas.microsoft.com/office/drawing/2014/chart" uri="{C3380CC4-5D6E-409C-BE32-E72D297353CC}">
                  <c16:uniqueId val="{00000007-9423-4CA2-AB25-29252B6F1A43}"/>
                </c:ext>
              </c:extLst>
            </c:dLbl>
            <c:dLbl>
              <c:idx val="7"/>
              <c:delete val="1"/>
              <c:extLst>
                <c:ext xmlns:c15="http://schemas.microsoft.com/office/drawing/2012/chart" uri="{CE6537A1-D6FC-4f65-9D91-7224C49458BB}"/>
                <c:ext xmlns:c16="http://schemas.microsoft.com/office/drawing/2014/chart" uri="{C3380CC4-5D6E-409C-BE32-E72D297353CC}">
                  <c16:uniqueId val="{00000008-9423-4CA2-AB25-29252B6F1A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'CURVE BREAKTHROUGH A DIVERSE CO'!$F$51:$F$58</c:f>
              <c:numCache>
                <c:formatCode>General</c:formatCode>
                <c:ptCount val="8"/>
                <c:pt idx="0">
                  <c:v>12</c:v>
                </c:pt>
                <c:pt idx="1">
                  <c:v>12</c:v>
                </c:pt>
                <c:pt idx="2">
                  <c:v>12</c:v>
                </c:pt>
                <c:pt idx="3">
                  <c:v>12</c:v>
                </c:pt>
                <c:pt idx="4">
                  <c:v>12</c:v>
                </c:pt>
                <c:pt idx="5">
                  <c:v>12</c:v>
                </c:pt>
                <c:pt idx="6">
                  <c:v>12</c:v>
                </c:pt>
                <c:pt idx="7">
                  <c:v>12</c:v>
                </c:pt>
              </c:numCache>
            </c:numRef>
          </c:xVal>
          <c:yVal>
            <c:numRef>
              <c:f>'CURVE BREAKTHROUGH A DIVERSE CO'!$H$51:$H$58</c:f>
              <c:numCache>
                <c:formatCode>General</c:formatCode>
                <c:ptCount val="8"/>
                <c:pt idx="0">
                  <c:v>0</c:v>
                </c:pt>
                <c:pt idx="1">
                  <c:v>0.01</c:v>
                </c:pt>
                <c:pt idx="2">
                  <c:v>0.02</c:v>
                </c:pt>
                <c:pt idx="3">
                  <c:v>0.03</c:v>
                </c:pt>
                <c:pt idx="4">
                  <c:v>0.04</c:v>
                </c:pt>
                <c:pt idx="5">
                  <c:v>0.05</c:v>
                </c:pt>
                <c:pt idx="6">
                  <c:v>6.0000000000000005E-2</c:v>
                </c:pt>
                <c:pt idx="7">
                  <c:v>7.0000000000000007E-2</c:v>
                </c:pt>
              </c:numCache>
            </c:numRef>
          </c:yVal>
          <c:smooth val="0"/>
          <c:extLst>
            <c:ext xmlns:c16="http://schemas.microsoft.com/office/drawing/2014/chart" uri="{C3380CC4-5D6E-409C-BE32-E72D297353CC}">
              <c16:uniqueId val="{00000009-9423-4CA2-AB25-29252B6F1A43}"/>
            </c:ext>
          </c:extLst>
        </c:ser>
        <c:ser>
          <c:idx val="2"/>
          <c:order val="2"/>
          <c:tx>
            <c:v>saturazione</c:v>
          </c:tx>
          <c:spPr>
            <a:ln w="15875" cap="rnd">
              <a:solidFill>
                <a:schemeClr val="tx1"/>
              </a:solidFill>
              <a:prstDash val="sysDash"/>
              <a:round/>
            </a:ln>
            <a:effectLst/>
          </c:spPr>
          <c:marker>
            <c:symbol val="none"/>
          </c:marker>
          <c:xVal>
            <c:numRef>
              <c:f>'CURVE BREAKTHROUGH A DIVERSE CO'!$G$51:$G$146</c:f>
              <c:numCache>
                <c:formatCode>General</c:formatCode>
                <c:ptCount val="96"/>
                <c:pt idx="0">
                  <c:v>41</c:v>
                </c:pt>
                <c:pt idx="1">
                  <c:v>41</c:v>
                </c:pt>
                <c:pt idx="2">
                  <c:v>41</c:v>
                </c:pt>
                <c:pt idx="3">
                  <c:v>41</c:v>
                </c:pt>
                <c:pt idx="4">
                  <c:v>41</c:v>
                </c:pt>
                <c:pt idx="5">
                  <c:v>41</c:v>
                </c:pt>
                <c:pt idx="6">
                  <c:v>41</c:v>
                </c:pt>
                <c:pt idx="7">
                  <c:v>41</c:v>
                </c:pt>
                <c:pt idx="8">
                  <c:v>41</c:v>
                </c:pt>
                <c:pt idx="9">
                  <c:v>41</c:v>
                </c:pt>
                <c:pt idx="10">
                  <c:v>41</c:v>
                </c:pt>
                <c:pt idx="11">
                  <c:v>41</c:v>
                </c:pt>
                <c:pt idx="12">
                  <c:v>41</c:v>
                </c:pt>
                <c:pt idx="13">
                  <c:v>41</c:v>
                </c:pt>
                <c:pt idx="14">
                  <c:v>41</c:v>
                </c:pt>
                <c:pt idx="15">
                  <c:v>41</c:v>
                </c:pt>
                <c:pt idx="16">
                  <c:v>41</c:v>
                </c:pt>
                <c:pt idx="17">
                  <c:v>41</c:v>
                </c:pt>
                <c:pt idx="18">
                  <c:v>41</c:v>
                </c:pt>
                <c:pt idx="19">
                  <c:v>41</c:v>
                </c:pt>
                <c:pt idx="20">
                  <c:v>41</c:v>
                </c:pt>
                <c:pt idx="21">
                  <c:v>41</c:v>
                </c:pt>
                <c:pt idx="22">
                  <c:v>41</c:v>
                </c:pt>
                <c:pt idx="23">
                  <c:v>41</c:v>
                </c:pt>
                <c:pt idx="24">
                  <c:v>41</c:v>
                </c:pt>
                <c:pt idx="25">
                  <c:v>41</c:v>
                </c:pt>
                <c:pt idx="26">
                  <c:v>41</c:v>
                </c:pt>
                <c:pt idx="27">
                  <c:v>41</c:v>
                </c:pt>
                <c:pt idx="28">
                  <c:v>41</c:v>
                </c:pt>
                <c:pt idx="29">
                  <c:v>41</c:v>
                </c:pt>
                <c:pt idx="30">
                  <c:v>41</c:v>
                </c:pt>
                <c:pt idx="31">
                  <c:v>41</c:v>
                </c:pt>
                <c:pt idx="32">
                  <c:v>41</c:v>
                </c:pt>
                <c:pt idx="33">
                  <c:v>41</c:v>
                </c:pt>
                <c:pt idx="34">
                  <c:v>41</c:v>
                </c:pt>
                <c:pt idx="35">
                  <c:v>41</c:v>
                </c:pt>
                <c:pt idx="36">
                  <c:v>41</c:v>
                </c:pt>
                <c:pt idx="37">
                  <c:v>41</c:v>
                </c:pt>
                <c:pt idx="38">
                  <c:v>41</c:v>
                </c:pt>
                <c:pt idx="39">
                  <c:v>41</c:v>
                </c:pt>
                <c:pt idx="40">
                  <c:v>41</c:v>
                </c:pt>
                <c:pt idx="41">
                  <c:v>41</c:v>
                </c:pt>
                <c:pt idx="42">
                  <c:v>41</c:v>
                </c:pt>
                <c:pt idx="43">
                  <c:v>41</c:v>
                </c:pt>
                <c:pt idx="44">
                  <c:v>41</c:v>
                </c:pt>
                <c:pt idx="45">
                  <c:v>41</c:v>
                </c:pt>
                <c:pt idx="46">
                  <c:v>41</c:v>
                </c:pt>
                <c:pt idx="47">
                  <c:v>41</c:v>
                </c:pt>
                <c:pt idx="48">
                  <c:v>41</c:v>
                </c:pt>
                <c:pt idx="49">
                  <c:v>41</c:v>
                </c:pt>
                <c:pt idx="50">
                  <c:v>41</c:v>
                </c:pt>
                <c:pt idx="51">
                  <c:v>41</c:v>
                </c:pt>
                <c:pt idx="52">
                  <c:v>41</c:v>
                </c:pt>
                <c:pt idx="53">
                  <c:v>41</c:v>
                </c:pt>
                <c:pt idx="54">
                  <c:v>41</c:v>
                </c:pt>
                <c:pt idx="55">
                  <c:v>41</c:v>
                </c:pt>
                <c:pt idx="56">
                  <c:v>41</c:v>
                </c:pt>
                <c:pt idx="57">
                  <c:v>41</c:v>
                </c:pt>
                <c:pt idx="58">
                  <c:v>41</c:v>
                </c:pt>
                <c:pt idx="59">
                  <c:v>41</c:v>
                </c:pt>
                <c:pt idx="60">
                  <c:v>41</c:v>
                </c:pt>
                <c:pt idx="61">
                  <c:v>41</c:v>
                </c:pt>
                <c:pt idx="62">
                  <c:v>41</c:v>
                </c:pt>
                <c:pt idx="63">
                  <c:v>41</c:v>
                </c:pt>
                <c:pt idx="64">
                  <c:v>41</c:v>
                </c:pt>
                <c:pt idx="65">
                  <c:v>41</c:v>
                </c:pt>
                <c:pt idx="66">
                  <c:v>41</c:v>
                </c:pt>
                <c:pt idx="67">
                  <c:v>41</c:v>
                </c:pt>
                <c:pt idx="68">
                  <c:v>41</c:v>
                </c:pt>
                <c:pt idx="69">
                  <c:v>41</c:v>
                </c:pt>
                <c:pt idx="70">
                  <c:v>41</c:v>
                </c:pt>
                <c:pt idx="71">
                  <c:v>41</c:v>
                </c:pt>
                <c:pt idx="72">
                  <c:v>41</c:v>
                </c:pt>
                <c:pt idx="73">
                  <c:v>41</c:v>
                </c:pt>
                <c:pt idx="74">
                  <c:v>41</c:v>
                </c:pt>
                <c:pt idx="75">
                  <c:v>41</c:v>
                </c:pt>
                <c:pt idx="76">
                  <c:v>41</c:v>
                </c:pt>
                <c:pt idx="77">
                  <c:v>41</c:v>
                </c:pt>
                <c:pt idx="78">
                  <c:v>41</c:v>
                </c:pt>
                <c:pt idx="79">
                  <c:v>41</c:v>
                </c:pt>
                <c:pt idx="80">
                  <c:v>41</c:v>
                </c:pt>
                <c:pt idx="81">
                  <c:v>41</c:v>
                </c:pt>
                <c:pt idx="82">
                  <c:v>41</c:v>
                </c:pt>
                <c:pt idx="83">
                  <c:v>41</c:v>
                </c:pt>
                <c:pt idx="84">
                  <c:v>41</c:v>
                </c:pt>
                <c:pt idx="85">
                  <c:v>41</c:v>
                </c:pt>
                <c:pt idx="86">
                  <c:v>41</c:v>
                </c:pt>
                <c:pt idx="87">
                  <c:v>41</c:v>
                </c:pt>
                <c:pt idx="88">
                  <c:v>41</c:v>
                </c:pt>
                <c:pt idx="89">
                  <c:v>41</c:v>
                </c:pt>
                <c:pt idx="90">
                  <c:v>41</c:v>
                </c:pt>
                <c:pt idx="91">
                  <c:v>41</c:v>
                </c:pt>
                <c:pt idx="92">
                  <c:v>41</c:v>
                </c:pt>
                <c:pt idx="93">
                  <c:v>41</c:v>
                </c:pt>
                <c:pt idx="94">
                  <c:v>41</c:v>
                </c:pt>
                <c:pt idx="95">
                  <c:v>41</c:v>
                </c:pt>
              </c:numCache>
            </c:numRef>
          </c:xVal>
          <c:yVal>
            <c:numRef>
              <c:f>'CURVE BREAKTHROUGH A DIVERSE CO'!$H$51:$H$146</c:f>
              <c:numCache>
                <c:formatCode>General</c:formatCode>
                <c:ptCount val="96"/>
                <c:pt idx="0">
                  <c:v>0</c:v>
                </c:pt>
                <c:pt idx="1">
                  <c:v>0.01</c:v>
                </c:pt>
                <c:pt idx="2">
                  <c:v>0.02</c:v>
                </c:pt>
                <c:pt idx="3">
                  <c:v>0.03</c:v>
                </c:pt>
                <c:pt idx="4">
                  <c:v>0.04</c:v>
                </c:pt>
                <c:pt idx="5">
                  <c:v>0.05</c:v>
                </c:pt>
                <c:pt idx="6">
                  <c:v>6.0000000000000005E-2</c:v>
                </c:pt>
                <c:pt idx="7">
                  <c:v>7.0000000000000007E-2</c:v>
                </c:pt>
                <c:pt idx="8">
                  <c:v>0.08</c:v>
                </c:pt>
                <c:pt idx="9">
                  <c:v>0.09</c:v>
                </c:pt>
                <c:pt idx="10">
                  <c:v>9.9999999999999992E-2</c:v>
                </c:pt>
                <c:pt idx="11">
                  <c:v>0.10999999999999999</c:v>
                </c:pt>
                <c:pt idx="12">
                  <c:v>0.11999999999999998</c:v>
                </c:pt>
                <c:pt idx="13">
                  <c:v>0.12999999999999998</c:v>
                </c:pt>
                <c:pt idx="14">
                  <c:v>0.13999999999999999</c:v>
                </c:pt>
                <c:pt idx="15">
                  <c:v>0.15</c:v>
                </c:pt>
                <c:pt idx="16">
                  <c:v>0.16</c:v>
                </c:pt>
                <c:pt idx="17">
                  <c:v>0.17</c:v>
                </c:pt>
                <c:pt idx="18">
                  <c:v>0.18000000000000002</c:v>
                </c:pt>
                <c:pt idx="19">
                  <c:v>0.19000000000000003</c:v>
                </c:pt>
                <c:pt idx="20">
                  <c:v>0.20000000000000004</c:v>
                </c:pt>
                <c:pt idx="21">
                  <c:v>0.21000000000000005</c:v>
                </c:pt>
                <c:pt idx="22">
                  <c:v>0.22000000000000006</c:v>
                </c:pt>
                <c:pt idx="23">
                  <c:v>0.23000000000000007</c:v>
                </c:pt>
                <c:pt idx="24">
                  <c:v>0.24000000000000007</c:v>
                </c:pt>
                <c:pt idx="25">
                  <c:v>0.25000000000000006</c:v>
                </c:pt>
                <c:pt idx="26">
                  <c:v>0.26000000000000006</c:v>
                </c:pt>
                <c:pt idx="27">
                  <c:v>0.27000000000000007</c:v>
                </c:pt>
                <c:pt idx="28">
                  <c:v>0.28000000000000008</c:v>
                </c:pt>
                <c:pt idx="29">
                  <c:v>0.29000000000000009</c:v>
                </c:pt>
                <c:pt idx="30">
                  <c:v>0.3000000000000001</c:v>
                </c:pt>
                <c:pt idx="31">
                  <c:v>0.31000000000000011</c:v>
                </c:pt>
                <c:pt idx="32">
                  <c:v>0.32000000000000012</c:v>
                </c:pt>
                <c:pt idx="33">
                  <c:v>0.33000000000000013</c:v>
                </c:pt>
                <c:pt idx="34">
                  <c:v>0.34000000000000014</c:v>
                </c:pt>
                <c:pt idx="35">
                  <c:v>0.35000000000000014</c:v>
                </c:pt>
                <c:pt idx="36">
                  <c:v>0.36000000000000015</c:v>
                </c:pt>
                <c:pt idx="37">
                  <c:v>0.37000000000000016</c:v>
                </c:pt>
                <c:pt idx="38">
                  <c:v>0.38000000000000017</c:v>
                </c:pt>
                <c:pt idx="39">
                  <c:v>0.39000000000000018</c:v>
                </c:pt>
                <c:pt idx="40">
                  <c:v>0.40000000000000019</c:v>
                </c:pt>
                <c:pt idx="41">
                  <c:v>0.4100000000000002</c:v>
                </c:pt>
                <c:pt idx="42">
                  <c:v>0.42000000000000021</c:v>
                </c:pt>
                <c:pt idx="43">
                  <c:v>0.43000000000000022</c:v>
                </c:pt>
                <c:pt idx="44">
                  <c:v>0.44000000000000022</c:v>
                </c:pt>
                <c:pt idx="45">
                  <c:v>0.45000000000000023</c:v>
                </c:pt>
                <c:pt idx="46">
                  <c:v>0.46000000000000024</c:v>
                </c:pt>
                <c:pt idx="47">
                  <c:v>0.47000000000000025</c:v>
                </c:pt>
                <c:pt idx="48">
                  <c:v>0.48000000000000026</c:v>
                </c:pt>
                <c:pt idx="49">
                  <c:v>0.49000000000000027</c:v>
                </c:pt>
                <c:pt idx="50">
                  <c:v>0.50000000000000022</c:v>
                </c:pt>
                <c:pt idx="51">
                  <c:v>0.51000000000000023</c:v>
                </c:pt>
                <c:pt idx="52">
                  <c:v>0.52000000000000024</c:v>
                </c:pt>
                <c:pt idx="53">
                  <c:v>0.53000000000000025</c:v>
                </c:pt>
                <c:pt idx="54">
                  <c:v>0.54000000000000026</c:v>
                </c:pt>
                <c:pt idx="55">
                  <c:v>0.55000000000000027</c:v>
                </c:pt>
                <c:pt idx="56">
                  <c:v>0.56000000000000028</c:v>
                </c:pt>
                <c:pt idx="57">
                  <c:v>0.57000000000000028</c:v>
                </c:pt>
                <c:pt idx="58">
                  <c:v>0.58000000000000029</c:v>
                </c:pt>
                <c:pt idx="59">
                  <c:v>0.5900000000000003</c:v>
                </c:pt>
                <c:pt idx="60">
                  <c:v>0.60000000000000031</c:v>
                </c:pt>
                <c:pt idx="61">
                  <c:v>0.61000000000000032</c:v>
                </c:pt>
                <c:pt idx="62">
                  <c:v>0.62000000000000033</c:v>
                </c:pt>
                <c:pt idx="63">
                  <c:v>0.63000000000000034</c:v>
                </c:pt>
                <c:pt idx="64">
                  <c:v>0.64000000000000035</c:v>
                </c:pt>
                <c:pt idx="65">
                  <c:v>0.65000000000000036</c:v>
                </c:pt>
                <c:pt idx="66">
                  <c:v>0.66000000000000036</c:v>
                </c:pt>
                <c:pt idx="67">
                  <c:v>0.67000000000000037</c:v>
                </c:pt>
                <c:pt idx="68">
                  <c:v>0.68000000000000038</c:v>
                </c:pt>
                <c:pt idx="69">
                  <c:v>0.69000000000000039</c:v>
                </c:pt>
                <c:pt idx="70">
                  <c:v>0.7000000000000004</c:v>
                </c:pt>
                <c:pt idx="71">
                  <c:v>0.71000000000000041</c:v>
                </c:pt>
                <c:pt idx="72">
                  <c:v>0.72000000000000042</c:v>
                </c:pt>
                <c:pt idx="73">
                  <c:v>0.73000000000000043</c:v>
                </c:pt>
                <c:pt idx="74">
                  <c:v>0.74000000000000044</c:v>
                </c:pt>
                <c:pt idx="75">
                  <c:v>0.75000000000000044</c:v>
                </c:pt>
                <c:pt idx="76">
                  <c:v>0.76000000000000045</c:v>
                </c:pt>
                <c:pt idx="77">
                  <c:v>0.77000000000000046</c:v>
                </c:pt>
                <c:pt idx="78">
                  <c:v>0.78000000000000047</c:v>
                </c:pt>
                <c:pt idx="79">
                  <c:v>0.79000000000000048</c:v>
                </c:pt>
                <c:pt idx="80">
                  <c:v>0.80000000000000049</c:v>
                </c:pt>
                <c:pt idx="81">
                  <c:v>0.8100000000000005</c:v>
                </c:pt>
                <c:pt idx="82">
                  <c:v>0.82000000000000051</c:v>
                </c:pt>
                <c:pt idx="83">
                  <c:v>0.83000000000000052</c:v>
                </c:pt>
                <c:pt idx="84">
                  <c:v>0.84000000000000052</c:v>
                </c:pt>
                <c:pt idx="85">
                  <c:v>0.85000000000000053</c:v>
                </c:pt>
                <c:pt idx="86">
                  <c:v>0.86000000000000054</c:v>
                </c:pt>
                <c:pt idx="87">
                  <c:v>0.87000000000000055</c:v>
                </c:pt>
                <c:pt idx="88">
                  <c:v>0.88000000000000056</c:v>
                </c:pt>
                <c:pt idx="89">
                  <c:v>0.89000000000000057</c:v>
                </c:pt>
                <c:pt idx="90">
                  <c:v>0.90000000000000058</c:v>
                </c:pt>
                <c:pt idx="91">
                  <c:v>0.91000000000000059</c:v>
                </c:pt>
                <c:pt idx="92">
                  <c:v>0.9200000000000006</c:v>
                </c:pt>
                <c:pt idx="93">
                  <c:v>0.9300000000000006</c:v>
                </c:pt>
                <c:pt idx="94">
                  <c:v>0.94000000000000061</c:v>
                </c:pt>
                <c:pt idx="95">
                  <c:v>0.95000000000000062</c:v>
                </c:pt>
              </c:numCache>
            </c:numRef>
          </c:yVal>
          <c:smooth val="0"/>
          <c:extLst>
            <c:ext xmlns:c16="http://schemas.microsoft.com/office/drawing/2014/chart" uri="{C3380CC4-5D6E-409C-BE32-E72D297353CC}">
              <c16:uniqueId val="{0000000A-9423-4CA2-AB25-29252B6F1A43}"/>
            </c:ext>
          </c:extLst>
        </c:ser>
        <c:ser>
          <c:idx val="3"/>
          <c:order val="3"/>
          <c:tx>
            <c:v>Asintoto breakpoint</c:v>
          </c:tx>
          <c:spPr>
            <a:ln w="19050" cap="rnd">
              <a:solidFill>
                <a:schemeClr val="tx1">
                  <a:lumMod val="75000"/>
                  <a:lumOff val="25000"/>
                </a:schemeClr>
              </a:solidFill>
              <a:prstDash val="sysDot"/>
              <a:round/>
            </a:ln>
            <a:effectLst/>
          </c:spPr>
          <c:marker>
            <c:symbol val="none"/>
          </c:marker>
          <c:dLbls>
            <c:dLbl>
              <c:idx val="2"/>
              <c:layout>
                <c:manualLayout>
                  <c:x val="-0.16143535041980631"/>
                  <c:y val="-4.015988600719857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15:layout>
                    <c:manualLayout>
                      <c:w val="6.7434004754159893E-2"/>
                      <c:h val="7.0434967661944722E-2"/>
                    </c:manualLayout>
                  </c15:layout>
                </c:ext>
                <c:ext xmlns:c16="http://schemas.microsoft.com/office/drawing/2014/chart" uri="{C3380CC4-5D6E-409C-BE32-E72D297353CC}">
                  <c16:uniqueId val="{0000000B-9423-4CA2-AB25-29252B6F1A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'CURVE BREAKTHROUGH A DIVERSE CO'!$A$3:$A$9</c:f>
              <c:numCache>
                <c:formatCode>General</c:formatCode>
                <c:ptCount val="7"/>
                <c:pt idx="0">
                  <c:v>0</c:v>
                </c:pt>
                <c:pt idx="1">
                  <c:v>2</c:v>
                </c:pt>
                <c:pt idx="2">
                  <c:v>4</c:v>
                </c:pt>
                <c:pt idx="3">
                  <c:v>6</c:v>
                </c:pt>
                <c:pt idx="4">
                  <c:v>8</c:v>
                </c:pt>
                <c:pt idx="5">
                  <c:v>10</c:v>
                </c:pt>
                <c:pt idx="6">
                  <c:v>12</c:v>
                </c:pt>
              </c:numCache>
            </c:numRef>
          </c:xVal>
          <c:yVal>
            <c:numRef>
              <c:f>'CURVE BREAKTHROUGH A DIVERSE CO'!$E$3:$E$9</c:f>
              <c:numCache>
                <c:formatCode>General</c:formatCode>
                <c:ptCount val="7"/>
                <c:pt idx="0">
                  <c:v>0.05</c:v>
                </c:pt>
                <c:pt idx="1">
                  <c:v>0.05</c:v>
                </c:pt>
                <c:pt idx="2">
                  <c:v>0.05</c:v>
                </c:pt>
                <c:pt idx="3">
                  <c:v>0.05</c:v>
                </c:pt>
                <c:pt idx="4">
                  <c:v>0.05</c:v>
                </c:pt>
                <c:pt idx="5">
                  <c:v>0.05</c:v>
                </c:pt>
                <c:pt idx="6">
                  <c:v>0.05</c:v>
                </c:pt>
              </c:numCache>
            </c:numRef>
          </c:yVal>
          <c:smooth val="0"/>
          <c:extLst>
            <c:ext xmlns:c16="http://schemas.microsoft.com/office/drawing/2014/chart" uri="{C3380CC4-5D6E-409C-BE32-E72D297353CC}">
              <c16:uniqueId val="{0000000C-9423-4CA2-AB25-29252B6F1A43}"/>
            </c:ext>
          </c:extLst>
        </c:ser>
        <c:ser>
          <c:idx val="4"/>
          <c:order val="4"/>
          <c:tx>
            <c:v>Asintoto saturazione</c:v>
          </c:tx>
          <c:spPr>
            <a:ln w="19050" cap="rnd">
              <a:solidFill>
                <a:schemeClr val="tx1">
                  <a:lumMod val="75000"/>
                  <a:lumOff val="25000"/>
                </a:schemeClr>
              </a:solidFill>
              <a:prstDash val="sysDot"/>
              <a:round/>
            </a:ln>
            <a:effectLst/>
          </c:spPr>
          <c:marker>
            <c:symbol val="none"/>
          </c:marker>
          <c:dPt>
            <c:idx val="14"/>
            <c:marker>
              <c:symbol val="none"/>
            </c:marker>
            <c:bubble3D val="0"/>
            <c:extLst>
              <c:ext xmlns:c16="http://schemas.microsoft.com/office/drawing/2014/chart" uri="{C3380CC4-5D6E-409C-BE32-E72D297353CC}">
                <c16:uniqueId val="{0000000D-9423-4CA2-AB25-29252B6F1A43}"/>
              </c:ext>
            </c:extLst>
          </c:dPt>
          <c:dLbls>
            <c:dLbl>
              <c:idx val="1"/>
              <c:layout>
                <c:manualLayout>
                  <c:x val="-0.1221929424466881"/>
                  <c:y val="1.9008299638220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423-4CA2-AB25-29252B6F1A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it-I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'CURVE BREAKTHROUGH A DIVERSE CO'!$A$3:$A$23</c:f>
              <c:numCache>
                <c:formatCode>General</c:formatCode>
                <c:ptCount val="2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numCache>
            </c:numRef>
          </c:xVal>
          <c:yVal>
            <c:numRef>
              <c:f>'CURVE BREAKTHROUGH A DIVERSE CO'!$D$3:$D$23</c:f>
              <c:numCache>
                <c:formatCode>General</c:formatCode>
                <c:ptCount val="21"/>
                <c:pt idx="0">
                  <c:v>0.95</c:v>
                </c:pt>
                <c:pt idx="1">
                  <c:v>0.95</c:v>
                </c:pt>
                <c:pt idx="2">
                  <c:v>0.95</c:v>
                </c:pt>
                <c:pt idx="3">
                  <c:v>0.95</c:v>
                </c:pt>
                <c:pt idx="4">
                  <c:v>0.95</c:v>
                </c:pt>
                <c:pt idx="5">
                  <c:v>0.95</c:v>
                </c:pt>
                <c:pt idx="6">
                  <c:v>0.95</c:v>
                </c:pt>
                <c:pt idx="7">
                  <c:v>0.95</c:v>
                </c:pt>
                <c:pt idx="8">
                  <c:v>0.95</c:v>
                </c:pt>
                <c:pt idx="9">
                  <c:v>0.95</c:v>
                </c:pt>
                <c:pt idx="10">
                  <c:v>0.95</c:v>
                </c:pt>
                <c:pt idx="11">
                  <c:v>0.95</c:v>
                </c:pt>
                <c:pt idx="12">
                  <c:v>0.95</c:v>
                </c:pt>
                <c:pt idx="13">
                  <c:v>0.95</c:v>
                </c:pt>
                <c:pt idx="14">
                  <c:v>0.95</c:v>
                </c:pt>
                <c:pt idx="15">
                  <c:v>0.95</c:v>
                </c:pt>
                <c:pt idx="16">
                  <c:v>0.95</c:v>
                </c:pt>
                <c:pt idx="17">
                  <c:v>0.95</c:v>
                </c:pt>
                <c:pt idx="18">
                  <c:v>0.95</c:v>
                </c:pt>
                <c:pt idx="19">
                  <c:v>0.95</c:v>
                </c:pt>
                <c:pt idx="20">
                  <c:v>0.95</c:v>
                </c:pt>
              </c:numCache>
            </c:numRef>
          </c:yVal>
          <c:smooth val="0"/>
          <c:extLst>
            <c:ext xmlns:c16="http://schemas.microsoft.com/office/drawing/2014/chart" uri="{C3380CC4-5D6E-409C-BE32-E72D297353CC}">
              <c16:uniqueId val="{0000000F-9423-4CA2-AB25-29252B6F1A43}"/>
            </c:ext>
          </c:extLst>
        </c:ser>
        <c:dLbls>
          <c:showLegendKey val="0"/>
          <c:showVal val="0"/>
          <c:showCatName val="0"/>
          <c:showSerName val="0"/>
          <c:showPercent val="0"/>
          <c:showBubbleSize val="0"/>
        </c:dLbls>
        <c:axId val="1088861775"/>
        <c:axId val="1088863215"/>
      </c:scatterChart>
      <c:valAx>
        <c:axId val="1088861775"/>
        <c:scaling>
          <c:orientation val="minMax"/>
          <c:max val="6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t-IT" sz="1000" b="1" i="0" u="none" strike="noStrike" kern="1200" baseline="0">
                    <a:solidFill>
                      <a:schemeClr val="tx1"/>
                    </a:solidFill>
                    <a:latin typeface="Arial" panose="020B0604020202020204" pitchFamily="34" charset="0"/>
                    <a:cs typeface="Arial" panose="020B0604020202020204" pitchFamily="34" charset="0"/>
                  </a:rPr>
                  <a:t>t [s]</a:t>
                </a:r>
              </a:p>
            </c:rich>
          </c:tx>
          <c:layout>
            <c:manualLayout>
              <c:xMode val="edge"/>
              <c:yMode val="edge"/>
              <c:x val="0.48461031821346673"/>
              <c:y val="0.928386095066320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088863215"/>
        <c:crosses val="autoZero"/>
        <c:crossBetween val="midCat"/>
      </c:valAx>
      <c:valAx>
        <c:axId val="108886321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t-IT" sz="1000" b="1" i="0" u="none" strike="noStrike" kern="1200" baseline="0">
                    <a:solidFill>
                      <a:schemeClr val="tx1"/>
                    </a:solidFill>
                    <a:latin typeface="Arial" panose="020B0604020202020204" pitchFamily="34" charset="0"/>
                    <a:cs typeface="Arial" panose="020B0604020202020204" pitchFamily="34" charset="0"/>
                  </a:rPr>
                  <a:t>C/C</a:t>
                </a:r>
                <a:r>
                  <a:rPr lang="it-IT" sz="1000" b="1" i="0" u="none" strike="noStrike" kern="1200" baseline="-25000">
                    <a:solidFill>
                      <a:schemeClr val="tx1"/>
                    </a:solidFill>
                    <a:latin typeface="Arial" panose="020B0604020202020204" pitchFamily="34" charset="0"/>
                    <a:cs typeface="Arial" panose="020B0604020202020204" pitchFamily="34" charset="0"/>
                  </a:rPr>
                  <a:t>0</a:t>
                </a:r>
                <a:r>
                  <a:rPr lang="it-IT" sz="1000" b="1" i="0" u="none" strike="noStrike" kern="1200" baseline="0">
                    <a:solidFill>
                      <a:schemeClr val="tx1"/>
                    </a:solidFill>
                    <a:latin typeface="Arial" panose="020B0604020202020204" pitchFamily="34" charset="0"/>
                    <a:cs typeface="Arial" panose="020B0604020202020204" pitchFamily="34" charset="0"/>
                  </a:rPr>
                  <a:t> [-]</a:t>
                </a:r>
              </a:p>
            </c:rich>
          </c:tx>
          <c:layout>
            <c:manualLayout>
              <c:xMode val="edge"/>
              <c:yMode val="edge"/>
              <c:x val="1.2820272856859988E-3"/>
              <c:y val="0.354695263562089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088861775"/>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05923543172093"/>
          <c:y val="8.0818158599740245E-2"/>
          <c:w val="0.7596481281133024"/>
          <c:h val="0.7256861008315989"/>
        </c:manualLayout>
      </c:layout>
      <c:scatterChart>
        <c:scatterStyle val="lineMarker"/>
        <c:varyColors val="0"/>
        <c:ser>
          <c:idx val="0"/>
          <c:order val="0"/>
          <c:tx>
            <c:v>xCO2/xCO2,max</c:v>
          </c:tx>
          <c:spPr>
            <a:ln w="9525" cap="rnd">
              <a:solidFill>
                <a:schemeClr val="tx1"/>
              </a:solidFill>
              <a:round/>
            </a:ln>
            <a:effectLst/>
          </c:spPr>
          <c:marker>
            <c:symbol val="circle"/>
            <c:size val="4"/>
            <c:spPr>
              <a:solidFill>
                <a:schemeClr val="tx1"/>
              </a:solidFill>
              <a:ln w="9525">
                <a:solidFill>
                  <a:schemeClr val="tx1"/>
                </a:solidFill>
              </a:ln>
              <a:effectLst/>
            </c:spPr>
          </c:marker>
          <c:xVal>
            <c:numRef>
              <c:f>'CONFRONTO PORTATE'!$R$85:$R$305</c:f>
              <c:numCache>
                <c:formatCode>General</c:formatCode>
                <c:ptCount val="2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numCache>
            </c:numRef>
          </c:xVal>
          <c:yVal>
            <c:numRef>
              <c:f>'CONFRONTO PORTATE'!$T$85:$T$305</c:f>
              <c:numCache>
                <c:formatCode>General</c:formatCode>
                <c:ptCount val="221"/>
                <c:pt idx="0">
                  <c:v>0</c:v>
                </c:pt>
                <c:pt idx="1">
                  <c:v>0</c:v>
                </c:pt>
                <c:pt idx="2">
                  <c:v>3.125E-2</c:v>
                </c:pt>
                <c:pt idx="3">
                  <c:v>6.25E-2</c:v>
                </c:pt>
                <c:pt idx="4">
                  <c:v>0.15625</c:v>
                </c:pt>
                <c:pt idx="5">
                  <c:v>0.21875000000000003</c:v>
                </c:pt>
                <c:pt idx="6">
                  <c:v>0.3125</c:v>
                </c:pt>
                <c:pt idx="7">
                  <c:v>0.40625</c:v>
                </c:pt>
                <c:pt idx="8">
                  <c:v>0.5</c:v>
                </c:pt>
                <c:pt idx="9">
                  <c:v>0.5625</c:v>
                </c:pt>
                <c:pt idx="10">
                  <c:v>0.625</c:v>
                </c:pt>
                <c:pt idx="11">
                  <c:v>0.6875</c:v>
                </c:pt>
                <c:pt idx="12">
                  <c:v>0.75</c:v>
                </c:pt>
                <c:pt idx="13">
                  <c:v>0.8125</c:v>
                </c:pt>
                <c:pt idx="14">
                  <c:v>0.84375</c:v>
                </c:pt>
                <c:pt idx="15">
                  <c:v>0.87500000000000011</c:v>
                </c:pt>
                <c:pt idx="16">
                  <c:v>0.84375</c:v>
                </c:pt>
                <c:pt idx="17">
                  <c:v>0.87500000000000011</c:v>
                </c:pt>
                <c:pt idx="18">
                  <c:v>0.9375</c:v>
                </c:pt>
                <c:pt idx="19">
                  <c:v>0.96875</c:v>
                </c:pt>
                <c:pt idx="20">
                  <c:v>0.96875</c:v>
                </c:pt>
                <c:pt idx="21">
                  <c:v>1</c:v>
                </c:pt>
                <c:pt idx="22">
                  <c:v>1</c:v>
                </c:pt>
                <c:pt idx="23">
                  <c:v>0.96875</c:v>
                </c:pt>
                <c:pt idx="24">
                  <c:v>1</c:v>
                </c:pt>
                <c:pt idx="25">
                  <c:v>1</c:v>
                </c:pt>
                <c:pt idx="26">
                  <c:v>0.96875</c:v>
                </c:pt>
                <c:pt idx="27">
                  <c:v>0.9375</c:v>
                </c:pt>
                <c:pt idx="28">
                  <c:v>0.9375</c:v>
                </c:pt>
                <c:pt idx="29">
                  <c:v>0.9375</c:v>
                </c:pt>
                <c:pt idx="30">
                  <c:v>0.9375</c:v>
                </c:pt>
                <c:pt idx="31">
                  <c:v>0.9375</c:v>
                </c:pt>
                <c:pt idx="32">
                  <c:v>0.9375</c:v>
                </c:pt>
                <c:pt idx="33">
                  <c:v>0.9375</c:v>
                </c:pt>
                <c:pt idx="34">
                  <c:v>0.90624999999999989</c:v>
                </c:pt>
                <c:pt idx="35">
                  <c:v>0.87500000000000011</c:v>
                </c:pt>
                <c:pt idx="36">
                  <c:v>0.84375</c:v>
                </c:pt>
                <c:pt idx="37">
                  <c:v>0.84375</c:v>
                </c:pt>
                <c:pt idx="38">
                  <c:v>0.84375</c:v>
                </c:pt>
                <c:pt idx="39">
                  <c:v>0.78125</c:v>
                </c:pt>
                <c:pt idx="40">
                  <c:v>0.78125</c:v>
                </c:pt>
                <c:pt idx="41">
                  <c:v>0.75</c:v>
                </c:pt>
                <c:pt idx="42">
                  <c:v>0.75</c:v>
                </c:pt>
                <c:pt idx="43">
                  <c:v>0.71875</c:v>
                </c:pt>
                <c:pt idx="44">
                  <c:v>0.71875</c:v>
                </c:pt>
                <c:pt idx="45">
                  <c:v>0.6875</c:v>
                </c:pt>
                <c:pt idx="46">
                  <c:v>0.6875</c:v>
                </c:pt>
                <c:pt idx="47">
                  <c:v>0.65625</c:v>
                </c:pt>
                <c:pt idx="48">
                  <c:v>0.65625</c:v>
                </c:pt>
                <c:pt idx="49">
                  <c:v>0.65625</c:v>
                </c:pt>
                <c:pt idx="50">
                  <c:v>0.625</c:v>
                </c:pt>
                <c:pt idx="51">
                  <c:v>0.59375</c:v>
                </c:pt>
                <c:pt idx="52">
                  <c:v>0.59375</c:v>
                </c:pt>
                <c:pt idx="53">
                  <c:v>0.5625</c:v>
                </c:pt>
                <c:pt idx="54">
                  <c:v>0.53125</c:v>
                </c:pt>
                <c:pt idx="55">
                  <c:v>0.53125</c:v>
                </c:pt>
                <c:pt idx="56">
                  <c:v>0.5</c:v>
                </c:pt>
                <c:pt idx="57">
                  <c:v>0.5</c:v>
                </c:pt>
                <c:pt idx="58">
                  <c:v>0.5</c:v>
                </c:pt>
                <c:pt idx="59">
                  <c:v>0.46875</c:v>
                </c:pt>
                <c:pt idx="60">
                  <c:v>0.46875</c:v>
                </c:pt>
                <c:pt idx="61">
                  <c:v>0.46875</c:v>
                </c:pt>
                <c:pt idx="62">
                  <c:v>0.43750000000000006</c:v>
                </c:pt>
                <c:pt idx="63">
                  <c:v>0.40625</c:v>
                </c:pt>
                <c:pt idx="64">
                  <c:v>0.40625</c:v>
                </c:pt>
                <c:pt idx="65">
                  <c:v>0.40625</c:v>
                </c:pt>
                <c:pt idx="66">
                  <c:v>0.40625</c:v>
                </c:pt>
                <c:pt idx="67">
                  <c:v>0.375</c:v>
                </c:pt>
                <c:pt idx="68">
                  <c:v>0.375</c:v>
                </c:pt>
                <c:pt idx="69">
                  <c:v>0.34375</c:v>
                </c:pt>
                <c:pt idx="70">
                  <c:v>0.34375</c:v>
                </c:pt>
                <c:pt idx="71">
                  <c:v>0.3125</c:v>
                </c:pt>
                <c:pt idx="72">
                  <c:v>0.3125</c:v>
                </c:pt>
                <c:pt idx="73">
                  <c:v>0.3125</c:v>
                </c:pt>
                <c:pt idx="74">
                  <c:v>0.28125</c:v>
                </c:pt>
                <c:pt idx="75">
                  <c:v>0.25</c:v>
                </c:pt>
                <c:pt idx="76">
                  <c:v>0.25</c:v>
                </c:pt>
                <c:pt idx="77">
                  <c:v>0.21875000000000003</c:v>
                </c:pt>
                <c:pt idx="78">
                  <c:v>0.21875000000000003</c:v>
                </c:pt>
                <c:pt idx="79">
                  <c:v>0.21875000000000003</c:v>
                </c:pt>
                <c:pt idx="80">
                  <c:v>0.21875000000000003</c:v>
                </c:pt>
                <c:pt idx="81">
                  <c:v>0.1875</c:v>
                </c:pt>
                <c:pt idx="82">
                  <c:v>0.1875</c:v>
                </c:pt>
                <c:pt idx="83">
                  <c:v>0.1875</c:v>
                </c:pt>
                <c:pt idx="84">
                  <c:v>0.1875</c:v>
                </c:pt>
                <c:pt idx="85">
                  <c:v>0.15625</c:v>
                </c:pt>
                <c:pt idx="86">
                  <c:v>0.15625</c:v>
                </c:pt>
                <c:pt idx="87">
                  <c:v>0.15625</c:v>
                </c:pt>
                <c:pt idx="88">
                  <c:v>0.125</c:v>
                </c:pt>
                <c:pt idx="89">
                  <c:v>0.125</c:v>
                </c:pt>
                <c:pt idx="90">
                  <c:v>0.125</c:v>
                </c:pt>
                <c:pt idx="91">
                  <c:v>9.375E-2</c:v>
                </c:pt>
                <c:pt idx="92">
                  <c:v>9.375E-2</c:v>
                </c:pt>
                <c:pt idx="93">
                  <c:v>9.375E-2</c:v>
                </c:pt>
                <c:pt idx="94">
                  <c:v>6.25E-2</c:v>
                </c:pt>
                <c:pt idx="95">
                  <c:v>6.25E-2</c:v>
                </c:pt>
                <c:pt idx="96">
                  <c:v>6.25E-2</c:v>
                </c:pt>
                <c:pt idx="97">
                  <c:v>6.25E-2</c:v>
                </c:pt>
                <c:pt idx="98">
                  <c:v>3.125E-2</c:v>
                </c:pt>
                <c:pt idx="99">
                  <c:v>3.125E-2</c:v>
                </c:pt>
                <c:pt idx="100">
                  <c:v>3.125E-2</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numCache>
            </c:numRef>
          </c:yVal>
          <c:smooth val="0"/>
          <c:extLst>
            <c:ext xmlns:c16="http://schemas.microsoft.com/office/drawing/2014/chart" uri="{C3380CC4-5D6E-409C-BE32-E72D297353CC}">
              <c16:uniqueId val="{00000000-B471-45E2-9751-958098C0DFAB}"/>
            </c:ext>
          </c:extLst>
        </c:ser>
        <c:dLbls>
          <c:showLegendKey val="0"/>
          <c:showVal val="0"/>
          <c:showCatName val="0"/>
          <c:showSerName val="0"/>
          <c:showPercent val="0"/>
          <c:showBubbleSize val="0"/>
        </c:dLbls>
        <c:axId val="1708740111"/>
        <c:axId val="1708743951"/>
      </c:scatterChart>
      <c:scatterChart>
        <c:scatterStyle val="lineMarker"/>
        <c:varyColors val="0"/>
        <c:ser>
          <c:idx val="1"/>
          <c:order val="1"/>
          <c:tx>
            <c:v>T</c:v>
          </c:tx>
          <c:spPr>
            <a:ln w="9525" cap="rnd">
              <a:solidFill>
                <a:schemeClr val="tx1"/>
              </a:solidFill>
              <a:round/>
            </a:ln>
            <a:effectLst/>
          </c:spPr>
          <c:marker>
            <c:symbol val="triangle"/>
            <c:size val="5"/>
            <c:spPr>
              <a:noFill/>
              <a:ln w="9525">
                <a:solidFill>
                  <a:schemeClr val="tx1"/>
                </a:solidFill>
              </a:ln>
              <a:effectLst/>
            </c:spPr>
          </c:marker>
          <c:xVal>
            <c:numRef>
              <c:f>'CONFRONTO PORTATE'!$R$85:$R$305</c:f>
              <c:numCache>
                <c:formatCode>General</c:formatCode>
                <c:ptCount val="2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numCache>
            </c:numRef>
          </c:xVal>
          <c:yVal>
            <c:numRef>
              <c:f>'CONFRONTO PORTATE'!$U$85:$U$305</c:f>
              <c:numCache>
                <c:formatCode>General</c:formatCode>
                <c:ptCount val="221"/>
                <c:pt idx="0">
                  <c:v>22</c:v>
                </c:pt>
                <c:pt idx="1">
                  <c:v>28</c:v>
                </c:pt>
                <c:pt idx="2">
                  <c:v>34</c:v>
                </c:pt>
                <c:pt idx="3">
                  <c:v>40</c:v>
                </c:pt>
                <c:pt idx="4">
                  <c:v>46</c:v>
                </c:pt>
                <c:pt idx="5">
                  <c:v>51</c:v>
                </c:pt>
                <c:pt idx="6">
                  <c:v>55</c:v>
                </c:pt>
                <c:pt idx="7">
                  <c:v>57</c:v>
                </c:pt>
                <c:pt idx="8">
                  <c:v>60</c:v>
                </c:pt>
                <c:pt idx="9">
                  <c:v>63</c:v>
                </c:pt>
                <c:pt idx="10">
                  <c:v>65</c:v>
                </c:pt>
                <c:pt idx="11">
                  <c:v>67</c:v>
                </c:pt>
                <c:pt idx="12">
                  <c:v>70</c:v>
                </c:pt>
                <c:pt idx="13">
                  <c:v>72</c:v>
                </c:pt>
                <c:pt idx="14">
                  <c:v>74</c:v>
                </c:pt>
                <c:pt idx="15">
                  <c:v>76</c:v>
                </c:pt>
                <c:pt idx="16">
                  <c:v>79</c:v>
                </c:pt>
                <c:pt idx="17">
                  <c:v>81</c:v>
                </c:pt>
                <c:pt idx="18">
                  <c:v>83</c:v>
                </c:pt>
                <c:pt idx="19">
                  <c:v>85</c:v>
                </c:pt>
                <c:pt idx="20">
                  <c:v>87</c:v>
                </c:pt>
                <c:pt idx="21">
                  <c:v>88</c:v>
                </c:pt>
                <c:pt idx="22">
                  <c:v>90</c:v>
                </c:pt>
                <c:pt idx="23">
                  <c:v>92</c:v>
                </c:pt>
                <c:pt idx="24">
                  <c:v>93</c:v>
                </c:pt>
                <c:pt idx="25">
                  <c:v>94</c:v>
                </c:pt>
                <c:pt idx="26">
                  <c:v>95</c:v>
                </c:pt>
                <c:pt idx="27">
                  <c:v>96</c:v>
                </c:pt>
                <c:pt idx="28">
                  <c:v>97</c:v>
                </c:pt>
                <c:pt idx="29">
                  <c:v>98</c:v>
                </c:pt>
                <c:pt idx="30">
                  <c:v>99</c:v>
                </c:pt>
                <c:pt idx="31">
                  <c:v>100</c:v>
                </c:pt>
                <c:pt idx="32">
                  <c:v>101</c:v>
                </c:pt>
                <c:pt idx="33">
                  <c:v>102</c:v>
                </c:pt>
                <c:pt idx="34">
                  <c:v>103</c:v>
                </c:pt>
                <c:pt idx="35">
                  <c:v>104</c:v>
                </c:pt>
                <c:pt idx="36">
                  <c:v>104</c:v>
                </c:pt>
                <c:pt idx="37">
                  <c:v>105</c:v>
                </c:pt>
                <c:pt idx="38">
                  <c:v>105</c:v>
                </c:pt>
                <c:pt idx="39">
                  <c:v>106</c:v>
                </c:pt>
                <c:pt idx="40">
                  <c:v>106</c:v>
                </c:pt>
                <c:pt idx="41">
                  <c:v>107</c:v>
                </c:pt>
                <c:pt idx="42">
                  <c:v>107</c:v>
                </c:pt>
                <c:pt idx="43">
                  <c:v>108</c:v>
                </c:pt>
                <c:pt idx="44">
                  <c:v>108</c:v>
                </c:pt>
                <c:pt idx="45">
                  <c:v>109</c:v>
                </c:pt>
                <c:pt idx="46">
                  <c:v>110</c:v>
                </c:pt>
                <c:pt idx="47">
                  <c:v>111</c:v>
                </c:pt>
                <c:pt idx="48">
                  <c:v>111</c:v>
                </c:pt>
                <c:pt idx="49">
                  <c:v>112</c:v>
                </c:pt>
                <c:pt idx="50">
                  <c:v>113</c:v>
                </c:pt>
                <c:pt idx="51">
                  <c:v>114</c:v>
                </c:pt>
                <c:pt idx="52">
                  <c:v>115</c:v>
                </c:pt>
                <c:pt idx="53">
                  <c:v>116</c:v>
                </c:pt>
                <c:pt idx="54">
                  <c:v>116</c:v>
                </c:pt>
                <c:pt idx="55">
                  <c:v>117</c:v>
                </c:pt>
                <c:pt idx="56">
                  <c:v>117</c:v>
                </c:pt>
                <c:pt idx="57">
                  <c:v>118</c:v>
                </c:pt>
                <c:pt idx="58">
                  <c:v>118</c:v>
                </c:pt>
                <c:pt idx="59">
                  <c:v>118</c:v>
                </c:pt>
                <c:pt idx="60">
                  <c:v>118</c:v>
                </c:pt>
                <c:pt idx="61">
                  <c:v>118</c:v>
                </c:pt>
                <c:pt idx="62">
                  <c:v>119</c:v>
                </c:pt>
                <c:pt idx="63">
                  <c:v>119</c:v>
                </c:pt>
                <c:pt idx="64">
                  <c:v>119</c:v>
                </c:pt>
                <c:pt idx="65">
                  <c:v>119</c:v>
                </c:pt>
                <c:pt idx="66">
                  <c:v>119</c:v>
                </c:pt>
                <c:pt idx="67">
                  <c:v>119</c:v>
                </c:pt>
                <c:pt idx="68">
                  <c:v>119</c:v>
                </c:pt>
                <c:pt idx="69">
                  <c:v>119</c:v>
                </c:pt>
                <c:pt idx="70">
                  <c:v>119</c:v>
                </c:pt>
                <c:pt idx="71">
                  <c:v>120</c:v>
                </c:pt>
                <c:pt idx="72">
                  <c:v>120</c:v>
                </c:pt>
                <c:pt idx="73">
                  <c:v>120</c:v>
                </c:pt>
                <c:pt idx="74">
                  <c:v>120</c:v>
                </c:pt>
                <c:pt idx="75">
                  <c:v>120</c:v>
                </c:pt>
                <c:pt idx="76">
                  <c:v>120</c:v>
                </c:pt>
                <c:pt idx="77">
                  <c:v>120</c:v>
                </c:pt>
                <c:pt idx="78">
                  <c:v>120</c:v>
                </c:pt>
                <c:pt idx="79">
                  <c:v>120</c:v>
                </c:pt>
                <c:pt idx="80">
                  <c:v>120</c:v>
                </c:pt>
                <c:pt idx="81">
                  <c:v>120</c:v>
                </c:pt>
                <c:pt idx="82">
                  <c:v>120</c:v>
                </c:pt>
                <c:pt idx="83">
                  <c:v>120</c:v>
                </c:pt>
                <c:pt idx="84">
                  <c:v>120</c:v>
                </c:pt>
                <c:pt idx="85">
                  <c:v>120</c:v>
                </c:pt>
                <c:pt idx="86">
                  <c:v>120</c:v>
                </c:pt>
                <c:pt idx="87">
                  <c:v>120</c:v>
                </c:pt>
                <c:pt idx="88">
                  <c:v>120</c:v>
                </c:pt>
                <c:pt idx="89">
                  <c:v>120</c:v>
                </c:pt>
                <c:pt idx="90">
                  <c:v>121</c:v>
                </c:pt>
                <c:pt idx="91">
                  <c:v>121</c:v>
                </c:pt>
                <c:pt idx="92">
                  <c:v>121</c:v>
                </c:pt>
                <c:pt idx="93">
                  <c:v>122</c:v>
                </c:pt>
                <c:pt idx="94">
                  <c:v>122</c:v>
                </c:pt>
                <c:pt idx="95">
                  <c:v>122</c:v>
                </c:pt>
                <c:pt idx="96">
                  <c:v>123</c:v>
                </c:pt>
                <c:pt idx="97">
                  <c:v>123</c:v>
                </c:pt>
                <c:pt idx="98">
                  <c:v>123</c:v>
                </c:pt>
                <c:pt idx="99">
                  <c:v>124</c:v>
                </c:pt>
                <c:pt idx="100">
                  <c:v>124</c:v>
                </c:pt>
                <c:pt idx="101">
                  <c:v>123</c:v>
                </c:pt>
                <c:pt idx="102">
                  <c:v>123</c:v>
                </c:pt>
                <c:pt idx="103">
                  <c:v>123</c:v>
                </c:pt>
                <c:pt idx="104">
                  <c:v>123</c:v>
                </c:pt>
                <c:pt idx="105">
                  <c:v>123</c:v>
                </c:pt>
                <c:pt idx="106">
                  <c:v>123</c:v>
                </c:pt>
                <c:pt idx="107">
                  <c:v>124</c:v>
                </c:pt>
                <c:pt idx="108">
                  <c:v>124</c:v>
                </c:pt>
                <c:pt idx="109">
                  <c:v>124</c:v>
                </c:pt>
                <c:pt idx="110">
                  <c:v>124</c:v>
                </c:pt>
                <c:pt idx="111">
                  <c:v>124</c:v>
                </c:pt>
                <c:pt idx="112">
                  <c:v>124</c:v>
                </c:pt>
                <c:pt idx="113">
                  <c:v>125</c:v>
                </c:pt>
                <c:pt idx="114">
                  <c:v>125</c:v>
                </c:pt>
                <c:pt idx="115">
                  <c:v>125</c:v>
                </c:pt>
                <c:pt idx="116">
                  <c:v>125</c:v>
                </c:pt>
                <c:pt idx="117">
                  <c:v>125</c:v>
                </c:pt>
                <c:pt idx="118">
                  <c:v>125</c:v>
                </c:pt>
                <c:pt idx="119">
                  <c:v>125</c:v>
                </c:pt>
                <c:pt idx="120">
                  <c:v>125</c:v>
                </c:pt>
                <c:pt idx="121">
                  <c:v>125</c:v>
                </c:pt>
                <c:pt idx="122">
                  <c:v>125</c:v>
                </c:pt>
                <c:pt idx="123">
                  <c:v>125</c:v>
                </c:pt>
                <c:pt idx="124">
                  <c:v>125</c:v>
                </c:pt>
                <c:pt idx="125">
                  <c:v>125</c:v>
                </c:pt>
                <c:pt idx="126">
                  <c:v>125</c:v>
                </c:pt>
                <c:pt idx="127">
                  <c:v>125</c:v>
                </c:pt>
                <c:pt idx="128">
                  <c:v>125</c:v>
                </c:pt>
                <c:pt idx="129">
                  <c:v>125</c:v>
                </c:pt>
                <c:pt idx="130">
                  <c:v>125</c:v>
                </c:pt>
                <c:pt idx="131">
                  <c:v>125</c:v>
                </c:pt>
                <c:pt idx="132">
                  <c:v>125</c:v>
                </c:pt>
                <c:pt idx="133">
                  <c:v>125</c:v>
                </c:pt>
                <c:pt idx="134">
                  <c:v>124</c:v>
                </c:pt>
                <c:pt idx="135">
                  <c:v>124</c:v>
                </c:pt>
                <c:pt idx="136">
                  <c:v>124</c:v>
                </c:pt>
                <c:pt idx="137">
                  <c:v>124</c:v>
                </c:pt>
                <c:pt idx="138">
                  <c:v>124</c:v>
                </c:pt>
                <c:pt idx="139">
                  <c:v>124</c:v>
                </c:pt>
                <c:pt idx="140">
                  <c:v>124</c:v>
                </c:pt>
                <c:pt idx="141">
                  <c:v>124</c:v>
                </c:pt>
                <c:pt idx="142">
                  <c:v>124</c:v>
                </c:pt>
                <c:pt idx="143">
                  <c:v>124</c:v>
                </c:pt>
                <c:pt idx="144">
                  <c:v>124</c:v>
                </c:pt>
                <c:pt idx="145">
                  <c:v>124</c:v>
                </c:pt>
                <c:pt idx="146">
                  <c:v>124</c:v>
                </c:pt>
                <c:pt idx="147">
                  <c:v>124</c:v>
                </c:pt>
                <c:pt idx="148">
                  <c:v>124</c:v>
                </c:pt>
                <c:pt idx="149">
                  <c:v>124</c:v>
                </c:pt>
                <c:pt idx="150">
                  <c:v>124</c:v>
                </c:pt>
                <c:pt idx="151">
                  <c:v>124</c:v>
                </c:pt>
                <c:pt idx="152">
                  <c:v>123</c:v>
                </c:pt>
                <c:pt idx="153">
                  <c:v>123</c:v>
                </c:pt>
                <c:pt idx="154">
                  <c:v>123</c:v>
                </c:pt>
                <c:pt idx="155">
                  <c:v>122</c:v>
                </c:pt>
                <c:pt idx="156">
                  <c:v>122</c:v>
                </c:pt>
                <c:pt idx="157">
                  <c:v>122</c:v>
                </c:pt>
                <c:pt idx="158">
                  <c:v>122</c:v>
                </c:pt>
                <c:pt idx="159">
                  <c:v>122</c:v>
                </c:pt>
                <c:pt idx="160">
                  <c:v>122</c:v>
                </c:pt>
                <c:pt idx="161">
                  <c:v>122</c:v>
                </c:pt>
                <c:pt idx="162">
                  <c:v>122</c:v>
                </c:pt>
                <c:pt idx="163">
                  <c:v>122</c:v>
                </c:pt>
                <c:pt idx="164">
                  <c:v>121</c:v>
                </c:pt>
                <c:pt idx="165">
                  <c:v>121</c:v>
                </c:pt>
                <c:pt idx="166">
                  <c:v>121</c:v>
                </c:pt>
                <c:pt idx="167">
                  <c:v>122</c:v>
                </c:pt>
                <c:pt idx="168">
                  <c:v>122</c:v>
                </c:pt>
                <c:pt idx="169">
                  <c:v>122</c:v>
                </c:pt>
                <c:pt idx="170">
                  <c:v>121</c:v>
                </c:pt>
                <c:pt idx="171">
                  <c:v>121</c:v>
                </c:pt>
                <c:pt idx="172">
                  <c:v>121</c:v>
                </c:pt>
                <c:pt idx="173">
                  <c:v>122</c:v>
                </c:pt>
                <c:pt idx="174">
                  <c:v>122</c:v>
                </c:pt>
                <c:pt idx="175">
                  <c:v>122</c:v>
                </c:pt>
                <c:pt idx="176">
                  <c:v>121</c:v>
                </c:pt>
                <c:pt idx="177">
                  <c:v>121</c:v>
                </c:pt>
                <c:pt idx="178">
                  <c:v>121</c:v>
                </c:pt>
                <c:pt idx="179">
                  <c:v>121</c:v>
                </c:pt>
                <c:pt idx="180">
                  <c:v>121</c:v>
                </c:pt>
                <c:pt idx="181">
                  <c:v>121</c:v>
                </c:pt>
                <c:pt idx="182">
                  <c:v>121</c:v>
                </c:pt>
                <c:pt idx="183">
                  <c:v>121</c:v>
                </c:pt>
                <c:pt idx="184">
                  <c:v>121</c:v>
                </c:pt>
                <c:pt idx="185">
                  <c:v>121</c:v>
                </c:pt>
                <c:pt idx="186">
                  <c:v>121</c:v>
                </c:pt>
                <c:pt idx="187">
                  <c:v>121</c:v>
                </c:pt>
                <c:pt idx="188">
                  <c:v>121</c:v>
                </c:pt>
                <c:pt idx="189">
                  <c:v>121</c:v>
                </c:pt>
                <c:pt idx="190">
                  <c:v>121</c:v>
                </c:pt>
                <c:pt idx="191">
                  <c:v>121</c:v>
                </c:pt>
                <c:pt idx="192">
                  <c:v>121</c:v>
                </c:pt>
                <c:pt idx="193">
                  <c:v>121</c:v>
                </c:pt>
                <c:pt idx="194">
                  <c:v>121</c:v>
                </c:pt>
                <c:pt idx="195">
                  <c:v>121</c:v>
                </c:pt>
                <c:pt idx="196">
                  <c:v>121</c:v>
                </c:pt>
                <c:pt idx="197">
                  <c:v>121</c:v>
                </c:pt>
                <c:pt idx="198">
                  <c:v>121</c:v>
                </c:pt>
                <c:pt idx="199">
                  <c:v>121</c:v>
                </c:pt>
                <c:pt idx="200">
                  <c:v>121</c:v>
                </c:pt>
                <c:pt idx="201">
                  <c:v>121</c:v>
                </c:pt>
                <c:pt idx="202">
                  <c:v>121</c:v>
                </c:pt>
                <c:pt idx="203">
                  <c:v>121</c:v>
                </c:pt>
                <c:pt idx="204">
                  <c:v>121</c:v>
                </c:pt>
                <c:pt idx="205">
                  <c:v>121</c:v>
                </c:pt>
                <c:pt idx="206">
                  <c:v>121</c:v>
                </c:pt>
                <c:pt idx="207">
                  <c:v>121</c:v>
                </c:pt>
                <c:pt idx="208">
                  <c:v>121</c:v>
                </c:pt>
                <c:pt idx="209">
                  <c:v>121</c:v>
                </c:pt>
                <c:pt idx="210">
                  <c:v>121</c:v>
                </c:pt>
                <c:pt idx="211">
                  <c:v>120</c:v>
                </c:pt>
                <c:pt idx="212">
                  <c:v>120</c:v>
                </c:pt>
                <c:pt idx="213">
                  <c:v>120</c:v>
                </c:pt>
                <c:pt idx="214">
                  <c:v>120</c:v>
                </c:pt>
                <c:pt idx="215">
                  <c:v>120</c:v>
                </c:pt>
                <c:pt idx="216">
                  <c:v>120</c:v>
                </c:pt>
                <c:pt idx="217">
                  <c:v>120</c:v>
                </c:pt>
                <c:pt idx="218">
                  <c:v>120</c:v>
                </c:pt>
                <c:pt idx="219">
                  <c:v>120</c:v>
                </c:pt>
                <c:pt idx="220">
                  <c:v>120</c:v>
                </c:pt>
              </c:numCache>
            </c:numRef>
          </c:yVal>
          <c:smooth val="0"/>
          <c:extLst>
            <c:ext xmlns:c16="http://schemas.microsoft.com/office/drawing/2014/chart" uri="{C3380CC4-5D6E-409C-BE32-E72D297353CC}">
              <c16:uniqueId val="{00000001-B471-45E2-9751-958098C0DFAB}"/>
            </c:ext>
          </c:extLst>
        </c:ser>
        <c:dLbls>
          <c:showLegendKey val="0"/>
          <c:showVal val="0"/>
          <c:showCatName val="0"/>
          <c:showSerName val="0"/>
          <c:showPercent val="0"/>
          <c:showBubbleSize val="0"/>
        </c:dLbls>
        <c:axId val="722358272"/>
        <c:axId val="722365952"/>
      </c:scatterChart>
      <c:valAx>
        <c:axId val="1708740111"/>
        <c:scaling>
          <c:orientation val="minMax"/>
          <c:max val="12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1" i="0" u="none" strike="noStrike" kern="1200" baseline="0">
                    <a:solidFill>
                      <a:schemeClr val="tx1"/>
                    </a:solidFill>
                    <a:effectLst/>
                  </a:rPr>
                  <a:t>t [s]</a:t>
                </a:r>
                <a:endParaRPr lang="it-IT" sz="1000" b="0" i="0" u="none" strike="noStrike" kern="120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t-IT"/>
          </a:p>
        </c:txPr>
        <c:crossAx val="1708743951"/>
        <c:crosses val="autoZero"/>
        <c:crossBetween val="midCat"/>
        <c:majorUnit val="120"/>
        <c:minorUnit val="60"/>
      </c:valAx>
      <c:valAx>
        <c:axId val="1708743951"/>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1" i="0" u="none" strike="noStrike" kern="1200" baseline="0">
                    <a:solidFill>
                      <a:schemeClr val="tx1"/>
                    </a:solidFill>
                    <a:effectLst/>
                  </a:rPr>
                  <a:t>x</a:t>
                </a:r>
                <a:r>
                  <a:rPr lang="it-IT" sz="1000" b="1" i="0" u="none" strike="noStrike" kern="1200" baseline="-25000">
                    <a:solidFill>
                      <a:schemeClr val="tx1"/>
                    </a:solidFill>
                    <a:effectLst/>
                  </a:rPr>
                  <a:t>CO2</a:t>
                </a:r>
                <a:r>
                  <a:rPr lang="it-IT" sz="1000" b="1" i="0" u="none" strike="noStrike" kern="1200" baseline="0">
                    <a:solidFill>
                      <a:schemeClr val="tx1"/>
                    </a:solidFill>
                    <a:effectLst/>
                  </a:rPr>
                  <a:t>/x</a:t>
                </a:r>
                <a:r>
                  <a:rPr lang="it-IT" sz="1000" b="1" i="0" u="none" strike="noStrike" kern="1200" baseline="-25000">
                    <a:solidFill>
                      <a:schemeClr val="tx1"/>
                    </a:solidFill>
                    <a:effectLst/>
                  </a:rPr>
                  <a:t>CO2,max</a:t>
                </a:r>
                <a:r>
                  <a:rPr lang="it-IT" sz="1000" b="1" i="0" u="none" strike="noStrike" kern="1200" baseline="0">
                    <a:solidFill>
                      <a:schemeClr val="tx1"/>
                    </a:solidFill>
                  </a:rPr>
                  <a:t> [-]</a:t>
                </a:r>
              </a:p>
            </c:rich>
          </c:tx>
          <c:layout>
            <c:manualLayout>
              <c:xMode val="edge"/>
              <c:yMode val="edge"/>
              <c:x val="1.3522862793608937E-2"/>
              <c:y val="0.285889626115576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t-IT"/>
          </a:p>
        </c:txPr>
        <c:crossAx val="1708740111"/>
        <c:crosses val="autoZero"/>
        <c:crossBetween val="midCat"/>
      </c:valAx>
      <c:valAx>
        <c:axId val="722365952"/>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t-IT" b="1">
                    <a:solidFill>
                      <a:schemeClr val="tx1"/>
                    </a:solidFill>
                  </a:rPr>
                  <a:t>T [°C]</a:t>
                </a:r>
              </a:p>
            </c:rich>
          </c:tx>
          <c:layout>
            <c:manualLayout>
              <c:xMode val="edge"/>
              <c:yMode val="edge"/>
              <c:x val="0.94623279547808181"/>
              <c:y val="0.3828836612814701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it-IT"/>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it-IT"/>
          </a:p>
        </c:txPr>
        <c:crossAx val="722358272"/>
        <c:crosses val="max"/>
        <c:crossBetween val="midCat"/>
      </c:valAx>
      <c:valAx>
        <c:axId val="722358272"/>
        <c:scaling>
          <c:orientation val="minMax"/>
        </c:scaling>
        <c:delete val="1"/>
        <c:axPos val="b"/>
        <c:numFmt formatCode="General" sourceLinked="1"/>
        <c:majorTickMark val="out"/>
        <c:minorTickMark val="none"/>
        <c:tickLblPos val="nextTo"/>
        <c:crossAx val="722365952"/>
        <c:crosses val="autoZero"/>
        <c:crossBetween val="midCat"/>
      </c:valAx>
      <c:spPr>
        <a:noFill/>
        <a:ln>
          <a:solidFill>
            <a:schemeClr val="tx1"/>
          </a:solidFill>
        </a:ln>
        <a:effectLst/>
      </c:spPr>
    </c:plotArea>
    <c:legend>
      <c:legendPos val="l"/>
      <c:layout>
        <c:manualLayout>
          <c:xMode val="edge"/>
          <c:yMode val="edge"/>
          <c:x val="0.59680545993470135"/>
          <c:y val="0.37258784680900392"/>
          <c:w val="0.24256878520476569"/>
          <c:h val="0.158305211848518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01075299985971"/>
          <c:y val="3.7634078348902041E-2"/>
          <c:w val="0.84957881958172976"/>
          <c:h val="0.79107887684476041"/>
        </c:manualLayout>
      </c:layout>
      <c:scatterChart>
        <c:scatterStyle val="lineMarker"/>
        <c:varyColors val="0"/>
        <c:ser>
          <c:idx val="0"/>
          <c:order val="0"/>
          <c:spPr>
            <a:ln w="19050" cap="rnd">
              <a:noFill/>
              <a:round/>
            </a:ln>
            <a:effectLst/>
          </c:spPr>
          <c:marker>
            <c:symbol val="circle"/>
            <c:size val="5"/>
            <c:spPr>
              <a:noFill/>
              <a:ln w="9525">
                <a:solidFill>
                  <a:schemeClr val="tx1"/>
                </a:solidFill>
              </a:ln>
              <a:effectLst/>
            </c:spPr>
          </c:marker>
          <c:trendline>
            <c:spPr>
              <a:ln w="19050" cap="rnd">
                <a:solidFill>
                  <a:schemeClr val="tx1"/>
                </a:solidFill>
                <a:prstDash val="sysDot"/>
              </a:ln>
              <a:effectLst/>
            </c:spPr>
            <c:trendlineType val="linear"/>
            <c:dispRSqr val="0"/>
            <c:dispEq val="1"/>
            <c:trendlineLbl>
              <c:layout>
                <c:manualLayout>
                  <c:x val="-9.496299121779328E-2"/>
                  <c:y val="0.27632191708953874"/>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trendlineLbl>
          </c:trendline>
          <c:errBars>
            <c:errDir val="y"/>
            <c:errBarType val="both"/>
            <c:errValType val="cust"/>
            <c:noEndCap val="0"/>
            <c:plus>
              <c:numRef>
                <c:f>'CAMPIONE 2'!$M$38:$M$73</c:f>
                <c:numCache>
                  <c:formatCode>General</c:formatCode>
                  <c:ptCount val="36"/>
                  <c:pt idx="0">
                    <c:v>0.13869444444444468</c:v>
                  </c:pt>
                  <c:pt idx="1">
                    <c:v>6.3694444444444498E-2</c:v>
                  </c:pt>
                  <c:pt idx="2">
                    <c:v>1.1694444444444674E-2</c:v>
                  </c:pt>
                  <c:pt idx="3">
                    <c:v>4.4305555555555376E-2</c:v>
                  </c:pt>
                  <c:pt idx="4">
                    <c:v>0.11030555555555543</c:v>
                  </c:pt>
                  <c:pt idx="5">
                    <c:v>6.9305555555555509E-2</c:v>
                  </c:pt>
                  <c:pt idx="6">
                    <c:v>2.3305555555555468E-2</c:v>
                  </c:pt>
                  <c:pt idx="7">
                    <c:v>0.12630555555555545</c:v>
                  </c:pt>
                  <c:pt idx="8">
                    <c:v>8.0305555555555408E-2</c:v>
                  </c:pt>
                  <c:pt idx="9">
                    <c:v>8.130555555555552E-2</c:v>
                  </c:pt>
                  <c:pt idx="10">
                    <c:v>2.3694444444444684E-2</c:v>
                  </c:pt>
                  <c:pt idx="11">
                    <c:v>1.9305555555555465E-2</c:v>
                  </c:pt>
                  <c:pt idx="12">
                    <c:v>2.2305555555555356E-2</c:v>
                  </c:pt>
                  <c:pt idx="13">
                    <c:v>4.7694444444444484E-2</c:v>
                  </c:pt>
                  <c:pt idx="14">
                    <c:v>1.5694444444444677E-2</c:v>
                  </c:pt>
                  <c:pt idx="15">
                    <c:v>5.4694444444444601E-2</c:v>
                  </c:pt>
                  <c:pt idx="16">
                    <c:v>1.6305555555555351E-2</c:v>
                  </c:pt>
                  <c:pt idx="17">
                    <c:v>3.8694444444444587E-2</c:v>
                  </c:pt>
                  <c:pt idx="18">
                    <c:v>7.6694444444444621E-2</c:v>
                  </c:pt>
                  <c:pt idx="19">
                    <c:v>8.6944444444445601E-3</c:v>
                  </c:pt>
                  <c:pt idx="20">
                    <c:v>4.6944444444445566E-3</c:v>
                  </c:pt>
                  <c:pt idx="21">
                    <c:v>5.2305555555555383E-2</c:v>
                  </c:pt>
                  <c:pt idx="22">
                    <c:v>5.9694444444444494E-2</c:v>
                  </c:pt>
                  <c:pt idx="23">
                    <c:v>5.5305555555555497E-2</c:v>
                  </c:pt>
                  <c:pt idx="24">
                    <c:v>9.969444444444453E-2</c:v>
                  </c:pt>
                  <c:pt idx="25">
                    <c:v>5.5694444444444491E-2</c:v>
                  </c:pt>
                  <c:pt idx="26">
                    <c:v>7.3694444444444507E-2</c:v>
                  </c:pt>
                  <c:pt idx="27">
                    <c:v>3.0305555555555364E-2</c:v>
                  </c:pt>
                  <c:pt idx="28">
                    <c:v>1.1305555555555458E-2</c:v>
                  </c:pt>
                  <c:pt idx="29">
                    <c:v>7.6305555555555404E-2</c:v>
                  </c:pt>
                  <c:pt idx="30">
                    <c:v>2.1694444444444683E-2</c:v>
                  </c:pt>
                  <c:pt idx="31">
                    <c:v>3.6944444444446667E-3</c:v>
                  </c:pt>
                  <c:pt idx="32">
                    <c:v>3.2305555555555365E-2</c:v>
                  </c:pt>
                  <c:pt idx="33">
                    <c:v>3.0305555555555364E-2</c:v>
                  </c:pt>
                  <c:pt idx="34">
                    <c:v>2.0694444444444571E-2</c:v>
                  </c:pt>
                  <c:pt idx="35">
                    <c:v>6.1694444444444496E-2</c:v>
                  </c:pt>
                </c:numCache>
              </c:numRef>
            </c:plus>
            <c:minus>
              <c:numRef>
                <c:f>'CAMPIONE 2'!$M$38:$M$73</c:f>
                <c:numCache>
                  <c:formatCode>General</c:formatCode>
                  <c:ptCount val="36"/>
                  <c:pt idx="0">
                    <c:v>0.13869444444444468</c:v>
                  </c:pt>
                  <c:pt idx="1">
                    <c:v>6.3694444444444498E-2</c:v>
                  </c:pt>
                  <c:pt idx="2">
                    <c:v>1.1694444444444674E-2</c:v>
                  </c:pt>
                  <c:pt idx="3">
                    <c:v>4.4305555555555376E-2</c:v>
                  </c:pt>
                  <c:pt idx="4">
                    <c:v>0.11030555555555543</c:v>
                  </c:pt>
                  <c:pt idx="5">
                    <c:v>6.9305555555555509E-2</c:v>
                  </c:pt>
                  <c:pt idx="6">
                    <c:v>2.3305555555555468E-2</c:v>
                  </c:pt>
                  <c:pt idx="7">
                    <c:v>0.12630555555555545</c:v>
                  </c:pt>
                  <c:pt idx="8">
                    <c:v>8.0305555555555408E-2</c:v>
                  </c:pt>
                  <c:pt idx="9">
                    <c:v>8.130555555555552E-2</c:v>
                  </c:pt>
                  <c:pt idx="10">
                    <c:v>2.3694444444444684E-2</c:v>
                  </c:pt>
                  <c:pt idx="11">
                    <c:v>1.9305555555555465E-2</c:v>
                  </c:pt>
                  <c:pt idx="12">
                    <c:v>2.2305555555555356E-2</c:v>
                  </c:pt>
                  <c:pt idx="13">
                    <c:v>4.7694444444444484E-2</c:v>
                  </c:pt>
                  <c:pt idx="14">
                    <c:v>1.5694444444444677E-2</c:v>
                  </c:pt>
                  <c:pt idx="15">
                    <c:v>5.4694444444444601E-2</c:v>
                  </c:pt>
                  <c:pt idx="16">
                    <c:v>1.6305555555555351E-2</c:v>
                  </c:pt>
                  <c:pt idx="17">
                    <c:v>3.8694444444444587E-2</c:v>
                  </c:pt>
                  <c:pt idx="18">
                    <c:v>7.6694444444444621E-2</c:v>
                  </c:pt>
                  <c:pt idx="19">
                    <c:v>8.6944444444445601E-3</c:v>
                  </c:pt>
                  <c:pt idx="20">
                    <c:v>4.6944444444445566E-3</c:v>
                  </c:pt>
                  <c:pt idx="21">
                    <c:v>5.2305555555555383E-2</c:v>
                  </c:pt>
                  <c:pt idx="22">
                    <c:v>5.9694444444444494E-2</c:v>
                  </c:pt>
                  <c:pt idx="23">
                    <c:v>5.5305555555555497E-2</c:v>
                  </c:pt>
                  <c:pt idx="24">
                    <c:v>9.969444444444453E-2</c:v>
                  </c:pt>
                  <c:pt idx="25">
                    <c:v>5.5694444444444491E-2</c:v>
                  </c:pt>
                  <c:pt idx="26">
                    <c:v>7.3694444444444507E-2</c:v>
                  </c:pt>
                  <c:pt idx="27">
                    <c:v>3.0305555555555364E-2</c:v>
                  </c:pt>
                  <c:pt idx="28">
                    <c:v>1.1305555555555458E-2</c:v>
                  </c:pt>
                  <c:pt idx="29">
                    <c:v>7.6305555555555404E-2</c:v>
                  </c:pt>
                  <c:pt idx="30">
                    <c:v>2.1694444444444683E-2</c:v>
                  </c:pt>
                  <c:pt idx="31">
                    <c:v>3.6944444444446667E-3</c:v>
                  </c:pt>
                  <c:pt idx="32">
                    <c:v>3.2305555555555365E-2</c:v>
                  </c:pt>
                  <c:pt idx="33">
                    <c:v>3.0305555555555364E-2</c:v>
                  </c:pt>
                  <c:pt idx="34">
                    <c:v>2.0694444444444571E-2</c:v>
                  </c:pt>
                  <c:pt idx="35">
                    <c:v>6.1694444444444496E-2</c:v>
                  </c:pt>
                </c:numCache>
              </c:numRef>
            </c:minus>
            <c:spPr>
              <a:noFill/>
              <a:ln w="9525" cap="flat" cmpd="sng" algn="ctr">
                <a:solidFill>
                  <a:schemeClr val="tx1"/>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numRef>
              <c:f>'CAMPIONE 2'!$K$38:$K$73</c:f>
              <c:numCache>
                <c:formatCode>General</c:formatCode>
                <c:ptCount val="36"/>
                <c:pt idx="0">
                  <c:v>1</c:v>
                </c:pt>
                <c:pt idx="1">
                  <c:v>2</c:v>
                </c:pt>
                <c:pt idx="2">
                  <c:v>4</c:v>
                </c:pt>
                <c:pt idx="3">
                  <c:v>7</c:v>
                </c:pt>
                <c:pt idx="4">
                  <c:v>8</c:v>
                </c:pt>
                <c:pt idx="5">
                  <c:v>9</c:v>
                </c:pt>
                <c:pt idx="6">
                  <c:v>10</c:v>
                </c:pt>
                <c:pt idx="7">
                  <c:v>11</c:v>
                </c:pt>
                <c:pt idx="8">
                  <c:v>12</c:v>
                </c:pt>
                <c:pt idx="9">
                  <c:v>17</c:v>
                </c:pt>
                <c:pt idx="10">
                  <c:v>18</c:v>
                </c:pt>
                <c:pt idx="11">
                  <c:v>19</c:v>
                </c:pt>
                <c:pt idx="12">
                  <c:v>20</c:v>
                </c:pt>
                <c:pt idx="13">
                  <c:v>22</c:v>
                </c:pt>
                <c:pt idx="14">
                  <c:v>23</c:v>
                </c:pt>
                <c:pt idx="15">
                  <c:v>25</c:v>
                </c:pt>
                <c:pt idx="16">
                  <c:v>26</c:v>
                </c:pt>
                <c:pt idx="17">
                  <c:v>27</c:v>
                </c:pt>
                <c:pt idx="18">
                  <c:v>28</c:v>
                </c:pt>
                <c:pt idx="19">
                  <c:v>29</c:v>
                </c:pt>
                <c:pt idx="20">
                  <c:v>30</c:v>
                </c:pt>
                <c:pt idx="21">
                  <c:v>31</c:v>
                </c:pt>
                <c:pt idx="22">
                  <c:v>32</c:v>
                </c:pt>
                <c:pt idx="23">
                  <c:v>33</c:v>
                </c:pt>
                <c:pt idx="24">
                  <c:v>34</c:v>
                </c:pt>
                <c:pt idx="25">
                  <c:v>35</c:v>
                </c:pt>
                <c:pt idx="26">
                  <c:v>36</c:v>
                </c:pt>
                <c:pt idx="27">
                  <c:v>48</c:v>
                </c:pt>
                <c:pt idx="28">
                  <c:v>49</c:v>
                </c:pt>
                <c:pt idx="29">
                  <c:v>50</c:v>
                </c:pt>
                <c:pt idx="30">
                  <c:v>59</c:v>
                </c:pt>
                <c:pt idx="31">
                  <c:v>60</c:v>
                </c:pt>
                <c:pt idx="32">
                  <c:v>61</c:v>
                </c:pt>
                <c:pt idx="33">
                  <c:v>62</c:v>
                </c:pt>
                <c:pt idx="34">
                  <c:v>64</c:v>
                </c:pt>
                <c:pt idx="35">
                  <c:v>65</c:v>
                </c:pt>
              </c:numCache>
            </c:numRef>
          </c:xVal>
          <c:yVal>
            <c:numRef>
              <c:f>'CAMPIONE 2'!$L$38:$L$73</c:f>
              <c:numCache>
                <c:formatCode>General</c:formatCode>
                <c:ptCount val="36"/>
                <c:pt idx="0">
                  <c:v>1.1439999999999999</c:v>
                </c:pt>
                <c:pt idx="1">
                  <c:v>1.2190000000000001</c:v>
                </c:pt>
                <c:pt idx="2">
                  <c:v>1.2709999999999999</c:v>
                </c:pt>
                <c:pt idx="3">
                  <c:v>1.327</c:v>
                </c:pt>
                <c:pt idx="4">
                  <c:v>1.393</c:v>
                </c:pt>
                <c:pt idx="5">
                  <c:v>1.3520000000000001</c:v>
                </c:pt>
                <c:pt idx="6">
                  <c:v>1.306</c:v>
                </c:pt>
                <c:pt idx="7">
                  <c:v>1.409</c:v>
                </c:pt>
                <c:pt idx="8">
                  <c:v>1.363</c:v>
                </c:pt>
                <c:pt idx="9">
                  <c:v>1.3640000000000001</c:v>
                </c:pt>
                <c:pt idx="10">
                  <c:v>1.2589999999999999</c:v>
                </c:pt>
                <c:pt idx="11">
                  <c:v>1.302</c:v>
                </c:pt>
                <c:pt idx="12">
                  <c:v>1.3049999999999999</c:v>
                </c:pt>
                <c:pt idx="13">
                  <c:v>1.2350000000000001</c:v>
                </c:pt>
                <c:pt idx="14">
                  <c:v>1.2669999999999999</c:v>
                </c:pt>
                <c:pt idx="15">
                  <c:v>1.228</c:v>
                </c:pt>
                <c:pt idx="16">
                  <c:v>1.2989999999999999</c:v>
                </c:pt>
                <c:pt idx="17">
                  <c:v>1.244</c:v>
                </c:pt>
                <c:pt idx="18">
                  <c:v>1.206</c:v>
                </c:pt>
                <c:pt idx="19">
                  <c:v>1.274</c:v>
                </c:pt>
                <c:pt idx="20">
                  <c:v>1.278</c:v>
                </c:pt>
                <c:pt idx="21">
                  <c:v>1.335</c:v>
                </c:pt>
                <c:pt idx="22">
                  <c:v>1.2230000000000001</c:v>
                </c:pt>
                <c:pt idx="23">
                  <c:v>1.3380000000000001</c:v>
                </c:pt>
                <c:pt idx="24">
                  <c:v>1.1830000000000001</c:v>
                </c:pt>
                <c:pt idx="25">
                  <c:v>1.2270000000000001</c:v>
                </c:pt>
                <c:pt idx="26">
                  <c:v>1.2090000000000001</c:v>
                </c:pt>
                <c:pt idx="27">
                  <c:v>1.3129999999999999</c:v>
                </c:pt>
                <c:pt idx="28">
                  <c:v>1.294</c:v>
                </c:pt>
                <c:pt idx="29">
                  <c:v>1.359</c:v>
                </c:pt>
                <c:pt idx="30">
                  <c:v>1.2609999999999999</c:v>
                </c:pt>
                <c:pt idx="31">
                  <c:v>1.2789999999999999</c:v>
                </c:pt>
                <c:pt idx="32">
                  <c:v>1.3149999999999999</c:v>
                </c:pt>
                <c:pt idx="33">
                  <c:v>1.3129999999999999</c:v>
                </c:pt>
                <c:pt idx="34">
                  <c:v>1.262</c:v>
                </c:pt>
                <c:pt idx="35">
                  <c:v>1.2210000000000001</c:v>
                </c:pt>
              </c:numCache>
            </c:numRef>
          </c:yVal>
          <c:smooth val="0"/>
          <c:extLst>
            <c:ext xmlns:c16="http://schemas.microsoft.com/office/drawing/2014/chart" uri="{C3380CC4-5D6E-409C-BE32-E72D297353CC}">
              <c16:uniqueId val="{00000001-0719-4D06-9652-E412A664B056}"/>
            </c:ext>
          </c:extLst>
        </c:ser>
        <c:dLbls>
          <c:showLegendKey val="0"/>
          <c:showVal val="0"/>
          <c:showCatName val="0"/>
          <c:showSerName val="0"/>
          <c:showPercent val="0"/>
          <c:showBubbleSize val="0"/>
        </c:dLbls>
        <c:axId val="1344325792"/>
        <c:axId val="1344335392"/>
      </c:scatterChart>
      <c:valAx>
        <c:axId val="134432579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it-IT" sz="1000" b="1" i="0" u="none" strike="noStrike" kern="1200" baseline="0">
                    <a:solidFill>
                      <a:schemeClr val="tx1"/>
                    </a:solidFill>
                    <a:latin typeface="Arial" panose="020B0604020202020204" pitchFamily="34" charset="0"/>
                    <a:cs typeface="Arial" panose="020B0604020202020204" pitchFamily="34" charset="0"/>
                  </a:rPr>
                  <a:t>N° Cycles ads/des [-]</a:t>
                </a:r>
              </a:p>
            </c:rich>
          </c:tx>
          <c:layout>
            <c:manualLayout>
              <c:xMode val="edge"/>
              <c:yMode val="edge"/>
              <c:x val="0.43151513500258837"/>
              <c:y val="0.91320357706470279"/>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it-IT"/>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344335392"/>
        <c:crosses val="autoZero"/>
        <c:crossBetween val="midCat"/>
        <c:majorUnit val="10"/>
        <c:minorUnit val="5"/>
      </c:valAx>
      <c:valAx>
        <c:axId val="134433539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it-IT" sz="1000" b="1" i="0" u="none" strike="noStrike" kern="1200" baseline="0">
                    <a:solidFill>
                      <a:schemeClr val="tx1"/>
                    </a:solidFill>
                    <a:latin typeface="Arial" panose="020B0604020202020204" pitchFamily="34" charset="0"/>
                    <a:cs typeface="Arial" panose="020B0604020202020204" pitchFamily="34" charset="0"/>
                  </a:rPr>
                  <a:t>m</a:t>
                </a:r>
                <a:r>
                  <a:rPr lang="it-IT" sz="1000" b="1" i="0" u="none" strike="noStrike" kern="1200" baseline="-25000">
                    <a:solidFill>
                      <a:schemeClr val="tx1"/>
                    </a:solidFill>
                    <a:latin typeface="Arial" panose="020B0604020202020204" pitchFamily="34" charset="0"/>
                    <a:cs typeface="Arial" panose="020B0604020202020204" pitchFamily="34" charset="0"/>
                  </a:rPr>
                  <a:t> </a:t>
                </a:r>
                <a:r>
                  <a:rPr lang="it-IT" sz="1000" b="1" i="0" u="none" strike="noStrike" kern="1200" baseline="0">
                    <a:solidFill>
                      <a:schemeClr val="tx1"/>
                    </a:solidFill>
                    <a:latin typeface="Arial" panose="020B0604020202020204" pitchFamily="34" charset="0"/>
                    <a:cs typeface="Arial" panose="020B0604020202020204" pitchFamily="34" charset="0"/>
                  </a:rPr>
                  <a:t>[g]</a:t>
                </a:r>
              </a:p>
            </c:rich>
          </c:tx>
          <c:layout>
            <c:manualLayout>
              <c:xMode val="edge"/>
              <c:yMode val="edge"/>
              <c:x val="1.7300274925544507E-3"/>
              <c:y val="0.367196365647664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it-IT"/>
          </a:p>
        </c:txPr>
        <c:crossAx val="1344325792"/>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3321</Words>
  <Characters>18931</Characters>
  <Application>Microsoft Office Word</Application>
  <DocSecurity>0</DocSecurity>
  <Lines>157</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rossella girimonte</cp:lastModifiedBy>
  <cp:revision>2</cp:revision>
  <cp:lastPrinted>2024-12-12T12:12:00Z</cp:lastPrinted>
  <dcterms:created xsi:type="dcterms:W3CDTF">2025-01-28T08:54:00Z</dcterms:created>
  <dcterms:modified xsi:type="dcterms:W3CDTF">2025-01-28T08:54:00Z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