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DB68A56" w:rsidR="00E978D0" w:rsidRPr="00B57B36" w:rsidRDefault="00B114FC" w:rsidP="00E978D0">
      <w:pPr>
        <w:pStyle w:val="CETTitle"/>
      </w:pPr>
      <w:r>
        <w:t xml:space="preserve">Development of Machine Learning Models for </w:t>
      </w:r>
      <w:proofErr w:type="spellStart"/>
      <w:r>
        <w:t>Sandface</w:t>
      </w:r>
      <w:proofErr w:type="spellEnd"/>
      <w:r>
        <w:t xml:space="preserve"> Pressure Prediction in Oil Well</w:t>
      </w:r>
    </w:p>
    <w:p w14:paraId="0488FED2" w14:textId="4F598BA0" w:rsidR="00B57E6F" w:rsidRPr="00F75390" w:rsidRDefault="00B114FC" w:rsidP="00B57E6F">
      <w:pPr>
        <w:pStyle w:val="CETAuthors"/>
        <w:rPr>
          <w:lang w:val="pt-BR"/>
        </w:rPr>
      </w:pPr>
      <w:r w:rsidRPr="00F75390">
        <w:rPr>
          <w:lang w:val="pt-BR"/>
        </w:rPr>
        <w:t>Lorraine P. Oliveira</w:t>
      </w:r>
      <w:r w:rsidRPr="00F75390">
        <w:rPr>
          <w:vertAlign w:val="superscript"/>
          <w:lang w:val="pt-BR"/>
        </w:rPr>
        <w:t>a</w:t>
      </w:r>
      <w:r w:rsidRPr="00F75390">
        <w:rPr>
          <w:lang w:val="pt-BR"/>
        </w:rPr>
        <w:t>, Raul M. Foronda</w:t>
      </w:r>
      <w:r w:rsidRPr="00F75390">
        <w:rPr>
          <w:vertAlign w:val="superscript"/>
          <w:lang w:val="pt-BR"/>
        </w:rPr>
        <w:t>a</w:t>
      </w:r>
      <w:r w:rsidRPr="00F75390">
        <w:rPr>
          <w:lang w:val="pt-BR"/>
        </w:rPr>
        <w:t>, Alexandre V. Grillo</w:t>
      </w:r>
      <w:r w:rsidRPr="00F75390">
        <w:rPr>
          <w:vertAlign w:val="superscript"/>
          <w:lang w:val="pt-BR"/>
        </w:rPr>
        <w:t>b</w:t>
      </w:r>
      <w:r w:rsidRPr="00F75390">
        <w:rPr>
          <w:lang w:val="pt-BR"/>
        </w:rPr>
        <w:t xml:space="preserve">, Brunno F. dos Santos </w:t>
      </w:r>
      <w:r w:rsidRPr="00F75390">
        <w:rPr>
          <w:vertAlign w:val="superscript"/>
          <w:lang w:val="pt-BR"/>
        </w:rPr>
        <w:t>a,*</w:t>
      </w:r>
    </w:p>
    <w:p w14:paraId="14EB7C74" w14:textId="014AD8B0" w:rsidR="00B114FC" w:rsidRPr="00F75390" w:rsidRDefault="00B57E6F" w:rsidP="00B114FC">
      <w:pPr>
        <w:pStyle w:val="CETAddress"/>
        <w:rPr>
          <w:lang w:val="pt-BR"/>
        </w:rPr>
      </w:pPr>
      <w:r w:rsidRPr="00B57B36">
        <w:rPr>
          <w:vertAlign w:val="superscript"/>
        </w:rPr>
        <w:t>a</w:t>
      </w:r>
      <w:r w:rsidR="00B114FC" w:rsidRPr="00B114FC">
        <w:rPr>
          <w:rFonts w:cs="Arial"/>
          <w:color w:val="000000"/>
          <w:szCs w:val="16"/>
          <w:lang w:val="en-US" w:eastAsia="pt-BR"/>
        </w:rPr>
        <w:t xml:space="preserve">Department of Chemical and Material Engineering (DEQM). </w:t>
      </w:r>
      <w:r w:rsidR="00B114FC" w:rsidRPr="00B114FC">
        <w:rPr>
          <w:rFonts w:cs="Arial"/>
          <w:color w:val="000000"/>
          <w:szCs w:val="16"/>
          <w:lang w:val="pt-BR" w:eastAsia="pt-BR"/>
        </w:rPr>
        <w:t>Pontifical Catholic University of Rio de Janeiro (PUC-Rio). Rua Marquês de São Vicente, 225 – Gávea, Rio de Janeiro – RJ, 22430-060, Brazil</w:t>
      </w:r>
    </w:p>
    <w:p w14:paraId="2912212B" w14:textId="584AD479" w:rsidR="00B114FC" w:rsidRPr="00B114FC" w:rsidRDefault="00B114FC" w:rsidP="00B114FC">
      <w:pPr>
        <w:tabs>
          <w:tab w:val="clear" w:pos="7100"/>
        </w:tabs>
        <w:spacing w:line="240" w:lineRule="auto"/>
        <w:jc w:val="left"/>
        <w:rPr>
          <w:rFonts w:ascii="Times New Roman" w:hAnsi="Times New Roman"/>
          <w:sz w:val="24"/>
          <w:szCs w:val="24"/>
          <w:lang w:val="en-US" w:eastAsia="pt-BR"/>
        </w:rPr>
      </w:pPr>
      <w:r w:rsidRPr="00B114FC">
        <w:rPr>
          <w:rFonts w:cs="Arial"/>
          <w:color w:val="000000"/>
          <w:sz w:val="16"/>
          <w:szCs w:val="16"/>
          <w:vertAlign w:val="superscript"/>
          <w:lang w:val="en-US" w:eastAsia="pt-BR"/>
        </w:rPr>
        <w:t>b</w:t>
      </w:r>
      <w:r w:rsidRPr="00B114FC">
        <w:rPr>
          <w:rFonts w:cs="Arial"/>
          <w:color w:val="000000"/>
          <w:sz w:val="16"/>
          <w:szCs w:val="16"/>
          <w:lang w:val="en-US" w:eastAsia="pt-BR"/>
        </w:rPr>
        <w:t xml:space="preserve">Federal Institute of Education, Science and Technology (IFRJ), Rua </w:t>
      </w:r>
      <w:r w:rsidR="00B00F39" w:rsidRPr="00B114FC">
        <w:rPr>
          <w:rFonts w:cs="Arial"/>
          <w:color w:val="000000"/>
          <w:sz w:val="16"/>
          <w:szCs w:val="16"/>
          <w:lang w:val="en-US" w:eastAsia="pt-BR"/>
        </w:rPr>
        <w:t>Lúcio Tavares</w:t>
      </w:r>
      <w:r w:rsidRPr="00B114FC">
        <w:rPr>
          <w:rFonts w:cs="Arial"/>
          <w:color w:val="000000"/>
          <w:sz w:val="16"/>
          <w:szCs w:val="16"/>
          <w:lang w:val="en-US" w:eastAsia="pt-BR"/>
        </w:rPr>
        <w:t xml:space="preserve">, 1045 – Centro, </w:t>
      </w:r>
      <w:r w:rsidR="00B00F39" w:rsidRPr="00B114FC">
        <w:rPr>
          <w:rFonts w:cs="Arial"/>
          <w:color w:val="000000"/>
          <w:sz w:val="16"/>
          <w:szCs w:val="16"/>
          <w:lang w:val="en-US" w:eastAsia="pt-BR"/>
        </w:rPr>
        <w:t>Nilopolis</w:t>
      </w:r>
      <w:r w:rsidRPr="00B114FC">
        <w:rPr>
          <w:rFonts w:cs="Arial"/>
          <w:color w:val="000000"/>
          <w:sz w:val="16"/>
          <w:szCs w:val="16"/>
          <w:lang w:val="en-US" w:eastAsia="pt-BR"/>
        </w:rPr>
        <w:t xml:space="preserve"> – RJ, 26530- 060, Brazil.</w:t>
      </w:r>
    </w:p>
    <w:p w14:paraId="378F3CD9" w14:textId="6CE7C8C3" w:rsidR="00B114FC" w:rsidRPr="00B114FC" w:rsidRDefault="00B114FC" w:rsidP="00B114FC">
      <w:pPr>
        <w:tabs>
          <w:tab w:val="clear" w:pos="7100"/>
        </w:tabs>
        <w:spacing w:after="240" w:line="240" w:lineRule="auto"/>
        <w:jc w:val="left"/>
        <w:rPr>
          <w:rFonts w:ascii="Times New Roman" w:hAnsi="Times New Roman"/>
          <w:sz w:val="24"/>
          <w:szCs w:val="24"/>
          <w:lang w:val="en-US" w:eastAsia="pt-BR"/>
        </w:rPr>
      </w:pPr>
      <w:r w:rsidRPr="00B114FC">
        <w:rPr>
          <w:rFonts w:cs="Arial"/>
          <w:color w:val="000000"/>
          <w:sz w:val="16"/>
          <w:szCs w:val="16"/>
          <w:lang w:val="en-US" w:eastAsia="pt-BR"/>
        </w:rPr>
        <w:t>*bsantos@puc-rio.br</w:t>
      </w:r>
    </w:p>
    <w:p w14:paraId="38F76186" w14:textId="0FFABE07" w:rsidR="006A6DE5" w:rsidRPr="00B114FC" w:rsidRDefault="00B114FC" w:rsidP="00B114FC">
      <w:pPr>
        <w:pStyle w:val="CETBodytext"/>
        <w:rPr>
          <w:b/>
          <w:bCs/>
        </w:rPr>
      </w:pPr>
      <w:r w:rsidRPr="00B114FC">
        <w:rPr>
          <w:lang w:val="en-GB"/>
        </w:rPr>
        <w:t xml:space="preserve">The Oil &amp; Gas (O&amp;G) industry is increasingly leveraging Machine Learning (ML) techniques to predict well performance indicators, estimate missing operational metrics, and mitigate unexpected operational failures. However, the availability of extensive and high-quality datasets remains a major challenge due to the diversity of well characteristics and proprietary industry constraints. This study employs the Society of Petroleum Engineers' (SPE) Rate Transient Analysis (RTA) dataset to predict </w:t>
      </w:r>
      <w:proofErr w:type="spellStart"/>
      <w:r w:rsidRPr="00B114FC">
        <w:rPr>
          <w:lang w:val="en-GB"/>
        </w:rPr>
        <w:t>Sandface</w:t>
      </w:r>
      <w:proofErr w:type="spellEnd"/>
      <w:r w:rsidRPr="00B114FC">
        <w:rPr>
          <w:lang w:val="en-GB"/>
        </w:rPr>
        <w:t xml:space="preserve"> Pressure or Bottom Hole Pressure (BHP) using Decision Tree (DT) models. Initially, a comprehensive literature review on RTA was conducted, followed by an in-depth evaluation of the dataset and its variables. Feature selection was performed based on data availability, Spearman’s correlation analysis, and Principal Component Analysis (PCA), leading to the exclusion of the "Oil Volume" variable from model training to improve predictive performance. The optimal DT model configuration was determined through cross-validation, utilizing Scikit-</w:t>
      </w:r>
      <w:proofErr w:type="spellStart"/>
      <w:r w:rsidRPr="00B114FC">
        <w:rPr>
          <w:lang w:val="en-GB"/>
        </w:rPr>
        <w:t>learn’s</w:t>
      </w:r>
      <w:proofErr w:type="spellEnd"/>
      <w:r w:rsidRPr="00B114FC">
        <w:rPr>
          <w:lang w:val="en-GB"/>
        </w:rPr>
        <w:t xml:space="preserve"> </w:t>
      </w:r>
      <w:proofErr w:type="spellStart"/>
      <w:r w:rsidRPr="00B114FC">
        <w:rPr>
          <w:lang w:val="en-GB"/>
        </w:rPr>
        <w:t>GridSearchCV</w:t>
      </w:r>
      <w:proofErr w:type="spellEnd"/>
      <w:r w:rsidRPr="00B114FC">
        <w:rPr>
          <w:lang w:val="en-GB"/>
        </w:rPr>
        <w:t xml:space="preserve"> for hyperparameter optimization. The best-performing model achieved an </w:t>
      </w:r>
      <w:r w:rsidRPr="00B114FC">
        <w:rPr>
          <w:rFonts w:ascii="Cambria Math" w:hAnsi="Cambria Math" w:cs="Cambria Math"/>
          <w:lang w:val="en-GB"/>
        </w:rPr>
        <w:t>𝑅</w:t>
      </w:r>
      <w:r w:rsidRPr="00B114FC">
        <w:rPr>
          <w:lang w:val="en-GB"/>
        </w:rPr>
        <w:t>2 score of 0.982 and a Mean Squared Error (MSE) of 4.878 × 10</w:t>
      </w:r>
      <w:r w:rsidRPr="00B114FC">
        <w:rPr>
          <w:rFonts w:ascii="Cambria Math" w:hAnsi="Cambria Math" w:cs="Cambria Math"/>
          <w:lang w:val="en-GB"/>
        </w:rPr>
        <w:t>⁻</w:t>
      </w:r>
      <w:r w:rsidRPr="00B114FC">
        <w:rPr>
          <w:rFonts w:cs="Arial"/>
          <w:lang w:val="en-GB"/>
        </w:rPr>
        <w:t>⁴</w:t>
      </w:r>
      <w:r w:rsidRPr="00B114FC">
        <w:rPr>
          <w:lang w:val="en-GB"/>
        </w:rPr>
        <w:t>, demonstrating that RTA data effectively supports BHP prediction and that DT models are well-suited for this application. These findings highlight the potential of data-driven approaches in enhancing predictive analytics for well performance monitoring and optimization in the O&amp;G sector.</w:t>
      </w:r>
    </w:p>
    <w:p w14:paraId="23F86FEF" w14:textId="2ECF4F16" w:rsidR="00600535" w:rsidRPr="00B114FC" w:rsidRDefault="00600535" w:rsidP="00600535">
      <w:pPr>
        <w:pStyle w:val="CETHeading1"/>
        <w:rPr>
          <w:lang w:val="en-GB"/>
        </w:rPr>
      </w:pPr>
      <w:r w:rsidRPr="00B57B36">
        <w:rPr>
          <w:lang w:val="en-GB"/>
        </w:rPr>
        <w:t>Introduction</w:t>
      </w:r>
    </w:p>
    <w:p w14:paraId="3E4187B6" w14:textId="69BF3A8D" w:rsidR="00B114FC" w:rsidRPr="00B114FC" w:rsidRDefault="00B114FC" w:rsidP="00B114FC">
      <w:pPr>
        <w:tabs>
          <w:tab w:val="clear" w:pos="7100"/>
        </w:tabs>
        <w:spacing w:line="240" w:lineRule="auto"/>
        <w:rPr>
          <w:rFonts w:ascii="Times New Roman" w:hAnsi="Times New Roman"/>
          <w:sz w:val="24"/>
          <w:szCs w:val="24"/>
          <w:lang w:val="en-US" w:eastAsia="pt-BR"/>
        </w:rPr>
      </w:pPr>
      <w:r w:rsidRPr="00B114FC">
        <w:rPr>
          <w:rFonts w:cs="Arial"/>
          <w:color w:val="000000"/>
          <w:szCs w:val="18"/>
          <w:lang w:val="en-US" w:eastAsia="pt-BR"/>
        </w:rPr>
        <w:t xml:space="preserve">In 2023, fossil fuels accounted for 78 % of the global energy demand, and despite ongoing efforts for the current energy transition, they are estimated to remain responsible for at least 40 % by 2050 (MCKINSEY &amp; COMPANY, 2024). Similarly, the oil and gas industry </w:t>
      </w:r>
      <w:proofErr w:type="gramStart"/>
      <w:r w:rsidRPr="00B114FC">
        <w:rPr>
          <w:rFonts w:cs="Arial"/>
          <w:color w:val="000000"/>
          <w:szCs w:val="18"/>
          <w:lang w:val="en-US" w:eastAsia="pt-BR"/>
        </w:rPr>
        <w:t>is</w:t>
      </w:r>
      <w:proofErr w:type="gramEnd"/>
      <w:r w:rsidRPr="00B114FC">
        <w:rPr>
          <w:rFonts w:cs="Arial"/>
          <w:color w:val="000000"/>
          <w:szCs w:val="18"/>
          <w:lang w:val="en-US" w:eastAsia="pt-BR"/>
        </w:rPr>
        <w:t xml:space="preserve"> expected to generate at least $ 2.5 trillion by 2030 (Deloitte, 2023). </w:t>
      </w:r>
      <w:r w:rsidR="003C675E">
        <w:rPr>
          <w:rFonts w:cs="Arial"/>
          <w:color w:val="000000"/>
          <w:szCs w:val="18"/>
          <w:lang w:val="en-US" w:eastAsia="pt-BR"/>
        </w:rPr>
        <w:t>T</w:t>
      </w:r>
      <w:r w:rsidR="003C675E" w:rsidRPr="003C675E">
        <w:rPr>
          <w:rFonts w:cs="Arial"/>
          <w:color w:val="000000"/>
          <w:szCs w:val="18"/>
          <w:lang w:val="en-US" w:eastAsia="pt-BR"/>
        </w:rPr>
        <w:t>he application of Machine Learning in the Oil &amp; Gas industry enables filling gaps in well logs and improving the quality of exploration data</w:t>
      </w:r>
      <w:r w:rsidR="003C675E">
        <w:rPr>
          <w:rFonts w:cs="Arial"/>
          <w:color w:val="000000"/>
          <w:szCs w:val="18"/>
          <w:lang w:val="en-US" w:eastAsia="pt-BR"/>
        </w:rPr>
        <w:t xml:space="preserve"> (</w:t>
      </w:r>
      <w:r w:rsidR="003C675E" w:rsidRPr="003C675E">
        <w:rPr>
          <w:rFonts w:cs="Arial"/>
          <w:color w:val="000000"/>
          <w:szCs w:val="18"/>
          <w:lang w:val="en-US" w:eastAsia="pt-BR"/>
        </w:rPr>
        <w:t>BROWN; ROUBÍCKOVÁ; NORDLOH, 2020). To meet global economic needs while reducing operational costs and increasing the efficiency of O&amp;G processes, new ML technologies have gained popularity in literature.</w:t>
      </w:r>
    </w:p>
    <w:p w14:paraId="73001380" w14:textId="77777777" w:rsidR="00B114FC" w:rsidRPr="00B114FC" w:rsidRDefault="00B114FC" w:rsidP="00B114FC">
      <w:pPr>
        <w:tabs>
          <w:tab w:val="clear" w:pos="7100"/>
        </w:tabs>
        <w:spacing w:line="240" w:lineRule="auto"/>
        <w:rPr>
          <w:rFonts w:ascii="Times New Roman" w:hAnsi="Times New Roman"/>
          <w:sz w:val="24"/>
          <w:szCs w:val="24"/>
          <w:lang w:val="en-US" w:eastAsia="pt-BR"/>
        </w:rPr>
      </w:pPr>
      <w:proofErr w:type="spellStart"/>
      <w:r w:rsidRPr="00B114FC">
        <w:rPr>
          <w:rFonts w:cs="Arial"/>
          <w:color w:val="000000"/>
          <w:szCs w:val="18"/>
          <w:lang w:val="en-US" w:eastAsia="pt-BR"/>
        </w:rPr>
        <w:t>Sandface</w:t>
      </w:r>
      <w:proofErr w:type="spellEnd"/>
      <w:r w:rsidRPr="00B114FC">
        <w:rPr>
          <w:rFonts w:cs="Arial"/>
          <w:color w:val="000000"/>
          <w:szCs w:val="18"/>
          <w:lang w:val="en-US" w:eastAsia="pt-BR"/>
        </w:rPr>
        <w:t xml:space="preserve"> pressure or Bottom Hole Pressure (BHP) is a crucial variable in O&amp;G operations. It represents the pressure at the bottom of a well and can be used for dynamic monitoring of an operation, assisting in determining a well's production, or for more comprehensive evaluations such as Rate Transient Analysis (RTA) or Pressure Transient Analysis (PTA), which can determine productivity, extraction time, and geological characteristics of a well (</w:t>
      </w:r>
      <w:proofErr w:type="spellStart"/>
      <w:r w:rsidRPr="00B114FC">
        <w:rPr>
          <w:rFonts w:cs="Arial"/>
          <w:color w:val="000000"/>
          <w:szCs w:val="18"/>
          <w:lang w:val="en-US" w:eastAsia="pt-BR"/>
        </w:rPr>
        <w:t>Taghavinejad</w:t>
      </w:r>
      <w:proofErr w:type="spellEnd"/>
      <w:r w:rsidRPr="00B114FC">
        <w:rPr>
          <w:rFonts w:cs="Arial"/>
          <w:color w:val="000000"/>
          <w:szCs w:val="18"/>
          <w:lang w:val="en-US" w:eastAsia="pt-BR"/>
        </w:rPr>
        <w:t xml:space="preserve"> et al., 2022). BHP is essential for predicting reservoir performance, and optimizing recovery strategies, such as water or gas injection to maintain reservoir pressure. Factors influencing BHP include reservoir pressure, formation characteristics (permeability and porosity), production rates, fluid properties (viscosity and compressibility), and well conditions. BHP is measured using downhole instrumentation or estimated through numerical modeling and simulation, often supported by software such as IHS Harmony and Schlumberger's ECLIPSE (IHS Markit, 2020).</w:t>
      </w:r>
    </w:p>
    <w:p w14:paraId="4260B089" w14:textId="0E2567DB" w:rsidR="00B114FC" w:rsidRPr="00B114FC" w:rsidRDefault="00B114FC" w:rsidP="00B114FC">
      <w:pPr>
        <w:tabs>
          <w:tab w:val="clear" w:pos="7100"/>
        </w:tabs>
        <w:spacing w:line="240" w:lineRule="auto"/>
        <w:rPr>
          <w:rFonts w:ascii="Times New Roman" w:hAnsi="Times New Roman"/>
          <w:sz w:val="24"/>
          <w:szCs w:val="24"/>
          <w:lang w:val="en-US" w:eastAsia="pt-BR"/>
        </w:rPr>
      </w:pPr>
      <w:r w:rsidRPr="00B114FC">
        <w:rPr>
          <w:rFonts w:cs="Arial"/>
          <w:color w:val="000000"/>
          <w:szCs w:val="18"/>
          <w:lang w:val="en-US" w:eastAsia="pt-BR"/>
        </w:rPr>
        <w:t xml:space="preserve">RTA has been widely used to interpret O&amp;G data (such as phase flow rates, pressures, and production line pressures) and provide insights into reservoir behavior. RTA combines phenomenological models with production data to analyze how production rates vary over time, thereby inferring critical reservoir parameters </w:t>
      </w:r>
      <w:r w:rsidRPr="00B114FC">
        <w:rPr>
          <w:rFonts w:cs="Arial"/>
          <w:color w:val="000000"/>
          <w:szCs w:val="18"/>
          <w:lang w:val="en-US" w:eastAsia="pt-BR"/>
        </w:rPr>
        <w:lastRenderedPageBreak/>
        <w:t xml:space="preserve">such as </w:t>
      </w:r>
      <w:proofErr w:type="spellStart"/>
      <w:r w:rsidRPr="00B114FC">
        <w:rPr>
          <w:rFonts w:cs="Arial"/>
          <w:color w:val="000000"/>
          <w:szCs w:val="18"/>
          <w:lang w:val="en-US" w:eastAsia="pt-BR"/>
        </w:rPr>
        <w:t>sandface</w:t>
      </w:r>
      <w:proofErr w:type="spellEnd"/>
      <w:r w:rsidRPr="00B114FC">
        <w:rPr>
          <w:rFonts w:cs="Arial"/>
          <w:color w:val="000000"/>
          <w:szCs w:val="18"/>
          <w:lang w:val="en-US" w:eastAsia="pt-BR"/>
        </w:rPr>
        <w:t xml:space="preserve"> pressure (Clarkson et al., 2016).</w:t>
      </w:r>
      <w:r w:rsidR="00865E14">
        <w:rPr>
          <w:rFonts w:ascii="Times New Roman" w:hAnsi="Times New Roman"/>
          <w:sz w:val="24"/>
          <w:szCs w:val="24"/>
          <w:lang w:val="en-US" w:eastAsia="pt-BR"/>
        </w:rPr>
        <w:t xml:space="preserve"> </w:t>
      </w:r>
      <w:r w:rsidRPr="00B114FC">
        <w:rPr>
          <w:rFonts w:cs="Arial"/>
          <w:color w:val="000000"/>
          <w:szCs w:val="18"/>
          <w:lang w:val="en-US" w:eastAsia="pt-BR"/>
        </w:rPr>
        <w:t>The quality and quantity of data available for training ML models are highly relevant factors in their predictive capacity (</w:t>
      </w:r>
      <w:proofErr w:type="spellStart"/>
      <w:r w:rsidRPr="00B114FC">
        <w:rPr>
          <w:rFonts w:cs="Arial"/>
          <w:color w:val="000000"/>
          <w:szCs w:val="18"/>
          <w:lang w:val="en-US" w:eastAsia="pt-BR"/>
        </w:rPr>
        <w:t>Géron</w:t>
      </w:r>
      <w:proofErr w:type="spellEnd"/>
      <w:r w:rsidRPr="00B114FC">
        <w:rPr>
          <w:rFonts w:cs="Arial"/>
          <w:color w:val="000000"/>
          <w:szCs w:val="18"/>
          <w:lang w:val="en-US" w:eastAsia="pt-BR"/>
        </w:rPr>
        <w:t>, 2019). Some methods aim to improve data quality through variable selection or extraction techniques that reduce data dimensionality, such as Principal Component Analysis (PCA) (Kurita, 2020). PCA is widely used in the literature as an effective way to describe data variance or work with simpler components that accurately represent a dataset.</w:t>
      </w:r>
    </w:p>
    <w:p w14:paraId="12614ACB" w14:textId="77777777" w:rsidR="00B114FC" w:rsidRPr="00B114FC" w:rsidRDefault="00B114FC" w:rsidP="00B114FC">
      <w:pPr>
        <w:tabs>
          <w:tab w:val="clear" w:pos="7100"/>
        </w:tabs>
        <w:spacing w:line="240" w:lineRule="auto"/>
        <w:rPr>
          <w:rFonts w:ascii="Times New Roman" w:hAnsi="Times New Roman"/>
          <w:sz w:val="24"/>
          <w:szCs w:val="24"/>
          <w:lang w:val="en-US" w:eastAsia="pt-BR"/>
        </w:rPr>
      </w:pPr>
      <w:r w:rsidRPr="00B114FC">
        <w:rPr>
          <w:rFonts w:cs="Arial"/>
          <w:color w:val="000000"/>
          <w:szCs w:val="18"/>
          <w:lang w:val="en-US" w:eastAsia="pt-BR"/>
        </w:rPr>
        <w:t xml:space="preserve">Obtaining real operational data for ML research in the O&amp;G field remains a challenge, but some recent initiatives aim to change this scenario, such as Petrobras' 3W database, which gathers pressure and flow data from oil extraction wells (Vargas, R. E. V. et al., 2019). Another important initiative is the release of the public data repository by the Society of Petroleum Engineers (SPE), which consolidates data from three databases, including RTA analyses (Society of Petroleum Engineers, 2024).   </w:t>
      </w:r>
      <w:r w:rsidRPr="00B114FC">
        <w:rPr>
          <w:rFonts w:cs="Arial"/>
          <w:color w:val="000000"/>
          <w:szCs w:val="18"/>
          <w:lang w:val="en-US" w:eastAsia="pt-BR"/>
        </w:rPr>
        <w:tab/>
        <w:t>The SPE repository includes operational data from 53 wells, providing resources for researchers to develop ML models for reservoir analysis. Despite the amount of data, the RTA dataset, a key part of the SPE repository, has yet to be fully explored in terms of variable context and distribution, necessitating assumptions for ML development.</w:t>
      </w:r>
    </w:p>
    <w:p w14:paraId="397F0B1D" w14:textId="02F9D5F1" w:rsidR="00B114FC" w:rsidRPr="00B114FC" w:rsidRDefault="00B114FC" w:rsidP="00B114FC">
      <w:pPr>
        <w:tabs>
          <w:tab w:val="clear" w:pos="7100"/>
        </w:tabs>
        <w:spacing w:line="240" w:lineRule="auto"/>
        <w:rPr>
          <w:rFonts w:ascii="Times New Roman" w:hAnsi="Times New Roman"/>
          <w:sz w:val="24"/>
          <w:szCs w:val="24"/>
          <w:lang w:val="en-US" w:eastAsia="pt-BR"/>
        </w:rPr>
      </w:pPr>
      <w:r w:rsidRPr="00B114FC">
        <w:rPr>
          <w:rFonts w:cs="Arial"/>
          <w:color w:val="000000"/>
          <w:szCs w:val="18"/>
          <w:lang w:val="en-US" w:eastAsia="pt-BR"/>
        </w:rPr>
        <w:t xml:space="preserve">ML is a transformative approach within artificial intelligence, it enables systems to learn patterns from data and improve performance without explicit programming (Murphy, K. P., 2012). Supervised learning, particularly regression models, is fundamental for predicting continuous outcomes. Models such as Linear Regression, Decision Tree Regression, and Neural Networks address varying complexities and data types (Bishop, 2006; Quinlan, 1986; Goodfellow et al., 2016). These models have applications across industries, including forecasting market trends, optimizing production schedules, and predicting patient outcomes (Domingos, P., 2012). Advances in ML are driven by the increasing availability of large datasets and computational resources, enabling the development of more sophisticated and accurate models to tackle real-world problems (Smola, A. J. &amp; </w:t>
      </w:r>
      <w:proofErr w:type="spellStart"/>
      <w:r w:rsidRPr="00B114FC">
        <w:rPr>
          <w:rFonts w:cs="Arial"/>
          <w:color w:val="000000"/>
          <w:szCs w:val="18"/>
          <w:lang w:val="en-US" w:eastAsia="pt-BR"/>
        </w:rPr>
        <w:t>Schölkopf</w:t>
      </w:r>
      <w:proofErr w:type="spellEnd"/>
      <w:r w:rsidRPr="00B114FC">
        <w:rPr>
          <w:rFonts w:cs="Arial"/>
          <w:color w:val="000000"/>
          <w:szCs w:val="18"/>
          <w:lang w:val="en-US" w:eastAsia="pt-BR"/>
        </w:rPr>
        <w:t>, B., 2004)</w:t>
      </w:r>
      <w:r w:rsidR="00EF47F3">
        <w:rPr>
          <w:rFonts w:cs="Arial"/>
          <w:color w:val="000000"/>
          <w:szCs w:val="18"/>
          <w:lang w:val="en-US" w:eastAsia="pt-BR"/>
        </w:rPr>
        <w:t>.</w:t>
      </w:r>
    </w:p>
    <w:p w14:paraId="59DA284E" w14:textId="77777777" w:rsidR="00B114FC" w:rsidRPr="00B114FC" w:rsidRDefault="00B114FC" w:rsidP="00B114FC">
      <w:pPr>
        <w:tabs>
          <w:tab w:val="clear" w:pos="7100"/>
        </w:tabs>
        <w:spacing w:line="240" w:lineRule="auto"/>
        <w:rPr>
          <w:rFonts w:ascii="Times New Roman" w:hAnsi="Times New Roman"/>
          <w:sz w:val="24"/>
          <w:szCs w:val="24"/>
          <w:lang w:val="en-US" w:eastAsia="pt-BR"/>
        </w:rPr>
      </w:pPr>
      <w:r w:rsidRPr="00B114FC">
        <w:rPr>
          <w:rFonts w:cs="Arial"/>
          <w:color w:val="000000"/>
          <w:szCs w:val="18"/>
          <w:lang w:val="en-US" w:eastAsia="pt-BR"/>
        </w:rPr>
        <w:t>This study used a ML model to determine BHP using RTA data provided by SPE. The dataset used contains detailed production information from 53 oil wells. Using ML for BHP determination can represent an operational gain in O&amp;G activities, supporting platform operators in monitoring such a critical process parameter.</w:t>
      </w:r>
    </w:p>
    <w:p w14:paraId="21493133" w14:textId="77777777" w:rsidR="00B114FC" w:rsidRPr="00B114FC" w:rsidRDefault="00B114FC" w:rsidP="00B114FC">
      <w:pPr>
        <w:tabs>
          <w:tab w:val="clear" w:pos="7100"/>
        </w:tabs>
        <w:spacing w:line="240" w:lineRule="auto"/>
        <w:rPr>
          <w:rFonts w:ascii="Times New Roman" w:hAnsi="Times New Roman"/>
          <w:sz w:val="24"/>
          <w:szCs w:val="24"/>
          <w:lang w:val="en-US" w:eastAsia="pt-BR"/>
        </w:rPr>
      </w:pPr>
      <w:r w:rsidRPr="00B114FC">
        <w:rPr>
          <w:rFonts w:cs="Arial"/>
          <w:color w:val="000000"/>
          <w:szCs w:val="18"/>
          <w:lang w:val="en-US" w:eastAsia="pt-BR"/>
        </w:rPr>
        <w:t>The aim of this work was to develop a Machine Learning model to determine BHP using RTA data provided by SPE, including evaluating the provided RTA data, identifying variable correlations through correlation matrices, applying PCA to identify the best variables that describe the dataset, and building a predictive ML model for BHP.</w:t>
      </w:r>
    </w:p>
    <w:p w14:paraId="5741900F" w14:textId="17978105" w:rsidR="00453E24" w:rsidRDefault="00B114FC" w:rsidP="00453E24">
      <w:pPr>
        <w:pStyle w:val="CETHeading1"/>
      </w:pPr>
      <w:r>
        <w:t>Methods</w:t>
      </w:r>
    </w:p>
    <w:p w14:paraId="09406386" w14:textId="1C69AFFE" w:rsidR="00453E24" w:rsidRDefault="00B114FC" w:rsidP="00453E24">
      <w:pPr>
        <w:pStyle w:val="CETBodytext"/>
      </w:pPr>
      <w:r w:rsidRPr="00B114FC">
        <w:rPr>
          <w:lang w:val="en-GB"/>
        </w:rPr>
        <w:t>The workflow applied by this work follows three main steps: Data acquisition and evaluation, variables selection and model training; those steps will be better described by this section.</w:t>
      </w:r>
    </w:p>
    <w:p w14:paraId="0636B784" w14:textId="21434F7E" w:rsidR="00453E24" w:rsidRDefault="00B114FC" w:rsidP="00453E24">
      <w:pPr>
        <w:pStyle w:val="CETheadingx"/>
      </w:pPr>
      <w:r>
        <w:t>Data acquisition and cleaning</w:t>
      </w:r>
    </w:p>
    <w:p w14:paraId="07BFDF2E" w14:textId="05E78E3F" w:rsidR="00B114FC" w:rsidRPr="00C75C86" w:rsidRDefault="00B114FC" w:rsidP="00C75C86">
      <w:pPr>
        <w:pStyle w:val="CETBodytext"/>
        <w:spacing w:after="240"/>
      </w:pPr>
      <w:r w:rsidRPr="00B114FC">
        <w:t xml:space="preserve">From SPE dataset, all data used in this work has been collected from dataset_1_all_wells’s dataset “production_data.csv” file (SPE Data Repository: Data Set: 1, 2024). </w:t>
      </w:r>
      <w:r w:rsidRPr="00C75C86">
        <w:t>Each RTA analysis contains 13 variables: Lease, Time (days), Choke Size, Gas Volume (</w:t>
      </w:r>
      <w:proofErr w:type="spellStart"/>
      <w:r w:rsidRPr="00C75C86">
        <w:t>MMscf</w:t>
      </w:r>
      <w:proofErr w:type="spellEnd"/>
      <w:r w:rsidRPr="00C75C86">
        <w:t>), Oil Volume (</w:t>
      </w:r>
      <w:proofErr w:type="spellStart"/>
      <w:r w:rsidRPr="00C75C86">
        <w:t>Stb</w:t>
      </w:r>
      <w:proofErr w:type="spellEnd"/>
      <w:r w:rsidRPr="00C75C86">
        <w:t>), Water Volume (</w:t>
      </w:r>
      <w:proofErr w:type="spellStart"/>
      <w:r w:rsidRPr="00C75C86">
        <w:t>Stb</w:t>
      </w:r>
      <w:proofErr w:type="spellEnd"/>
      <w:r w:rsidRPr="00C75C86">
        <w:t xml:space="preserve">), Gas Lift </w:t>
      </w:r>
      <w:proofErr w:type="spellStart"/>
      <w:r w:rsidRPr="00C75C86">
        <w:t>Inj</w:t>
      </w:r>
      <w:proofErr w:type="spellEnd"/>
      <w:r w:rsidRPr="00C75C86">
        <w:t xml:space="preserve"> Volume (</w:t>
      </w:r>
      <w:proofErr w:type="spellStart"/>
      <w:r w:rsidRPr="00C75C86">
        <w:t>MMscf</w:t>
      </w:r>
      <w:proofErr w:type="spellEnd"/>
      <w:r w:rsidRPr="00C75C86">
        <w:t xml:space="preserve">), Casing Pressure (psi(a)), Tubing Pressure (psi(a)), Active Pressure (psi(a)), Line Pressure (psi(a)), Pressure Source, and Calculated </w:t>
      </w:r>
      <w:proofErr w:type="spellStart"/>
      <w:r w:rsidRPr="00C75C86">
        <w:t>Sandface</w:t>
      </w:r>
      <w:proofErr w:type="spellEnd"/>
      <w:r w:rsidRPr="00C75C86">
        <w:t xml:space="preserve"> Pressure (psi(a)).</w:t>
      </w:r>
    </w:p>
    <w:p w14:paraId="7C2B0064" w14:textId="4F175A16" w:rsidR="00453E24" w:rsidRDefault="00B114FC" w:rsidP="00C75C86">
      <w:pPr>
        <w:pStyle w:val="CETBodytext"/>
      </w:pPr>
      <w:r w:rsidRPr="00B114FC">
        <w:t xml:space="preserve">Data processing, model training, and graph visualization were performed using Python version 3.10 (Python, 2019), through Google </w:t>
      </w:r>
      <w:proofErr w:type="spellStart"/>
      <w:r w:rsidRPr="00B114FC">
        <w:t>Colab</w:t>
      </w:r>
      <w:proofErr w:type="spellEnd"/>
      <w:r w:rsidRPr="00B114FC">
        <w:t xml:space="preserve">. The source code for this work is available on the GitHub platform in a public repository (Freire, R. M., 2024). The main Python libraries used in this work were: </w:t>
      </w:r>
      <w:proofErr w:type="spellStart"/>
      <w:r w:rsidRPr="00B114FC">
        <w:t>sklearn</w:t>
      </w:r>
      <w:proofErr w:type="spellEnd"/>
      <w:r w:rsidRPr="00B114FC">
        <w:t xml:space="preserve">, prince, pandas, </w:t>
      </w:r>
      <w:proofErr w:type="spellStart"/>
      <w:r w:rsidRPr="00B114FC">
        <w:t>numpy</w:t>
      </w:r>
      <w:proofErr w:type="spellEnd"/>
      <w:r w:rsidRPr="00B114FC">
        <w:t xml:space="preserve">, seaborn, and matplotlib. Pandas </w:t>
      </w:r>
      <w:proofErr w:type="spellStart"/>
      <w:r w:rsidRPr="00B114FC">
        <w:t>dropna</w:t>
      </w:r>
      <w:proofErr w:type="spellEnd"/>
      <w:r w:rsidRPr="00B114FC">
        <w:t xml:space="preserve"> function was used to remove lines with only </w:t>
      </w:r>
      <w:r w:rsidR="00C75C86" w:rsidRPr="00B114FC">
        <w:t>non-numerical</w:t>
      </w:r>
      <w:r w:rsidRPr="00B114FC">
        <w:t xml:space="preserve"> values.</w:t>
      </w:r>
    </w:p>
    <w:p w14:paraId="18BAFA6F" w14:textId="25E27A39" w:rsidR="00453E24" w:rsidRPr="00B57B36" w:rsidRDefault="00C75C86" w:rsidP="00453E24">
      <w:pPr>
        <w:pStyle w:val="CETheadingx"/>
      </w:pPr>
      <w:r>
        <w:t>Variable selection</w:t>
      </w:r>
    </w:p>
    <w:p w14:paraId="7BD14536" w14:textId="19AAD400" w:rsidR="00C75C86" w:rsidRDefault="00C75C86" w:rsidP="00C75C86">
      <w:pPr>
        <w:pStyle w:val="CETBodytext"/>
        <w:rPr>
          <w:lang w:val="en-GB"/>
        </w:rPr>
      </w:pPr>
      <w:proofErr w:type="gramStart"/>
      <w:r w:rsidRPr="00C75C86">
        <w:rPr>
          <w:lang w:val="en-GB"/>
        </w:rPr>
        <w:t>In order to</w:t>
      </w:r>
      <w:proofErr w:type="gramEnd"/>
      <w:r w:rsidRPr="00C75C86">
        <w:rPr>
          <w:lang w:val="en-GB"/>
        </w:rPr>
        <w:t xml:space="preserve"> better understand the statistical behaviour and relationship, spearman correlations and PCA methods were employed by this work.</w:t>
      </w:r>
    </w:p>
    <w:p w14:paraId="4AF8DDF2" w14:textId="75759D55" w:rsidR="00C75C86" w:rsidRDefault="00C75C86" w:rsidP="00C75C86">
      <w:pPr>
        <w:pStyle w:val="CETHeadingxx"/>
      </w:pPr>
      <w:r>
        <w:t>2.2.1 Spearman correlation</w:t>
      </w:r>
    </w:p>
    <w:p w14:paraId="77627DD1" w14:textId="30484C48" w:rsidR="00C75C86" w:rsidRDefault="00C75C86" w:rsidP="00C75C86">
      <w:pPr>
        <w:pStyle w:val="CETHeadingxx"/>
        <w:jc w:val="both"/>
        <w:rPr>
          <w:b w:val="0"/>
          <w:bCs/>
        </w:rPr>
      </w:pPr>
      <w:r w:rsidRPr="00C75C86">
        <w:rPr>
          <w:b w:val="0"/>
          <w:bCs/>
        </w:rPr>
        <w:t>Reading the SPE dataset with pandas, spearman correlation was generated function “</w:t>
      </w:r>
      <w:proofErr w:type="spellStart"/>
      <w:r w:rsidRPr="00C75C86">
        <w:rPr>
          <w:b w:val="0"/>
          <w:bCs/>
        </w:rPr>
        <w:t>corr</w:t>
      </w:r>
      <w:proofErr w:type="spellEnd"/>
      <w:r w:rsidRPr="00C75C86">
        <w:rPr>
          <w:b w:val="0"/>
          <w:bCs/>
        </w:rPr>
        <w:t>” using method as “spearman” (e.g. “</w:t>
      </w:r>
      <w:proofErr w:type="spellStart"/>
      <w:r w:rsidRPr="00C75C86">
        <w:rPr>
          <w:b w:val="0"/>
          <w:bCs/>
        </w:rPr>
        <w:t>DataFrame.corr</w:t>
      </w:r>
      <w:proofErr w:type="spellEnd"/>
      <w:r w:rsidRPr="00C75C86">
        <w:rPr>
          <w:b w:val="0"/>
          <w:bCs/>
        </w:rPr>
        <w:t xml:space="preserve">(method='spearman')”), in order to improve data visualization, a heatmap was plotted using the library </w:t>
      </w:r>
      <w:proofErr w:type="spellStart"/>
      <w:r w:rsidRPr="00C75C86">
        <w:rPr>
          <w:b w:val="0"/>
          <w:bCs/>
        </w:rPr>
        <w:t>seaborn’s</w:t>
      </w:r>
      <w:proofErr w:type="spellEnd"/>
      <w:r w:rsidRPr="00C75C86">
        <w:rPr>
          <w:b w:val="0"/>
          <w:bCs/>
        </w:rPr>
        <w:t xml:space="preserve"> heatmap function (e.g. “</w:t>
      </w:r>
      <w:proofErr w:type="spellStart"/>
      <w:proofErr w:type="gramStart"/>
      <w:r w:rsidRPr="00C75C86">
        <w:rPr>
          <w:b w:val="0"/>
          <w:bCs/>
        </w:rPr>
        <w:t>seaborn.heatmap</w:t>
      </w:r>
      <w:proofErr w:type="spellEnd"/>
      <w:proofErr w:type="gramEnd"/>
      <w:r w:rsidRPr="00C75C86">
        <w:rPr>
          <w:b w:val="0"/>
          <w:bCs/>
        </w:rPr>
        <w:t>”) and spearman correlation’s data.</w:t>
      </w:r>
    </w:p>
    <w:p w14:paraId="71AFCD3F" w14:textId="3713762B" w:rsidR="00C75C86" w:rsidRDefault="00C75C86" w:rsidP="00C75C86">
      <w:pPr>
        <w:pStyle w:val="CETHeadingxx"/>
      </w:pPr>
      <w:r>
        <w:t>2.2.2 PCA</w:t>
      </w:r>
    </w:p>
    <w:p w14:paraId="1257DC52" w14:textId="014713CD" w:rsidR="00C75C86" w:rsidRPr="00C75C86" w:rsidRDefault="00C75C86" w:rsidP="00C75C86">
      <w:pPr>
        <w:pStyle w:val="CETHeadingxx"/>
        <w:jc w:val="both"/>
        <w:rPr>
          <w:b w:val="0"/>
          <w:bCs/>
        </w:rPr>
      </w:pPr>
      <w:r w:rsidRPr="00C75C86">
        <w:rPr>
          <w:b w:val="0"/>
          <w:bCs/>
          <w:lang w:val="en-GB"/>
        </w:rPr>
        <w:t xml:space="preserve">Prince library was employed to perform PCA analysis </w:t>
      </w:r>
      <w:proofErr w:type="gramStart"/>
      <w:r w:rsidRPr="00C75C86">
        <w:rPr>
          <w:b w:val="0"/>
          <w:bCs/>
          <w:lang w:val="en-GB"/>
        </w:rPr>
        <w:t>in order to</w:t>
      </w:r>
      <w:proofErr w:type="gramEnd"/>
      <w:r w:rsidRPr="00C75C86">
        <w:rPr>
          <w:b w:val="0"/>
          <w:bCs/>
          <w:lang w:val="en-GB"/>
        </w:rPr>
        <w:t xml:space="preserve"> evaluate variables correlation and distribution. The non default parameters employed </w:t>
      </w:r>
      <w:proofErr w:type="gramStart"/>
      <w:r w:rsidRPr="00C75C86">
        <w:rPr>
          <w:b w:val="0"/>
          <w:bCs/>
          <w:lang w:val="en-GB"/>
        </w:rPr>
        <w:t>were:</w:t>
      </w:r>
      <w:proofErr w:type="gramEnd"/>
      <w:r w:rsidRPr="00C75C86">
        <w:rPr>
          <w:b w:val="0"/>
          <w:bCs/>
          <w:lang w:val="en-GB"/>
        </w:rPr>
        <w:t xml:space="preserve"> </w:t>
      </w:r>
      <w:proofErr w:type="spellStart"/>
      <w:r w:rsidRPr="00C75C86">
        <w:rPr>
          <w:b w:val="0"/>
          <w:bCs/>
          <w:lang w:val="en-GB"/>
        </w:rPr>
        <w:t>n_components</w:t>
      </w:r>
      <w:proofErr w:type="spellEnd"/>
      <w:r w:rsidRPr="00C75C86">
        <w:rPr>
          <w:b w:val="0"/>
          <w:bCs/>
          <w:lang w:val="en-GB"/>
        </w:rPr>
        <w:t xml:space="preserve"> equals to 6, </w:t>
      </w:r>
      <w:proofErr w:type="spellStart"/>
      <w:r w:rsidRPr="00C75C86">
        <w:rPr>
          <w:b w:val="0"/>
          <w:bCs/>
          <w:lang w:val="en-GB"/>
        </w:rPr>
        <w:t>n_iter</w:t>
      </w:r>
      <w:proofErr w:type="spellEnd"/>
      <w:r w:rsidRPr="00C75C86">
        <w:rPr>
          <w:b w:val="0"/>
          <w:bCs/>
          <w:lang w:val="en-GB"/>
        </w:rPr>
        <w:t xml:space="preserve"> was 10, </w:t>
      </w:r>
      <w:proofErr w:type="spellStart"/>
      <w:r w:rsidRPr="00C75C86">
        <w:rPr>
          <w:b w:val="0"/>
          <w:bCs/>
          <w:lang w:val="en-GB"/>
        </w:rPr>
        <w:t>rescale_with_mean</w:t>
      </w:r>
      <w:proofErr w:type="spellEnd"/>
      <w:r w:rsidRPr="00C75C86">
        <w:rPr>
          <w:b w:val="0"/>
          <w:bCs/>
          <w:lang w:val="en-GB"/>
        </w:rPr>
        <w:t xml:space="preserve"> used was True and </w:t>
      </w:r>
      <w:proofErr w:type="spellStart"/>
      <w:r w:rsidRPr="00C75C86">
        <w:rPr>
          <w:b w:val="0"/>
          <w:bCs/>
          <w:lang w:val="en-GB"/>
        </w:rPr>
        <w:t>random_state</w:t>
      </w:r>
      <w:proofErr w:type="spellEnd"/>
      <w:r w:rsidRPr="00C75C86">
        <w:rPr>
          <w:b w:val="0"/>
          <w:bCs/>
          <w:lang w:val="en-GB"/>
        </w:rPr>
        <w:t xml:space="preserve"> of 200. To plot the principal component tables, their contributions to describing the dataset, and correlations, the parameters from the PCA class were called</w:t>
      </w:r>
      <w:proofErr w:type="gramStart"/>
      <w:r w:rsidRPr="00C75C86">
        <w:rPr>
          <w:b w:val="0"/>
          <w:bCs/>
          <w:lang w:val="en-GB"/>
        </w:rPr>
        <w:t>: .</w:t>
      </w:r>
      <w:proofErr w:type="spellStart"/>
      <w:r w:rsidRPr="00C75C86">
        <w:rPr>
          <w:b w:val="0"/>
          <w:bCs/>
          <w:lang w:val="en-GB"/>
        </w:rPr>
        <w:t>eigenvalues</w:t>
      </w:r>
      <w:proofErr w:type="gramEnd"/>
      <w:r w:rsidRPr="00C75C86">
        <w:rPr>
          <w:b w:val="0"/>
          <w:bCs/>
          <w:lang w:val="en-GB"/>
        </w:rPr>
        <w:t>_summary</w:t>
      </w:r>
      <w:proofErr w:type="spellEnd"/>
      <w:r w:rsidRPr="00C75C86">
        <w:rPr>
          <w:b w:val="0"/>
          <w:bCs/>
          <w:lang w:val="en-GB"/>
        </w:rPr>
        <w:t xml:space="preserve">, </w:t>
      </w:r>
      <w:r w:rsidRPr="00C75C86">
        <w:rPr>
          <w:b w:val="0"/>
          <w:bCs/>
          <w:lang w:val="en-GB"/>
        </w:rPr>
        <w:lastRenderedPageBreak/>
        <w:t>.</w:t>
      </w:r>
      <w:proofErr w:type="spellStart"/>
      <w:r w:rsidRPr="00C75C86">
        <w:rPr>
          <w:b w:val="0"/>
          <w:bCs/>
          <w:lang w:val="en-GB"/>
        </w:rPr>
        <w:t>column_contributions</w:t>
      </w:r>
      <w:proofErr w:type="spellEnd"/>
      <w:r w:rsidRPr="00C75C86">
        <w:rPr>
          <w:b w:val="0"/>
          <w:bCs/>
          <w:lang w:val="en-GB"/>
        </w:rPr>
        <w:t>_, and .</w:t>
      </w:r>
      <w:proofErr w:type="spellStart"/>
      <w:r w:rsidRPr="00C75C86">
        <w:rPr>
          <w:b w:val="0"/>
          <w:bCs/>
          <w:lang w:val="en-GB"/>
        </w:rPr>
        <w:t>column_correlations</w:t>
      </w:r>
      <w:proofErr w:type="spellEnd"/>
      <w:r w:rsidRPr="00C75C86">
        <w:rPr>
          <w:b w:val="0"/>
          <w:bCs/>
          <w:lang w:val="en-GB"/>
        </w:rPr>
        <w:t>. The sum of the product of each principal component's variance by its contribution to the variable was employed to rank the variables</w:t>
      </w:r>
      <w:r w:rsidR="00EF47F3">
        <w:rPr>
          <w:b w:val="0"/>
          <w:bCs/>
          <w:lang w:val="en-GB"/>
        </w:rPr>
        <w:t xml:space="preserve"> (HALFORD, 2023).</w:t>
      </w:r>
    </w:p>
    <w:p w14:paraId="04963A06" w14:textId="028ACF6D" w:rsidR="00600535" w:rsidRPr="00B57B36" w:rsidRDefault="00C75C86" w:rsidP="00FA5F5F">
      <w:pPr>
        <w:pStyle w:val="CETheadingx"/>
      </w:pPr>
      <w:r>
        <w:t>Model Training</w:t>
      </w:r>
    </w:p>
    <w:p w14:paraId="1822B672" w14:textId="4D4BE4E4" w:rsidR="00C75C86" w:rsidRPr="00C75C86" w:rsidRDefault="00C75C86" w:rsidP="00C75C86">
      <w:pPr>
        <w:pStyle w:val="CETBodytext"/>
      </w:pPr>
      <w:r w:rsidRPr="00C75C86">
        <w:t>Decision Tree (DT) regression was the chosen model to be applied for this work, employing the “</w:t>
      </w:r>
      <w:proofErr w:type="spellStart"/>
      <w:r w:rsidRPr="00C75C86">
        <w:t>DecisionTreeRegressor</w:t>
      </w:r>
      <w:proofErr w:type="spellEnd"/>
      <w:r w:rsidRPr="00C75C86">
        <w:t xml:space="preserve">” function from </w:t>
      </w:r>
      <w:proofErr w:type="spellStart"/>
      <w:r w:rsidRPr="00C75C86">
        <w:t>sklearn</w:t>
      </w:r>
      <w:proofErr w:type="spellEnd"/>
      <w:r w:rsidRPr="00C75C86">
        <w:t xml:space="preserve">. Cross validation technique was used with </w:t>
      </w:r>
      <w:proofErr w:type="spellStart"/>
      <w:r w:rsidRPr="00C75C86">
        <w:t>sklearn’s</w:t>
      </w:r>
      <w:proofErr w:type="spellEnd"/>
      <w:r w:rsidRPr="00C75C86">
        <w:t xml:space="preserve"> </w:t>
      </w:r>
      <w:proofErr w:type="spellStart"/>
      <w:r w:rsidRPr="00C75C86">
        <w:t>GridSearchCV</w:t>
      </w:r>
      <w:proofErr w:type="spellEnd"/>
      <w:r w:rsidRPr="00C75C86">
        <w:t xml:space="preserve">, </w:t>
      </w:r>
      <w:r w:rsidR="00296A65">
        <w:t>to</w:t>
      </w:r>
      <w:r w:rsidRPr="00C75C86">
        <w:t xml:space="preserve"> following topologies </w:t>
      </w:r>
      <w:proofErr w:type="spellStart"/>
      <w:r w:rsidRPr="00C75C86">
        <w:t>amongs</w:t>
      </w:r>
      <w:proofErr w:type="spellEnd"/>
      <w:r w:rsidRPr="00C75C86">
        <w:t xml:space="preserve"> the configuration of the used regressor: </w:t>
      </w:r>
      <w:proofErr w:type="spellStart"/>
      <w:r w:rsidRPr="00C75C86">
        <w:t>max_depth</w:t>
      </w:r>
      <w:proofErr w:type="spellEnd"/>
      <w:r w:rsidRPr="00C75C86">
        <w:t xml:space="preserve"> between 2, 4 and 8, </w:t>
      </w:r>
      <w:proofErr w:type="spellStart"/>
      <w:r w:rsidRPr="00C75C86">
        <w:t>min_samples_split</w:t>
      </w:r>
      <w:proofErr w:type="spellEnd"/>
      <w:r w:rsidRPr="00C75C86">
        <w:t xml:space="preserve"> of 2, 5 and 10, </w:t>
      </w:r>
      <w:proofErr w:type="spellStart"/>
      <w:r w:rsidRPr="00C75C86">
        <w:t>min_samples_leaf</w:t>
      </w:r>
      <w:proofErr w:type="spellEnd"/>
      <w:r w:rsidRPr="00C75C86">
        <w:t xml:space="preserve"> of 1, 4 and 8 and cv was default 5. </w:t>
      </w:r>
    </w:p>
    <w:p w14:paraId="06BDED30" w14:textId="69A801F5" w:rsidR="00C75C86" w:rsidRPr="00C75C86" w:rsidRDefault="00C75C86" w:rsidP="00C75C86">
      <w:pPr>
        <w:pStyle w:val="CETBodytext"/>
      </w:pPr>
      <w:r w:rsidRPr="00C75C86">
        <w:t xml:space="preserve">The whole dataset was </w:t>
      </w:r>
      <w:proofErr w:type="spellStart"/>
      <w:r w:rsidRPr="00C75C86">
        <w:t>splitted</w:t>
      </w:r>
      <w:proofErr w:type="spellEnd"/>
      <w:r w:rsidRPr="00C75C86">
        <w:t xml:space="preserve"> between training and test datasets by the proportion of 70 % of training data and 30 % being redirected for tests. The R² metric and Mean Squared Error (MSE) were adopted to compare the trained models, those metrics were also used </w:t>
      </w:r>
      <w:r w:rsidR="00EF47F3" w:rsidRPr="00C75C86">
        <w:t>to</w:t>
      </w:r>
      <w:r w:rsidRPr="00C75C86">
        <w:t xml:space="preserve"> compare training and testing models </w:t>
      </w:r>
      <w:r w:rsidR="00EF47F3" w:rsidRPr="00C75C86">
        <w:t>to</w:t>
      </w:r>
      <w:r w:rsidRPr="00C75C86">
        <w:t xml:space="preserve"> determine better fits.</w:t>
      </w:r>
    </w:p>
    <w:p w14:paraId="68D26B83" w14:textId="5758F2D0" w:rsidR="00600535" w:rsidRPr="00B57B36" w:rsidRDefault="00C75C86" w:rsidP="00600535">
      <w:pPr>
        <w:pStyle w:val="CETHeading1"/>
        <w:rPr>
          <w:lang w:val="en-GB"/>
        </w:rPr>
      </w:pPr>
      <w:r>
        <w:rPr>
          <w:lang w:val="en-GB"/>
        </w:rPr>
        <w:t xml:space="preserve">Results and Discussion </w:t>
      </w:r>
    </w:p>
    <w:p w14:paraId="08748C5A" w14:textId="77777777" w:rsidR="009E19E1" w:rsidRDefault="009E19E1" w:rsidP="009E19E1">
      <w:pPr>
        <w:pStyle w:val="CETheadingx"/>
      </w:pPr>
      <w:r>
        <w:t>Data evaluation</w:t>
      </w:r>
    </w:p>
    <w:p w14:paraId="1AB507C7" w14:textId="52745466" w:rsidR="009E19E1" w:rsidRPr="009E19E1" w:rsidRDefault="009E19E1" w:rsidP="001F1E16">
      <w:pPr>
        <w:tabs>
          <w:tab w:val="clear" w:pos="7100"/>
        </w:tabs>
        <w:spacing w:before="200" w:line="240" w:lineRule="auto"/>
        <w:rPr>
          <w:rFonts w:ascii="Times New Roman" w:hAnsi="Times New Roman"/>
          <w:sz w:val="24"/>
          <w:szCs w:val="24"/>
          <w:lang w:val="en-US" w:eastAsia="pt-BR"/>
        </w:rPr>
      </w:pPr>
      <w:r w:rsidRPr="009E19E1">
        <w:rPr>
          <w:rFonts w:cs="Arial"/>
          <w:color w:val="000000"/>
          <w:szCs w:val="18"/>
          <w:lang w:val="en-US" w:eastAsia="pt-BR"/>
        </w:rPr>
        <w:t>Initially, the SPE data was evaluated to gain a better understanding of its variables. The dataset used is a collection of time series related to reservoir testing analysis (RTA), encompassing 53 O&amp;G wells, totaling 60,976 rows of information</w:t>
      </w:r>
      <w:r w:rsidR="00EF47F3">
        <w:rPr>
          <w:rFonts w:cs="Arial"/>
          <w:color w:val="000000"/>
          <w:szCs w:val="18"/>
          <w:lang w:val="en-US" w:eastAsia="pt-BR"/>
        </w:rPr>
        <w:t xml:space="preserve"> (SPE, 2024)</w:t>
      </w:r>
      <w:r w:rsidRPr="009E19E1">
        <w:rPr>
          <w:rFonts w:cs="Arial"/>
          <w:color w:val="000000"/>
          <w:szCs w:val="18"/>
          <w:lang w:val="en-US" w:eastAsia="pt-BR"/>
        </w:rPr>
        <w:t>. Among RTA variables, “Lease” and “Pressure Source” represent, respectively, the identification of the evaluated well and the type of pressure assessed (casing or tubing). Similarly, Time corresponds to the day number in the time series.</w:t>
      </w:r>
      <w:r w:rsidR="001F1E16">
        <w:rPr>
          <w:rFonts w:ascii="Times New Roman" w:hAnsi="Times New Roman"/>
          <w:sz w:val="24"/>
          <w:szCs w:val="24"/>
          <w:lang w:val="en-US" w:eastAsia="pt-BR"/>
        </w:rPr>
        <w:t xml:space="preserve"> </w:t>
      </w:r>
      <w:r w:rsidRPr="009E19E1">
        <w:rPr>
          <w:rFonts w:cs="Arial"/>
          <w:color w:val="000000"/>
          <w:szCs w:val="18"/>
          <w:lang w:val="en-US" w:eastAsia="pt-BR"/>
        </w:rPr>
        <w:t>The distribution of null or zero data was analyzed by calculating their occurrence, as shown in Table 1. </w:t>
      </w:r>
    </w:p>
    <w:p w14:paraId="2DF81112" w14:textId="77777777" w:rsidR="009E19E1" w:rsidRPr="009E19E1" w:rsidRDefault="009E19E1" w:rsidP="009E19E1">
      <w:pPr>
        <w:tabs>
          <w:tab w:val="clear" w:pos="7100"/>
        </w:tabs>
        <w:spacing w:before="240" w:after="80" w:line="240" w:lineRule="auto"/>
        <w:jc w:val="left"/>
        <w:rPr>
          <w:rFonts w:ascii="Times New Roman" w:hAnsi="Times New Roman"/>
          <w:sz w:val="24"/>
          <w:szCs w:val="24"/>
          <w:lang w:val="en-US" w:eastAsia="pt-BR"/>
        </w:rPr>
      </w:pPr>
      <w:r w:rsidRPr="009E19E1">
        <w:rPr>
          <w:rFonts w:cs="Arial"/>
          <w:i/>
          <w:iCs/>
          <w:color w:val="000000"/>
          <w:szCs w:val="18"/>
          <w:lang w:val="en-US" w:eastAsia="pt-BR"/>
        </w:rPr>
        <w:t>Table 1: Proportion of null and zero values for each variable</w:t>
      </w:r>
    </w:p>
    <w:tbl>
      <w:tblPr>
        <w:tblW w:w="0" w:type="auto"/>
        <w:tblCellMar>
          <w:top w:w="15" w:type="dxa"/>
          <w:left w:w="15" w:type="dxa"/>
          <w:bottom w:w="15" w:type="dxa"/>
          <w:right w:w="15" w:type="dxa"/>
        </w:tblCellMar>
        <w:tblLook w:val="04A0" w:firstRow="1" w:lastRow="0" w:firstColumn="1" w:lastColumn="0" w:noHBand="0" w:noVBand="1"/>
      </w:tblPr>
      <w:tblGrid>
        <w:gridCol w:w="3132"/>
        <w:gridCol w:w="2292"/>
        <w:gridCol w:w="2091"/>
      </w:tblGrid>
      <w:tr w:rsidR="009E19E1" w:rsidRPr="009E19E1" w14:paraId="043CA003" w14:textId="77777777" w:rsidTr="00091390">
        <w:trPr>
          <w:trHeight w:val="220"/>
        </w:trPr>
        <w:tc>
          <w:tcPr>
            <w:tcW w:w="0" w:type="auto"/>
            <w:tcBorders>
              <w:top w:val="single" w:sz="12" w:space="0" w:color="008000"/>
              <w:left w:val="single" w:sz="12" w:space="0" w:color="FFFFFF"/>
              <w:bottom w:val="single" w:sz="4" w:space="0" w:color="008000"/>
              <w:right w:val="single" w:sz="12" w:space="0" w:color="FFFFFF"/>
            </w:tcBorders>
            <w:tcMar>
              <w:top w:w="0" w:type="dxa"/>
              <w:left w:w="40" w:type="dxa"/>
              <w:bottom w:w="0" w:type="dxa"/>
              <w:right w:w="40" w:type="dxa"/>
            </w:tcMar>
            <w:vAlign w:val="center"/>
            <w:hideMark/>
          </w:tcPr>
          <w:p w14:paraId="20B3A6B9"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proofErr w:type="spellStart"/>
            <w:r w:rsidRPr="009E19E1">
              <w:rPr>
                <w:rFonts w:cs="Arial"/>
                <w:color w:val="000000"/>
                <w:szCs w:val="18"/>
                <w:lang w:val="pt-BR" w:eastAsia="pt-BR"/>
              </w:rPr>
              <w:t>Variables</w:t>
            </w:r>
            <w:proofErr w:type="spellEnd"/>
          </w:p>
        </w:tc>
        <w:tc>
          <w:tcPr>
            <w:tcW w:w="0" w:type="auto"/>
            <w:tcBorders>
              <w:top w:val="single" w:sz="12" w:space="0" w:color="008000"/>
              <w:left w:val="single" w:sz="12" w:space="0" w:color="FFFFFF"/>
              <w:bottom w:val="single" w:sz="4" w:space="0" w:color="008000"/>
              <w:right w:val="single" w:sz="12" w:space="0" w:color="FFFFFF"/>
            </w:tcBorders>
            <w:tcMar>
              <w:top w:w="0" w:type="dxa"/>
              <w:left w:w="40" w:type="dxa"/>
              <w:bottom w:w="0" w:type="dxa"/>
              <w:right w:w="40" w:type="dxa"/>
            </w:tcMar>
            <w:vAlign w:val="center"/>
            <w:hideMark/>
          </w:tcPr>
          <w:p w14:paraId="270FD01D"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proofErr w:type="spellStart"/>
            <w:r w:rsidRPr="009E19E1">
              <w:rPr>
                <w:rFonts w:cs="Arial"/>
                <w:color w:val="000000"/>
                <w:szCs w:val="18"/>
                <w:lang w:val="pt-BR" w:eastAsia="pt-BR"/>
              </w:rPr>
              <w:t>Null</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Values</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Percentage</w:t>
            </w:r>
            <w:proofErr w:type="spellEnd"/>
            <w:r w:rsidRPr="009E19E1">
              <w:rPr>
                <w:rFonts w:cs="Arial"/>
                <w:color w:val="000000"/>
                <w:szCs w:val="18"/>
                <w:lang w:val="pt-BR" w:eastAsia="pt-BR"/>
              </w:rPr>
              <w:t xml:space="preserve"> (%)</w:t>
            </w:r>
          </w:p>
        </w:tc>
        <w:tc>
          <w:tcPr>
            <w:tcW w:w="0" w:type="auto"/>
            <w:tcBorders>
              <w:top w:val="single" w:sz="12" w:space="0" w:color="008000"/>
              <w:left w:val="single" w:sz="12" w:space="0" w:color="FFFFFF"/>
              <w:bottom w:val="single" w:sz="4" w:space="0" w:color="008000"/>
              <w:right w:val="single" w:sz="12" w:space="0" w:color="FFFFFF"/>
            </w:tcBorders>
            <w:tcMar>
              <w:top w:w="0" w:type="dxa"/>
              <w:left w:w="40" w:type="dxa"/>
              <w:bottom w:w="0" w:type="dxa"/>
              <w:right w:w="40" w:type="dxa"/>
            </w:tcMar>
            <w:vAlign w:val="center"/>
            <w:hideMark/>
          </w:tcPr>
          <w:p w14:paraId="24AFB843"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proofErr w:type="spellStart"/>
            <w:r w:rsidRPr="009E19E1">
              <w:rPr>
                <w:rFonts w:cs="Arial"/>
                <w:color w:val="000000"/>
                <w:szCs w:val="18"/>
                <w:lang w:val="pt-BR" w:eastAsia="pt-BR"/>
              </w:rPr>
              <w:t>Null</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and</w:t>
            </w:r>
            <w:proofErr w:type="spellEnd"/>
            <w:r w:rsidRPr="009E19E1">
              <w:rPr>
                <w:rFonts w:cs="Arial"/>
                <w:color w:val="000000"/>
                <w:szCs w:val="18"/>
                <w:lang w:val="pt-BR" w:eastAsia="pt-BR"/>
              </w:rPr>
              <w:t xml:space="preserve"> Zero </w:t>
            </w:r>
            <w:proofErr w:type="spellStart"/>
            <w:r w:rsidRPr="009E19E1">
              <w:rPr>
                <w:rFonts w:cs="Arial"/>
                <w:color w:val="000000"/>
                <w:szCs w:val="18"/>
                <w:lang w:val="pt-BR" w:eastAsia="pt-BR"/>
              </w:rPr>
              <w:t>Values</w:t>
            </w:r>
            <w:proofErr w:type="spellEnd"/>
            <w:r w:rsidRPr="009E19E1">
              <w:rPr>
                <w:rFonts w:cs="Arial"/>
                <w:color w:val="000000"/>
                <w:szCs w:val="18"/>
                <w:lang w:val="pt-BR" w:eastAsia="pt-BR"/>
              </w:rPr>
              <w:t xml:space="preserve"> (%)</w:t>
            </w:r>
          </w:p>
        </w:tc>
      </w:tr>
      <w:tr w:rsidR="009E19E1" w:rsidRPr="009E19E1" w14:paraId="36241F83" w14:textId="77777777" w:rsidTr="00091390">
        <w:trPr>
          <w:trHeight w:val="264"/>
        </w:trPr>
        <w:tc>
          <w:tcPr>
            <w:tcW w:w="0" w:type="auto"/>
            <w:tcBorders>
              <w:top w:val="single" w:sz="4" w:space="0" w:color="008000"/>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24D33303"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proofErr w:type="spellStart"/>
            <w:r w:rsidRPr="009E19E1">
              <w:rPr>
                <w:rFonts w:cs="Arial"/>
                <w:color w:val="000000"/>
                <w:szCs w:val="18"/>
                <w:lang w:val="pt-BR" w:eastAsia="pt-BR"/>
              </w:rPr>
              <w:t>Choke</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Size</w:t>
            </w:r>
            <w:proofErr w:type="spellEnd"/>
          </w:p>
        </w:tc>
        <w:tc>
          <w:tcPr>
            <w:tcW w:w="0" w:type="auto"/>
            <w:tcBorders>
              <w:top w:val="single" w:sz="4" w:space="0" w:color="008000"/>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5558BC1A"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96,2%</w:t>
            </w:r>
          </w:p>
        </w:tc>
        <w:tc>
          <w:tcPr>
            <w:tcW w:w="0" w:type="auto"/>
            <w:tcBorders>
              <w:top w:val="single" w:sz="4" w:space="0" w:color="008000"/>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48350C42"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96,2%</w:t>
            </w:r>
          </w:p>
        </w:tc>
      </w:tr>
      <w:tr w:rsidR="009E19E1" w:rsidRPr="009E19E1" w14:paraId="0C906960" w14:textId="77777777" w:rsidTr="00091390">
        <w:trPr>
          <w:trHeight w:val="264"/>
        </w:trPr>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22D9AEC5"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proofErr w:type="spellStart"/>
            <w:r w:rsidRPr="009E19E1">
              <w:rPr>
                <w:rFonts w:cs="Arial"/>
                <w:color w:val="000000"/>
                <w:szCs w:val="18"/>
                <w:lang w:val="pt-BR" w:eastAsia="pt-BR"/>
              </w:rPr>
              <w:t>Gas</w:t>
            </w:r>
            <w:proofErr w:type="spellEnd"/>
            <w:r w:rsidRPr="009E19E1">
              <w:rPr>
                <w:rFonts w:cs="Arial"/>
                <w:color w:val="000000"/>
                <w:szCs w:val="18"/>
                <w:lang w:val="pt-BR" w:eastAsia="pt-BR"/>
              </w:rPr>
              <w:t xml:space="preserve"> Volume (</w:t>
            </w:r>
            <w:proofErr w:type="spellStart"/>
            <w:r w:rsidRPr="009E19E1">
              <w:rPr>
                <w:rFonts w:cs="Arial"/>
                <w:color w:val="000000"/>
                <w:szCs w:val="18"/>
                <w:lang w:val="pt-BR" w:eastAsia="pt-BR"/>
              </w:rPr>
              <w:t>MMscf</w:t>
            </w:r>
            <w:proofErr w:type="spellEnd"/>
            <w:r w:rsidRPr="009E19E1">
              <w:rPr>
                <w:rFonts w:cs="Arial"/>
                <w:color w:val="000000"/>
                <w:szCs w:val="18"/>
                <w:lang w:val="pt-BR" w:eastAsia="pt-BR"/>
              </w:rPr>
              <w:t>)</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14128EAA"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0,4%</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26F7D418"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5,1%</w:t>
            </w:r>
          </w:p>
        </w:tc>
      </w:tr>
      <w:tr w:rsidR="009E19E1" w:rsidRPr="009E19E1" w14:paraId="74C4917F" w14:textId="77777777" w:rsidTr="00091390">
        <w:trPr>
          <w:trHeight w:val="264"/>
        </w:trPr>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1B273463"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proofErr w:type="spellStart"/>
            <w:r w:rsidRPr="009E19E1">
              <w:rPr>
                <w:rFonts w:cs="Arial"/>
                <w:color w:val="000000"/>
                <w:szCs w:val="18"/>
                <w:lang w:val="pt-BR" w:eastAsia="pt-BR"/>
              </w:rPr>
              <w:t>Oil</w:t>
            </w:r>
            <w:proofErr w:type="spellEnd"/>
            <w:r w:rsidRPr="009E19E1">
              <w:rPr>
                <w:rFonts w:cs="Arial"/>
                <w:color w:val="000000"/>
                <w:szCs w:val="18"/>
                <w:lang w:val="pt-BR" w:eastAsia="pt-BR"/>
              </w:rPr>
              <w:t xml:space="preserve"> Volume (</w:t>
            </w:r>
            <w:proofErr w:type="spellStart"/>
            <w:r w:rsidRPr="009E19E1">
              <w:rPr>
                <w:rFonts w:cs="Arial"/>
                <w:color w:val="000000"/>
                <w:szCs w:val="18"/>
                <w:lang w:val="pt-BR" w:eastAsia="pt-BR"/>
              </w:rPr>
              <w:t>stb</w:t>
            </w:r>
            <w:proofErr w:type="spellEnd"/>
            <w:r w:rsidRPr="009E19E1">
              <w:rPr>
                <w:rFonts w:cs="Arial"/>
                <w:color w:val="000000"/>
                <w:szCs w:val="18"/>
                <w:lang w:val="pt-BR" w:eastAsia="pt-BR"/>
              </w:rPr>
              <w:t>)</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4A116965"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13,8%</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190520B5"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80,9%</w:t>
            </w:r>
          </w:p>
        </w:tc>
      </w:tr>
      <w:tr w:rsidR="009E19E1" w:rsidRPr="009E19E1" w14:paraId="5E53D3B8" w14:textId="77777777" w:rsidTr="00091390">
        <w:trPr>
          <w:trHeight w:val="264"/>
        </w:trPr>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340EBBDC"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proofErr w:type="spellStart"/>
            <w:r w:rsidRPr="009E19E1">
              <w:rPr>
                <w:rFonts w:cs="Arial"/>
                <w:color w:val="000000"/>
                <w:szCs w:val="18"/>
                <w:lang w:val="pt-BR" w:eastAsia="pt-BR"/>
              </w:rPr>
              <w:t>Water</w:t>
            </w:r>
            <w:proofErr w:type="spellEnd"/>
            <w:r w:rsidRPr="009E19E1">
              <w:rPr>
                <w:rFonts w:cs="Arial"/>
                <w:color w:val="000000"/>
                <w:szCs w:val="18"/>
                <w:lang w:val="pt-BR" w:eastAsia="pt-BR"/>
              </w:rPr>
              <w:t xml:space="preserve"> Volume (</w:t>
            </w:r>
            <w:proofErr w:type="spellStart"/>
            <w:r w:rsidRPr="009E19E1">
              <w:rPr>
                <w:rFonts w:cs="Arial"/>
                <w:color w:val="000000"/>
                <w:szCs w:val="18"/>
                <w:lang w:val="pt-BR" w:eastAsia="pt-BR"/>
              </w:rPr>
              <w:t>stb</w:t>
            </w:r>
            <w:proofErr w:type="spellEnd"/>
            <w:r w:rsidRPr="009E19E1">
              <w:rPr>
                <w:rFonts w:cs="Arial"/>
                <w:color w:val="000000"/>
                <w:szCs w:val="18"/>
                <w:lang w:val="pt-BR" w:eastAsia="pt-BR"/>
              </w:rPr>
              <w:t>)</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3449B12D"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0,0%</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0A1EE56A"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9,9%</w:t>
            </w:r>
          </w:p>
        </w:tc>
      </w:tr>
      <w:tr w:rsidR="009E19E1" w:rsidRPr="009E19E1" w14:paraId="3C182B29" w14:textId="77777777" w:rsidTr="00091390">
        <w:trPr>
          <w:trHeight w:val="264"/>
        </w:trPr>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50EE2D3C" w14:textId="77777777" w:rsidR="009E19E1" w:rsidRPr="009E19E1" w:rsidRDefault="009E19E1" w:rsidP="00091390">
            <w:pPr>
              <w:tabs>
                <w:tab w:val="clear" w:pos="7100"/>
              </w:tabs>
              <w:spacing w:line="240" w:lineRule="auto"/>
              <w:jc w:val="left"/>
              <w:rPr>
                <w:rFonts w:ascii="Times New Roman" w:hAnsi="Times New Roman"/>
                <w:sz w:val="24"/>
                <w:szCs w:val="24"/>
                <w:lang w:val="en-US" w:eastAsia="pt-BR"/>
              </w:rPr>
            </w:pPr>
            <w:r w:rsidRPr="009E19E1">
              <w:rPr>
                <w:rFonts w:cs="Arial"/>
                <w:color w:val="000000"/>
                <w:szCs w:val="18"/>
                <w:lang w:val="en-US" w:eastAsia="pt-BR"/>
              </w:rPr>
              <w:t xml:space="preserve">Gas Lift </w:t>
            </w:r>
            <w:proofErr w:type="spellStart"/>
            <w:r w:rsidRPr="009E19E1">
              <w:rPr>
                <w:rFonts w:cs="Arial"/>
                <w:color w:val="000000"/>
                <w:szCs w:val="18"/>
                <w:lang w:val="en-US" w:eastAsia="pt-BR"/>
              </w:rPr>
              <w:t>Inj</w:t>
            </w:r>
            <w:proofErr w:type="spellEnd"/>
            <w:r w:rsidRPr="009E19E1">
              <w:rPr>
                <w:rFonts w:cs="Arial"/>
                <w:color w:val="000000"/>
                <w:szCs w:val="18"/>
                <w:lang w:val="en-US" w:eastAsia="pt-BR"/>
              </w:rPr>
              <w:t xml:space="preserve"> Volume (</w:t>
            </w:r>
            <w:proofErr w:type="spellStart"/>
            <w:r w:rsidRPr="009E19E1">
              <w:rPr>
                <w:rFonts w:cs="Arial"/>
                <w:color w:val="000000"/>
                <w:szCs w:val="18"/>
                <w:lang w:val="en-US" w:eastAsia="pt-BR"/>
              </w:rPr>
              <w:t>MMscf</w:t>
            </w:r>
            <w:proofErr w:type="spellEnd"/>
            <w:r w:rsidRPr="009E19E1">
              <w:rPr>
                <w:rFonts w:cs="Arial"/>
                <w:color w:val="000000"/>
                <w:szCs w:val="18"/>
                <w:lang w:val="en-US" w:eastAsia="pt-BR"/>
              </w:rPr>
              <w:t>)</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5C4A2625"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87,5%</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23A640FF"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91,3%</w:t>
            </w:r>
          </w:p>
        </w:tc>
      </w:tr>
      <w:tr w:rsidR="009E19E1" w:rsidRPr="009E19E1" w14:paraId="4FEC228A" w14:textId="77777777" w:rsidTr="00091390">
        <w:trPr>
          <w:trHeight w:val="264"/>
        </w:trPr>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063CAA66"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proofErr w:type="spellStart"/>
            <w:r w:rsidRPr="009E19E1">
              <w:rPr>
                <w:rFonts w:cs="Arial"/>
                <w:color w:val="000000"/>
                <w:szCs w:val="18"/>
                <w:lang w:val="pt-BR" w:eastAsia="pt-BR"/>
              </w:rPr>
              <w:t>Casing</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Pressure</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psi</w:t>
            </w:r>
            <w:proofErr w:type="spellEnd"/>
            <w:r w:rsidRPr="009E19E1">
              <w:rPr>
                <w:rFonts w:cs="Arial"/>
                <w:color w:val="000000"/>
                <w:szCs w:val="18"/>
                <w:lang w:val="pt-BR" w:eastAsia="pt-BR"/>
              </w:rPr>
              <w:t>(a))</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6061D11C"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0,0%</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23A01902"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1,4%</w:t>
            </w:r>
          </w:p>
        </w:tc>
      </w:tr>
      <w:tr w:rsidR="009E19E1" w:rsidRPr="009E19E1" w14:paraId="18EF49D6" w14:textId="77777777" w:rsidTr="00091390">
        <w:trPr>
          <w:trHeight w:val="264"/>
        </w:trPr>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30F5E68B"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proofErr w:type="spellStart"/>
            <w:r w:rsidRPr="009E19E1">
              <w:rPr>
                <w:rFonts w:cs="Arial"/>
                <w:color w:val="000000"/>
                <w:szCs w:val="18"/>
                <w:lang w:val="pt-BR" w:eastAsia="pt-BR"/>
              </w:rPr>
              <w:t>Tubing</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Pressure</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psi</w:t>
            </w:r>
            <w:proofErr w:type="spellEnd"/>
            <w:r w:rsidRPr="009E19E1">
              <w:rPr>
                <w:rFonts w:cs="Arial"/>
                <w:color w:val="000000"/>
                <w:szCs w:val="18"/>
                <w:lang w:val="pt-BR" w:eastAsia="pt-BR"/>
              </w:rPr>
              <w:t>(a))</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649A373D"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0,0%</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0B4609B6"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26,1%</w:t>
            </w:r>
          </w:p>
        </w:tc>
      </w:tr>
      <w:tr w:rsidR="009E19E1" w:rsidRPr="009E19E1" w14:paraId="7F13C223" w14:textId="77777777" w:rsidTr="00091390">
        <w:trPr>
          <w:trHeight w:val="264"/>
        </w:trPr>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2EF04B7E"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r w:rsidRPr="009E19E1">
              <w:rPr>
                <w:rFonts w:cs="Arial"/>
                <w:color w:val="000000"/>
                <w:szCs w:val="18"/>
                <w:lang w:val="pt-BR" w:eastAsia="pt-BR"/>
              </w:rPr>
              <w:t xml:space="preserve">Active </w:t>
            </w:r>
            <w:proofErr w:type="spellStart"/>
            <w:r w:rsidRPr="009E19E1">
              <w:rPr>
                <w:rFonts w:cs="Arial"/>
                <w:color w:val="000000"/>
                <w:szCs w:val="18"/>
                <w:lang w:val="pt-BR" w:eastAsia="pt-BR"/>
              </w:rPr>
              <w:t>Pressure</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psi</w:t>
            </w:r>
            <w:proofErr w:type="spellEnd"/>
            <w:r w:rsidRPr="009E19E1">
              <w:rPr>
                <w:rFonts w:cs="Arial"/>
                <w:color w:val="000000"/>
                <w:szCs w:val="18"/>
                <w:lang w:val="pt-BR" w:eastAsia="pt-BR"/>
              </w:rPr>
              <w:t>(a))</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538CF5D1"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0,0%</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61BF32FB"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1,0%</w:t>
            </w:r>
          </w:p>
        </w:tc>
      </w:tr>
      <w:tr w:rsidR="009E19E1" w:rsidRPr="009E19E1" w14:paraId="6A9807B1" w14:textId="77777777" w:rsidTr="00091390">
        <w:trPr>
          <w:trHeight w:val="264"/>
        </w:trPr>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340BBBB1"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proofErr w:type="spellStart"/>
            <w:r w:rsidRPr="009E19E1">
              <w:rPr>
                <w:rFonts w:cs="Arial"/>
                <w:color w:val="000000"/>
                <w:szCs w:val="18"/>
                <w:lang w:val="pt-BR" w:eastAsia="pt-BR"/>
              </w:rPr>
              <w:t>Line</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Pressure</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psi</w:t>
            </w:r>
            <w:proofErr w:type="spellEnd"/>
            <w:r w:rsidRPr="009E19E1">
              <w:rPr>
                <w:rFonts w:cs="Arial"/>
                <w:color w:val="000000"/>
                <w:szCs w:val="18"/>
                <w:lang w:val="pt-BR" w:eastAsia="pt-BR"/>
              </w:rPr>
              <w:t>(a))</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412C3C42"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0,0%</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59108A57"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1,7%</w:t>
            </w:r>
          </w:p>
        </w:tc>
      </w:tr>
      <w:tr w:rsidR="009E19E1" w:rsidRPr="009E19E1" w14:paraId="2EBADBFD" w14:textId="77777777" w:rsidTr="00091390">
        <w:trPr>
          <w:trHeight w:val="264"/>
        </w:trPr>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656BF434" w14:textId="77777777" w:rsidR="009E19E1" w:rsidRPr="009E19E1" w:rsidRDefault="009E19E1" w:rsidP="00091390">
            <w:pPr>
              <w:tabs>
                <w:tab w:val="clear" w:pos="7100"/>
              </w:tabs>
              <w:spacing w:line="240" w:lineRule="auto"/>
              <w:jc w:val="left"/>
              <w:rPr>
                <w:rFonts w:ascii="Times New Roman" w:hAnsi="Times New Roman"/>
                <w:sz w:val="24"/>
                <w:szCs w:val="24"/>
                <w:lang w:val="pt-BR" w:eastAsia="pt-BR"/>
              </w:rPr>
            </w:pPr>
            <w:proofErr w:type="spellStart"/>
            <w:r w:rsidRPr="009E19E1">
              <w:rPr>
                <w:rFonts w:cs="Arial"/>
                <w:color w:val="000000"/>
                <w:szCs w:val="18"/>
                <w:lang w:val="pt-BR" w:eastAsia="pt-BR"/>
              </w:rPr>
              <w:t>Pressure</w:t>
            </w:r>
            <w:proofErr w:type="spellEnd"/>
            <w:r w:rsidRPr="009E19E1">
              <w:rPr>
                <w:rFonts w:cs="Arial"/>
                <w:color w:val="000000"/>
                <w:szCs w:val="18"/>
                <w:lang w:val="pt-BR" w:eastAsia="pt-BR"/>
              </w:rPr>
              <w:t xml:space="preserve"> </w:t>
            </w:r>
            <w:proofErr w:type="spellStart"/>
            <w:r w:rsidRPr="009E19E1">
              <w:rPr>
                <w:rFonts w:cs="Arial"/>
                <w:color w:val="000000"/>
                <w:szCs w:val="18"/>
                <w:lang w:val="pt-BR" w:eastAsia="pt-BR"/>
              </w:rPr>
              <w:t>Source</w:t>
            </w:r>
            <w:proofErr w:type="spellEnd"/>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79846619"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0,0%</w:t>
            </w:r>
          </w:p>
        </w:tc>
        <w:tc>
          <w:tcPr>
            <w:tcW w:w="0" w:type="auto"/>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center"/>
            <w:hideMark/>
          </w:tcPr>
          <w:p w14:paraId="674DCCE8"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0,0%</w:t>
            </w:r>
          </w:p>
        </w:tc>
      </w:tr>
      <w:tr w:rsidR="009E19E1" w:rsidRPr="009E19E1" w14:paraId="5704FDCB" w14:textId="77777777" w:rsidTr="00091390">
        <w:trPr>
          <w:trHeight w:val="264"/>
        </w:trPr>
        <w:tc>
          <w:tcPr>
            <w:tcW w:w="0" w:type="auto"/>
            <w:tcBorders>
              <w:top w:val="single" w:sz="12" w:space="0" w:color="FFFFFF"/>
              <w:left w:val="single" w:sz="12" w:space="0" w:color="FFFFFF"/>
              <w:bottom w:val="single" w:sz="12" w:space="0" w:color="008000"/>
              <w:right w:val="single" w:sz="12" w:space="0" w:color="FFFFFF"/>
            </w:tcBorders>
            <w:tcMar>
              <w:top w:w="0" w:type="dxa"/>
              <w:left w:w="40" w:type="dxa"/>
              <w:bottom w:w="0" w:type="dxa"/>
              <w:right w:w="40" w:type="dxa"/>
            </w:tcMar>
            <w:vAlign w:val="center"/>
            <w:hideMark/>
          </w:tcPr>
          <w:p w14:paraId="51964E7A" w14:textId="77777777" w:rsidR="009E19E1" w:rsidRPr="009E19E1" w:rsidRDefault="009E19E1" w:rsidP="00091390">
            <w:pPr>
              <w:tabs>
                <w:tab w:val="clear" w:pos="7100"/>
              </w:tabs>
              <w:spacing w:line="240" w:lineRule="auto"/>
              <w:jc w:val="left"/>
              <w:rPr>
                <w:rFonts w:ascii="Times New Roman" w:hAnsi="Times New Roman"/>
                <w:sz w:val="24"/>
                <w:szCs w:val="24"/>
                <w:lang w:val="en-US" w:eastAsia="pt-BR"/>
              </w:rPr>
            </w:pPr>
            <w:r w:rsidRPr="009E19E1">
              <w:rPr>
                <w:rFonts w:cs="Arial"/>
                <w:color w:val="000000"/>
                <w:szCs w:val="18"/>
                <w:lang w:val="en-US" w:eastAsia="pt-BR"/>
              </w:rPr>
              <w:t xml:space="preserve">Calculated </w:t>
            </w:r>
            <w:proofErr w:type="spellStart"/>
            <w:r w:rsidRPr="009E19E1">
              <w:rPr>
                <w:rFonts w:cs="Arial"/>
                <w:color w:val="000000"/>
                <w:szCs w:val="18"/>
                <w:lang w:val="en-US" w:eastAsia="pt-BR"/>
              </w:rPr>
              <w:t>Sandface</w:t>
            </w:r>
            <w:proofErr w:type="spellEnd"/>
            <w:r w:rsidRPr="009E19E1">
              <w:rPr>
                <w:rFonts w:cs="Arial"/>
                <w:color w:val="000000"/>
                <w:szCs w:val="18"/>
                <w:lang w:val="en-US" w:eastAsia="pt-BR"/>
              </w:rPr>
              <w:t xml:space="preserve"> Pressure (psi(a))</w:t>
            </w:r>
          </w:p>
        </w:tc>
        <w:tc>
          <w:tcPr>
            <w:tcW w:w="0" w:type="auto"/>
            <w:tcBorders>
              <w:top w:val="single" w:sz="12" w:space="0" w:color="FFFFFF"/>
              <w:left w:val="single" w:sz="12" w:space="0" w:color="FFFFFF"/>
              <w:bottom w:val="single" w:sz="12" w:space="0" w:color="008000"/>
              <w:right w:val="single" w:sz="12" w:space="0" w:color="FFFFFF"/>
            </w:tcBorders>
            <w:tcMar>
              <w:top w:w="0" w:type="dxa"/>
              <w:left w:w="40" w:type="dxa"/>
              <w:bottom w:w="0" w:type="dxa"/>
              <w:right w:w="40" w:type="dxa"/>
            </w:tcMar>
            <w:vAlign w:val="center"/>
            <w:hideMark/>
          </w:tcPr>
          <w:p w14:paraId="0E4D88CC"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1,4%</w:t>
            </w:r>
          </w:p>
        </w:tc>
        <w:tc>
          <w:tcPr>
            <w:tcW w:w="0" w:type="auto"/>
            <w:tcBorders>
              <w:top w:val="single" w:sz="12" w:space="0" w:color="FFFFFF"/>
              <w:left w:val="single" w:sz="12" w:space="0" w:color="FFFFFF"/>
              <w:bottom w:val="single" w:sz="12" w:space="0" w:color="008000"/>
              <w:right w:val="single" w:sz="12" w:space="0" w:color="FFFFFF"/>
            </w:tcBorders>
            <w:tcMar>
              <w:top w:w="0" w:type="dxa"/>
              <w:left w:w="40" w:type="dxa"/>
              <w:bottom w:w="0" w:type="dxa"/>
              <w:right w:w="40" w:type="dxa"/>
            </w:tcMar>
            <w:vAlign w:val="center"/>
            <w:hideMark/>
          </w:tcPr>
          <w:p w14:paraId="4F85B1DB" w14:textId="77777777" w:rsidR="009E19E1" w:rsidRPr="009E19E1" w:rsidRDefault="009E19E1" w:rsidP="00091390">
            <w:pPr>
              <w:tabs>
                <w:tab w:val="clear" w:pos="7100"/>
              </w:tabs>
              <w:spacing w:line="240" w:lineRule="auto"/>
              <w:jc w:val="center"/>
              <w:rPr>
                <w:rFonts w:ascii="Times New Roman" w:hAnsi="Times New Roman"/>
                <w:sz w:val="24"/>
                <w:szCs w:val="24"/>
                <w:lang w:val="pt-BR" w:eastAsia="pt-BR"/>
              </w:rPr>
            </w:pPr>
            <w:r w:rsidRPr="009E19E1">
              <w:rPr>
                <w:rFonts w:cs="Arial"/>
                <w:color w:val="000000"/>
                <w:szCs w:val="18"/>
                <w:lang w:val="pt-BR" w:eastAsia="pt-BR"/>
              </w:rPr>
              <w:t>1,4%</w:t>
            </w:r>
          </w:p>
        </w:tc>
      </w:tr>
    </w:tbl>
    <w:p w14:paraId="7589296A" w14:textId="77777777" w:rsidR="009E19E1" w:rsidRPr="009E19E1" w:rsidRDefault="009E19E1" w:rsidP="009E19E1">
      <w:pPr>
        <w:tabs>
          <w:tab w:val="clear" w:pos="7100"/>
        </w:tabs>
        <w:spacing w:line="240" w:lineRule="auto"/>
        <w:jc w:val="left"/>
        <w:rPr>
          <w:rFonts w:ascii="Times New Roman" w:hAnsi="Times New Roman"/>
          <w:sz w:val="24"/>
          <w:szCs w:val="24"/>
          <w:lang w:val="pt-BR" w:eastAsia="pt-BR"/>
        </w:rPr>
      </w:pPr>
    </w:p>
    <w:p w14:paraId="2A06AB17" w14:textId="77777777" w:rsidR="009E19E1" w:rsidRPr="009E19E1" w:rsidRDefault="009E19E1" w:rsidP="009E19E1">
      <w:pPr>
        <w:tabs>
          <w:tab w:val="clear" w:pos="7100"/>
        </w:tabs>
        <w:spacing w:line="240" w:lineRule="auto"/>
        <w:rPr>
          <w:rFonts w:ascii="Times New Roman" w:hAnsi="Times New Roman"/>
          <w:sz w:val="24"/>
          <w:szCs w:val="24"/>
          <w:lang w:val="en-US" w:eastAsia="pt-BR"/>
        </w:rPr>
      </w:pPr>
      <w:r w:rsidRPr="009E19E1">
        <w:rPr>
          <w:rFonts w:cs="Arial"/>
          <w:color w:val="000000"/>
          <w:szCs w:val="18"/>
          <w:lang w:val="en-US" w:eastAsia="pt-BR"/>
        </w:rPr>
        <w:t xml:space="preserve">It is noticeable that most values for “Choke Size” and “Gas Lift </w:t>
      </w:r>
      <w:proofErr w:type="spellStart"/>
      <w:r w:rsidRPr="009E19E1">
        <w:rPr>
          <w:rFonts w:cs="Arial"/>
          <w:color w:val="000000"/>
          <w:szCs w:val="18"/>
          <w:lang w:val="en-US" w:eastAsia="pt-BR"/>
        </w:rPr>
        <w:t>Inj</w:t>
      </w:r>
      <w:proofErr w:type="spellEnd"/>
      <w:r w:rsidRPr="009E19E1">
        <w:rPr>
          <w:rFonts w:cs="Arial"/>
          <w:color w:val="000000"/>
          <w:szCs w:val="18"/>
          <w:lang w:val="en-US" w:eastAsia="pt-BR"/>
        </w:rPr>
        <w:t xml:space="preserve"> Volume” are missing or zero. Therefore, the assumption of this study is that these columns are not important for predicting “Calculated </w:t>
      </w:r>
      <w:proofErr w:type="spellStart"/>
      <w:r w:rsidRPr="009E19E1">
        <w:rPr>
          <w:rFonts w:cs="Arial"/>
          <w:color w:val="000000"/>
          <w:szCs w:val="18"/>
          <w:lang w:val="en-US" w:eastAsia="pt-BR"/>
        </w:rPr>
        <w:t>Sandface</w:t>
      </w:r>
      <w:proofErr w:type="spellEnd"/>
      <w:r w:rsidRPr="009E19E1">
        <w:rPr>
          <w:rFonts w:cs="Arial"/>
          <w:color w:val="000000"/>
          <w:szCs w:val="18"/>
          <w:lang w:val="en-US" w:eastAsia="pt-BR"/>
        </w:rPr>
        <w:t xml:space="preserve"> Pressure” and can thus be disregarded. Leases that presented empty information were dropped.</w:t>
      </w:r>
    </w:p>
    <w:p w14:paraId="5CDE5444" w14:textId="271AFA98" w:rsidR="009E19E1" w:rsidRPr="009E19E1" w:rsidRDefault="009E19E1" w:rsidP="009E19E1">
      <w:pPr>
        <w:tabs>
          <w:tab w:val="clear" w:pos="7100"/>
        </w:tabs>
        <w:spacing w:line="240" w:lineRule="auto"/>
        <w:rPr>
          <w:rFonts w:ascii="Times New Roman" w:hAnsi="Times New Roman"/>
          <w:sz w:val="24"/>
          <w:szCs w:val="24"/>
          <w:lang w:val="en-US" w:eastAsia="pt-BR"/>
        </w:rPr>
      </w:pPr>
      <w:r w:rsidRPr="009E19E1">
        <w:rPr>
          <w:rFonts w:cs="Arial"/>
          <w:color w:val="000000"/>
          <w:szCs w:val="18"/>
          <w:lang w:val="en-US" w:eastAsia="pt-BR"/>
        </w:rPr>
        <w:t>“Tubing Pressure” also exhibits many zero vectors; however, it can be considered an operational data point since “Tubing Pressure” and “Casing Pressure” are indicated by the “Pressure Source”. In other words, “Tubing Pressure” is zero when the “Pressure Source” is “Casing Pressure”.</w:t>
      </w:r>
    </w:p>
    <w:p w14:paraId="58539669" w14:textId="77777777" w:rsidR="009E19E1" w:rsidRPr="009E19E1" w:rsidRDefault="009E19E1" w:rsidP="009E19E1">
      <w:pPr>
        <w:tabs>
          <w:tab w:val="clear" w:pos="7100"/>
        </w:tabs>
        <w:spacing w:line="240" w:lineRule="auto"/>
        <w:rPr>
          <w:rFonts w:ascii="Times New Roman" w:hAnsi="Times New Roman"/>
          <w:sz w:val="24"/>
          <w:szCs w:val="24"/>
          <w:lang w:val="en-US" w:eastAsia="pt-BR"/>
        </w:rPr>
      </w:pPr>
      <w:r w:rsidRPr="009E19E1">
        <w:rPr>
          <w:rFonts w:cs="Arial"/>
          <w:color w:val="000000"/>
          <w:szCs w:val="18"/>
          <w:lang w:val="en-US" w:eastAsia="pt-BR"/>
        </w:rPr>
        <w:t xml:space="preserve">The “Oil Volume” column also raises questions about the dataset. Since crude oil is a three-phase compound of gas, oil, and water (Guan H.Y., </w:t>
      </w:r>
      <w:proofErr w:type="spellStart"/>
      <w:r w:rsidRPr="009E19E1">
        <w:rPr>
          <w:rFonts w:cs="Arial"/>
          <w:color w:val="000000"/>
          <w:szCs w:val="18"/>
          <w:lang w:val="en-US" w:eastAsia="pt-BR"/>
        </w:rPr>
        <w:t>Jiyuan</w:t>
      </w:r>
      <w:proofErr w:type="spellEnd"/>
      <w:r w:rsidRPr="009E19E1">
        <w:rPr>
          <w:rFonts w:cs="Arial"/>
          <w:color w:val="000000"/>
          <w:szCs w:val="18"/>
          <w:lang w:val="en-US" w:eastAsia="pt-BR"/>
        </w:rPr>
        <w:t xml:space="preserve"> T., 2009), more data in “Oil Volume” was expected, since “Gas Volume” and “Water Volume” didn’t present the same absence in the dataset.</w:t>
      </w:r>
    </w:p>
    <w:p w14:paraId="35C7E086" w14:textId="59E66DD5" w:rsidR="009E19E1" w:rsidRPr="009E19E1" w:rsidRDefault="009E19E1" w:rsidP="009E19E1">
      <w:pPr>
        <w:tabs>
          <w:tab w:val="clear" w:pos="7100"/>
        </w:tabs>
        <w:spacing w:after="200" w:line="240" w:lineRule="auto"/>
        <w:rPr>
          <w:rFonts w:ascii="Times New Roman" w:hAnsi="Times New Roman"/>
          <w:sz w:val="24"/>
          <w:szCs w:val="24"/>
          <w:lang w:val="en-US" w:eastAsia="pt-BR"/>
        </w:rPr>
      </w:pPr>
      <w:r w:rsidRPr="009E19E1">
        <w:rPr>
          <w:rFonts w:cs="Arial"/>
          <w:color w:val="000000"/>
          <w:szCs w:val="18"/>
          <w:lang w:val="en-US" w:eastAsia="pt-BR"/>
        </w:rPr>
        <w:t>After proposed data cleaning and removal of lines with only non-numerical values, the dataset was left with 59,917 lines of information.</w:t>
      </w:r>
    </w:p>
    <w:p w14:paraId="6AA64E60" w14:textId="657036C7" w:rsidR="009E19E1" w:rsidRPr="00FC7BED" w:rsidRDefault="009E19E1" w:rsidP="009E19E1">
      <w:pPr>
        <w:pStyle w:val="CETheadingx"/>
      </w:pPr>
      <w:r>
        <w:t xml:space="preserve"> Variables correlation: Spearman correlation and PCA</w:t>
      </w:r>
    </w:p>
    <w:p w14:paraId="1946072B" w14:textId="1520B426" w:rsidR="00FC7BED" w:rsidRDefault="00FC7BED" w:rsidP="009E19E1">
      <w:pPr>
        <w:pStyle w:val="CETBodytext"/>
        <w:rPr>
          <w:lang w:val="en-GB"/>
        </w:rPr>
      </w:pPr>
      <w:r w:rsidRPr="00FC7BED">
        <w:rPr>
          <w:lang w:val="en-GB"/>
        </w:rPr>
        <w:t>The following spearman heatmap could be plotted from the data:</w:t>
      </w:r>
    </w:p>
    <w:p w14:paraId="731C3AA3" w14:textId="5F337161" w:rsidR="00FC7BED" w:rsidRPr="00B57B36" w:rsidRDefault="00447123" w:rsidP="00FC7BED">
      <w:pPr>
        <w:pStyle w:val="CETCaption"/>
      </w:pPr>
      <w:r>
        <w:rPr>
          <w:rFonts w:cs="Arial"/>
          <w:b/>
          <w:bCs/>
          <w:noProof/>
          <w:color w:val="000000"/>
          <w:sz w:val="20"/>
          <w:bdr w:val="none" w:sz="0" w:space="0" w:color="auto" w:frame="1"/>
        </w:rPr>
        <w:lastRenderedPageBreak/>
        <w:drawing>
          <wp:inline distT="0" distB="0" distL="0" distR="0" wp14:anchorId="12B16ADB" wp14:editId="5590A09E">
            <wp:extent cx="4587240" cy="4084529"/>
            <wp:effectExtent l="0" t="0" r="3810" b="0"/>
            <wp:docPr id="3771102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994" cy="4099447"/>
                    </a:xfrm>
                    <a:prstGeom prst="rect">
                      <a:avLst/>
                    </a:prstGeom>
                    <a:noFill/>
                    <a:ln>
                      <a:noFill/>
                    </a:ln>
                  </pic:spPr>
                </pic:pic>
              </a:graphicData>
            </a:graphic>
          </wp:inline>
        </w:drawing>
      </w:r>
    </w:p>
    <w:p w14:paraId="1D02796D" w14:textId="0A94C867" w:rsidR="00FC7BED" w:rsidRPr="00BD077D" w:rsidRDefault="00FC7BED" w:rsidP="00FC7BED">
      <w:pPr>
        <w:pStyle w:val="CETCaption"/>
      </w:pPr>
      <w:r w:rsidRPr="00BD077D">
        <w:rPr>
          <w:rStyle w:val="CETCaptionCarattere"/>
          <w:i/>
        </w:rPr>
        <w:t>Figure 1: S</w:t>
      </w:r>
      <w:r>
        <w:rPr>
          <w:rStyle w:val="CETCaptionCarattere"/>
          <w:i/>
        </w:rPr>
        <w:t>pearman Correlation</w:t>
      </w:r>
      <w:r w:rsidRPr="00BD077D">
        <w:t xml:space="preserve"> </w:t>
      </w:r>
    </w:p>
    <w:p w14:paraId="72E68DD6" w14:textId="346C87D3" w:rsidR="00447123" w:rsidRPr="00447123" w:rsidRDefault="00447123" w:rsidP="00447123">
      <w:pPr>
        <w:pStyle w:val="CETBodytext"/>
      </w:pPr>
      <w:r w:rsidRPr="00447123">
        <w:t>Strong negative correlations were identified between “Line Pressure” and “Oil Volume” (-0.74) and strong positive correlations between “Line Pressure” and “Active Pressure” (0.71). Additionally, moderate correlations (greater than |0.6|) were observed between “Gas Volume” and “Oil Volume” (-0.66), “Water Volume” and “Oil Volume” (0.65), and “Line Pressure” and “Gas Volume” (0.67). None of the variables has shown significantly strong correlation (&gt;0.8), therefore many of the variables are supposed to be important throughout data evaluation. </w:t>
      </w:r>
    </w:p>
    <w:p w14:paraId="11DC4BD9" w14:textId="42A37DDF" w:rsidR="00447123" w:rsidRDefault="00447123" w:rsidP="00447123">
      <w:pPr>
        <w:pStyle w:val="CETBodytext"/>
      </w:pPr>
      <w:r w:rsidRPr="00447123">
        <w:t>Through PCA analysis it’s possible to observe that at least 4 PC’s (principal components) are necessary to explain almost 90 % (89.15 %) of data variance (Table 2), i.e. it’s possible to create a model that explains almost the entire dataset within 4 PCs</w:t>
      </w:r>
      <w:r>
        <w:t xml:space="preserve"> </w:t>
      </w:r>
      <w:r w:rsidRPr="00447123">
        <w:t>(Principal components). </w:t>
      </w:r>
    </w:p>
    <w:p w14:paraId="51F7D5CD" w14:textId="77777777" w:rsidR="00447123" w:rsidRPr="00447123" w:rsidRDefault="00447123" w:rsidP="00447123">
      <w:pPr>
        <w:pStyle w:val="CETBodytext"/>
      </w:pPr>
    </w:p>
    <w:p w14:paraId="4B56761C" w14:textId="77777777" w:rsidR="00447123" w:rsidRPr="00447123" w:rsidRDefault="00447123" w:rsidP="00447123">
      <w:pPr>
        <w:pStyle w:val="CETBodytext"/>
      </w:pPr>
      <w:r w:rsidRPr="00447123">
        <w:rPr>
          <w:i/>
          <w:iCs/>
        </w:rPr>
        <w:t>Table 2: Eigenvalues, Variance, and Cumulative Variance for PCA</w:t>
      </w:r>
    </w:p>
    <w:tbl>
      <w:tblPr>
        <w:tblW w:w="0" w:type="auto"/>
        <w:tblCellMar>
          <w:top w:w="15" w:type="dxa"/>
          <w:left w:w="15" w:type="dxa"/>
          <w:bottom w:w="15" w:type="dxa"/>
          <w:right w:w="15" w:type="dxa"/>
        </w:tblCellMar>
        <w:tblLook w:val="04A0" w:firstRow="1" w:lastRow="0" w:firstColumn="1" w:lastColumn="0" w:noHBand="0" w:noVBand="1"/>
      </w:tblPr>
      <w:tblGrid>
        <w:gridCol w:w="971"/>
        <w:gridCol w:w="951"/>
        <w:gridCol w:w="1171"/>
        <w:gridCol w:w="2201"/>
      </w:tblGrid>
      <w:tr w:rsidR="00447123" w:rsidRPr="00447123" w14:paraId="3C543EA4" w14:textId="77777777" w:rsidTr="00091390">
        <w:tc>
          <w:tcPr>
            <w:tcW w:w="0" w:type="auto"/>
            <w:tcBorders>
              <w:top w:val="single" w:sz="12" w:space="0" w:color="008000"/>
              <w:left w:val="single" w:sz="4" w:space="0" w:color="FFFFFF"/>
              <w:bottom w:val="single" w:sz="4" w:space="0" w:color="008000"/>
              <w:right w:val="single" w:sz="4" w:space="0" w:color="FFFFFF"/>
            </w:tcBorders>
            <w:shd w:val="clear" w:color="auto" w:fill="FFFFFF"/>
            <w:tcMar>
              <w:top w:w="40" w:type="dxa"/>
              <w:left w:w="40" w:type="dxa"/>
              <w:bottom w:w="40" w:type="dxa"/>
              <w:right w:w="40" w:type="dxa"/>
            </w:tcMar>
            <w:vAlign w:val="center"/>
            <w:hideMark/>
          </w:tcPr>
          <w:p w14:paraId="4EFDE571" w14:textId="77777777" w:rsidR="00447123" w:rsidRPr="00447123" w:rsidRDefault="00447123" w:rsidP="00091390">
            <w:pPr>
              <w:pStyle w:val="CETBodytext"/>
              <w:jc w:val="center"/>
              <w:rPr>
                <w:rFonts w:cs="Arial"/>
                <w:lang w:val="pt-BR"/>
              </w:rPr>
            </w:pPr>
            <w:proofErr w:type="spellStart"/>
            <w:r w:rsidRPr="00447123">
              <w:rPr>
                <w:rFonts w:cs="Arial"/>
                <w:lang w:val="pt-BR"/>
              </w:rPr>
              <w:t>component</w:t>
            </w:r>
            <w:proofErr w:type="spellEnd"/>
          </w:p>
        </w:tc>
        <w:tc>
          <w:tcPr>
            <w:tcW w:w="0" w:type="auto"/>
            <w:tcBorders>
              <w:top w:val="single" w:sz="12" w:space="0" w:color="008000"/>
              <w:left w:val="single" w:sz="4" w:space="0" w:color="FFFFFF"/>
              <w:bottom w:val="single" w:sz="4" w:space="0" w:color="008000"/>
              <w:right w:val="single" w:sz="4" w:space="0" w:color="FFFFFF"/>
            </w:tcBorders>
            <w:shd w:val="clear" w:color="auto" w:fill="FFFFFF"/>
            <w:tcMar>
              <w:top w:w="40" w:type="dxa"/>
              <w:left w:w="40" w:type="dxa"/>
              <w:bottom w:w="40" w:type="dxa"/>
              <w:right w:w="40" w:type="dxa"/>
            </w:tcMar>
            <w:vAlign w:val="center"/>
            <w:hideMark/>
          </w:tcPr>
          <w:p w14:paraId="7D57EEA6" w14:textId="77777777" w:rsidR="00447123" w:rsidRPr="00447123" w:rsidRDefault="00447123" w:rsidP="00091390">
            <w:pPr>
              <w:pStyle w:val="CETBodytext"/>
              <w:jc w:val="center"/>
              <w:rPr>
                <w:rFonts w:cs="Arial"/>
                <w:lang w:val="pt-BR"/>
              </w:rPr>
            </w:pPr>
            <w:proofErr w:type="spellStart"/>
            <w:r w:rsidRPr="00447123">
              <w:rPr>
                <w:rFonts w:cs="Arial"/>
                <w:lang w:val="pt-BR"/>
              </w:rPr>
              <w:t>eigenvalue</w:t>
            </w:r>
            <w:proofErr w:type="spellEnd"/>
          </w:p>
        </w:tc>
        <w:tc>
          <w:tcPr>
            <w:tcW w:w="0" w:type="auto"/>
            <w:tcBorders>
              <w:top w:val="single" w:sz="12" w:space="0" w:color="008000"/>
              <w:left w:val="single" w:sz="4" w:space="0" w:color="FFFFFF"/>
              <w:bottom w:val="single" w:sz="4" w:space="0" w:color="008000"/>
              <w:right w:val="single" w:sz="4" w:space="0" w:color="FFFFFF"/>
            </w:tcBorders>
            <w:shd w:val="clear" w:color="auto" w:fill="FFFFFF"/>
            <w:tcMar>
              <w:top w:w="40" w:type="dxa"/>
              <w:left w:w="40" w:type="dxa"/>
              <w:bottom w:w="40" w:type="dxa"/>
              <w:right w:w="40" w:type="dxa"/>
            </w:tcMar>
            <w:vAlign w:val="center"/>
            <w:hideMark/>
          </w:tcPr>
          <w:p w14:paraId="316B44E6" w14:textId="77777777" w:rsidR="00447123" w:rsidRPr="00447123" w:rsidRDefault="00447123" w:rsidP="00091390">
            <w:pPr>
              <w:pStyle w:val="CETBodytext"/>
              <w:jc w:val="center"/>
              <w:rPr>
                <w:rFonts w:cs="Arial"/>
                <w:lang w:val="pt-BR"/>
              </w:rPr>
            </w:pPr>
            <w:r w:rsidRPr="00447123">
              <w:rPr>
                <w:rFonts w:cs="Arial"/>
                <w:lang w:val="pt-BR"/>
              </w:rPr>
              <w:t xml:space="preserve">% </w:t>
            </w:r>
            <w:proofErr w:type="spellStart"/>
            <w:r w:rsidRPr="00447123">
              <w:rPr>
                <w:rFonts w:cs="Arial"/>
                <w:lang w:val="pt-BR"/>
              </w:rPr>
              <w:t>of</w:t>
            </w:r>
            <w:proofErr w:type="spellEnd"/>
            <w:r w:rsidRPr="00447123">
              <w:rPr>
                <w:rFonts w:cs="Arial"/>
                <w:lang w:val="pt-BR"/>
              </w:rPr>
              <w:t xml:space="preserve"> </w:t>
            </w:r>
            <w:proofErr w:type="spellStart"/>
            <w:r w:rsidRPr="00447123">
              <w:rPr>
                <w:rFonts w:cs="Arial"/>
                <w:lang w:val="pt-BR"/>
              </w:rPr>
              <w:t>variance</w:t>
            </w:r>
            <w:proofErr w:type="spellEnd"/>
          </w:p>
        </w:tc>
        <w:tc>
          <w:tcPr>
            <w:tcW w:w="0" w:type="auto"/>
            <w:tcBorders>
              <w:top w:val="single" w:sz="12" w:space="0" w:color="008000"/>
              <w:left w:val="single" w:sz="4" w:space="0" w:color="FFFFFF"/>
              <w:bottom w:val="single" w:sz="4" w:space="0" w:color="008000"/>
              <w:right w:val="single" w:sz="4" w:space="0" w:color="FFFFFF"/>
            </w:tcBorders>
            <w:shd w:val="clear" w:color="auto" w:fill="FFFFFF"/>
            <w:tcMar>
              <w:top w:w="40" w:type="dxa"/>
              <w:left w:w="40" w:type="dxa"/>
              <w:bottom w:w="40" w:type="dxa"/>
              <w:right w:w="40" w:type="dxa"/>
            </w:tcMar>
            <w:vAlign w:val="center"/>
            <w:hideMark/>
          </w:tcPr>
          <w:p w14:paraId="7B3F0949" w14:textId="77777777" w:rsidR="00447123" w:rsidRPr="00447123" w:rsidRDefault="00447123" w:rsidP="00091390">
            <w:pPr>
              <w:pStyle w:val="CETBodytext"/>
              <w:jc w:val="center"/>
              <w:rPr>
                <w:rFonts w:cs="Arial"/>
                <w:lang w:val="pt-BR"/>
              </w:rPr>
            </w:pPr>
            <w:r w:rsidRPr="00447123">
              <w:rPr>
                <w:rFonts w:cs="Arial"/>
                <w:lang w:val="pt-BR"/>
              </w:rPr>
              <w:t xml:space="preserve">% </w:t>
            </w:r>
            <w:proofErr w:type="spellStart"/>
            <w:r w:rsidRPr="00447123">
              <w:rPr>
                <w:rFonts w:cs="Arial"/>
                <w:lang w:val="pt-BR"/>
              </w:rPr>
              <w:t>of</w:t>
            </w:r>
            <w:proofErr w:type="spellEnd"/>
            <w:r w:rsidRPr="00447123">
              <w:rPr>
                <w:rFonts w:cs="Arial"/>
                <w:lang w:val="pt-BR"/>
              </w:rPr>
              <w:t xml:space="preserve"> </w:t>
            </w:r>
            <w:proofErr w:type="spellStart"/>
            <w:r w:rsidRPr="00447123">
              <w:rPr>
                <w:rFonts w:cs="Arial"/>
                <w:lang w:val="pt-BR"/>
              </w:rPr>
              <w:t>variance</w:t>
            </w:r>
            <w:proofErr w:type="spellEnd"/>
            <w:r w:rsidRPr="00447123">
              <w:rPr>
                <w:rFonts w:cs="Arial"/>
                <w:lang w:val="pt-BR"/>
              </w:rPr>
              <w:t xml:space="preserve"> (</w:t>
            </w:r>
            <w:proofErr w:type="spellStart"/>
            <w:r w:rsidRPr="00447123">
              <w:rPr>
                <w:rFonts w:cs="Arial"/>
                <w:lang w:val="pt-BR"/>
              </w:rPr>
              <w:t>cumulative</w:t>
            </w:r>
            <w:proofErr w:type="spellEnd"/>
            <w:r w:rsidRPr="00447123">
              <w:rPr>
                <w:rFonts w:cs="Arial"/>
                <w:lang w:val="pt-BR"/>
              </w:rPr>
              <w:t>)</w:t>
            </w:r>
          </w:p>
        </w:tc>
      </w:tr>
      <w:tr w:rsidR="00447123" w:rsidRPr="00447123" w14:paraId="404E55E1" w14:textId="77777777" w:rsidTr="00091390">
        <w:trPr>
          <w:trHeight w:val="160"/>
        </w:trPr>
        <w:tc>
          <w:tcPr>
            <w:tcW w:w="0" w:type="auto"/>
            <w:tcBorders>
              <w:top w:val="single" w:sz="4" w:space="0" w:color="008000"/>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06F3DCA5" w14:textId="77777777" w:rsidR="00447123" w:rsidRPr="00447123" w:rsidRDefault="00447123" w:rsidP="00091390">
            <w:pPr>
              <w:pStyle w:val="CETBodytext"/>
              <w:jc w:val="center"/>
              <w:rPr>
                <w:rFonts w:cs="Arial"/>
                <w:lang w:val="pt-BR"/>
              </w:rPr>
            </w:pPr>
            <w:r w:rsidRPr="00447123">
              <w:rPr>
                <w:rFonts w:cs="Arial"/>
                <w:b/>
                <w:bCs/>
                <w:lang w:val="pt-BR"/>
              </w:rPr>
              <w:t>1</w:t>
            </w:r>
          </w:p>
        </w:tc>
        <w:tc>
          <w:tcPr>
            <w:tcW w:w="0" w:type="auto"/>
            <w:tcBorders>
              <w:top w:val="single" w:sz="4" w:space="0" w:color="008000"/>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546448DB" w14:textId="77777777" w:rsidR="00447123" w:rsidRPr="00447123" w:rsidRDefault="00447123" w:rsidP="00091390">
            <w:pPr>
              <w:pStyle w:val="CETBodytext"/>
              <w:jc w:val="center"/>
              <w:rPr>
                <w:rFonts w:cs="Arial"/>
                <w:lang w:val="pt-BR"/>
              </w:rPr>
            </w:pPr>
            <w:r w:rsidRPr="00447123">
              <w:rPr>
                <w:rFonts w:cs="Arial"/>
                <w:lang w:val="pt-BR"/>
              </w:rPr>
              <w:t>3.138</w:t>
            </w:r>
          </w:p>
        </w:tc>
        <w:tc>
          <w:tcPr>
            <w:tcW w:w="0" w:type="auto"/>
            <w:tcBorders>
              <w:top w:val="single" w:sz="4" w:space="0" w:color="008000"/>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264BEC20" w14:textId="77777777" w:rsidR="00447123" w:rsidRPr="00447123" w:rsidRDefault="00447123" w:rsidP="00091390">
            <w:pPr>
              <w:pStyle w:val="CETBodytext"/>
              <w:jc w:val="center"/>
              <w:rPr>
                <w:rFonts w:cs="Arial"/>
                <w:lang w:val="pt-BR"/>
              </w:rPr>
            </w:pPr>
            <w:r w:rsidRPr="00447123">
              <w:rPr>
                <w:rFonts w:cs="Arial"/>
                <w:lang w:val="pt-BR"/>
              </w:rPr>
              <w:t>44.83%</w:t>
            </w:r>
          </w:p>
        </w:tc>
        <w:tc>
          <w:tcPr>
            <w:tcW w:w="0" w:type="auto"/>
            <w:tcBorders>
              <w:top w:val="single" w:sz="4" w:space="0" w:color="008000"/>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49AE570C" w14:textId="77777777" w:rsidR="00447123" w:rsidRPr="00447123" w:rsidRDefault="00447123" w:rsidP="00091390">
            <w:pPr>
              <w:pStyle w:val="CETBodytext"/>
              <w:jc w:val="center"/>
              <w:rPr>
                <w:rFonts w:cs="Arial"/>
                <w:lang w:val="pt-BR"/>
              </w:rPr>
            </w:pPr>
            <w:r w:rsidRPr="00447123">
              <w:rPr>
                <w:rFonts w:cs="Arial"/>
                <w:lang w:val="pt-BR"/>
              </w:rPr>
              <w:t>44.83%</w:t>
            </w:r>
          </w:p>
        </w:tc>
      </w:tr>
      <w:tr w:rsidR="00447123" w:rsidRPr="00447123" w14:paraId="2F99E766" w14:textId="77777777" w:rsidTr="00091390">
        <w:trPr>
          <w:trHeight w:val="299"/>
        </w:trPr>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18416F82" w14:textId="77777777" w:rsidR="00447123" w:rsidRPr="00447123" w:rsidRDefault="00447123" w:rsidP="00091390">
            <w:pPr>
              <w:pStyle w:val="CETBodytext"/>
              <w:jc w:val="center"/>
              <w:rPr>
                <w:rFonts w:cs="Arial"/>
                <w:lang w:val="pt-BR"/>
              </w:rPr>
            </w:pPr>
            <w:r w:rsidRPr="00447123">
              <w:rPr>
                <w:rFonts w:cs="Arial"/>
                <w:b/>
                <w:bCs/>
                <w:lang w:val="pt-BR"/>
              </w:rPr>
              <w:t>2</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215F8EBE" w14:textId="77777777" w:rsidR="00447123" w:rsidRPr="00447123" w:rsidRDefault="00447123" w:rsidP="00091390">
            <w:pPr>
              <w:pStyle w:val="CETBodytext"/>
              <w:jc w:val="center"/>
              <w:rPr>
                <w:rFonts w:cs="Arial"/>
                <w:lang w:val="pt-BR"/>
              </w:rPr>
            </w:pPr>
            <w:r w:rsidRPr="00447123">
              <w:rPr>
                <w:rFonts w:cs="Arial"/>
                <w:lang w:val="pt-BR"/>
              </w:rPr>
              <w:t>1.532</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69F3D18F" w14:textId="77777777" w:rsidR="00447123" w:rsidRPr="00447123" w:rsidRDefault="00447123" w:rsidP="00091390">
            <w:pPr>
              <w:pStyle w:val="CETBodytext"/>
              <w:jc w:val="center"/>
              <w:rPr>
                <w:rFonts w:cs="Arial"/>
                <w:lang w:val="pt-BR"/>
              </w:rPr>
            </w:pPr>
            <w:r w:rsidRPr="00447123">
              <w:rPr>
                <w:rFonts w:cs="Arial"/>
                <w:lang w:val="pt-BR"/>
              </w:rPr>
              <w:t>21.88%</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49BB402D" w14:textId="77777777" w:rsidR="00447123" w:rsidRPr="00447123" w:rsidRDefault="00447123" w:rsidP="00091390">
            <w:pPr>
              <w:pStyle w:val="CETBodytext"/>
              <w:jc w:val="center"/>
              <w:rPr>
                <w:rFonts w:cs="Arial"/>
                <w:lang w:val="pt-BR"/>
              </w:rPr>
            </w:pPr>
            <w:r w:rsidRPr="00447123">
              <w:rPr>
                <w:rFonts w:cs="Arial"/>
                <w:lang w:val="pt-BR"/>
              </w:rPr>
              <w:t>66.71%</w:t>
            </w:r>
          </w:p>
        </w:tc>
      </w:tr>
      <w:tr w:rsidR="00447123" w:rsidRPr="00447123" w14:paraId="73464752" w14:textId="77777777" w:rsidTr="00091390">
        <w:trPr>
          <w:trHeight w:val="160"/>
        </w:trPr>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3E4F00DB" w14:textId="77777777" w:rsidR="00447123" w:rsidRPr="00447123" w:rsidRDefault="00447123" w:rsidP="00091390">
            <w:pPr>
              <w:pStyle w:val="CETBodytext"/>
              <w:jc w:val="center"/>
              <w:rPr>
                <w:rFonts w:cs="Arial"/>
                <w:lang w:val="pt-BR"/>
              </w:rPr>
            </w:pPr>
            <w:r w:rsidRPr="00447123">
              <w:rPr>
                <w:rFonts w:cs="Arial"/>
                <w:b/>
                <w:bCs/>
                <w:lang w:val="pt-BR"/>
              </w:rPr>
              <w:t>3</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77E0B25D" w14:textId="77777777" w:rsidR="00447123" w:rsidRPr="00447123" w:rsidRDefault="00447123" w:rsidP="00091390">
            <w:pPr>
              <w:pStyle w:val="CETBodytext"/>
              <w:jc w:val="center"/>
              <w:rPr>
                <w:rFonts w:cs="Arial"/>
                <w:lang w:val="pt-BR"/>
              </w:rPr>
            </w:pPr>
            <w:r w:rsidRPr="00447123">
              <w:rPr>
                <w:rFonts w:cs="Arial"/>
                <w:lang w:val="pt-BR"/>
              </w:rPr>
              <w:t>1.103</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02278DB4" w14:textId="77777777" w:rsidR="00447123" w:rsidRPr="00447123" w:rsidRDefault="00447123" w:rsidP="00091390">
            <w:pPr>
              <w:pStyle w:val="CETBodytext"/>
              <w:jc w:val="center"/>
              <w:rPr>
                <w:rFonts w:cs="Arial"/>
                <w:lang w:val="pt-BR"/>
              </w:rPr>
            </w:pPr>
            <w:r w:rsidRPr="00447123">
              <w:rPr>
                <w:rFonts w:cs="Arial"/>
                <w:lang w:val="pt-BR"/>
              </w:rPr>
              <w:t>15.75%</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4273E5DE" w14:textId="77777777" w:rsidR="00447123" w:rsidRPr="00447123" w:rsidRDefault="00447123" w:rsidP="00091390">
            <w:pPr>
              <w:pStyle w:val="CETBodytext"/>
              <w:jc w:val="center"/>
              <w:rPr>
                <w:rFonts w:cs="Arial"/>
                <w:lang w:val="pt-BR"/>
              </w:rPr>
            </w:pPr>
            <w:r w:rsidRPr="00447123">
              <w:rPr>
                <w:rFonts w:cs="Arial"/>
                <w:lang w:val="pt-BR"/>
              </w:rPr>
              <w:t>82.46%</w:t>
            </w:r>
          </w:p>
        </w:tc>
      </w:tr>
      <w:tr w:rsidR="00447123" w:rsidRPr="00447123" w14:paraId="1B212136" w14:textId="77777777" w:rsidTr="00091390">
        <w:trPr>
          <w:trHeight w:val="160"/>
        </w:trPr>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6A2B052E" w14:textId="77777777" w:rsidR="00447123" w:rsidRPr="00447123" w:rsidRDefault="00447123" w:rsidP="00091390">
            <w:pPr>
              <w:pStyle w:val="CETBodytext"/>
              <w:jc w:val="center"/>
              <w:rPr>
                <w:rFonts w:cs="Arial"/>
                <w:lang w:val="pt-BR"/>
              </w:rPr>
            </w:pPr>
            <w:r w:rsidRPr="00447123">
              <w:rPr>
                <w:rFonts w:cs="Arial"/>
                <w:b/>
                <w:bCs/>
                <w:lang w:val="pt-BR"/>
              </w:rPr>
              <w:t>4</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0F72A13C" w14:textId="77777777" w:rsidR="00447123" w:rsidRPr="00447123" w:rsidRDefault="00447123" w:rsidP="00091390">
            <w:pPr>
              <w:pStyle w:val="CETBodytext"/>
              <w:jc w:val="center"/>
              <w:rPr>
                <w:rFonts w:cs="Arial"/>
                <w:lang w:val="pt-BR"/>
              </w:rPr>
            </w:pPr>
            <w:r w:rsidRPr="00447123">
              <w:rPr>
                <w:rFonts w:cs="Arial"/>
                <w:lang w:val="pt-BR"/>
              </w:rPr>
              <w:t>0.468</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3BA04760" w14:textId="77777777" w:rsidR="00447123" w:rsidRPr="00447123" w:rsidRDefault="00447123" w:rsidP="00091390">
            <w:pPr>
              <w:pStyle w:val="CETBodytext"/>
              <w:jc w:val="center"/>
              <w:rPr>
                <w:rFonts w:cs="Arial"/>
                <w:lang w:val="pt-BR"/>
              </w:rPr>
            </w:pPr>
            <w:r w:rsidRPr="00447123">
              <w:rPr>
                <w:rFonts w:cs="Arial"/>
                <w:lang w:val="pt-BR"/>
              </w:rPr>
              <w:t>6.69%</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0EDEF9C8" w14:textId="77777777" w:rsidR="00447123" w:rsidRPr="00447123" w:rsidRDefault="00447123" w:rsidP="00091390">
            <w:pPr>
              <w:pStyle w:val="CETBodytext"/>
              <w:jc w:val="center"/>
              <w:rPr>
                <w:rFonts w:cs="Arial"/>
                <w:lang w:val="pt-BR"/>
              </w:rPr>
            </w:pPr>
            <w:r w:rsidRPr="00447123">
              <w:rPr>
                <w:rFonts w:cs="Arial"/>
                <w:lang w:val="pt-BR"/>
              </w:rPr>
              <w:t>89.15%</w:t>
            </w:r>
          </w:p>
        </w:tc>
      </w:tr>
      <w:tr w:rsidR="00447123" w:rsidRPr="00447123" w14:paraId="3EDEDC63" w14:textId="77777777" w:rsidTr="00091390">
        <w:trPr>
          <w:trHeight w:val="299"/>
        </w:trPr>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6103C6E4" w14:textId="77777777" w:rsidR="00447123" w:rsidRPr="00447123" w:rsidRDefault="00447123" w:rsidP="00091390">
            <w:pPr>
              <w:pStyle w:val="CETBodytext"/>
              <w:jc w:val="center"/>
              <w:rPr>
                <w:rFonts w:cs="Arial"/>
                <w:lang w:val="pt-BR"/>
              </w:rPr>
            </w:pPr>
            <w:r w:rsidRPr="00447123">
              <w:rPr>
                <w:rFonts w:cs="Arial"/>
                <w:b/>
                <w:bCs/>
                <w:lang w:val="pt-BR"/>
              </w:rPr>
              <w:t>5</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68F21475" w14:textId="77777777" w:rsidR="00447123" w:rsidRPr="00447123" w:rsidRDefault="00447123" w:rsidP="00091390">
            <w:pPr>
              <w:pStyle w:val="CETBodytext"/>
              <w:jc w:val="center"/>
              <w:rPr>
                <w:rFonts w:cs="Arial"/>
                <w:lang w:val="pt-BR"/>
              </w:rPr>
            </w:pPr>
            <w:r w:rsidRPr="00447123">
              <w:rPr>
                <w:rFonts w:cs="Arial"/>
                <w:lang w:val="pt-BR"/>
              </w:rPr>
              <w:t>0.353</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2A07C178" w14:textId="77777777" w:rsidR="00447123" w:rsidRPr="00447123" w:rsidRDefault="00447123" w:rsidP="00091390">
            <w:pPr>
              <w:pStyle w:val="CETBodytext"/>
              <w:jc w:val="center"/>
              <w:rPr>
                <w:rFonts w:cs="Arial"/>
                <w:lang w:val="pt-BR"/>
              </w:rPr>
            </w:pPr>
            <w:r w:rsidRPr="00447123">
              <w:rPr>
                <w:rFonts w:cs="Arial"/>
                <w:lang w:val="pt-BR"/>
              </w:rPr>
              <w:t>5.04%</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hideMark/>
          </w:tcPr>
          <w:p w14:paraId="0695E0D4" w14:textId="77777777" w:rsidR="00447123" w:rsidRPr="00447123" w:rsidRDefault="00447123" w:rsidP="00091390">
            <w:pPr>
              <w:pStyle w:val="CETBodytext"/>
              <w:jc w:val="center"/>
              <w:rPr>
                <w:rFonts w:cs="Arial"/>
                <w:lang w:val="pt-BR"/>
              </w:rPr>
            </w:pPr>
            <w:r w:rsidRPr="00447123">
              <w:rPr>
                <w:rFonts w:cs="Arial"/>
                <w:lang w:val="pt-BR"/>
              </w:rPr>
              <w:t>94.19%</w:t>
            </w:r>
          </w:p>
        </w:tc>
      </w:tr>
      <w:tr w:rsidR="00447123" w:rsidRPr="00447123" w14:paraId="111080CB" w14:textId="77777777" w:rsidTr="00091390">
        <w:trPr>
          <w:trHeight w:val="160"/>
        </w:trPr>
        <w:tc>
          <w:tcPr>
            <w:tcW w:w="0" w:type="auto"/>
            <w:tcBorders>
              <w:top w:val="single" w:sz="4" w:space="0" w:color="FFFFFF"/>
              <w:left w:val="single" w:sz="4" w:space="0" w:color="FFFFFF"/>
              <w:bottom w:val="single" w:sz="12" w:space="0" w:color="008000"/>
              <w:right w:val="single" w:sz="4" w:space="0" w:color="FFFFFF"/>
            </w:tcBorders>
            <w:shd w:val="clear" w:color="auto" w:fill="FFFFFF"/>
            <w:tcMar>
              <w:top w:w="40" w:type="dxa"/>
              <w:left w:w="40" w:type="dxa"/>
              <w:bottom w:w="40" w:type="dxa"/>
              <w:right w:w="40" w:type="dxa"/>
            </w:tcMar>
            <w:vAlign w:val="center"/>
            <w:hideMark/>
          </w:tcPr>
          <w:p w14:paraId="06B9A4B9" w14:textId="77777777" w:rsidR="00447123" w:rsidRPr="00447123" w:rsidRDefault="00447123" w:rsidP="00091390">
            <w:pPr>
              <w:pStyle w:val="CETBodytext"/>
              <w:jc w:val="center"/>
              <w:rPr>
                <w:rFonts w:cs="Arial"/>
                <w:lang w:val="pt-BR"/>
              </w:rPr>
            </w:pPr>
            <w:r w:rsidRPr="00447123">
              <w:rPr>
                <w:rFonts w:cs="Arial"/>
                <w:b/>
                <w:bCs/>
                <w:lang w:val="pt-BR"/>
              </w:rPr>
              <w:t>6</w:t>
            </w:r>
          </w:p>
        </w:tc>
        <w:tc>
          <w:tcPr>
            <w:tcW w:w="0" w:type="auto"/>
            <w:tcBorders>
              <w:top w:val="single" w:sz="4" w:space="0" w:color="FFFFFF"/>
              <w:left w:val="single" w:sz="4" w:space="0" w:color="FFFFFF"/>
              <w:bottom w:val="single" w:sz="12" w:space="0" w:color="008000"/>
              <w:right w:val="single" w:sz="4" w:space="0" w:color="FFFFFF"/>
            </w:tcBorders>
            <w:shd w:val="clear" w:color="auto" w:fill="FFFFFF"/>
            <w:tcMar>
              <w:top w:w="40" w:type="dxa"/>
              <w:left w:w="40" w:type="dxa"/>
              <w:bottom w:w="40" w:type="dxa"/>
              <w:right w:w="40" w:type="dxa"/>
            </w:tcMar>
            <w:vAlign w:val="center"/>
            <w:hideMark/>
          </w:tcPr>
          <w:p w14:paraId="1AF1101F" w14:textId="77777777" w:rsidR="00447123" w:rsidRPr="00447123" w:rsidRDefault="00447123" w:rsidP="00091390">
            <w:pPr>
              <w:pStyle w:val="CETBodytext"/>
              <w:jc w:val="center"/>
              <w:rPr>
                <w:rFonts w:cs="Arial"/>
                <w:lang w:val="pt-BR"/>
              </w:rPr>
            </w:pPr>
            <w:r w:rsidRPr="00447123">
              <w:rPr>
                <w:rFonts w:cs="Arial"/>
                <w:lang w:val="pt-BR"/>
              </w:rPr>
              <w:t>0.304</w:t>
            </w:r>
          </w:p>
        </w:tc>
        <w:tc>
          <w:tcPr>
            <w:tcW w:w="0" w:type="auto"/>
            <w:tcBorders>
              <w:top w:val="single" w:sz="4" w:space="0" w:color="FFFFFF"/>
              <w:left w:val="single" w:sz="4" w:space="0" w:color="FFFFFF"/>
              <w:bottom w:val="single" w:sz="12" w:space="0" w:color="008000"/>
              <w:right w:val="single" w:sz="4" w:space="0" w:color="FFFFFF"/>
            </w:tcBorders>
            <w:shd w:val="clear" w:color="auto" w:fill="FFFFFF"/>
            <w:tcMar>
              <w:top w:w="40" w:type="dxa"/>
              <w:left w:w="40" w:type="dxa"/>
              <w:bottom w:w="40" w:type="dxa"/>
              <w:right w:w="40" w:type="dxa"/>
            </w:tcMar>
            <w:vAlign w:val="center"/>
            <w:hideMark/>
          </w:tcPr>
          <w:p w14:paraId="2D04309B" w14:textId="77777777" w:rsidR="00447123" w:rsidRPr="00447123" w:rsidRDefault="00447123" w:rsidP="00091390">
            <w:pPr>
              <w:pStyle w:val="CETBodytext"/>
              <w:jc w:val="center"/>
              <w:rPr>
                <w:rFonts w:cs="Arial"/>
                <w:lang w:val="pt-BR"/>
              </w:rPr>
            </w:pPr>
            <w:r w:rsidRPr="00447123">
              <w:rPr>
                <w:rFonts w:cs="Arial"/>
                <w:lang w:val="pt-BR"/>
              </w:rPr>
              <w:t>4.35%</w:t>
            </w:r>
          </w:p>
        </w:tc>
        <w:tc>
          <w:tcPr>
            <w:tcW w:w="0" w:type="auto"/>
            <w:tcBorders>
              <w:top w:val="single" w:sz="4" w:space="0" w:color="FFFFFF"/>
              <w:left w:val="single" w:sz="4" w:space="0" w:color="FFFFFF"/>
              <w:bottom w:val="single" w:sz="12" w:space="0" w:color="008000"/>
              <w:right w:val="single" w:sz="4" w:space="0" w:color="FFFFFF"/>
            </w:tcBorders>
            <w:shd w:val="clear" w:color="auto" w:fill="FFFFFF"/>
            <w:tcMar>
              <w:top w:w="40" w:type="dxa"/>
              <w:left w:w="40" w:type="dxa"/>
              <w:bottom w:w="40" w:type="dxa"/>
              <w:right w:w="40" w:type="dxa"/>
            </w:tcMar>
            <w:vAlign w:val="center"/>
            <w:hideMark/>
          </w:tcPr>
          <w:p w14:paraId="14C97EC1" w14:textId="77777777" w:rsidR="00447123" w:rsidRPr="00447123" w:rsidRDefault="00447123" w:rsidP="00091390">
            <w:pPr>
              <w:pStyle w:val="CETBodytext"/>
              <w:jc w:val="center"/>
              <w:rPr>
                <w:rFonts w:cs="Arial"/>
                <w:lang w:val="pt-BR"/>
              </w:rPr>
            </w:pPr>
            <w:r w:rsidRPr="00447123">
              <w:rPr>
                <w:rFonts w:cs="Arial"/>
                <w:lang w:val="pt-BR"/>
              </w:rPr>
              <w:t>98.53%</w:t>
            </w:r>
          </w:p>
        </w:tc>
      </w:tr>
    </w:tbl>
    <w:p w14:paraId="0ECE880E" w14:textId="672F3901" w:rsidR="00FC7BED" w:rsidRPr="00091390" w:rsidRDefault="00447123" w:rsidP="008F57C0">
      <w:pPr>
        <w:pStyle w:val="CETBodytext"/>
        <w:spacing w:before="240"/>
      </w:pPr>
      <w:r w:rsidRPr="00447123">
        <w:t>It’s possible to rank out the variables of the dataset from columns contribution (Table 3) over each component’s % of variance (Table 2), concluding the rank from most important to less important: “Water Volume”</w:t>
      </w:r>
      <w:proofErr w:type="gramStart"/>
      <w:r w:rsidRPr="00447123">
        <w:t>&gt;”Tubing</w:t>
      </w:r>
      <w:proofErr w:type="gramEnd"/>
      <w:r w:rsidRPr="00447123">
        <w:t xml:space="preserve"> Pressure”&gt;”Gas Volume”&gt;”Active Pressure”&gt;”Casing Pressure”&gt;”Oil Volume”&gt; “Line Pressure”.</w:t>
      </w:r>
    </w:p>
    <w:p w14:paraId="00074D9F" w14:textId="6741F9C9" w:rsidR="00744254" w:rsidRPr="00B57B36" w:rsidRDefault="00744254" w:rsidP="00744254">
      <w:pPr>
        <w:pStyle w:val="CETTabletitle"/>
      </w:pPr>
      <w:r w:rsidRPr="00B57B36">
        <w:lastRenderedPageBreak/>
        <w:t xml:space="preserve">Table </w:t>
      </w:r>
      <w:r>
        <w:t>3</w:t>
      </w:r>
      <w:r w:rsidRPr="00B57B36">
        <w:t xml:space="preserve">: </w:t>
      </w:r>
      <w:r>
        <w:t>PC’s columns contribution</w:t>
      </w:r>
    </w:p>
    <w:tbl>
      <w:tblPr>
        <w:tblW w:w="537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088"/>
        <w:gridCol w:w="572"/>
        <w:gridCol w:w="572"/>
        <w:gridCol w:w="572"/>
        <w:gridCol w:w="572"/>
      </w:tblGrid>
      <w:tr w:rsidR="00744254" w:rsidRPr="00B57B36" w14:paraId="7314007E" w14:textId="77777777" w:rsidTr="00091390">
        <w:trPr>
          <w:trHeight w:val="263"/>
        </w:trPr>
        <w:tc>
          <w:tcPr>
            <w:tcW w:w="0" w:type="auto"/>
            <w:tcBorders>
              <w:top w:val="single" w:sz="12" w:space="0" w:color="008000"/>
              <w:bottom w:val="single" w:sz="6" w:space="0" w:color="008000"/>
            </w:tcBorders>
            <w:shd w:val="clear" w:color="auto" w:fill="FFFFFF"/>
          </w:tcPr>
          <w:p w14:paraId="79A53A2C" w14:textId="62D991EC" w:rsidR="00744254" w:rsidRDefault="00744254" w:rsidP="00EA1D9F">
            <w:pPr>
              <w:pStyle w:val="CETBodytext"/>
              <w:rPr>
                <w:lang w:val="en-GB"/>
              </w:rPr>
            </w:pPr>
            <w:r>
              <w:rPr>
                <w:lang w:val="en-GB"/>
              </w:rPr>
              <w:t>Component</w:t>
            </w:r>
          </w:p>
        </w:tc>
        <w:tc>
          <w:tcPr>
            <w:tcW w:w="0" w:type="auto"/>
            <w:tcBorders>
              <w:top w:val="single" w:sz="12" w:space="0" w:color="008000"/>
              <w:bottom w:val="single" w:sz="6" w:space="0" w:color="008000"/>
            </w:tcBorders>
            <w:shd w:val="clear" w:color="auto" w:fill="FFFFFF"/>
            <w:vAlign w:val="center"/>
          </w:tcPr>
          <w:p w14:paraId="52B5A83D" w14:textId="7C63D001" w:rsidR="00744254" w:rsidRPr="00B57B36" w:rsidRDefault="00091390" w:rsidP="00091390">
            <w:pPr>
              <w:pStyle w:val="CETBodytext"/>
              <w:jc w:val="center"/>
              <w:rPr>
                <w:lang w:val="en-GB"/>
              </w:rPr>
            </w:pPr>
            <w:r>
              <w:rPr>
                <w:lang w:val="en-GB"/>
              </w:rPr>
              <w:t>1</w:t>
            </w:r>
          </w:p>
        </w:tc>
        <w:tc>
          <w:tcPr>
            <w:tcW w:w="0" w:type="auto"/>
            <w:tcBorders>
              <w:top w:val="single" w:sz="12" w:space="0" w:color="008000"/>
              <w:bottom w:val="single" w:sz="6" w:space="0" w:color="008000"/>
            </w:tcBorders>
            <w:shd w:val="clear" w:color="auto" w:fill="FFFFFF"/>
            <w:vAlign w:val="center"/>
          </w:tcPr>
          <w:p w14:paraId="1E04088D" w14:textId="397873D6" w:rsidR="00744254" w:rsidRPr="00B57B36" w:rsidRDefault="00744254" w:rsidP="00091390">
            <w:pPr>
              <w:pStyle w:val="CETBodytext"/>
              <w:jc w:val="center"/>
              <w:rPr>
                <w:lang w:val="en-GB"/>
              </w:rPr>
            </w:pPr>
            <w:r>
              <w:rPr>
                <w:lang w:val="en-GB"/>
              </w:rPr>
              <w:t>2</w:t>
            </w:r>
          </w:p>
        </w:tc>
        <w:tc>
          <w:tcPr>
            <w:tcW w:w="0" w:type="auto"/>
            <w:tcBorders>
              <w:top w:val="single" w:sz="12" w:space="0" w:color="008000"/>
              <w:bottom w:val="single" w:sz="6" w:space="0" w:color="008000"/>
            </w:tcBorders>
            <w:shd w:val="clear" w:color="auto" w:fill="FFFFFF"/>
            <w:vAlign w:val="center"/>
          </w:tcPr>
          <w:p w14:paraId="1BC8BB47" w14:textId="5D00AEFC" w:rsidR="00744254" w:rsidRPr="00B57B36" w:rsidRDefault="00744254" w:rsidP="00091390">
            <w:pPr>
              <w:pStyle w:val="CETBodytext"/>
              <w:ind w:right="-1"/>
              <w:jc w:val="center"/>
              <w:rPr>
                <w:rFonts w:cs="Arial"/>
                <w:szCs w:val="18"/>
                <w:lang w:val="en-GB"/>
              </w:rPr>
            </w:pPr>
            <w:r>
              <w:rPr>
                <w:rFonts w:cs="Arial"/>
                <w:szCs w:val="18"/>
                <w:lang w:val="en-GB"/>
              </w:rPr>
              <w:t>3</w:t>
            </w:r>
          </w:p>
        </w:tc>
        <w:tc>
          <w:tcPr>
            <w:tcW w:w="0" w:type="auto"/>
            <w:tcBorders>
              <w:top w:val="single" w:sz="12" w:space="0" w:color="008000"/>
              <w:bottom w:val="single" w:sz="6" w:space="0" w:color="008000"/>
            </w:tcBorders>
            <w:shd w:val="clear" w:color="auto" w:fill="FFFFFF"/>
            <w:vAlign w:val="center"/>
          </w:tcPr>
          <w:p w14:paraId="7EC55327" w14:textId="7E45D601" w:rsidR="00744254" w:rsidRPr="00B57B36" w:rsidRDefault="00744254" w:rsidP="00091390">
            <w:pPr>
              <w:pStyle w:val="CETBodytext"/>
              <w:ind w:right="-1"/>
              <w:jc w:val="center"/>
              <w:rPr>
                <w:rFonts w:cs="Arial"/>
                <w:szCs w:val="18"/>
                <w:lang w:val="en-GB"/>
              </w:rPr>
            </w:pPr>
            <w:r>
              <w:rPr>
                <w:rFonts w:cs="Arial"/>
                <w:szCs w:val="18"/>
                <w:lang w:val="en-GB"/>
              </w:rPr>
              <w:t>4</w:t>
            </w:r>
          </w:p>
        </w:tc>
      </w:tr>
      <w:tr w:rsidR="00091390" w:rsidRPr="00B57B36" w14:paraId="0F703954" w14:textId="77777777" w:rsidTr="00091390">
        <w:trPr>
          <w:trHeight w:val="278"/>
        </w:trPr>
        <w:tc>
          <w:tcPr>
            <w:tcW w:w="0" w:type="auto"/>
            <w:tcBorders>
              <w:top w:val="single" w:sz="12" w:space="0" w:color="008000"/>
              <w:bottom w:val="single" w:sz="6" w:space="0" w:color="008000"/>
            </w:tcBorders>
            <w:shd w:val="clear" w:color="auto" w:fill="FFFFFF"/>
          </w:tcPr>
          <w:p w14:paraId="33396AA9" w14:textId="2856F594" w:rsidR="00744254" w:rsidRPr="00B57B36" w:rsidRDefault="00744254" w:rsidP="00EA1D9F">
            <w:pPr>
              <w:pStyle w:val="CETBodytext"/>
              <w:rPr>
                <w:lang w:val="en-GB"/>
              </w:rPr>
            </w:pPr>
            <w:r>
              <w:rPr>
                <w:lang w:val="en-GB"/>
              </w:rPr>
              <w:t>Variable</w:t>
            </w:r>
          </w:p>
        </w:tc>
        <w:tc>
          <w:tcPr>
            <w:tcW w:w="0" w:type="auto"/>
            <w:tcBorders>
              <w:top w:val="single" w:sz="12" w:space="0" w:color="008000"/>
              <w:bottom w:val="single" w:sz="6" w:space="0" w:color="008000"/>
            </w:tcBorders>
            <w:shd w:val="clear" w:color="auto" w:fill="FFFFFF"/>
          </w:tcPr>
          <w:p w14:paraId="3CBD9B14" w14:textId="2B180875" w:rsidR="00744254" w:rsidRPr="00B57B36" w:rsidRDefault="00744254" w:rsidP="00EA1D9F">
            <w:pPr>
              <w:pStyle w:val="CETBodytext"/>
              <w:rPr>
                <w:lang w:val="en-GB"/>
              </w:rPr>
            </w:pPr>
          </w:p>
        </w:tc>
        <w:tc>
          <w:tcPr>
            <w:tcW w:w="0" w:type="auto"/>
            <w:tcBorders>
              <w:top w:val="single" w:sz="12" w:space="0" w:color="008000"/>
              <w:bottom w:val="single" w:sz="6" w:space="0" w:color="008000"/>
            </w:tcBorders>
            <w:shd w:val="clear" w:color="auto" w:fill="FFFFFF"/>
          </w:tcPr>
          <w:p w14:paraId="50F332E5" w14:textId="5409343D" w:rsidR="00744254" w:rsidRPr="00B57B36" w:rsidRDefault="00744254" w:rsidP="00EA1D9F">
            <w:pPr>
              <w:pStyle w:val="CETBodytext"/>
              <w:rPr>
                <w:lang w:val="en-GB"/>
              </w:rPr>
            </w:pPr>
          </w:p>
        </w:tc>
        <w:tc>
          <w:tcPr>
            <w:tcW w:w="0" w:type="auto"/>
            <w:tcBorders>
              <w:top w:val="single" w:sz="12" w:space="0" w:color="008000"/>
              <w:bottom w:val="single" w:sz="6" w:space="0" w:color="008000"/>
            </w:tcBorders>
            <w:shd w:val="clear" w:color="auto" w:fill="FFFFFF"/>
          </w:tcPr>
          <w:p w14:paraId="1CF452DC" w14:textId="77777777" w:rsidR="00744254" w:rsidRPr="00B57B36" w:rsidRDefault="00744254" w:rsidP="00EA1D9F">
            <w:pPr>
              <w:pStyle w:val="CETBodytext"/>
              <w:ind w:right="-1"/>
              <w:rPr>
                <w:rFonts w:cs="Arial"/>
                <w:szCs w:val="18"/>
                <w:lang w:val="en-GB"/>
              </w:rPr>
            </w:pPr>
          </w:p>
        </w:tc>
        <w:tc>
          <w:tcPr>
            <w:tcW w:w="0" w:type="auto"/>
            <w:tcBorders>
              <w:top w:val="single" w:sz="12" w:space="0" w:color="008000"/>
              <w:bottom w:val="single" w:sz="6" w:space="0" w:color="008000"/>
            </w:tcBorders>
            <w:shd w:val="clear" w:color="auto" w:fill="FFFFFF"/>
          </w:tcPr>
          <w:p w14:paraId="641B8954" w14:textId="77777777" w:rsidR="00744254" w:rsidRPr="00B57B36" w:rsidRDefault="00744254" w:rsidP="00EA1D9F">
            <w:pPr>
              <w:pStyle w:val="CETBodytext"/>
              <w:ind w:right="-1"/>
              <w:rPr>
                <w:rFonts w:cs="Arial"/>
                <w:szCs w:val="18"/>
                <w:lang w:val="en-GB"/>
              </w:rPr>
            </w:pPr>
          </w:p>
        </w:tc>
      </w:tr>
      <w:tr w:rsidR="00744254" w:rsidRPr="00B57B36" w14:paraId="4F697143" w14:textId="77777777" w:rsidTr="00091390">
        <w:trPr>
          <w:trHeight w:val="278"/>
        </w:trPr>
        <w:tc>
          <w:tcPr>
            <w:tcW w:w="0" w:type="auto"/>
            <w:shd w:val="clear" w:color="auto" w:fill="FFFFFF"/>
          </w:tcPr>
          <w:p w14:paraId="4237E0C6" w14:textId="4C0659CE" w:rsidR="00744254" w:rsidRPr="00B57B36" w:rsidRDefault="00744254" w:rsidP="00EA1D9F">
            <w:pPr>
              <w:pStyle w:val="CETBodytext"/>
              <w:rPr>
                <w:lang w:val="en-GB"/>
              </w:rPr>
            </w:pPr>
            <w:r>
              <w:rPr>
                <w:lang w:val="en-GB"/>
              </w:rPr>
              <w:t>Oil Volume (</w:t>
            </w:r>
            <w:proofErr w:type="spellStart"/>
            <w:r>
              <w:rPr>
                <w:lang w:val="en-GB"/>
              </w:rPr>
              <w:t>stb</w:t>
            </w:r>
            <w:proofErr w:type="spellEnd"/>
            <w:r>
              <w:rPr>
                <w:lang w:val="en-GB"/>
              </w:rPr>
              <w:t>)</w:t>
            </w:r>
          </w:p>
        </w:tc>
        <w:tc>
          <w:tcPr>
            <w:tcW w:w="0" w:type="auto"/>
            <w:shd w:val="clear" w:color="auto" w:fill="FFFFFF"/>
            <w:vAlign w:val="center"/>
          </w:tcPr>
          <w:p w14:paraId="74B6EC6F" w14:textId="6C474B4F" w:rsidR="00744254" w:rsidRPr="00B57B36" w:rsidRDefault="00744254" w:rsidP="00744254">
            <w:pPr>
              <w:pStyle w:val="CETBodytext"/>
              <w:jc w:val="center"/>
              <w:rPr>
                <w:lang w:val="en-GB"/>
              </w:rPr>
            </w:pPr>
            <w:r>
              <w:rPr>
                <w:lang w:val="en-GB"/>
              </w:rPr>
              <w:t>11%</w:t>
            </w:r>
          </w:p>
        </w:tc>
        <w:tc>
          <w:tcPr>
            <w:tcW w:w="0" w:type="auto"/>
            <w:shd w:val="clear" w:color="auto" w:fill="FFFFFF"/>
            <w:vAlign w:val="center"/>
          </w:tcPr>
          <w:p w14:paraId="28995CBB" w14:textId="6B4D4912" w:rsidR="00744254" w:rsidRPr="00B57B36" w:rsidRDefault="00744254" w:rsidP="00744254">
            <w:pPr>
              <w:pStyle w:val="CETBodytext"/>
              <w:jc w:val="center"/>
              <w:rPr>
                <w:lang w:val="en-GB"/>
              </w:rPr>
            </w:pPr>
            <w:r>
              <w:rPr>
                <w:lang w:val="en-GB"/>
              </w:rPr>
              <w:t>23%</w:t>
            </w:r>
          </w:p>
        </w:tc>
        <w:tc>
          <w:tcPr>
            <w:tcW w:w="0" w:type="auto"/>
            <w:shd w:val="clear" w:color="auto" w:fill="FFFFFF"/>
            <w:vAlign w:val="center"/>
          </w:tcPr>
          <w:p w14:paraId="1E8735E5" w14:textId="09BF8711" w:rsidR="00744254" w:rsidRPr="00B57B36" w:rsidRDefault="00744254" w:rsidP="00744254">
            <w:pPr>
              <w:pStyle w:val="CETBodytext"/>
              <w:ind w:right="-1"/>
              <w:jc w:val="center"/>
              <w:rPr>
                <w:rFonts w:cs="Arial"/>
                <w:szCs w:val="18"/>
                <w:lang w:val="en-GB"/>
              </w:rPr>
            </w:pPr>
            <w:r>
              <w:rPr>
                <w:rFonts w:cs="Arial"/>
                <w:szCs w:val="18"/>
                <w:lang w:val="en-GB"/>
              </w:rPr>
              <w:t>6%</w:t>
            </w:r>
          </w:p>
        </w:tc>
        <w:tc>
          <w:tcPr>
            <w:tcW w:w="0" w:type="auto"/>
            <w:shd w:val="clear" w:color="auto" w:fill="FFFFFF"/>
            <w:vAlign w:val="center"/>
          </w:tcPr>
          <w:p w14:paraId="442B625D" w14:textId="06FC2955" w:rsidR="00744254" w:rsidRPr="00B57B36" w:rsidRDefault="00744254" w:rsidP="00744254">
            <w:pPr>
              <w:pStyle w:val="CETBodytext"/>
              <w:ind w:right="-1"/>
              <w:jc w:val="center"/>
              <w:rPr>
                <w:rFonts w:cs="Arial"/>
                <w:szCs w:val="18"/>
                <w:lang w:val="en-GB"/>
              </w:rPr>
            </w:pPr>
            <w:r>
              <w:rPr>
                <w:rFonts w:cs="Arial"/>
                <w:szCs w:val="18"/>
                <w:lang w:val="en-GB"/>
              </w:rPr>
              <w:t>12%</w:t>
            </w:r>
          </w:p>
        </w:tc>
      </w:tr>
      <w:tr w:rsidR="00091390" w:rsidRPr="00B57B36" w14:paraId="10B4F652" w14:textId="77777777" w:rsidTr="00091390">
        <w:trPr>
          <w:trHeight w:val="278"/>
        </w:trPr>
        <w:tc>
          <w:tcPr>
            <w:tcW w:w="0" w:type="auto"/>
            <w:shd w:val="clear" w:color="auto" w:fill="FFFFFF"/>
          </w:tcPr>
          <w:p w14:paraId="5F540EE0" w14:textId="15C60486" w:rsidR="00744254" w:rsidRPr="00B57B36" w:rsidRDefault="00744254" w:rsidP="00EA1D9F">
            <w:pPr>
              <w:pStyle w:val="CETBodytext"/>
              <w:rPr>
                <w:lang w:val="en-GB"/>
              </w:rPr>
            </w:pPr>
            <w:r>
              <w:rPr>
                <w:lang w:val="en-GB"/>
              </w:rPr>
              <w:t>Gas Volume (</w:t>
            </w:r>
            <w:proofErr w:type="spellStart"/>
            <w:r>
              <w:rPr>
                <w:lang w:val="en-GB"/>
              </w:rPr>
              <w:t>MMscf</w:t>
            </w:r>
            <w:proofErr w:type="spellEnd"/>
            <w:r>
              <w:rPr>
                <w:lang w:val="en-GB"/>
              </w:rPr>
              <w:t>)</w:t>
            </w:r>
          </w:p>
        </w:tc>
        <w:tc>
          <w:tcPr>
            <w:tcW w:w="0" w:type="auto"/>
            <w:shd w:val="clear" w:color="auto" w:fill="FFFFFF"/>
            <w:vAlign w:val="center"/>
          </w:tcPr>
          <w:p w14:paraId="36CB8C87" w14:textId="58155BD4" w:rsidR="00744254" w:rsidRPr="00B57B36" w:rsidRDefault="00744254" w:rsidP="00744254">
            <w:pPr>
              <w:pStyle w:val="CETBodytext"/>
              <w:jc w:val="center"/>
              <w:rPr>
                <w:lang w:val="en-GB"/>
              </w:rPr>
            </w:pPr>
            <w:r>
              <w:rPr>
                <w:lang w:val="en-GB"/>
              </w:rPr>
              <w:t>11%</w:t>
            </w:r>
          </w:p>
        </w:tc>
        <w:tc>
          <w:tcPr>
            <w:tcW w:w="0" w:type="auto"/>
            <w:shd w:val="clear" w:color="auto" w:fill="FFFFFF"/>
            <w:vAlign w:val="center"/>
          </w:tcPr>
          <w:p w14:paraId="39DAF920" w14:textId="4670BC2A" w:rsidR="00744254" w:rsidRPr="00B57B36" w:rsidRDefault="00744254" w:rsidP="00744254">
            <w:pPr>
              <w:pStyle w:val="CETBodytext"/>
              <w:jc w:val="center"/>
              <w:rPr>
                <w:lang w:val="en-GB"/>
              </w:rPr>
            </w:pPr>
            <w:r>
              <w:rPr>
                <w:lang w:val="en-GB"/>
              </w:rPr>
              <w:t>4%</w:t>
            </w:r>
          </w:p>
        </w:tc>
        <w:tc>
          <w:tcPr>
            <w:tcW w:w="0" w:type="auto"/>
            <w:shd w:val="clear" w:color="auto" w:fill="FFFFFF"/>
            <w:vAlign w:val="center"/>
          </w:tcPr>
          <w:p w14:paraId="2094118D" w14:textId="6DEF8387" w:rsidR="00744254" w:rsidRPr="00B57B36" w:rsidRDefault="00744254" w:rsidP="00744254">
            <w:pPr>
              <w:pStyle w:val="CETBodytext"/>
              <w:ind w:right="-1"/>
              <w:jc w:val="center"/>
              <w:rPr>
                <w:rFonts w:cs="Arial"/>
                <w:szCs w:val="18"/>
                <w:lang w:val="en-GB"/>
              </w:rPr>
            </w:pPr>
            <w:r>
              <w:rPr>
                <w:rFonts w:cs="Arial"/>
                <w:szCs w:val="18"/>
                <w:lang w:val="en-GB"/>
              </w:rPr>
              <w:t>46%</w:t>
            </w:r>
          </w:p>
        </w:tc>
        <w:tc>
          <w:tcPr>
            <w:tcW w:w="0" w:type="auto"/>
            <w:shd w:val="clear" w:color="auto" w:fill="FFFFFF"/>
            <w:vAlign w:val="center"/>
          </w:tcPr>
          <w:p w14:paraId="6B72084A" w14:textId="1895BDF1" w:rsidR="00744254" w:rsidRPr="00B57B36" w:rsidRDefault="00744254" w:rsidP="00744254">
            <w:pPr>
              <w:pStyle w:val="CETBodytext"/>
              <w:ind w:right="-1"/>
              <w:jc w:val="center"/>
              <w:rPr>
                <w:rFonts w:cs="Arial"/>
                <w:szCs w:val="18"/>
                <w:lang w:val="en-GB"/>
              </w:rPr>
            </w:pPr>
            <w:r>
              <w:rPr>
                <w:rFonts w:cs="Arial"/>
                <w:szCs w:val="18"/>
                <w:lang w:val="en-GB"/>
              </w:rPr>
              <w:t>1%</w:t>
            </w:r>
          </w:p>
        </w:tc>
      </w:tr>
      <w:tr w:rsidR="00091390" w:rsidRPr="00B57B36" w14:paraId="29C6EF07" w14:textId="77777777" w:rsidTr="00091390">
        <w:trPr>
          <w:trHeight w:val="278"/>
        </w:trPr>
        <w:tc>
          <w:tcPr>
            <w:tcW w:w="0" w:type="auto"/>
            <w:shd w:val="clear" w:color="auto" w:fill="FFFFFF"/>
          </w:tcPr>
          <w:p w14:paraId="095A6FF3" w14:textId="26E11A63" w:rsidR="00744254" w:rsidRPr="00B57B36" w:rsidRDefault="00744254" w:rsidP="00EA1D9F">
            <w:pPr>
              <w:pStyle w:val="CETBodytext"/>
              <w:ind w:right="-1"/>
              <w:rPr>
                <w:rFonts w:cs="Arial"/>
                <w:szCs w:val="18"/>
                <w:lang w:val="en-GB"/>
              </w:rPr>
            </w:pPr>
            <w:r>
              <w:rPr>
                <w:rFonts w:cs="Arial"/>
                <w:szCs w:val="18"/>
                <w:lang w:val="en-GB"/>
              </w:rPr>
              <w:t xml:space="preserve">Water Volume (psi(a)) </w:t>
            </w:r>
          </w:p>
        </w:tc>
        <w:tc>
          <w:tcPr>
            <w:tcW w:w="0" w:type="auto"/>
            <w:shd w:val="clear" w:color="auto" w:fill="FFFFFF"/>
            <w:vAlign w:val="center"/>
          </w:tcPr>
          <w:p w14:paraId="6D856DAE" w14:textId="1D7FA7E2" w:rsidR="00744254" w:rsidRPr="00B57B36" w:rsidRDefault="00744254" w:rsidP="00744254">
            <w:pPr>
              <w:pStyle w:val="CETBodytext"/>
              <w:ind w:right="-1"/>
              <w:jc w:val="center"/>
              <w:rPr>
                <w:rFonts w:cs="Arial"/>
                <w:szCs w:val="18"/>
                <w:lang w:val="en-GB"/>
              </w:rPr>
            </w:pPr>
            <w:r>
              <w:rPr>
                <w:rFonts w:cs="Arial"/>
                <w:szCs w:val="18"/>
                <w:lang w:val="en-GB"/>
              </w:rPr>
              <w:t>4%</w:t>
            </w:r>
          </w:p>
        </w:tc>
        <w:tc>
          <w:tcPr>
            <w:tcW w:w="0" w:type="auto"/>
            <w:shd w:val="clear" w:color="auto" w:fill="FFFFFF"/>
            <w:vAlign w:val="center"/>
          </w:tcPr>
          <w:p w14:paraId="32CD9317" w14:textId="710B568A" w:rsidR="00744254" w:rsidRPr="00B57B36" w:rsidRDefault="00744254" w:rsidP="00744254">
            <w:pPr>
              <w:pStyle w:val="CETBodytext"/>
              <w:ind w:right="-1"/>
              <w:jc w:val="center"/>
              <w:rPr>
                <w:rFonts w:cs="Arial"/>
                <w:szCs w:val="18"/>
                <w:lang w:val="en-GB"/>
              </w:rPr>
            </w:pPr>
            <w:r>
              <w:rPr>
                <w:rFonts w:cs="Arial"/>
                <w:szCs w:val="18"/>
                <w:lang w:val="en-GB"/>
              </w:rPr>
              <w:t>35%</w:t>
            </w:r>
          </w:p>
        </w:tc>
        <w:tc>
          <w:tcPr>
            <w:tcW w:w="0" w:type="auto"/>
            <w:shd w:val="clear" w:color="auto" w:fill="FFFFFF"/>
            <w:vAlign w:val="center"/>
          </w:tcPr>
          <w:p w14:paraId="13909BF8" w14:textId="1ED06B84" w:rsidR="00744254" w:rsidRPr="00B57B36" w:rsidRDefault="00744254" w:rsidP="00744254">
            <w:pPr>
              <w:pStyle w:val="CETBodytext"/>
              <w:ind w:right="-1"/>
              <w:jc w:val="center"/>
              <w:rPr>
                <w:rFonts w:cs="Arial"/>
                <w:szCs w:val="18"/>
                <w:lang w:val="en-GB"/>
              </w:rPr>
            </w:pPr>
            <w:r>
              <w:rPr>
                <w:rFonts w:cs="Arial"/>
                <w:szCs w:val="18"/>
                <w:lang w:val="en-GB"/>
              </w:rPr>
              <w:t>15%</w:t>
            </w:r>
          </w:p>
        </w:tc>
        <w:tc>
          <w:tcPr>
            <w:tcW w:w="0" w:type="auto"/>
            <w:shd w:val="clear" w:color="auto" w:fill="FFFFFF"/>
            <w:vAlign w:val="center"/>
          </w:tcPr>
          <w:p w14:paraId="2DBC3EEE" w14:textId="03A984FD" w:rsidR="00744254" w:rsidRPr="00B57B36" w:rsidRDefault="00744254" w:rsidP="00744254">
            <w:pPr>
              <w:pStyle w:val="CETBodytext"/>
              <w:ind w:right="-1"/>
              <w:jc w:val="center"/>
              <w:rPr>
                <w:rFonts w:cs="Arial"/>
                <w:szCs w:val="18"/>
                <w:lang w:val="en-GB"/>
              </w:rPr>
            </w:pPr>
            <w:r>
              <w:rPr>
                <w:rFonts w:cs="Arial"/>
                <w:szCs w:val="18"/>
                <w:lang w:val="en-GB"/>
              </w:rPr>
              <w:t>25</w:t>
            </w:r>
            <w:r w:rsidR="00091390">
              <w:rPr>
                <w:rFonts w:cs="Arial"/>
                <w:szCs w:val="18"/>
                <w:lang w:val="en-GB"/>
              </w:rPr>
              <w:t>%</w:t>
            </w:r>
          </w:p>
        </w:tc>
      </w:tr>
      <w:tr w:rsidR="00744254" w:rsidRPr="00B57B36" w14:paraId="0B3F9740" w14:textId="77777777" w:rsidTr="00091390">
        <w:trPr>
          <w:trHeight w:val="278"/>
        </w:trPr>
        <w:tc>
          <w:tcPr>
            <w:tcW w:w="0" w:type="auto"/>
            <w:shd w:val="clear" w:color="auto" w:fill="FFFFFF"/>
          </w:tcPr>
          <w:p w14:paraId="6E36E9C8" w14:textId="1DB00036" w:rsidR="00744254" w:rsidRDefault="00744254" w:rsidP="00EA1D9F">
            <w:pPr>
              <w:pStyle w:val="CETBodytext"/>
              <w:ind w:right="-1"/>
              <w:rPr>
                <w:rFonts w:cs="Arial"/>
                <w:szCs w:val="18"/>
                <w:lang w:val="en-GB"/>
              </w:rPr>
            </w:pPr>
            <w:r>
              <w:rPr>
                <w:rFonts w:cs="Arial"/>
                <w:szCs w:val="18"/>
                <w:lang w:val="en-GB"/>
              </w:rPr>
              <w:t>Casing Pressure (psi(a))</w:t>
            </w:r>
          </w:p>
        </w:tc>
        <w:tc>
          <w:tcPr>
            <w:tcW w:w="0" w:type="auto"/>
            <w:shd w:val="clear" w:color="auto" w:fill="FFFFFF"/>
            <w:vAlign w:val="center"/>
          </w:tcPr>
          <w:p w14:paraId="4BB38E20" w14:textId="6C25CE44" w:rsidR="00744254" w:rsidRDefault="00744254" w:rsidP="00744254">
            <w:pPr>
              <w:pStyle w:val="CETBodytext"/>
              <w:ind w:right="-1"/>
              <w:jc w:val="center"/>
              <w:rPr>
                <w:rFonts w:cs="Arial"/>
                <w:szCs w:val="18"/>
                <w:lang w:val="en-GB"/>
              </w:rPr>
            </w:pPr>
            <w:r>
              <w:rPr>
                <w:rFonts w:cs="Arial"/>
                <w:szCs w:val="18"/>
                <w:lang w:val="en-GB"/>
              </w:rPr>
              <w:t>18%</w:t>
            </w:r>
          </w:p>
        </w:tc>
        <w:tc>
          <w:tcPr>
            <w:tcW w:w="0" w:type="auto"/>
            <w:shd w:val="clear" w:color="auto" w:fill="FFFFFF"/>
            <w:vAlign w:val="center"/>
          </w:tcPr>
          <w:p w14:paraId="4260395E" w14:textId="66C05833" w:rsidR="00744254" w:rsidRDefault="00744254" w:rsidP="00744254">
            <w:pPr>
              <w:pStyle w:val="CETBodytext"/>
              <w:ind w:right="-1"/>
              <w:jc w:val="center"/>
              <w:rPr>
                <w:rFonts w:cs="Arial"/>
                <w:szCs w:val="18"/>
                <w:lang w:val="en-GB"/>
              </w:rPr>
            </w:pPr>
            <w:r>
              <w:rPr>
                <w:rFonts w:cs="Arial"/>
                <w:szCs w:val="18"/>
                <w:lang w:val="en-GB"/>
              </w:rPr>
              <w:t>5%</w:t>
            </w:r>
          </w:p>
        </w:tc>
        <w:tc>
          <w:tcPr>
            <w:tcW w:w="0" w:type="auto"/>
            <w:shd w:val="clear" w:color="auto" w:fill="FFFFFF"/>
            <w:vAlign w:val="center"/>
          </w:tcPr>
          <w:p w14:paraId="00859987" w14:textId="579333DA" w:rsidR="00744254" w:rsidRDefault="00744254" w:rsidP="00744254">
            <w:pPr>
              <w:pStyle w:val="CETBodytext"/>
              <w:ind w:right="-1"/>
              <w:jc w:val="center"/>
              <w:rPr>
                <w:rFonts w:cs="Arial"/>
                <w:szCs w:val="18"/>
                <w:lang w:val="en-GB"/>
              </w:rPr>
            </w:pPr>
            <w:r>
              <w:rPr>
                <w:rFonts w:cs="Arial"/>
                <w:szCs w:val="18"/>
                <w:lang w:val="en-GB"/>
              </w:rPr>
              <w:t>4%</w:t>
            </w:r>
          </w:p>
        </w:tc>
        <w:tc>
          <w:tcPr>
            <w:tcW w:w="0" w:type="auto"/>
            <w:shd w:val="clear" w:color="auto" w:fill="FFFFFF"/>
            <w:vAlign w:val="center"/>
          </w:tcPr>
          <w:p w14:paraId="205F835F" w14:textId="01252C38" w:rsidR="00744254" w:rsidRDefault="00744254" w:rsidP="00744254">
            <w:pPr>
              <w:pStyle w:val="CETBodytext"/>
              <w:ind w:right="-1"/>
              <w:jc w:val="center"/>
              <w:rPr>
                <w:rFonts w:cs="Arial"/>
                <w:szCs w:val="18"/>
                <w:lang w:val="en-GB"/>
              </w:rPr>
            </w:pPr>
            <w:r>
              <w:rPr>
                <w:rFonts w:cs="Arial"/>
                <w:szCs w:val="18"/>
                <w:lang w:val="en-GB"/>
              </w:rPr>
              <w:t>49%</w:t>
            </w:r>
          </w:p>
        </w:tc>
      </w:tr>
      <w:tr w:rsidR="00744254" w:rsidRPr="00B57B36" w14:paraId="14E073B8" w14:textId="77777777" w:rsidTr="00091390">
        <w:trPr>
          <w:trHeight w:val="278"/>
        </w:trPr>
        <w:tc>
          <w:tcPr>
            <w:tcW w:w="0" w:type="auto"/>
            <w:shd w:val="clear" w:color="auto" w:fill="FFFFFF"/>
          </w:tcPr>
          <w:p w14:paraId="37AACB72" w14:textId="1CFEDD07" w:rsidR="00744254" w:rsidRDefault="00744254" w:rsidP="00EA1D9F">
            <w:pPr>
              <w:pStyle w:val="CETBodytext"/>
              <w:ind w:right="-1"/>
              <w:rPr>
                <w:rFonts w:cs="Arial"/>
                <w:szCs w:val="18"/>
                <w:lang w:val="en-GB"/>
              </w:rPr>
            </w:pPr>
            <w:r>
              <w:rPr>
                <w:rFonts w:cs="Arial"/>
                <w:szCs w:val="18"/>
                <w:lang w:val="en-GB"/>
              </w:rPr>
              <w:t>Tubing Pressure (psi(a))</w:t>
            </w:r>
          </w:p>
        </w:tc>
        <w:tc>
          <w:tcPr>
            <w:tcW w:w="0" w:type="auto"/>
            <w:shd w:val="clear" w:color="auto" w:fill="FFFFFF"/>
            <w:vAlign w:val="center"/>
          </w:tcPr>
          <w:p w14:paraId="2E4BAEDB" w14:textId="404CC10E" w:rsidR="00744254" w:rsidRDefault="00744254" w:rsidP="00744254">
            <w:pPr>
              <w:pStyle w:val="CETBodytext"/>
              <w:ind w:right="-1"/>
              <w:jc w:val="center"/>
              <w:rPr>
                <w:rFonts w:cs="Arial"/>
                <w:szCs w:val="18"/>
                <w:lang w:val="en-GB"/>
              </w:rPr>
            </w:pPr>
            <w:r>
              <w:rPr>
                <w:rFonts w:cs="Arial"/>
                <w:szCs w:val="18"/>
                <w:lang w:val="en-GB"/>
              </w:rPr>
              <w:t>9%</w:t>
            </w:r>
          </w:p>
        </w:tc>
        <w:tc>
          <w:tcPr>
            <w:tcW w:w="0" w:type="auto"/>
            <w:shd w:val="clear" w:color="auto" w:fill="FFFFFF"/>
            <w:vAlign w:val="center"/>
          </w:tcPr>
          <w:p w14:paraId="287FC441" w14:textId="5E9A83CF" w:rsidR="00744254" w:rsidRDefault="00744254" w:rsidP="00744254">
            <w:pPr>
              <w:pStyle w:val="CETBodytext"/>
              <w:ind w:right="-1"/>
              <w:jc w:val="center"/>
              <w:rPr>
                <w:rFonts w:cs="Arial"/>
                <w:szCs w:val="18"/>
                <w:lang w:val="en-GB"/>
              </w:rPr>
            </w:pPr>
            <w:r>
              <w:rPr>
                <w:rFonts w:cs="Arial"/>
                <w:szCs w:val="18"/>
                <w:lang w:val="en-GB"/>
              </w:rPr>
              <w:t>22%</w:t>
            </w:r>
          </w:p>
        </w:tc>
        <w:tc>
          <w:tcPr>
            <w:tcW w:w="0" w:type="auto"/>
            <w:shd w:val="clear" w:color="auto" w:fill="FFFFFF"/>
            <w:vAlign w:val="center"/>
          </w:tcPr>
          <w:p w14:paraId="4898AA09" w14:textId="780E63A0" w:rsidR="00744254" w:rsidRDefault="00744254" w:rsidP="00744254">
            <w:pPr>
              <w:pStyle w:val="CETBodytext"/>
              <w:ind w:right="-1"/>
              <w:jc w:val="center"/>
              <w:rPr>
                <w:rFonts w:cs="Arial"/>
                <w:szCs w:val="18"/>
                <w:lang w:val="en-GB"/>
              </w:rPr>
            </w:pPr>
            <w:r>
              <w:rPr>
                <w:rFonts w:cs="Arial"/>
                <w:szCs w:val="18"/>
                <w:lang w:val="en-GB"/>
              </w:rPr>
              <w:t>29%</w:t>
            </w:r>
          </w:p>
        </w:tc>
        <w:tc>
          <w:tcPr>
            <w:tcW w:w="0" w:type="auto"/>
            <w:shd w:val="clear" w:color="auto" w:fill="FFFFFF"/>
            <w:vAlign w:val="center"/>
          </w:tcPr>
          <w:p w14:paraId="23BFEC7E" w14:textId="330FC063" w:rsidR="00744254" w:rsidRDefault="00744254" w:rsidP="00744254">
            <w:pPr>
              <w:pStyle w:val="CETBodytext"/>
              <w:ind w:right="-1"/>
              <w:jc w:val="center"/>
              <w:rPr>
                <w:rFonts w:cs="Arial"/>
                <w:szCs w:val="18"/>
                <w:lang w:val="en-GB"/>
              </w:rPr>
            </w:pPr>
            <w:r>
              <w:rPr>
                <w:rFonts w:cs="Arial"/>
                <w:szCs w:val="18"/>
                <w:lang w:val="en-GB"/>
              </w:rPr>
              <w:t>1%</w:t>
            </w:r>
          </w:p>
        </w:tc>
      </w:tr>
      <w:tr w:rsidR="00744254" w:rsidRPr="00B57B36" w14:paraId="408DE264" w14:textId="77777777" w:rsidTr="00091390">
        <w:trPr>
          <w:trHeight w:val="278"/>
        </w:trPr>
        <w:tc>
          <w:tcPr>
            <w:tcW w:w="0" w:type="auto"/>
            <w:shd w:val="clear" w:color="auto" w:fill="FFFFFF"/>
          </w:tcPr>
          <w:p w14:paraId="0AF40793" w14:textId="506D6E45" w:rsidR="00744254" w:rsidRDefault="00744254" w:rsidP="00EA1D9F">
            <w:pPr>
              <w:pStyle w:val="CETBodytext"/>
              <w:ind w:right="-1"/>
              <w:rPr>
                <w:rFonts w:cs="Arial"/>
                <w:szCs w:val="18"/>
                <w:lang w:val="en-GB"/>
              </w:rPr>
            </w:pPr>
            <w:r>
              <w:rPr>
                <w:rFonts w:cs="Arial"/>
                <w:szCs w:val="18"/>
                <w:lang w:val="en-GB"/>
              </w:rPr>
              <w:t>Active Pressure(psi(a))</w:t>
            </w:r>
          </w:p>
        </w:tc>
        <w:tc>
          <w:tcPr>
            <w:tcW w:w="0" w:type="auto"/>
            <w:shd w:val="clear" w:color="auto" w:fill="FFFFFF"/>
            <w:vAlign w:val="center"/>
          </w:tcPr>
          <w:p w14:paraId="4ED345E1" w14:textId="480616D2" w:rsidR="00744254" w:rsidRDefault="00744254" w:rsidP="00744254">
            <w:pPr>
              <w:pStyle w:val="CETBodytext"/>
              <w:ind w:right="-1"/>
              <w:jc w:val="center"/>
              <w:rPr>
                <w:rFonts w:cs="Arial"/>
                <w:szCs w:val="18"/>
                <w:lang w:val="en-GB"/>
              </w:rPr>
            </w:pPr>
            <w:r>
              <w:rPr>
                <w:rFonts w:cs="Arial"/>
                <w:szCs w:val="18"/>
                <w:lang w:val="en-GB"/>
              </w:rPr>
              <w:t>24%</w:t>
            </w:r>
          </w:p>
        </w:tc>
        <w:tc>
          <w:tcPr>
            <w:tcW w:w="0" w:type="auto"/>
            <w:shd w:val="clear" w:color="auto" w:fill="FFFFFF"/>
            <w:vAlign w:val="center"/>
          </w:tcPr>
          <w:p w14:paraId="1A2C9A6A" w14:textId="71E9DE44" w:rsidR="00744254" w:rsidRDefault="00744254" w:rsidP="00744254">
            <w:pPr>
              <w:pStyle w:val="CETBodytext"/>
              <w:ind w:right="-1"/>
              <w:jc w:val="center"/>
              <w:rPr>
                <w:rFonts w:cs="Arial"/>
                <w:szCs w:val="18"/>
                <w:lang w:val="en-GB"/>
              </w:rPr>
            </w:pPr>
            <w:r>
              <w:rPr>
                <w:rFonts w:cs="Arial"/>
                <w:szCs w:val="18"/>
                <w:lang w:val="en-GB"/>
              </w:rPr>
              <w:t>10%</w:t>
            </w:r>
          </w:p>
        </w:tc>
        <w:tc>
          <w:tcPr>
            <w:tcW w:w="0" w:type="auto"/>
            <w:shd w:val="clear" w:color="auto" w:fill="FFFFFF"/>
            <w:vAlign w:val="center"/>
          </w:tcPr>
          <w:p w14:paraId="3C2C8789" w14:textId="1B369984" w:rsidR="00744254" w:rsidRDefault="00744254" w:rsidP="00744254">
            <w:pPr>
              <w:pStyle w:val="CETBodytext"/>
              <w:ind w:right="-1"/>
              <w:jc w:val="center"/>
              <w:rPr>
                <w:rFonts w:cs="Arial"/>
                <w:szCs w:val="18"/>
                <w:lang w:val="en-GB"/>
              </w:rPr>
            </w:pPr>
            <w:r>
              <w:rPr>
                <w:rFonts w:cs="Arial"/>
                <w:szCs w:val="18"/>
                <w:lang w:val="en-GB"/>
              </w:rPr>
              <w:t>0%</w:t>
            </w:r>
          </w:p>
        </w:tc>
        <w:tc>
          <w:tcPr>
            <w:tcW w:w="0" w:type="auto"/>
            <w:shd w:val="clear" w:color="auto" w:fill="FFFFFF"/>
            <w:vAlign w:val="center"/>
          </w:tcPr>
          <w:p w14:paraId="135860FF" w14:textId="1E6EE192" w:rsidR="00744254" w:rsidRDefault="00744254" w:rsidP="00744254">
            <w:pPr>
              <w:pStyle w:val="CETBodytext"/>
              <w:ind w:right="-1"/>
              <w:jc w:val="center"/>
              <w:rPr>
                <w:rFonts w:cs="Arial"/>
                <w:szCs w:val="18"/>
                <w:lang w:val="en-GB"/>
              </w:rPr>
            </w:pPr>
            <w:r>
              <w:rPr>
                <w:rFonts w:cs="Arial"/>
                <w:szCs w:val="18"/>
                <w:lang w:val="en-GB"/>
              </w:rPr>
              <w:t>2%</w:t>
            </w:r>
          </w:p>
        </w:tc>
      </w:tr>
      <w:tr w:rsidR="00744254" w:rsidRPr="00B57B36" w14:paraId="258BF69F" w14:textId="77777777" w:rsidTr="00091390">
        <w:trPr>
          <w:trHeight w:val="278"/>
        </w:trPr>
        <w:tc>
          <w:tcPr>
            <w:tcW w:w="0" w:type="auto"/>
            <w:shd w:val="clear" w:color="auto" w:fill="FFFFFF"/>
          </w:tcPr>
          <w:p w14:paraId="2E643B11" w14:textId="4A58676A" w:rsidR="00744254" w:rsidRDefault="00744254" w:rsidP="00EA1D9F">
            <w:pPr>
              <w:pStyle w:val="CETBodytext"/>
              <w:ind w:right="-1"/>
              <w:rPr>
                <w:rFonts w:cs="Arial"/>
                <w:szCs w:val="18"/>
                <w:lang w:val="en-GB"/>
              </w:rPr>
            </w:pPr>
            <w:r>
              <w:rPr>
                <w:rFonts w:cs="Arial"/>
                <w:szCs w:val="18"/>
                <w:lang w:val="en-GB"/>
              </w:rPr>
              <w:t>Line pressure(psi(a))</w:t>
            </w:r>
          </w:p>
        </w:tc>
        <w:tc>
          <w:tcPr>
            <w:tcW w:w="0" w:type="auto"/>
            <w:shd w:val="clear" w:color="auto" w:fill="FFFFFF"/>
            <w:vAlign w:val="center"/>
          </w:tcPr>
          <w:p w14:paraId="563AC37B" w14:textId="723E7227" w:rsidR="00744254" w:rsidRDefault="00744254" w:rsidP="00744254">
            <w:pPr>
              <w:pStyle w:val="CETBodytext"/>
              <w:ind w:right="-1"/>
              <w:jc w:val="center"/>
              <w:rPr>
                <w:rFonts w:cs="Arial"/>
                <w:szCs w:val="18"/>
                <w:lang w:val="en-GB"/>
              </w:rPr>
            </w:pPr>
            <w:r>
              <w:rPr>
                <w:rFonts w:cs="Arial"/>
                <w:szCs w:val="18"/>
                <w:lang w:val="en-GB"/>
              </w:rPr>
              <w:t>23%</w:t>
            </w:r>
          </w:p>
        </w:tc>
        <w:tc>
          <w:tcPr>
            <w:tcW w:w="0" w:type="auto"/>
            <w:shd w:val="clear" w:color="auto" w:fill="FFFFFF"/>
            <w:vAlign w:val="center"/>
          </w:tcPr>
          <w:p w14:paraId="276A2A64" w14:textId="1874456B" w:rsidR="00744254" w:rsidRDefault="00744254" w:rsidP="00744254">
            <w:pPr>
              <w:pStyle w:val="CETBodytext"/>
              <w:ind w:right="-1"/>
              <w:jc w:val="center"/>
              <w:rPr>
                <w:rFonts w:cs="Arial"/>
                <w:szCs w:val="18"/>
                <w:lang w:val="en-GB"/>
              </w:rPr>
            </w:pPr>
            <w:r>
              <w:rPr>
                <w:rFonts w:cs="Arial"/>
                <w:szCs w:val="18"/>
                <w:lang w:val="en-GB"/>
              </w:rPr>
              <w:t>1%</w:t>
            </w:r>
          </w:p>
        </w:tc>
        <w:tc>
          <w:tcPr>
            <w:tcW w:w="0" w:type="auto"/>
            <w:shd w:val="clear" w:color="auto" w:fill="FFFFFF"/>
            <w:vAlign w:val="center"/>
          </w:tcPr>
          <w:p w14:paraId="2EE8F69A" w14:textId="3C910DCF" w:rsidR="00744254" w:rsidRDefault="00744254" w:rsidP="00744254">
            <w:pPr>
              <w:pStyle w:val="CETBodytext"/>
              <w:ind w:right="-1"/>
              <w:jc w:val="center"/>
              <w:rPr>
                <w:rFonts w:cs="Arial"/>
                <w:szCs w:val="18"/>
                <w:lang w:val="en-GB"/>
              </w:rPr>
            </w:pPr>
            <w:r>
              <w:rPr>
                <w:rFonts w:cs="Arial"/>
                <w:szCs w:val="18"/>
                <w:lang w:val="en-GB"/>
              </w:rPr>
              <w:t>0%</w:t>
            </w:r>
          </w:p>
        </w:tc>
        <w:tc>
          <w:tcPr>
            <w:tcW w:w="0" w:type="auto"/>
            <w:shd w:val="clear" w:color="auto" w:fill="FFFFFF"/>
            <w:vAlign w:val="center"/>
          </w:tcPr>
          <w:p w14:paraId="3A49353B" w14:textId="5269C244" w:rsidR="00744254" w:rsidRDefault="00744254" w:rsidP="00744254">
            <w:pPr>
              <w:pStyle w:val="CETBodytext"/>
              <w:ind w:right="-1"/>
              <w:jc w:val="center"/>
              <w:rPr>
                <w:rFonts w:cs="Arial"/>
                <w:szCs w:val="18"/>
                <w:lang w:val="en-GB"/>
              </w:rPr>
            </w:pPr>
            <w:r>
              <w:rPr>
                <w:rFonts w:cs="Arial"/>
                <w:szCs w:val="18"/>
                <w:lang w:val="en-GB"/>
              </w:rPr>
              <w:t>9%</w:t>
            </w:r>
          </w:p>
        </w:tc>
      </w:tr>
    </w:tbl>
    <w:p w14:paraId="200319FD" w14:textId="77777777" w:rsidR="00FC7BED" w:rsidRPr="009E19E1" w:rsidRDefault="00FC7BED" w:rsidP="009E19E1">
      <w:pPr>
        <w:pStyle w:val="CETBodytext"/>
        <w:rPr>
          <w:lang w:val="en-GB"/>
        </w:rPr>
      </w:pPr>
    </w:p>
    <w:p w14:paraId="0DC4DC96" w14:textId="77777777" w:rsidR="009E19E1" w:rsidRDefault="009E19E1" w:rsidP="009E19E1">
      <w:pPr>
        <w:pStyle w:val="CETheadingx"/>
      </w:pPr>
      <w:r>
        <w:t>Models training and testing</w:t>
      </w:r>
    </w:p>
    <w:p w14:paraId="07164412" w14:textId="3FBEB656" w:rsidR="009E19E1" w:rsidRPr="009E19E1" w:rsidRDefault="009E19E1" w:rsidP="009E19E1">
      <w:pPr>
        <w:tabs>
          <w:tab w:val="clear" w:pos="7100"/>
        </w:tabs>
        <w:spacing w:line="240" w:lineRule="auto"/>
        <w:rPr>
          <w:rFonts w:ascii="Times New Roman" w:hAnsi="Times New Roman"/>
          <w:sz w:val="24"/>
          <w:szCs w:val="24"/>
          <w:lang w:val="en-US" w:eastAsia="pt-BR"/>
        </w:rPr>
      </w:pPr>
      <w:r w:rsidRPr="009E19E1">
        <w:rPr>
          <w:rFonts w:cs="Arial"/>
          <w:color w:val="000000"/>
          <w:szCs w:val="18"/>
          <w:lang w:val="en-US" w:eastAsia="pt-BR"/>
        </w:rPr>
        <w:t xml:space="preserve">Decision Tree regression models present a strong capability of identifying nonlinear correlation between variables. Since we observed small impact of Oil Volume variable among the dataset, a small contribution of this variable this variable’s principal components and this is one of the variables with large amount of 0 </w:t>
      </w:r>
      <w:proofErr w:type="spellStart"/>
      <w:r w:rsidRPr="009E19E1">
        <w:rPr>
          <w:rFonts w:cs="Arial"/>
          <w:color w:val="000000"/>
          <w:szCs w:val="18"/>
          <w:lang w:val="en-US" w:eastAsia="pt-BR"/>
        </w:rPr>
        <w:t>vectores</w:t>
      </w:r>
      <w:proofErr w:type="spellEnd"/>
      <w:r w:rsidRPr="009E19E1">
        <w:rPr>
          <w:rFonts w:cs="Arial"/>
          <w:color w:val="000000"/>
          <w:szCs w:val="18"/>
          <w:lang w:val="en-US" w:eastAsia="pt-BR"/>
        </w:rPr>
        <w:t>, one of the main propositions of this work is to ignore “Oil Volume”, therefore the variables used for model training were: “Gas Volume”, “Water Volume”, “Casing Pressure”, “Tubing Pressure”, “Active Pressure” and “Line Pressure”. </w:t>
      </w:r>
    </w:p>
    <w:p w14:paraId="7C3E119F" w14:textId="77777777" w:rsidR="009E19E1" w:rsidRPr="009E19E1" w:rsidRDefault="009E19E1" w:rsidP="009E19E1">
      <w:pPr>
        <w:tabs>
          <w:tab w:val="clear" w:pos="7100"/>
        </w:tabs>
        <w:spacing w:line="240" w:lineRule="auto"/>
        <w:rPr>
          <w:rFonts w:ascii="Times New Roman" w:hAnsi="Times New Roman"/>
          <w:sz w:val="24"/>
          <w:szCs w:val="24"/>
          <w:lang w:val="en-US" w:eastAsia="pt-BR"/>
        </w:rPr>
      </w:pPr>
      <w:r w:rsidRPr="009E19E1">
        <w:rPr>
          <w:rFonts w:cs="Arial"/>
          <w:color w:val="000000"/>
          <w:szCs w:val="18"/>
          <w:lang w:val="en-US" w:eastAsia="pt-BR"/>
        </w:rPr>
        <w:t xml:space="preserve">The results indicated that the best predictive model for training and testing data used the combination of </w:t>
      </w:r>
      <w:proofErr w:type="spellStart"/>
      <w:r w:rsidRPr="009E19E1">
        <w:rPr>
          <w:rFonts w:cs="Arial"/>
          <w:color w:val="000000"/>
          <w:szCs w:val="18"/>
          <w:lang w:val="en-US" w:eastAsia="pt-BR"/>
        </w:rPr>
        <w:t>max_depth</w:t>
      </w:r>
      <w:proofErr w:type="spellEnd"/>
      <w:r w:rsidRPr="009E19E1">
        <w:rPr>
          <w:rFonts w:cs="Arial"/>
          <w:color w:val="000000"/>
          <w:szCs w:val="18"/>
          <w:lang w:val="en-US" w:eastAsia="pt-BR"/>
        </w:rPr>
        <w:t xml:space="preserve"> equals to 8, </w:t>
      </w:r>
      <w:proofErr w:type="spellStart"/>
      <w:r w:rsidRPr="009E19E1">
        <w:rPr>
          <w:rFonts w:cs="Arial"/>
          <w:color w:val="000000"/>
          <w:szCs w:val="18"/>
          <w:lang w:val="en-US" w:eastAsia="pt-BR"/>
        </w:rPr>
        <w:t>min_samples_leaf</w:t>
      </w:r>
      <w:proofErr w:type="spellEnd"/>
      <w:r w:rsidRPr="009E19E1">
        <w:rPr>
          <w:rFonts w:cs="Arial"/>
          <w:color w:val="000000"/>
          <w:szCs w:val="18"/>
          <w:lang w:val="en-US" w:eastAsia="pt-BR"/>
        </w:rPr>
        <w:t xml:space="preserve"> equals to 4 and </w:t>
      </w:r>
      <w:proofErr w:type="spellStart"/>
      <w:r w:rsidRPr="009E19E1">
        <w:rPr>
          <w:rFonts w:cs="Arial"/>
          <w:color w:val="000000"/>
          <w:szCs w:val="18"/>
          <w:lang w:val="en-US" w:eastAsia="pt-BR"/>
        </w:rPr>
        <w:t>min_samples_split</w:t>
      </w:r>
      <w:proofErr w:type="spellEnd"/>
      <w:r w:rsidRPr="009E19E1">
        <w:rPr>
          <w:rFonts w:cs="Arial"/>
          <w:color w:val="000000"/>
          <w:szCs w:val="18"/>
          <w:lang w:val="en-US" w:eastAsia="pt-BR"/>
        </w:rPr>
        <w:t xml:space="preserve"> equals to 10, from a combination of 135 trained models.</w:t>
      </w:r>
    </w:p>
    <w:p w14:paraId="7436EB9B" w14:textId="77777777" w:rsidR="009E19E1" w:rsidRPr="009E19E1" w:rsidRDefault="009E19E1" w:rsidP="009E19E1">
      <w:pPr>
        <w:tabs>
          <w:tab w:val="clear" w:pos="7100"/>
        </w:tabs>
        <w:spacing w:line="240" w:lineRule="auto"/>
        <w:rPr>
          <w:rFonts w:ascii="Times New Roman" w:hAnsi="Times New Roman"/>
          <w:sz w:val="24"/>
          <w:szCs w:val="24"/>
          <w:lang w:val="en-US" w:eastAsia="pt-BR"/>
        </w:rPr>
      </w:pPr>
      <w:r w:rsidRPr="009E19E1">
        <w:rPr>
          <w:rFonts w:cs="Arial"/>
          <w:color w:val="000000"/>
          <w:szCs w:val="18"/>
          <w:lang w:val="en-US" w:eastAsia="pt-BR"/>
        </w:rPr>
        <w:t xml:space="preserve">By comparing testing results against Real calculated </w:t>
      </w:r>
      <w:proofErr w:type="spellStart"/>
      <w:r w:rsidRPr="009E19E1">
        <w:rPr>
          <w:rFonts w:cs="Arial"/>
          <w:color w:val="000000"/>
          <w:szCs w:val="18"/>
          <w:lang w:val="en-US" w:eastAsia="pt-BR"/>
        </w:rPr>
        <w:t>sandface</w:t>
      </w:r>
      <w:proofErr w:type="spellEnd"/>
      <w:r w:rsidRPr="009E19E1">
        <w:rPr>
          <w:rFonts w:cs="Arial"/>
          <w:color w:val="000000"/>
          <w:szCs w:val="18"/>
          <w:lang w:val="en-US" w:eastAsia="pt-BR"/>
        </w:rPr>
        <w:t xml:space="preserve"> pressure, it was possible to reach a 4,878E-04 Mean Squared Error (MSE) with R</w:t>
      </w:r>
      <w:r w:rsidRPr="009E19E1">
        <w:rPr>
          <w:rFonts w:cs="Arial"/>
          <w:color w:val="000000"/>
          <w:sz w:val="11"/>
          <w:szCs w:val="11"/>
          <w:vertAlign w:val="superscript"/>
          <w:lang w:val="en-US" w:eastAsia="pt-BR"/>
        </w:rPr>
        <w:t>2</w:t>
      </w:r>
      <w:r w:rsidRPr="009E19E1">
        <w:rPr>
          <w:rFonts w:cs="Arial"/>
          <w:color w:val="000000"/>
          <w:szCs w:val="18"/>
          <w:lang w:val="en-US" w:eastAsia="pt-BR"/>
        </w:rPr>
        <w:t xml:space="preserve"> of 0,982. The error distribution along real and predicted values can be observed below:</w:t>
      </w:r>
    </w:p>
    <w:p w14:paraId="79F99A68" w14:textId="55DE10D2" w:rsidR="009E19E1" w:rsidRPr="009E19E1" w:rsidRDefault="009E19E1" w:rsidP="009E19E1">
      <w:pPr>
        <w:tabs>
          <w:tab w:val="clear" w:pos="7100"/>
        </w:tabs>
        <w:spacing w:line="240" w:lineRule="auto"/>
        <w:rPr>
          <w:rFonts w:ascii="Times New Roman" w:hAnsi="Times New Roman"/>
          <w:sz w:val="24"/>
          <w:szCs w:val="24"/>
          <w:lang w:val="pt-BR" w:eastAsia="pt-BR"/>
        </w:rPr>
      </w:pPr>
      <w:r w:rsidRPr="009E19E1">
        <w:rPr>
          <w:rFonts w:cs="Arial"/>
          <w:noProof/>
          <w:color w:val="000000"/>
          <w:szCs w:val="18"/>
          <w:bdr w:val="none" w:sz="0" w:space="0" w:color="auto" w:frame="1"/>
          <w:lang w:val="pt-BR" w:eastAsia="pt-BR"/>
        </w:rPr>
        <w:drawing>
          <wp:inline distT="0" distB="0" distL="0" distR="0" wp14:anchorId="4732E8B5" wp14:editId="7528A72B">
            <wp:extent cx="2895600" cy="2700053"/>
            <wp:effectExtent l="0" t="0" r="0" b="5080"/>
            <wp:docPr id="83933960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768" cy="2706737"/>
                    </a:xfrm>
                    <a:prstGeom prst="rect">
                      <a:avLst/>
                    </a:prstGeom>
                    <a:noFill/>
                    <a:ln>
                      <a:noFill/>
                    </a:ln>
                  </pic:spPr>
                </pic:pic>
              </a:graphicData>
            </a:graphic>
          </wp:inline>
        </w:drawing>
      </w:r>
    </w:p>
    <w:p w14:paraId="2B773348" w14:textId="02B79D05" w:rsidR="009E19E1" w:rsidRPr="009E19E1" w:rsidRDefault="009E19E1" w:rsidP="009E19E1">
      <w:pPr>
        <w:tabs>
          <w:tab w:val="clear" w:pos="7100"/>
        </w:tabs>
        <w:spacing w:before="240" w:after="240" w:line="240" w:lineRule="auto"/>
        <w:rPr>
          <w:rFonts w:ascii="Times New Roman" w:hAnsi="Times New Roman"/>
          <w:sz w:val="24"/>
          <w:szCs w:val="24"/>
          <w:lang w:val="en-US" w:eastAsia="pt-BR"/>
        </w:rPr>
      </w:pPr>
      <w:r w:rsidRPr="009E19E1">
        <w:rPr>
          <w:rFonts w:cs="Arial"/>
          <w:i/>
          <w:iCs/>
          <w:color w:val="000000"/>
          <w:szCs w:val="18"/>
          <w:lang w:val="en-US" w:eastAsia="pt-BR"/>
        </w:rPr>
        <w:t>Figure 2: Error distribution. Real values vs Predicted values</w:t>
      </w:r>
    </w:p>
    <w:p w14:paraId="085C5116" w14:textId="77777777" w:rsidR="009E19E1" w:rsidRDefault="009E19E1" w:rsidP="009E19E1">
      <w:pPr>
        <w:pStyle w:val="CETHeading1"/>
      </w:pPr>
      <w:r>
        <w:t>Conclusion</w:t>
      </w:r>
    </w:p>
    <w:p w14:paraId="56C95EDA" w14:textId="06AD55E9" w:rsidR="009E19E1" w:rsidRPr="009E19E1" w:rsidRDefault="009E19E1" w:rsidP="007D0E3C">
      <w:pPr>
        <w:pStyle w:val="CETHeading1"/>
        <w:numPr>
          <w:ilvl w:val="0"/>
          <w:numId w:val="0"/>
        </w:numPr>
        <w:spacing w:before="0"/>
        <w:jc w:val="both"/>
        <w:rPr>
          <w:b w:val="0"/>
          <w:bCs/>
          <w:sz w:val="18"/>
          <w:szCs w:val="18"/>
        </w:rPr>
      </w:pPr>
      <w:r w:rsidRPr="009E19E1">
        <w:rPr>
          <w:b w:val="0"/>
          <w:bCs/>
          <w:sz w:val="18"/>
          <w:szCs w:val="18"/>
        </w:rPr>
        <w:t xml:space="preserve">This survey proposed investigating the SPE RTA’s dataset and using it to forecast BHP with DT regression models. Data analysis and consecutive cleaning </w:t>
      </w:r>
      <w:proofErr w:type="gramStart"/>
      <w:r w:rsidRPr="009E19E1">
        <w:rPr>
          <w:b w:val="0"/>
          <w:bCs/>
          <w:sz w:val="18"/>
          <w:szCs w:val="18"/>
        </w:rPr>
        <w:t>was</w:t>
      </w:r>
      <w:proofErr w:type="gramEnd"/>
      <w:r w:rsidRPr="009E19E1">
        <w:rPr>
          <w:b w:val="0"/>
          <w:bCs/>
          <w:sz w:val="18"/>
          <w:szCs w:val="18"/>
        </w:rPr>
        <w:t xml:space="preserve"> performed under the dataset, with consecutive analysis of variables and model training and testing. After evaluating the dataset, it was observed that, despite the amount of data, the dataset lacks specific documentation that could prevent some assumptions when working with it. Using Spearman’s correlation, the dataset showed stronger monotonic correlations between Line Pressure and Oil Volume (-0.74), and Line Pressure and Active Pressure (0.71), as well as moderate correlations for Gas Volume and Oil Volume (-0.66), Water Volume and Oil Volume (0.65), and Line Pressure and Gas Volume (0.67). Through PCA, it was possible to determine the variables rank as “Water Volume”</w:t>
      </w:r>
      <w:proofErr w:type="gramStart"/>
      <w:r w:rsidRPr="009E19E1">
        <w:rPr>
          <w:b w:val="0"/>
          <w:bCs/>
          <w:sz w:val="18"/>
          <w:szCs w:val="18"/>
        </w:rPr>
        <w:t>&gt;”Tubing</w:t>
      </w:r>
      <w:proofErr w:type="gramEnd"/>
      <w:r w:rsidRPr="009E19E1">
        <w:rPr>
          <w:b w:val="0"/>
          <w:bCs/>
          <w:sz w:val="18"/>
          <w:szCs w:val="18"/>
        </w:rPr>
        <w:t xml:space="preserve"> Pressure”&gt;”Gas Volume”&gt;”Active Pressure”&gt;”Casing Pressure”&gt;”Oil Volume”&gt; “Line </w:t>
      </w:r>
      <w:proofErr w:type="spellStart"/>
      <w:r w:rsidRPr="009E19E1">
        <w:rPr>
          <w:b w:val="0"/>
          <w:bCs/>
          <w:sz w:val="18"/>
          <w:szCs w:val="18"/>
        </w:rPr>
        <w:t>Pressure”.The</w:t>
      </w:r>
      <w:proofErr w:type="spellEnd"/>
      <w:r w:rsidRPr="009E19E1">
        <w:rPr>
          <w:b w:val="0"/>
          <w:bCs/>
          <w:sz w:val="18"/>
          <w:szCs w:val="18"/>
        </w:rPr>
        <w:t xml:space="preserve"> use of </w:t>
      </w:r>
      <w:r w:rsidRPr="009E19E1">
        <w:rPr>
          <w:b w:val="0"/>
          <w:bCs/>
          <w:sz w:val="18"/>
          <w:szCs w:val="18"/>
        </w:rPr>
        <w:lastRenderedPageBreak/>
        <w:t>machine learning has proven to be an easier way to determine this important parameter. It was possible to generate a machine learning model capable of predicting the calculated BHP from the SPE dataset with an R² of 0.982 and MSE of 4,878E-04.For future jobs, it would be interesting to evaluate different combinations of variables, by dropping variables with less significance on describing data variance, or including Oil volume, which was dropped for this work. Applying different combinations for the DT regressor, considering better timing performance for on-line practices, would also be of great value for a more advanced model.</w:t>
      </w:r>
      <w:r w:rsidRPr="009E19E1">
        <w:rPr>
          <w:sz w:val="18"/>
          <w:szCs w:val="18"/>
        </w:rPr>
        <w:t xml:space="preserve"> </w:t>
      </w:r>
    </w:p>
    <w:p w14:paraId="07A6D20F" w14:textId="2F203B81"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7ABA8900" w:rsidR="00600535" w:rsidRPr="00FD42FF" w:rsidRDefault="007705AA" w:rsidP="00600535">
      <w:pPr>
        <w:pStyle w:val="CETBodytext"/>
        <w:rPr>
          <w:lang w:val="en-GB"/>
        </w:rPr>
      </w:pPr>
      <w:r w:rsidRPr="00D710B7">
        <w:rPr>
          <w:lang w:val="en-GB"/>
        </w:rPr>
        <w:t xml:space="preserve">The authors would like to express their gratitude to </w:t>
      </w:r>
      <w:proofErr w:type="spellStart"/>
      <w:r w:rsidRPr="00D710B7">
        <w:rPr>
          <w:lang w:val="en-GB"/>
        </w:rPr>
        <w:t>CNPq</w:t>
      </w:r>
      <w:proofErr w:type="spellEnd"/>
      <w:r w:rsidRPr="00D710B7">
        <w:rPr>
          <w:lang w:val="en-GB"/>
        </w:rPr>
        <w:t>, CAPES, FAPERJ (</w:t>
      </w:r>
      <w:proofErr w:type="spellStart"/>
      <w:r w:rsidRPr="00D710B7">
        <w:rPr>
          <w:lang w:val="en-GB"/>
        </w:rPr>
        <w:t>Fundação</w:t>
      </w:r>
      <w:proofErr w:type="spellEnd"/>
      <w:r w:rsidRPr="00D710B7">
        <w:rPr>
          <w:lang w:val="en-GB"/>
        </w:rPr>
        <w:t xml:space="preserve"> de Amparo à Pesquisa do Estado do Rio de Janeiro, E-26/200.282/2023-283570), and the Department of Chemical Engineering at PUC-Rio for their institutional support. </w:t>
      </w:r>
      <w:r w:rsidRPr="00FD42FF">
        <w:rPr>
          <w:lang w:val="en-GB"/>
        </w:rPr>
        <w:t xml:space="preserve">Additionally, they acknowledge the </w:t>
      </w:r>
      <w:proofErr w:type="spellStart"/>
      <w:r w:rsidRPr="00FD42FF">
        <w:rPr>
          <w:lang w:val="en-GB"/>
        </w:rPr>
        <w:t>Programa</w:t>
      </w:r>
      <w:proofErr w:type="spellEnd"/>
      <w:r w:rsidRPr="00FD42FF">
        <w:rPr>
          <w:lang w:val="en-GB"/>
        </w:rPr>
        <w:t xml:space="preserve"> de </w:t>
      </w:r>
      <w:proofErr w:type="spellStart"/>
      <w:r w:rsidRPr="00FD42FF">
        <w:rPr>
          <w:lang w:val="en-GB"/>
        </w:rPr>
        <w:t>Recursos</w:t>
      </w:r>
      <w:proofErr w:type="spellEnd"/>
      <w:r w:rsidRPr="00FD42FF">
        <w:rPr>
          <w:lang w:val="en-GB"/>
        </w:rPr>
        <w:t xml:space="preserve"> Humanos da </w:t>
      </w:r>
      <w:proofErr w:type="spellStart"/>
      <w:r w:rsidRPr="00FD42FF">
        <w:rPr>
          <w:lang w:val="en-GB"/>
        </w:rPr>
        <w:t>Agência</w:t>
      </w:r>
      <w:proofErr w:type="spellEnd"/>
      <w:r w:rsidRPr="00FD42FF">
        <w:rPr>
          <w:lang w:val="en-GB"/>
        </w:rPr>
        <w:t xml:space="preserve"> Nacional do Petróleo, </w:t>
      </w:r>
      <w:proofErr w:type="spellStart"/>
      <w:r w:rsidRPr="00FD42FF">
        <w:rPr>
          <w:lang w:val="en-GB"/>
        </w:rPr>
        <w:t>Gás</w:t>
      </w:r>
      <w:proofErr w:type="spellEnd"/>
      <w:r w:rsidRPr="00FD42FF">
        <w:rPr>
          <w:lang w:val="en-GB"/>
        </w:rPr>
        <w:t xml:space="preserve"> Natural e </w:t>
      </w:r>
      <w:proofErr w:type="spellStart"/>
      <w:r w:rsidRPr="00FD42FF">
        <w:rPr>
          <w:lang w:val="en-GB"/>
        </w:rPr>
        <w:t>Biocombustíveis</w:t>
      </w:r>
      <w:proofErr w:type="spellEnd"/>
      <w:r w:rsidRPr="00FD42FF">
        <w:rPr>
          <w:lang w:val="en-GB"/>
        </w:rPr>
        <w:t xml:space="preserve"> (PRH-ANP) for the financial support that made this study possible</w:t>
      </w:r>
      <w:r w:rsidR="003217F2" w:rsidRPr="00FD42FF">
        <w:rPr>
          <w:lang w:val="en-GB"/>
        </w:rPr>
        <w:t>.</w:t>
      </w:r>
    </w:p>
    <w:p w14:paraId="4F1327F8" w14:textId="77777777" w:rsidR="00600535" w:rsidRPr="00B57B36" w:rsidRDefault="00600535" w:rsidP="00600535">
      <w:pPr>
        <w:pStyle w:val="CETReference"/>
      </w:pPr>
      <w:r w:rsidRPr="00B57B36">
        <w:t>References</w:t>
      </w:r>
    </w:p>
    <w:p w14:paraId="7D44B653" w14:textId="77777777" w:rsidR="00091390" w:rsidRDefault="00091390" w:rsidP="00091390">
      <w:pPr>
        <w:pStyle w:val="CETReferencetext"/>
        <w:rPr>
          <w:lang w:val="en-US"/>
        </w:rPr>
      </w:pPr>
      <w:r w:rsidRPr="00091390">
        <w:rPr>
          <w:lang w:val="en-US"/>
        </w:rPr>
        <w:t xml:space="preserve">Bishop, C. M., 2006, </w:t>
      </w:r>
      <w:r w:rsidRPr="00091390">
        <w:rPr>
          <w:i/>
          <w:iCs/>
          <w:lang w:val="en-US"/>
        </w:rPr>
        <w:t>Pattern Recognition and Machine Learning</w:t>
      </w:r>
      <w:r w:rsidRPr="00091390">
        <w:rPr>
          <w:lang w:val="en-US"/>
        </w:rPr>
        <w:t>, Springer, New York, NY, 778.</w:t>
      </w:r>
    </w:p>
    <w:p w14:paraId="40B5F165" w14:textId="58BBEDD6" w:rsidR="003C675E" w:rsidRPr="00091390" w:rsidRDefault="003C675E" w:rsidP="00091390">
      <w:pPr>
        <w:pStyle w:val="CETReferencetext"/>
        <w:rPr>
          <w:lang w:val="en-US"/>
        </w:rPr>
      </w:pPr>
      <w:r w:rsidRPr="003C675E">
        <w:rPr>
          <w:lang w:val="en-US"/>
        </w:rPr>
        <w:t xml:space="preserve">BROWN, N.; ROUBÍCKOVÁ, A.; NORDLOH, V. A. </w:t>
      </w:r>
      <w:r w:rsidRPr="003C675E">
        <w:rPr>
          <w:i/>
          <w:iCs/>
          <w:lang w:val="en-US"/>
        </w:rPr>
        <w:t>Machine Learning for Gas and Oil Exploration</w:t>
      </w:r>
      <w:r w:rsidRPr="003C675E">
        <w:rPr>
          <w:lang w:val="en-US"/>
        </w:rPr>
        <w:t xml:space="preserve">. </w:t>
      </w:r>
      <w:proofErr w:type="spellStart"/>
      <w:r w:rsidRPr="003C675E">
        <w:rPr>
          <w:lang w:val="en-US"/>
        </w:rPr>
        <w:t>arXiv</w:t>
      </w:r>
      <w:proofErr w:type="spellEnd"/>
      <w:r w:rsidRPr="003C675E">
        <w:rPr>
          <w:lang w:val="en-US"/>
        </w:rPr>
        <w:t xml:space="preserve"> preprint arXiv:2010.04186, 2020. </w:t>
      </w:r>
      <w:r w:rsidR="004B62D7">
        <w:rPr>
          <w:lang w:val="en-US"/>
        </w:rPr>
        <w:t>&lt;</w:t>
      </w:r>
      <w:r w:rsidRPr="003C675E">
        <w:rPr>
          <w:lang w:val="en-US"/>
        </w:rPr>
        <w:t>https://arxiv.org/abs/2010.04186</w:t>
      </w:r>
      <w:r w:rsidR="004B62D7">
        <w:rPr>
          <w:lang w:val="en-US"/>
        </w:rPr>
        <w:t>&gt;</w:t>
      </w:r>
      <w:r w:rsidRPr="003C675E">
        <w:rPr>
          <w:lang w:val="en-US"/>
        </w:rPr>
        <w:t xml:space="preserve"> </w:t>
      </w:r>
      <w:r w:rsidR="00DC30C6">
        <w:rPr>
          <w:lang w:val="en-US"/>
        </w:rPr>
        <w:t>a</w:t>
      </w:r>
      <w:r w:rsidRPr="003C675E">
        <w:rPr>
          <w:lang w:val="en-US"/>
        </w:rPr>
        <w:t>c</w:t>
      </w:r>
      <w:r w:rsidR="00DC30C6">
        <w:rPr>
          <w:lang w:val="en-US"/>
        </w:rPr>
        <w:t>cessed:</w:t>
      </w:r>
      <w:r w:rsidRPr="003C675E">
        <w:rPr>
          <w:lang w:val="en-US"/>
        </w:rPr>
        <w:t xml:space="preserve"> 15 </w:t>
      </w:r>
      <w:proofErr w:type="spellStart"/>
      <w:r w:rsidRPr="003C675E">
        <w:rPr>
          <w:lang w:val="en-US"/>
        </w:rPr>
        <w:t>dez</w:t>
      </w:r>
      <w:proofErr w:type="spellEnd"/>
      <w:r w:rsidRPr="003C675E">
        <w:rPr>
          <w:lang w:val="en-US"/>
        </w:rPr>
        <w:t>. 2024.</w:t>
      </w:r>
    </w:p>
    <w:p w14:paraId="50138284" w14:textId="77777777" w:rsidR="00091390" w:rsidRPr="00091390" w:rsidRDefault="00091390" w:rsidP="00091390">
      <w:pPr>
        <w:pStyle w:val="CETReferencetext"/>
        <w:rPr>
          <w:lang w:val="en-US"/>
        </w:rPr>
      </w:pPr>
      <w:r w:rsidRPr="00091390">
        <w:rPr>
          <w:lang w:val="en-US"/>
        </w:rPr>
        <w:t xml:space="preserve">Clarkson, C. R., Nobakht, M., Kaviani, D., Ertekin, T., 2016, </w:t>
      </w:r>
      <w:r w:rsidRPr="00091390">
        <w:rPr>
          <w:i/>
          <w:iCs/>
          <w:lang w:val="en-US"/>
        </w:rPr>
        <w:t>Production Analysis of Tight-Gas and Shale-Gas Reservoirs Using the Rate-Transient Analysis Technique</w:t>
      </w:r>
      <w:r w:rsidRPr="00091390">
        <w:rPr>
          <w:lang w:val="en-US"/>
        </w:rPr>
        <w:t>, SPE Reservoir Evaluation &amp; Engineering, 19(3), 312-329, DOI: 10.2118/144317-PA.</w:t>
      </w:r>
    </w:p>
    <w:p w14:paraId="1782DF3E" w14:textId="77777777" w:rsidR="00091390" w:rsidRPr="00091390" w:rsidRDefault="00091390" w:rsidP="00091390">
      <w:pPr>
        <w:pStyle w:val="CETReferencetext"/>
        <w:rPr>
          <w:lang w:val="en-US"/>
        </w:rPr>
      </w:pPr>
      <w:r w:rsidRPr="00091390">
        <w:rPr>
          <w:lang w:val="en-US"/>
        </w:rPr>
        <w:t xml:space="preserve">Deloitte, 2023, </w:t>
      </w:r>
      <w:r w:rsidRPr="00091390">
        <w:rPr>
          <w:i/>
          <w:iCs/>
          <w:lang w:val="en-US"/>
        </w:rPr>
        <w:t>Managing and aligning expectations of the energy transition: energy and chemicals signature issue FY24</w:t>
      </w:r>
      <w:r w:rsidRPr="00091390">
        <w:rPr>
          <w:lang w:val="en-US"/>
        </w:rPr>
        <w:t>, Deloitte. &lt;deloitte.com/content/dam/insights/articles/us176669_e-i_fy24-energy---chemicals-signature-issue_managing-and-aligning-expectations-of-the-energy-transition-soft-launch/DI_EI-FY24-Energy-Chemicals-Signature-Issue.pdf&gt; accessed 15.12.2024.</w:t>
      </w:r>
    </w:p>
    <w:p w14:paraId="12BB0679" w14:textId="77777777" w:rsidR="00091390" w:rsidRPr="00091390" w:rsidRDefault="00091390" w:rsidP="00091390">
      <w:pPr>
        <w:pStyle w:val="CETReferencetext"/>
        <w:rPr>
          <w:lang w:val="en-US"/>
        </w:rPr>
      </w:pPr>
      <w:r w:rsidRPr="00091390">
        <w:rPr>
          <w:lang w:val="en-US"/>
        </w:rPr>
        <w:t xml:space="preserve">Domingos, P., 2012, </w:t>
      </w:r>
      <w:r w:rsidRPr="00091390">
        <w:rPr>
          <w:i/>
          <w:iCs/>
          <w:lang w:val="en-US"/>
        </w:rPr>
        <w:t>A few useful things to know about machine learning</w:t>
      </w:r>
      <w:r w:rsidRPr="00091390">
        <w:rPr>
          <w:lang w:val="en-US"/>
        </w:rPr>
        <w:t>, Communications of the ACM, 55(10), 78-87, DOI: 10.1145/2347736.2347755.</w:t>
      </w:r>
    </w:p>
    <w:p w14:paraId="2BF4053C" w14:textId="74819977" w:rsidR="00091390" w:rsidRPr="00091390" w:rsidRDefault="00091390" w:rsidP="00091390">
      <w:pPr>
        <w:pStyle w:val="CETReferencetext"/>
        <w:rPr>
          <w:lang w:val="en-US"/>
        </w:rPr>
      </w:pPr>
      <w:r w:rsidRPr="00091390">
        <w:rPr>
          <w:lang w:val="en-US"/>
        </w:rPr>
        <w:t xml:space="preserve">Freire, R. M., 2024, </w:t>
      </w:r>
      <w:r w:rsidRPr="00091390">
        <w:rPr>
          <w:i/>
          <w:iCs/>
          <w:lang w:val="en-US"/>
        </w:rPr>
        <w:t>SPA RTA data survey</w:t>
      </w:r>
      <w:r w:rsidRPr="00091390">
        <w:rPr>
          <w:lang w:val="en-US"/>
        </w:rPr>
        <w:t>, GitHub. From URL: https://github.com/raul-macedo-freire/spe-rta-data-survey.</w:t>
      </w:r>
    </w:p>
    <w:p w14:paraId="4B7987E4" w14:textId="77777777" w:rsidR="00091390" w:rsidRPr="00091390" w:rsidRDefault="00091390" w:rsidP="00091390">
      <w:pPr>
        <w:pStyle w:val="CETReferencetext"/>
        <w:rPr>
          <w:lang w:val="en-US"/>
        </w:rPr>
      </w:pPr>
      <w:proofErr w:type="spellStart"/>
      <w:r w:rsidRPr="00091390">
        <w:rPr>
          <w:lang w:val="en-US"/>
        </w:rPr>
        <w:t>Géron</w:t>
      </w:r>
      <w:proofErr w:type="spellEnd"/>
      <w:r w:rsidRPr="00091390">
        <w:rPr>
          <w:lang w:val="en-US"/>
        </w:rPr>
        <w:t xml:space="preserve">, A., 2019, </w:t>
      </w:r>
      <w:r w:rsidRPr="00091390">
        <w:rPr>
          <w:i/>
          <w:iCs/>
          <w:lang w:val="en-US"/>
        </w:rPr>
        <w:t xml:space="preserve">Hands-On Machine Learning with Scikit-Learn, </w:t>
      </w:r>
      <w:proofErr w:type="spellStart"/>
      <w:r w:rsidRPr="00091390">
        <w:rPr>
          <w:i/>
          <w:iCs/>
          <w:lang w:val="en-US"/>
        </w:rPr>
        <w:t>Keras</w:t>
      </w:r>
      <w:proofErr w:type="spellEnd"/>
      <w:r w:rsidRPr="00091390">
        <w:rPr>
          <w:i/>
          <w:iCs/>
          <w:lang w:val="en-US"/>
        </w:rPr>
        <w:t>, and TensorFlow: Concepts, Tools, and Techniques to Build Intelligent Systems (2nd ed.)</w:t>
      </w:r>
      <w:r w:rsidRPr="00091390">
        <w:rPr>
          <w:lang w:val="en-US"/>
        </w:rPr>
        <w:t>, O'Reilly Media, 848.</w:t>
      </w:r>
    </w:p>
    <w:p w14:paraId="105F1F68" w14:textId="77777777" w:rsidR="00091390" w:rsidRPr="00091390" w:rsidRDefault="00091390" w:rsidP="00091390">
      <w:pPr>
        <w:pStyle w:val="CETReferencetext"/>
        <w:rPr>
          <w:lang w:val="en-US"/>
        </w:rPr>
      </w:pPr>
      <w:r w:rsidRPr="00091390">
        <w:rPr>
          <w:lang w:val="en-US"/>
        </w:rPr>
        <w:t xml:space="preserve">Goodfellow, I., Bengio, Y., Courville, A., 2016, </w:t>
      </w:r>
      <w:r w:rsidRPr="00091390">
        <w:rPr>
          <w:i/>
          <w:iCs/>
          <w:lang w:val="en-US"/>
        </w:rPr>
        <w:t>Deep Learning</w:t>
      </w:r>
      <w:r w:rsidRPr="00091390">
        <w:rPr>
          <w:lang w:val="en-US"/>
        </w:rPr>
        <w:t>, The MIT Press, 800.</w:t>
      </w:r>
    </w:p>
    <w:p w14:paraId="2C4489A3" w14:textId="77777777" w:rsidR="00091390" w:rsidRDefault="00091390" w:rsidP="00091390">
      <w:pPr>
        <w:pStyle w:val="CETReferencetext"/>
        <w:rPr>
          <w:lang w:val="en-US"/>
        </w:rPr>
      </w:pPr>
      <w:r w:rsidRPr="00091390">
        <w:rPr>
          <w:lang w:val="en-US"/>
        </w:rPr>
        <w:t xml:space="preserve">Guan H.Y., </w:t>
      </w:r>
      <w:proofErr w:type="spellStart"/>
      <w:r w:rsidRPr="00091390">
        <w:rPr>
          <w:lang w:val="en-US"/>
        </w:rPr>
        <w:t>Jiyuan</w:t>
      </w:r>
      <w:proofErr w:type="spellEnd"/>
      <w:r w:rsidRPr="00091390">
        <w:rPr>
          <w:lang w:val="en-US"/>
        </w:rPr>
        <w:t xml:space="preserve"> T., 2016, </w:t>
      </w:r>
      <w:r w:rsidRPr="00091390">
        <w:rPr>
          <w:i/>
          <w:iCs/>
          <w:lang w:val="en-US"/>
        </w:rPr>
        <w:t>Introduction</w:t>
      </w:r>
      <w:r w:rsidRPr="00091390">
        <w:rPr>
          <w:lang w:val="en-US"/>
        </w:rPr>
        <w:t xml:space="preserve">, in: Guan Heng Yeoh, </w:t>
      </w:r>
      <w:proofErr w:type="spellStart"/>
      <w:r w:rsidRPr="00091390">
        <w:rPr>
          <w:lang w:val="en-US"/>
        </w:rPr>
        <w:t>Jiyuan</w:t>
      </w:r>
      <w:proofErr w:type="spellEnd"/>
      <w:r w:rsidRPr="00091390">
        <w:rPr>
          <w:lang w:val="en-US"/>
        </w:rPr>
        <w:t xml:space="preserve"> Tu (Eds.), </w:t>
      </w:r>
      <w:r w:rsidRPr="00091390">
        <w:rPr>
          <w:i/>
          <w:iCs/>
          <w:lang w:val="en-US"/>
        </w:rPr>
        <w:t>Computational Techniques for Multiphase Flows (Second Edition)</w:t>
      </w:r>
      <w:r w:rsidRPr="00091390">
        <w:rPr>
          <w:lang w:val="en-US"/>
        </w:rPr>
        <w:t>, Butterworth-Heinemann, Pages 1-18, DOI: 10.1016/</w:t>
      </w:r>
      <w:proofErr w:type="gramStart"/>
      <w:r w:rsidRPr="00091390">
        <w:rPr>
          <w:lang w:val="en-US"/>
        </w:rPr>
        <w:t>B978-0-08</w:t>
      </w:r>
      <w:proofErr w:type="gramEnd"/>
      <w:r w:rsidRPr="00091390">
        <w:rPr>
          <w:lang w:val="en-US"/>
        </w:rPr>
        <w:t>-102453-9.00001-5.</w:t>
      </w:r>
    </w:p>
    <w:p w14:paraId="3E494E7E" w14:textId="25A9BAAF" w:rsidR="00EF47F3" w:rsidRPr="000157E1" w:rsidRDefault="00EF47F3" w:rsidP="00091390">
      <w:pPr>
        <w:pStyle w:val="CETReferencetext"/>
        <w:rPr>
          <w:lang w:val="en-US"/>
        </w:rPr>
      </w:pPr>
      <w:r w:rsidRPr="00EF47F3">
        <w:t xml:space="preserve">​Halford, M. (2023). </w:t>
      </w:r>
      <w:r w:rsidRPr="00EF47F3">
        <w:rPr>
          <w:i/>
          <w:iCs/>
        </w:rPr>
        <w:t>Prince: A Python library for multivariate exploratory data analysis</w:t>
      </w:r>
      <w:r w:rsidRPr="00EF47F3">
        <w:t xml:space="preserve">. </w:t>
      </w:r>
      <w:r w:rsidR="000157E1">
        <w:t>&lt;</w:t>
      </w:r>
      <w:r w:rsidRPr="000157E1">
        <w:rPr>
          <w:lang w:val="en-US"/>
        </w:rPr>
        <w:t>https://github.com/MaxHalford/prince​</w:t>
      </w:r>
      <w:r w:rsidR="000157E1">
        <w:rPr>
          <w:lang w:val="en-US"/>
        </w:rPr>
        <w:t>&gt;</w:t>
      </w:r>
      <w:r w:rsidRPr="000157E1">
        <w:rPr>
          <w:lang w:val="en-US"/>
        </w:rPr>
        <w:t xml:space="preserve"> </w:t>
      </w:r>
      <w:r w:rsidR="008027E1" w:rsidRPr="000157E1">
        <w:rPr>
          <w:lang w:val="en-US"/>
        </w:rPr>
        <w:t>ac</w:t>
      </w:r>
      <w:r w:rsidRPr="000157E1">
        <w:rPr>
          <w:lang w:val="en-US"/>
        </w:rPr>
        <w:t>cess</w:t>
      </w:r>
      <w:r w:rsidR="008027E1" w:rsidRPr="000157E1">
        <w:rPr>
          <w:lang w:val="en-US"/>
        </w:rPr>
        <w:t>ed</w:t>
      </w:r>
      <w:r w:rsidRPr="000157E1">
        <w:rPr>
          <w:lang w:val="en-US"/>
        </w:rPr>
        <w:t xml:space="preserve">: 15 </w:t>
      </w:r>
      <w:proofErr w:type="spellStart"/>
      <w:r w:rsidRPr="000157E1">
        <w:rPr>
          <w:lang w:val="en-US"/>
        </w:rPr>
        <w:t>dez</w:t>
      </w:r>
      <w:proofErr w:type="spellEnd"/>
      <w:r w:rsidRPr="000157E1">
        <w:rPr>
          <w:lang w:val="en-US"/>
        </w:rPr>
        <w:t>. 2024.</w:t>
      </w:r>
    </w:p>
    <w:p w14:paraId="5C60F62C" w14:textId="77777777" w:rsidR="00091390" w:rsidRPr="00091390" w:rsidRDefault="00091390" w:rsidP="00091390">
      <w:pPr>
        <w:pStyle w:val="CETReferencetext"/>
        <w:rPr>
          <w:lang w:val="en-US"/>
        </w:rPr>
      </w:pPr>
      <w:r w:rsidRPr="00091390">
        <w:rPr>
          <w:lang w:val="en-US"/>
        </w:rPr>
        <w:t xml:space="preserve">IHS Markit, 2020, </w:t>
      </w:r>
      <w:r w:rsidRPr="00091390">
        <w:rPr>
          <w:i/>
          <w:iCs/>
          <w:lang w:val="en-US"/>
        </w:rPr>
        <w:t>IHS Harmony Enterprise</w:t>
      </w:r>
      <w:r w:rsidRPr="00091390">
        <w:rPr>
          <w:lang w:val="en-US"/>
        </w:rPr>
        <w:t>, IHS Markit. &lt;ihsenergy.ca/support/documentation_ca/Harmony_Enterprise/2020_2/content/html_files/start_here.htm&gt; accessed 15.12.2024.</w:t>
      </w:r>
    </w:p>
    <w:p w14:paraId="0ED0EC86" w14:textId="77777777" w:rsidR="00091390" w:rsidRPr="00091390" w:rsidRDefault="00091390" w:rsidP="00091390">
      <w:pPr>
        <w:pStyle w:val="CETReferencetext"/>
        <w:rPr>
          <w:lang w:val="en-US"/>
        </w:rPr>
      </w:pPr>
      <w:r w:rsidRPr="00091390">
        <w:rPr>
          <w:lang w:val="en-US"/>
        </w:rPr>
        <w:t xml:space="preserve">Kurita, T., 2020, </w:t>
      </w:r>
      <w:r w:rsidRPr="00091390">
        <w:rPr>
          <w:i/>
          <w:iCs/>
          <w:lang w:val="en-US"/>
        </w:rPr>
        <w:t>Principal Component Analysis (PCA)</w:t>
      </w:r>
      <w:r w:rsidRPr="00091390">
        <w:rPr>
          <w:lang w:val="en-US"/>
        </w:rPr>
        <w:t>, Computer Vision, p. 1–4.</w:t>
      </w:r>
    </w:p>
    <w:p w14:paraId="000E91CC" w14:textId="77777777" w:rsidR="00091390" w:rsidRPr="00091390" w:rsidRDefault="00091390" w:rsidP="00091390">
      <w:pPr>
        <w:pStyle w:val="CETReferencetext"/>
        <w:rPr>
          <w:lang w:val="en-US"/>
        </w:rPr>
      </w:pPr>
      <w:r w:rsidRPr="00091390">
        <w:rPr>
          <w:lang w:val="en-US"/>
        </w:rPr>
        <w:t xml:space="preserve">MCKINSEY &amp; COMPANY, 2024, </w:t>
      </w:r>
      <w:r w:rsidRPr="00091390">
        <w:rPr>
          <w:i/>
          <w:iCs/>
          <w:lang w:val="en-US"/>
        </w:rPr>
        <w:t>Global energy perspective 2024</w:t>
      </w:r>
      <w:r w:rsidRPr="00091390">
        <w:rPr>
          <w:lang w:val="en-US"/>
        </w:rPr>
        <w:t>, McKinsey &amp; Company. &lt;mckinsey.com/~/media/mckinsey/industries/energy%20and%20materials/our%20insights/global%20energy%20perspective%202024/global-energy-perspective-2024.pdf&gt; accessed 15.12.2024.</w:t>
      </w:r>
    </w:p>
    <w:p w14:paraId="49FBECAA" w14:textId="77777777" w:rsidR="00091390" w:rsidRPr="00091390" w:rsidRDefault="00091390" w:rsidP="00091390">
      <w:pPr>
        <w:pStyle w:val="CETReferencetext"/>
        <w:rPr>
          <w:lang w:val="en-US"/>
        </w:rPr>
      </w:pPr>
      <w:r w:rsidRPr="00091390">
        <w:rPr>
          <w:lang w:val="en-US"/>
        </w:rPr>
        <w:t xml:space="preserve">Murphy, K. P., 2012, </w:t>
      </w:r>
      <w:r w:rsidRPr="00091390">
        <w:rPr>
          <w:i/>
          <w:iCs/>
          <w:lang w:val="en-US"/>
        </w:rPr>
        <w:t>Machine Learning: A Probabilistic Perspective</w:t>
      </w:r>
      <w:r w:rsidRPr="00091390">
        <w:rPr>
          <w:lang w:val="en-US"/>
        </w:rPr>
        <w:t>, MIT Press, Cambridge, MA, USA.</w:t>
      </w:r>
    </w:p>
    <w:p w14:paraId="60B32061" w14:textId="547A5A8A" w:rsidR="00091390" w:rsidRPr="00091390" w:rsidRDefault="00091390" w:rsidP="00091390">
      <w:pPr>
        <w:pStyle w:val="CETReferencetext"/>
        <w:rPr>
          <w:lang w:val="en-US"/>
        </w:rPr>
      </w:pPr>
      <w:r w:rsidRPr="00091390">
        <w:rPr>
          <w:lang w:val="en-US"/>
        </w:rPr>
        <w:t>Python. Python Org. &lt;www.python.org/&gt; accessed 15.12.2024.</w:t>
      </w:r>
    </w:p>
    <w:p w14:paraId="52EE22EC" w14:textId="77777777" w:rsidR="00091390" w:rsidRPr="00091390" w:rsidRDefault="00091390" w:rsidP="00091390">
      <w:pPr>
        <w:pStyle w:val="CETReferencetext"/>
        <w:rPr>
          <w:lang w:val="en-US"/>
        </w:rPr>
      </w:pPr>
      <w:r w:rsidRPr="00091390">
        <w:rPr>
          <w:lang w:val="en-US"/>
        </w:rPr>
        <w:t xml:space="preserve">Quinlan, J. R., 1986, </w:t>
      </w:r>
      <w:r w:rsidRPr="00091390">
        <w:rPr>
          <w:i/>
          <w:iCs/>
          <w:lang w:val="en-US"/>
        </w:rPr>
        <w:t>Induction of Decision Trees</w:t>
      </w:r>
      <w:r w:rsidRPr="00091390">
        <w:rPr>
          <w:lang w:val="en-US"/>
        </w:rPr>
        <w:t>, Machine Learning, 1, 81-106, DOI: 10.1007/BF00116251.</w:t>
      </w:r>
    </w:p>
    <w:p w14:paraId="14BE90FA" w14:textId="4E0D0564" w:rsidR="00091390" w:rsidRPr="00091390" w:rsidRDefault="00091390" w:rsidP="00091390">
      <w:pPr>
        <w:pStyle w:val="CETReferencetext"/>
        <w:rPr>
          <w:lang w:val="en-US"/>
        </w:rPr>
      </w:pPr>
      <w:r w:rsidRPr="00091390">
        <w:rPr>
          <w:lang w:val="en-US"/>
        </w:rPr>
        <w:t xml:space="preserve">Smola, A. J., </w:t>
      </w:r>
      <w:proofErr w:type="spellStart"/>
      <w:r w:rsidRPr="00091390">
        <w:rPr>
          <w:lang w:val="en-US"/>
        </w:rPr>
        <w:t>Schölkopf</w:t>
      </w:r>
      <w:proofErr w:type="spellEnd"/>
      <w:r w:rsidRPr="00091390">
        <w:rPr>
          <w:lang w:val="en-US"/>
        </w:rPr>
        <w:t xml:space="preserve">, B., 2004, </w:t>
      </w:r>
      <w:r w:rsidRPr="00091390">
        <w:rPr>
          <w:i/>
          <w:iCs/>
          <w:lang w:val="en-US"/>
        </w:rPr>
        <w:t>A tutorial on support vector regression</w:t>
      </w:r>
      <w:r w:rsidRPr="00091390">
        <w:rPr>
          <w:lang w:val="en-US"/>
        </w:rPr>
        <w:t>, Statistics and Computing, 14, 199–222. DOI: 10.1023/</w:t>
      </w:r>
      <w:proofErr w:type="gramStart"/>
      <w:r w:rsidRPr="00091390">
        <w:rPr>
          <w:lang w:val="en-US"/>
        </w:rPr>
        <w:t>B:STCO</w:t>
      </w:r>
      <w:proofErr w:type="gramEnd"/>
      <w:r w:rsidRPr="00091390">
        <w:rPr>
          <w:lang w:val="en-US"/>
        </w:rPr>
        <w:t>.0000035301.49549.88.</w:t>
      </w:r>
    </w:p>
    <w:p w14:paraId="6DCC871B" w14:textId="77777777" w:rsidR="00091390" w:rsidRPr="00091390" w:rsidRDefault="00091390" w:rsidP="00091390">
      <w:pPr>
        <w:pStyle w:val="CETReferencetext"/>
        <w:rPr>
          <w:lang w:val="en-US"/>
        </w:rPr>
      </w:pPr>
      <w:r w:rsidRPr="00091390">
        <w:rPr>
          <w:lang w:val="en-US"/>
        </w:rPr>
        <w:t xml:space="preserve">Society of Petroleum Engineers, 2024, </w:t>
      </w:r>
      <w:r w:rsidRPr="00091390">
        <w:rPr>
          <w:i/>
          <w:iCs/>
          <w:lang w:val="en-US"/>
        </w:rPr>
        <w:t>Industry data repository</w:t>
      </w:r>
      <w:r w:rsidRPr="00091390">
        <w:rPr>
          <w:lang w:val="en-US"/>
        </w:rPr>
        <w:t>, Society of Petroleum Engineers. &lt;spe.org/</w:t>
      </w:r>
      <w:proofErr w:type="spellStart"/>
      <w:r w:rsidRPr="00091390">
        <w:rPr>
          <w:lang w:val="en-US"/>
        </w:rPr>
        <w:t>en</w:t>
      </w:r>
      <w:proofErr w:type="spellEnd"/>
      <w:r w:rsidRPr="00091390">
        <w:rPr>
          <w:lang w:val="en-US"/>
        </w:rPr>
        <w:t>/industry/data-repository/&gt; accessed 15.12.2024.</w:t>
      </w:r>
    </w:p>
    <w:p w14:paraId="5A68112A" w14:textId="77777777" w:rsidR="00091390" w:rsidRPr="00091390" w:rsidRDefault="00091390" w:rsidP="00091390">
      <w:pPr>
        <w:pStyle w:val="CETReferencetext"/>
        <w:rPr>
          <w:lang w:val="en-US"/>
        </w:rPr>
      </w:pPr>
      <w:r w:rsidRPr="00091390">
        <w:rPr>
          <w:lang w:val="en-US"/>
        </w:rPr>
        <w:t xml:space="preserve">SPE Data Repository, 2024, </w:t>
      </w:r>
      <w:r w:rsidRPr="00091390">
        <w:rPr>
          <w:i/>
          <w:iCs/>
          <w:lang w:val="en-US"/>
        </w:rPr>
        <w:t>Data Set: 1, Well Number: all</w:t>
      </w:r>
      <w:r w:rsidRPr="00091390">
        <w:rPr>
          <w:lang w:val="en-US"/>
        </w:rPr>
        <w:t>, From URL: &lt;spe.org/datasets/dataset_1/</w:t>
      </w:r>
      <w:proofErr w:type="spellStart"/>
      <w:r w:rsidRPr="00091390">
        <w:rPr>
          <w:lang w:val="en-US"/>
        </w:rPr>
        <w:t>csv_files</w:t>
      </w:r>
      <w:proofErr w:type="spellEnd"/>
      <w:r w:rsidRPr="00091390">
        <w:rPr>
          <w:lang w:val="en-US"/>
        </w:rPr>
        <w:t>/dataset_1_all_wells/&gt; accessed 15.12.2024.</w:t>
      </w:r>
    </w:p>
    <w:p w14:paraId="656769EC" w14:textId="77777777" w:rsidR="00091390" w:rsidRPr="00091390" w:rsidRDefault="00091390" w:rsidP="00091390">
      <w:pPr>
        <w:pStyle w:val="CETReferencetext"/>
        <w:rPr>
          <w:lang w:val="en-US"/>
        </w:rPr>
      </w:pPr>
      <w:proofErr w:type="spellStart"/>
      <w:r w:rsidRPr="00091390">
        <w:rPr>
          <w:lang w:val="en-US"/>
        </w:rPr>
        <w:t>Taghavinejad</w:t>
      </w:r>
      <w:proofErr w:type="spellEnd"/>
      <w:r w:rsidRPr="00091390">
        <w:rPr>
          <w:lang w:val="en-US"/>
        </w:rPr>
        <w:t xml:space="preserve">, A., </w:t>
      </w:r>
      <w:proofErr w:type="spellStart"/>
      <w:r w:rsidRPr="00091390">
        <w:rPr>
          <w:lang w:val="en-US"/>
        </w:rPr>
        <w:t>Ostadhassan</w:t>
      </w:r>
      <w:proofErr w:type="spellEnd"/>
      <w:r w:rsidRPr="00091390">
        <w:rPr>
          <w:lang w:val="en-US"/>
        </w:rPr>
        <w:t xml:space="preserve">, M., </w:t>
      </w:r>
      <w:proofErr w:type="spellStart"/>
      <w:r w:rsidRPr="00091390">
        <w:rPr>
          <w:lang w:val="en-US"/>
        </w:rPr>
        <w:t>Daneshfar</w:t>
      </w:r>
      <w:proofErr w:type="spellEnd"/>
      <w:r w:rsidRPr="00091390">
        <w:rPr>
          <w:lang w:val="en-US"/>
        </w:rPr>
        <w:t xml:space="preserve">, R., 2022, </w:t>
      </w:r>
      <w:r w:rsidRPr="00091390">
        <w:rPr>
          <w:i/>
          <w:iCs/>
          <w:lang w:val="en-US"/>
        </w:rPr>
        <w:t>Unconventional reservoirs: rate and pressure transient analysis techniques: a reservoir engineering approach</w:t>
      </w:r>
      <w:r w:rsidRPr="00091390">
        <w:rPr>
          <w:lang w:val="en-US"/>
        </w:rPr>
        <w:t>, Springer, Cham, 111.</w:t>
      </w:r>
    </w:p>
    <w:p w14:paraId="19C4FC68" w14:textId="5EF05704" w:rsidR="004628D2" w:rsidRDefault="00091390" w:rsidP="008B3412">
      <w:pPr>
        <w:pStyle w:val="CETReferencetext"/>
      </w:pPr>
      <w:r w:rsidRPr="00091390">
        <w:rPr>
          <w:lang w:val="en-US"/>
        </w:rPr>
        <w:t xml:space="preserve">Vargas, R. E. V., </w:t>
      </w:r>
      <w:proofErr w:type="spellStart"/>
      <w:r w:rsidRPr="00091390">
        <w:rPr>
          <w:lang w:val="en-US"/>
        </w:rPr>
        <w:t>Munaro</w:t>
      </w:r>
      <w:proofErr w:type="spellEnd"/>
      <w:r w:rsidRPr="00091390">
        <w:rPr>
          <w:lang w:val="en-US"/>
        </w:rPr>
        <w:t xml:space="preserve">, C. J., Ciarelli, P. M., Medeiros, A. G., Amaral, B. G., Barrionuevo, D. C., Araújo, J. C. D., Ribeiro, J. L., Magalhães, L. P., 2019, </w:t>
      </w:r>
      <w:r w:rsidRPr="00091390">
        <w:rPr>
          <w:i/>
          <w:iCs/>
          <w:lang w:val="en-US"/>
        </w:rPr>
        <w:t>A realistic and public dataset with rare undesirable real events in oil wells</w:t>
      </w:r>
      <w:r w:rsidRPr="00091390">
        <w:rPr>
          <w:lang w:val="en-US"/>
        </w:rPr>
        <w:t>, Journal of Petroleum Science and Engineering, v. 181, p. 106223.</w:t>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8A542" w14:textId="77777777" w:rsidR="00F01561" w:rsidRDefault="00F01561" w:rsidP="004F5E36">
      <w:r>
        <w:separator/>
      </w:r>
    </w:p>
  </w:endnote>
  <w:endnote w:type="continuationSeparator" w:id="0">
    <w:p w14:paraId="70BC3749" w14:textId="77777777" w:rsidR="00F01561" w:rsidRDefault="00F015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CB2E" w14:textId="77777777" w:rsidR="00F01561" w:rsidRDefault="00F01561" w:rsidP="004F5E36">
      <w:r>
        <w:separator/>
      </w:r>
    </w:p>
  </w:footnote>
  <w:footnote w:type="continuationSeparator" w:id="0">
    <w:p w14:paraId="70ABFEAA" w14:textId="77777777" w:rsidR="00F01561" w:rsidRDefault="00F0156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57E1"/>
    <w:rsid w:val="0003148D"/>
    <w:rsid w:val="00031EEC"/>
    <w:rsid w:val="00051566"/>
    <w:rsid w:val="000562A9"/>
    <w:rsid w:val="00062A9A"/>
    <w:rsid w:val="00065058"/>
    <w:rsid w:val="00086C39"/>
    <w:rsid w:val="00091390"/>
    <w:rsid w:val="000A03B2"/>
    <w:rsid w:val="000B7E24"/>
    <w:rsid w:val="000D0268"/>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479E1"/>
    <w:rsid w:val="00150E59"/>
    <w:rsid w:val="00152DE3"/>
    <w:rsid w:val="00164CF9"/>
    <w:rsid w:val="0016668E"/>
    <w:rsid w:val="001667A6"/>
    <w:rsid w:val="0017593D"/>
    <w:rsid w:val="0018171E"/>
    <w:rsid w:val="00184AD6"/>
    <w:rsid w:val="001A4AF7"/>
    <w:rsid w:val="001B0349"/>
    <w:rsid w:val="001B1E93"/>
    <w:rsid w:val="001B65C1"/>
    <w:rsid w:val="001C260F"/>
    <w:rsid w:val="001C5C3A"/>
    <w:rsid w:val="001C684B"/>
    <w:rsid w:val="001D0CFB"/>
    <w:rsid w:val="001D21AF"/>
    <w:rsid w:val="001D3D32"/>
    <w:rsid w:val="001D53FC"/>
    <w:rsid w:val="001F1E16"/>
    <w:rsid w:val="001F42A5"/>
    <w:rsid w:val="001F7B9D"/>
    <w:rsid w:val="00201C93"/>
    <w:rsid w:val="002224B4"/>
    <w:rsid w:val="00234B41"/>
    <w:rsid w:val="002447EF"/>
    <w:rsid w:val="00251550"/>
    <w:rsid w:val="00263B05"/>
    <w:rsid w:val="0027221A"/>
    <w:rsid w:val="00275B61"/>
    <w:rsid w:val="00280FAF"/>
    <w:rsid w:val="00282656"/>
    <w:rsid w:val="002848C0"/>
    <w:rsid w:val="00296A65"/>
    <w:rsid w:val="00296B83"/>
    <w:rsid w:val="002B4015"/>
    <w:rsid w:val="002B78CE"/>
    <w:rsid w:val="002C2FB6"/>
    <w:rsid w:val="002E5FA7"/>
    <w:rsid w:val="002F3309"/>
    <w:rsid w:val="003008CE"/>
    <w:rsid w:val="003009B7"/>
    <w:rsid w:val="00300E56"/>
    <w:rsid w:val="0030152C"/>
    <w:rsid w:val="0030469C"/>
    <w:rsid w:val="00304CE8"/>
    <w:rsid w:val="003217F2"/>
    <w:rsid w:val="00321CA6"/>
    <w:rsid w:val="00323763"/>
    <w:rsid w:val="00323C5F"/>
    <w:rsid w:val="00326401"/>
    <w:rsid w:val="00334C09"/>
    <w:rsid w:val="003723D4"/>
    <w:rsid w:val="00381905"/>
    <w:rsid w:val="00384CC8"/>
    <w:rsid w:val="003871FD"/>
    <w:rsid w:val="003A1E30"/>
    <w:rsid w:val="003A2829"/>
    <w:rsid w:val="003A7D1C"/>
    <w:rsid w:val="003B304B"/>
    <w:rsid w:val="003B3146"/>
    <w:rsid w:val="003B49CD"/>
    <w:rsid w:val="003C675E"/>
    <w:rsid w:val="003D1E02"/>
    <w:rsid w:val="003F015E"/>
    <w:rsid w:val="00400414"/>
    <w:rsid w:val="0041446B"/>
    <w:rsid w:val="0044071E"/>
    <w:rsid w:val="0044329C"/>
    <w:rsid w:val="00447123"/>
    <w:rsid w:val="00453E24"/>
    <w:rsid w:val="00457456"/>
    <w:rsid w:val="004577FE"/>
    <w:rsid w:val="00457B9C"/>
    <w:rsid w:val="0046164A"/>
    <w:rsid w:val="004628D2"/>
    <w:rsid w:val="00462DCD"/>
    <w:rsid w:val="004648AD"/>
    <w:rsid w:val="004703A9"/>
    <w:rsid w:val="004760DE"/>
    <w:rsid w:val="004763D7"/>
    <w:rsid w:val="004A004E"/>
    <w:rsid w:val="004A24CF"/>
    <w:rsid w:val="004B62D7"/>
    <w:rsid w:val="004C3D1D"/>
    <w:rsid w:val="004C3D84"/>
    <w:rsid w:val="004C7913"/>
    <w:rsid w:val="004E3341"/>
    <w:rsid w:val="004E4DD6"/>
    <w:rsid w:val="004F5E36"/>
    <w:rsid w:val="00507B47"/>
    <w:rsid w:val="00507BEF"/>
    <w:rsid w:val="00507CC9"/>
    <w:rsid w:val="005119A5"/>
    <w:rsid w:val="005278B7"/>
    <w:rsid w:val="00532016"/>
    <w:rsid w:val="005346C8"/>
    <w:rsid w:val="00543E7D"/>
    <w:rsid w:val="00547A68"/>
    <w:rsid w:val="005531C9"/>
    <w:rsid w:val="00554879"/>
    <w:rsid w:val="00564C3D"/>
    <w:rsid w:val="00570C43"/>
    <w:rsid w:val="00580BB9"/>
    <w:rsid w:val="00592274"/>
    <w:rsid w:val="005B2110"/>
    <w:rsid w:val="005B350B"/>
    <w:rsid w:val="005B61E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26342"/>
    <w:rsid w:val="00631B33"/>
    <w:rsid w:val="0064184D"/>
    <w:rsid w:val="006422CC"/>
    <w:rsid w:val="00651D18"/>
    <w:rsid w:val="00660E3E"/>
    <w:rsid w:val="00662E74"/>
    <w:rsid w:val="00680C23"/>
    <w:rsid w:val="00683E23"/>
    <w:rsid w:val="00693766"/>
    <w:rsid w:val="006A3281"/>
    <w:rsid w:val="006A6DE5"/>
    <w:rsid w:val="006B4888"/>
    <w:rsid w:val="006C2E45"/>
    <w:rsid w:val="006C359C"/>
    <w:rsid w:val="006C5579"/>
    <w:rsid w:val="006D6E8B"/>
    <w:rsid w:val="006D7209"/>
    <w:rsid w:val="006E737D"/>
    <w:rsid w:val="00701A3E"/>
    <w:rsid w:val="00707DD1"/>
    <w:rsid w:val="00713973"/>
    <w:rsid w:val="00720A24"/>
    <w:rsid w:val="00732386"/>
    <w:rsid w:val="0073514D"/>
    <w:rsid w:val="00744254"/>
    <w:rsid w:val="007447F3"/>
    <w:rsid w:val="0075499F"/>
    <w:rsid w:val="007661C8"/>
    <w:rsid w:val="007705AA"/>
    <w:rsid w:val="0077098D"/>
    <w:rsid w:val="00785BF9"/>
    <w:rsid w:val="007931FA"/>
    <w:rsid w:val="007A4861"/>
    <w:rsid w:val="007A7BBA"/>
    <w:rsid w:val="007B0C50"/>
    <w:rsid w:val="007B48F9"/>
    <w:rsid w:val="007C1A43"/>
    <w:rsid w:val="007D0951"/>
    <w:rsid w:val="007D0E3C"/>
    <w:rsid w:val="007D610D"/>
    <w:rsid w:val="0080013E"/>
    <w:rsid w:val="00801759"/>
    <w:rsid w:val="008027E1"/>
    <w:rsid w:val="00805DC5"/>
    <w:rsid w:val="00813288"/>
    <w:rsid w:val="008168FC"/>
    <w:rsid w:val="0082085D"/>
    <w:rsid w:val="00830996"/>
    <w:rsid w:val="008345F1"/>
    <w:rsid w:val="00865B07"/>
    <w:rsid w:val="00865E14"/>
    <w:rsid w:val="008667EA"/>
    <w:rsid w:val="00867967"/>
    <w:rsid w:val="0087637F"/>
    <w:rsid w:val="00892AD5"/>
    <w:rsid w:val="008A1512"/>
    <w:rsid w:val="008B3412"/>
    <w:rsid w:val="008D32B9"/>
    <w:rsid w:val="008D433B"/>
    <w:rsid w:val="008D4A16"/>
    <w:rsid w:val="008E5401"/>
    <w:rsid w:val="008E566E"/>
    <w:rsid w:val="008F57C0"/>
    <w:rsid w:val="0090161A"/>
    <w:rsid w:val="00901EB6"/>
    <w:rsid w:val="009041F8"/>
    <w:rsid w:val="00904C62"/>
    <w:rsid w:val="00922BA8"/>
    <w:rsid w:val="00924DAC"/>
    <w:rsid w:val="00927058"/>
    <w:rsid w:val="00942750"/>
    <w:rsid w:val="009450CE"/>
    <w:rsid w:val="009459BB"/>
    <w:rsid w:val="00947179"/>
    <w:rsid w:val="0095164B"/>
    <w:rsid w:val="00954090"/>
    <w:rsid w:val="009573E7"/>
    <w:rsid w:val="00963E05"/>
    <w:rsid w:val="0096498B"/>
    <w:rsid w:val="00964A45"/>
    <w:rsid w:val="00967843"/>
    <w:rsid w:val="00967D54"/>
    <w:rsid w:val="00971028"/>
    <w:rsid w:val="009749C2"/>
    <w:rsid w:val="00993B84"/>
    <w:rsid w:val="00994C6A"/>
    <w:rsid w:val="00996483"/>
    <w:rsid w:val="00996F5A"/>
    <w:rsid w:val="009B041A"/>
    <w:rsid w:val="009B6E57"/>
    <w:rsid w:val="009C37C3"/>
    <w:rsid w:val="009C7C86"/>
    <w:rsid w:val="009D2FF7"/>
    <w:rsid w:val="009E19E1"/>
    <w:rsid w:val="009E7884"/>
    <w:rsid w:val="009E788A"/>
    <w:rsid w:val="009F0E08"/>
    <w:rsid w:val="00A079AE"/>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AF2463"/>
    <w:rsid w:val="00B00F39"/>
    <w:rsid w:val="00B02C8A"/>
    <w:rsid w:val="00B114FC"/>
    <w:rsid w:val="00B17FBD"/>
    <w:rsid w:val="00B315A6"/>
    <w:rsid w:val="00B31813"/>
    <w:rsid w:val="00B33365"/>
    <w:rsid w:val="00B57B36"/>
    <w:rsid w:val="00B57E6F"/>
    <w:rsid w:val="00B8686D"/>
    <w:rsid w:val="00B93F69"/>
    <w:rsid w:val="00BA2569"/>
    <w:rsid w:val="00BA6830"/>
    <w:rsid w:val="00BB1DDC"/>
    <w:rsid w:val="00BC30C9"/>
    <w:rsid w:val="00BD077D"/>
    <w:rsid w:val="00BE3E58"/>
    <w:rsid w:val="00BF13CE"/>
    <w:rsid w:val="00C01616"/>
    <w:rsid w:val="00C0162B"/>
    <w:rsid w:val="00C068ED"/>
    <w:rsid w:val="00C22E0C"/>
    <w:rsid w:val="00C345B1"/>
    <w:rsid w:val="00C34B44"/>
    <w:rsid w:val="00C40142"/>
    <w:rsid w:val="00C52C3C"/>
    <w:rsid w:val="00C57182"/>
    <w:rsid w:val="00C57863"/>
    <w:rsid w:val="00C640AF"/>
    <w:rsid w:val="00C655FD"/>
    <w:rsid w:val="00C75407"/>
    <w:rsid w:val="00C75C86"/>
    <w:rsid w:val="00C841C6"/>
    <w:rsid w:val="00C870A8"/>
    <w:rsid w:val="00C94434"/>
    <w:rsid w:val="00CA0D75"/>
    <w:rsid w:val="00CA1C95"/>
    <w:rsid w:val="00CA5A9C"/>
    <w:rsid w:val="00CB4DAF"/>
    <w:rsid w:val="00CC4C20"/>
    <w:rsid w:val="00CD3517"/>
    <w:rsid w:val="00CD5FE2"/>
    <w:rsid w:val="00CE7C68"/>
    <w:rsid w:val="00D02B4C"/>
    <w:rsid w:val="00D040C4"/>
    <w:rsid w:val="00D1380D"/>
    <w:rsid w:val="00D20AD1"/>
    <w:rsid w:val="00D2582C"/>
    <w:rsid w:val="00D46B7E"/>
    <w:rsid w:val="00D57C84"/>
    <w:rsid w:val="00D6057D"/>
    <w:rsid w:val="00D710B7"/>
    <w:rsid w:val="00D71640"/>
    <w:rsid w:val="00D77349"/>
    <w:rsid w:val="00D836C5"/>
    <w:rsid w:val="00D84576"/>
    <w:rsid w:val="00D874AF"/>
    <w:rsid w:val="00DA1399"/>
    <w:rsid w:val="00DA24C6"/>
    <w:rsid w:val="00DA4D7B"/>
    <w:rsid w:val="00DC2840"/>
    <w:rsid w:val="00DC30C6"/>
    <w:rsid w:val="00DC73EE"/>
    <w:rsid w:val="00DD271C"/>
    <w:rsid w:val="00DE264A"/>
    <w:rsid w:val="00DE4C36"/>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EF47F3"/>
    <w:rsid w:val="00F01561"/>
    <w:rsid w:val="00F067C3"/>
    <w:rsid w:val="00F3049E"/>
    <w:rsid w:val="00F30C64"/>
    <w:rsid w:val="00F32BA2"/>
    <w:rsid w:val="00F32CDB"/>
    <w:rsid w:val="00F41EE4"/>
    <w:rsid w:val="00F565FE"/>
    <w:rsid w:val="00F63A70"/>
    <w:rsid w:val="00F63D8C"/>
    <w:rsid w:val="00F7534E"/>
    <w:rsid w:val="00F75390"/>
    <w:rsid w:val="00F93EDF"/>
    <w:rsid w:val="00FA1802"/>
    <w:rsid w:val="00FA21D0"/>
    <w:rsid w:val="00FA5F5F"/>
    <w:rsid w:val="00FB730C"/>
    <w:rsid w:val="00FC2695"/>
    <w:rsid w:val="00FC3E03"/>
    <w:rsid w:val="00FC3FC1"/>
    <w:rsid w:val="00FC7BED"/>
    <w:rsid w:val="00FD42FF"/>
    <w:rsid w:val="00FF660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 w:type="character" w:customStyle="1" w:styleId="apple-tab-span">
    <w:name w:val="apple-tab-span"/>
    <w:basedOn w:val="Fontepargpadro"/>
    <w:rsid w:val="00B114FC"/>
  </w:style>
  <w:style w:type="character" w:styleId="MenoPendente">
    <w:name w:val="Unresolved Mention"/>
    <w:basedOn w:val="Fontepargpadro"/>
    <w:uiPriority w:val="99"/>
    <w:semiHidden/>
    <w:unhideWhenUsed/>
    <w:rsid w:val="00091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6823">
      <w:bodyDiv w:val="1"/>
      <w:marLeft w:val="0"/>
      <w:marRight w:val="0"/>
      <w:marTop w:val="0"/>
      <w:marBottom w:val="0"/>
      <w:divBdr>
        <w:top w:val="none" w:sz="0" w:space="0" w:color="auto"/>
        <w:left w:val="none" w:sz="0" w:space="0" w:color="auto"/>
        <w:bottom w:val="none" w:sz="0" w:space="0" w:color="auto"/>
        <w:right w:val="none" w:sz="0" w:space="0" w:color="auto"/>
      </w:divBdr>
    </w:div>
    <w:div w:id="53820123">
      <w:bodyDiv w:val="1"/>
      <w:marLeft w:val="0"/>
      <w:marRight w:val="0"/>
      <w:marTop w:val="0"/>
      <w:marBottom w:val="0"/>
      <w:divBdr>
        <w:top w:val="none" w:sz="0" w:space="0" w:color="auto"/>
        <w:left w:val="none" w:sz="0" w:space="0" w:color="auto"/>
        <w:bottom w:val="none" w:sz="0" w:space="0" w:color="auto"/>
        <w:right w:val="none" w:sz="0" w:space="0" w:color="auto"/>
      </w:divBdr>
    </w:div>
    <w:div w:id="98843810">
      <w:bodyDiv w:val="1"/>
      <w:marLeft w:val="0"/>
      <w:marRight w:val="0"/>
      <w:marTop w:val="0"/>
      <w:marBottom w:val="0"/>
      <w:divBdr>
        <w:top w:val="none" w:sz="0" w:space="0" w:color="auto"/>
        <w:left w:val="none" w:sz="0" w:space="0" w:color="auto"/>
        <w:bottom w:val="none" w:sz="0" w:space="0" w:color="auto"/>
        <w:right w:val="none" w:sz="0" w:space="0" w:color="auto"/>
      </w:divBdr>
    </w:div>
    <w:div w:id="148711311">
      <w:bodyDiv w:val="1"/>
      <w:marLeft w:val="0"/>
      <w:marRight w:val="0"/>
      <w:marTop w:val="0"/>
      <w:marBottom w:val="0"/>
      <w:divBdr>
        <w:top w:val="none" w:sz="0" w:space="0" w:color="auto"/>
        <w:left w:val="none" w:sz="0" w:space="0" w:color="auto"/>
        <w:bottom w:val="none" w:sz="0" w:space="0" w:color="auto"/>
        <w:right w:val="none" w:sz="0" w:space="0" w:color="auto"/>
      </w:divBdr>
    </w:div>
    <w:div w:id="227572621">
      <w:bodyDiv w:val="1"/>
      <w:marLeft w:val="0"/>
      <w:marRight w:val="0"/>
      <w:marTop w:val="0"/>
      <w:marBottom w:val="0"/>
      <w:divBdr>
        <w:top w:val="none" w:sz="0" w:space="0" w:color="auto"/>
        <w:left w:val="none" w:sz="0" w:space="0" w:color="auto"/>
        <w:bottom w:val="none" w:sz="0" w:space="0" w:color="auto"/>
        <w:right w:val="none" w:sz="0" w:space="0" w:color="auto"/>
      </w:divBdr>
    </w:div>
    <w:div w:id="278146921">
      <w:bodyDiv w:val="1"/>
      <w:marLeft w:val="0"/>
      <w:marRight w:val="0"/>
      <w:marTop w:val="0"/>
      <w:marBottom w:val="0"/>
      <w:divBdr>
        <w:top w:val="none" w:sz="0" w:space="0" w:color="auto"/>
        <w:left w:val="none" w:sz="0" w:space="0" w:color="auto"/>
        <w:bottom w:val="none" w:sz="0" w:space="0" w:color="auto"/>
        <w:right w:val="none" w:sz="0" w:space="0" w:color="auto"/>
      </w:divBdr>
    </w:div>
    <w:div w:id="358940964">
      <w:bodyDiv w:val="1"/>
      <w:marLeft w:val="0"/>
      <w:marRight w:val="0"/>
      <w:marTop w:val="0"/>
      <w:marBottom w:val="0"/>
      <w:divBdr>
        <w:top w:val="none" w:sz="0" w:space="0" w:color="auto"/>
        <w:left w:val="none" w:sz="0" w:space="0" w:color="auto"/>
        <w:bottom w:val="none" w:sz="0" w:space="0" w:color="auto"/>
        <w:right w:val="none" w:sz="0" w:space="0" w:color="auto"/>
      </w:divBdr>
    </w:div>
    <w:div w:id="406995724">
      <w:bodyDiv w:val="1"/>
      <w:marLeft w:val="0"/>
      <w:marRight w:val="0"/>
      <w:marTop w:val="0"/>
      <w:marBottom w:val="0"/>
      <w:divBdr>
        <w:top w:val="none" w:sz="0" w:space="0" w:color="auto"/>
        <w:left w:val="none" w:sz="0" w:space="0" w:color="auto"/>
        <w:bottom w:val="none" w:sz="0" w:space="0" w:color="auto"/>
        <w:right w:val="none" w:sz="0" w:space="0" w:color="auto"/>
      </w:divBdr>
    </w:div>
    <w:div w:id="421802116">
      <w:bodyDiv w:val="1"/>
      <w:marLeft w:val="0"/>
      <w:marRight w:val="0"/>
      <w:marTop w:val="0"/>
      <w:marBottom w:val="0"/>
      <w:divBdr>
        <w:top w:val="none" w:sz="0" w:space="0" w:color="auto"/>
        <w:left w:val="none" w:sz="0" w:space="0" w:color="auto"/>
        <w:bottom w:val="none" w:sz="0" w:space="0" w:color="auto"/>
        <w:right w:val="none" w:sz="0" w:space="0" w:color="auto"/>
      </w:divBdr>
    </w:div>
    <w:div w:id="600722926">
      <w:bodyDiv w:val="1"/>
      <w:marLeft w:val="0"/>
      <w:marRight w:val="0"/>
      <w:marTop w:val="0"/>
      <w:marBottom w:val="0"/>
      <w:divBdr>
        <w:top w:val="none" w:sz="0" w:space="0" w:color="auto"/>
        <w:left w:val="none" w:sz="0" w:space="0" w:color="auto"/>
        <w:bottom w:val="none" w:sz="0" w:space="0" w:color="auto"/>
        <w:right w:val="none" w:sz="0" w:space="0" w:color="auto"/>
      </w:divBdr>
    </w:div>
    <w:div w:id="648292507">
      <w:bodyDiv w:val="1"/>
      <w:marLeft w:val="0"/>
      <w:marRight w:val="0"/>
      <w:marTop w:val="0"/>
      <w:marBottom w:val="0"/>
      <w:divBdr>
        <w:top w:val="none" w:sz="0" w:space="0" w:color="auto"/>
        <w:left w:val="none" w:sz="0" w:space="0" w:color="auto"/>
        <w:bottom w:val="none" w:sz="0" w:space="0" w:color="auto"/>
        <w:right w:val="none" w:sz="0" w:space="0" w:color="auto"/>
      </w:divBdr>
    </w:div>
    <w:div w:id="65746179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050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02418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612">
      <w:bodyDiv w:val="1"/>
      <w:marLeft w:val="0"/>
      <w:marRight w:val="0"/>
      <w:marTop w:val="0"/>
      <w:marBottom w:val="0"/>
      <w:divBdr>
        <w:top w:val="none" w:sz="0" w:space="0" w:color="auto"/>
        <w:left w:val="none" w:sz="0" w:space="0" w:color="auto"/>
        <w:bottom w:val="none" w:sz="0" w:space="0" w:color="auto"/>
        <w:right w:val="none" w:sz="0" w:space="0" w:color="auto"/>
      </w:divBdr>
    </w:div>
    <w:div w:id="1325158939">
      <w:bodyDiv w:val="1"/>
      <w:marLeft w:val="0"/>
      <w:marRight w:val="0"/>
      <w:marTop w:val="0"/>
      <w:marBottom w:val="0"/>
      <w:divBdr>
        <w:top w:val="none" w:sz="0" w:space="0" w:color="auto"/>
        <w:left w:val="none" w:sz="0" w:space="0" w:color="auto"/>
        <w:bottom w:val="none" w:sz="0" w:space="0" w:color="auto"/>
        <w:right w:val="none" w:sz="0" w:space="0" w:color="auto"/>
      </w:divBdr>
    </w:div>
    <w:div w:id="1331636258">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7720594">
      <w:bodyDiv w:val="1"/>
      <w:marLeft w:val="0"/>
      <w:marRight w:val="0"/>
      <w:marTop w:val="0"/>
      <w:marBottom w:val="0"/>
      <w:divBdr>
        <w:top w:val="none" w:sz="0" w:space="0" w:color="auto"/>
        <w:left w:val="none" w:sz="0" w:space="0" w:color="auto"/>
        <w:bottom w:val="none" w:sz="0" w:space="0" w:color="auto"/>
        <w:right w:val="none" w:sz="0" w:space="0" w:color="auto"/>
      </w:divBdr>
    </w:div>
    <w:div w:id="1559196891">
      <w:bodyDiv w:val="1"/>
      <w:marLeft w:val="0"/>
      <w:marRight w:val="0"/>
      <w:marTop w:val="0"/>
      <w:marBottom w:val="0"/>
      <w:divBdr>
        <w:top w:val="none" w:sz="0" w:space="0" w:color="auto"/>
        <w:left w:val="none" w:sz="0" w:space="0" w:color="auto"/>
        <w:bottom w:val="none" w:sz="0" w:space="0" w:color="auto"/>
        <w:right w:val="none" w:sz="0" w:space="0" w:color="auto"/>
      </w:divBdr>
    </w:div>
    <w:div w:id="1636791748">
      <w:bodyDiv w:val="1"/>
      <w:marLeft w:val="0"/>
      <w:marRight w:val="0"/>
      <w:marTop w:val="0"/>
      <w:marBottom w:val="0"/>
      <w:divBdr>
        <w:top w:val="none" w:sz="0" w:space="0" w:color="auto"/>
        <w:left w:val="none" w:sz="0" w:space="0" w:color="auto"/>
        <w:bottom w:val="none" w:sz="0" w:space="0" w:color="auto"/>
        <w:right w:val="none" w:sz="0" w:space="0" w:color="auto"/>
      </w:divBdr>
    </w:div>
    <w:div w:id="1643122517">
      <w:bodyDiv w:val="1"/>
      <w:marLeft w:val="0"/>
      <w:marRight w:val="0"/>
      <w:marTop w:val="0"/>
      <w:marBottom w:val="0"/>
      <w:divBdr>
        <w:top w:val="none" w:sz="0" w:space="0" w:color="auto"/>
        <w:left w:val="none" w:sz="0" w:space="0" w:color="auto"/>
        <w:bottom w:val="none" w:sz="0" w:space="0" w:color="auto"/>
        <w:right w:val="none" w:sz="0" w:space="0" w:color="auto"/>
      </w:divBdr>
    </w:div>
    <w:div w:id="1651522526">
      <w:bodyDiv w:val="1"/>
      <w:marLeft w:val="0"/>
      <w:marRight w:val="0"/>
      <w:marTop w:val="0"/>
      <w:marBottom w:val="0"/>
      <w:divBdr>
        <w:top w:val="none" w:sz="0" w:space="0" w:color="auto"/>
        <w:left w:val="none" w:sz="0" w:space="0" w:color="auto"/>
        <w:bottom w:val="none" w:sz="0" w:space="0" w:color="auto"/>
        <w:right w:val="none" w:sz="0" w:space="0" w:color="auto"/>
      </w:divBdr>
    </w:div>
    <w:div w:id="167962295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1354">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1610200">
      <w:bodyDiv w:val="1"/>
      <w:marLeft w:val="0"/>
      <w:marRight w:val="0"/>
      <w:marTop w:val="0"/>
      <w:marBottom w:val="0"/>
      <w:divBdr>
        <w:top w:val="none" w:sz="0" w:space="0" w:color="auto"/>
        <w:left w:val="none" w:sz="0" w:space="0" w:color="auto"/>
        <w:bottom w:val="none" w:sz="0" w:space="0" w:color="auto"/>
        <w:right w:val="none" w:sz="0" w:space="0" w:color="auto"/>
      </w:divBdr>
    </w:div>
    <w:div w:id="203850034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3288</Words>
  <Characters>17757</Characters>
  <Application>Microsoft Office Word</Application>
  <DocSecurity>0</DocSecurity>
  <Lines>147</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Lorraine Oliveira</cp:lastModifiedBy>
  <cp:revision>2</cp:revision>
  <cp:lastPrinted>2015-05-12T18:31:00Z</cp:lastPrinted>
  <dcterms:created xsi:type="dcterms:W3CDTF">2025-03-14T15:07:00Z</dcterms:created>
  <dcterms:modified xsi:type="dcterms:W3CDTF">2025-03-14T15:07:00Z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