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Hlk181873319"/>
            <w:bookmarkStart w:id="1" w:name="_Hlk145068772"/>
            <w:bookmarkEnd w:id="0"/>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47EF826C"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785BF9">
              <w:rPr>
                <w:rFonts w:cs="Arial"/>
                <w:b/>
                <w:bCs/>
                <w:i/>
                <w:iCs/>
                <w:color w:val="000066"/>
                <w:sz w:val="22"/>
                <w:szCs w:val="22"/>
                <w:lang w:eastAsia="it-IT"/>
              </w:rPr>
              <w:t xml:space="preserve"> </w:t>
            </w:r>
            <w:r w:rsidR="00994C6A">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994C6A">
              <w:rPr>
                <w:rFonts w:cs="Arial"/>
                <w:b/>
                <w:bCs/>
                <w:i/>
                <w:iCs/>
                <w:color w:val="000066"/>
                <w:sz w:val="22"/>
                <w:szCs w:val="22"/>
                <w:lang w:eastAsia="it-IT"/>
              </w:rPr>
              <w:t>5</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025D7B18" w:rsidR="00AA7D26" w:rsidRPr="007D610D" w:rsidRDefault="00AA7D26" w:rsidP="007D610D">
            <w:pPr>
              <w:ind w:left="-107"/>
              <w:outlineLvl w:val="2"/>
              <w:rPr>
                <w:rFonts w:ascii="Tahoma" w:hAnsi="Tahoma" w:cs="Tahoma"/>
                <w:color w:val="000000"/>
                <w:sz w:val="14"/>
                <w:szCs w:val="14"/>
                <w:shd w:val="clear" w:color="auto" w:fill="FFFFFF"/>
                <w:lang w:val="it-IT"/>
              </w:rPr>
            </w:pPr>
            <w:r w:rsidRPr="007D610D">
              <w:rPr>
                <w:rFonts w:ascii="Tahoma" w:hAnsi="Tahoma" w:cs="Tahoma"/>
                <w:iCs/>
                <w:color w:val="333333"/>
                <w:sz w:val="14"/>
                <w:szCs w:val="14"/>
                <w:lang w:val="it-IT" w:eastAsia="it-IT"/>
              </w:rPr>
              <w:t>Guest Editors:</w:t>
            </w:r>
            <w:r w:rsidR="007D610D" w:rsidRPr="007D610D">
              <w:rPr>
                <w:rFonts w:ascii="Aptos" w:eastAsiaTheme="minorHAnsi" w:hAnsi="Aptos" w:cs="Aptos"/>
                <w:sz w:val="22"/>
                <w:szCs w:val="22"/>
                <w:lang w:val="it-IT"/>
                <w14:ligatures w14:val="standardContextual"/>
              </w:rPr>
              <w:t xml:space="preserve"> </w:t>
            </w:r>
            <w:r w:rsidR="007D610D" w:rsidRPr="007D610D">
              <w:rPr>
                <w:rFonts w:ascii="Tahoma" w:hAnsi="Tahoma" w:cs="Tahoma"/>
                <w:color w:val="000000"/>
                <w:sz w:val="14"/>
                <w:szCs w:val="14"/>
                <w:shd w:val="clear" w:color="auto" w:fill="FFFFFF"/>
                <w:lang w:val="it-IT"/>
              </w:rPr>
              <w:t xml:space="preserve">Fabrizio Bezzo, </w:t>
            </w:r>
            <w:r w:rsidR="001D3D32">
              <w:rPr>
                <w:rFonts w:ascii="Tahoma" w:hAnsi="Tahoma" w:cs="Tahoma"/>
                <w:color w:val="000000"/>
                <w:sz w:val="14"/>
                <w:szCs w:val="14"/>
                <w:shd w:val="clear" w:color="auto" w:fill="FFFFFF"/>
                <w:lang w:val="it-IT"/>
              </w:rPr>
              <w:t>Flavio Manenti</w:t>
            </w:r>
            <w:r w:rsidR="00304CE8">
              <w:rPr>
                <w:rFonts w:ascii="Tahoma" w:hAnsi="Tahoma" w:cs="Tahoma"/>
                <w:color w:val="000000"/>
                <w:sz w:val="14"/>
                <w:szCs w:val="14"/>
                <w:shd w:val="clear" w:color="auto" w:fill="FFFFFF"/>
                <w:lang w:val="it-IT"/>
              </w:rPr>
              <w:t>,</w:t>
            </w:r>
            <w:r w:rsidR="001D3D32">
              <w:rPr>
                <w:rFonts w:ascii="Tahoma" w:hAnsi="Tahoma" w:cs="Tahoma"/>
                <w:color w:val="000000"/>
                <w:sz w:val="14"/>
                <w:szCs w:val="14"/>
                <w:shd w:val="clear" w:color="auto" w:fill="FFFFFF"/>
                <w:lang w:val="it-IT"/>
              </w:rPr>
              <w:t xml:space="preserve"> </w:t>
            </w:r>
            <w:r w:rsidR="007D610D" w:rsidRPr="007D610D">
              <w:rPr>
                <w:rFonts w:ascii="Tahoma" w:hAnsi="Tahoma" w:cs="Tahoma"/>
                <w:color w:val="000000"/>
                <w:sz w:val="14"/>
                <w:szCs w:val="14"/>
                <w:shd w:val="clear" w:color="auto" w:fill="FFFFFF"/>
                <w:lang w:val="it-IT"/>
              </w:rPr>
              <w:t>Gabriele Pannocchia, Almerinda di Benedetto</w:t>
            </w:r>
          </w:p>
          <w:p w14:paraId="1B0F1814" w14:textId="7C54DC3A"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994C6A">
              <w:rPr>
                <w:rFonts w:ascii="Tahoma" w:hAnsi="Tahoma" w:cs="Tahoma"/>
                <w:iCs/>
                <w:color w:val="333333"/>
                <w:sz w:val="14"/>
                <w:szCs w:val="14"/>
                <w:lang w:eastAsia="it-IT"/>
              </w:rPr>
              <w:t>5</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3B49CD" w:rsidRPr="000562A9">
              <w:rPr>
                <w:rFonts w:ascii="Tahoma" w:hAnsi="Tahoma" w:cs="Tahoma"/>
                <w:sz w:val="14"/>
                <w:szCs w:val="14"/>
              </w:rPr>
              <w:t>97</w:t>
            </w:r>
            <w:r w:rsidR="003B49CD">
              <w:rPr>
                <w:rFonts w:ascii="Tahoma" w:hAnsi="Tahoma" w:cs="Tahoma"/>
                <w:sz w:val="14"/>
                <w:szCs w:val="14"/>
              </w:rPr>
              <w:t>9</w:t>
            </w:r>
            <w:r w:rsidR="003B49CD" w:rsidRPr="000562A9">
              <w:rPr>
                <w:rFonts w:ascii="Tahoma" w:hAnsi="Tahoma" w:cs="Tahoma"/>
                <w:sz w:val="14"/>
                <w:szCs w:val="14"/>
              </w:rPr>
              <w:t>-</w:t>
            </w:r>
            <w:r w:rsidR="003B49CD">
              <w:rPr>
                <w:rFonts w:ascii="Tahoma" w:hAnsi="Tahoma" w:cs="Tahoma"/>
                <w:sz w:val="14"/>
                <w:szCs w:val="14"/>
              </w:rPr>
              <w:t>12</w:t>
            </w:r>
            <w:r w:rsidR="003B49CD" w:rsidRPr="000562A9">
              <w:rPr>
                <w:rFonts w:ascii="Tahoma" w:hAnsi="Tahoma" w:cs="Tahoma"/>
                <w:sz w:val="14"/>
                <w:szCs w:val="14"/>
              </w:rPr>
              <w:t>-</w:t>
            </w:r>
            <w:r w:rsidR="003B49CD">
              <w:rPr>
                <w:rFonts w:ascii="Tahoma" w:hAnsi="Tahoma" w:cs="Tahoma"/>
                <w:sz w:val="14"/>
                <w:szCs w:val="14"/>
              </w:rPr>
              <w:t>81206-1</w:t>
            </w:r>
            <w:r w:rsidR="00994C6A">
              <w:rPr>
                <w:rFonts w:ascii="Tahoma" w:hAnsi="Tahoma" w:cs="Tahoma"/>
                <w:sz w:val="14"/>
                <w:szCs w:val="14"/>
              </w:rPr>
              <w:t>7</w:t>
            </w:r>
            <w:r w:rsidR="003B49CD">
              <w:rPr>
                <w:rFonts w:ascii="Tahoma" w:hAnsi="Tahoma" w:cs="Tahoma"/>
                <w:sz w:val="14"/>
                <w:szCs w:val="14"/>
              </w:rPr>
              <w:t>-</w:t>
            </w:r>
            <w:r w:rsidR="00994C6A">
              <w:rPr>
                <w:rFonts w:ascii="Tahoma" w:hAnsi="Tahoma" w:cs="Tahoma"/>
                <w:sz w:val="14"/>
                <w:szCs w:val="14"/>
              </w:rPr>
              <w:t>5</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bookmarkEnd w:id="1"/>
    <w:p w14:paraId="2E667253" w14:textId="168A9823" w:rsidR="00E978D0" w:rsidRPr="00B57B36" w:rsidRDefault="001F2B05" w:rsidP="00E978D0">
      <w:pPr>
        <w:pStyle w:val="CETTitle"/>
      </w:pPr>
      <w:r>
        <w:t xml:space="preserve">Environmental impact assessment of the </w:t>
      </w:r>
      <w:r w:rsidR="00511572">
        <w:t xml:space="preserve">               </w:t>
      </w:r>
      <w:r>
        <w:t xml:space="preserve"> </w:t>
      </w:r>
      <w:r w:rsidR="00511572">
        <w:t xml:space="preserve"> RESTORE </w:t>
      </w:r>
      <w:r>
        <w:t>prototype</w:t>
      </w:r>
    </w:p>
    <w:p w14:paraId="0488FED2" w14:textId="1262D93C" w:rsidR="00B57E6F" w:rsidRPr="00B57B36" w:rsidRDefault="001F2B05" w:rsidP="00B57E6F">
      <w:pPr>
        <w:pStyle w:val="CETAuthors"/>
      </w:pPr>
      <w:r>
        <w:t>Alessandra-Diana Selejan</w:t>
      </w:r>
      <w:r w:rsidR="00B21B58">
        <w:t>-Ciubancan</w:t>
      </w:r>
      <w:r w:rsidR="00B57E6F" w:rsidRPr="00B57B36">
        <w:t>*,</w:t>
      </w:r>
      <w:r>
        <w:t xml:space="preserve"> Stefan-Cristian</w:t>
      </w:r>
      <w:r w:rsidR="003D0B15">
        <w:t xml:space="preserve"> </w:t>
      </w:r>
      <w:r>
        <w:t>Galusnyak, Letitia Petrescu, Calin-Cristian Cormos</w:t>
      </w:r>
    </w:p>
    <w:p w14:paraId="0A58D9EE" w14:textId="10010EF0" w:rsidR="001F2B05" w:rsidRDefault="001F2B05" w:rsidP="00B57E6F">
      <w:pPr>
        <w:pStyle w:val="CETAddress"/>
      </w:pPr>
      <w:r w:rsidRPr="001F2B05">
        <w:t>Faculty of Chemistry and Chemical Engineering, Babes-Bolyai University, 11 Arany Janos Street, RO-400028, Cluj-Napoca, Romania</w:t>
      </w:r>
    </w:p>
    <w:p w14:paraId="73F1267A" w14:textId="56885B8D" w:rsidR="00B57E6F" w:rsidRPr="00B57B36" w:rsidRDefault="001F2B05" w:rsidP="00B57E6F">
      <w:pPr>
        <w:pStyle w:val="CETemail"/>
      </w:pPr>
      <w:r>
        <w:t>alessandra.selejan@ubbcluj.ro</w:t>
      </w:r>
    </w:p>
    <w:p w14:paraId="38F76186" w14:textId="23D6032B" w:rsidR="006A6DE5" w:rsidRPr="00AB60B5" w:rsidRDefault="0066646E" w:rsidP="001F2B05">
      <w:pPr>
        <w:pStyle w:val="CETBodytext"/>
      </w:pPr>
      <w:r w:rsidRPr="0066646E">
        <w:rPr>
          <w:lang w:val="en-GB"/>
        </w:rPr>
        <w:t xml:space="preserve">The RESTORE concept aims to store energy by dehydrating copper sulphate when renewable electricity is available (e.g., in the summer when solar power is abundant) and rehydrating it when energy demand is higher (e.g., during winter when consumption rises and energy supplies are scarce). This study is focused on the RESTORE prototype, which combines the Organic Rankine Cycle (ORC)/Heat Pump (HP) with Thermochemical Energy Storage (TCES) technology. Life Cycle Assessment (LCA) was used to evaluate the environmental impact of this setup across specific spatial and temporal limits. Eight environmental KPIs were identified using the </w:t>
      </w:r>
      <w:proofErr w:type="spellStart"/>
      <w:r w:rsidRPr="0066646E">
        <w:rPr>
          <w:lang w:val="en-GB"/>
        </w:rPr>
        <w:t>ReCiPe</w:t>
      </w:r>
      <w:proofErr w:type="spellEnd"/>
      <w:r w:rsidRPr="0066646E">
        <w:rPr>
          <w:lang w:val="en-GB"/>
        </w:rPr>
        <w:t xml:space="preserve"> 2016 impact assessment method, with the LCA for Experts v.10.8 software utilized for the analysis. The generation of 30 kWh of thermal energy was set as the functional unit (FU) for the current study, with the system boundaries including the following: </w:t>
      </w:r>
      <w:proofErr w:type="spellStart"/>
      <w:r w:rsidRPr="0066646E">
        <w:rPr>
          <w:lang w:val="en-GB"/>
        </w:rPr>
        <w:t>i</w:t>
      </w:r>
      <w:proofErr w:type="spellEnd"/>
      <w:r w:rsidRPr="0066646E">
        <w:rPr>
          <w:lang w:val="en-GB"/>
        </w:rPr>
        <w:t xml:space="preserve">) upstream processes—raw materials supply chains including </w:t>
      </w:r>
      <w:proofErr w:type="spellStart"/>
      <w:r w:rsidRPr="0066646E">
        <w:rPr>
          <w:lang w:val="en-GB"/>
        </w:rPr>
        <w:t>Novec</w:t>
      </w:r>
      <w:proofErr w:type="spellEnd"/>
      <w:r w:rsidRPr="0066646E">
        <w:rPr>
          <w:lang w:val="en-GB"/>
        </w:rPr>
        <w:t xml:space="preserve"> 649, CuSO</w:t>
      </w:r>
      <w:r w:rsidRPr="0066646E">
        <w:rPr>
          <w:vertAlign w:val="subscript"/>
          <w:lang w:val="en-GB"/>
        </w:rPr>
        <w:t>4</w:t>
      </w:r>
      <w:r w:rsidRPr="0066646E">
        <w:rPr>
          <w:lang w:val="en-GB"/>
        </w:rPr>
        <w:t>, oil production, as well as construction materials for the RESTORE components; ii) main processes—thermal energy charging and discharging cycles; and iii) downstream processes— wastewater treatment, recycling of CuSO</w:t>
      </w:r>
      <w:r w:rsidRPr="0066646E">
        <w:rPr>
          <w:vertAlign w:val="subscript"/>
          <w:lang w:val="en-GB"/>
        </w:rPr>
        <w:t>4</w:t>
      </w:r>
      <w:r w:rsidRPr="0066646E">
        <w:rPr>
          <w:lang w:val="en-GB"/>
        </w:rPr>
        <w:t xml:space="preserve">, </w:t>
      </w:r>
      <w:proofErr w:type="spellStart"/>
      <w:r w:rsidRPr="0066646E">
        <w:rPr>
          <w:lang w:val="en-GB"/>
        </w:rPr>
        <w:t>Novec</w:t>
      </w:r>
      <w:proofErr w:type="spellEnd"/>
      <w:r w:rsidRPr="0066646E">
        <w:rPr>
          <w:lang w:val="en-GB"/>
        </w:rPr>
        <w:t xml:space="preserve"> 649 and oil. The main impact categories were strongly affected by several subsystems, namely the production of copper that was utilized for producing CuSO</w:t>
      </w:r>
      <w:r w:rsidRPr="0066646E">
        <w:rPr>
          <w:vertAlign w:val="subscript"/>
          <w:lang w:val="en-GB"/>
        </w:rPr>
        <w:t>4</w:t>
      </w:r>
      <w:r w:rsidRPr="0066646E">
        <w:rPr>
          <w:lang w:val="en-GB"/>
        </w:rPr>
        <w:t xml:space="preserve"> and for the materials used in the RESTORE prototype construction. For example, </w:t>
      </w:r>
      <w:proofErr w:type="spellStart"/>
      <w:r w:rsidRPr="0066646E">
        <w:rPr>
          <w:lang w:val="en-GB"/>
        </w:rPr>
        <w:t>HTP</w:t>
      </w:r>
      <w:r w:rsidRPr="0066646E">
        <w:rPr>
          <w:vertAlign w:val="subscript"/>
          <w:lang w:val="en-GB"/>
        </w:rPr>
        <w:t>non</w:t>
      </w:r>
      <w:proofErr w:type="spellEnd"/>
      <w:r w:rsidRPr="0066646E">
        <w:rPr>
          <w:vertAlign w:val="subscript"/>
          <w:lang w:val="en-GB"/>
        </w:rPr>
        <w:t xml:space="preserve">-cancer </w:t>
      </w:r>
      <w:r w:rsidRPr="0066646E">
        <w:rPr>
          <w:lang w:val="en-GB"/>
        </w:rPr>
        <w:t>reached 75.48 kg 1.4-DB eq./h, while TETP summed 726.93 kg 1.4-DB eq./h. Regarding GWP, which stood at 12.15 kg CO</w:t>
      </w:r>
      <w:r w:rsidRPr="0066646E">
        <w:rPr>
          <w:vertAlign w:val="subscript"/>
          <w:lang w:val="en-GB"/>
        </w:rPr>
        <w:t>2</w:t>
      </w:r>
      <w:r w:rsidRPr="0066646E">
        <w:rPr>
          <w:lang w:val="en-GB"/>
        </w:rPr>
        <w:t xml:space="preserve"> eq./h, the most significant contributors were </w:t>
      </w:r>
      <w:proofErr w:type="spellStart"/>
      <w:r w:rsidRPr="0066646E">
        <w:rPr>
          <w:lang w:val="en-GB"/>
        </w:rPr>
        <w:t>Novec</w:t>
      </w:r>
      <w:proofErr w:type="spellEnd"/>
      <w:r w:rsidRPr="0066646E">
        <w:rPr>
          <w:lang w:val="en-GB"/>
        </w:rPr>
        <w:t xml:space="preserve"> 649 production and the energy charging cycle</w:t>
      </w:r>
      <w:r w:rsidR="001F2B05" w:rsidRPr="001F2B05">
        <w:rPr>
          <w:lang w:val="en-GB"/>
        </w:rPr>
        <w:t>.</w:t>
      </w:r>
    </w:p>
    <w:p w14:paraId="476B2F2E" w14:textId="52B36035" w:rsidR="00600535" w:rsidRPr="00B57B36" w:rsidRDefault="00600535" w:rsidP="00600535">
      <w:pPr>
        <w:pStyle w:val="CETHeading1"/>
        <w:rPr>
          <w:lang w:val="en-GB"/>
        </w:rPr>
      </w:pPr>
      <w:r w:rsidRPr="00B57B36">
        <w:rPr>
          <w:lang w:val="en-GB"/>
        </w:rPr>
        <w:t>Introduction</w:t>
      </w:r>
    </w:p>
    <w:p w14:paraId="324463C4" w14:textId="77777777" w:rsidR="0066646E" w:rsidRPr="0066646E" w:rsidRDefault="0066646E" w:rsidP="0066646E">
      <w:pPr>
        <w:pStyle w:val="CETBodytext"/>
        <w:rPr>
          <w:lang w:val="en-GB"/>
        </w:rPr>
      </w:pPr>
      <w:r w:rsidRPr="0066646E">
        <w:rPr>
          <w:lang w:val="en-GB"/>
        </w:rPr>
        <w:t>Global efforts to combat climate change are intensifying due to the alarming rate at which global temperatures are rising—currently increasing by 0.2°C every decade. The international community acknowledges the urgent need to keep global warming well below 2°C, with an aim to limit the increase to 1.5°C. Exceeding 2°C above pre-industrial levels poses severe risks both to human health and the environment, leading to potentially catastrophic changes such as extreme heat events, severe weather patterns, flooding, and ecological disasters (European Commission, 2024). Improving energy efficiency and switching to low-carbon energy sources are essential strategies to lower greenhouse gas emissions and lessen these effects.</w:t>
      </w:r>
    </w:p>
    <w:p w14:paraId="04B4313F" w14:textId="77777777" w:rsidR="0066646E" w:rsidRPr="0066646E" w:rsidRDefault="0066646E" w:rsidP="0066646E">
      <w:pPr>
        <w:pStyle w:val="CETBodytext"/>
        <w:rPr>
          <w:lang w:val="en-GB"/>
        </w:rPr>
      </w:pPr>
      <w:r w:rsidRPr="0066646E">
        <w:rPr>
          <w:lang w:val="en-GB"/>
        </w:rPr>
        <w:t>The domestic heating sector, which accounted for 78% of the total energy consumed by EU-27 households in 2020, is a major target for emission reduction. About 42% of the energy used in this sector comes from fossil fuels, mostly natural gas, prompting a need to replace these systems with more efficient, sustainable, and environmentally friendly alternatives (European Union, 2020). In response, the European Commission promotes the use of renewable energy sources (RES), including biomass, solar, wind, and geothermal energy. However, due to the cyclical nature of these sources, efficient energy storage systems must be developed (</w:t>
      </w:r>
      <w:proofErr w:type="spellStart"/>
      <w:r w:rsidRPr="0066646E">
        <w:rPr>
          <w:lang w:val="en-GB"/>
        </w:rPr>
        <w:t>Cormos</w:t>
      </w:r>
      <w:proofErr w:type="spellEnd"/>
      <w:r w:rsidRPr="0066646E">
        <w:rPr>
          <w:lang w:val="en-GB"/>
        </w:rPr>
        <w:t xml:space="preserve"> et al., 2022). Thermal energy storage technologies are particularly suited to this task, as they can help balance energy supply and demand over time and space (</w:t>
      </w:r>
      <w:proofErr w:type="spellStart"/>
      <w:r w:rsidRPr="0066646E">
        <w:rPr>
          <w:lang w:val="en-GB"/>
        </w:rPr>
        <w:t>Bian</w:t>
      </w:r>
      <w:proofErr w:type="spellEnd"/>
      <w:r w:rsidRPr="0066646E">
        <w:rPr>
          <w:lang w:val="en-GB"/>
        </w:rPr>
        <w:t>, 2020).</w:t>
      </w:r>
    </w:p>
    <w:p w14:paraId="0FD1E59A" w14:textId="77777777" w:rsidR="0066646E" w:rsidRPr="0066646E" w:rsidRDefault="0066646E" w:rsidP="0066646E">
      <w:pPr>
        <w:pStyle w:val="CETBodytext"/>
        <w:rPr>
          <w:lang w:val="en-GB"/>
        </w:rPr>
      </w:pPr>
      <w:r w:rsidRPr="0066646E">
        <w:rPr>
          <w:lang w:val="en-GB"/>
        </w:rPr>
        <w:t>Recent research has highlighted TCES as a promising technology due to its high energy storage density and capacity to retain energy for long periods with minimal losses (</w:t>
      </w:r>
      <w:proofErr w:type="spellStart"/>
      <w:r w:rsidRPr="0066646E">
        <w:rPr>
          <w:lang w:val="en-GB"/>
        </w:rPr>
        <w:t>Kalita</w:t>
      </w:r>
      <w:proofErr w:type="spellEnd"/>
      <w:r w:rsidRPr="0066646E">
        <w:rPr>
          <w:lang w:val="en-GB"/>
        </w:rPr>
        <w:t xml:space="preserve"> et al., 2021). TCES systems can function </w:t>
      </w:r>
      <w:r w:rsidRPr="0066646E">
        <w:rPr>
          <w:lang w:val="en-GB"/>
        </w:rPr>
        <w:lastRenderedPageBreak/>
        <w:t>both in residential and industrial settings, storing and releasing heat through reversible chemical reactions, which transform thermal energy into chemical potential energy (</w:t>
      </w:r>
      <w:proofErr w:type="spellStart"/>
      <w:r w:rsidRPr="0066646E">
        <w:rPr>
          <w:lang w:val="en-GB"/>
        </w:rPr>
        <w:t>Behzadi</w:t>
      </w:r>
      <w:proofErr w:type="spellEnd"/>
      <w:r w:rsidRPr="0066646E">
        <w:rPr>
          <w:lang w:val="en-GB"/>
        </w:rPr>
        <w:t xml:space="preserve"> et al., 2022). When combined with ORC technology, TCES enables a robust integration of RES, facilitating year-round energy utilization and reducing waste (</w:t>
      </w:r>
      <w:proofErr w:type="spellStart"/>
      <w:r w:rsidRPr="0066646E">
        <w:rPr>
          <w:lang w:val="en-GB"/>
        </w:rPr>
        <w:t>Eyidogan</w:t>
      </w:r>
      <w:proofErr w:type="spellEnd"/>
      <w:r w:rsidRPr="0066646E">
        <w:rPr>
          <w:lang w:val="en-GB"/>
        </w:rPr>
        <w:t xml:space="preserve"> et al., 2016).</w:t>
      </w:r>
    </w:p>
    <w:p w14:paraId="026202C4" w14:textId="77777777" w:rsidR="0066646E" w:rsidRPr="0066646E" w:rsidRDefault="0066646E" w:rsidP="0066646E">
      <w:pPr>
        <w:pStyle w:val="CETBodytext"/>
        <w:rPr>
          <w:lang w:val="en-GB"/>
        </w:rPr>
      </w:pPr>
      <w:r w:rsidRPr="0066646E">
        <w:rPr>
          <w:lang w:val="en-GB"/>
        </w:rPr>
        <w:t>The ORC is a reliable and efficient method for generating electricity, particularly from waste heat, biomass, solar, or geothermal sources. Its ability to leverage various low-temperature heat sources for small to medium power generation is one of its standout features, especially since traditional power generation methods struggle with low-grade heat (Wei et al., 2007). As fossil fuel resources dwindle and environmental concerns mount, sustainable and reliable energy generation becomes increasingly important (</w:t>
      </w:r>
      <w:proofErr w:type="spellStart"/>
      <w:r w:rsidRPr="0066646E">
        <w:rPr>
          <w:lang w:val="en-GB"/>
        </w:rPr>
        <w:t>Cormos</w:t>
      </w:r>
      <w:proofErr w:type="spellEnd"/>
      <w:r w:rsidRPr="0066646E">
        <w:rPr>
          <w:lang w:val="en-GB"/>
        </w:rPr>
        <w:t xml:space="preserve"> et al., 2019).</w:t>
      </w:r>
    </w:p>
    <w:p w14:paraId="0510C710" w14:textId="77777777" w:rsidR="0066646E" w:rsidRPr="0066646E" w:rsidRDefault="0066646E" w:rsidP="0066646E">
      <w:pPr>
        <w:pStyle w:val="CETBodytext"/>
        <w:rPr>
          <w:lang w:val="en-GB"/>
        </w:rPr>
      </w:pPr>
      <w:r w:rsidRPr="0066646E">
        <w:rPr>
          <w:lang w:val="en-GB"/>
        </w:rPr>
        <w:t>The RESTORE project, which stands for “Renewable Energy based Seasonal Storage Technology to Raise Economic and Environmental Sustainability,” aims to develop a system that integrates a variety of RES into District Heating and Cooling (DHC) networks. This system will leverage the complementary technologies of TCES and ORC/HP to create a more efficient and flexible energy infrastructure. There are LCA studies done for sections (e.g., ORC or HP) that are included in RESTORE, but not for the whole concept, and the boundary conditions taken into account are different.</w:t>
      </w:r>
    </w:p>
    <w:p w14:paraId="23F86FEF" w14:textId="6FB16A95" w:rsidR="00600535" w:rsidRDefault="0066646E" w:rsidP="0066646E">
      <w:pPr>
        <w:pStyle w:val="CETBodytext"/>
        <w:rPr>
          <w:lang w:val="en-GB"/>
        </w:rPr>
      </w:pPr>
      <w:r w:rsidRPr="0066646E">
        <w:rPr>
          <w:lang w:val="en-GB"/>
        </w:rPr>
        <w:t>The novelty of this paper is the environmental impact assessment, using the LCA methodology, of the integrated technology featured in the RESTORE project. This comprehensive methodology assesses the environmental consequences of combined ORC/HP and TCES technologies over their lifetime. The LCA systematically quantifies emissions and resource use over the life cycle of a product, providing valuable information on the environmental friendliness of these technologies. The assessment helps to identify areas for improvement in design and implementation (</w:t>
      </w:r>
      <w:proofErr w:type="spellStart"/>
      <w:r w:rsidRPr="0066646E">
        <w:rPr>
          <w:lang w:val="en-GB"/>
        </w:rPr>
        <w:t>Galusnyak</w:t>
      </w:r>
      <w:proofErr w:type="spellEnd"/>
      <w:r w:rsidRPr="0066646E">
        <w:rPr>
          <w:lang w:val="en-GB"/>
        </w:rPr>
        <w:t xml:space="preserve"> et al., 2021)</w:t>
      </w:r>
      <w:r w:rsidR="002769D4" w:rsidRPr="002769D4">
        <w:rPr>
          <w:lang w:val="en-GB"/>
        </w:rPr>
        <w:t>.</w:t>
      </w:r>
      <w:r w:rsidR="00600535" w:rsidRPr="00FA5F5F">
        <w:rPr>
          <w:lang w:val="en-GB"/>
        </w:rPr>
        <w:t xml:space="preserve"> </w:t>
      </w:r>
    </w:p>
    <w:p w14:paraId="6F07EEC9" w14:textId="03FFE43F" w:rsidR="002769D4" w:rsidRPr="00B57B36" w:rsidRDefault="002769D4" w:rsidP="002769D4">
      <w:pPr>
        <w:pStyle w:val="CETHeading1"/>
        <w:rPr>
          <w:lang w:val="en-GB"/>
        </w:rPr>
      </w:pPr>
      <w:r>
        <w:rPr>
          <w:lang w:val="en-GB"/>
        </w:rPr>
        <w:t>Methodology</w:t>
      </w:r>
    </w:p>
    <w:p w14:paraId="02A7C52B" w14:textId="4261A868" w:rsidR="0066646E" w:rsidRPr="0066646E" w:rsidRDefault="0066646E" w:rsidP="0066646E">
      <w:pPr>
        <w:pStyle w:val="CETBodytext"/>
        <w:rPr>
          <w:lang w:val="en-GB"/>
        </w:rPr>
      </w:pPr>
      <w:r w:rsidRPr="0066646E">
        <w:rPr>
          <w:lang w:val="en-GB"/>
        </w:rPr>
        <w:t xml:space="preserve">To assess the environmental footprint of a process, LCA serves as an essential tool that follows well-established steps outlined in ISO 14040:2006 (principles and framework) and ISO 14044:2006 (requirements and guidelines). These steps include: defining the Goal and scope, conducting a Life Cycle Inventory (LCI), performing a Life Cycle Impact Assessment (LCIA), and </w:t>
      </w:r>
      <w:proofErr w:type="gramStart"/>
      <w:r>
        <w:rPr>
          <w:lang w:val="en-GB"/>
        </w:rPr>
        <w:t>I</w:t>
      </w:r>
      <w:r w:rsidRPr="0066646E">
        <w:rPr>
          <w:lang w:val="en-GB"/>
        </w:rPr>
        <w:t>nterpreting</w:t>
      </w:r>
      <w:proofErr w:type="gramEnd"/>
      <w:r w:rsidRPr="0066646E">
        <w:rPr>
          <w:lang w:val="en-GB"/>
        </w:rPr>
        <w:t xml:space="preserve"> the results. (</w:t>
      </w:r>
      <w:proofErr w:type="spellStart"/>
      <w:r w:rsidRPr="0066646E">
        <w:rPr>
          <w:lang w:val="en-GB"/>
        </w:rPr>
        <w:t>Klüppel</w:t>
      </w:r>
      <w:proofErr w:type="spellEnd"/>
      <w:r w:rsidRPr="0066646E">
        <w:rPr>
          <w:lang w:val="en-GB"/>
        </w:rPr>
        <w:t>, 2005).</w:t>
      </w:r>
    </w:p>
    <w:p w14:paraId="7943AB74" w14:textId="77777777" w:rsidR="0066646E" w:rsidRPr="0066646E" w:rsidRDefault="0066646E" w:rsidP="0066646E">
      <w:pPr>
        <w:pStyle w:val="CETBodytext"/>
        <w:rPr>
          <w:lang w:val="en-GB"/>
        </w:rPr>
      </w:pPr>
      <w:r w:rsidRPr="0066646E">
        <w:rPr>
          <w:lang w:val="en-GB"/>
        </w:rPr>
        <w:t>By combining two highly innovative technologies, TCES and ORC/HP, the current study aims to quantify and evaluate the environmental impact of a completely novel approach to decarbonizing the heating and cooling sector. By integrating a variety of RESs with appropriate seasonal storage, the concept enables DHC networks to become completely sustainable and greatly enhance their environmental footprint. The process makes use of TCES and ORC/HP, which will serve as a standard for evaluating the RESTORE technology. The study's target audience includes members of DHC networks, and its findings may be useful to decision makers dealing with heating and cooling systems.</w:t>
      </w:r>
    </w:p>
    <w:p w14:paraId="3415811F" w14:textId="77777777" w:rsidR="0066646E" w:rsidRPr="0066646E" w:rsidRDefault="0066646E" w:rsidP="0066646E">
      <w:pPr>
        <w:pStyle w:val="CETBodytext"/>
        <w:rPr>
          <w:lang w:val="en-GB"/>
        </w:rPr>
      </w:pPr>
      <w:r w:rsidRPr="0066646E">
        <w:rPr>
          <w:lang w:val="en-GB"/>
        </w:rPr>
        <w:t>The RESTORE system generated thermal energy to increase the reliability and availability of energy distribution in supply networks. Since the FU for this investigation is 30 kWh of thermal power output, all environmental indicators are reported to it.</w:t>
      </w:r>
    </w:p>
    <w:p w14:paraId="35982DA1" w14:textId="3807561B" w:rsidR="00B74764" w:rsidRDefault="0066646E" w:rsidP="0066646E">
      <w:pPr>
        <w:pStyle w:val="CETBodytext"/>
        <w:rPr>
          <w:lang w:val="en-GB"/>
        </w:rPr>
      </w:pPr>
      <w:r w:rsidRPr="0066646E">
        <w:rPr>
          <w:lang w:val="en-GB"/>
        </w:rPr>
        <w:t>As shown in Figure 1, the cradle-to-gate LCA of this study covers every stage of production, from the supply of raw materials (</w:t>
      </w:r>
      <w:proofErr w:type="spellStart"/>
      <w:r w:rsidRPr="0066646E">
        <w:rPr>
          <w:lang w:val="en-GB"/>
        </w:rPr>
        <w:t>Novec</w:t>
      </w:r>
      <w:proofErr w:type="spellEnd"/>
      <w:r w:rsidRPr="0066646E">
        <w:rPr>
          <w:lang w:val="en-GB"/>
        </w:rPr>
        <w:t xml:space="preserve"> 649, mineral oil, copper sulphate, etc.) and manufacture of plant equipment up to the final product (heat and energy</w:t>
      </w:r>
      <w:r w:rsidR="00B609D4">
        <w:rPr>
          <w:lang w:val="en-GB"/>
        </w:rPr>
        <w:t>).</w:t>
      </w:r>
    </w:p>
    <w:p w14:paraId="02350360" w14:textId="77777777" w:rsidR="00FF35EC" w:rsidRDefault="00FF35EC" w:rsidP="00FF35EC">
      <w:pPr>
        <w:pStyle w:val="Caption"/>
      </w:pPr>
      <w:r>
        <w:rPr>
          <w:noProof/>
        </w:rPr>
        <w:drawing>
          <wp:inline distT="0" distB="0" distL="0" distR="0" wp14:anchorId="17926A46" wp14:editId="4C2E6DB4">
            <wp:extent cx="3114277" cy="1783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stretch>
                      <a:fillRect/>
                    </a:stretch>
                  </pic:blipFill>
                  <pic:spPr>
                    <a:xfrm>
                      <a:off x="0" y="0"/>
                      <a:ext cx="3114277" cy="1783080"/>
                    </a:xfrm>
                    <a:prstGeom prst="rect">
                      <a:avLst/>
                    </a:prstGeom>
                  </pic:spPr>
                </pic:pic>
              </a:graphicData>
            </a:graphic>
          </wp:inline>
        </w:drawing>
      </w:r>
    </w:p>
    <w:p w14:paraId="46CF3E36" w14:textId="7F566598" w:rsidR="00FF35EC" w:rsidRDefault="00FF35EC" w:rsidP="00FF35EC">
      <w:pPr>
        <w:pStyle w:val="CETCaption"/>
      </w:pPr>
      <w:bookmarkStart w:id="2" w:name="_Ref181873383"/>
      <w:r w:rsidRPr="00C70046">
        <w:t xml:space="preserve">Figure </w:t>
      </w:r>
      <w:r w:rsidRPr="00C70046">
        <w:fldChar w:fldCharType="begin"/>
      </w:r>
      <w:r w:rsidRPr="00C70046">
        <w:instrText xml:space="preserve"> SEQ Figure \* ARABIC </w:instrText>
      </w:r>
      <w:r w:rsidRPr="00C70046">
        <w:fldChar w:fldCharType="separate"/>
      </w:r>
      <w:r w:rsidR="0053554D">
        <w:rPr>
          <w:noProof/>
        </w:rPr>
        <w:t>1</w:t>
      </w:r>
      <w:r w:rsidRPr="00C70046">
        <w:fldChar w:fldCharType="end"/>
      </w:r>
      <w:bookmarkEnd w:id="2"/>
      <w:r>
        <w:t>: System boundaries for the RESTORE prototype</w:t>
      </w:r>
    </w:p>
    <w:p w14:paraId="6D14F24C" w14:textId="77777777" w:rsidR="0066646E" w:rsidRPr="0066646E" w:rsidRDefault="0066646E" w:rsidP="0066646E">
      <w:pPr>
        <w:pStyle w:val="CETBodytext"/>
        <w:rPr>
          <w:lang w:val="en-GB"/>
        </w:rPr>
      </w:pPr>
      <w:r w:rsidRPr="0066646E">
        <w:rPr>
          <w:lang w:val="en-GB"/>
        </w:rPr>
        <w:t xml:space="preserve">Given that environmental conditions, resource availability, and technology improvements may alter spatially and over time, thus it is crucial to identify both spatial and temporal limitations (Curran, 2017). Geographically and </w:t>
      </w:r>
      <w:r w:rsidRPr="0066646E">
        <w:rPr>
          <w:lang w:val="en-GB"/>
        </w:rPr>
        <w:lastRenderedPageBreak/>
        <w:t>chronologically, the parameters of the system under investigation assume that there are six distinct configurations for potential placements where the plant is located in Denmark, Austria, Italy (with two locations, one near Milan and another close to a steel plant in the country's north), Slovakia, Germany, and all of them have a 25-year lifespan.</w:t>
      </w:r>
    </w:p>
    <w:p w14:paraId="57A04292" w14:textId="77777777" w:rsidR="0066646E" w:rsidRPr="0066646E" w:rsidRDefault="0066646E" w:rsidP="0066646E">
      <w:pPr>
        <w:pStyle w:val="CETBodytext"/>
        <w:rPr>
          <w:lang w:val="en-GB"/>
        </w:rPr>
      </w:pPr>
      <w:r w:rsidRPr="0066646E">
        <w:rPr>
          <w:lang w:val="en-GB"/>
        </w:rPr>
        <w:t xml:space="preserve">The </w:t>
      </w:r>
      <w:proofErr w:type="spellStart"/>
      <w:r w:rsidRPr="0066646E">
        <w:rPr>
          <w:lang w:val="en-GB"/>
        </w:rPr>
        <w:t>ReCiPe</w:t>
      </w:r>
      <w:proofErr w:type="spellEnd"/>
      <w:r w:rsidRPr="0066646E">
        <w:rPr>
          <w:lang w:val="en-GB"/>
        </w:rPr>
        <w:t xml:space="preserve"> 2016 impact assessment approach was used to perform the environmental analysis while keeping in mind the objective of the current investigation. The ability to calculate midpoint and endpoint impact categories, via a cause-and-effect chain, makes the </w:t>
      </w:r>
      <w:proofErr w:type="spellStart"/>
      <w:r w:rsidRPr="0066646E">
        <w:rPr>
          <w:lang w:val="en-GB"/>
        </w:rPr>
        <w:t>ReCiPe</w:t>
      </w:r>
      <w:proofErr w:type="spellEnd"/>
      <w:r w:rsidRPr="0066646E">
        <w:rPr>
          <w:lang w:val="en-GB"/>
        </w:rPr>
        <w:t xml:space="preserve"> method an improved version of both Eco-Indicator 99 and CML. The Dutch National Institute for Public Health and the Environment (RIVM), the Dutch Institute of Environmental Sciences (CML) at Leiden University, </w:t>
      </w:r>
      <w:proofErr w:type="spellStart"/>
      <w:r w:rsidRPr="0066646E">
        <w:rPr>
          <w:lang w:val="en-GB"/>
        </w:rPr>
        <w:t>PRé</w:t>
      </w:r>
      <w:proofErr w:type="spellEnd"/>
      <w:r w:rsidRPr="0066646E">
        <w:rPr>
          <w:lang w:val="en-GB"/>
        </w:rPr>
        <w:t xml:space="preserve"> Sustainability, Radboud University of Nijmegen, and CE Delft collaborated to build </w:t>
      </w:r>
      <w:proofErr w:type="spellStart"/>
      <w:r w:rsidRPr="0066646E">
        <w:rPr>
          <w:lang w:val="en-GB"/>
        </w:rPr>
        <w:t>ReCiPe</w:t>
      </w:r>
      <w:proofErr w:type="spellEnd"/>
      <w:r w:rsidRPr="0066646E">
        <w:rPr>
          <w:lang w:val="en-GB"/>
        </w:rPr>
        <w:t xml:space="preserve"> impact assessment method (</w:t>
      </w:r>
      <w:proofErr w:type="spellStart"/>
      <w:r w:rsidRPr="0066646E">
        <w:rPr>
          <w:lang w:val="en-GB"/>
        </w:rPr>
        <w:t>Huijbregts</w:t>
      </w:r>
      <w:proofErr w:type="spellEnd"/>
      <w:r w:rsidRPr="0066646E">
        <w:rPr>
          <w:lang w:val="en-GB"/>
        </w:rPr>
        <w:t>, 2017).</w:t>
      </w:r>
    </w:p>
    <w:p w14:paraId="54B40BCA" w14:textId="3A26C9B5" w:rsidR="00C70046" w:rsidRDefault="0066646E" w:rsidP="0066646E">
      <w:pPr>
        <w:pStyle w:val="CETBodytext"/>
        <w:rPr>
          <w:lang w:val="en-GB"/>
        </w:rPr>
      </w:pPr>
      <w:r w:rsidRPr="0066646E">
        <w:rPr>
          <w:lang w:val="en-GB"/>
        </w:rPr>
        <w:t>The quantities presented in Table 1 were used for the reference case scenario. Each compound comes from a specific location (Europe or USA) and has a known production route</w:t>
      </w:r>
      <w:r w:rsidR="00C70046">
        <w:rPr>
          <w:lang w:val="en-GB"/>
        </w:rPr>
        <w:t>.</w:t>
      </w:r>
    </w:p>
    <w:p w14:paraId="561100A7" w14:textId="32DCF204" w:rsidR="00C70046" w:rsidRPr="00B57B36" w:rsidRDefault="00C70046" w:rsidP="00C70046">
      <w:pPr>
        <w:pStyle w:val="CETTabletitle"/>
      </w:pPr>
      <w:bookmarkStart w:id="3" w:name="_Ref181873776"/>
      <w:r w:rsidRPr="00C70046">
        <w:t xml:space="preserve">Table </w:t>
      </w:r>
      <w:r w:rsidRPr="00C70046">
        <w:fldChar w:fldCharType="begin"/>
      </w:r>
      <w:r w:rsidRPr="00C70046">
        <w:instrText xml:space="preserve"> SEQ Table \* ARABIC </w:instrText>
      </w:r>
      <w:r w:rsidRPr="00C70046">
        <w:fldChar w:fldCharType="separate"/>
      </w:r>
      <w:r w:rsidR="0053554D">
        <w:rPr>
          <w:noProof/>
        </w:rPr>
        <w:t>1</w:t>
      </w:r>
      <w:r w:rsidRPr="00C70046">
        <w:fldChar w:fldCharType="end"/>
      </w:r>
      <w:bookmarkEnd w:id="3"/>
      <w:r>
        <w:t>: Assumptions considered in all chemical compounds supply chains</w:t>
      </w:r>
    </w:p>
    <w:tbl>
      <w:tblPr>
        <w:tblW w:w="8820"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500"/>
        <w:gridCol w:w="2070"/>
        <w:gridCol w:w="810"/>
        <w:gridCol w:w="1440"/>
      </w:tblGrid>
      <w:tr w:rsidR="00C70046" w:rsidRPr="00C70046" w14:paraId="267D1E9F" w14:textId="77777777" w:rsidTr="001A6BA9">
        <w:tc>
          <w:tcPr>
            <w:tcW w:w="4500" w:type="dxa"/>
            <w:tcBorders>
              <w:top w:val="single" w:sz="12" w:space="0" w:color="008000"/>
              <w:bottom w:val="single" w:sz="6" w:space="0" w:color="008000"/>
            </w:tcBorders>
            <w:shd w:val="clear" w:color="auto" w:fill="FFFFFF"/>
          </w:tcPr>
          <w:p w14:paraId="78D320D0" w14:textId="77777777" w:rsidR="00C70046" w:rsidRPr="00C70046" w:rsidRDefault="00C70046" w:rsidP="00C70046">
            <w:pPr>
              <w:pStyle w:val="CETBodytext"/>
            </w:pPr>
            <w:r w:rsidRPr="00C70046">
              <w:t xml:space="preserve">Assumption </w:t>
            </w:r>
          </w:p>
        </w:tc>
        <w:tc>
          <w:tcPr>
            <w:tcW w:w="4320" w:type="dxa"/>
            <w:gridSpan w:val="3"/>
            <w:tcBorders>
              <w:top w:val="single" w:sz="12" w:space="0" w:color="008000"/>
              <w:bottom w:val="single" w:sz="6" w:space="0" w:color="008000"/>
            </w:tcBorders>
            <w:shd w:val="clear" w:color="auto" w:fill="FFFFFF"/>
          </w:tcPr>
          <w:p w14:paraId="569ED5CE" w14:textId="77777777" w:rsidR="00C70046" w:rsidRPr="00C70046" w:rsidRDefault="00C70046" w:rsidP="00C70046">
            <w:pPr>
              <w:pStyle w:val="CETBodytext"/>
            </w:pPr>
            <w:r w:rsidRPr="00C70046">
              <w:t>Value of the LCA model</w:t>
            </w:r>
          </w:p>
        </w:tc>
      </w:tr>
      <w:tr w:rsidR="00C70046" w:rsidRPr="00C70046" w14:paraId="68FB0610" w14:textId="77777777" w:rsidTr="001A6BA9">
        <w:tc>
          <w:tcPr>
            <w:tcW w:w="4500" w:type="dxa"/>
            <w:tcBorders>
              <w:top w:val="single" w:sz="12" w:space="0" w:color="008000"/>
              <w:bottom w:val="single" w:sz="6" w:space="0" w:color="008000"/>
            </w:tcBorders>
            <w:shd w:val="clear" w:color="auto" w:fill="FFFFFF"/>
          </w:tcPr>
          <w:p w14:paraId="290C8AFC" w14:textId="77777777" w:rsidR="00C70046" w:rsidRPr="00C70046" w:rsidRDefault="00C70046" w:rsidP="00C70046">
            <w:pPr>
              <w:pStyle w:val="CETBodytext"/>
            </w:pPr>
          </w:p>
        </w:tc>
        <w:tc>
          <w:tcPr>
            <w:tcW w:w="2070" w:type="dxa"/>
            <w:tcBorders>
              <w:top w:val="single" w:sz="12" w:space="0" w:color="008000"/>
              <w:bottom w:val="single" w:sz="6" w:space="0" w:color="008000"/>
            </w:tcBorders>
            <w:shd w:val="clear" w:color="auto" w:fill="FFFFFF"/>
          </w:tcPr>
          <w:p w14:paraId="613CBB7D" w14:textId="77777777" w:rsidR="00C70046" w:rsidRPr="00C70046" w:rsidRDefault="00C70046" w:rsidP="00C70046">
            <w:pPr>
              <w:pStyle w:val="CETBodytext"/>
            </w:pPr>
          </w:p>
        </w:tc>
        <w:tc>
          <w:tcPr>
            <w:tcW w:w="810" w:type="dxa"/>
            <w:tcBorders>
              <w:top w:val="single" w:sz="12" w:space="0" w:color="008000"/>
              <w:bottom w:val="single" w:sz="6" w:space="0" w:color="008000"/>
            </w:tcBorders>
            <w:shd w:val="clear" w:color="auto" w:fill="FFFFFF"/>
          </w:tcPr>
          <w:p w14:paraId="71F1915C" w14:textId="77777777" w:rsidR="00C70046" w:rsidRPr="00C70046" w:rsidRDefault="00C70046" w:rsidP="00C70046">
            <w:pPr>
              <w:pStyle w:val="CETBodytext"/>
            </w:pPr>
            <w:r w:rsidRPr="00C70046">
              <w:t>Unit</w:t>
            </w:r>
          </w:p>
        </w:tc>
        <w:tc>
          <w:tcPr>
            <w:tcW w:w="1440" w:type="dxa"/>
            <w:tcBorders>
              <w:top w:val="single" w:sz="12" w:space="0" w:color="008000"/>
              <w:bottom w:val="single" w:sz="6" w:space="0" w:color="008000"/>
            </w:tcBorders>
            <w:shd w:val="clear" w:color="auto" w:fill="FFFFFF"/>
          </w:tcPr>
          <w:p w14:paraId="5B62664A" w14:textId="77777777" w:rsidR="00C70046" w:rsidRPr="00C70046" w:rsidRDefault="00C70046" w:rsidP="00C70046">
            <w:pPr>
              <w:pStyle w:val="CETBodytext"/>
            </w:pPr>
            <w:r w:rsidRPr="00C70046">
              <w:t>Reference case</w:t>
            </w:r>
          </w:p>
        </w:tc>
      </w:tr>
      <w:tr w:rsidR="00C70046" w:rsidRPr="00C70046" w14:paraId="3467EB31" w14:textId="77777777" w:rsidTr="001A6BA9">
        <w:tc>
          <w:tcPr>
            <w:tcW w:w="4500" w:type="dxa"/>
            <w:vMerge w:val="restart"/>
            <w:shd w:val="clear" w:color="auto" w:fill="FFFFFF"/>
          </w:tcPr>
          <w:p w14:paraId="01248436" w14:textId="77777777" w:rsidR="00C70046" w:rsidRPr="00C70046" w:rsidRDefault="00C70046" w:rsidP="00C70046">
            <w:pPr>
              <w:pStyle w:val="CETBodytext"/>
            </w:pPr>
            <w:r w:rsidRPr="00C70046">
              <w:t xml:space="preserve">1.01 kg of </w:t>
            </w:r>
            <w:proofErr w:type="spellStart"/>
            <w:r w:rsidRPr="00C70046">
              <w:t>Novec</w:t>
            </w:r>
            <w:proofErr w:type="spellEnd"/>
            <w:r w:rsidRPr="00C70046">
              <w:t xml:space="preserve"> 649</w:t>
            </w:r>
          </w:p>
        </w:tc>
        <w:tc>
          <w:tcPr>
            <w:tcW w:w="2070" w:type="dxa"/>
            <w:shd w:val="clear" w:color="auto" w:fill="FFFFFF"/>
          </w:tcPr>
          <w:p w14:paraId="70F0AA69" w14:textId="77777777" w:rsidR="00C70046" w:rsidRPr="00C70046" w:rsidRDefault="00C70046" w:rsidP="00C70046">
            <w:pPr>
              <w:pStyle w:val="CETBodytext"/>
            </w:pPr>
            <w:r w:rsidRPr="00C70046">
              <w:t>Methane</w:t>
            </w:r>
          </w:p>
        </w:tc>
        <w:tc>
          <w:tcPr>
            <w:tcW w:w="810" w:type="dxa"/>
            <w:shd w:val="clear" w:color="auto" w:fill="FFFFFF"/>
          </w:tcPr>
          <w:p w14:paraId="5BC67116" w14:textId="77777777" w:rsidR="00C70046" w:rsidRPr="00C70046" w:rsidRDefault="00C70046" w:rsidP="00C70046">
            <w:pPr>
              <w:pStyle w:val="CETBodytext"/>
            </w:pPr>
            <w:r w:rsidRPr="00C70046">
              <w:t>kg</w:t>
            </w:r>
          </w:p>
        </w:tc>
        <w:tc>
          <w:tcPr>
            <w:tcW w:w="1440" w:type="dxa"/>
            <w:shd w:val="clear" w:color="auto" w:fill="FFFFFF"/>
          </w:tcPr>
          <w:p w14:paraId="66ED306E" w14:textId="16FA569A" w:rsidR="00C70046" w:rsidRPr="00C70046" w:rsidRDefault="00D2426E" w:rsidP="00C70046">
            <w:pPr>
              <w:pStyle w:val="CETBodytext"/>
            </w:pPr>
            <w:r>
              <w:t>30</w:t>
            </w:r>
            <w:r w:rsidR="00DE28CD">
              <w:t>.</w:t>
            </w:r>
            <w:r>
              <w:t>8</w:t>
            </w:r>
            <w:r w:rsidR="00DE28CD">
              <w:t>0</w:t>
            </w:r>
            <w:r w:rsidRPr="003F0B24">
              <w:t>·10</w:t>
            </w:r>
            <w:r w:rsidRPr="00012AC0">
              <w:rPr>
                <w:vertAlign w:val="superscript"/>
              </w:rPr>
              <w:t>-</w:t>
            </w:r>
            <w:r w:rsidR="00DE28CD">
              <w:rPr>
                <w:vertAlign w:val="superscript"/>
              </w:rPr>
              <w:t>2</w:t>
            </w:r>
          </w:p>
        </w:tc>
      </w:tr>
      <w:tr w:rsidR="00C70046" w:rsidRPr="00C70046" w14:paraId="345B0A1B" w14:textId="77777777" w:rsidTr="001A6BA9">
        <w:tc>
          <w:tcPr>
            <w:tcW w:w="4500" w:type="dxa"/>
            <w:vMerge/>
            <w:shd w:val="clear" w:color="auto" w:fill="FFFFFF"/>
          </w:tcPr>
          <w:p w14:paraId="11B67A9D" w14:textId="77777777" w:rsidR="00C70046" w:rsidRPr="00C70046" w:rsidRDefault="00C70046" w:rsidP="00C70046">
            <w:pPr>
              <w:pStyle w:val="CETBodytext"/>
            </w:pPr>
          </w:p>
        </w:tc>
        <w:tc>
          <w:tcPr>
            <w:tcW w:w="2070" w:type="dxa"/>
            <w:shd w:val="clear" w:color="auto" w:fill="FFFFFF"/>
          </w:tcPr>
          <w:p w14:paraId="208A9B46" w14:textId="77777777" w:rsidR="00C70046" w:rsidRPr="00C70046" w:rsidRDefault="00C70046" w:rsidP="00C70046">
            <w:pPr>
              <w:pStyle w:val="CETBodytext"/>
            </w:pPr>
            <w:r w:rsidRPr="00C70046">
              <w:t>Chlorine</w:t>
            </w:r>
          </w:p>
        </w:tc>
        <w:tc>
          <w:tcPr>
            <w:tcW w:w="810" w:type="dxa"/>
            <w:shd w:val="clear" w:color="auto" w:fill="FFFFFF"/>
          </w:tcPr>
          <w:p w14:paraId="007395CA" w14:textId="77777777" w:rsidR="00C70046" w:rsidRPr="00C70046" w:rsidRDefault="00C70046" w:rsidP="00C70046">
            <w:pPr>
              <w:pStyle w:val="CETBodytext"/>
            </w:pPr>
            <w:r w:rsidRPr="00C70046">
              <w:t>kg</w:t>
            </w:r>
          </w:p>
        </w:tc>
        <w:tc>
          <w:tcPr>
            <w:tcW w:w="1440" w:type="dxa"/>
            <w:shd w:val="clear" w:color="auto" w:fill="FFFFFF"/>
          </w:tcPr>
          <w:p w14:paraId="6D461330" w14:textId="77777777" w:rsidR="00C70046" w:rsidRPr="00C70046" w:rsidRDefault="00C70046" w:rsidP="00C70046">
            <w:pPr>
              <w:pStyle w:val="CETBodytext"/>
            </w:pPr>
            <w:r w:rsidRPr="00C70046">
              <w:t>4.09</w:t>
            </w:r>
          </w:p>
        </w:tc>
      </w:tr>
      <w:tr w:rsidR="00C70046" w:rsidRPr="00C70046" w14:paraId="4525E72D" w14:textId="77777777" w:rsidTr="001A6BA9">
        <w:tc>
          <w:tcPr>
            <w:tcW w:w="4500" w:type="dxa"/>
            <w:vMerge/>
            <w:shd w:val="clear" w:color="auto" w:fill="FFFFFF"/>
          </w:tcPr>
          <w:p w14:paraId="239F81F5" w14:textId="77777777" w:rsidR="00C70046" w:rsidRPr="00C70046" w:rsidRDefault="00C70046" w:rsidP="00C70046">
            <w:pPr>
              <w:pStyle w:val="CETBodytext"/>
            </w:pPr>
          </w:p>
        </w:tc>
        <w:tc>
          <w:tcPr>
            <w:tcW w:w="2070" w:type="dxa"/>
            <w:shd w:val="clear" w:color="auto" w:fill="FFFFFF"/>
          </w:tcPr>
          <w:p w14:paraId="394946CE" w14:textId="77777777" w:rsidR="00C70046" w:rsidRPr="00C70046" w:rsidRDefault="00C70046" w:rsidP="00C70046">
            <w:pPr>
              <w:pStyle w:val="CETBodytext"/>
            </w:pPr>
            <w:r w:rsidRPr="00C70046">
              <w:t>Hydrofluoric acid</w:t>
            </w:r>
          </w:p>
        </w:tc>
        <w:tc>
          <w:tcPr>
            <w:tcW w:w="810" w:type="dxa"/>
            <w:shd w:val="clear" w:color="auto" w:fill="FFFFFF"/>
          </w:tcPr>
          <w:p w14:paraId="4B2E2C85" w14:textId="77777777" w:rsidR="00C70046" w:rsidRPr="00C70046" w:rsidRDefault="00C70046" w:rsidP="00C70046">
            <w:pPr>
              <w:pStyle w:val="CETBodytext"/>
            </w:pPr>
            <w:r w:rsidRPr="00C70046">
              <w:t>kg</w:t>
            </w:r>
          </w:p>
        </w:tc>
        <w:tc>
          <w:tcPr>
            <w:tcW w:w="1440" w:type="dxa"/>
            <w:shd w:val="clear" w:color="auto" w:fill="FFFFFF"/>
          </w:tcPr>
          <w:p w14:paraId="456EC26F" w14:textId="25BC1B5C" w:rsidR="00C70046" w:rsidRPr="00C70046" w:rsidRDefault="00C70046" w:rsidP="00C70046">
            <w:pPr>
              <w:pStyle w:val="CETBodytext"/>
            </w:pPr>
            <w:r w:rsidRPr="00C70046">
              <w:t>77</w:t>
            </w:r>
            <w:r w:rsidR="007C10A3">
              <w:t>.00</w:t>
            </w:r>
            <w:r w:rsidR="007C10A3" w:rsidRPr="003F0B24">
              <w:t>·10</w:t>
            </w:r>
            <w:r w:rsidR="007C10A3" w:rsidRPr="00012AC0">
              <w:rPr>
                <w:vertAlign w:val="superscript"/>
              </w:rPr>
              <w:t>-</w:t>
            </w:r>
            <w:r w:rsidR="007C10A3">
              <w:rPr>
                <w:vertAlign w:val="superscript"/>
              </w:rPr>
              <w:t>2</w:t>
            </w:r>
          </w:p>
        </w:tc>
      </w:tr>
      <w:tr w:rsidR="00C70046" w:rsidRPr="00C70046" w14:paraId="2CEF6C9A" w14:textId="77777777" w:rsidTr="001A6BA9">
        <w:tc>
          <w:tcPr>
            <w:tcW w:w="4500" w:type="dxa"/>
            <w:vMerge/>
            <w:shd w:val="clear" w:color="auto" w:fill="FFFFFF"/>
          </w:tcPr>
          <w:p w14:paraId="5A2294CB" w14:textId="77777777" w:rsidR="00C70046" w:rsidRPr="00C70046" w:rsidRDefault="00C70046" w:rsidP="00C70046">
            <w:pPr>
              <w:pStyle w:val="CETBodytext"/>
            </w:pPr>
          </w:p>
        </w:tc>
        <w:tc>
          <w:tcPr>
            <w:tcW w:w="2070" w:type="dxa"/>
            <w:shd w:val="clear" w:color="auto" w:fill="FFFFFF"/>
          </w:tcPr>
          <w:p w14:paraId="7BB31BB7" w14:textId="77777777" w:rsidR="00C70046" w:rsidRPr="00C70046" w:rsidRDefault="00C70046" w:rsidP="00C70046">
            <w:pPr>
              <w:pStyle w:val="CETBodytext"/>
            </w:pPr>
            <w:r w:rsidRPr="00C70046">
              <w:t>Oxygen</w:t>
            </w:r>
          </w:p>
        </w:tc>
        <w:tc>
          <w:tcPr>
            <w:tcW w:w="810" w:type="dxa"/>
            <w:shd w:val="clear" w:color="auto" w:fill="FFFFFF"/>
          </w:tcPr>
          <w:p w14:paraId="213B31DF" w14:textId="77777777" w:rsidR="00C70046" w:rsidRPr="00C70046" w:rsidRDefault="00C70046" w:rsidP="00C70046">
            <w:pPr>
              <w:pStyle w:val="CETBodytext"/>
            </w:pPr>
            <w:r w:rsidRPr="00C70046">
              <w:t>kg</w:t>
            </w:r>
          </w:p>
        </w:tc>
        <w:tc>
          <w:tcPr>
            <w:tcW w:w="1440" w:type="dxa"/>
            <w:shd w:val="clear" w:color="auto" w:fill="FFFFFF"/>
          </w:tcPr>
          <w:p w14:paraId="76F4EB2F" w14:textId="46F5EB49" w:rsidR="00C70046" w:rsidRPr="00C70046" w:rsidRDefault="00DE28CD" w:rsidP="00C70046">
            <w:pPr>
              <w:pStyle w:val="CETBodytext"/>
            </w:pPr>
            <w:r>
              <w:t>5.10</w:t>
            </w:r>
            <w:r w:rsidR="00D2426E" w:rsidRPr="003F0B24">
              <w:t>·10</w:t>
            </w:r>
            <w:r w:rsidR="00D2426E" w:rsidRPr="00012AC0">
              <w:rPr>
                <w:vertAlign w:val="superscript"/>
              </w:rPr>
              <w:t>-</w:t>
            </w:r>
            <w:r>
              <w:rPr>
                <w:vertAlign w:val="superscript"/>
              </w:rPr>
              <w:t>2</w:t>
            </w:r>
          </w:p>
        </w:tc>
      </w:tr>
      <w:tr w:rsidR="00C70046" w:rsidRPr="00C70046" w14:paraId="3A801981" w14:textId="77777777" w:rsidTr="001A6BA9">
        <w:tc>
          <w:tcPr>
            <w:tcW w:w="4500" w:type="dxa"/>
            <w:vMerge w:val="restart"/>
            <w:shd w:val="clear" w:color="auto" w:fill="FFFFFF"/>
          </w:tcPr>
          <w:p w14:paraId="7826139A" w14:textId="1329C720" w:rsidR="00C70046" w:rsidRPr="00C70046" w:rsidRDefault="00D2426E" w:rsidP="00C70046">
            <w:pPr>
              <w:pStyle w:val="CETBodytext"/>
            </w:pPr>
            <w:r>
              <w:t>2.85</w:t>
            </w:r>
            <w:r w:rsidRPr="003F0B24">
              <w:t>·10</w:t>
            </w:r>
            <w:r w:rsidRPr="00012AC0">
              <w:rPr>
                <w:vertAlign w:val="superscript"/>
              </w:rPr>
              <w:t>-</w:t>
            </w:r>
            <w:r>
              <w:rPr>
                <w:vertAlign w:val="superscript"/>
              </w:rPr>
              <w:t>1</w:t>
            </w:r>
            <w:r w:rsidR="00C70046" w:rsidRPr="00C70046">
              <w:t xml:space="preserve"> kg of </w:t>
            </w:r>
            <w:proofErr w:type="gramStart"/>
            <w:r w:rsidR="00C70046" w:rsidRPr="00C70046">
              <w:t>Copper</w:t>
            </w:r>
            <w:proofErr w:type="gramEnd"/>
            <w:r w:rsidR="00C70046" w:rsidRPr="00C70046">
              <w:t xml:space="preserve"> sulphate pentahydrate</w:t>
            </w:r>
          </w:p>
        </w:tc>
        <w:tc>
          <w:tcPr>
            <w:tcW w:w="2070" w:type="dxa"/>
            <w:shd w:val="clear" w:color="auto" w:fill="FFFFFF"/>
          </w:tcPr>
          <w:p w14:paraId="67CAFBF8" w14:textId="77777777" w:rsidR="00C70046" w:rsidRPr="00C70046" w:rsidRDefault="00C70046" w:rsidP="00C70046">
            <w:pPr>
              <w:pStyle w:val="CETBodytext"/>
            </w:pPr>
            <w:r w:rsidRPr="00C70046">
              <w:t>Copper</w:t>
            </w:r>
          </w:p>
        </w:tc>
        <w:tc>
          <w:tcPr>
            <w:tcW w:w="810" w:type="dxa"/>
            <w:shd w:val="clear" w:color="auto" w:fill="FFFFFF"/>
          </w:tcPr>
          <w:p w14:paraId="71315133" w14:textId="77777777" w:rsidR="00C70046" w:rsidRPr="00C70046" w:rsidRDefault="00C70046" w:rsidP="00C70046">
            <w:pPr>
              <w:pStyle w:val="CETBodytext"/>
            </w:pPr>
            <w:r w:rsidRPr="00C70046">
              <w:t>kg</w:t>
            </w:r>
          </w:p>
        </w:tc>
        <w:tc>
          <w:tcPr>
            <w:tcW w:w="1440" w:type="dxa"/>
            <w:shd w:val="clear" w:color="auto" w:fill="FFFFFF"/>
          </w:tcPr>
          <w:p w14:paraId="0C051840" w14:textId="150FEA70" w:rsidR="00C70046" w:rsidRPr="00C70046" w:rsidRDefault="00D2426E" w:rsidP="00C70046">
            <w:pPr>
              <w:pStyle w:val="CETBodytext"/>
            </w:pPr>
            <w:r>
              <w:t>1</w:t>
            </w:r>
            <w:r w:rsidR="00DE28CD">
              <w:t>3</w:t>
            </w:r>
            <w:r w:rsidR="00C70046" w:rsidRPr="00C70046">
              <w:t>.3</w:t>
            </w:r>
            <w:r w:rsidR="00DE28CD">
              <w:t>0</w:t>
            </w:r>
            <w:r w:rsidRPr="003F0B24">
              <w:t>·10</w:t>
            </w:r>
            <w:r w:rsidRPr="00012AC0">
              <w:rPr>
                <w:vertAlign w:val="superscript"/>
              </w:rPr>
              <w:t>-</w:t>
            </w:r>
            <w:r w:rsidR="00DE28CD">
              <w:rPr>
                <w:vertAlign w:val="superscript"/>
              </w:rPr>
              <w:t>2</w:t>
            </w:r>
          </w:p>
        </w:tc>
      </w:tr>
      <w:tr w:rsidR="00C70046" w:rsidRPr="00C70046" w14:paraId="15BA86C3" w14:textId="77777777" w:rsidTr="001A6BA9">
        <w:tc>
          <w:tcPr>
            <w:tcW w:w="4500" w:type="dxa"/>
            <w:vMerge/>
            <w:shd w:val="clear" w:color="auto" w:fill="FFFFFF"/>
          </w:tcPr>
          <w:p w14:paraId="5F5F43ED" w14:textId="77777777" w:rsidR="00C70046" w:rsidRPr="00C70046" w:rsidRDefault="00C70046" w:rsidP="00C70046">
            <w:pPr>
              <w:pStyle w:val="CETBodytext"/>
            </w:pPr>
          </w:p>
        </w:tc>
        <w:tc>
          <w:tcPr>
            <w:tcW w:w="2070" w:type="dxa"/>
            <w:shd w:val="clear" w:color="auto" w:fill="FFFFFF"/>
          </w:tcPr>
          <w:p w14:paraId="64BDC1AC" w14:textId="77777777" w:rsidR="00C70046" w:rsidRPr="00C70046" w:rsidRDefault="00C70046" w:rsidP="00C70046">
            <w:pPr>
              <w:pStyle w:val="CETBodytext"/>
            </w:pPr>
            <w:proofErr w:type="spellStart"/>
            <w:r w:rsidRPr="00C70046">
              <w:t>Sulphuric</w:t>
            </w:r>
            <w:proofErr w:type="spellEnd"/>
            <w:r w:rsidRPr="00C70046">
              <w:t xml:space="preserve"> acid</w:t>
            </w:r>
          </w:p>
        </w:tc>
        <w:tc>
          <w:tcPr>
            <w:tcW w:w="810" w:type="dxa"/>
            <w:shd w:val="clear" w:color="auto" w:fill="FFFFFF"/>
          </w:tcPr>
          <w:p w14:paraId="5EBBD6DF" w14:textId="77777777" w:rsidR="00C70046" w:rsidRPr="00C70046" w:rsidRDefault="00C70046" w:rsidP="00C70046">
            <w:pPr>
              <w:pStyle w:val="CETBodytext"/>
            </w:pPr>
            <w:r w:rsidRPr="00C70046">
              <w:t>kg</w:t>
            </w:r>
          </w:p>
        </w:tc>
        <w:tc>
          <w:tcPr>
            <w:tcW w:w="1440" w:type="dxa"/>
            <w:shd w:val="clear" w:color="auto" w:fill="FFFFFF"/>
          </w:tcPr>
          <w:p w14:paraId="672F1EB9" w14:textId="2D087235" w:rsidR="00C70046" w:rsidRPr="00C70046" w:rsidRDefault="00D2426E" w:rsidP="00C70046">
            <w:pPr>
              <w:pStyle w:val="CETBodytext"/>
            </w:pPr>
            <w:r>
              <w:t>1</w:t>
            </w:r>
            <w:r w:rsidR="00DE28CD">
              <w:t>7</w:t>
            </w:r>
            <w:r w:rsidR="00C70046" w:rsidRPr="00C70046">
              <w:t>.5</w:t>
            </w:r>
            <w:r w:rsidR="00DE28CD">
              <w:t>0</w:t>
            </w:r>
            <w:r w:rsidRPr="003F0B24">
              <w:t>·10</w:t>
            </w:r>
            <w:r w:rsidRPr="00012AC0">
              <w:rPr>
                <w:vertAlign w:val="superscript"/>
              </w:rPr>
              <w:t>-</w:t>
            </w:r>
            <w:r w:rsidR="00DE28CD">
              <w:rPr>
                <w:vertAlign w:val="superscript"/>
              </w:rPr>
              <w:t>2</w:t>
            </w:r>
          </w:p>
        </w:tc>
      </w:tr>
      <w:tr w:rsidR="00C70046" w:rsidRPr="00C70046" w14:paraId="7F2788DC" w14:textId="77777777" w:rsidTr="001A6BA9">
        <w:tc>
          <w:tcPr>
            <w:tcW w:w="4500" w:type="dxa"/>
            <w:shd w:val="clear" w:color="auto" w:fill="FFFFFF"/>
          </w:tcPr>
          <w:p w14:paraId="2FD09B5E" w14:textId="77777777" w:rsidR="00C70046" w:rsidRPr="00C70046" w:rsidRDefault="00C70046" w:rsidP="00C70046">
            <w:pPr>
              <w:pStyle w:val="CETBodytext"/>
            </w:pPr>
            <w:r w:rsidRPr="00C70046">
              <w:t>4.55 kg of Oil (90% rapeseed oil and 10% mineral oil)</w:t>
            </w:r>
          </w:p>
        </w:tc>
        <w:tc>
          <w:tcPr>
            <w:tcW w:w="2070" w:type="dxa"/>
            <w:shd w:val="clear" w:color="auto" w:fill="FFFFFF"/>
          </w:tcPr>
          <w:p w14:paraId="70E52549" w14:textId="77777777" w:rsidR="00C70046" w:rsidRPr="00C70046" w:rsidRDefault="00C70046" w:rsidP="00C70046">
            <w:pPr>
              <w:pStyle w:val="CETBodytext"/>
            </w:pPr>
            <w:r w:rsidRPr="00C70046">
              <w:t>Oil</w:t>
            </w:r>
          </w:p>
        </w:tc>
        <w:tc>
          <w:tcPr>
            <w:tcW w:w="810" w:type="dxa"/>
            <w:shd w:val="clear" w:color="auto" w:fill="FFFFFF"/>
          </w:tcPr>
          <w:p w14:paraId="21D44DF1" w14:textId="77777777" w:rsidR="00C70046" w:rsidRPr="00C70046" w:rsidRDefault="00C70046" w:rsidP="00C70046">
            <w:pPr>
              <w:pStyle w:val="CETBodytext"/>
            </w:pPr>
            <w:r w:rsidRPr="00C70046">
              <w:t>kg</w:t>
            </w:r>
          </w:p>
        </w:tc>
        <w:tc>
          <w:tcPr>
            <w:tcW w:w="1440" w:type="dxa"/>
            <w:shd w:val="clear" w:color="auto" w:fill="FFFFFF"/>
          </w:tcPr>
          <w:p w14:paraId="68BEEA18" w14:textId="77777777" w:rsidR="00C70046" w:rsidRPr="00C70046" w:rsidRDefault="00C70046" w:rsidP="00C70046">
            <w:pPr>
              <w:pStyle w:val="CETBodytext"/>
            </w:pPr>
            <w:r w:rsidRPr="00C70046">
              <w:t>4.55</w:t>
            </w:r>
          </w:p>
        </w:tc>
      </w:tr>
      <w:tr w:rsidR="00C70046" w:rsidRPr="00C70046" w14:paraId="3E3B053D" w14:textId="77777777" w:rsidTr="001A6BA9">
        <w:tc>
          <w:tcPr>
            <w:tcW w:w="4500" w:type="dxa"/>
            <w:shd w:val="clear" w:color="auto" w:fill="FFFFFF"/>
          </w:tcPr>
          <w:p w14:paraId="2ABA6093" w14:textId="0E9CA920" w:rsidR="00C70046" w:rsidRPr="00C70046" w:rsidRDefault="00C70046" w:rsidP="00C70046">
            <w:pPr>
              <w:pStyle w:val="CETBodytext"/>
            </w:pPr>
            <w:r w:rsidRPr="00C70046">
              <w:t>Construction of the RESTORE pilot plant</w:t>
            </w:r>
          </w:p>
        </w:tc>
        <w:tc>
          <w:tcPr>
            <w:tcW w:w="2070" w:type="dxa"/>
            <w:shd w:val="clear" w:color="auto" w:fill="FFFFFF"/>
          </w:tcPr>
          <w:p w14:paraId="4B17BC98" w14:textId="77777777" w:rsidR="00C70046" w:rsidRPr="00C70046" w:rsidRDefault="00C70046" w:rsidP="00C70046">
            <w:pPr>
              <w:pStyle w:val="CETBodytext"/>
            </w:pPr>
            <w:r w:rsidRPr="00C70046">
              <w:t>Platinum</w:t>
            </w:r>
          </w:p>
        </w:tc>
        <w:tc>
          <w:tcPr>
            <w:tcW w:w="810" w:type="dxa"/>
            <w:shd w:val="clear" w:color="auto" w:fill="FFFFFF"/>
          </w:tcPr>
          <w:p w14:paraId="68AB0136" w14:textId="77777777" w:rsidR="00C70046" w:rsidRPr="00C70046" w:rsidRDefault="00C70046" w:rsidP="00C70046">
            <w:pPr>
              <w:pStyle w:val="CETBodytext"/>
            </w:pPr>
            <w:r w:rsidRPr="00C70046">
              <w:t>kg</w:t>
            </w:r>
          </w:p>
        </w:tc>
        <w:tc>
          <w:tcPr>
            <w:tcW w:w="1440" w:type="dxa"/>
            <w:shd w:val="clear" w:color="auto" w:fill="FFFFFF"/>
          </w:tcPr>
          <w:p w14:paraId="035A6756" w14:textId="381230E6" w:rsidR="00C70046" w:rsidRPr="00C70046" w:rsidRDefault="00C70046" w:rsidP="00C70046">
            <w:pPr>
              <w:pStyle w:val="CETBodytext"/>
            </w:pPr>
            <w:r w:rsidRPr="00C70046">
              <w:t>8.1</w:t>
            </w:r>
            <w:r w:rsidR="00DE28CD">
              <w:t>0</w:t>
            </w:r>
          </w:p>
        </w:tc>
      </w:tr>
      <w:tr w:rsidR="00C70046" w:rsidRPr="00C70046" w14:paraId="7D15F4F3" w14:textId="77777777" w:rsidTr="001A6BA9">
        <w:tc>
          <w:tcPr>
            <w:tcW w:w="4500" w:type="dxa"/>
            <w:shd w:val="clear" w:color="auto" w:fill="FFFFFF"/>
          </w:tcPr>
          <w:p w14:paraId="7944DB6F" w14:textId="77777777" w:rsidR="00C70046" w:rsidRPr="00C70046" w:rsidRDefault="00C70046" w:rsidP="00C70046">
            <w:pPr>
              <w:pStyle w:val="CETBodytext"/>
            </w:pPr>
          </w:p>
        </w:tc>
        <w:tc>
          <w:tcPr>
            <w:tcW w:w="2070" w:type="dxa"/>
            <w:shd w:val="clear" w:color="auto" w:fill="FFFFFF"/>
          </w:tcPr>
          <w:p w14:paraId="61A32F34" w14:textId="77777777" w:rsidR="00C70046" w:rsidRPr="00C70046" w:rsidRDefault="00C70046" w:rsidP="00C70046">
            <w:pPr>
              <w:pStyle w:val="CETBodytext"/>
            </w:pPr>
            <w:r w:rsidRPr="00C70046">
              <w:t>Stainless steel</w:t>
            </w:r>
          </w:p>
        </w:tc>
        <w:tc>
          <w:tcPr>
            <w:tcW w:w="810" w:type="dxa"/>
            <w:shd w:val="clear" w:color="auto" w:fill="FFFFFF"/>
          </w:tcPr>
          <w:p w14:paraId="4C56BDB9" w14:textId="77777777" w:rsidR="00C70046" w:rsidRPr="00C70046" w:rsidRDefault="00C70046" w:rsidP="00C70046">
            <w:pPr>
              <w:pStyle w:val="CETBodytext"/>
            </w:pPr>
            <w:r w:rsidRPr="00C70046">
              <w:t>kg</w:t>
            </w:r>
          </w:p>
        </w:tc>
        <w:tc>
          <w:tcPr>
            <w:tcW w:w="1440" w:type="dxa"/>
            <w:shd w:val="clear" w:color="auto" w:fill="FFFFFF"/>
          </w:tcPr>
          <w:p w14:paraId="36B94843" w14:textId="3D01F2C0" w:rsidR="00C70046" w:rsidRPr="00C70046" w:rsidRDefault="00C70046" w:rsidP="00C70046">
            <w:pPr>
              <w:pStyle w:val="CETBodytext"/>
            </w:pPr>
            <w:r w:rsidRPr="00C70046">
              <w:t>1837.5</w:t>
            </w:r>
            <w:r w:rsidR="00D2426E">
              <w:t>8</w:t>
            </w:r>
          </w:p>
        </w:tc>
      </w:tr>
      <w:tr w:rsidR="00C70046" w:rsidRPr="00C70046" w14:paraId="2525FE99" w14:textId="77777777" w:rsidTr="001A6BA9">
        <w:tc>
          <w:tcPr>
            <w:tcW w:w="4500" w:type="dxa"/>
            <w:shd w:val="clear" w:color="auto" w:fill="FFFFFF"/>
          </w:tcPr>
          <w:p w14:paraId="4E62FA79" w14:textId="77777777" w:rsidR="00C70046" w:rsidRPr="00C70046" w:rsidRDefault="00C70046" w:rsidP="00C70046">
            <w:pPr>
              <w:pStyle w:val="CETBodytext"/>
            </w:pPr>
          </w:p>
        </w:tc>
        <w:tc>
          <w:tcPr>
            <w:tcW w:w="2070" w:type="dxa"/>
            <w:shd w:val="clear" w:color="auto" w:fill="FFFFFF"/>
          </w:tcPr>
          <w:p w14:paraId="462FD8E3" w14:textId="77777777" w:rsidR="00C70046" w:rsidRPr="00C70046" w:rsidRDefault="00C70046" w:rsidP="00C70046">
            <w:pPr>
              <w:pStyle w:val="CETBodytext"/>
            </w:pPr>
            <w:r w:rsidRPr="00C70046">
              <w:t>Polyethylene</w:t>
            </w:r>
          </w:p>
        </w:tc>
        <w:tc>
          <w:tcPr>
            <w:tcW w:w="810" w:type="dxa"/>
            <w:shd w:val="clear" w:color="auto" w:fill="FFFFFF"/>
          </w:tcPr>
          <w:p w14:paraId="34A049A4" w14:textId="77777777" w:rsidR="00C70046" w:rsidRPr="00C70046" w:rsidRDefault="00C70046" w:rsidP="00C70046">
            <w:pPr>
              <w:pStyle w:val="CETBodytext"/>
            </w:pPr>
            <w:r w:rsidRPr="00C70046">
              <w:t>kg</w:t>
            </w:r>
          </w:p>
        </w:tc>
        <w:tc>
          <w:tcPr>
            <w:tcW w:w="1440" w:type="dxa"/>
            <w:shd w:val="clear" w:color="auto" w:fill="FFFFFF"/>
          </w:tcPr>
          <w:p w14:paraId="0435F5DE" w14:textId="77777777" w:rsidR="00C70046" w:rsidRPr="00C70046" w:rsidRDefault="00C70046" w:rsidP="00C70046">
            <w:pPr>
              <w:pStyle w:val="CETBodytext"/>
            </w:pPr>
            <w:r w:rsidRPr="00C70046">
              <w:t>112.75</w:t>
            </w:r>
          </w:p>
        </w:tc>
      </w:tr>
      <w:tr w:rsidR="00C70046" w:rsidRPr="00C70046" w14:paraId="3D630BAC" w14:textId="77777777" w:rsidTr="001A6BA9">
        <w:tc>
          <w:tcPr>
            <w:tcW w:w="4500" w:type="dxa"/>
            <w:shd w:val="clear" w:color="auto" w:fill="FFFFFF"/>
          </w:tcPr>
          <w:p w14:paraId="3DA4E8DB" w14:textId="77777777" w:rsidR="00C70046" w:rsidRPr="00C70046" w:rsidRDefault="00C70046" w:rsidP="00C70046">
            <w:pPr>
              <w:pStyle w:val="CETBodytext"/>
            </w:pPr>
          </w:p>
        </w:tc>
        <w:tc>
          <w:tcPr>
            <w:tcW w:w="2070" w:type="dxa"/>
            <w:shd w:val="clear" w:color="auto" w:fill="FFFFFF"/>
          </w:tcPr>
          <w:p w14:paraId="7A85F904" w14:textId="77777777" w:rsidR="00C70046" w:rsidRPr="00C70046" w:rsidRDefault="00C70046" w:rsidP="00C70046">
            <w:pPr>
              <w:pStyle w:val="CETBodytext"/>
            </w:pPr>
            <w:r w:rsidRPr="00C70046">
              <w:t>Copper</w:t>
            </w:r>
          </w:p>
        </w:tc>
        <w:tc>
          <w:tcPr>
            <w:tcW w:w="810" w:type="dxa"/>
            <w:shd w:val="clear" w:color="auto" w:fill="FFFFFF"/>
          </w:tcPr>
          <w:p w14:paraId="00AEF808" w14:textId="77777777" w:rsidR="00C70046" w:rsidRPr="00C70046" w:rsidRDefault="00C70046" w:rsidP="00C70046">
            <w:pPr>
              <w:pStyle w:val="CETBodytext"/>
            </w:pPr>
            <w:r w:rsidRPr="00C70046">
              <w:t>kg</w:t>
            </w:r>
          </w:p>
        </w:tc>
        <w:tc>
          <w:tcPr>
            <w:tcW w:w="1440" w:type="dxa"/>
            <w:shd w:val="clear" w:color="auto" w:fill="FFFFFF"/>
          </w:tcPr>
          <w:p w14:paraId="536DFBD5" w14:textId="0ECA84CC" w:rsidR="00C70046" w:rsidRPr="00C70046" w:rsidRDefault="00C70046" w:rsidP="00C70046">
            <w:pPr>
              <w:pStyle w:val="CETBodytext"/>
            </w:pPr>
            <w:r w:rsidRPr="00C70046">
              <w:t>918.4</w:t>
            </w:r>
            <w:r w:rsidR="00D2426E">
              <w:t>0</w:t>
            </w:r>
          </w:p>
        </w:tc>
      </w:tr>
      <w:tr w:rsidR="00C70046" w:rsidRPr="00C70046" w14:paraId="0E89B206" w14:textId="77777777" w:rsidTr="001A6BA9">
        <w:tc>
          <w:tcPr>
            <w:tcW w:w="4500" w:type="dxa"/>
            <w:shd w:val="clear" w:color="auto" w:fill="FFFFFF"/>
          </w:tcPr>
          <w:p w14:paraId="1BC39D01" w14:textId="77777777" w:rsidR="00C70046" w:rsidRPr="00C70046" w:rsidRDefault="00C70046" w:rsidP="00C70046">
            <w:pPr>
              <w:pStyle w:val="CETBodytext"/>
            </w:pPr>
          </w:p>
        </w:tc>
        <w:tc>
          <w:tcPr>
            <w:tcW w:w="2070" w:type="dxa"/>
            <w:shd w:val="clear" w:color="auto" w:fill="FFFFFF"/>
          </w:tcPr>
          <w:p w14:paraId="3A6AE8D5" w14:textId="77777777" w:rsidR="00C70046" w:rsidRPr="00C70046" w:rsidRDefault="00C70046" w:rsidP="00C70046">
            <w:pPr>
              <w:pStyle w:val="CETBodytext"/>
            </w:pPr>
            <w:r w:rsidRPr="00C70046">
              <w:t>Brass</w:t>
            </w:r>
          </w:p>
        </w:tc>
        <w:tc>
          <w:tcPr>
            <w:tcW w:w="810" w:type="dxa"/>
            <w:shd w:val="clear" w:color="auto" w:fill="FFFFFF"/>
          </w:tcPr>
          <w:p w14:paraId="3273196F" w14:textId="77777777" w:rsidR="00C70046" w:rsidRPr="00C70046" w:rsidRDefault="00C70046" w:rsidP="00C70046">
            <w:pPr>
              <w:pStyle w:val="CETBodytext"/>
            </w:pPr>
            <w:r w:rsidRPr="00C70046">
              <w:t>kg</w:t>
            </w:r>
          </w:p>
        </w:tc>
        <w:tc>
          <w:tcPr>
            <w:tcW w:w="1440" w:type="dxa"/>
            <w:shd w:val="clear" w:color="auto" w:fill="FFFFFF"/>
          </w:tcPr>
          <w:p w14:paraId="04A379F0" w14:textId="0A631CC2" w:rsidR="00C70046" w:rsidRPr="00C70046" w:rsidRDefault="00D2426E" w:rsidP="00C70046">
            <w:pPr>
              <w:pStyle w:val="CETBodytext"/>
            </w:pPr>
            <w:r>
              <w:t>1</w:t>
            </w:r>
            <w:r w:rsidR="00DE28CD">
              <w:t>2</w:t>
            </w:r>
            <w:r w:rsidR="00C70046" w:rsidRPr="00C70046">
              <w:t>.5</w:t>
            </w:r>
            <w:r w:rsidR="00DE28CD">
              <w:t>0</w:t>
            </w:r>
            <w:r w:rsidRPr="003F0B24">
              <w:t>·10</w:t>
            </w:r>
            <w:r w:rsidRPr="00012AC0">
              <w:rPr>
                <w:vertAlign w:val="superscript"/>
              </w:rPr>
              <w:t>-</w:t>
            </w:r>
            <w:r w:rsidR="00DE28CD">
              <w:rPr>
                <w:vertAlign w:val="superscript"/>
              </w:rPr>
              <w:t>2</w:t>
            </w:r>
          </w:p>
        </w:tc>
      </w:tr>
    </w:tbl>
    <w:p w14:paraId="157C0588" w14:textId="700DE615" w:rsidR="00AA7958" w:rsidRDefault="0066646E" w:rsidP="001A6BA9">
      <w:pPr>
        <w:pStyle w:val="CETBodytext"/>
        <w:rPr>
          <w:lang w:val="en-GB"/>
        </w:rPr>
      </w:pPr>
      <w:r w:rsidRPr="0066646E">
        <w:t>For the present LCA study, the following limitations were considered: the plant decommissioning; the maintenance and repair activities; the construction of needed infrastructure, as well as the one for means of transport; installation of unloading facilities; human activities associated with labor tasks; low-frequency, high magnitude, non-predictable events</w:t>
      </w:r>
      <w:r w:rsidR="00DC2EBC">
        <w:rPr>
          <w:lang w:val="en-GB"/>
        </w:rPr>
        <w:t>.</w:t>
      </w:r>
    </w:p>
    <w:p w14:paraId="705D9C90" w14:textId="0AFA229D" w:rsidR="005D2088" w:rsidRDefault="005D2088" w:rsidP="005D2088">
      <w:pPr>
        <w:pStyle w:val="CETTabletitle"/>
      </w:pPr>
      <w:bookmarkStart w:id="4" w:name="_Ref181965727"/>
      <w:r w:rsidRPr="00C70046">
        <w:t xml:space="preserve">Table </w:t>
      </w:r>
      <w:r w:rsidRPr="00C70046">
        <w:fldChar w:fldCharType="begin"/>
      </w:r>
      <w:r w:rsidRPr="00C70046">
        <w:instrText xml:space="preserve"> SEQ Table \* ARABIC </w:instrText>
      </w:r>
      <w:r w:rsidRPr="00C70046">
        <w:fldChar w:fldCharType="separate"/>
      </w:r>
      <w:r w:rsidR="0053554D">
        <w:rPr>
          <w:noProof/>
        </w:rPr>
        <w:t>2</w:t>
      </w:r>
      <w:r w:rsidRPr="00C70046">
        <w:fldChar w:fldCharType="end"/>
      </w:r>
      <w:bookmarkEnd w:id="4"/>
      <w:r>
        <w:t>: Assumptions considered in all chemical compounds supply chains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19"/>
        <w:gridCol w:w="3241"/>
        <w:gridCol w:w="1981"/>
        <w:gridCol w:w="1046"/>
      </w:tblGrid>
      <w:tr w:rsidR="00B574E9" w:rsidRPr="00B57B36" w14:paraId="27D4411D" w14:textId="77777777" w:rsidTr="00AA771C">
        <w:tc>
          <w:tcPr>
            <w:tcW w:w="1433" w:type="pct"/>
            <w:tcBorders>
              <w:top w:val="single" w:sz="12" w:space="0" w:color="008000"/>
              <w:bottom w:val="single" w:sz="6" w:space="0" w:color="008000"/>
            </w:tcBorders>
            <w:shd w:val="clear" w:color="auto" w:fill="FFFFFF"/>
          </w:tcPr>
          <w:p w14:paraId="38741C05" w14:textId="5A599E80" w:rsidR="00B574E9" w:rsidRPr="00B57B36" w:rsidRDefault="00B574E9" w:rsidP="003A4CFD">
            <w:pPr>
              <w:pStyle w:val="CETBodytext"/>
              <w:rPr>
                <w:lang w:val="en-GB"/>
              </w:rPr>
            </w:pPr>
            <w:r>
              <w:rPr>
                <w:lang w:val="en-GB"/>
              </w:rPr>
              <w:t>Process</w:t>
            </w:r>
            <w:r w:rsidRPr="00B57B36">
              <w:rPr>
                <w:lang w:val="en-GB"/>
              </w:rPr>
              <w:t xml:space="preserve"> </w:t>
            </w:r>
          </w:p>
        </w:tc>
        <w:tc>
          <w:tcPr>
            <w:tcW w:w="1844" w:type="pct"/>
            <w:tcBorders>
              <w:top w:val="single" w:sz="12" w:space="0" w:color="008000"/>
              <w:bottom w:val="single" w:sz="6" w:space="0" w:color="008000"/>
            </w:tcBorders>
            <w:shd w:val="clear" w:color="auto" w:fill="FFFFFF"/>
          </w:tcPr>
          <w:p w14:paraId="5963CBCC" w14:textId="560111DA" w:rsidR="00B574E9" w:rsidRPr="00B57B36" w:rsidRDefault="00B574E9" w:rsidP="003A4CFD">
            <w:pPr>
              <w:pStyle w:val="CETBodytext"/>
              <w:rPr>
                <w:lang w:val="en-GB"/>
              </w:rPr>
            </w:pPr>
            <w:r>
              <w:rPr>
                <w:lang w:val="en-GB"/>
              </w:rPr>
              <w:t>Inputs</w:t>
            </w:r>
          </w:p>
        </w:tc>
        <w:tc>
          <w:tcPr>
            <w:tcW w:w="1127" w:type="pct"/>
            <w:tcBorders>
              <w:top w:val="single" w:sz="12" w:space="0" w:color="008000"/>
              <w:bottom w:val="single" w:sz="6" w:space="0" w:color="008000"/>
            </w:tcBorders>
            <w:shd w:val="clear" w:color="auto" w:fill="FFFFFF"/>
          </w:tcPr>
          <w:p w14:paraId="648E4519" w14:textId="0864CE77" w:rsidR="00B574E9" w:rsidRPr="00B57B36" w:rsidRDefault="00B574E9" w:rsidP="003A4CFD">
            <w:pPr>
              <w:pStyle w:val="CETBodytext"/>
              <w:rPr>
                <w:lang w:val="en-GB"/>
              </w:rPr>
            </w:pPr>
            <w:r>
              <w:rPr>
                <w:lang w:val="en-GB"/>
              </w:rPr>
              <w:t>Value</w:t>
            </w:r>
          </w:p>
        </w:tc>
        <w:tc>
          <w:tcPr>
            <w:tcW w:w="595" w:type="pct"/>
            <w:tcBorders>
              <w:top w:val="single" w:sz="12" w:space="0" w:color="008000"/>
              <w:bottom w:val="single" w:sz="6" w:space="0" w:color="008000"/>
            </w:tcBorders>
            <w:shd w:val="clear" w:color="auto" w:fill="FFFFFF"/>
          </w:tcPr>
          <w:p w14:paraId="40FDB0D1" w14:textId="5913A816" w:rsidR="00B574E9" w:rsidRPr="00B57B36" w:rsidRDefault="00B574E9" w:rsidP="003A4CFD">
            <w:pPr>
              <w:pStyle w:val="CETBodytext"/>
              <w:ind w:right="-1"/>
              <w:rPr>
                <w:rFonts w:cs="Arial"/>
                <w:szCs w:val="18"/>
                <w:lang w:val="en-GB"/>
              </w:rPr>
            </w:pPr>
            <w:r>
              <w:rPr>
                <w:rFonts w:cs="Arial"/>
                <w:szCs w:val="18"/>
                <w:lang w:val="en-GB"/>
              </w:rPr>
              <w:t>Unit</w:t>
            </w:r>
          </w:p>
        </w:tc>
      </w:tr>
      <w:tr w:rsidR="003F0B24" w:rsidRPr="00B57B36" w14:paraId="19ED2B08" w14:textId="77777777" w:rsidTr="00AA771C">
        <w:tc>
          <w:tcPr>
            <w:tcW w:w="1433" w:type="pct"/>
            <w:vMerge w:val="restart"/>
            <w:shd w:val="clear" w:color="auto" w:fill="FFFFFF"/>
          </w:tcPr>
          <w:p w14:paraId="14D2BFDE" w14:textId="25FB758B" w:rsidR="003F0B24" w:rsidRPr="00B57B36" w:rsidRDefault="003F0B24" w:rsidP="003A4CFD">
            <w:pPr>
              <w:pStyle w:val="CETBodytext"/>
              <w:rPr>
                <w:lang w:val="en-GB"/>
              </w:rPr>
            </w:pPr>
            <w:proofErr w:type="spellStart"/>
            <w:r>
              <w:rPr>
                <w:lang w:val="en-GB"/>
              </w:rPr>
              <w:t>Novec</w:t>
            </w:r>
            <w:proofErr w:type="spellEnd"/>
            <w:r>
              <w:rPr>
                <w:lang w:val="en-GB"/>
              </w:rPr>
              <w:t xml:space="preserve"> 649 supply chain</w:t>
            </w:r>
          </w:p>
        </w:tc>
        <w:tc>
          <w:tcPr>
            <w:tcW w:w="1844" w:type="pct"/>
            <w:shd w:val="clear" w:color="auto" w:fill="FFFFFF"/>
          </w:tcPr>
          <w:p w14:paraId="74176250" w14:textId="0C65E8B0" w:rsidR="003F0B24" w:rsidRPr="00B57B36" w:rsidRDefault="003F0B24" w:rsidP="003A4CFD">
            <w:pPr>
              <w:pStyle w:val="CETBodytext"/>
              <w:rPr>
                <w:lang w:val="en-GB"/>
              </w:rPr>
            </w:pPr>
            <w:r>
              <w:rPr>
                <w:lang w:val="en-GB"/>
              </w:rPr>
              <w:t>Diesel for transportation</w:t>
            </w:r>
          </w:p>
        </w:tc>
        <w:tc>
          <w:tcPr>
            <w:tcW w:w="1127" w:type="pct"/>
            <w:shd w:val="clear" w:color="auto" w:fill="FFFFFF"/>
          </w:tcPr>
          <w:p w14:paraId="40239FE2" w14:textId="3C1F89B8" w:rsidR="003F0B24" w:rsidRPr="00B57B36" w:rsidRDefault="006F026F" w:rsidP="003A4CFD">
            <w:pPr>
              <w:pStyle w:val="CETBodytext"/>
              <w:rPr>
                <w:lang w:val="en-GB"/>
              </w:rPr>
            </w:pPr>
            <w:r>
              <w:rPr>
                <w:lang w:val="en-GB"/>
              </w:rPr>
              <w:t>2</w:t>
            </w:r>
            <w:r w:rsidR="003F0B24">
              <w:rPr>
                <w:lang w:val="en-GB"/>
              </w:rPr>
              <w:t>.4</w:t>
            </w:r>
            <w:r>
              <w:rPr>
                <w:lang w:val="en-GB"/>
              </w:rPr>
              <w:t>0</w:t>
            </w:r>
            <w:r w:rsidR="00712481" w:rsidRPr="003F0B24">
              <w:t>·10</w:t>
            </w:r>
            <w:r w:rsidR="00712481" w:rsidRPr="00012AC0">
              <w:rPr>
                <w:vertAlign w:val="superscript"/>
              </w:rPr>
              <w:t>-</w:t>
            </w:r>
            <w:r>
              <w:rPr>
                <w:vertAlign w:val="superscript"/>
              </w:rPr>
              <w:t>2</w:t>
            </w:r>
          </w:p>
        </w:tc>
        <w:tc>
          <w:tcPr>
            <w:tcW w:w="595" w:type="pct"/>
            <w:shd w:val="clear" w:color="auto" w:fill="FFFFFF"/>
          </w:tcPr>
          <w:p w14:paraId="31B96EA7" w14:textId="6DE1E337" w:rsidR="003F0B24" w:rsidRPr="00B57B36" w:rsidRDefault="003F0B24" w:rsidP="003A4CFD">
            <w:pPr>
              <w:pStyle w:val="CETBodytext"/>
              <w:ind w:right="-1"/>
              <w:rPr>
                <w:rFonts w:cs="Arial"/>
                <w:szCs w:val="18"/>
                <w:lang w:val="en-GB"/>
              </w:rPr>
            </w:pPr>
            <w:r>
              <w:rPr>
                <w:rFonts w:cs="Arial"/>
                <w:szCs w:val="18"/>
                <w:lang w:val="en-GB"/>
              </w:rPr>
              <w:t>kg/h</w:t>
            </w:r>
          </w:p>
        </w:tc>
      </w:tr>
      <w:tr w:rsidR="003F0B24" w:rsidRPr="00B57B36" w14:paraId="567AEB49" w14:textId="77777777" w:rsidTr="00AA771C">
        <w:tc>
          <w:tcPr>
            <w:tcW w:w="1433" w:type="pct"/>
            <w:vMerge/>
            <w:shd w:val="clear" w:color="auto" w:fill="FFFFFF"/>
          </w:tcPr>
          <w:p w14:paraId="5D3C58C7" w14:textId="77777777" w:rsidR="003F0B24" w:rsidRDefault="003F0B24" w:rsidP="003A4CFD">
            <w:pPr>
              <w:pStyle w:val="CETBodytext"/>
              <w:rPr>
                <w:lang w:val="en-GB"/>
              </w:rPr>
            </w:pPr>
          </w:p>
        </w:tc>
        <w:tc>
          <w:tcPr>
            <w:tcW w:w="1844" w:type="pct"/>
            <w:shd w:val="clear" w:color="auto" w:fill="FFFFFF"/>
          </w:tcPr>
          <w:p w14:paraId="6F26BFDA" w14:textId="06CA24B2" w:rsidR="003F0B24" w:rsidRDefault="003F0B24" w:rsidP="003A4CFD">
            <w:pPr>
              <w:pStyle w:val="CETBodytext"/>
              <w:rPr>
                <w:lang w:val="en-GB"/>
              </w:rPr>
            </w:pPr>
            <w:r>
              <w:rPr>
                <w:lang w:val="en-GB"/>
              </w:rPr>
              <w:t>Methane for production</w:t>
            </w:r>
          </w:p>
        </w:tc>
        <w:tc>
          <w:tcPr>
            <w:tcW w:w="1127" w:type="pct"/>
            <w:shd w:val="clear" w:color="auto" w:fill="FFFFFF"/>
          </w:tcPr>
          <w:p w14:paraId="3C9B0E2C" w14:textId="29583361" w:rsidR="003F0B24" w:rsidRDefault="00712481" w:rsidP="003A4CFD">
            <w:pPr>
              <w:pStyle w:val="CETBodytext"/>
              <w:rPr>
                <w:lang w:val="en-GB"/>
              </w:rPr>
            </w:pPr>
            <w:r>
              <w:rPr>
                <w:lang w:val="en-GB"/>
              </w:rPr>
              <w:t>3</w:t>
            </w:r>
            <w:r w:rsidR="006F026F">
              <w:rPr>
                <w:lang w:val="en-GB"/>
              </w:rPr>
              <w:t>0</w:t>
            </w:r>
            <w:r w:rsidR="003F0B24">
              <w:rPr>
                <w:lang w:val="en-GB"/>
              </w:rPr>
              <w:t>.8</w:t>
            </w:r>
            <w:r w:rsidR="006F026F">
              <w:rPr>
                <w:lang w:val="en-GB"/>
              </w:rPr>
              <w:t>0</w:t>
            </w:r>
            <w:r w:rsidRPr="003F0B24">
              <w:t>·10</w:t>
            </w:r>
            <w:r w:rsidRPr="00012AC0">
              <w:rPr>
                <w:vertAlign w:val="superscript"/>
              </w:rPr>
              <w:t>-</w:t>
            </w:r>
            <w:r w:rsidR="006F026F">
              <w:rPr>
                <w:vertAlign w:val="superscript"/>
              </w:rPr>
              <w:t>2</w:t>
            </w:r>
          </w:p>
        </w:tc>
        <w:tc>
          <w:tcPr>
            <w:tcW w:w="595" w:type="pct"/>
            <w:shd w:val="clear" w:color="auto" w:fill="FFFFFF"/>
          </w:tcPr>
          <w:p w14:paraId="237B911E" w14:textId="7768E377" w:rsidR="003F0B24" w:rsidRDefault="003F0B24" w:rsidP="003A4CFD">
            <w:pPr>
              <w:pStyle w:val="CETBodytext"/>
              <w:ind w:right="-1"/>
              <w:rPr>
                <w:rFonts w:cs="Arial"/>
                <w:szCs w:val="18"/>
                <w:lang w:val="en-GB"/>
              </w:rPr>
            </w:pPr>
            <w:r>
              <w:rPr>
                <w:rFonts w:cs="Arial"/>
                <w:szCs w:val="18"/>
                <w:lang w:val="en-GB"/>
              </w:rPr>
              <w:t>kg/h</w:t>
            </w:r>
          </w:p>
        </w:tc>
      </w:tr>
      <w:tr w:rsidR="003F0B24" w:rsidRPr="00B57B36" w14:paraId="6BC8A90C" w14:textId="77777777" w:rsidTr="00AA771C">
        <w:tc>
          <w:tcPr>
            <w:tcW w:w="1433" w:type="pct"/>
            <w:vMerge/>
            <w:shd w:val="clear" w:color="auto" w:fill="FFFFFF"/>
          </w:tcPr>
          <w:p w14:paraId="53EDAEE0" w14:textId="77777777" w:rsidR="003F0B24" w:rsidRDefault="003F0B24" w:rsidP="003A4CFD">
            <w:pPr>
              <w:pStyle w:val="CETBodytext"/>
              <w:rPr>
                <w:lang w:val="en-GB"/>
              </w:rPr>
            </w:pPr>
          </w:p>
        </w:tc>
        <w:tc>
          <w:tcPr>
            <w:tcW w:w="1844" w:type="pct"/>
            <w:shd w:val="clear" w:color="auto" w:fill="FFFFFF"/>
          </w:tcPr>
          <w:p w14:paraId="605A9B11" w14:textId="0BD3D7EA" w:rsidR="003F0B24" w:rsidRDefault="003F0B24" w:rsidP="003A4CFD">
            <w:pPr>
              <w:pStyle w:val="CETBodytext"/>
              <w:rPr>
                <w:lang w:val="en-GB"/>
              </w:rPr>
            </w:pPr>
            <w:r>
              <w:rPr>
                <w:lang w:val="en-GB"/>
              </w:rPr>
              <w:t>Chlorine for production</w:t>
            </w:r>
          </w:p>
        </w:tc>
        <w:tc>
          <w:tcPr>
            <w:tcW w:w="1127" w:type="pct"/>
            <w:shd w:val="clear" w:color="auto" w:fill="FFFFFF"/>
          </w:tcPr>
          <w:p w14:paraId="0EFBD743" w14:textId="3A6B9BEF" w:rsidR="003F0B24" w:rsidRDefault="003F0B24" w:rsidP="003A4CFD">
            <w:pPr>
              <w:pStyle w:val="CETBodytext"/>
              <w:rPr>
                <w:lang w:val="en-GB"/>
              </w:rPr>
            </w:pPr>
            <w:r>
              <w:rPr>
                <w:lang w:val="en-GB"/>
              </w:rPr>
              <w:t>4.0</w:t>
            </w:r>
            <w:r w:rsidR="00712481">
              <w:rPr>
                <w:lang w:val="en-GB"/>
              </w:rPr>
              <w:t>2</w:t>
            </w:r>
          </w:p>
        </w:tc>
        <w:tc>
          <w:tcPr>
            <w:tcW w:w="595" w:type="pct"/>
            <w:shd w:val="clear" w:color="auto" w:fill="FFFFFF"/>
          </w:tcPr>
          <w:p w14:paraId="6E7DD105" w14:textId="6A5B43FD" w:rsidR="003F0B24" w:rsidRDefault="003F0B24" w:rsidP="003A4CFD">
            <w:pPr>
              <w:pStyle w:val="CETBodytext"/>
              <w:ind w:right="-1"/>
              <w:rPr>
                <w:rFonts w:cs="Arial"/>
                <w:szCs w:val="18"/>
                <w:lang w:val="en-GB"/>
              </w:rPr>
            </w:pPr>
            <w:r>
              <w:rPr>
                <w:rFonts w:cs="Arial"/>
                <w:szCs w:val="18"/>
                <w:lang w:val="en-GB"/>
              </w:rPr>
              <w:t>kg/h</w:t>
            </w:r>
          </w:p>
        </w:tc>
      </w:tr>
      <w:tr w:rsidR="003F0B24" w:rsidRPr="00B57B36" w14:paraId="5427DB24" w14:textId="77777777" w:rsidTr="00AA771C">
        <w:tc>
          <w:tcPr>
            <w:tcW w:w="1433" w:type="pct"/>
            <w:vMerge/>
            <w:shd w:val="clear" w:color="auto" w:fill="FFFFFF"/>
          </w:tcPr>
          <w:p w14:paraId="7701B345" w14:textId="77777777" w:rsidR="003F0B24" w:rsidRDefault="003F0B24" w:rsidP="003A4CFD">
            <w:pPr>
              <w:pStyle w:val="CETBodytext"/>
              <w:rPr>
                <w:lang w:val="en-GB"/>
              </w:rPr>
            </w:pPr>
          </w:p>
        </w:tc>
        <w:tc>
          <w:tcPr>
            <w:tcW w:w="1844" w:type="pct"/>
            <w:shd w:val="clear" w:color="auto" w:fill="FFFFFF"/>
          </w:tcPr>
          <w:p w14:paraId="17476683" w14:textId="1030B9A6" w:rsidR="003F0B24" w:rsidRDefault="003F0B24" w:rsidP="003A4CFD">
            <w:pPr>
              <w:pStyle w:val="CETBodytext"/>
              <w:rPr>
                <w:lang w:val="en-GB"/>
              </w:rPr>
            </w:pPr>
            <w:r>
              <w:rPr>
                <w:lang w:val="en-GB"/>
              </w:rPr>
              <w:t>Hydrofluoric acid for production</w:t>
            </w:r>
          </w:p>
        </w:tc>
        <w:tc>
          <w:tcPr>
            <w:tcW w:w="1127" w:type="pct"/>
            <w:shd w:val="clear" w:color="auto" w:fill="FFFFFF"/>
          </w:tcPr>
          <w:p w14:paraId="29348097" w14:textId="029C0E58" w:rsidR="003F0B24" w:rsidRDefault="00712481" w:rsidP="003A4CFD">
            <w:pPr>
              <w:pStyle w:val="CETBodytext"/>
              <w:rPr>
                <w:lang w:val="en-GB"/>
              </w:rPr>
            </w:pPr>
            <w:r>
              <w:rPr>
                <w:lang w:val="en-GB"/>
              </w:rPr>
              <w:t>7</w:t>
            </w:r>
            <w:r w:rsidR="006F026F">
              <w:rPr>
                <w:lang w:val="en-GB"/>
              </w:rPr>
              <w:t>6</w:t>
            </w:r>
            <w:r w:rsidR="003F0B24">
              <w:rPr>
                <w:lang w:val="en-GB"/>
              </w:rPr>
              <w:t>.9</w:t>
            </w:r>
            <w:r w:rsidR="006F026F">
              <w:rPr>
                <w:lang w:val="en-GB"/>
              </w:rPr>
              <w:t>0</w:t>
            </w:r>
            <w:r w:rsidRPr="003F0B24">
              <w:t>·10</w:t>
            </w:r>
            <w:r w:rsidRPr="00012AC0">
              <w:rPr>
                <w:vertAlign w:val="superscript"/>
              </w:rPr>
              <w:t>-</w:t>
            </w:r>
            <w:r w:rsidR="006F026F">
              <w:rPr>
                <w:vertAlign w:val="superscript"/>
              </w:rPr>
              <w:t>2</w:t>
            </w:r>
          </w:p>
        </w:tc>
        <w:tc>
          <w:tcPr>
            <w:tcW w:w="595" w:type="pct"/>
            <w:shd w:val="clear" w:color="auto" w:fill="FFFFFF"/>
          </w:tcPr>
          <w:p w14:paraId="5E35E1E4" w14:textId="508FD6CD" w:rsidR="003F0B24" w:rsidRDefault="003F0B24" w:rsidP="003A4CFD">
            <w:pPr>
              <w:pStyle w:val="CETBodytext"/>
              <w:ind w:right="-1"/>
              <w:rPr>
                <w:rFonts w:cs="Arial"/>
                <w:szCs w:val="18"/>
                <w:lang w:val="en-GB"/>
              </w:rPr>
            </w:pPr>
            <w:r>
              <w:rPr>
                <w:rFonts w:cs="Arial"/>
                <w:szCs w:val="18"/>
                <w:lang w:val="en-GB"/>
              </w:rPr>
              <w:t>kg/h</w:t>
            </w:r>
          </w:p>
        </w:tc>
      </w:tr>
      <w:tr w:rsidR="003F0B24" w:rsidRPr="00B57B36" w14:paraId="2609FEE3" w14:textId="77777777" w:rsidTr="00AA771C">
        <w:tc>
          <w:tcPr>
            <w:tcW w:w="1433" w:type="pct"/>
            <w:vMerge/>
            <w:shd w:val="clear" w:color="auto" w:fill="FFFFFF"/>
          </w:tcPr>
          <w:p w14:paraId="2D6EB081" w14:textId="77777777" w:rsidR="003F0B24" w:rsidRDefault="003F0B24" w:rsidP="003A4CFD">
            <w:pPr>
              <w:pStyle w:val="CETBodytext"/>
              <w:rPr>
                <w:lang w:val="en-GB"/>
              </w:rPr>
            </w:pPr>
          </w:p>
        </w:tc>
        <w:tc>
          <w:tcPr>
            <w:tcW w:w="1844" w:type="pct"/>
            <w:shd w:val="clear" w:color="auto" w:fill="FFFFFF"/>
          </w:tcPr>
          <w:p w14:paraId="0A761677" w14:textId="048D9100" w:rsidR="003F0B24" w:rsidRDefault="003F0B24" w:rsidP="003A4CFD">
            <w:pPr>
              <w:pStyle w:val="CETBodytext"/>
              <w:rPr>
                <w:lang w:val="en-GB"/>
              </w:rPr>
            </w:pPr>
            <w:r>
              <w:rPr>
                <w:lang w:val="en-GB"/>
              </w:rPr>
              <w:t>Oxygen for production</w:t>
            </w:r>
          </w:p>
        </w:tc>
        <w:tc>
          <w:tcPr>
            <w:tcW w:w="1127" w:type="pct"/>
            <w:shd w:val="clear" w:color="auto" w:fill="FFFFFF"/>
          </w:tcPr>
          <w:p w14:paraId="6F487F49" w14:textId="78FC48C6" w:rsidR="003F0B24" w:rsidRDefault="006F026F" w:rsidP="003A4CFD">
            <w:pPr>
              <w:pStyle w:val="CETBodytext"/>
              <w:rPr>
                <w:lang w:val="en-GB"/>
              </w:rPr>
            </w:pPr>
            <w:r>
              <w:rPr>
                <w:lang w:val="en-GB"/>
              </w:rPr>
              <w:t>5</w:t>
            </w:r>
            <w:r w:rsidR="003F0B24">
              <w:rPr>
                <w:lang w:val="en-GB"/>
              </w:rPr>
              <w:t>.</w:t>
            </w:r>
            <w:r>
              <w:rPr>
                <w:lang w:val="en-GB"/>
              </w:rPr>
              <w:t>10</w:t>
            </w:r>
            <w:r w:rsidR="00712481" w:rsidRPr="003F0B24">
              <w:t>·10</w:t>
            </w:r>
            <w:r w:rsidR="00712481" w:rsidRPr="00012AC0">
              <w:rPr>
                <w:vertAlign w:val="superscript"/>
              </w:rPr>
              <w:t>-</w:t>
            </w:r>
            <w:r>
              <w:rPr>
                <w:vertAlign w:val="superscript"/>
              </w:rPr>
              <w:t>2</w:t>
            </w:r>
          </w:p>
        </w:tc>
        <w:tc>
          <w:tcPr>
            <w:tcW w:w="595" w:type="pct"/>
            <w:shd w:val="clear" w:color="auto" w:fill="FFFFFF"/>
          </w:tcPr>
          <w:p w14:paraId="4B480C3B" w14:textId="1EDE546C" w:rsidR="003F0B24" w:rsidRDefault="003F0B24" w:rsidP="003A4CFD">
            <w:pPr>
              <w:pStyle w:val="CETBodytext"/>
              <w:ind w:right="-1"/>
              <w:rPr>
                <w:rFonts w:cs="Arial"/>
                <w:szCs w:val="18"/>
                <w:lang w:val="en-GB"/>
              </w:rPr>
            </w:pPr>
            <w:r>
              <w:rPr>
                <w:rFonts w:cs="Arial"/>
                <w:szCs w:val="18"/>
                <w:lang w:val="en-GB"/>
              </w:rPr>
              <w:t>kg/h</w:t>
            </w:r>
          </w:p>
        </w:tc>
      </w:tr>
      <w:tr w:rsidR="00AA771C" w:rsidRPr="00B57B36" w14:paraId="04B51705" w14:textId="77777777" w:rsidTr="00AA771C">
        <w:tc>
          <w:tcPr>
            <w:tcW w:w="1433" w:type="pct"/>
            <w:vMerge w:val="restart"/>
            <w:shd w:val="clear" w:color="auto" w:fill="FFFFFF"/>
          </w:tcPr>
          <w:p w14:paraId="3A98890E" w14:textId="7EA43EE6" w:rsidR="00AA771C" w:rsidRPr="00B57B36" w:rsidRDefault="00AA771C" w:rsidP="003A4CFD">
            <w:pPr>
              <w:pStyle w:val="CETBodytext"/>
              <w:ind w:right="-1"/>
              <w:rPr>
                <w:rFonts w:cs="Arial"/>
                <w:szCs w:val="18"/>
                <w:lang w:val="en-GB"/>
              </w:rPr>
            </w:pPr>
            <w:r>
              <w:rPr>
                <w:rFonts w:cs="Arial"/>
                <w:szCs w:val="18"/>
                <w:lang w:val="en-GB"/>
              </w:rPr>
              <w:t>Copper Sulphate</w:t>
            </w:r>
          </w:p>
        </w:tc>
        <w:tc>
          <w:tcPr>
            <w:tcW w:w="1844" w:type="pct"/>
            <w:shd w:val="clear" w:color="auto" w:fill="FFFFFF"/>
          </w:tcPr>
          <w:p w14:paraId="08CEABF1" w14:textId="289C1865" w:rsidR="00AA771C" w:rsidRPr="00B57B36" w:rsidRDefault="00AA771C" w:rsidP="003A4CFD">
            <w:pPr>
              <w:pStyle w:val="CETBodytext"/>
              <w:ind w:right="-1"/>
              <w:rPr>
                <w:rFonts w:cs="Arial"/>
                <w:szCs w:val="18"/>
                <w:lang w:val="en-GB"/>
              </w:rPr>
            </w:pPr>
            <w:r>
              <w:rPr>
                <w:rFonts w:cs="Arial"/>
                <w:szCs w:val="18"/>
                <w:lang w:val="en-GB"/>
              </w:rPr>
              <w:t>Diesel for transportation</w:t>
            </w:r>
          </w:p>
        </w:tc>
        <w:tc>
          <w:tcPr>
            <w:tcW w:w="1127" w:type="pct"/>
            <w:shd w:val="clear" w:color="auto" w:fill="FFFFFF"/>
          </w:tcPr>
          <w:p w14:paraId="7BA6E575" w14:textId="071EC878" w:rsidR="00AA771C" w:rsidRPr="00B57B36" w:rsidRDefault="00712481" w:rsidP="003A4CFD">
            <w:pPr>
              <w:pStyle w:val="CETBodytext"/>
              <w:ind w:right="-1"/>
              <w:rPr>
                <w:rFonts w:cs="Arial"/>
                <w:szCs w:val="18"/>
                <w:lang w:val="en-GB"/>
              </w:rPr>
            </w:pPr>
            <w:r w:rsidRPr="003F0B24">
              <w:t>10</w:t>
            </w:r>
            <w:r w:rsidRPr="00012AC0">
              <w:rPr>
                <w:vertAlign w:val="superscript"/>
              </w:rPr>
              <w:t>-</w:t>
            </w:r>
            <w:r>
              <w:rPr>
                <w:vertAlign w:val="superscript"/>
              </w:rPr>
              <w:t>3</w:t>
            </w:r>
          </w:p>
        </w:tc>
        <w:tc>
          <w:tcPr>
            <w:tcW w:w="595" w:type="pct"/>
            <w:shd w:val="clear" w:color="auto" w:fill="FFFFFF"/>
          </w:tcPr>
          <w:p w14:paraId="4CBDC073" w14:textId="1E748669" w:rsidR="00AA771C" w:rsidRPr="00B57B36" w:rsidRDefault="00AA771C" w:rsidP="003A4CFD">
            <w:pPr>
              <w:pStyle w:val="CETBodytext"/>
              <w:ind w:right="-1"/>
              <w:rPr>
                <w:rFonts w:cs="Arial"/>
                <w:szCs w:val="18"/>
                <w:lang w:val="en-GB"/>
              </w:rPr>
            </w:pPr>
            <w:r>
              <w:rPr>
                <w:rFonts w:cs="Arial"/>
                <w:szCs w:val="18"/>
                <w:lang w:val="en-GB"/>
              </w:rPr>
              <w:t>kg/h</w:t>
            </w:r>
          </w:p>
        </w:tc>
      </w:tr>
      <w:tr w:rsidR="00AA771C" w:rsidRPr="00B57B36" w14:paraId="0C5CC02C" w14:textId="77777777" w:rsidTr="00AA771C">
        <w:tc>
          <w:tcPr>
            <w:tcW w:w="1433" w:type="pct"/>
            <w:vMerge/>
            <w:shd w:val="clear" w:color="auto" w:fill="FFFFFF"/>
          </w:tcPr>
          <w:p w14:paraId="13225FC8" w14:textId="77777777" w:rsidR="00AA771C" w:rsidRDefault="00AA771C" w:rsidP="003A4CFD">
            <w:pPr>
              <w:pStyle w:val="CETBodytext"/>
              <w:ind w:right="-1"/>
              <w:rPr>
                <w:rFonts w:cs="Arial"/>
                <w:szCs w:val="18"/>
                <w:lang w:val="en-GB"/>
              </w:rPr>
            </w:pPr>
          </w:p>
        </w:tc>
        <w:tc>
          <w:tcPr>
            <w:tcW w:w="1844" w:type="pct"/>
            <w:shd w:val="clear" w:color="auto" w:fill="FFFFFF"/>
          </w:tcPr>
          <w:p w14:paraId="28C12C83" w14:textId="52E2C727" w:rsidR="00AA771C" w:rsidRDefault="00AA771C" w:rsidP="003A4CFD">
            <w:pPr>
              <w:pStyle w:val="CETBodytext"/>
              <w:ind w:right="-1"/>
              <w:rPr>
                <w:rFonts w:cs="Arial"/>
                <w:szCs w:val="18"/>
                <w:lang w:val="en-GB"/>
              </w:rPr>
            </w:pPr>
            <w:r>
              <w:rPr>
                <w:rFonts w:cs="Arial"/>
                <w:szCs w:val="18"/>
                <w:lang w:val="en-GB"/>
              </w:rPr>
              <w:t>Copper for production</w:t>
            </w:r>
          </w:p>
        </w:tc>
        <w:tc>
          <w:tcPr>
            <w:tcW w:w="1127" w:type="pct"/>
            <w:shd w:val="clear" w:color="auto" w:fill="FFFFFF"/>
          </w:tcPr>
          <w:p w14:paraId="15D5618D" w14:textId="3B155082" w:rsidR="00AA771C" w:rsidRPr="00B57B36" w:rsidRDefault="00712481" w:rsidP="003A4CFD">
            <w:pPr>
              <w:pStyle w:val="CETBodytext"/>
              <w:ind w:right="-1"/>
              <w:rPr>
                <w:rFonts w:cs="Arial"/>
                <w:szCs w:val="18"/>
                <w:lang w:val="en-GB"/>
              </w:rPr>
            </w:pPr>
            <w:r>
              <w:rPr>
                <w:rFonts w:cs="Arial"/>
                <w:szCs w:val="18"/>
                <w:lang w:val="en-GB"/>
              </w:rPr>
              <w:t>1</w:t>
            </w:r>
            <w:r w:rsidR="006F026F">
              <w:rPr>
                <w:rFonts w:cs="Arial"/>
                <w:szCs w:val="18"/>
                <w:lang w:val="en-GB"/>
              </w:rPr>
              <w:t>1</w:t>
            </w:r>
            <w:r w:rsidR="00AA771C">
              <w:rPr>
                <w:rFonts w:cs="Arial"/>
                <w:szCs w:val="18"/>
                <w:lang w:val="en-GB"/>
              </w:rPr>
              <w:t>.3</w:t>
            </w:r>
            <w:r w:rsidR="006F026F">
              <w:rPr>
                <w:rFonts w:cs="Arial"/>
                <w:szCs w:val="18"/>
                <w:lang w:val="en-GB"/>
              </w:rPr>
              <w:t>0</w:t>
            </w:r>
            <w:r w:rsidRPr="003F0B24">
              <w:t>·10</w:t>
            </w:r>
            <w:r w:rsidRPr="00012AC0">
              <w:rPr>
                <w:vertAlign w:val="superscript"/>
              </w:rPr>
              <w:t>-</w:t>
            </w:r>
            <w:r w:rsidR="006F026F">
              <w:rPr>
                <w:vertAlign w:val="superscript"/>
              </w:rPr>
              <w:t>2</w:t>
            </w:r>
          </w:p>
        </w:tc>
        <w:tc>
          <w:tcPr>
            <w:tcW w:w="595" w:type="pct"/>
            <w:shd w:val="clear" w:color="auto" w:fill="FFFFFF"/>
          </w:tcPr>
          <w:p w14:paraId="360C2E66" w14:textId="63EE55DD" w:rsidR="00AA771C" w:rsidRPr="00B57B36" w:rsidRDefault="00AA771C" w:rsidP="003A4CFD">
            <w:pPr>
              <w:pStyle w:val="CETBodytext"/>
              <w:ind w:right="-1"/>
              <w:rPr>
                <w:rFonts w:cs="Arial"/>
                <w:szCs w:val="18"/>
                <w:lang w:val="en-GB"/>
              </w:rPr>
            </w:pPr>
            <w:r>
              <w:rPr>
                <w:rFonts w:cs="Arial"/>
                <w:szCs w:val="18"/>
                <w:lang w:val="en-GB"/>
              </w:rPr>
              <w:t>kg/h</w:t>
            </w:r>
          </w:p>
        </w:tc>
      </w:tr>
      <w:tr w:rsidR="00AA771C" w:rsidRPr="00B57B36" w14:paraId="197D9F9C" w14:textId="77777777" w:rsidTr="00AA771C">
        <w:tc>
          <w:tcPr>
            <w:tcW w:w="1433" w:type="pct"/>
            <w:vMerge/>
            <w:shd w:val="clear" w:color="auto" w:fill="FFFFFF"/>
          </w:tcPr>
          <w:p w14:paraId="3B6CADE2" w14:textId="77777777" w:rsidR="00AA771C" w:rsidRDefault="00AA771C" w:rsidP="003A4CFD">
            <w:pPr>
              <w:pStyle w:val="CETBodytext"/>
              <w:ind w:right="-1"/>
              <w:rPr>
                <w:rFonts w:cs="Arial"/>
                <w:szCs w:val="18"/>
                <w:lang w:val="en-GB"/>
              </w:rPr>
            </w:pPr>
          </w:p>
        </w:tc>
        <w:tc>
          <w:tcPr>
            <w:tcW w:w="1844" w:type="pct"/>
            <w:shd w:val="clear" w:color="auto" w:fill="FFFFFF"/>
          </w:tcPr>
          <w:p w14:paraId="535793A3" w14:textId="74AAC9A4" w:rsidR="00AA771C" w:rsidRDefault="00AA771C" w:rsidP="003A4CFD">
            <w:pPr>
              <w:pStyle w:val="CETBodytext"/>
              <w:ind w:right="-1"/>
              <w:rPr>
                <w:rFonts w:cs="Arial"/>
                <w:szCs w:val="18"/>
                <w:lang w:val="en-GB"/>
              </w:rPr>
            </w:pPr>
            <w:r>
              <w:rPr>
                <w:rFonts w:cs="Arial"/>
                <w:szCs w:val="18"/>
                <w:lang w:val="en-GB"/>
              </w:rPr>
              <w:t>Sulphuric acid for production</w:t>
            </w:r>
          </w:p>
        </w:tc>
        <w:tc>
          <w:tcPr>
            <w:tcW w:w="1127" w:type="pct"/>
            <w:shd w:val="clear" w:color="auto" w:fill="FFFFFF"/>
          </w:tcPr>
          <w:p w14:paraId="61C7BA91" w14:textId="70B15E8D" w:rsidR="00AA771C" w:rsidRPr="00B57B36" w:rsidRDefault="00712481" w:rsidP="003A4CFD">
            <w:pPr>
              <w:pStyle w:val="CETBodytext"/>
              <w:ind w:right="-1"/>
              <w:rPr>
                <w:rFonts w:cs="Arial"/>
                <w:szCs w:val="18"/>
                <w:lang w:val="en-GB"/>
              </w:rPr>
            </w:pPr>
            <w:r>
              <w:rPr>
                <w:rFonts w:cs="Arial"/>
                <w:szCs w:val="18"/>
                <w:lang w:val="en-GB"/>
              </w:rPr>
              <w:t>1</w:t>
            </w:r>
            <w:r w:rsidR="006F026F">
              <w:rPr>
                <w:rFonts w:cs="Arial"/>
                <w:szCs w:val="18"/>
                <w:lang w:val="en-GB"/>
              </w:rPr>
              <w:t>7</w:t>
            </w:r>
            <w:r w:rsidR="00AA771C">
              <w:rPr>
                <w:rFonts w:cs="Arial"/>
                <w:szCs w:val="18"/>
                <w:lang w:val="en-GB"/>
              </w:rPr>
              <w:t>.5</w:t>
            </w:r>
            <w:r w:rsidR="006F026F">
              <w:rPr>
                <w:rFonts w:cs="Arial"/>
                <w:szCs w:val="18"/>
                <w:lang w:val="en-GB"/>
              </w:rPr>
              <w:t>0</w:t>
            </w:r>
            <w:r w:rsidRPr="003F0B24">
              <w:t>·10</w:t>
            </w:r>
            <w:r w:rsidRPr="00012AC0">
              <w:rPr>
                <w:vertAlign w:val="superscript"/>
              </w:rPr>
              <w:t>-</w:t>
            </w:r>
            <w:r w:rsidR="006F026F">
              <w:rPr>
                <w:vertAlign w:val="superscript"/>
              </w:rPr>
              <w:t>2</w:t>
            </w:r>
          </w:p>
        </w:tc>
        <w:tc>
          <w:tcPr>
            <w:tcW w:w="595" w:type="pct"/>
            <w:shd w:val="clear" w:color="auto" w:fill="FFFFFF"/>
          </w:tcPr>
          <w:p w14:paraId="464D2B29" w14:textId="7DB07E2E" w:rsidR="00AA771C" w:rsidRPr="00B57B36" w:rsidRDefault="00AA771C" w:rsidP="003A4CFD">
            <w:pPr>
              <w:pStyle w:val="CETBodytext"/>
              <w:ind w:right="-1"/>
              <w:rPr>
                <w:rFonts w:cs="Arial"/>
                <w:szCs w:val="18"/>
                <w:lang w:val="en-GB"/>
              </w:rPr>
            </w:pPr>
            <w:r>
              <w:rPr>
                <w:rFonts w:cs="Arial"/>
                <w:szCs w:val="18"/>
                <w:lang w:val="en-GB"/>
              </w:rPr>
              <w:t>kg/h</w:t>
            </w:r>
          </w:p>
        </w:tc>
      </w:tr>
      <w:tr w:rsidR="00AA771C" w:rsidRPr="00B57B36" w14:paraId="26A6FCDB" w14:textId="77777777" w:rsidTr="00AA771C">
        <w:tc>
          <w:tcPr>
            <w:tcW w:w="1433" w:type="pct"/>
            <w:vMerge w:val="restart"/>
            <w:shd w:val="clear" w:color="auto" w:fill="FFFFFF"/>
          </w:tcPr>
          <w:p w14:paraId="3A4194B7" w14:textId="64C4CFAB" w:rsidR="00AA771C" w:rsidRDefault="00AA771C" w:rsidP="003A4CFD">
            <w:pPr>
              <w:pStyle w:val="CETBodytext"/>
              <w:ind w:right="-1"/>
              <w:rPr>
                <w:rFonts w:cs="Arial"/>
                <w:szCs w:val="18"/>
                <w:lang w:val="en-GB"/>
              </w:rPr>
            </w:pPr>
            <w:r>
              <w:rPr>
                <w:rFonts w:cs="Arial"/>
                <w:szCs w:val="18"/>
                <w:lang w:val="en-GB"/>
              </w:rPr>
              <w:t>Oil</w:t>
            </w:r>
          </w:p>
        </w:tc>
        <w:tc>
          <w:tcPr>
            <w:tcW w:w="1844" w:type="pct"/>
            <w:shd w:val="clear" w:color="auto" w:fill="FFFFFF"/>
          </w:tcPr>
          <w:p w14:paraId="00F2F378" w14:textId="29584B1F" w:rsidR="00AA771C" w:rsidRDefault="00AA771C" w:rsidP="003A4CFD">
            <w:pPr>
              <w:pStyle w:val="CETBodytext"/>
              <w:ind w:right="-1"/>
              <w:rPr>
                <w:rFonts w:cs="Arial"/>
                <w:szCs w:val="18"/>
                <w:lang w:val="en-GB"/>
              </w:rPr>
            </w:pPr>
            <w:r>
              <w:rPr>
                <w:rFonts w:cs="Arial"/>
                <w:szCs w:val="18"/>
                <w:lang w:val="en-GB"/>
              </w:rPr>
              <w:t>Diesel for transportation</w:t>
            </w:r>
          </w:p>
        </w:tc>
        <w:tc>
          <w:tcPr>
            <w:tcW w:w="1127" w:type="pct"/>
            <w:shd w:val="clear" w:color="auto" w:fill="FFFFFF"/>
          </w:tcPr>
          <w:p w14:paraId="037304E9" w14:textId="677E61FA" w:rsidR="00AA771C" w:rsidRPr="00B57B36" w:rsidRDefault="00712481" w:rsidP="003A4CFD">
            <w:pPr>
              <w:pStyle w:val="CETBodytext"/>
              <w:ind w:right="-1"/>
              <w:rPr>
                <w:rFonts w:cs="Arial"/>
                <w:szCs w:val="18"/>
                <w:lang w:val="en-GB"/>
              </w:rPr>
            </w:pPr>
            <w:r>
              <w:rPr>
                <w:rFonts w:cs="Arial"/>
                <w:szCs w:val="18"/>
                <w:lang w:val="en-GB"/>
              </w:rPr>
              <w:t>6</w:t>
            </w:r>
            <w:r w:rsidRPr="003F0B24">
              <w:t>·10</w:t>
            </w:r>
            <w:r w:rsidRPr="00012AC0">
              <w:rPr>
                <w:vertAlign w:val="superscript"/>
              </w:rPr>
              <w:t>-</w:t>
            </w:r>
            <w:r>
              <w:rPr>
                <w:vertAlign w:val="superscript"/>
              </w:rPr>
              <w:t>3</w:t>
            </w:r>
          </w:p>
        </w:tc>
        <w:tc>
          <w:tcPr>
            <w:tcW w:w="595" w:type="pct"/>
            <w:shd w:val="clear" w:color="auto" w:fill="FFFFFF"/>
          </w:tcPr>
          <w:p w14:paraId="6E90089A" w14:textId="050A1F5E" w:rsidR="00AA771C" w:rsidRPr="00B57B36" w:rsidRDefault="00AA771C" w:rsidP="003A4CFD">
            <w:pPr>
              <w:pStyle w:val="CETBodytext"/>
              <w:ind w:right="-1"/>
              <w:rPr>
                <w:rFonts w:cs="Arial"/>
                <w:szCs w:val="18"/>
                <w:lang w:val="en-GB"/>
              </w:rPr>
            </w:pPr>
            <w:r>
              <w:rPr>
                <w:rFonts w:cs="Arial"/>
                <w:szCs w:val="18"/>
                <w:lang w:val="en-GB"/>
              </w:rPr>
              <w:t>kg/h</w:t>
            </w:r>
          </w:p>
        </w:tc>
      </w:tr>
      <w:tr w:rsidR="00AA771C" w:rsidRPr="00B57B36" w14:paraId="3B58215F" w14:textId="77777777" w:rsidTr="00AA771C">
        <w:tc>
          <w:tcPr>
            <w:tcW w:w="1433" w:type="pct"/>
            <w:vMerge/>
            <w:shd w:val="clear" w:color="auto" w:fill="FFFFFF"/>
          </w:tcPr>
          <w:p w14:paraId="65469B95" w14:textId="77777777" w:rsidR="00AA771C" w:rsidRDefault="00AA771C" w:rsidP="003A4CFD">
            <w:pPr>
              <w:pStyle w:val="CETBodytext"/>
              <w:ind w:right="-1"/>
              <w:rPr>
                <w:rFonts w:cs="Arial"/>
                <w:szCs w:val="18"/>
                <w:lang w:val="en-GB"/>
              </w:rPr>
            </w:pPr>
          </w:p>
        </w:tc>
        <w:tc>
          <w:tcPr>
            <w:tcW w:w="1844" w:type="pct"/>
            <w:shd w:val="clear" w:color="auto" w:fill="FFFFFF"/>
          </w:tcPr>
          <w:p w14:paraId="60CBA235" w14:textId="2DEE9A2A" w:rsidR="00AA771C" w:rsidRDefault="00AA771C" w:rsidP="003A4CFD">
            <w:pPr>
              <w:pStyle w:val="CETBodytext"/>
              <w:ind w:right="-1"/>
              <w:rPr>
                <w:rFonts w:cs="Arial"/>
                <w:szCs w:val="18"/>
                <w:lang w:val="en-GB"/>
              </w:rPr>
            </w:pPr>
            <w:r>
              <w:rPr>
                <w:rFonts w:cs="Arial"/>
                <w:szCs w:val="18"/>
                <w:lang w:val="en-GB"/>
              </w:rPr>
              <w:t>Rapeseed oil</w:t>
            </w:r>
          </w:p>
        </w:tc>
        <w:tc>
          <w:tcPr>
            <w:tcW w:w="1127" w:type="pct"/>
            <w:shd w:val="clear" w:color="auto" w:fill="FFFFFF"/>
          </w:tcPr>
          <w:p w14:paraId="7F1AA77D" w14:textId="7681973F" w:rsidR="00AA771C" w:rsidRPr="00B57B36" w:rsidRDefault="00AA771C" w:rsidP="003A4CFD">
            <w:pPr>
              <w:pStyle w:val="CETBodytext"/>
              <w:ind w:right="-1"/>
              <w:rPr>
                <w:rFonts w:cs="Arial"/>
                <w:szCs w:val="18"/>
                <w:lang w:val="en-GB"/>
              </w:rPr>
            </w:pPr>
            <w:r>
              <w:rPr>
                <w:rFonts w:cs="Arial"/>
                <w:szCs w:val="18"/>
                <w:lang w:val="en-GB"/>
              </w:rPr>
              <w:t>4.55</w:t>
            </w:r>
          </w:p>
        </w:tc>
        <w:tc>
          <w:tcPr>
            <w:tcW w:w="595" w:type="pct"/>
            <w:shd w:val="clear" w:color="auto" w:fill="FFFFFF"/>
          </w:tcPr>
          <w:p w14:paraId="3C985741" w14:textId="1809C64B" w:rsidR="00AA771C" w:rsidRDefault="00AA771C" w:rsidP="003A4CFD">
            <w:pPr>
              <w:pStyle w:val="CETBodytext"/>
              <w:ind w:right="-1"/>
              <w:rPr>
                <w:rFonts w:cs="Arial"/>
                <w:szCs w:val="18"/>
                <w:lang w:val="en-GB"/>
              </w:rPr>
            </w:pPr>
            <w:r>
              <w:rPr>
                <w:rFonts w:cs="Arial"/>
                <w:szCs w:val="18"/>
                <w:lang w:val="en-GB"/>
              </w:rPr>
              <w:t>kg/h</w:t>
            </w:r>
          </w:p>
        </w:tc>
      </w:tr>
      <w:tr w:rsidR="00AA771C" w:rsidRPr="00B57B36" w14:paraId="72FE924A" w14:textId="77777777" w:rsidTr="00AA771C">
        <w:tc>
          <w:tcPr>
            <w:tcW w:w="1433" w:type="pct"/>
            <w:vMerge w:val="restart"/>
            <w:shd w:val="clear" w:color="auto" w:fill="FFFFFF"/>
          </w:tcPr>
          <w:p w14:paraId="56D443CD" w14:textId="3B7FD01A" w:rsidR="00AA771C" w:rsidRDefault="00AA771C" w:rsidP="003F0B24">
            <w:pPr>
              <w:pStyle w:val="CETBodytext"/>
              <w:ind w:right="-1"/>
              <w:rPr>
                <w:rFonts w:cs="Arial"/>
                <w:szCs w:val="18"/>
                <w:lang w:val="en-GB"/>
              </w:rPr>
            </w:pPr>
            <w:r>
              <w:rPr>
                <w:rFonts w:cs="Arial"/>
                <w:szCs w:val="18"/>
                <w:lang w:val="en-GB"/>
              </w:rPr>
              <w:t>Prototype construction</w:t>
            </w:r>
          </w:p>
        </w:tc>
        <w:tc>
          <w:tcPr>
            <w:tcW w:w="1844" w:type="pct"/>
            <w:shd w:val="clear" w:color="auto" w:fill="FFFFFF"/>
          </w:tcPr>
          <w:p w14:paraId="2839F23B" w14:textId="577BF347" w:rsidR="00AA771C" w:rsidRDefault="00AA771C" w:rsidP="003F0B24">
            <w:pPr>
              <w:pStyle w:val="CETBodytext"/>
              <w:ind w:right="-1"/>
              <w:rPr>
                <w:rFonts w:cs="Arial"/>
                <w:szCs w:val="18"/>
                <w:lang w:val="en-GB"/>
              </w:rPr>
            </w:pPr>
            <w:r>
              <w:rPr>
                <w:rFonts w:cs="Arial"/>
                <w:szCs w:val="18"/>
                <w:lang w:val="en-GB"/>
              </w:rPr>
              <w:t>Stainless steel</w:t>
            </w:r>
          </w:p>
        </w:tc>
        <w:tc>
          <w:tcPr>
            <w:tcW w:w="1127" w:type="pct"/>
            <w:shd w:val="clear" w:color="auto" w:fill="FFFFFF"/>
            <w:vAlign w:val="center"/>
          </w:tcPr>
          <w:p w14:paraId="520E8458" w14:textId="07EF7E80" w:rsidR="00AA771C" w:rsidRPr="003F0B24" w:rsidRDefault="00AA771C" w:rsidP="003F0B24">
            <w:pPr>
              <w:pStyle w:val="CETBodytext"/>
            </w:pPr>
            <w:r w:rsidRPr="003F0B24">
              <w:t>8.39·10</w:t>
            </w:r>
            <w:r w:rsidRPr="00012AC0">
              <w:rPr>
                <w:vertAlign w:val="superscript"/>
              </w:rPr>
              <w:t>-3</w:t>
            </w:r>
          </w:p>
        </w:tc>
        <w:tc>
          <w:tcPr>
            <w:tcW w:w="595" w:type="pct"/>
            <w:shd w:val="clear" w:color="auto" w:fill="FFFFFF"/>
            <w:vAlign w:val="center"/>
          </w:tcPr>
          <w:p w14:paraId="11F805AE" w14:textId="09D4B445" w:rsidR="00AA771C" w:rsidRPr="003F0B24" w:rsidRDefault="00AA771C" w:rsidP="003F0B24">
            <w:pPr>
              <w:pStyle w:val="CETBodytext"/>
            </w:pPr>
            <w:r w:rsidRPr="003F0B24">
              <w:t>kg/h</w:t>
            </w:r>
          </w:p>
        </w:tc>
      </w:tr>
      <w:tr w:rsidR="00AA771C" w:rsidRPr="00B57B36" w14:paraId="775CBD3A" w14:textId="77777777" w:rsidTr="00AA771C">
        <w:tc>
          <w:tcPr>
            <w:tcW w:w="1433" w:type="pct"/>
            <w:vMerge/>
            <w:shd w:val="clear" w:color="auto" w:fill="FFFFFF"/>
          </w:tcPr>
          <w:p w14:paraId="3DE97216" w14:textId="77777777" w:rsidR="00AA771C" w:rsidRDefault="00AA771C" w:rsidP="003F0B24">
            <w:pPr>
              <w:pStyle w:val="CETBodytext"/>
              <w:ind w:right="-1"/>
              <w:rPr>
                <w:rFonts w:cs="Arial"/>
                <w:szCs w:val="18"/>
                <w:lang w:val="en-GB"/>
              </w:rPr>
            </w:pPr>
          </w:p>
        </w:tc>
        <w:tc>
          <w:tcPr>
            <w:tcW w:w="1844" w:type="pct"/>
            <w:shd w:val="clear" w:color="auto" w:fill="FFFFFF"/>
          </w:tcPr>
          <w:p w14:paraId="3FCA7C0D" w14:textId="41FBD9A5" w:rsidR="00AA771C" w:rsidRDefault="00AA771C" w:rsidP="003F0B24">
            <w:pPr>
              <w:pStyle w:val="CETBodytext"/>
              <w:ind w:right="-1"/>
              <w:rPr>
                <w:rFonts w:cs="Arial"/>
                <w:szCs w:val="18"/>
                <w:lang w:val="en-GB"/>
              </w:rPr>
            </w:pPr>
            <w:r>
              <w:rPr>
                <w:rFonts w:cs="Arial"/>
                <w:szCs w:val="18"/>
                <w:lang w:val="en-GB"/>
              </w:rPr>
              <w:t>Coper</w:t>
            </w:r>
          </w:p>
        </w:tc>
        <w:tc>
          <w:tcPr>
            <w:tcW w:w="1127" w:type="pct"/>
            <w:shd w:val="clear" w:color="auto" w:fill="FFFFFF"/>
            <w:vAlign w:val="center"/>
          </w:tcPr>
          <w:p w14:paraId="5605D231" w14:textId="40145E48" w:rsidR="00AA771C" w:rsidRPr="003F0B24" w:rsidRDefault="00AA771C" w:rsidP="003F0B24">
            <w:pPr>
              <w:pStyle w:val="CETBodytext"/>
            </w:pPr>
            <w:r w:rsidRPr="003F0B24">
              <w:t>4.19·10</w:t>
            </w:r>
            <w:r w:rsidRPr="00012AC0">
              <w:rPr>
                <w:vertAlign w:val="superscript"/>
              </w:rPr>
              <w:t>-3</w:t>
            </w:r>
          </w:p>
        </w:tc>
        <w:tc>
          <w:tcPr>
            <w:tcW w:w="595" w:type="pct"/>
            <w:shd w:val="clear" w:color="auto" w:fill="FFFFFF"/>
            <w:vAlign w:val="center"/>
          </w:tcPr>
          <w:p w14:paraId="385D88FA" w14:textId="6871D83B" w:rsidR="00AA771C" w:rsidRPr="003F0B24" w:rsidRDefault="00AA771C" w:rsidP="003F0B24">
            <w:pPr>
              <w:pStyle w:val="CETBodytext"/>
            </w:pPr>
            <w:r w:rsidRPr="003F0B24">
              <w:t>kg/h</w:t>
            </w:r>
          </w:p>
        </w:tc>
      </w:tr>
      <w:tr w:rsidR="00AA771C" w:rsidRPr="00B57B36" w14:paraId="697B3D1E" w14:textId="77777777" w:rsidTr="00AA771C">
        <w:tc>
          <w:tcPr>
            <w:tcW w:w="1433" w:type="pct"/>
            <w:vMerge/>
            <w:shd w:val="clear" w:color="auto" w:fill="FFFFFF"/>
          </w:tcPr>
          <w:p w14:paraId="255746F6" w14:textId="77777777" w:rsidR="00AA771C" w:rsidRDefault="00AA771C" w:rsidP="003F0B24">
            <w:pPr>
              <w:pStyle w:val="CETBodytext"/>
              <w:ind w:right="-1"/>
              <w:rPr>
                <w:rFonts w:cs="Arial"/>
                <w:szCs w:val="18"/>
                <w:lang w:val="en-GB"/>
              </w:rPr>
            </w:pPr>
          </w:p>
        </w:tc>
        <w:tc>
          <w:tcPr>
            <w:tcW w:w="1844" w:type="pct"/>
            <w:shd w:val="clear" w:color="auto" w:fill="FFFFFF"/>
          </w:tcPr>
          <w:p w14:paraId="204A018B" w14:textId="1926C41B" w:rsidR="00AA771C" w:rsidRDefault="00AA771C" w:rsidP="003F0B24">
            <w:pPr>
              <w:pStyle w:val="CETBodytext"/>
              <w:ind w:right="-1"/>
              <w:rPr>
                <w:rFonts w:cs="Arial"/>
                <w:szCs w:val="18"/>
                <w:lang w:val="en-GB"/>
              </w:rPr>
            </w:pPr>
            <w:r>
              <w:rPr>
                <w:rFonts w:cs="Arial"/>
                <w:szCs w:val="18"/>
                <w:lang w:val="en-GB"/>
              </w:rPr>
              <w:t>High density Polypropylene</w:t>
            </w:r>
          </w:p>
        </w:tc>
        <w:tc>
          <w:tcPr>
            <w:tcW w:w="1127" w:type="pct"/>
            <w:shd w:val="clear" w:color="auto" w:fill="FFFFFF"/>
            <w:vAlign w:val="center"/>
          </w:tcPr>
          <w:p w14:paraId="5229F17C" w14:textId="728134BC" w:rsidR="00AA771C" w:rsidRPr="003F0B24" w:rsidRDefault="00AA771C" w:rsidP="003F0B24">
            <w:pPr>
              <w:pStyle w:val="CETBodytext"/>
            </w:pPr>
            <w:r w:rsidRPr="003F0B24">
              <w:t>5.15·10</w:t>
            </w:r>
            <w:r w:rsidRPr="00012AC0">
              <w:rPr>
                <w:vertAlign w:val="superscript"/>
              </w:rPr>
              <w:t>-4</w:t>
            </w:r>
          </w:p>
        </w:tc>
        <w:tc>
          <w:tcPr>
            <w:tcW w:w="595" w:type="pct"/>
            <w:shd w:val="clear" w:color="auto" w:fill="FFFFFF"/>
            <w:vAlign w:val="center"/>
          </w:tcPr>
          <w:p w14:paraId="2E220088" w14:textId="61D10050" w:rsidR="00AA771C" w:rsidRPr="003F0B24" w:rsidRDefault="00AA771C" w:rsidP="003F0B24">
            <w:pPr>
              <w:pStyle w:val="CETBodytext"/>
            </w:pPr>
            <w:r w:rsidRPr="003F0B24">
              <w:t>kg/h</w:t>
            </w:r>
          </w:p>
        </w:tc>
      </w:tr>
      <w:tr w:rsidR="00AA771C" w:rsidRPr="00B57B36" w14:paraId="5CE3A252" w14:textId="77777777" w:rsidTr="00AA771C">
        <w:tc>
          <w:tcPr>
            <w:tcW w:w="1433" w:type="pct"/>
            <w:vMerge/>
            <w:shd w:val="clear" w:color="auto" w:fill="FFFFFF"/>
          </w:tcPr>
          <w:p w14:paraId="59C29AFD" w14:textId="77777777" w:rsidR="00AA771C" w:rsidRDefault="00AA771C" w:rsidP="003F0B24">
            <w:pPr>
              <w:pStyle w:val="CETBodytext"/>
              <w:ind w:right="-1"/>
              <w:rPr>
                <w:rFonts w:cs="Arial"/>
                <w:szCs w:val="18"/>
                <w:lang w:val="en-GB"/>
              </w:rPr>
            </w:pPr>
          </w:p>
        </w:tc>
        <w:tc>
          <w:tcPr>
            <w:tcW w:w="1844" w:type="pct"/>
            <w:shd w:val="clear" w:color="auto" w:fill="FFFFFF"/>
          </w:tcPr>
          <w:p w14:paraId="19C0C543" w14:textId="76AF2D09" w:rsidR="00AA771C" w:rsidRDefault="00AA771C" w:rsidP="003F0B24">
            <w:pPr>
              <w:pStyle w:val="CETBodytext"/>
              <w:ind w:right="-1"/>
              <w:rPr>
                <w:rFonts w:cs="Arial"/>
                <w:szCs w:val="18"/>
                <w:lang w:val="en-GB"/>
              </w:rPr>
            </w:pPr>
            <w:r>
              <w:rPr>
                <w:rFonts w:cs="Arial"/>
                <w:szCs w:val="18"/>
                <w:lang w:val="en-GB"/>
              </w:rPr>
              <w:t>Platinum</w:t>
            </w:r>
          </w:p>
        </w:tc>
        <w:tc>
          <w:tcPr>
            <w:tcW w:w="1127" w:type="pct"/>
            <w:shd w:val="clear" w:color="auto" w:fill="FFFFFF"/>
            <w:vAlign w:val="center"/>
          </w:tcPr>
          <w:p w14:paraId="135C5DA8" w14:textId="2A05EC2F" w:rsidR="00AA771C" w:rsidRPr="003F0B24" w:rsidRDefault="00AA771C" w:rsidP="003F0B24">
            <w:pPr>
              <w:pStyle w:val="CETBodytext"/>
            </w:pPr>
            <w:r w:rsidRPr="003F0B24">
              <w:t>3.70·10</w:t>
            </w:r>
            <w:r w:rsidRPr="00012AC0">
              <w:rPr>
                <w:vertAlign w:val="superscript"/>
              </w:rPr>
              <w:t>-5</w:t>
            </w:r>
          </w:p>
        </w:tc>
        <w:tc>
          <w:tcPr>
            <w:tcW w:w="595" w:type="pct"/>
            <w:shd w:val="clear" w:color="auto" w:fill="FFFFFF"/>
            <w:vAlign w:val="center"/>
          </w:tcPr>
          <w:p w14:paraId="59819FFD" w14:textId="404288DD" w:rsidR="00AA771C" w:rsidRPr="003F0B24" w:rsidRDefault="00AA771C" w:rsidP="003F0B24">
            <w:pPr>
              <w:pStyle w:val="CETBodytext"/>
            </w:pPr>
            <w:r w:rsidRPr="003F0B24">
              <w:t>kg/h</w:t>
            </w:r>
          </w:p>
        </w:tc>
      </w:tr>
      <w:tr w:rsidR="00AA771C" w:rsidRPr="00B57B36" w14:paraId="476F0F60" w14:textId="77777777" w:rsidTr="00AA771C">
        <w:tc>
          <w:tcPr>
            <w:tcW w:w="1433" w:type="pct"/>
            <w:vMerge/>
            <w:shd w:val="clear" w:color="auto" w:fill="FFFFFF"/>
          </w:tcPr>
          <w:p w14:paraId="5C74E253" w14:textId="77777777" w:rsidR="00AA771C" w:rsidRDefault="00AA771C" w:rsidP="003F0B24">
            <w:pPr>
              <w:pStyle w:val="CETBodytext"/>
              <w:ind w:right="-1"/>
              <w:rPr>
                <w:rFonts w:cs="Arial"/>
                <w:szCs w:val="18"/>
                <w:lang w:val="en-GB"/>
              </w:rPr>
            </w:pPr>
          </w:p>
        </w:tc>
        <w:tc>
          <w:tcPr>
            <w:tcW w:w="1844" w:type="pct"/>
            <w:shd w:val="clear" w:color="auto" w:fill="FFFFFF"/>
          </w:tcPr>
          <w:p w14:paraId="0B1B69D7" w14:textId="21A865CE" w:rsidR="00AA771C" w:rsidRDefault="00AA771C" w:rsidP="003F0B24">
            <w:pPr>
              <w:pStyle w:val="CETBodytext"/>
              <w:ind w:right="-1"/>
              <w:rPr>
                <w:rFonts w:cs="Arial"/>
                <w:szCs w:val="18"/>
                <w:lang w:val="en-GB"/>
              </w:rPr>
            </w:pPr>
            <w:r>
              <w:rPr>
                <w:rFonts w:cs="Arial"/>
                <w:szCs w:val="18"/>
                <w:lang w:val="en-GB"/>
              </w:rPr>
              <w:t>Red brass</w:t>
            </w:r>
          </w:p>
        </w:tc>
        <w:tc>
          <w:tcPr>
            <w:tcW w:w="1127" w:type="pct"/>
            <w:shd w:val="clear" w:color="auto" w:fill="FFFFFF"/>
            <w:vAlign w:val="center"/>
          </w:tcPr>
          <w:p w14:paraId="35B80EDC" w14:textId="53894C31" w:rsidR="00AA771C" w:rsidRPr="003F0B24" w:rsidRDefault="00AA771C" w:rsidP="003F0B24">
            <w:pPr>
              <w:pStyle w:val="CETBodytext"/>
            </w:pPr>
            <w:r w:rsidRPr="003F0B24">
              <w:t>5.71·10</w:t>
            </w:r>
            <w:r w:rsidRPr="00012AC0">
              <w:rPr>
                <w:vertAlign w:val="superscript"/>
              </w:rPr>
              <w:t>-7</w:t>
            </w:r>
          </w:p>
        </w:tc>
        <w:tc>
          <w:tcPr>
            <w:tcW w:w="595" w:type="pct"/>
            <w:shd w:val="clear" w:color="auto" w:fill="FFFFFF"/>
            <w:vAlign w:val="center"/>
          </w:tcPr>
          <w:p w14:paraId="711ED8C6" w14:textId="553CDFB2" w:rsidR="00AA771C" w:rsidRPr="003F0B24" w:rsidRDefault="00AA771C" w:rsidP="003F0B24">
            <w:pPr>
              <w:pStyle w:val="CETBodytext"/>
            </w:pPr>
            <w:r w:rsidRPr="003F0B24">
              <w:t>kg/h</w:t>
            </w:r>
          </w:p>
        </w:tc>
      </w:tr>
    </w:tbl>
    <w:p w14:paraId="5B7882B1" w14:textId="77777777" w:rsidR="0066646E" w:rsidRPr="0066646E" w:rsidRDefault="0066646E" w:rsidP="0066646E">
      <w:pPr>
        <w:pStyle w:val="CETBodytext"/>
        <w:rPr>
          <w:lang w:val="en-GB"/>
        </w:rPr>
      </w:pPr>
      <w:r w:rsidRPr="0066646E">
        <w:rPr>
          <w:lang w:val="en-GB"/>
        </w:rPr>
        <w:t>In LCI analysis, unit processes serve as the smallest elements for quantifying material exchanges, including resources and emissions, between a system and the environment (</w:t>
      </w:r>
      <w:proofErr w:type="spellStart"/>
      <w:r w:rsidRPr="0066646E">
        <w:rPr>
          <w:lang w:val="en-GB"/>
        </w:rPr>
        <w:t>Hauschild</w:t>
      </w:r>
      <w:proofErr w:type="spellEnd"/>
      <w:r w:rsidRPr="0066646E">
        <w:rPr>
          <w:lang w:val="en-GB"/>
        </w:rPr>
        <w:t xml:space="preserve"> and </w:t>
      </w:r>
      <w:proofErr w:type="spellStart"/>
      <w:r w:rsidRPr="0066646E">
        <w:rPr>
          <w:lang w:val="en-GB"/>
        </w:rPr>
        <w:t>Huijbregts</w:t>
      </w:r>
      <w:proofErr w:type="spellEnd"/>
      <w:r w:rsidRPr="0066646E">
        <w:rPr>
          <w:lang w:val="en-GB"/>
        </w:rPr>
        <w:t>, 2015). These unit processes act as "black boxes", transforming a set of inputs—such as materials and natural resources—into various outputs, including products, waste, and environmental pollutants (</w:t>
      </w:r>
      <w:proofErr w:type="spellStart"/>
      <w:r w:rsidRPr="0066646E">
        <w:rPr>
          <w:lang w:val="en-GB"/>
        </w:rPr>
        <w:t>Nuss</w:t>
      </w:r>
      <w:proofErr w:type="spellEnd"/>
      <w:r w:rsidRPr="0066646E">
        <w:rPr>
          <w:lang w:val="en-GB"/>
        </w:rPr>
        <w:t>, 2014). Data from these exchanges are organized in Table 2. This study relies exclusively on secondary data, derived from simulations conducted by means of IPSE GO, using a dedicated model library (</w:t>
      </w:r>
      <w:proofErr w:type="spellStart"/>
      <w:r w:rsidRPr="0066646E">
        <w:rPr>
          <w:lang w:val="en-GB"/>
        </w:rPr>
        <w:t>RESTORE_Lib</w:t>
      </w:r>
      <w:proofErr w:type="spellEnd"/>
      <w:r w:rsidRPr="0066646E">
        <w:rPr>
          <w:lang w:val="en-GB"/>
        </w:rPr>
        <w:t xml:space="preserve">) with newly created and </w:t>
      </w:r>
      <w:r w:rsidRPr="0066646E">
        <w:rPr>
          <w:lang w:val="en-GB"/>
        </w:rPr>
        <w:lastRenderedPageBreak/>
        <w:t xml:space="preserve">customized components for the RESTORE project (SimTech GmbH, 2024). For </w:t>
      </w:r>
      <w:proofErr w:type="spellStart"/>
      <w:r w:rsidRPr="0066646E">
        <w:rPr>
          <w:lang w:val="en-GB"/>
        </w:rPr>
        <w:t>Novec</w:t>
      </w:r>
      <w:proofErr w:type="spellEnd"/>
      <w:r w:rsidRPr="0066646E">
        <w:rPr>
          <w:lang w:val="en-GB"/>
        </w:rPr>
        <w:t xml:space="preserve"> 649, CuSO4, and oil production, data from available literature was used.</w:t>
      </w:r>
    </w:p>
    <w:p w14:paraId="626757CC" w14:textId="393AB03F" w:rsidR="001A6BA9" w:rsidRDefault="0066646E" w:rsidP="0066646E">
      <w:pPr>
        <w:pStyle w:val="CETBodytext"/>
      </w:pPr>
      <w:r w:rsidRPr="0066646E">
        <w:rPr>
          <w:lang w:val="en-GB"/>
        </w:rPr>
        <w:t>The LCIA phase translates system flows into environmental impact categories to assess potential effects, using reference flows from the LCI. For this study, LCA for Experts software was chosen, offering access to diverse environmental databases to model material, energy use, and waste treatment. The tool also supports a variety of life cycle analyses, including ISO-compliant LCA, Life Cycle Costing, Environmental Product Declarations, and sustainability assessments</w:t>
      </w:r>
      <w:r w:rsidR="00AA771C" w:rsidRPr="00AA771C">
        <w:rPr>
          <w:lang w:val="en-GB"/>
        </w:rPr>
        <w:t>.</w:t>
      </w:r>
    </w:p>
    <w:p w14:paraId="31A00E84" w14:textId="64826DE5" w:rsidR="001A6BA9" w:rsidRPr="00347EB5" w:rsidRDefault="001A6BA9" w:rsidP="001A6BA9">
      <w:pPr>
        <w:pStyle w:val="CETHeading1"/>
        <w:tabs>
          <w:tab w:val="clear" w:pos="360"/>
          <w:tab w:val="right" w:pos="7100"/>
        </w:tabs>
        <w:jc w:val="both"/>
        <w:rPr>
          <w:lang w:val="en-GB"/>
        </w:rPr>
      </w:pPr>
      <w:r>
        <w:rPr>
          <w:lang w:val="en-GB"/>
        </w:rPr>
        <w:t>Results and discussions</w:t>
      </w:r>
    </w:p>
    <w:p w14:paraId="6459BCE3" w14:textId="638E114D" w:rsidR="001A6BA9" w:rsidRDefault="0066646E" w:rsidP="001A6BA9">
      <w:pPr>
        <w:pStyle w:val="CETBodytext"/>
        <w:rPr>
          <w:lang w:val="en-GB"/>
        </w:rPr>
      </w:pPr>
      <w:r w:rsidRPr="0066646E">
        <w:rPr>
          <w:lang w:val="en-GB"/>
        </w:rPr>
        <w:t>The primary goal of the interpretation stage is to derive conclusions, study limitations, and recommendations based on the concerns identified in the LCI and LCIA results, and in line with the objectives and limitations of the research. The study’s target audience should be able to easily comprehend the evaluation results once they are presented. Considering the limitations and presumptions of the study, Table 3 displays the LCA results for the investigated scenario</w:t>
      </w:r>
      <w:r w:rsidR="00C0018C" w:rsidRPr="00C0018C">
        <w:rPr>
          <w:lang w:val="en-GB"/>
        </w:rPr>
        <w:t>.</w:t>
      </w:r>
    </w:p>
    <w:p w14:paraId="5BD9F8F9" w14:textId="4948E29C" w:rsidR="00C0018C" w:rsidRDefault="00C0018C" w:rsidP="00C0018C">
      <w:pPr>
        <w:pStyle w:val="CETTabletitle"/>
      </w:pPr>
      <w:bookmarkStart w:id="5" w:name="_Ref181966412"/>
      <w:r w:rsidRPr="00C70046">
        <w:t xml:space="preserve">Table </w:t>
      </w:r>
      <w:r w:rsidRPr="00C70046">
        <w:fldChar w:fldCharType="begin"/>
      </w:r>
      <w:r w:rsidRPr="00C70046">
        <w:instrText xml:space="preserve"> SEQ Table \* ARABIC </w:instrText>
      </w:r>
      <w:r w:rsidRPr="00C70046">
        <w:fldChar w:fldCharType="separate"/>
      </w:r>
      <w:r w:rsidR="0053554D">
        <w:rPr>
          <w:noProof/>
        </w:rPr>
        <w:t>3</w:t>
      </w:r>
      <w:r w:rsidRPr="00C70046">
        <w:fldChar w:fldCharType="end"/>
      </w:r>
      <w:bookmarkEnd w:id="5"/>
      <w:r>
        <w:t xml:space="preserve">: LCA results for the reference case according to </w:t>
      </w:r>
      <w:proofErr w:type="spellStart"/>
      <w:r>
        <w:t>ReCiPe</w:t>
      </w:r>
      <w:proofErr w:type="spellEnd"/>
      <w:r>
        <w:t xml:space="preserve"> 2016 method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60"/>
        <w:gridCol w:w="3678"/>
        <w:gridCol w:w="2249"/>
      </w:tblGrid>
      <w:tr w:rsidR="00C0018C" w:rsidRPr="00B57B36" w14:paraId="3AEA73FA" w14:textId="77777777" w:rsidTr="00C0018C">
        <w:tc>
          <w:tcPr>
            <w:tcW w:w="1627" w:type="pct"/>
            <w:tcBorders>
              <w:top w:val="single" w:sz="12" w:space="0" w:color="008000"/>
              <w:bottom w:val="single" w:sz="6" w:space="0" w:color="008000"/>
            </w:tcBorders>
            <w:shd w:val="clear" w:color="auto" w:fill="FFFFFF"/>
          </w:tcPr>
          <w:p w14:paraId="5431522E" w14:textId="7CEDE83D" w:rsidR="00C0018C" w:rsidRPr="00B57B36" w:rsidRDefault="00C0018C" w:rsidP="00C0018C">
            <w:pPr>
              <w:pStyle w:val="CETBodytext"/>
              <w:rPr>
                <w:lang w:val="en-GB"/>
              </w:rPr>
            </w:pPr>
            <w:r w:rsidRPr="00C05C17">
              <w:t>KPI</w:t>
            </w:r>
          </w:p>
        </w:tc>
        <w:tc>
          <w:tcPr>
            <w:tcW w:w="2093" w:type="pct"/>
            <w:tcBorders>
              <w:top w:val="single" w:sz="12" w:space="0" w:color="008000"/>
              <w:bottom w:val="single" w:sz="6" w:space="0" w:color="008000"/>
            </w:tcBorders>
            <w:shd w:val="clear" w:color="auto" w:fill="FFFFFF"/>
          </w:tcPr>
          <w:p w14:paraId="032A93DE" w14:textId="0F3A95FB" w:rsidR="00C0018C" w:rsidRPr="00B57B36" w:rsidRDefault="00C0018C" w:rsidP="00C0018C">
            <w:pPr>
              <w:pStyle w:val="CETBodytext"/>
              <w:rPr>
                <w:lang w:val="en-GB"/>
              </w:rPr>
            </w:pPr>
            <w:r w:rsidRPr="00C05C17">
              <w:t>Units</w:t>
            </w:r>
          </w:p>
        </w:tc>
        <w:tc>
          <w:tcPr>
            <w:tcW w:w="1280" w:type="pct"/>
            <w:tcBorders>
              <w:top w:val="single" w:sz="12" w:space="0" w:color="008000"/>
              <w:bottom w:val="single" w:sz="6" w:space="0" w:color="008000"/>
            </w:tcBorders>
            <w:shd w:val="clear" w:color="auto" w:fill="FFFFFF"/>
          </w:tcPr>
          <w:p w14:paraId="1377675F" w14:textId="54615129" w:rsidR="00C0018C" w:rsidRPr="00B57B36" w:rsidRDefault="00C0018C" w:rsidP="00C0018C">
            <w:pPr>
              <w:pStyle w:val="CETBodytext"/>
              <w:rPr>
                <w:lang w:val="en-GB"/>
              </w:rPr>
            </w:pPr>
            <w:r w:rsidRPr="00C05C17">
              <w:t>Reference case</w:t>
            </w:r>
          </w:p>
        </w:tc>
      </w:tr>
      <w:tr w:rsidR="00C0018C" w:rsidRPr="00B57B36" w14:paraId="0C7464DA" w14:textId="77777777" w:rsidTr="00C0018C">
        <w:tc>
          <w:tcPr>
            <w:tcW w:w="1627" w:type="pct"/>
            <w:shd w:val="clear" w:color="auto" w:fill="FFFFFF"/>
          </w:tcPr>
          <w:p w14:paraId="4F7005D3" w14:textId="4C54AD52" w:rsidR="00C0018C" w:rsidRPr="00B57B36" w:rsidRDefault="00C0018C" w:rsidP="00C0018C">
            <w:pPr>
              <w:pStyle w:val="CETBodytext"/>
              <w:rPr>
                <w:lang w:val="en-GB"/>
              </w:rPr>
            </w:pPr>
            <w:r w:rsidRPr="00C05C17">
              <w:t>GWP</w:t>
            </w:r>
          </w:p>
        </w:tc>
        <w:tc>
          <w:tcPr>
            <w:tcW w:w="2093" w:type="pct"/>
            <w:shd w:val="clear" w:color="auto" w:fill="FFFFFF"/>
          </w:tcPr>
          <w:p w14:paraId="179C5ED9" w14:textId="339F1ECF" w:rsidR="00C0018C" w:rsidRPr="00B57B36" w:rsidRDefault="00C0018C" w:rsidP="00C0018C">
            <w:pPr>
              <w:pStyle w:val="CETBodytext"/>
              <w:rPr>
                <w:lang w:val="en-GB"/>
              </w:rPr>
            </w:pPr>
            <w:r w:rsidRPr="00C05C17">
              <w:t>kg CO</w:t>
            </w:r>
            <w:r w:rsidRPr="000A4B93">
              <w:rPr>
                <w:vertAlign w:val="subscript"/>
              </w:rPr>
              <w:t>2</w:t>
            </w:r>
            <w:r w:rsidRPr="00C05C17">
              <w:t xml:space="preserve"> eq./h</w:t>
            </w:r>
          </w:p>
        </w:tc>
        <w:tc>
          <w:tcPr>
            <w:tcW w:w="1280" w:type="pct"/>
            <w:shd w:val="clear" w:color="auto" w:fill="FFFFFF"/>
          </w:tcPr>
          <w:p w14:paraId="64EF7396" w14:textId="5D7261BB" w:rsidR="00C0018C" w:rsidRPr="00B57B36" w:rsidRDefault="00C0018C" w:rsidP="00C0018C">
            <w:pPr>
              <w:pStyle w:val="CETBodytext"/>
              <w:rPr>
                <w:lang w:val="en-GB"/>
              </w:rPr>
            </w:pPr>
            <w:r w:rsidRPr="00C05C17">
              <w:t xml:space="preserve">12.15 </w:t>
            </w:r>
          </w:p>
        </w:tc>
      </w:tr>
      <w:tr w:rsidR="00C0018C" w:rsidRPr="00B57B36" w14:paraId="339EC1C1" w14:textId="77777777" w:rsidTr="00C0018C">
        <w:tc>
          <w:tcPr>
            <w:tcW w:w="1627" w:type="pct"/>
            <w:shd w:val="clear" w:color="auto" w:fill="FFFFFF"/>
          </w:tcPr>
          <w:p w14:paraId="1D5CB290" w14:textId="081C205F" w:rsidR="00C0018C" w:rsidRDefault="00C0018C" w:rsidP="00C0018C">
            <w:pPr>
              <w:pStyle w:val="CETBodytext"/>
              <w:rPr>
                <w:lang w:val="en-GB"/>
              </w:rPr>
            </w:pPr>
            <w:r w:rsidRPr="00C05C17">
              <w:t>ODP·10</w:t>
            </w:r>
            <w:r w:rsidRPr="00C0018C">
              <w:rPr>
                <w:vertAlign w:val="superscript"/>
              </w:rPr>
              <w:t>-4</w:t>
            </w:r>
          </w:p>
        </w:tc>
        <w:tc>
          <w:tcPr>
            <w:tcW w:w="2093" w:type="pct"/>
            <w:shd w:val="clear" w:color="auto" w:fill="FFFFFF"/>
          </w:tcPr>
          <w:p w14:paraId="083B06D9" w14:textId="3A12A365" w:rsidR="00C0018C" w:rsidRDefault="00C0018C" w:rsidP="00C0018C">
            <w:pPr>
              <w:pStyle w:val="CETBodytext"/>
              <w:rPr>
                <w:lang w:val="en-GB"/>
              </w:rPr>
            </w:pPr>
            <w:r w:rsidRPr="00C05C17">
              <w:t>kg CFC-11 eq./h</w:t>
            </w:r>
          </w:p>
        </w:tc>
        <w:tc>
          <w:tcPr>
            <w:tcW w:w="1280" w:type="pct"/>
            <w:shd w:val="clear" w:color="auto" w:fill="FFFFFF"/>
          </w:tcPr>
          <w:p w14:paraId="5B825FB6" w14:textId="78132D15" w:rsidR="00C0018C" w:rsidRDefault="00C0018C" w:rsidP="00C0018C">
            <w:pPr>
              <w:pStyle w:val="CETBodytext"/>
              <w:rPr>
                <w:lang w:val="en-GB"/>
              </w:rPr>
            </w:pPr>
            <w:r w:rsidRPr="00C05C17">
              <w:t>1.30</w:t>
            </w:r>
          </w:p>
        </w:tc>
      </w:tr>
      <w:tr w:rsidR="00C0018C" w:rsidRPr="00B57B36" w14:paraId="43E7C5E6" w14:textId="77777777" w:rsidTr="00C0018C">
        <w:tc>
          <w:tcPr>
            <w:tcW w:w="1627" w:type="pct"/>
            <w:shd w:val="clear" w:color="auto" w:fill="FFFFFF"/>
          </w:tcPr>
          <w:p w14:paraId="0DC1B061" w14:textId="12B58534" w:rsidR="00C0018C" w:rsidRDefault="00C0018C" w:rsidP="00C0018C">
            <w:pPr>
              <w:pStyle w:val="CETBodytext"/>
              <w:rPr>
                <w:lang w:val="en-GB"/>
              </w:rPr>
            </w:pPr>
            <w:r w:rsidRPr="00C05C17">
              <w:t>FEP·10</w:t>
            </w:r>
            <w:r w:rsidRPr="00C0018C">
              <w:rPr>
                <w:vertAlign w:val="superscript"/>
              </w:rPr>
              <w:t>-3</w:t>
            </w:r>
          </w:p>
        </w:tc>
        <w:tc>
          <w:tcPr>
            <w:tcW w:w="2093" w:type="pct"/>
            <w:shd w:val="clear" w:color="auto" w:fill="FFFFFF"/>
          </w:tcPr>
          <w:p w14:paraId="5A98285E" w14:textId="58C3D80F" w:rsidR="00C0018C" w:rsidRDefault="00C0018C" w:rsidP="00C0018C">
            <w:pPr>
              <w:pStyle w:val="CETBodytext"/>
              <w:rPr>
                <w:lang w:val="en-GB"/>
              </w:rPr>
            </w:pPr>
            <w:r w:rsidRPr="00C05C17">
              <w:t>kg P eq./h</w:t>
            </w:r>
          </w:p>
        </w:tc>
        <w:tc>
          <w:tcPr>
            <w:tcW w:w="1280" w:type="pct"/>
            <w:shd w:val="clear" w:color="auto" w:fill="FFFFFF"/>
          </w:tcPr>
          <w:p w14:paraId="1A5181A8" w14:textId="6C448BD1" w:rsidR="00C0018C" w:rsidRDefault="00C0018C" w:rsidP="00C0018C">
            <w:pPr>
              <w:pStyle w:val="CETBodytext"/>
              <w:rPr>
                <w:lang w:val="en-GB"/>
              </w:rPr>
            </w:pPr>
            <w:r w:rsidRPr="00C05C17">
              <w:t xml:space="preserve">2.13 </w:t>
            </w:r>
          </w:p>
        </w:tc>
      </w:tr>
      <w:tr w:rsidR="00C0018C" w:rsidRPr="00B57B36" w14:paraId="478FE859" w14:textId="77777777" w:rsidTr="00C0018C">
        <w:tc>
          <w:tcPr>
            <w:tcW w:w="1627" w:type="pct"/>
            <w:shd w:val="clear" w:color="auto" w:fill="FFFFFF"/>
          </w:tcPr>
          <w:p w14:paraId="55638D28" w14:textId="1CB4BEFF" w:rsidR="00C0018C" w:rsidRDefault="00C0018C" w:rsidP="00C0018C">
            <w:pPr>
              <w:pStyle w:val="CETBodytext"/>
              <w:rPr>
                <w:lang w:val="en-GB"/>
              </w:rPr>
            </w:pPr>
            <w:r w:rsidRPr="00C05C17">
              <w:t>FETP</w:t>
            </w:r>
          </w:p>
        </w:tc>
        <w:tc>
          <w:tcPr>
            <w:tcW w:w="2093" w:type="pct"/>
            <w:shd w:val="clear" w:color="auto" w:fill="FFFFFF"/>
          </w:tcPr>
          <w:p w14:paraId="672B23F3" w14:textId="5D101008" w:rsidR="00C0018C" w:rsidRDefault="00C0018C" w:rsidP="00C0018C">
            <w:pPr>
              <w:pStyle w:val="CETBodytext"/>
              <w:rPr>
                <w:lang w:val="en-GB"/>
              </w:rPr>
            </w:pPr>
            <w:r w:rsidRPr="00C05C17">
              <w:t>kg 1.4-DB eq./h</w:t>
            </w:r>
          </w:p>
        </w:tc>
        <w:tc>
          <w:tcPr>
            <w:tcW w:w="1280" w:type="pct"/>
            <w:shd w:val="clear" w:color="auto" w:fill="FFFFFF"/>
          </w:tcPr>
          <w:p w14:paraId="7D0F1B1B" w14:textId="5FF20DF3" w:rsidR="00C0018C" w:rsidRDefault="00F90A38" w:rsidP="00C0018C">
            <w:pPr>
              <w:pStyle w:val="CETBodytext"/>
              <w:rPr>
                <w:lang w:val="en-GB"/>
              </w:rPr>
            </w:pPr>
            <w:r>
              <w:t>1</w:t>
            </w:r>
            <w:r w:rsidR="006F026F">
              <w:t>5</w:t>
            </w:r>
            <w:r w:rsidR="00C0018C" w:rsidRPr="00C05C17">
              <w:t>.4</w:t>
            </w:r>
            <w:r w:rsidR="006F026F">
              <w:t>0</w:t>
            </w:r>
            <w:r w:rsidRPr="003F0B24">
              <w:t>·10</w:t>
            </w:r>
            <w:r w:rsidRPr="00012AC0">
              <w:rPr>
                <w:vertAlign w:val="superscript"/>
              </w:rPr>
              <w:t>-</w:t>
            </w:r>
            <w:r w:rsidR="006F026F">
              <w:rPr>
                <w:vertAlign w:val="superscript"/>
              </w:rPr>
              <w:t>2</w:t>
            </w:r>
            <w:r w:rsidRPr="00C70046">
              <w:t xml:space="preserve"> </w:t>
            </w:r>
            <w:r w:rsidR="00C0018C" w:rsidRPr="00C05C17">
              <w:t xml:space="preserve"> </w:t>
            </w:r>
          </w:p>
        </w:tc>
      </w:tr>
      <w:tr w:rsidR="00C0018C" w:rsidRPr="00B57B36" w14:paraId="225AE1E7" w14:textId="77777777" w:rsidTr="00C0018C">
        <w:tc>
          <w:tcPr>
            <w:tcW w:w="1627" w:type="pct"/>
            <w:shd w:val="clear" w:color="auto" w:fill="FFFFFF"/>
          </w:tcPr>
          <w:p w14:paraId="36E66108" w14:textId="636CB210" w:rsidR="00C0018C" w:rsidRDefault="00C0018C" w:rsidP="00C0018C">
            <w:pPr>
              <w:pStyle w:val="CETBodytext"/>
              <w:rPr>
                <w:lang w:val="en-GB"/>
              </w:rPr>
            </w:pPr>
            <w:proofErr w:type="spellStart"/>
            <w:r w:rsidRPr="00C05C17">
              <w:t>HTP</w:t>
            </w:r>
            <w:r w:rsidRPr="00C0018C">
              <w:rPr>
                <w:vertAlign w:val="subscript"/>
              </w:rPr>
              <w:t>non</w:t>
            </w:r>
            <w:proofErr w:type="spellEnd"/>
            <w:r w:rsidRPr="00C0018C">
              <w:rPr>
                <w:vertAlign w:val="subscript"/>
              </w:rPr>
              <w:t>-cancer</w:t>
            </w:r>
          </w:p>
        </w:tc>
        <w:tc>
          <w:tcPr>
            <w:tcW w:w="2093" w:type="pct"/>
            <w:shd w:val="clear" w:color="auto" w:fill="FFFFFF"/>
          </w:tcPr>
          <w:p w14:paraId="3F2547A6" w14:textId="5BF80A8B" w:rsidR="00C0018C" w:rsidRDefault="00C0018C" w:rsidP="00C0018C">
            <w:pPr>
              <w:pStyle w:val="CETBodytext"/>
              <w:rPr>
                <w:lang w:val="en-GB"/>
              </w:rPr>
            </w:pPr>
            <w:r w:rsidRPr="00C05C17">
              <w:t>kg 1.4-DB eq./h</w:t>
            </w:r>
          </w:p>
        </w:tc>
        <w:tc>
          <w:tcPr>
            <w:tcW w:w="1280" w:type="pct"/>
            <w:shd w:val="clear" w:color="auto" w:fill="FFFFFF"/>
          </w:tcPr>
          <w:p w14:paraId="143A79AF" w14:textId="55B96491" w:rsidR="00C0018C" w:rsidRDefault="00C0018C" w:rsidP="00C0018C">
            <w:pPr>
              <w:pStyle w:val="CETBodytext"/>
              <w:rPr>
                <w:lang w:val="en-GB"/>
              </w:rPr>
            </w:pPr>
            <w:r w:rsidRPr="00C05C17">
              <w:t>75.48</w:t>
            </w:r>
          </w:p>
        </w:tc>
      </w:tr>
      <w:tr w:rsidR="00C0018C" w:rsidRPr="00B57B36" w14:paraId="43200208" w14:textId="77777777" w:rsidTr="00C0018C">
        <w:tc>
          <w:tcPr>
            <w:tcW w:w="1627" w:type="pct"/>
            <w:shd w:val="clear" w:color="auto" w:fill="FFFFFF"/>
          </w:tcPr>
          <w:p w14:paraId="305867B9" w14:textId="4453E1FF" w:rsidR="00C0018C" w:rsidRDefault="00C0018C" w:rsidP="00C0018C">
            <w:pPr>
              <w:pStyle w:val="CETBodytext"/>
              <w:rPr>
                <w:lang w:val="en-GB"/>
              </w:rPr>
            </w:pPr>
            <w:proofErr w:type="spellStart"/>
            <w:r w:rsidRPr="00C05C17">
              <w:t>HTP</w:t>
            </w:r>
            <w:r w:rsidRPr="00C0018C">
              <w:rPr>
                <w:vertAlign w:val="subscript"/>
              </w:rPr>
              <w:t>cancer</w:t>
            </w:r>
            <w:proofErr w:type="spellEnd"/>
          </w:p>
        </w:tc>
        <w:tc>
          <w:tcPr>
            <w:tcW w:w="2093" w:type="pct"/>
            <w:shd w:val="clear" w:color="auto" w:fill="FFFFFF"/>
          </w:tcPr>
          <w:p w14:paraId="4A9000F8" w14:textId="6111CCE0" w:rsidR="00C0018C" w:rsidRDefault="00C0018C" w:rsidP="00C0018C">
            <w:pPr>
              <w:pStyle w:val="CETBodytext"/>
              <w:rPr>
                <w:lang w:val="en-GB"/>
              </w:rPr>
            </w:pPr>
            <w:r w:rsidRPr="00C05C17">
              <w:t>kg 1.4-DB eq./h</w:t>
            </w:r>
          </w:p>
        </w:tc>
        <w:tc>
          <w:tcPr>
            <w:tcW w:w="1280" w:type="pct"/>
            <w:shd w:val="clear" w:color="auto" w:fill="FFFFFF"/>
          </w:tcPr>
          <w:p w14:paraId="1181FEFE" w14:textId="4B8A2F9F" w:rsidR="00C0018C" w:rsidRDefault="00F90A38" w:rsidP="00C0018C">
            <w:pPr>
              <w:pStyle w:val="CETBodytext"/>
              <w:rPr>
                <w:lang w:val="en-GB"/>
              </w:rPr>
            </w:pPr>
            <w:r>
              <w:t>1</w:t>
            </w:r>
            <w:r w:rsidR="006F026F">
              <w:t>8</w:t>
            </w:r>
            <w:r w:rsidRPr="003F0B24">
              <w:t>·10</w:t>
            </w:r>
            <w:r w:rsidRPr="00012AC0">
              <w:rPr>
                <w:vertAlign w:val="superscript"/>
              </w:rPr>
              <w:t>-</w:t>
            </w:r>
            <w:r w:rsidR="006F026F">
              <w:rPr>
                <w:vertAlign w:val="superscript"/>
              </w:rPr>
              <w:t>2</w:t>
            </w:r>
            <w:r w:rsidR="00C0018C" w:rsidRPr="00C05C17">
              <w:t xml:space="preserve"> </w:t>
            </w:r>
          </w:p>
        </w:tc>
      </w:tr>
      <w:tr w:rsidR="00C0018C" w:rsidRPr="00B57B36" w14:paraId="2B44A714" w14:textId="77777777" w:rsidTr="00C0018C">
        <w:tc>
          <w:tcPr>
            <w:tcW w:w="1627" w:type="pct"/>
            <w:shd w:val="clear" w:color="auto" w:fill="FFFFFF"/>
          </w:tcPr>
          <w:p w14:paraId="3EB1DD71" w14:textId="6F54A489" w:rsidR="00C0018C" w:rsidRDefault="00C0018C" w:rsidP="00C0018C">
            <w:pPr>
              <w:pStyle w:val="CETBodytext"/>
              <w:rPr>
                <w:lang w:val="en-GB"/>
              </w:rPr>
            </w:pPr>
            <w:r w:rsidRPr="00C05C17">
              <w:t>MDP</w:t>
            </w:r>
          </w:p>
        </w:tc>
        <w:tc>
          <w:tcPr>
            <w:tcW w:w="2093" w:type="pct"/>
            <w:shd w:val="clear" w:color="auto" w:fill="FFFFFF"/>
          </w:tcPr>
          <w:p w14:paraId="48891064" w14:textId="1D390D5E" w:rsidR="00C0018C" w:rsidRDefault="00C0018C" w:rsidP="00C0018C">
            <w:pPr>
              <w:pStyle w:val="CETBodytext"/>
              <w:rPr>
                <w:lang w:val="en-GB"/>
              </w:rPr>
            </w:pPr>
            <w:r w:rsidRPr="00C05C17">
              <w:t>kg Cu eq./h</w:t>
            </w:r>
          </w:p>
        </w:tc>
        <w:tc>
          <w:tcPr>
            <w:tcW w:w="1280" w:type="pct"/>
            <w:shd w:val="clear" w:color="auto" w:fill="FFFFFF"/>
          </w:tcPr>
          <w:p w14:paraId="4D46AC16" w14:textId="58E0866A" w:rsidR="00C0018C" w:rsidRDefault="00F90A38" w:rsidP="00C0018C">
            <w:pPr>
              <w:pStyle w:val="CETBodytext"/>
              <w:rPr>
                <w:lang w:val="en-GB"/>
              </w:rPr>
            </w:pPr>
            <w:r>
              <w:t>6</w:t>
            </w:r>
            <w:r w:rsidR="006F026F">
              <w:t>7</w:t>
            </w:r>
            <w:r w:rsidR="00C0018C" w:rsidRPr="00C05C17">
              <w:t>.2</w:t>
            </w:r>
            <w:r w:rsidR="006F026F">
              <w:t>0</w:t>
            </w:r>
            <w:r w:rsidRPr="003F0B24">
              <w:t>·10</w:t>
            </w:r>
            <w:r w:rsidRPr="00012AC0">
              <w:rPr>
                <w:vertAlign w:val="superscript"/>
              </w:rPr>
              <w:t>-</w:t>
            </w:r>
            <w:r w:rsidR="006F026F">
              <w:rPr>
                <w:vertAlign w:val="superscript"/>
              </w:rPr>
              <w:t>2</w:t>
            </w:r>
          </w:p>
        </w:tc>
      </w:tr>
      <w:tr w:rsidR="00C0018C" w:rsidRPr="00B57B36" w14:paraId="7C89CD12" w14:textId="77777777" w:rsidTr="00C0018C">
        <w:tc>
          <w:tcPr>
            <w:tcW w:w="1627" w:type="pct"/>
            <w:shd w:val="clear" w:color="auto" w:fill="FFFFFF"/>
          </w:tcPr>
          <w:p w14:paraId="449DFF7F" w14:textId="30EC07DE" w:rsidR="00C0018C" w:rsidRDefault="00C0018C" w:rsidP="00C0018C">
            <w:pPr>
              <w:pStyle w:val="CETBodytext"/>
              <w:rPr>
                <w:lang w:val="en-GB"/>
              </w:rPr>
            </w:pPr>
            <w:r w:rsidRPr="00C05C17">
              <w:t>TETP</w:t>
            </w:r>
          </w:p>
        </w:tc>
        <w:tc>
          <w:tcPr>
            <w:tcW w:w="2093" w:type="pct"/>
            <w:shd w:val="clear" w:color="auto" w:fill="FFFFFF"/>
          </w:tcPr>
          <w:p w14:paraId="7C5F96F5" w14:textId="69F69E3F" w:rsidR="00C0018C" w:rsidRDefault="00C0018C" w:rsidP="00C0018C">
            <w:pPr>
              <w:pStyle w:val="CETBodytext"/>
              <w:rPr>
                <w:lang w:val="en-GB"/>
              </w:rPr>
            </w:pPr>
            <w:r w:rsidRPr="00C05C17">
              <w:t>kg 1.4-DB eq./h</w:t>
            </w:r>
          </w:p>
        </w:tc>
        <w:tc>
          <w:tcPr>
            <w:tcW w:w="1280" w:type="pct"/>
            <w:shd w:val="clear" w:color="auto" w:fill="FFFFFF"/>
          </w:tcPr>
          <w:p w14:paraId="7A2F1D73" w14:textId="3521C57B" w:rsidR="00C0018C" w:rsidRDefault="00C0018C" w:rsidP="00C0018C">
            <w:pPr>
              <w:pStyle w:val="CETBodytext"/>
              <w:rPr>
                <w:lang w:val="en-GB"/>
              </w:rPr>
            </w:pPr>
            <w:r w:rsidRPr="00C05C17">
              <w:t>726.93</w:t>
            </w:r>
          </w:p>
        </w:tc>
      </w:tr>
    </w:tbl>
    <w:p w14:paraId="60A669DC" w14:textId="77777777" w:rsidR="0066646E" w:rsidRPr="00B57B36" w:rsidRDefault="0066646E" w:rsidP="0066646E">
      <w:pPr>
        <w:pStyle w:val="CETheadingx"/>
      </w:pPr>
      <w:r>
        <w:t>Human toxicity potential non-cancer (</w:t>
      </w:r>
      <w:proofErr w:type="spellStart"/>
      <w:r>
        <w:t>HTP</w:t>
      </w:r>
      <w:r>
        <w:rPr>
          <w:vertAlign w:val="subscript"/>
        </w:rPr>
        <w:t>non</w:t>
      </w:r>
      <w:proofErr w:type="spellEnd"/>
      <w:r>
        <w:rPr>
          <w:vertAlign w:val="subscript"/>
        </w:rPr>
        <w:t>-cancer</w:t>
      </w:r>
      <w:r>
        <w:t xml:space="preserve">) </w:t>
      </w:r>
    </w:p>
    <w:p w14:paraId="6E9B8E13" w14:textId="0D216105" w:rsidR="0066646E" w:rsidRDefault="0066646E" w:rsidP="0066646E">
      <w:pPr>
        <w:pStyle w:val="CETBodytext"/>
      </w:pPr>
      <w:r w:rsidRPr="0066646E">
        <w:t xml:space="preserve">The </w:t>
      </w:r>
      <w:proofErr w:type="spellStart"/>
      <w:r w:rsidRPr="0066646E">
        <w:t>HTP</w:t>
      </w:r>
      <w:r w:rsidRPr="0066646E">
        <w:rPr>
          <w:vertAlign w:val="subscript"/>
        </w:rPr>
        <w:t>non</w:t>
      </w:r>
      <w:proofErr w:type="spellEnd"/>
      <w:r w:rsidRPr="0066646E">
        <w:rPr>
          <w:vertAlign w:val="subscript"/>
        </w:rPr>
        <w:t xml:space="preserve">-cancer </w:t>
      </w:r>
      <w:r w:rsidRPr="0066646E">
        <w:t>evaluates the effects of toxic chemicals on human health without inducing cancer, considering factors such as environmental persistence, food chain accumulation, and toxicity (</w:t>
      </w:r>
      <w:proofErr w:type="spellStart"/>
      <w:r w:rsidRPr="0066646E">
        <w:t>Huijbregts</w:t>
      </w:r>
      <w:proofErr w:type="spellEnd"/>
      <w:r w:rsidRPr="0066646E">
        <w:t xml:space="preserve">, 2017). The evaluation chain begins with chemical emissions that harm species, cause diseases (based on toxicity data from animals and humans), and ultimately threaten human health. In the RESTORE system, the total human toxicity potential is 75.48 kg 1.4-DB eq./h, with significant contributions from the prototype construction (85.32%) and Charging cycle (13.27%), particularly due to the oil production process. The primary environmental impacts associated with the construction of the RESTORE prototype stem not from the process itself but from the upstream production of materials such as copper and stainless steel. Hydrofluoric acid production is the main contributor in </w:t>
      </w:r>
      <w:proofErr w:type="spellStart"/>
      <w:r w:rsidRPr="0066646E">
        <w:t>Novec</w:t>
      </w:r>
      <w:proofErr w:type="spellEnd"/>
      <w:r w:rsidRPr="0066646E">
        <w:t xml:space="preserve"> 649 manufacturing, while copper production is a key factor in the toxicity of the RESTORE prototype’s construction, as can be observed in Figure 2a. Upstream manufacturing stages for materials such for example copper, stainless steel, and platinum in the prototype subsystem are highlighted as primary health risks, emphasizing the need to manage toxicity impacts from these early stages</w:t>
      </w:r>
      <w:r>
        <w:t>.</w:t>
      </w:r>
    </w:p>
    <w:p w14:paraId="65A42298" w14:textId="5D8A8593" w:rsidR="0066646E" w:rsidRDefault="0066646E" w:rsidP="0066646E">
      <w:pPr>
        <w:pStyle w:val="Caption"/>
      </w:pPr>
      <w:r w:rsidRPr="0066646E">
        <w:drawing>
          <wp:inline distT="0" distB="0" distL="0" distR="0" wp14:anchorId="6CB58B32" wp14:editId="64411957">
            <wp:extent cx="2757291" cy="1536192"/>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398" t="4808" r="1916" b="9002"/>
                    <a:stretch/>
                  </pic:blipFill>
                  <pic:spPr bwMode="auto">
                    <a:xfrm>
                      <a:off x="0" y="0"/>
                      <a:ext cx="2757291" cy="1536192"/>
                    </a:xfrm>
                    <a:prstGeom prst="rect">
                      <a:avLst/>
                    </a:prstGeom>
                    <a:ln>
                      <a:noFill/>
                    </a:ln>
                    <a:extLst>
                      <a:ext uri="{53640926-AAD7-44D8-BBD7-CCE9431645EC}">
                        <a14:shadowObscured xmlns:a14="http://schemas.microsoft.com/office/drawing/2010/main"/>
                      </a:ext>
                    </a:extLst>
                  </pic:spPr>
                </pic:pic>
              </a:graphicData>
            </a:graphic>
          </wp:inline>
        </w:drawing>
      </w:r>
      <w:r w:rsidRPr="0066646E">
        <w:drawing>
          <wp:inline distT="0" distB="0" distL="0" distR="0" wp14:anchorId="26334E91" wp14:editId="5877C97F">
            <wp:extent cx="2756115" cy="1536192"/>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179" t="4690" r="6484" b="4318"/>
                    <a:stretch/>
                  </pic:blipFill>
                  <pic:spPr bwMode="auto">
                    <a:xfrm>
                      <a:off x="0" y="0"/>
                      <a:ext cx="2756115" cy="1536192"/>
                    </a:xfrm>
                    <a:prstGeom prst="rect">
                      <a:avLst/>
                    </a:prstGeom>
                    <a:ln>
                      <a:noFill/>
                    </a:ln>
                    <a:extLst>
                      <a:ext uri="{53640926-AAD7-44D8-BBD7-CCE9431645EC}">
                        <a14:shadowObscured xmlns:a14="http://schemas.microsoft.com/office/drawing/2010/main"/>
                      </a:ext>
                    </a:extLst>
                  </pic:spPr>
                </pic:pic>
              </a:graphicData>
            </a:graphic>
          </wp:inline>
        </w:drawing>
      </w:r>
    </w:p>
    <w:p w14:paraId="64D00B04" w14:textId="012B7F11" w:rsidR="0066646E" w:rsidRDefault="0066646E" w:rsidP="0066646E">
      <w:pPr>
        <w:pStyle w:val="CETCaption"/>
      </w:pPr>
      <w:bookmarkStart w:id="6" w:name="_Ref182214620"/>
      <w:r w:rsidRPr="00C70046">
        <w:t xml:space="preserve">Figure </w:t>
      </w:r>
      <w:r w:rsidRPr="00C70046">
        <w:fldChar w:fldCharType="begin"/>
      </w:r>
      <w:r w:rsidRPr="00C70046">
        <w:instrText xml:space="preserve"> SEQ Figure \* ARABIC </w:instrText>
      </w:r>
      <w:r w:rsidRPr="00C70046">
        <w:fldChar w:fldCharType="separate"/>
      </w:r>
      <w:r w:rsidR="00536D5E">
        <w:rPr>
          <w:noProof/>
        </w:rPr>
        <w:t>2</w:t>
      </w:r>
      <w:r w:rsidRPr="00C70046">
        <w:fldChar w:fldCharType="end"/>
      </w:r>
      <w:bookmarkEnd w:id="6"/>
      <w:r>
        <w:t xml:space="preserve">: </w:t>
      </w:r>
      <w:proofErr w:type="spellStart"/>
      <w:r w:rsidRPr="00D5247A">
        <w:t>HTP</w:t>
      </w:r>
      <w:r w:rsidRPr="00D5247A">
        <w:rPr>
          <w:vertAlign w:val="subscript"/>
        </w:rPr>
        <w:t>non</w:t>
      </w:r>
      <w:proofErr w:type="spellEnd"/>
      <w:r w:rsidRPr="00D5247A">
        <w:rPr>
          <w:vertAlign w:val="subscript"/>
        </w:rPr>
        <w:t xml:space="preserve">-cancer </w:t>
      </w:r>
      <w:r w:rsidRPr="000C792B">
        <w:t>distribution for the overall system</w:t>
      </w:r>
    </w:p>
    <w:p w14:paraId="5493A9FF" w14:textId="77777777" w:rsidR="0066646E" w:rsidRDefault="0066646E" w:rsidP="0066646E">
      <w:pPr>
        <w:pStyle w:val="CETBodytext"/>
      </w:pPr>
    </w:p>
    <w:p w14:paraId="57C8C671" w14:textId="77777777" w:rsidR="00536D5E" w:rsidRPr="00B57B36" w:rsidRDefault="00536D5E" w:rsidP="00536D5E">
      <w:pPr>
        <w:pStyle w:val="CETheadingx"/>
      </w:pPr>
      <w:r>
        <w:lastRenderedPageBreak/>
        <w:t xml:space="preserve">Terrestrial ecotoxicity potential (TETP)  </w:t>
      </w:r>
    </w:p>
    <w:p w14:paraId="543A3324" w14:textId="1E2A42DD" w:rsidR="00536D5E" w:rsidRDefault="00536D5E" w:rsidP="00536D5E">
      <w:pPr>
        <w:pStyle w:val="CETBodytext"/>
      </w:pPr>
      <w:r w:rsidRPr="00536D5E">
        <w:t>The TETP category reflects species loss due to elevated environmental chemical concentrations, totaling 726.93 kg 1.4-DB eq./h, with over 99% attributed to materials for the prototype construction, as can be observed in Figure 2b. TETP’s conservative estimate results from calculation methods that highlight significant contributors, including steam and sulfuric acid used in conversion processes, along with pesticide emissions into agricultural soils</w:t>
      </w:r>
    </w:p>
    <w:p w14:paraId="0C07D5B9" w14:textId="412C1BFB" w:rsidR="006733B4" w:rsidRPr="00B57B36" w:rsidRDefault="00012AC0" w:rsidP="006733B4">
      <w:pPr>
        <w:pStyle w:val="CETheadingx"/>
      </w:pPr>
      <w:r>
        <w:t>Global warming potential (GWP)</w:t>
      </w:r>
    </w:p>
    <w:p w14:paraId="73937E61" w14:textId="77777777" w:rsidR="00536D5E" w:rsidRDefault="00536D5E" w:rsidP="00536D5E">
      <w:pPr>
        <w:pStyle w:val="CETBodytext"/>
      </w:pPr>
      <w:bookmarkStart w:id="7" w:name="_Hlk182214068"/>
      <w:r>
        <w:t>The GWP indicator, measured in kg CO</w:t>
      </w:r>
      <w:r>
        <w:rPr>
          <w:rFonts w:ascii="Cambria Math" w:hAnsi="Cambria Math" w:cs="Cambria Math"/>
        </w:rPr>
        <w:t>₂</w:t>
      </w:r>
      <w:r>
        <w:t>-equivalents, assesses the climate impact of greenhouse gases in the RESTORE system, with a total GWP impact of 12.15 kg CO</w:t>
      </w:r>
      <w:r>
        <w:rPr>
          <w:rFonts w:ascii="Cambria Math" w:hAnsi="Cambria Math" w:cs="Cambria Math"/>
        </w:rPr>
        <w:t>₂</w:t>
      </w:r>
      <w:r>
        <w:t xml:space="preserve">-eq./h. Key contributors to this GWP are the Charging cycle and </w:t>
      </w:r>
      <w:proofErr w:type="spellStart"/>
      <w:r>
        <w:t>Novec</w:t>
      </w:r>
      <w:proofErr w:type="spellEnd"/>
      <w:r>
        <w:t xml:space="preserve"> 649 production, accounting for 9.51 kg CO</w:t>
      </w:r>
      <w:r>
        <w:rPr>
          <w:rFonts w:ascii="Cambria Math" w:hAnsi="Cambria Math" w:cs="Cambria Math"/>
        </w:rPr>
        <w:t>₂</w:t>
      </w:r>
      <w:r>
        <w:t>-eq./h and 5.43 kg CO</w:t>
      </w:r>
      <w:r>
        <w:rPr>
          <w:rFonts w:ascii="Cambria Math" w:hAnsi="Cambria Math" w:cs="Cambria Math"/>
        </w:rPr>
        <w:t>₂</w:t>
      </w:r>
      <w:r>
        <w:t xml:space="preserve">-eq./h, respectively. The manufacturing and transportation of copper sulphate, oil, and </w:t>
      </w:r>
      <w:proofErr w:type="spellStart"/>
      <w:r>
        <w:t>Novec</w:t>
      </w:r>
      <w:proofErr w:type="spellEnd"/>
      <w:r>
        <w:t xml:space="preserve"> 649, along with the construction of the RESTORE prototype, have a much lower effect on the overall GWP due to their extended lifespans, as can be seen in Figure 3. The Discharging cycle counteracts emissions with a negative GWP of -3.41 kg CO</w:t>
      </w:r>
      <w:r>
        <w:rPr>
          <w:rFonts w:ascii="Cambria Math" w:hAnsi="Cambria Math" w:cs="Cambria Math"/>
        </w:rPr>
        <w:t>₂</w:t>
      </w:r>
      <w:r>
        <w:t>-eq./h, largely due to its heat and electricity production, which reduces net emissions. Oil production within the Charging cycle emerges as a major GWP contributor because of its energy-intensive processes, including pre-processing, purification, and extraction steps.</w:t>
      </w:r>
    </w:p>
    <w:p w14:paraId="7845E274" w14:textId="7C643297" w:rsidR="000C792B" w:rsidRDefault="00536D5E" w:rsidP="00536D5E">
      <w:pPr>
        <w:pStyle w:val="CETBodytext"/>
      </w:pPr>
      <w:r>
        <w:t xml:space="preserve">Although the wastewater treatment process introduces some positive GWP, the combined impact of energy-generating subsystems ultimately creates a negative balance. Furthermore, regarding </w:t>
      </w:r>
      <w:proofErr w:type="spellStart"/>
      <w:r>
        <w:t>Novec</w:t>
      </w:r>
      <w:proofErr w:type="spellEnd"/>
      <w:r>
        <w:t xml:space="preserve"> 649 production, the main contributors to GWP are chlorine and hydrofluoric acid manufacturing. With an estimated 25-year lifespan, the RESTORE prototype’s construction has a relatively minor impact. This GWP breakdown identifies significant emission sources within the RESTORE system, enabling targeted strategies to mitigate climate impact, especially within high-emission subsystems like the Charging cycle and </w:t>
      </w:r>
      <w:proofErr w:type="spellStart"/>
      <w:r>
        <w:t>Novec</w:t>
      </w:r>
      <w:proofErr w:type="spellEnd"/>
      <w:r>
        <w:t xml:space="preserve"> 649 production</w:t>
      </w:r>
      <w:r w:rsidR="000C792B">
        <w:t>.</w:t>
      </w:r>
    </w:p>
    <w:bookmarkEnd w:id="7"/>
    <w:p w14:paraId="59C7EC33" w14:textId="07438F12" w:rsidR="000C792B" w:rsidRDefault="000C792B" w:rsidP="000C792B">
      <w:pPr>
        <w:pStyle w:val="Caption"/>
      </w:pPr>
      <w:r>
        <w:rPr>
          <w:noProof/>
        </w:rPr>
        <w:drawing>
          <wp:inline distT="0" distB="0" distL="0" distR="0" wp14:anchorId="3DB00D56" wp14:editId="6F4A0F80">
            <wp:extent cx="3185250" cy="17830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85250" cy="1783080"/>
                    </a:xfrm>
                    <a:prstGeom prst="rect">
                      <a:avLst/>
                    </a:prstGeom>
                    <a:noFill/>
                  </pic:spPr>
                </pic:pic>
              </a:graphicData>
            </a:graphic>
          </wp:inline>
        </w:drawing>
      </w:r>
    </w:p>
    <w:p w14:paraId="65BD436E" w14:textId="06EF9455" w:rsidR="000C792B" w:rsidRDefault="000C792B" w:rsidP="000C792B">
      <w:pPr>
        <w:pStyle w:val="CETCaption"/>
      </w:pPr>
      <w:bookmarkStart w:id="8" w:name="_Ref182213630"/>
      <w:r w:rsidRPr="00C70046">
        <w:t xml:space="preserve">Figure </w:t>
      </w:r>
      <w:r w:rsidRPr="00C70046">
        <w:fldChar w:fldCharType="begin"/>
      </w:r>
      <w:r w:rsidRPr="00C70046">
        <w:instrText xml:space="preserve"> SEQ Figure \* ARABIC </w:instrText>
      </w:r>
      <w:r w:rsidRPr="00C70046">
        <w:fldChar w:fldCharType="separate"/>
      </w:r>
      <w:r w:rsidR="00536D5E">
        <w:rPr>
          <w:noProof/>
        </w:rPr>
        <w:t>3</w:t>
      </w:r>
      <w:r w:rsidRPr="00C70046">
        <w:fldChar w:fldCharType="end"/>
      </w:r>
      <w:bookmarkEnd w:id="8"/>
      <w:r>
        <w:t xml:space="preserve">: </w:t>
      </w:r>
      <w:r w:rsidRPr="000C792B">
        <w:t>GWP distribution for the overall system</w:t>
      </w:r>
    </w:p>
    <w:p w14:paraId="1F447518" w14:textId="77777777" w:rsidR="001A6BA9" w:rsidRPr="00B57B36" w:rsidRDefault="001A6BA9" w:rsidP="001A6BA9">
      <w:pPr>
        <w:pStyle w:val="CETHeading1"/>
        <w:rPr>
          <w:lang w:val="en-GB"/>
        </w:rPr>
      </w:pPr>
      <w:r w:rsidRPr="00B57B36">
        <w:rPr>
          <w:lang w:val="en-GB"/>
        </w:rPr>
        <w:t>Conclusions</w:t>
      </w:r>
    </w:p>
    <w:p w14:paraId="76AC02A0" w14:textId="77777777" w:rsidR="00536D5E" w:rsidRPr="00536D5E" w:rsidRDefault="00536D5E" w:rsidP="00536D5E">
      <w:pPr>
        <w:pStyle w:val="CETBodytext"/>
        <w:rPr>
          <w:lang w:val="en-GB"/>
        </w:rPr>
      </w:pPr>
      <w:r w:rsidRPr="00536D5E">
        <w:rPr>
          <w:lang w:val="en-GB"/>
        </w:rPr>
        <w:t xml:space="preserve">This study presents the environmental evaluation of the RESTORE prototype, as a reference case, using LCA methodology. RESTORE integrates a novel TCES system with an ORC and an HP to provide cost-effective and sustainable solutions for heating and cooling, reducing greenhouse gas emissions, air pollutants, and fossil fuel use. This approach also supports the transition to district heating and cooling powered by renewable energy. </w:t>
      </w:r>
    </w:p>
    <w:p w14:paraId="3FEDB17B" w14:textId="77777777" w:rsidR="00536D5E" w:rsidRPr="00536D5E" w:rsidRDefault="00536D5E" w:rsidP="00536D5E">
      <w:pPr>
        <w:pStyle w:val="CETBodytext"/>
        <w:rPr>
          <w:lang w:val="en-GB"/>
        </w:rPr>
      </w:pPr>
      <w:r w:rsidRPr="00536D5E">
        <w:rPr>
          <w:lang w:val="en-GB"/>
        </w:rPr>
        <w:t xml:space="preserve">The LCA study relies on material and energy balances acquired from modelling activities and literature data, considering upstream processes such for example raw material supply chains (i.e., </w:t>
      </w:r>
      <w:proofErr w:type="spellStart"/>
      <w:r w:rsidRPr="00536D5E">
        <w:rPr>
          <w:lang w:val="en-GB"/>
        </w:rPr>
        <w:t>Novec</w:t>
      </w:r>
      <w:proofErr w:type="spellEnd"/>
      <w:r w:rsidRPr="00536D5E">
        <w:rPr>
          <w:lang w:val="en-GB"/>
        </w:rPr>
        <w:t xml:space="preserve"> 649, copper sulphate, oil production), thermal energy charging and discharging cycles, and downstream processes including recycling and wastewater treatment. The traditional LCA methodology is applied across four stages: goal definition, input-output inventory, environmental impact assessment, and result analysis with suggestions for achieving further improvements.</w:t>
      </w:r>
    </w:p>
    <w:p w14:paraId="40F7FFD7" w14:textId="1CBE912E" w:rsidR="001A6BA9" w:rsidRDefault="00536D5E" w:rsidP="00536D5E">
      <w:pPr>
        <w:pStyle w:val="CETBodytext"/>
        <w:rPr>
          <w:lang w:val="en-GB"/>
        </w:rPr>
      </w:pPr>
      <w:r w:rsidRPr="00536D5E">
        <w:rPr>
          <w:lang w:val="en-GB"/>
        </w:rPr>
        <w:t xml:space="preserve">To model the processes and evaluate the environmental effects, LCA for Experts software v.10.8 was utilized. Eight environmental key performance indicators were calculated using the </w:t>
      </w:r>
      <w:proofErr w:type="spellStart"/>
      <w:r w:rsidRPr="00536D5E">
        <w:rPr>
          <w:lang w:val="en-GB"/>
        </w:rPr>
        <w:t>ReCiPe</w:t>
      </w:r>
      <w:proofErr w:type="spellEnd"/>
      <w:r w:rsidRPr="00536D5E">
        <w:rPr>
          <w:lang w:val="en-GB"/>
        </w:rPr>
        <w:t xml:space="preserve"> 2016 method. GWP, </w:t>
      </w:r>
      <w:proofErr w:type="spellStart"/>
      <w:r w:rsidRPr="00536D5E">
        <w:rPr>
          <w:lang w:val="en-GB"/>
        </w:rPr>
        <w:t>HTP</w:t>
      </w:r>
      <w:r w:rsidRPr="00536D5E">
        <w:rPr>
          <w:vertAlign w:val="subscript"/>
          <w:lang w:val="en-GB"/>
        </w:rPr>
        <w:t>non</w:t>
      </w:r>
      <w:proofErr w:type="spellEnd"/>
      <w:r w:rsidRPr="00536D5E">
        <w:rPr>
          <w:vertAlign w:val="subscript"/>
          <w:lang w:val="en-GB"/>
        </w:rPr>
        <w:t>-cancer</w:t>
      </w:r>
      <w:r w:rsidRPr="00536D5E">
        <w:rPr>
          <w:lang w:val="en-GB"/>
        </w:rPr>
        <w:t xml:space="preserve">, and TETP were the most significant impact indicators found. The production of copper for the RESTORE prototype, which accounts for about 85% of the </w:t>
      </w:r>
      <w:proofErr w:type="spellStart"/>
      <w:r w:rsidRPr="00536D5E">
        <w:rPr>
          <w:lang w:val="en-GB"/>
        </w:rPr>
        <w:t>HTP</w:t>
      </w:r>
      <w:r w:rsidRPr="00536D5E">
        <w:rPr>
          <w:vertAlign w:val="subscript"/>
          <w:lang w:val="en-GB"/>
        </w:rPr>
        <w:t>non</w:t>
      </w:r>
      <w:proofErr w:type="spellEnd"/>
      <w:r w:rsidRPr="00536D5E">
        <w:rPr>
          <w:vertAlign w:val="subscript"/>
          <w:lang w:val="en-GB"/>
        </w:rPr>
        <w:t xml:space="preserve">-cancer </w:t>
      </w:r>
      <w:r w:rsidRPr="00536D5E">
        <w:rPr>
          <w:lang w:val="en-GB"/>
        </w:rPr>
        <w:t>score, and the oil supply chain, which accounts for more than 80% of the GWP impact in the charging cycle, are two important areas where improvements might greatly lessen the impacts on the environment. In addition, the investigation highlights the primary source of environmental concerns related to the RESTORE prototype as upstream material manufacturing</w:t>
      </w:r>
      <w:r w:rsidR="006D04B1" w:rsidRPr="006D04B1">
        <w:rPr>
          <w:lang w:val="en-GB"/>
        </w:rPr>
        <w:t>.</w:t>
      </w:r>
    </w:p>
    <w:p w14:paraId="41A15D77" w14:textId="77777777" w:rsidR="0092296F" w:rsidRPr="00280FAF" w:rsidRDefault="0092296F" w:rsidP="0092296F">
      <w:pPr>
        <w:pStyle w:val="CETHeadingxx"/>
        <w:rPr>
          <w:lang w:val="en-GB"/>
        </w:rPr>
        <w:sectPr w:rsidR="0092296F" w:rsidRPr="00280FAF" w:rsidSect="00DC73E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1701" w:right="1418" w:bottom="1701" w:left="1701" w:header="1701" w:footer="0" w:gutter="0"/>
          <w:cols w:space="708"/>
          <w:formProt w:val="0"/>
          <w:titlePg/>
          <w:docGrid w:linePitch="360"/>
        </w:sectPr>
      </w:pPr>
      <w:r>
        <w:lastRenderedPageBreak/>
        <w:t>Nomenclature</w:t>
      </w:r>
    </w:p>
    <w:p w14:paraId="113668F2" w14:textId="73CFD760" w:rsidR="0092296F" w:rsidRPr="00280FAF" w:rsidRDefault="0092296F" w:rsidP="0092296F">
      <w:pPr>
        <w:pStyle w:val="CETBodytext"/>
        <w:jc w:val="left"/>
        <w:rPr>
          <w:rFonts w:eastAsia="SimSun"/>
        </w:rPr>
        <w:sectPr w:rsidR="0092296F" w:rsidRPr="00280FAF" w:rsidSect="00FD68A8">
          <w:type w:val="continuous"/>
          <w:pgSz w:w="11906" w:h="16838" w:code="9"/>
          <w:pgMar w:top="1701" w:right="1418" w:bottom="1701" w:left="1701" w:header="1701" w:footer="0" w:gutter="0"/>
          <w:cols w:num="2" w:space="708"/>
          <w:formProt w:val="0"/>
          <w:titlePg/>
          <w:docGrid w:linePitch="360"/>
        </w:sectPr>
      </w:pPr>
      <w:r w:rsidRPr="0092296F">
        <w:rPr>
          <w:rFonts w:eastAsia="SimSun"/>
        </w:rPr>
        <w:t>DHC – district heating and cooling</w:t>
      </w:r>
    </w:p>
    <w:p w14:paraId="3AE7AD75" w14:textId="686BDA83" w:rsidR="00A60109" w:rsidRDefault="00A60109" w:rsidP="0092296F">
      <w:pPr>
        <w:pStyle w:val="CETBodytext"/>
        <w:jc w:val="left"/>
        <w:rPr>
          <w:rFonts w:eastAsia="SimSun"/>
        </w:rPr>
      </w:pPr>
      <w:r>
        <w:rPr>
          <w:rFonts w:eastAsia="SimSun"/>
        </w:rPr>
        <w:t>FEP – freshwater eutrophication potential</w:t>
      </w:r>
    </w:p>
    <w:p w14:paraId="0CAAB7FF" w14:textId="5B00F40D" w:rsidR="00A60109" w:rsidRDefault="00A60109" w:rsidP="0092296F">
      <w:pPr>
        <w:pStyle w:val="CETBodytext"/>
        <w:jc w:val="left"/>
        <w:rPr>
          <w:rFonts w:eastAsia="SimSun"/>
        </w:rPr>
      </w:pPr>
      <w:r>
        <w:rPr>
          <w:rFonts w:eastAsia="SimSun"/>
        </w:rPr>
        <w:t>FETP – freshwater ecotoxicity potential</w:t>
      </w:r>
    </w:p>
    <w:p w14:paraId="7FE44BDE" w14:textId="31F263B4" w:rsidR="00F90A38" w:rsidRDefault="00F90A38" w:rsidP="0092296F">
      <w:pPr>
        <w:pStyle w:val="CETBodytext"/>
        <w:jc w:val="left"/>
        <w:rPr>
          <w:rFonts w:eastAsia="SimSun"/>
        </w:rPr>
      </w:pPr>
      <w:r>
        <w:rPr>
          <w:rFonts w:eastAsia="SimSun"/>
        </w:rPr>
        <w:t>FU – functional unit</w:t>
      </w:r>
    </w:p>
    <w:p w14:paraId="4D92C730" w14:textId="0E7D81AC" w:rsidR="0092296F" w:rsidRDefault="0092296F" w:rsidP="0092296F">
      <w:pPr>
        <w:pStyle w:val="CETBodytext"/>
        <w:jc w:val="left"/>
        <w:rPr>
          <w:rFonts w:eastAsia="SimSun"/>
        </w:rPr>
      </w:pPr>
      <w:r w:rsidRPr="0092296F">
        <w:rPr>
          <w:rFonts w:eastAsia="SimSun"/>
        </w:rPr>
        <w:t>GWP – global warming potential</w:t>
      </w:r>
    </w:p>
    <w:p w14:paraId="3C2800F2" w14:textId="5AE15811" w:rsidR="00A60109" w:rsidRDefault="00A60109" w:rsidP="00A60109">
      <w:pPr>
        <w:pStyle w:val="CETBodytext"/>
        <w:jc w:val="left"/>
        <w:rPr>
          <w:rFonts w:eastAsia="SimSun"/>
        </w:rPr>
      </w:pPr>
      <w:proofErr w:type="spellStart"/>
      <w:r w:rsidRPr="0092296F">
        <w:rPr>
          <w:rFonts w:eastAsia="SimSun"/>
        </w:rPr>
        <w:t>HTP</w:t>
      </w:r>
      <w:r w:rsidRPr="0092296F">
        <w:rPr>
          <w:rFonts w:eastAsia="SimSun"/>
          <w:vertAlign w:val="subscript"/>
        </w:rPr>
        <w:t>cancer</w:t>
      </w:r>
      <w:proofErr w:type="spellEnd"/>
      <w:r w:rsidRPr="0092296F">
        <w:rPr>
          <w:rFonts w:eastAsia="SimSun"/>
          <w:vertAlign w:val="subscript"/>
        </w:rPr>
        <w:t xml:space="preserve"> </w:t>
      </w:r>
      <w:r w:rsidRPr="0092296F">
        <w:rPr>
          <w:rFonts w:eastAsia="SimSun"/>
        </w:rPr>
        <w:t xml:space="preserve">– human toxicity potential cancer </w:t>
      </w:r>
    </w:p>
    <w:p w14:paraId="33CDBCA4" w14:textId="77002590" w:rsidR="0092296F" w:rsidRDefault="0092296F" w:rsidP="0092296F">
      <w:pPr>
        <w:pStyle w:val="CETBodytext"/>
        <w:jc w:val="left"/>
        <w:rPr>
          <w:rFonts w:eastAsia="SimSun"/>
        </w:rPr>
      </w:pPr>
      <w:proofErr w:type="spellStart"/>
      <w:r w:rsidRPr="0092296F">
        <w:rPr>
          <w:rFonts w:eastAsia="SimSun"/>
        </w:rPr>
        <w:t>HTP</w:t>
      </w:r>
      <w:r w:rsidRPr="0092296F">
        <w:rPr>
          <w:rFonts w:eastAsia="SimSun"/>
          <w:vertAlign w:val="subscript"/>
        </w:rPr>
        <w:t>non</w:t>
      </w:r>
      <w:proofErr w:type="spellEnd"/>
      <w:r w:rsidRPr="0092296F">
        <w:rPr>
          <w:rFonts w:eastAsia="SimSun"/>
          <w:vertAlign w:val="subscript"/>
        </w:rPr>
        <w:t xml:space="preserve">-cancer </w:t>
      </w:r>
      <w:r w:rsidRPr="0092296F">
        <w:rPr>
          <w:rFonts w:eastAsia="SimSun"/>
        </w:rPr>
        <w:t xml:space="preserve">– human toxicity potential non-cancer </w:t>
      </w:r>
    </w:p>
    <w:p w14:paraId="7D7A7AF3" w14:textId="77777777" w:rsidR="0092296F" w:rsidRDefault="0092296F" w:rsidP="0092296F">
      <w:pPr>
        <w:pStyle w:val="CETBodytext"/>
        <w:jc w:val="left"/>
        <w:rPr>
          <w:rFonts w:eastAsia="SimSun"/>
        </w:rPr>
      </w:pPr>
      <w:r w:rsidRPr="0092296F">
        <w:rPr>
          <w:rFonts w:eastAsia="SimSun"/>
        </w:rPr>
        <w:t>LCA – life cycle assessment</w:t>
      </w:r>
    </w:p>
    <w:p w14:paraId="0C5DED74" w14:textId="5280F2A8" w:rsidR="0092296F" w:rsidRPr="00280FAF" w:rsidRDefault="00FD68A8" w:rsidP="0092296F">
      <w:pPr>
        <w:pStyle w:val="CETBodytext"/>
        <w:jc w:val="left"/>
        <w:rPr>
          <w:rFonts w:eastAsia="SimSun"/>
        </w:rPr>
      </w:pPr>
      <w:r w:rsidRPr="00FD68A8">
        <w:rPr>
          <w:rFonts w:eastAsia="SimSun"/>
        </w:rPr>
        <w:t>LCI – life cycle inventory</w:t>
      </w:r>
    </w:p>
    <w:p w14:paraId="64F00359" w14:textId="11FC5CBF" w:rsidR="00FD68A8" w:rsidRDefault="00FD68A8" w:rsidP="0092296F">
      <w:pPr>
        <w:pStyle w:val="CETBodytext"/>
        <w:jc w:val="left"/>
        <w:rPr>
          <w:rFonts w:eastAsia="SimSun"/>
        </w:rPr>
      </w:pPr>
      <w:r w:rsidRPr="00FD68A8">
        <w:rPr>
          <w:rFonts w:eastAsia="SimSun"/>
        </w:rPr>
        <w:t>LCIA – life cycle impact assessment</w:t>
      </w:r>
    </w:p>
    <w:p w14:paraId="197EB354" w14:textId="42F1C02F" w:rsidR="00A60109" w:rsidRDefault="00A60109" w:rsidP="0092296F">
      <w:pPr>
        <w:pStyle w:val="CETBodytext"/>
        <w:jc w:val="left"/>
        <w:rPr>
          <w:rFonts w:eastAsia="SimSun"/>
        </w:rPr>
      </w:pPr>
      <w:r>
        <w:rPr>
          <w:rFonts w:eastAsia="SimSun"/>
        </w:rPr>
        <w:t>MDP – metal depletion potential</w:t>
      </w:r>
    </w:p>
    <w:p w14:paraId="68D0B4A8" w14:textId="1DDFE8CB" w:rsidR="00A60109" w:rsidRDefault="00A60109" w:rsidP="0092296F">
      <w:pPr>
        <w:pStyle w:val="CETBodytext"/>
        <w:jc w:val="left"/>
        <w:rPr>
          <w:rFonts w:eastAsia="SimSun"/>
        </w:rPr>
      </w:pPr>
      <w:r>
        <w:rPr>
          <w:rFonts w:eastAsia="SimSun"/>
        </w:rPr>
        <w:t>ODP – ozone depletion potential</w:t>
      </w:r>
    </w:p>
    <w:p w14:paraId="08DCCBCD" w14:textId="0AAD476A" w:rsidR="0092296F" w:rsidRDefault="00FD68A8" w:rsidP="0092296F">
      <w:pPr>
        <w:pStyle w:val="CETBodytext"/>
        <w:jc w:val="left"/>
        <w:rPr>
          <w:rFonts w:eastAsia="SimSun"/>
        </w:rPr>
      </w:pPr>
      <w:r w:rsidRPr="00FD68A8">
        <w:rPr>
          <w:rFonts w:eastAsia="SimSun"/>
        </w:rPr>
        <w:t xml:space="preserve">ORC – organic </w:t>
      </w:r>
      <w:r w:rsidR="000E3EC8" w:rsidRPr="00FD68A8">
        <w:rPr>
          <w:rFonts w:eastAsia="SimSun"/>
        </w:rPr>
        <w:t>Rankine</w:t>
      </w:r>
      <w:r w:rsidRPr="00FD68A8">
        <w:rPr>
          <w:rFonts w:eastAsia="SimSun"/>
        </w:rPr>
        <w:t xml:space="preserve"> cycle</w:t>
      </w:r>
    </w:p>
    <w:p w14:paraId="58B8BDAD" w14:textId="5B07C4C9" w:rsidR="00FF2A38" w:rsidRPr="00280FAF" w:rsidRDefault="00FF2A38" w:rsidP="0092296F">
      <w:pPr>
        <w:pStyle w:val="CETBodytext"/>
        <w:jc w:val="left"/>
        <w:rPr>
          <w:rFonts w:eastAsia="SimSun"/>
        </w:rPr>
      </w:pPr>
      <w:r>
        <w:rPr>
          <w:rFonts w:eastAsia="SimSun"/>
        </w:rPr>
        <w:t>RES – renewable energy storage</w:t>
      </w:r>
    </w:p>
    <w:p w14:paraId="34C0E6D8" w14:textId="77777777" w:rsidR="00FD68A8" w:rsidRDefault="00FD68A8" w:rsidP="0092296F">
      <w:pPr>
        <w:pStyle w:val="CETBodytext"/>
        <w:jc w:val="left"/>
        <w:rPr>
          <w:rFonts w:eastAsia="SimSun"/>
        </w:rPr>
      </w:pPr>
      <w:r w:rsidRPr="00FD68A8">
        <w:rPr>
          <w:rFonts w:eastAsia="SimSun"/>
        </w:rPr>
        <w:t xml:space="preserve">TCES – thermochemical energy storage </w:t>
      </w:r>
    </w:p>
    <w:p w14:paraId="58F3B3DC" w14:textId="046522A9" w:rsidR="0092296F" w:rsidRPr="00280FAF" w:rsidRDefault="00FD68A8" w:rsidP="0092296F">
      <w:pPr>
        <w:pStyle w:val="CETBodytext"/>
        <w:jc w:val="left"/>
        <w:rPr>
          <w:rFonts w:eastAsia="SimSun"/>
        </w:rPr>
      </w:pPr>
      <w:r w:rsidRPr="00FD68A8">
        <w:rPr>
          <w:rFonts w:eastAsia="SimSun"/>
          <w:lang w:val="el-GR"/>
        </w:rPr>
        <w:t>TETP – terrestrial ecotoxicity potential</w:t>
      </w:r>
    </w:p>
    <w:p w14:paraId="1C863A9E" w14:textId="77777777" w:rsidR="00FD68A8" w:rsidRDefault="00FD68A8" w:rsidP="006D04B1">
      <w:pPr>
        <w:pStyle w:val="CETBodytext"/>
        <w:rPr>
          <w:lang w:val="en-GB"/>
        </w:rPr>
        <w:sectPr w:rsidR="00FD68A8" w:rsidSect="00FD68A8">
          <w:type w:val="continuous"/>
          <w:pgSz w:w="11906" w:h="16838" w:code="9"/>
          <w:pgMar w:top="1701" w:right="1418" w:bottom="1701" w:left="1701" w:header="1701" w:footer="0" w:gutter="0"/>
          <w:cols w:num="2" w:space="708"/>
          <w:formProt w:val="0"/>
          <w:titlePg/>
          <w:docGrid w:linePitch="360"/>
        </w:sectPr>
      </w:pPr>
    </w:p>
    <w:p w14:paraId="4B0EDF21" w14:textId="77777777" w:rsidR="001A6BA9" w:rsidRPr="00B57B36" w:rsidRDefault="001A6BA9" w:rsidP="001A6BA9">
      <w:pPr>
        <w:pStyle w:val="CETAcknowledgementstitle"/>
      </w:pPr>
      <w:r w:rsidRPr="00B57B36">
        <w:t>Acknowledgments</w:t>
      </w:r>
    </w:p>
    <w:p w14:paraId="0EFF0C4D" w14:textId="0C355281" w:rsidR="00DC1157" w:rsidRDefault="00DC1157" w:rsidP="00DC1157">
      <w:pPr>
        <w:pStyle w:val="CETBodytext"/>
      </w:pPr>
      <w:r w:rsidRPr="00511572">
        <w:t xml:space="preserve">The current work has received </w:t>
      </w:r>
      <w:r w:rsidR="00511572" w:rsidRPr="00511572">
        <w:t>funding from the European Union’s Horizon 2020 research and innovation progra</w:t>
      </w:r>
      <w:r w:rsidR="00A60109">
        <w:t>m</w:t>
      </w:r>
      <w:r w:rsidR="00511572" w:rsidRPr="00511572">
        <w:t xml:space="preserve"> under grant agreement No. 101036766.</w:t>
      </w:r>
    </w:p>
    <w:p w14:paraId="5EB3B115" w14:textId="67CB73E4" w:rsidR="001A6BA9" w:rsidRDefault="001A6BA9" w:rsidP="001A6BA9">
      <w:pPr>
        <w:pStyle w:val="CETReference"/>
      </w:pPr>
      <w:r w:rsidRPr="00B57B36">
        <w:t>References</w:t>
      </w:r>
    </w:p>
    <w:p w14:paraId="5A94665A" w14:textId="33C12EEB" w:rsidR="00536D5E" w:rsidRPr="00536D5E" w:rsidRDefault="00536D5E" w:rsidP="00536D5E">
      <w:pPr>
        <w:pStyle w:val="CETReferencetext"/>
      </w:pPr>
      <w:proofErr w:type="spellStart"/>
      <w:r w:rsidRPr="00536D5E">
        <w:t>Behzadi</w:t>
      </w:r>
      <w:proofErr w:type="spellEnd"/>
      <w:r w:rsidRPr="00536D5E">
        <w:t xml:space="preserve"> A., Holmberg S., </w:t>
      </w:r>
      <w:proofErr w:type="spellStart"/>
      <w:r w:rsidRPr="00536D5E">
        <w:t>Duwig</w:t>
      </w:r>
      <w:proofErr w:type="spellEnd"/>
      <w:r w:rsidRPr="00536D5E">
        <w:t xml:space="preserve"> C., </w:t>
      </w:r>
      <w:proofErr w:type="spellStart"/>
      <w:r w:rsidRPr="00536D5E">
        <w:t>Haghighat</w:t>
      </w:r>
      <w:proofErr w:type="spellEnd"/>
      <w:r w:rsidRPr="00536D5E">
        <w:t xml:space="preserve"> F., </w:t>
      </w:r>
      <w:proofErr w:type="spellStart"/>
      <w:r w:rsidRPr="00536D5E">
        <w:t>Ooka</w:t>
      </w:r>
      <w:proofErr w:type="spellEnd"/>
      <w:r w:rsidRPr="00536D5E">
        <w:t xml:space="preserve"> R., </w:t>
      </w:r>
      <w:proofErr w:type="spellStart"/>
      <w:r w:rsidRPr="00536D5E">
        <w:t>Sadrizadeh</w:t>
      </w:r>
      <w:proofErr w:type="spellEnd"/>
      <w:r w:rsidRPr="00536D5E">
        <w:t xml:space="preserve"> S., 2022, Smart design and control of thermal energy storage in low-temperature heating and high-temperature cooling systems: A comprehensive review, Renewable and Sustainable Energy Reviews, 166, 112625</w:t>
      </w:r>
      <w:r w:rsidRPr="00536D5E">
        <w:t>, 1-20</w:t>
      </w:r>
      <w:r w:rsidRPr="00536D5E">
        <w:t>.</w:t>
      </w:r>
    </w:p>
    <w:p w14:paraId="0A275FF8" w14:textId="77777777" w:rsidR="00536D5E" w:rsidRPr="00536D5E" w:rsidRDefault="00536D5E" w:rsidP="00536D5E">
      <w:pPr>
        <w:pStyle w:val="CETReferencetext"/>
      </w:pPr>
      <w:proofErr w:type="spellStart"/>
      <w:r w:rsidRPr="00536D5E">
        <w:t>Bian</w:t>
      </w:r>
      <w:proofErr w:type="spellEnd"/>
      <w:r w:rsidRPr="00536D5E">
        <w:t xml:space="preserve"> Q., 2020, Waste heat: the dominating root cause of current global warming, Environmental Systems Research, 9, 8.</w:t>
      </w:r>
    </w:p>
    <w:p w14:paraId="23995555" w14:textId="77777777" w:rsidR="00536D5E" w:rsidRPr="00536D5E" w:rsidRDefault="00536D5E" w:rsidP="00536D5E">
      <w:pPr>
        <w:pStyle w:val="CETReferencetext"/>
      </w:pPr>
      <w:proofErr w:type="spellStart"/>
      <w:r w:rsidRPr="00536D5E">
        <w:t>Cormos</w:t>
      </w:r>
      <w:proofErr w:type="spellEnd"/>
      <w:r w:rsidRPr="00536D5E">
        <w:t xml:space="preserve"> A.M., Dragan S., Petrescu L., </w:t>
      </w:r>
      <w:proofErr w:type="spellStart"/>
      <w:r w:rsidRPr="00536D5E">
        <w:t>Chisalita</w:t>
      </w:r>
      <w:proofErr w:type="spellEnd"/>
      <w:r w:rsidRPr="00536D5E">
        <w:t xml:space="preserve"> D.A., </w:t>
      </w:r>
      <w:proofErr w:type="spellStart"/>
      <w:r w:rsidRPr="00536D5E">
        <w:t>Szima</w:t>
      </w:r>
      <w:proofErr w:type="spellEnd"/>
      <w:r w:rsidRPr="00536D5E">
        <w:t xml:space="preserve"> S., </w:t>
      </w:r>
      <w:proofErr w:type="spellStart"/>
      <w:r w:rsidRPr="00536D5E">
        <w:t>Sandu</w:t>
      </w:r>
      <w:proofErr w:type="spellEnd"/>
      <w:r w:rsidRPr="00536D5E">
        <w:t xml:space="preserve"> V.C., </w:t>
      </w:r>
      <w:proofErr w:type="spellStart"/>
      <w:r w:rsidRPr="00536D5E">
        <w:t>Cormos</w:t>
      </w:r>
      <w:proofErr w:type="spellEnd"/>
      <w:r w:rsidRPr="00536D5E">
        <w:t xml:space="preserve"> C.C., 2019, Reducing carbon footprint of energy-intensive applications by CO2 capture technologies: An integrated technical and environmental assessment, Chemical Engineering Transactions, 76, 1033–1038.</w:t>
      </w:r>
    </w:p>
    <w:p w14:paraId="4C6B661C" w14:textId="77777777" w:rsidR="00536D5E" w:rsidRPr="00536D5E" w:rsidRDefault="00536D5E" w:rsidP="00536D5E">
      <w:pPr>
        <w:pStyle w:val="CETReferencetext"/>
      </w:pPr>
      <w:proofErr w:type="spellStart"/>
      <w:r w:rsidRPr="00536D5E">
        <w:t>Cormos</w:t>
      </w:r>
      <w:proofErr w:type="spellEnd"/>
      <w:r w:rsidRPr="00536D5E">
        <w:t xml:space="preserve"> C.C., Dragan S., </w:t>
      </w:r>
      <w:proofErr w:type="spellStart"/>
      <w:r w:rsidRPr="00536D5E">
        <w:t>Cormos</w:t>
      </w:r>
      <w:proofErr w:type="spellEnd"/>
      <w:r w:rsidRPr="00536D5E">
        <w:t xml:space="preserve"> A.M., Petrescu L., 2022, Assessment of Flexible Thermochemical Energy Conversion and Storage System based on Chemical Looping Combustion, Chemical Engineering Transactions, 94, 25–30.</w:t>
      </w:r>
    </w:p>
    <w:p w14:paraId="4F391DE8" w14:textId="77777777" w:rsidR="00536D5E" w:rsidRPr="00536D5E" w:rsidRDefault="00536D5E" w:rsidP="00536D5E">
      <w:pPr>
        <w:pStyle w:val="CETReferencetext"/>
      </w:pPr>
      <w:r w:rsidRPr="00536D5E">
        <w:t>Curran M.A., 2017, Goal and Scope Definition in Life Cycle Assessment, Springer Netherlands, Dordrecht.</w:t>
      </w:r>
    </w:p>
    <w:p w14:paraId="5D3D3009" w14:textId="77777777" w:rsidR="00536D5E" w:rsidRPr="00536D5E" w:rsidRDefault="00536D5E" w:rsidP="00536D5E">
      <w:pPr>
        <w:pStyle w:val="CETReferencetext"/>
      </w:pPr>
      <w:r w:rsidRPr="00536D5E">
        <w:t>European Commission, 2024, Causes of climate change &lt;climate.ec.europa.eu/climate-change/causes-climate-</w:t>
      </w:r>
      <w:proofErr w:type="spellStart"/>
      <w:r w:rsidRPr="00536D5E">
        <w:t>change_en</w:t>
      </w:r>
      <w:proofErr w:type="spellEnd"/>
      <w:r w:rsidRPr="00536D5E">
        <w:t>&gt; accessed 08.09.2024.</w:t>
      </w:r>
    </w:p>
    <w:p w14:paraId="0F68B28C" w14:textId="77777777" w:rsidR="00536D5E" w:rsidRPr="00536D5E" w:rsidRDefault="00536D5E" w:rsidP="00536D5E">
      <w:pPr>
        <w:pStyle w:val="CETReferencetext"/>
      </w:pPr>
      <w:r w:rsidRPr="00536D5E">
        <w:t>European Union, 2020, Global and European temperatures &lt;eea.europa.eu/en/analysis/indicators/global-and-european-temperatures&gt; accessed 08.09.2024.</w:t>
      </w:r>
    </w:p>
    <w:p w14:paraId="3E966034" w14:textId="77777777" w:rsidR="00536D5E" w:rsidRPr="00536D5E" w:rsidRDefault="00536D5E" w:rsidP="00536D5E">
      <w:pPr>
        <w:pStyle w:val="CETReferencetext"/>
      </w:pPr>
      <w:proofErr w:type="spellStart"/>
      <w:r w:rsidRPr="00536D5E">
        <w:t>Eyidogan</w:t>
      </w:r>
      <w:proofErr w:type="spellEnd"/>
      <w:r w:rsidRPr="00536D5E">
        <w:t xml:space="preserve"> M., </w:t>
      </w:r>
      <w:proofErr w:type="spellStart"/>
      <w:r w:rsidRPr="00536D5E">
        <w:t>Canka</w:t>
      </w:r>
      <w:proofErr w:type="spellEnd"/>
      <w:r w:rsidRPr="00536D5E">
        <w:t xml:space="preserve"> </w:t>
      </w:r>
      <w:proofErr w:type="spellStart"/>
      <w:r w:rsidRPr="00536D5E">
        <w:t>Kilic</w:t>
      </w:r>
      <w:proofErr w:type="spellEnd"/>
      <w:r w:rsidRPr="00536D5E">
        <w:t xml:space="preserve"> F., Kaya D., Coban V., </w:t>
      </w:r>
      <w:proofErr w:type="spellStart"/>
      <w:r w:rsidRPr="00536D5E">
        <w:t>Cagman</w:t>
      </w:r>
      <w:proofErr w:type="spellEnd"/>
      <w:r w:rsidRPr="00536D5E">
        <w:t xml:space="preserve"> S., 2016, Investigation of Organic Rankine Cycle (ORC) technologies in Turkey from the technical and economic point of view, Renewable and Sustainable Energy Reviews, 58, 885–895.</w:t>
      </w:r>
    </w:p>
    <w:p w14:paraId="29F57F56" w14:textId="77777777" w:rsidR="00536D5E" w:rsidRPr="00536D5E" w:rsidRDefault="00536D5E" w:rsidP="00536D5E">
      <w:pPr>
        <w:pStyle w:val="CETReferencetext"/>
      </w:pPr>
      <w:proofErr w:type="spellStart"/>
      <w:r w:rsidRPr="00536D5E">
        <w:t>Galusnyak</w:t>
      </w:r>
      <w:proofErr w:type="spellEnd"/>
      <w:r w:rsidRPr="00536D5E">
        <w:t xml:space="preserve"> S.C., Petrescu L., </w:t>
      </w:r>
      <w:proofErr w:type="spellStart"/>
      <w:r w:rsidRPr="00536D5E">
        <w:t>Chisalita</w:t>
      </w:r>
      <w:proofErr w:type="spellEnd"/>
      <w:r w:rsidRPr="00536D5E">
        <w:t xml:space="preserve"> D.A., </w:t>
      </w:r>
      <w:proofErr w:type="spellStart"/>
      <w:r w:rsidRPr="00536D5E">
        <w:t>Cormos</w:t>
      </w:r>
      <w:proofErr w:type="spellEnd"/>
      <w:r w:rsidRPr="00536D5E">
        <w:t xml:space="preserve"> C.C., 2021, Life cycle assessment of bio-methanol derived from various raw-materials, Chemical Engineering Transactions, 86, 667–672.</w:t>
      </w:r>
    </w:p>
    <w:p w14:paraId="4A22D4EB" w14:textId="77777777" w:rsidR="00536D5E" w:rsidRPr="00536D5E" w:rsidRDefault="00536D5E" w:rsidP="00536D5E">
      <w:pPr>
        <w:pStyle w:val="CETReferencetext"/>
      </w:pPr>
      <w:proofErr w:type="spellStart"/>
      <w:r w:rsidRPr="00536D5E">
        <w:t>Hauschild</w:t>
      </w:r>
      <w:proofErr w:type="spellEnd"/>
      <w:r w:rsidRPr="00536D5E">
        <w:t xml:space="preserve"> M.Z., </w:t>
      </w:r>
      <w:proofErr w:type="spellStart"/>
      <w:r w:rsidRPr="00536D5E">
        <w:t>Huijbregts</w:t>
      </w:r>
      <w:proofErr w:type="spellEnd"/>
      <w:r w:rsidRPr="00536D5E">
        <w:t xml:space="preserve"> M.A.J., 2015, Introducing Life Cycle Impact Assessment, Springer,1–16.</w:t>
      </w:r>
    </w:p>
    <w:p w14:paraId="354F0A92" w14:textId="77777777" w:rsidR="00536D5E" w:rsidRPr="00536D5E" w:rsidRDefault="00536D5E" w:rsidP="00536D5E">
      <w:pPr>
        <w:pStyle w:val="CETReferencetext"/>
      </w:pPr>
      <w:proofErr w:type="spellStart"/>
      <w:r w:rsidRPr="00536D5E">
        <w:t>Huijbregts</w:t>
      </w:r>
      <w:proofErr w:type="spellEnd"/>
      <w:r w:rsidRPr="00536D5E">
        <w:t xml:space="preserve"> M.A.J., 2017, </w:t>
      </w:r>
      <w:proofErr w:type="spellStart"/>
      <w:r w:rsidRPr="00536D5E">
        <w:t>ReCiPe</w:t>
      </w:r>
      <w:proofErr w:type="spellEnd"/>
      <w:r w:rsidRPr="00536D5E">
        <w:t xml:space="preserve"> 2016 A harmonized life cycle impact assessment method at midpoint and endpoint level Report I: Characterization, Springer.</w:t>
      </w:r>
    </w:p>
    <w:p w14:paraId="34555CA8" w14:textId="77777777" w:rsidR="00536D5E" w:rsidRPr="00536D5E" w:rsidRDefault="00536D5E" w:rsidP="00536D5E">
      <w:pPr>
        <w:pStyle w:val="CETReferencetext"/>
      </w:pPr>
      <w:proofErr w:type="spellStart"/>
      <w:r w:rsidRPr="00536D5E">
        <w:t>Kalita</w:t>
      </w:r>
      <w:proofErr w:type="spellEnd"/>
      <w:r w:rsidRPr="00536D5E">
        <w:t xml:space="preserve"> P., Kashyap D., </w:t>
      </w:r>
      <w:proofErr w:type="spellStart"/>
      <w:r w:rsidRPr="00536D5E">
        <w:t>Bordoloi</w:t>
      </w:r>
      <w:proofErr w:type="spellEnd"/>
      <w:r w:rsidRPr="00536D5E">
        <w:t xml:space="preserve"> U., 2021, Thermal Energy Storage Systems for Cooling and Heating Applications. In: Photoconductivity and Photoconductive Materials: Fundamentals, Energy Storage, Wiley, 149–199.</w:t>
      </w:r>
    </w:p>
    <w:p w14:paraId="49D055CC" w14:textId="77777777" w:rsidR="00536D5E" w:rsidRPr="00536D5E" w:rsidRDefault="00536D5E" w:rsidP="00536D5E">
      <w:pPr>
        <w:pStyle w:val="CETReferencetext"/>
      </w:pPr>
      <w:proofErr w:type="spellStart"/>
      <w:r w:rsidRPr="00536D5E">
        <w:t>Klüppel</w:t>
      </w:r>
      <w:proofErr w:type="spellEnd"/>
      <w:r w:rsidRPr="00536D5E">
        <w:t xml:space="preserve"> H.-J., 2005, The Revision of ISO Standards 14040-3 - ISO 14040: Environmental management – Life cycle assessment – Principles and framework - ISO 14044: Environmental management – Life cycle assessment – Requirements and guidelines, International Journal of Life Cycle Assessment 10, 165.</w:t>
      </w:r>
    </w:p>
    <w:p w14:paraId="587858DC" w14:textId="77777777" w:rsidR="00536D5E" w:rsidRPr="00536D5E" w:rsidRDefault="00536D5E" w:rsidP="00536D5E">
      <w:pPr>
        <w:pStyle w:val="CETReferencetext"/>
      </w:pPr>
      <w:proofErr w:type="spellStart"/>
      <w:r w:rsidRPr="00536D5E">
        <w:t>Nuss</w:t>
      </w:r>
      <w:proofErr w:type="spellEnd"/>
      <w:r w:rsidRPr="00536D5E">
        <w:t xml:space="preserve"> P., 2014, Life Cycle Assessment Handbook: A Guide for Environmentally Sustainable Products, John Wiley &amp; Sons, Inc., USA.</w:t>
      </w:r>
    </w:p>
    <w:p w14:paraId="1BF5E364" w14:textId="77777777" w:rsidR="00536D5E" w:rsidRPr="00536D5E" w:rsidRDefault="00536D5E" w:rsidP="00536D5E">
      <w:pPr>
        <w:pStyle w:val="CETReferencetext"/>
      </w:pPr>
      <w:r w:rsidRPr="00536D5E">
        <w:t>SimTech GmbH, 2024, IPSE GO: a web-based platform for process simulations.</w:t>
      </w:r>
    </w:p>
    <w:p w14:paraId="0D77FF36" w14:textId="69536495" w:rsidR="00D76902" w:rsidRPr="00536D5E" w:rsidRDefault="00536D5E" w:rsidP="00536D5E">
      <w:pPr>
        <w:pStyle w:val="CETReferencetext"/>
      </w:pPr>
      <w:r w:rsidRPr="00536D5E">
        <w:t>Wei D., Lu X., Lu Z., Gu J., 2007, Performance analysis and optimization of organic Rankine cycle (ORC) for waste heat recovery, Energy Conversion and Management, 48, 1113–1119</w:t>
      </w:r>
      <w:r w:rsidR="004E37DE" w:rsidRPr="00536D5E">
        <w:t xml:space="preserve">. </w:t>
      </w:r>
      <w:r w:rsidR="00D76902" w:rsidRPr="00536D5E">
        <w:t xml:space="preserve"> </w:t>
      </w:r>
    </w:p>
    <w:sectPr w:rsidR="00D76902" w:rsidRPr="00536D5E"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893EE" w14:textId="77777777" w:rsidR="002B47AB" w:rsidRDefault="002B47AB" w:rsidP="004F5E36">
      <w:r>
        <w:separator/>
      </w:r>
    </w:p>
  </w:endnote>
  <w:endnote w:type="continuationSeparator" w:id="0">
    <w:p w14:paraId="0B76F4B3" w14:textId="77777777" w:rsidR="002B47AB" w:rsidRDefault="002B47A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3920" w14:textId="77777777" w:rsidR="00552415" w:rsidRDefault="00552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1DC2" w14:textId="77777777" w:rsidR="00552415" w:rsidRDefault="005524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87CB4" w14:textId="77777777" w:rsidR="00552415" w:rsidRDefault="00552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7AEC" w14:textId="77777777" w:rsidR="002B47AB" w:rsidRDefault="002B47AB" w:rsidP="004F5E36">
      <w:r>
        <w:separator/>
      </w:r>
    </w:p>
  </w:footnote>
  <w:footnote w:type="continuationSeparator" w:id="0">
    <w:p w14:paraId="52C260DD" w14:textId="77777777" w:rsidR="002B47AB" w:rsidRDefault="002B47AB"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B601" w14:textId="77777777" w:rsidR="00552415" w:rsidRDefault="005524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29436" w14:textId="77777777" w:rsidR="00552415" w:rsidRDefault="005524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0AE23" w14:textId="77777777" w:rsidR="00552415" w:rsidRDefault="005524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7E3"/>
    <w:rsid w:val="00005A19"/>
    <w:rsid w:val="000117CB"/>
    <w:rsid w:val="00012AC0"/>
    <w:rsid w:val="0003027E"/>
    <w:rsid w:val="0003148D"/>
    <w:rsid w:val="00031EEC"/>
    <w:rsid w:val="0003278C"/>
    <w:rsid w:val="00033542"/>
    <w:rsid w:val="0004236A"/>
    <w:rsid w:val="00051566"/>
    <w:rsid w:val="000562A9"/>
    <w:rsid w:val="00062A9A"/>
    <w:rsid w:val="00065058"/>
    <w:rsid w:val="0007645E"/>
    <w:rsid w:val="00086C39"/>
    <w:rsid w:val="000A03B2"/>
    <w:rsid w:val="000A4B93"/>
    <w:rsid w:val="000C792B"/>
    <w:rsid w:val="000D0268"/>
    <w:rsid w:val="000D34BE"/>
    <w:rsid w:val="000E0B3C"/>
    <w:rsid w:val="000E102F"/>
    <w:rsid w:val="000E36F1"/>
    <w:rsid w:val="000E3A73"/>
    <w:rsid w:val="000E3EC8"/>
    <w:rsid w:val="000E414A"/>
    <w:rsid w:val="000E75FD"/>
    <w:rsid w:val="000F093C"/>
    <w:rsid w:val="000F2C57"/>
    <w:rsid w:val="000F787B"/>
    <w:rsid w:val="0010030C"/>
    <w:rsid w:val="0012091F"/>
    <w:rsid w:val="00126BC2"/>
    <w:rsid w:val="00126F79"/>
    <w:rsid w:val="001308B6"/>
    <w:rsid w:val="0013121F"/>
    <w:rsid w:val="00131FE6"/>
    <w:rsid w:val="0013263F"/>
    <w:rsid w:val="001331DF"/>
    <w:rsid w:val="00134DE4"/>
    <w:rsid w:val="0014034D"/>
    <w:rsid w:val="00140FE3"/>
    <w:rsid w:val="00144D16"/>
    <w:rsid w:val="00150E59"/>
    <w:rsid w:val="00152DE3"/>
    <w:rsid w:val="0015558B"/>
    <w:rsid w:val="00164CF9"/>
    <w:rsid w:val="0016668E"/>
    <w:rsid w:val="001667A6"/>
    <w:rsid w:val="00171C20"/>
    <w:rsid w:val="0018157F"/>
    <w:rsid w:val="0018171E"/>
    <w:rsid w:val="00184AD6"/>
    <w:rsid w:val="001A4AF7"/>
    <w:rsid w:val="001A6BA9"/>
    <w:rsid w:val="001B0349"/>
    <w:rsid w:val="001B1E93"/>
    <w:rsid w:val="001B65C1"/>
    <w:rsid w:val="001C260F"/>
    <w:rsid w:val="001C5C3A"/>
    <w:rsid w:val="001C684B"/>
    <w:rsid w:val="001D0CFB"/>
    <w:rsid w:val="001D21AF"/>
    <w:rsid w:val="001D3D32"/>
    <w:rsid w:val="001D53FC"/>
    <w:rsid w:val="001F221D"/>
    <w:rsid w:val="001F2B05"/>
    <w:rsid w:val="001F42A5"/>
    <w:rsid w:val="001F4797"/>
    <w:rsid w:val="001F7B9D"/>
    <w:rsid w:val="002019DB"/>
    <w:rsid w:val="00201C93"/>
    <w:rsid w:val="00212C06"/>
    <w:rsid w:val="00212EB7"/>
    <w:rsid w:val="002164E2"/>
    <w:rsid w:val="002224B4"/>
    <w:rsid w:val="002447EF"/>
    <w:rsid w:val="00251550"/>
    <w:rsid w:val="00263B05"/>
    <w:rsid w:val="0027221A"/>
    <w:rsid w:val="00275B61"/>
    <w:rsid w:val="002769D4"/>
    <w:rsid w:val="00280FAF"/>
    <w:rsid w:val="00282656"/>
    <w:rsid w:val="002854C3"/>
    <w:rsid w:val="00285BBE"/>
    <w:rsid w:val="00296B83"/>
    <w:rsid w:val="002B4015"/>
    <w:rsid w:val="002B47AB"/>
    <w:rsid w:val="002B78CE"/>
    <w:rsid w:val="002C0BD4"/>
    <w:rsid w:val="002C2FB6"/>
    <w:rsid w:val="002E1D17"/>
    <w:rsid w:val="002E5FA7"/>
    <w:rsid w:val="002F3309"/>
    <w:rsid w:val="003008CE"/>
    <w:rsid w:val="003009B7"/>
    <w:rsid w:val="00300E56"/>
    <w:rsid w:val="0030152C"/>
    <w:rsid w:val="0030469C"/>
    <w:rsid w:val="00304CE8"/>
    <w:rsid w:val="00321CA6"/>
    <w:rsid w:val="00323763"/>
    <w:rsid w:val="00323C5F"/>
    <w:rsid w:val="0032479D"/>
    <w:rsid w:val="00334C09"/>
    <w:rsid w:val="00351922"/>
    <w:rsid w:val="003717D0"/>
    <w:rsid w:val="003723D4"/>
    <w:rsid w:val="0037354B"/>
    <w:rsid w:val="00374438"/>
    <w:rsid w:val="00381905"/>
    <w:rsid w:val="00384CC8"/>
    <w:rsid w:val="003871FD"/>
    <w:rsid w:val="003A1E30"/>
    <w:rsid w:val="003A2829"/>
    <w:rsid w:val="003A49BF"/>
    <w:rsid w:val="003A7D1C"/>
    <w:rsid w:val="003B1B55"/>
    <w:rsid w:val="003B304B"/>
    <w:rsid w:val="003B3146"/>
    <w:rsid w:val="003B49CD"/>
    <w:rsid w:val="003C322D"/>
    <w:rsid w:val="003D00D1"/>
    <w:rsid w:val="003D0B15"/>
    <w:rsid w:val="003D1E02"/>
    <w:rsid w:val="003E3BB0"/>
    <w:rsid w:val="003E45FA"/>
    <w:rsid w:val="003F015E"/>
    <w:rsid w:val="003F0B24"/>
    <w:rsid w:val="003F496C"/>
    <w:rsid w:val="00400414"/>
    <w:rsid w:val="00410854"/>
    <w:rsid w:val="0041446B"/>
    <w:rsid w:val="00433808"/>
    <w:rsid w:val="0044071E"/>
    <w:rsid w:val="0044329C"/>
    <w:rsid w:val="00453E24"/>
    <w:rsid w:val="00457456"/>
    <w:rsid w:val="004577FE"/>
    <w:rsid w:val="00457B9C"/>
    <w:rsid w:val="0046164A"/>
    <w:rsid w:val="004628D2"/>
    <w:rsid w:val="00462C50"/>
    <w:rsid w:val="00462DCD"/>
    <w:rsid w:val="004648AD"/>
    <w:rsid w:val="004703A9"/>
    <w:rsid w:val="004760DE"/>
    <w:rsid w:val="004763D7"/>
    <w:rsid w:val="00480885"/>
    <w:rsid w:val="004815EB"/>
    <w:rsid w:val="004A004E"/>
    <w:rsid w:val="004A24CF"/>
    <w:rsid w:val="004C3D1D"/>
    <w:rsid w:val="004C3D84"/>
    <w:rsid w:val="004C7913"/>
    <w:rsid w:val="004E37DE"/>
    <w:rsid w:val="004E4DD6"/>
    <w:rsid w:val="004F5E36"/>
    <w:rsid w:val="00503BF9"/>
    <w:rsid w:val="00507B47"/>
    <w:rsid w:val="00507BEF"/>
    <w:rsid w:val="00507CC9"/>
    <w:rsid w:val="00511572"/>
    <w:rsid w:val="005119A5"/>
    <w:rsid w:val="005278B7"/>
    <w:rsid w:val="00527DAC"/>
    <w:rsid w:val="00532016"/>
    <w:rsid w:val="00534537"/>
    <w:rsid w:val="005346C8"/>
    <w:rsid w:val="0053554D"/>
    <w:rsid w:val="00536D5E"/>
    <w:rsid w:val="00543E7D"/>
    <w:rsid w:val="00547A68"/>
    <w:rsid w:val="00552415"/>
    <w:rsid w:val="005531C9"/>
    <w:rsid w:val="00554879"/>
    <w:rsid w:val="00570C43"/>
    <w:rsid w:val="00582F88"/>
    <w:rsid w:val="00592274"/>
    <w:rsid w:val="00594569"/>
    <w:rsid w:val="00597112"/>
    <w:rsid w:val="005B2110"/>
    <w:rsid w:val="005B350B"/>
    <w:rsid w:val="005B4965"/>
    <w:rsid w:val="005B569D"/>
    <w:rsid w:val="005B61E6"/>
    <w:rsid w:val="005C4833"/>
    <w:rsid w:val="005C77E1"/>
    <w:rsid w:val="005D2088"/>
    <w:rsid w:val="005D668A"/>
    <w:rsid w:val="005D6A2F"/>
    <w:rsid w:val="005E0592"/>
    <w:rsid w:val="005E1A82"/>
    <w:rsid w:val="005E794C"/>
    <w:rsid w:val="005F0A28"/>
    <w:rsid w:val="005F0E5E"/>
    <w:rsid w:val="00600535"/>
    <w:rsid w:val="006011AD"/>
    <w:rsid w:val="00610CD6"/>
    <w:rsid w:val="006159CE"/>
    <w:rsid w:val="00620DEE"/>
    <w:rsid w:val="00621F92"/>
    <w:rsid w:val="0062280A"/>
    <w:rsid w:val="006231E1"/>
    <w:rsid w:val="00625639"/>
    <w:rsid w:val="00626342"/>
    <w:rsid w:val="00631B33"/>
    <w:rsid w:val="0064184D"/>
    <w:rsid w:val="006422CC"/>
    <w:rsid w:val="0064261D"/>
    <w:rsid w:val="00651D18"/>
    <w:rsid w:val="00660E3E"/>
    <w:rsid w:val="00662E74"/>
    <w:rsid w:val="0066646E"/>
    <w:rsid w:val="006733B4"/>
    <w:rsid w:val="006748A5"/>
    <w:rsid w:val="00680C23"/>
    <w:rsid w:val="00683E23"/>
    <w:rsid w:val="00693766"/>
    <w:rsid w:val="006A3281"/>
    <w:rsid w:val="006A343D"/>
    <w:rsid w:val="006A6DE5"/>
    <w:rsid w:val="006B4888"/>
    <w:rsid w:val="006B6985"/>
    <w:rsid w:val="006C2E45"/>
    <w:rsid w:val="006C359C"/>
    <w:rsid w:val="006C5579"/>
    <w:rsid w:val="006D04B1"/>
    <w:rsid w:val="006D678A"/>
    <w:rsid w:val="006D6E8B"/>
    <w:rsid w:val="006D7209"/>
    <w:rsid w:val="006E2376"/>
    <w:rsid w:val="006E55E4"/>
    <w:rsid w:val="006E58D2"/>
    <w:rsid w:val="006E737D"/>
    <w:rsid w:val="006F026F"/>
    <w:rsid w:val="00707DD1"/>
    <w:rsid w:val="00712481"/>
    <w:rsid w:val="00713973"/>
    <w:rsid w:val="00720A24"/>
    <w:rsid w:val="00730432"/>
    <w:rsid w:val="00732386"/>
    <w:rsid w:val="0073514D"/>
    <w:rsid w:val="007447F3"/>
    <w:rsid w:val="0075499F"/>
    <w:rsid w:val="0076388D"/>
    <w:rsid w:val="00765621"/>
    <w:rsid w:val="007661C8"/>
    <w:rsid w:val="0077098D"/>
    <w:rsid w:val="00780533"/>
    <w:rsid w:val="00785BF9"/>
    <w:rsid w:val="007931FA"/>
    <w:rsid w:val="007A4861"/>
    <w:rsid w:val="007A7BBA"/>
    <w:rsid w:val="007B0C50"/>
    <w:rsid w:val="007B48F9"/>
    <w:rsid w:val="007C10A3"/>
    <w:rsid w:val="007C1A43"/>
    <w:rsid w:val="007D0951"/>
    <w:rsid w:val="007D56D7"/>
    <w:rsid w:val="007D610D"/>
    <w:rsid w:val="007F7A5F"/>
    <w:rsid w:val="0080013E"/>
    <w:rsid w:val="00801759"/>
    <w:rsid w:val="00813288"/>
    <w:rsid w:val="008149FB"/>
    <w:rsid w:val="008168FC"/>
    <w:rsid w:val="00817EE7"/>
    <w:rsid w:val="00830996"/>
    <w:rsid w:val="008345F1"/>
    <w:rsid w:val="0083670B"/>
    <w:rsid w:val="0086174A"/>
    <w:rsid w:val="00864C3B"/>
    <w:rsid w:val="00865B07"/>
    <w:rsid w:val="008667EA"/>
    <w:rsid w:val="0087637F"/>
    <w:rsid w:val="00884230"/>
    <w:rsid w:val="00884C3C"/>
    <w:rsid w:val="00892AD5"/>
    <w:rsid w:val="00894EF8"/>
    <w:rsid w:val="008A1512"/>
    <w:rsid w:val="008A1BCD"/>
    <w:rsid w:val="008C7863"/>
    <w:rsid w:val="008D32B9"/>
    <w:rsid w:val="008D433B"/>
    <w:rsid w:val="008D4A16"/>
    <w:rsid w:val="008E5401"/>
    <w:rsid w:val="008E566E"/>
    <w:rsid w:val="008F4EF9"/>
    <w:rsid w:val="0090161A"/>
    <w:rsid w:val="00901EB6"/>
    <w:rsid w:val="009041F8"/>
    <w:rsid w:val="00904C62"/>
    <w:rsid w:val="009149FC"/>
    <w:rsid w:val="0092296F"/>
    <w:rsid w:val="00922BA8"/>
    <w:rsid w:val="00924DAC"/>
    <w:rsid w:val="00927058"/>
    <w:rsid w:val="00942750"/>
    <w:rsid w:val="009450CE"/>
    <w:rsid w:val="009459BB"/>
    <w:rsid w:val="00947179"/>
    <w:rsid w:val="0095164B"/>
    <w:rsid w:val="00954090"/>
    <w:rsid w:val="009573E7"/>
    <w:rsid w:val="00963E05"/>
    <w:rsid w:val="00964A45"/>
    <w:rsid w:val="00967843"/>
    <w:rsid w:val="00967D54"/>
    <w:rsid w:val="00971028"/>
    <w:rsid w:val="00993B84"/>
    <w:rsid w:val="00994C6A"/>
    <w:rsid w:val="00996483"/>
    <w:rsid w:val="00996F5A"/>
    <w:rsid w:val="009B041A"/>
    <w:rsid w:val="009B09FB"/>
    <w:rsid w:val="009B6E57"/>
    <w:rsid w:val="009C02CC"/>
    <w:rsid w:val="009C37C3"/>
    <w:rsid w:val="009C7C86"/>
    <w:rsid w:val="009D2FF7"/>
    <w:rsid w:val="009E7884"/>
    <w:rsid w:val="009E788A"/>
    <w:rsid w:val="009F0E08"/>
    <w:rsid w:val="009F1535"/>
    <w:rsid w:val="00A03BCC"/>
    <w:rsid w:val="00A079AE"/>
    <w:rsid w:val="00A14065"/>
    <w:rsid w:val="00A1763D"/>
    <w:rsid w:val="00A17CEC"/>
    <w:rsid w:val="00A224F2"/>
    <w:rsid w:val="00A27EF0"/>
    <w:rsid w:val="00A326E7"/>
    <w:rsid w:val="00A40BD4"/>
    <w:rsid w:val="00A42361"/>
    <w:rsid w:val="00A50B20"/>
    <w:rsid w:val="00A51390"/>
    <w:rsid w:val="00A60109"/>
    <w:rsid w:val="00A60AEB"/>
    <w:rsid w:val="00A60D13"/>
    <w:rsid w:val="00A7223D"/>
    <w:rsid w:val="00A72745"/>
    <w:rsid w:val="00A76EFC"/>
    <w:rsid w:val="00A87D50"/>
    <w:rsid w:val="00A91010"/>
    <w:rsid w:val="00A97F29"/>
    <w:rsid w:val="00AA702E"/>
    <w:rsid w:val="00AA771C"/>
    <w:rsid w:val="00AA7958"/>
    <w:rsid w:val="00AA7D26"/>
    <w:rsid w:val="00AB0964"/>
    <w:rsid w:val="00AB5011"/>
    <w:rsid w:val="00AB60B5"/>
    <w:rsid w:val="00AC7368"/>
    <w:rsid w:val="00AD1429"/>
    <w:rsid w:val="00AD16B9"/>
    <w:rsid w:val="00AE377D"/>
    <w:rsid w:val="00AF0EBA"/>
    <w:rsid w:val="00AF2463"/>
    <w:rsid w:val="00B01BAF"/>
    <w:rsid w:val="00B02C8A"/>
    <w:rsid w:val="00B17FBD"/>
    <w:rsid w:val="00B21B58"/>
    <w:rsid w:val="00B249BD"/>
    <w:rsid w:val="00B254B0"/>
    <w:rsid w:val="00B315A6"/>
    <w:rsid w:val="00B31813"/>
    <w:rsid w:val="00B326B5"/>
    <w:rsid w:val="00B33365"/>
    <w:rsid w:val="00B52C59"/>
    <w:rsid w:val="00B574E9"/>
    <w:rsid w:val="00B57B36"/>
    <w:rsid w:val="00B57E6F"/>
    <w:rsid w:val="00B609D4"/>
    <w:rsid w:val="00B74764"/>
    <w:rsid w:val="00B8686D"/>
    <w:rsid w:val="00B93F69"/>
    <w:rsid w:val="00BB1DDC"/>
    <w:rsid w:val="00BC30C9"/>
    <w:rsid w:val="00BD077D"/>
    <w:rsid w:val="00BE3E58"/>
    <w:rsid w:val="00BF13CE"/>
    <w:rsid w:val="00C0018C"/>
    <w:rsid w:val="00C01616"/>
    <w:rsid w:val="00C0162B"/>
    <w:rsid w:val="00C051CD"/>
    <w:rsid w:val="00C068ED"/>
    <w:rsid w:val="00C22E0C"/>
    <w:rsid w:val="00C345B1"/>
    <w:rsid w:val="00C40142"/>
    <w:rsid w:val="00C52C3C"/>
    <w:rsid w:val="00C57182"/>
    <w:rsid w:val="00C57863"/>
    <w:rsid w:val="00C632BF"/>
    <w:rsid w:val="00C640AF"/>
    <w:rsid w:val="00C655FD"/>
    <w:rsid w:val="00C6618E"/>
    <w:rsid w:val="00C67FCA"/>
    <w:rsid w:val="00C70046"/>
    <w:rsid w:val="00C75407"/>
    <w:rsid w:val="00C841C6"/>
    <w:rsid w:val="00C870A8"/>
    <w:rsid w:val="00C94434"/>
    <w:rsid w:val="00CA0D75"/>
    <w:rsid w:val="00CA1C95"/>
    <w:rsid w:val="00CA5A9C"/>
    <w:rsid w:val="00CB751C"/>
    <w:rsid w:val="00CC4C20"/>
    <w:rsid w:val="00CC4E54"/>
    <w:rsid w:val="00CD3517"/>
    <w:rsid w:val="00CD5FE2"/>
    <w:rsid w:val="00CE7C68"/>
    <w:rsid w:val="00CF703D"/>
    <w:rsid w:val="00D029DB"/>
    <w:rsid w:val="00D02B4C"/>
    <w:rsid w:val="00D040C4"/>
    <w:rsid w:val="00D20AD1"/>
    <w:rsid w:val="00D23BDA"/>
    <w:rsid w:val="00D2426E"/>
    <w:rsid w:val="00D2582C"/>
    <w:rsid w:val="00D349B9"/>
    <w:rsid w:val="00D34EB2"/>
    <w:rsid w:val="00D46B7E"/>
    <w:rsid w:val="00D5247A"/>
    <w:rsid w:val="00D55840"/>
    <w:rsid w:val="00D57C84"/>
    <w:rsid w:val="00D60100"/>
    <w:rsid w:val="00D6057D"/>
    <w:rsid w:val="00D71640"/>
    <w:rsid w:val="00D76902"/>
    <w:rsid w:val="00D836C5"/>
    <w:rsid w:val="00D84576"/>
    <w:rsid w:val="00D8729A"/>
    <w:rsid w:val="00DA1399"/>
    <w:rsid w:val="00DA24C6"/>
    <w:rsid w:val="00DA4D7B"/>
    <w:rsid w:val="00DC1157"/>
    <w:rsid w:val="00DC2840"/>
    <w:rsid w:val="00DC2EBC"/>
    <w:rsid w:val="00DC73EE"/>
    <w:rsid w:val="00DD271C"/>
    <w:rsid w:val="00DD551A"/>
    <w:rsid w:val="00DE264A"/>
    <w:rsid w:val="00DE28CD"/>
    <w:rsid w:val="00DF5072"/>
    <w:rsid w:val="00E02D18"/>
    <w:rsid w:val="00E041E7"/>
    <w:rsid w:val="00E15458"/>
    <w:rsid w:val="00E23CA1"/>
    <w:rsid w:val="00E409A8"/>
    <w:rsid w:val="00E50C12"/>
    <w:rsid w:val="00E51A69"/>
    <w:rsid w:val="00E56622"/>
    <w:rsid w:val="00E623B9"/>
    <w:rsid w:val="00E65B91"/>
    <w:rsid w:val="00E7209D"/>
    <w:rsid w:val="00E72EAD"/>
    <w:rsid w:val="00E77223"/>
    <w:rsid w:val="00E84F8D"/>
    <w:rsid w:val="00E8528B"/>
    <w:rsid w:val="00E85B94"/>
    <w:rsid w:val="00E978D0"/>
    <w:rsid w:val="00EA34CA"/>
    <w:rsid w:val="00EA4613"/>
    <w:rsid w:val="00EA7463"/>
    <w:rsid w:val="00EA7F91"/>
    <w:rsid w:val="00EB1523"/>
    <w:rsid w:val="00EC0E49"/>
    <w:rsid w:val="00EC101F"/>
    <w:rsid w:val="00EC1D9F"/>
    <w:rsid w:val="00EE0131"/>
    <w:rsid w:val="00EE17B0"/>
    <w:rsid w:val="00EE7D6D"/>
    <w:rsid w:val="00EF06D9"/>
    <w:rsid w:val="00EF38CF"/>
    <w:rsid w:val="00EF512B"/>
    <w:rsid w:val="00F00DD7"/>
    <w:rsid w:val="00F3049E"/>
    <w:rsid w:val="00F30C64"/>
    <w:rsid w:val="00F32BA2"/>
    <w:rsid w:val="00F32CDB"/>
    <w:rsid w:val="00F41EE4"/>
    <w:rsid w:val="00F565FE"/>
    <w:rsid w:val="00F57561"/>
    <w:rsid w:val="00F63A70"/>
    <w:rsid w:val="00F63D8C"/>
    <w:rsid w:val="00F7534E"/>
    <w:rsid w:val="00F845FD"/>
    <w:rsid w:val="00F90A38"/>
    <w:rsid w:val="00F93EDF"/>
    <w:rsid w:val="00FA1802"/>
    <w:rsid w:val="00FA21D0"/>
    <w:rsid w:val="00FA2F6D"/>
    <w:rsid w:val="00FA5F5F"/>
    <w:rsid w:val="00FB196E"/>
    <w:rsid w:val="00FB730C"/>
    <w:rsid w:val="00FC2695"/>
    <w:rsid w:val="00FC3E03"/>
    <w:rsid w:val="00FC3FC1"/>
    <w:rsid w:val="00FD68A8"/>
    <w:rsid w:val="00FF2A38"/>
    <w:rsid w:val="00FF35E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B574E9"/>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character" w:customStyle="1" w:styleId="gmail-apple-converted-space">
    <w:name w:val="gmail-apple-converted-space"/>
    <w:basedOn w:val="DefaultParagraphFont"/>
    <w:rsid w:val="00005A19"/>
  </w:style>
  <w:style w:type="character" w:styleId="PlaceholderText">
    <w:name w:val="Placeholder Text"/>
    <w:basedOn w:val="DefaultParagraphFont"/>
    <w:uiPriority w:val="99"/>
    <w:semiHidden/>
    <w:rsid w:val="002769D4"/>
    <w:rPr>
      <w:color w:val="808080"/>
    </w:rPr>
  </w:style>
  <w:style w:type="character" w:styleId="UnresolvedMention">
    <w:name w:val="Unresolved Mention"/>
    <w:basedOn w:val="DefaultParagraphFont"/>
    <w:uiPriority w:val="99"/>
    <w:semiHidden/>
    <w:unhideWhenUsed/>
    <w:rsid w:val="006011AD"/>
    <w:rPr>
      <w:color w:val="605E5C"/>
      <w:shd w:val="clear" w:color="auto" w:fill="E1DFDD"/>
    </w:rPr>
  </w:style>
  <w:style w:type="character" w:styleId="FootnoteReference">
    <w:name w:val="footnote reference"/>
    <w:basedOn w:val="DefaultParagraphFont"/>
    <w:uiPriority w:val="99"/>
    <w:semiHidden/>
    <w:unhideWhenUsed/>
    <w:rsid w:val="006159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211">
      <w:bodyDiv w:val="1"/>
      <w:marLeft w:val="0"/>
      <w:marRight w:val="0"/>
      <w:marTop w:val="0"/>
      <w:marBottom w:val="0"/>
      <w:divBdr>
        <w:top w:val="none" w:sz="0" w:space="0" w:color="auto"/>
        <w:left w:val="none" w:sz="0" w:space="0" w:color="auto"/>
        <w:bottom w:val="none" w:sz="0" w:space="0" w:color="auto"/>
        <w:right w:val="none" w:sz="0" w:space="0" w:color="auto"/>
      </w:divBdr>
      <w:divsChild>
        <w:div w:id="1188058185">
          <w:marLeft w:val="480"/>
          <w:marRight w:val="0"/>
          <w:marTop w:val="0"/>
          <w:marBottom w:val="0"/>
          <w:divBdr>
            <w:top w:val="none" w:sz="0" w:space="0" w:color="auto"/>
            <w:left w:val="none" w:sz="0" w:space="0" w:color="auto"/>
            <w:bottom w:val="none" w:sz="0" w:space="0" w:color="auto"/>
            <w:right w:val="none" w:sz="0" w:space="0" w:color="auto"/>
          </w:divBdr>
        </w:div>
        <w:div w:id="249000891">
          <w:marLeft w:val="480"/>
          <w:marRight w:val="0"/>
          <w:marTop w:val="0"/>
          <w:marBottom w:val="0"/>
          <w:divBdr>
            <w:top w:val="none" w:sz="0" w:space="0" w:color="auto"/>
            <w:left w:val="none" w:sz="0" w:space="0" w:color="auto"/>
            <w:bottom w:val="none" w:sz="0" w:space="0" w:color="auto"/>
            <w:right w:val="none" w:sz="0" w:space="0" w:color="auto"/>
          </w:divBdr>
        </w:div>
        <w:div w:id="2081245042">
          <w:marLeft w:val="480"/>
          <w:marRight w:val="0"/>
          <w:marTop w:val="0"/>
          <w:marBottom w:val="0"/>
          <w:divBdr>
            <w:top w:val="none" w:sz="0" w:space="0" w:color="auto"/>
            <w:left w:val="none" w:sz="0" w:space="0" w:color="auto"/>
            <w:bottom w:val="none" w:sz="0" w:space="0" w:color="auto"/>
            <w:right w:val="none" w:sz="0" w:space="0" w:color="auto"/>
          </w:divBdr>
        </w:div>
        <w:div w:id="242497163">
          <w:marLeft w:val="480"/>
          <w:marRight w:val="0"/>
          <w:marTop w:val="0"/>
          <w:marBottom w:val="0"/>
          <w:divBdr>
            <w:top w:val="none" w:sz="0" w:space="0" w:color="auto"/>
            <w:left w:val="none" w:sz="0" w:space="0" w:color="auto"/>
            <w:bottom w:val="none" w:sz="0" w:space="0" w:color="auto"/>
            <w:right w:val="none" w:sz="0" w:space="0" w:color="auto"/>
          </w:divBdr>
        </w:div>
        <w:div w:id="200948014">
          <w:marLeft w:val="480"/>
          <w:marRight w:val="0"/>
          <w:marTop w:val="0"/>
          <w:marBottom w:val="0"/>
          <w:divBdr>
            <w:top w:val="none" w:sz="0" w:space="0" w:color="auto"/>
            <w:left w:val="none" w:sz="0" w:space="0" w:color="auto"/>
            <w:bottom w:val="none" w:sz="0" w:space="0" w:color="auto"/>
            <w:right w:val="none" w:sz="0" w:space="0" w:color="auto"/>
          </w:divBdr>
        </w:div>
        <w:div w:id="1142231440">
          <w:marLeft w:val="480"/>
          <w:marRight w:val="0"/>
          <w:marTop w:val="0"/>
          <w:marBottom w:val="0"/>
          <w:divBdr>
            <w:top w:val="none" w:sz="0" w:space="0" w:color="auto"/>
            <w:left w:val="none" w:sz="0" w:space="0" w:color="auto"/>
            <w:bottom w:val="none" w:sz="0" w:space="0" w:color="auto"/>
            <w:right w:val="none" w:sz="0" w:space="0" w:color="auto"/>
          </w:divBdr>
        </w:div>
        <w:div w:id="1201935098">
          <w:marLeft w:val="480"/>
          <w:marRight w:val="0"/>
          <w:marTop w:val="0"/>
          <w:marBottom w:val="0"/>
          <w:divBdr>
            <w:top w:val="none" w:sz="0" w:space="0" w:color="auto"/>
            <w:left w:val="none" w:sz="0" w:space="0" w:color="auto"/>
            <w:bottom w:val="none" w:sz="0" w:space="0" w:color="auto"/>
            <w:right w:val="none" w:sz="0" w:space="0" w:color="auto"/>
          </w:divBdr>
        </w:div>
        <w:div w:id="549725479">
          <w:marLeft w:val="480"/>
          <w:marRight w:val="0"/>
          <w:marTop w:val="0"/>
          <w:marBottom w:val="0"/>
          <w:divBdr>
            <w:top w:val="none" w:sz="0" w:space="0" w:color="auto"/>
            <w:left w:val="none" w:sz="0" w:space="0" w:color="auto"/>
            <w:bottom w:val="none" w:sz="0" w:space="0" w:color="auto"/>
            <w:right w:val="none" w:sz="0" w:space="0" w:color="auto"/>
          </w:divBdr>
        </w:div>
        <w:div w:id="1327703568">
          <w:marLeft w:val="480"/>
          <w:marRight w:val="0"/>
          <w:marTop w:val="0"/>
          <w:marBottom w:val="0"/>
          <w:divBdr>
            <w:top w:val="none" w:sz="0" w:space="0" w:color="auto"/>
            <w:left w:val="none" w:sz="0" w:space="0" w:color="auto"/>
            <w:bottom w:val="none" w:sz="0" w:space="0" w:color="auto"/>
            <w:right w:val="none" w:sz="0" w:space="0" w:color="auto"/>
          </w:divBdr>
        </w:div>
        <w:div w:id="950749808">
          <w:marLeft w:val="480"/>
          <w:marRight w:val="0"/>
          <w:marTop w:val="0"/>
          <w:marBottom w:val="0"/>
          <w:divBdr>
            <w:top w:val="none" w:sz="0" w:space="0" w:color="auto"/>
            <w:left w:val="none" w:sz="0" w:space="0" w:color="auto"/>
            <w:bottom w:val="none" w:sz="0" w:space="0" w:color="auto"/>
            <w:right w:val="none" w:sz="0" w:space="0" w:color="auto"/>
          </w:divBdr>
        </w:div>
        <w:div w:id="997418302">
          <w:marLeft w:val="480"/>
          <w:marRight w:val="0"/>
          <w:marTop w:val="0"/>
          <w:marBottom w:val="0"/>
          <w:divBdr>
            <w:top w:val="none" w:sz="0" w:space="0" w:color="auto"/>
            <w:left w:val="none" w:sz="0" w:space="0" w:color="auto"/>
            <w:bottom w:val="none" w:sz="0" w:space="0" w:color="auto"/>
            <w:right w:val="none" w:sz="0" w:space="0" w:color="auto"/>
          </w:divBdr>
        </w:div>
        <w:div w:id="842817821">
          <w:marLeft w:val="480"/>
          <w:marRight w:val="0"/>
          <w:marTop w:val="0"/>
          <w:marBottom w:val="0"/>
          <w:divBdr>
            <w:top w:val="none" w:sz="0" w:space="0" w:color="auto"/>
            <w:left w:val="none" w:sz="0" w:space="0" w:color="auto"/>
            <w:bottom w:val="none" w:sz="0" w:space="0" w:color="auto"/>
            <w:right w:val="none" w:sz="0" w:space="0" w:color="auto"/>
          </w:divBdr>
        </w:div>
        <w:div w:id="1122923838">
          <w:marLeft w:val="480"/>
          <w:marRight w:val="0"/>
          <w:marTop w:val="0"/>
          <w:marBottom w:val="0"/>
          <w:divBdr>
            <w:top w:val="none" w:sz="0" w:space="0" w:color="auto"/>
            <w:left w:val="none" w:sz="0" w:space="0" w:color="auto"/>
            <w:bottom w:val="none" w:sz="0" w:space="0" w:color="auto"/>
            <w:right w:val="none" w:sz="0" w:space="0" w:color="auto"/>
          </w:divBdr>
        </w:div>
      </w:divsChild>
    </w:div>
    <w:div w:id="133063674">
      <w:bodyDiv w:val="1"/>
      <w:marLeft w:val="0"/>
      <w:marRight w:val="0"/>
      <w:marTop w:val="0"/>
      <w:marBottom w:val="0"/>
      <w:divBdr>
        <w:top w:val="none" w:sz="0" w:space="0" w:color="auto"/>
        <w:left w:val="none" w:sz="0" w:space="0" w:color="auto"/>
        <w:bottom w:val="none" w:sz="0" w:space="0" w:color="auto"/>
        <w:right w:val="none" w:sz="0" w:space="0" w:color="auto"/>
      </w:divBdr>
    </w:div>
    <w:div w:id="203979588">
      <w:bodyDiv w:val="1"/>
      <w:marLeft w:val="0"/>
      <w:marRight w:val="0"/>
      <w:marTop w:val="0"/>
      <w:marBottom w:val="0"/>
      <w:divBdr>
        <w:top w:val="none" w:sz="0" w:space="0" w:color="auto"/>
        <w:left w:val="none" w:sz="0" w:space="0" w:color="auto"/>
        <w:bottom w:val="none" w:sz="0" w:space="0" w:color="auto"/>
        <w:right w:val="none" w:sz="0" w:space="0" w:color="auto"/>
      </w:divBdr>
      <w:divsChild>
        <w:div w:id="876623860">
          <w:marLeft w:val="480"/>
          <w:marRight w:val="0"/>
          <w:marTop w:val="0"/>
          <w:marBottom w:val="0"/>
          <w:divBdr>
            <w:top w:val="none" w:sz="0" w:space="0" w:color="auto"/>
            <w:left w:val="none" w:sz="0" w:space="0" w:color="auto"/>
            <w:bottom w:val="none" w:sz="0" w:space="0" w:color="auto"/>
            <w:right w:val="none" w:sz="0" w:space="0" w:color="auto"/>
          </w:divBdr>
        </w:div>
        <w:div w:id="914631242">
          <w:marLeft w:val="480"/>
          <w:marRight w:val="0"/>
          <w:marTop w:val="0"/>
          <w:marBottom w:val="0"/>
          <w:divBdr>
            <w:top w:val="none" w:sz="0" w:space="0" w:color="auto"/>
            <w:left w:val="none" w:sz="0" w:space="0" w:color="auto"/>
            <w:bottom w:val="none" w:sz="0" w:space="0" w:color="auto"/>
            <w:right w:val="none" w:sz="0" w:space="0" w:color="auto"/>
          </w:divBdr>
        </w:div>
        <w:div w:id="1622220899">
          <w:marLeft w:val="480"/>
          <w:marRight w:val="0"/>
          <w:marTop w:val="0"/>
          <w:marBottom w:val="0"/>
          <w:divBdr>
            <w:top w:val="none" w:sz="0" w:space="0" w:color="auto"/>
            <w:left w:val="none" w:sz="0" w:space="0" w:color="auto"/>
            <w:bottom w:val="none" w:sz="0" w:space="0" w:color="auto"/>
            <w:right w:val="none" w:sz="0" w:space="0" w:color="auto"/>
          </w:divBdr>
        </w:div>
        <w:div w:id="265816471">
          <w:marLeft w:val="480"/>
          <w:marRight w:val="0"/>
          <w:marTop w:val="0"/>
          <w:marBottom w:val="0"/>
          <w:divBdr>
            <w:top w:val="none" w:sz="0" w:space="0" w:color="auto"/>
            <w:left w:val="none" w:sz="0" w:space="0" w:color="auto"/>
            <w:bottom w:val="none" w:sz="0" w:space="0" w:color="auto"/>
            <w:right w:val="none" w:sz="0" w:space="0" w:color="auto"/>
          </w:divBdr>
        </w:div>
        <w:div w:id="1746612698">
          <w:marLeft w:val="480"/>
          <w:marRight w:val="0"/>
          <w:marTop w:val="0"/>
          <w:marBottom w:val="0"/>
          <w:divBdr>
            <w:top w:val="none" w:sz="0" w:space="0" w:color="auto"/>
            <w:left w:val="none" w:sz="0" w:space="0" w:color="auto"/>
            <w:bottom w:val="none" w:sz="0" w:space="0" w:color="auto"/>
            <w:right w:val="none" w:sz="0" w:space="0" w:color="auto"/>
          </w:divBdr>
        </w:div>
        <w:div w:id="286278060">
          <w:marLeft w:val="480"/>
          <w:marRight w:val="0"/>
          <w:marTop w:val="0"/>
          <w:marBottom w:val="0"/>
          <w:divBdr>
            <w:top w:val="none" w:sz="0" w:space="0" w:color="auto"/>
            <w:left w:val="none" w:sz="0" w:space="0" w:color="auto"/>
            <w:bottom w:val="none" w:sz="0" w:space="0" w:color="auto"/>
            <w:right w:val="none" w:sz="0" w:space="0" w:color="auto"/>
          </w:divBdr>
        </w:div>
        <w:div w:id="170418110">
          <w:marLeft w:val="480"/>
          <w:marRight w:val="0"/>
          <w:marTop w:val="0"/>
          <w:marBottom w:val="0"/>
          <w:divBdr>
            <w:top w:val="none" w:sz="0" w:space="0" w:color="auto"/>
            <w:left w:val="none" w:sz="0" w:space="0" w:color="auto"/>
            <w:bottom w:val="none" w:sz="0" w:space="0" w:color="auto"/>
            <w:right w:val="none" w:sz="0" w:space="0" w:color="auto"/>
          </w:divBdr>
        </w:div>
        <w:div w:id="805319781">
          <w:marLeft w:val="480"/>
          <w:marRight w:val="0"/>
          <w:marTop w:val="0"/>
          <w:marBottom w:val="0"/>
          <w:divBdr>
            <w:top w:val="none" w:sz="0" w:space="0" w:color="auto"/>
            <w:left w:val="none" w:sz="0" w:space="0" w:color="auto"/>
            <w:bottom w:val="none" w:sz="0" w:space="0" w:color="auto"/>
            <w:right w:val="none" w:sz="0" w:space="0" w:color="auto"/>
          </w:divBdr>
        </w:div>
        <w:div w:id="197162144">
          <w:marLeft w:val="480"/>
          <w:marRight w:val="0"/>
          <w:marTop w:val="0"/>
          <w:marBottom w:val="0"/>
          <w:divBdr>
            <w:top w:val="none" w:sz="0" w:space="0" w:color="auto"/>
            <w:left w:val="none" w:sz="0" w:space="0" w:color="auto"/>
            <w:bottom w:val="none" w:sz="0" w:space="0" w:color="auto"/>
            <w:right w:val="none" w:sz="0" w:space="0" w:color="auto"/>
          </w:divBdr>
        </w:div>
        <w:div w:id="978265727">
          <w:marLeft w:val="480"/>
          <w:marRight w:val="0"/>
          <w:marTop w:val="0"/>
          <w:marBottom w:val="0"/>
          <w:divBdr>
            <w:top w:val="none" w:sz="0" w:space="0" w:color="auto"/>
            <w:left w:val="none" w:sz="0" w:space="0" w:color="auto"/>
            <w:bottom w:val="none" w:sz="0" w:space="0" w:color="auto"/>
            <w:right w:val="none" w:sz="0" w:space="0" w:color="auto"/>
          </w:divBdr>
        </w:div>
        <w:div w:id="2067027336">
          <w:marLeft w:val="480"/>
          <w:marRight w:val="0"/>
          <w:marTop w:val="0"/>
          <w:marBottom w:val="0"/>
          <w:divBdr>
            <w:top w:val="none" w:sz="0" w:space="0" w:color="auto"/>
            <w:left w:val="none" w:sz="0" w:space="0" w:color="auto"/>
            <w:bottom w:val="none" w:sz="0" w:space="0" w:color="auto"/>
            <w:right w:val="none" w:sz="0" w:space="0" w:color="auto"/>
          </w:divBdr>
        </w:div>
        <w:div w:id="1651516996">
          <w:marLeft w:val="480"/>
          <w:marRight w:val="0"/>
          <w:marTop w:val="0"/>
          <w:marBottom w:val="0"/>
          <w:divBdr>
            <w:top w:val="none" w:sz="0" w:space="0" w:color="auto"/>
            <w:left w:val="none" w:sz="0" w:space="0" w:color="auto"/>
            <w:bottom w:val="none" w:sz="0" w:space="0" w:color="auto"/>
            <w:right w:val="none" w:sz="0" w:space="0" w:color="auto"/>
          </w:divBdr>
        </w:div>
      </w:divsChild>
    </w:div>
    <w:div w:id="319164464">
      <w:bodyDiv w:val="1"/>
      <w:marLeft w:val="0"/>
      <w:marRight w:val="0"/>
      <w:marTop w:val="0"/>
      <w:marBottom w:val="0"/>
      <w:divBdr>
        <w:top w:val="none" w:sz="0" w:space="0" w:color="auto"/>
        <w:left w:val="none" w:sz="0" w:space="0" w:color="auto"/>
        <w:bottom w:val="none" w:sz="0" w:space="0" w:color="auto"/>
        <w:right w:val="none" w:sz="0" w:space="0" w:color="auto"/>
      </w:divBdr>
    </w:div>
    <w:div w:id="323050049">
      <w:bodyDiv w:val="1"/>
      <w:marLeft w:val="0"/>
      <w:marRight w:val="0"/>
      <w:marTop w:val="0"/>
      <w:marBottom w:val="0"/>
      <w:divBdr>
        <w:top w:val="none" w:sz="0" w:space="0" w:color="auto"/>
        <w:left w:val="none" w:sz="0" w:space="0" w:color="auto"/>
        <w:bottom w:val="none" w:sz="0" w:space="0" w:color="auto"/>
        <w:right w:val="none" w:sz="0" w:space="0" w:color="auto"/>
      </w:divBdr>
    </w:div>
    <w:div w:id="327443750">
      <w:bodyDiv w:val="1"/>
      <w:marLeft w:val="0"/>
      <w:marRight w:val="0"/>
      <w:marTop w:val="0"/>
      <w:marBottom w:val="0"/>
      <w:divBdr>
        <w:top w:val="none" w:sz="0" w:space="0" w:color="auto"/>
        <w:left w:val="none" w:sz="0" w:space="0" w:color="auto"/>
        <w:bottom w:val="none" w:sz="0" w:space="0" w:color="auto"/>
        <w:right w:val="none" w:sz="0" w:space="0" w:color="auto"/>
      </w:divBdr>
      <w:divsChild>
        <w:div w:id="879436166">
          <w:marLeft w:val="480"/>
          <w:marRight w:val="0"/>
          <w:marTop w:val="0"/>
          <w:marBottom w:val="0"/>
          <w:divBdr>
            <w:top w:val="none" w:sz="0" w:space="0" w:color="auto"/>
            <w:left w:val="none" w:sz="0" w:space="0" w:color="auto"/>
            <w:bottom w:val="none" w:sz="0" w:space="0" w:color="auto"/>
            <w:right w:val="none" w:sz="0" w:space="0" w:color="auto"/>
          </w:divBdr>
        </w:div>
        <w:div w:id="363675644">
          <w:marLeft w:val="480"/>
          <w:marRight w:val="0"/>
          <w:marTop w:val="0"/>
          <w:marBottom w:val="0"/>
          <w:divBdr>
            <w:top w:val="none" w:sz="0" w:space="0" w:color="auto"/>
            <w:left w:val="none" w:sz="0" w:space="0" w:color="auto"/>
            <w:bottom w:val="none" w:sz="0" w:space="0" w:color="auto"/>
            <w:right w:val="none" w:sz="0" w:space="0" w:color="auto"/>
          </w:divBdr>
        </w:div>
        <w:div w:id="874385325">
          <w:marLeft w:val="480"/>
          <w:marRight w:val="0"/>
          <w:marTop w:val="0"/>
          <w:marBottom w:val="0"/>
          <w:divBdr>
            <w:top w:val="none" w:sz="0" w:space="0" w:color="auto"/>
            <w:left w:val="none" w:sz="0" w:space="0" w:color="auto"/>
            <w:bottom w:val="none" w:sz="0" w:space="0" w:color="auto"/>
            <w:right w:val="none" w:sz="0" w:space="0" w:color="auto"/>
          </w:divBdr>
        </w:div>
        <w:div w:id="1563248916">
          <w:marLeft w:val="480"/>
          <w:marRight w:val="0"/>
          <w:marTop w:val="0"/>
          <w:marBottom w:val="0"/>
          <w:divBdr>
            <w:top w:val="none" w:sz="0" w:space="0" w:color="auto"/>
            <w:left w:val="none" w:sz="0" w:space="0" w:color="auto"/>
            <w:bottom w:val="none" w:sz="0" w:space="0" w:color="auto"/>
            <w:right w:val="none" w:sz="0" w:space="0" w:color="auto"/>
          </w:divBdr>
        </w:div>
        <w:div w:id="345866124">
          <w:marLeft w:val="480"/>
          <w:marRight w:val="0"/>
          <w:marTop w:val="0"/>
          <w:marBottom w:val="0"/>
          <w:divBdr>
            <w:top w:val="none" w:sz="0" w:space="0" w:color="auto"/>
            <w:left w:val="none" w:sz="0" w:space="0" w:color="auto"/>
            <w:bottom w:val="none" w:sz="0" w:space="0" w:color="auto"/>
            <w:right w:val="none" w:sz="0" w:space="0" w:color="auto"/>
          </w:divBdr>
        </w:div>
        <w:div w:id="1079911822">
          <w:marLeft w:val="480"/>
          <w:marRight w:val="0"/>
          <w:marTop w:val="0"/>
          <w:marBottom w:val="0"/>
          <w:divBdr>
            <w:top w:val="none" w:sz="0" w:space="0" w:color="auto"/>
            <w:left w:val="none" w:sz="0" w:space="0" w:color="auto"/>
            <w:bottom w:val="none" w:sz="0" w:space="0" w:color="auto"/>
            <w:right w:val="none" w:sz="0" w:space="0" w:color="auto"/>
          </w:divBdr>
        </w:div>
        <w:div w:id="1134559735">
          <w:marLeft w:val="480"/>
          <w:marRight w:val="0"/>
          <w:marTop w:val="0"/>
          <w:marBottom w:val="0"/>
          <w:divBdr>
            <w:top w:val="none" w:sz="0" w:space="0" w:color="auto"/>
            <w:left w:val="none" w:sz="0" w:space="0" w:color="auto"/>
            <w:bottom w:val="none" w:sz="0" w:space="0" w:color="auto"/>
            <w:right w:val="none" w:sz="0" w:space="0" w:color="auto"/>
          </w:divBdr>
        </w:div>
        <w:div w:id="1988052036">
          <w:marLeft w:val="480"/>
          <w:marRight w:val="0"/>
          <w:marTop w:val="0"/>
          <w:marBottom w:val="0"/>
          <w:divBdr>
            <w:top w:val="none" w:sz="0" w:space="0" w:color="auto"/>
            <w:left w:val="none" w:sz="0" w:space="0" w:color="auto"/>
            <w:bottom w:val="none" w:sz="0" w:space="0" w:color="auto"/>
            <w:right w:val="none" w:sz="0" w:space="0" w:color="auto"/>
          </w:divBdr>
        </w:div>
        <w:div w:id="2137941788">
          <w:marLeft w:val="480"/>
          <w:marRight w:val="0"/>
          <w:marTop w:val="0"/>
          <w:marBottom w:val="0"/>
          <w:divBdr>
            <w:top w:val="none" w:sz="0" w:space="0" w:color="auto"/>
            <w:left w:val="none" w:sz="0" w:space="0" w:color="auto"/>
            <w:bottom w:val="none" w:sz="0" w:space="0" w:color="auto"/>
            <w:right w:val="none" w:sz="0" w:space="0" w:color="auto"/>
          </w:divBdr>
        </w:div>
        <w:div w:id="1162938956">
          <w:marLeft w:val="480"/>
          <w:marRight w:val="0"/>
          <w:marTop w:val="0"/>
          <w:marBottom w:val="0"/>
          <w:divBdr>
            <w:top w:val="none" w:sz="0" w:space="0" w:color="auto"/>
            <w:left w:val="none" w:sz="0" w:space="0" w:color="auto"/>
            <w:bottom w:val="none" w:sz="0" w:space="0" w:color="auto"/>
            <w:right w:val="none" w:sz="0" w:space="0" w:color="auto"/>
          </w:divBdr>
        </w:div>
        <w:div w:id="181281519">
          <w:marLeft w:val="480"/>
          <w:marRight w:val="0"/>
          <w:marTop w:val="0"/>
          <w:marBottom w:val="0"/>
          <w:divBdr>
            <w:top w:val="none" w:sz="0" w:space="0" w:color="auto"/>
            <w:left w:val="none" w:sz="0" w:space="0" w:color="auto"/>
            <w:bottom w:val="none" w:sz="0" w:space="0" w:color="auto"/>
            <w:right w:val="none" w:sz="0" w:space="0" w:color="auto"/>
          </w:divBdr>
        </w:div>
        <w:div w:id="1165557830">
          <w:marLeft w:val="480"/>
          <w:marRight w:val="0"/>
          <w:marTop w:val="0"/>
          <w:marBottom w:val="0"/>
          <w:divBdr>
            <w:top w:val="none" w:sz="0" w:space="0" w:color="auto"/>
            <w:left w:val="none" w:sz="0" w:space="0" w:color="auto"/>
            <w:bottom w:val="none" w:sz="0" w:space="0" w:color="auto"/>
            <w:right w:val="none" w:sz="0" w:space="0" w:color="auto"/>
          </w:divBdr>
        </w:div>
        <w:div w:id="171915345">
          <w:marLeft w:val="480"/>
          <w:marRight w:val="0"/>
          <w:marTop w:val="0"/>
          <w:marBottom w:val="0"/>
          <w:divBdr>
            <w:top w:val="none" w:sz="0" w:space="0" w:color="auto"/>
            <w:left w:val="none" w:sz="0" w:space="0" w:color="auto"/>
            <w:bottom w:val="none" w:sz="0" w:space="0" w:color="auto"/>
            <w:right w:val="none" w:sz="0" w:space="0" w:color="auto"/>
          </w:divBdr>
        </w:div>
      </w:divsChild>
    </w:div>
    <w:div w:id="358043942">
      <w:bodyDiv w:val="1"/>
      <w:marLeft w:val="0"/>
      <w:marRight w:val="0"/>
      <w:marTop w:val="0"/>
      <w:marBottom w:val="0"/>
      <w:divBdr>
        <w:top w:val="none" w:sz="0" w:space="0" w:color="auto"/>
        <w:left w:val="none" w:sz="0" w:space="0" w:color="auto"/>
        <w:bottom w:val="none" w:sz="0" w:space="0" w:color="auto"/>
        <w:right w:val="none" w:sz="0" w:space="0" w:color="auto"/>
      </w:divBdr>
    </w:div>
    <w:div w:id="388306008">
      <w:bodyDiv w:val="1"/>
      <w:marLeft w:val="0"/>
      <w:marRight w:val="0"/>
      <w:marTop w:val="0"/>
      <w:marBottom w:val="0"/>
      <w:divBdr>
        <w:top w:val="none" w:sz="0" w:space="0" w:color="auto"/>
        <w:left w:val="none" w:sz="0" w:space="0" w:color="auto"/>
        <w:bottom w:val="none" w:sz="0" w:space="0" w:color="auto"/>
        <w:right w:val="none" w:sz="0" w:space="0" w:color="auto"/>
      </w:divBdr>
      <w:divsChild>
        <w:div w:id="535510693">
          <w:marLeft w:val="480"/>
          <w:marRight w:val="0"/>
          <w:marTop w:val="0"/>
          <w:marBottom w:val="0"/>
          <w:divBdr>
            <w:top w:val="none" w:sz="0" w:space="0" w:color="auto"/>
            <w:left w:val="none" w:sz="0" w:space="0" w:color="auto"/>
            <w:bottom w:val="none" w:sz="0" w:space="0" w:color="auto"/>
            <w:right w:val="none" w:sz="0" w:space="0" w:color="auto"/>
          </w:divBdr>
        </w:div>
        <w:div w:id="1601720966">
          <w:marLeft w:val="480"/>
          <w:marRight w:val="0"/>
          <w:marTop w:val="0"/>
          <w:marBottom w:val="0"/>
          <w:divBdr>
            <w:top w:val="none" w:sz="0" w:space="0" w:color="auto"/>
            <w:left w:val="none" w:sz="0" w:space="0" w:color="auto"/>
            <w:bottom w:val="none" w:sz="0" w:space="0" w:color="auto"/>
            <w:right w:val="none" w:sz="0" w:space="0" w:color="auto"/>
          </w:divBdr>
        </w:div>
        <w:div w:id="15929758">
          <w:marLeft w:val="480"/>
          <w:marRight w:val="0"/>
          <w:marTop w:val="0"/>
          <w:marBottom w:val="0"/>
          <w:divBdr>
            <w:top w:val="none" w:sz="0" w:space="0" w:color="auto"/>
            <w:left w:val="none" w:sz="0" w:space="0" w:color="auto"/>
            <w:bottom w:val="none" w:sz="0" w:space="0" w:color="auto"/>
            <w:right w:val="none" w:sz="0" w:space="0" w:color="auto"/>
          </w:divBdr>
        </w:div>
        <w:div w:id="1517185410">
          <w:marLeft w:val="480"/>
          <w:marRight w:val="0"/>
          <w:marTop w:val="0"/>
          <w:marBottom w:val="0"/>
          <w:divBdr>
            <w:top w:val="none" w:sz="0" w:space="0" w:color="auto"/>
            <w:left w:val="none" w:sz="0" w:space="0" w:color="auto"/>
            <w:bottom w:val="none" w:sz="0" w:space="0" w:color="auto"/>
            <w:right w:val="none" w:sz="0" w:space="0" w:color="auto"/>
          </w:divBdr>
        </w:div>
        <w:div w:id="1335765423">
          <w:marLeft w:val="480"/>
          <w:marRight w:val="0"/>
          <w:marTop w:val="0"/>
          <w:marBottom w:val="0"/>
          <w:divBdr>
            <w:top w:val="none" w:sz="0" w:space="0" w:color="auto"/>
            <w:left w:val="none" w:sz="0" w:space="0" w:color="auto"/>
            <w:bottom w:val="none" w:sz="0" w:space="0" w:color="auto"/>
            <w:right w:val="none" w:sz="0" w:space="0" w:color="auto"/>
          </w:divBdr>
        </w:div>
        <w:div w:id="1063337934">
          <w:marLeft w:val="480"/>
          <w:marRight w:val="0"/>
          <w:marTop w:val="0"/>
          <w:marBottom w:val="0"/>
          <w:divBdr>
            <w:top w:val="none" w:sz="0" w:space="0" w:color="auto"/>
            <w:left w:val="none" w:sz="0" w:space="0" w:color="auto"/>
            <w:bottom w:val="none" w:sz="0" w:space="0" w:color="auto"/>
            <w:right w:val="none" w:sz="0" w:space="0" w:color="auto"/>
          </w:divBdr>
        </w:div>
        <w:div w:id="1754007952">
          <w:marLeft w:val="480"/>
          <w:marRight w:val="0"/>
          <w:marTop w:val="0"/>
          <w:marBottom w:val="0"/>
          <w:divBdr>
            <w:top w:val="none" w:sz="0" w:space="0" w:color="auto"/>
            <w:left w:val="none" w:sz="0" w:space="0" w:color="auto"/>
            <w:bottom w:val="none" w:sz="0" w:space="0" w:color="auto"/>
            <w:right w:val="none" w:sz="0" w:space="0" w:color="auto"/>
          </w:divBdr>
        </w:div>
        <w:div w:id="1905794772">
          <w:marLeft w:val="480"/>
          <w:marRight w:val="0"/>
          <w:marTop w:val="0"/>
          <w:marBottom w:val="0"/>
          <w:divBdr>
            <w:top w:val="none" w:sz="0" w:space="0" w:color="auto"/>
            <w:left w:val="none" w:sz="0" w:space="0" w:color="auto"/>
            <w:bottom w:val="none" w:sz="0" w:space="0" w:color="auto"/>
            <w:right w:val="none" w:sz="0" w:space="0" w:color="auto"/>
          </w:divBdr>
        </w:div>
        <w:div w:id="743573579">
          <w:marLeft w:val="480"/>
          <w:marRight w:val="0"/>
          <w:marTop w:val="0"/>
          <w:marBottom w:val="0"/>
          <w:divBdr>
            <w:top w:val="none" w:sz="0" w:space="0" w:color="auto"/>
            <w:left w:val="none" w:sz="0" w:space="0" w:color="auto"/>
            <w:bottom w:val="none" w:sz="0" w:space="0" w:color="auto"/>
            <w:right w:val="none" w:sz="0" w:space="0" w:color="auto"/>
          </w:divBdr>
        </w:div>
        <w:div w:id="836074773">
          <w:marLeft w:val="480"/>
          <w:marRight w:val="0"/>
          <w:marTop w:val="0"/>
          <w:marBottom w:val="0"/>
          <w:divBdr>
            <w:top w:val="none" w:sz="0" w:space="0" w:color="auto"/>
            <w:left w:val="none" w:sz="0" w:space="0" w:color="auto"/>
            <w:bottom w:val="none" w:sz="0" w:space="0" w:color="auto"/>
            <w:right w:val="none" w:sz="0" w:space="0" w:color="auto"/>
          </w:divBdr>
        </w:div>
        <w:div w:id="1085036499">
          <w:marLeft w:val="480"/>
          <w:marRight w:val="0"/>
          <w:marTop w:val="0"/>
          <w:marBottom w:val="0"/>
          <w:divBdr>
            <w:top w:val="none" w:sz="0" w:space="0" w:color="auto"/>
            <w:left w:val="none" w:sz="0" w:space="0" w:color="auto"/>
            <w:bottom w:val="none" w:sz="0" w:space="0" w:color="auto"/>
            <w:right w:val="none" w:sz="0" w:space="0" w:color="auto"/>
          </w:divBdr>
        </w:div>
        <w:div w:id="1557621217">
          <w:marLeft w:val="480"/>
          <w:marRight w:val="0"/>
          <w:marTop w:val="0"/>
          <w:marBottom w:val="0"/>
          <w:divBdr>
            <w:top w:val="none" w:sz="0" w:space="0" w:color="auto"/>
            <w:left w:val="none" w:sz="0" w:space="0" w:color="auto"/>
            <w:bottom w:val="none" w:sz="0" w:space="0" w:color="auto"/>
            <w:right w:val="none" w:sz="0" w:space="0" w:color="auto"/>
          </w:divBdr>
        </w:div>
      </w:divsChild>
    </w:div>
    <w:div w:id="512453250">
      <w:bodyDiv w:val="1"/>
      <w:marLeft w:val="0"/>
      <w:marRight w:val="0"/>
      <w:marTop w:val="0"/>
      <w:marBottom w:val="0"/>
      <w:divBdr>
        <w:top w:val="none" w:sz="0" w:space="0" w:color="auto"/>
        <w:left w:val="none" w:sz="0" w:space="0" w:color="auto"/>
        <w:bottom w:val="none" w:sz="0" w:space="0" w:color="auto"/>
        <w:right w:val="none" w:sz="0" w:space="0" w:color="auto"/>
      </w:divBdr>
      <w:divsChild>
        <w:div w:id="895629838">
          <w:marLeft w:val="480"/>
          <w:marRight w:val="0"/>
          <w:marTop w:val="0"/>
          <w:marBottom w:val="0"/>
          <w:divBdr>
            <w:top w:val="none" w:sz="0" w:space="0" w:color="auto"/>
            <w:left w:val="none" w:sz="0" w:space="0" w:color="auto"/>
            <w:bottom w:val="none" w:sz="0" w:space="0" w:color="auto"/>
            <w:right w:val="none" w:sz="0" w:space="0" w:color="auto"/>
          </w:divBdr>
        </w:div>
        <w:div w:id="1199470077">
          <w:marLeft w:val="480"/>
          <w:marRight w:val="0"/>
          <w:marTop w:val="0"/>
          <w:marBottom w:val="0"/>
          <w:divBdr>
            <w:top w:val="none" w:sz="0" w:space="0" w:color="auto"/>
            <w:left w:val="none" w:sz="0" w:space="0" w:color="auto"/>
            <w:bottom w:val="none" w:sz="0" w:space="0" w:color="auto"/>
            <w:right w:val="none" w:sz="0" w:space="0" w:color="auto"/>
          </w:divBdr>
        </w:div>
        <w:div w:id="93939142">
          <w:marLeft w:val="480"/>
          <w:marRight w:val="0"/>
          <w:marTop w:val="0"/>
          <w:marBottom w:val="0"/>
          <w:divBdr>
            <w:top w:val="none" w:sz="0" w:space="0" w:color="auto"/>
            <w:left w:val="none" w:sz="0" w:space="0" w:color="auto"/>
            <w:bottom w:val="none" w:sz="0" w:space="0" w:color="auto"/>
            <w:right w:val="none" w:sz="0" w:space="0" w:color="auto"/>
          </w:divBdr>
        </w:div>
        <w:div w:id="322204440">
          <w:marLeft w:val="480"/>
          <w:marRight w:val="0"/>
          <w:marTop w:val="0"/>
          <w:marBottom w:val="0"/>
          <w:divBdr>
            <w:top w:val="none" w:sz="0" w:space="0" w:color="auto"/>
            <w:left w:val="none" w:sz="0" w:space="0" w:color="auto"/>
            <w:bottom w:val="none" w:sz="0" w:space="0" w:color="auto"/>
            <w:right w:val="none" w:sz="0" w:space="0" w:color="auto"/>
          </w:divBdr>
        </w:div>
        <w:div w:id="2098284635">
          <w:marLeft w:val="480"/>
          <w:marRight w:val="0"/>
          <w:marTop w:val="0"/>
          <w:marBottom w:val="0"/>
          <w:divBdr>
            <w:top w:val="none" w:sz="0" w:space="0" w:color="auto"/>
            <w:left w:val="none" w:sz="0" w:space="0" w:color="auto"/>
            <w:bottom w:val="none" w:sz="0" w:space="0" w:color="auto"/>
            <w:right w:val="none" w:sz="0" w:space="0" w:color="auto"/>
          </w:divBdr>
        </w:div>
        <w:div w:id="1441100854">
          <w:marLeft w:val="480"/>
          <w:marRight w:val="0"/>
          <w:marTop w:val="0"/>
          <w:marBottom w:val="0"/>
          <w:divBdr>
            <w:top w:val="none" w:sz="0" w:space="0" w:color="auto"/>
            <w:left w:val="none" w:sz="0" w:space="0" w:color="auto"/>
            <w:bottom w:val="none" w:sz="0" w:space="0" w:color="auto"/>
            <w:right w:val="none" w:sz="0" w:space="0" w:color="auto"/>
          </w:divBdr>
        </w:div>
        <w:div w:id="1754005656">
          <w:marLeft w:val="480"/>
          <w:marRight w:val="0"/>
          <w:marTop w:val="0"/>
          <w:marBottom w:val="0"/>
          <w:divBdr>
            <w:top w:val="none" w:sz="0" w:space="0" w:color="auto"/>
            <w:left w:val="none" w:sz="0" w:space="0" w:color="auto"/>
            <w:bottom w:val="none" w:sz="0" w:space="0" w:color="auto"/>
            <w:right w:val="none" w:sz="0" w:space="0" w:color="auto"/>
          </w:divBdr>
        </w:div>
        <w:div w:id="1598556711">
          <w:marLeft w:val="480"/>
          <w:marRight w:val="0"/>
          <w:marTop w:val="0"/>
          <w:marBottom w:val="0"/>
          <w:divBdr>
            <w:top w:val="none" w:sz="0" w:space="0" w:color="auto"/>
            <w:left w:val="none" w:sz="0" w:space="0" w:color="auto"/>
            <w:bottom w:val="none" w:sz="0" w:space="0" w:color="auto"/>
            <w:right w:val="none" w:sz="0" w:space="0" w:color="auto"/>
          </w:divBdr>
        </w:div>
        <w:div w:id="2083217661">
          <w:marLeft w:val="480"/>
          <w:marRight w:val="0"/>
          <w:marTop w:val="0"/>
          <w:marBottom w:val="0"/>
          <w:divBdr>
            <w:top w:val="none" w:sz="0" w:space="0" w:color="auto"/>
            <w:left w:val="none" w:sz="0" w:space="0" w:color="auto"/>
            <w:bottom w:val="none" w:sz="0" w:space="0" w:color="auto"/>
            <w:right w:val="none" w:sz="0" w:space="0" w:color="auto"/>
          </w:divBdr>
        </w:div>
        <w:div w:id="2123182510">
          <w:marLeft w:val="480"/>
          <w:marRight w:val="0"/>
          <w:marTop w:val="0"/>
          <w:marBottom w:val="0"/>
          <w:divBdr>
            <w:top w:val="none" w:sz="0" w:space="0" w:color="auto"/>
            <w:left w:val="none" w:sz="0" w:space="0" w:color="auto"/>
            <w:bottom w:val="none" w:sz="0" w:space="0" w:color="auto"/>
            <w:right w:val="none" w:sz="0" w:space="0" w:color="auto"/>
          </w:divBdr>
        </w:div>
        <w:div w:id="1736318821">
          <w:marLeft w:val="480"/>
          <w:marRight w:val="0"/>
          <w:marTop w:val="0"/>
          <w:marBottom w:val="0"/>
          <w:divBdr>
            <w:top w:val="none" w:sz="0" w:space="0" w:color="auto"/>
            <w:left w:val="none" w:sz="0" w:space="0" w:color="auto"/>
            <w:bottom w:val="none" w:sz="0" w:space="0" w:color="auto"/>
            <w:right w:val="none" w:sz="0" w:space="0" w:color="auto"/>
          </w:divBdr>
        </w:div>
        <w:div w:id="2079404592">
          <w:marLeft w:val="480"/>
          <w:marRight w:val="0"/>
          <w:marTop w:val="0"/>
          <w:marBottom w:val="0"/>
          <w:divBdr>
            <w:top w:val="none" w:sz="0" w:space="0" w:color="auto"/>
            <w:left w:val="none" w:sz="0" w:space="0" w:color="auto"/>
            <w:bottom w:val="none" w:sz="0" w:space="0" w:color="auto"/>
            <w:right w:val="none" w:sz="0" w:space="0" w:color="auto"/>
          </w:divBdr>
        </w:div>
        <w:div w:id="1830444246">
          <w:marLeft w:val="480"/>
          <w:marRight w:val="0"/>
          <w:marTop w:val="0"/>
          <w:marBottom w:val="0"/>
          <w:divBdr>
            <w:top w:val="none" w:sz="0" w:space="0" w:color="auto"/>
            <w:left w:val="none" w:sz="0" w:space="0" w:color="auto"/>
            <w:bottom w:val="none" w:sz="0" w:space="0" w:color="auto"/>
            <w:right w:val="none" w:sz="0" w:space="0" w:color="auto"/>
          </w:divBdr>
        </w:div>
      </w:divsChild>
    </w:div>
    <w:div w:id="542140323">
      <w:bodyDiv w:val="1"/>
      <w:marLeft w:val="0"/>
      <w:marRight w:val="0"/>
      <w:marTop w:val="0"/>
      <w:marBottom w:val="0"/>
      <w:divBdr>
        <w:top w:val="none" w:sz="0" w:space="0" w:color="auto"/>
        <w:left w:val="none" w:sz="0" w:space="0" w:color="auto"/>
        <w:bottom w:val="none" w:sz="0" w:space="0" w:color="auto"/>
        <w:right w:val="none" w:sz="0" w:space="0" w:color="auto"/>
      </w:divBdr>
    </w:div>
    <w:div w:id="719524942">
      <w:bodyDiv w:val="1"/>
      <w:marLeft w:val="0"/>
      <w:marRight w:val="0"/>
      <w:marTop w:val="0"/>
      <w:marBottom w:val="0"/>
      <w:divBdr>
        <w:top w:val="none" w:sz="0" w:space="0" w:color="auto"/>
        <w:left w:val="none" w:sz="0" w:space="0" w:color="auto"/>
        <w:bottom w:val="none" w:sz="0" w:space="0" w:color="auto"/>
        <w:right w:val="none" w:sz="0" w:space="0" w:color="auto"/>
      </w:divBdr>
      <w:divsChild>
        <w:div w:id="430246328">
          <w:marLeft w:val="480"/>
          <w:marRight w:val="0"/>
          <w:marTop w:val="0"/>
          <w:marBottom w:val="0"/>
          <w:divBdr>
            <w:top w:val="none" w:sz="0" w:space="0" w:color="auto"/>
            <w:left w:val="none" w:sz="0" w:space="0" w:color="auto"/>
            <w:bottom w:val="none" w:sz="0" w:space="0" w:color="auto"/>
            <w:right w:val="none" w:sz="0" w:space="0" w:color="auto"/>
          </w:divBdr>
        </w:div>
        <w:div w:id="1407918982">
          <w:marLeft w:val="480"/>
          <w:marRight w:val="0"/>
          <w:marTop w:val="0"/>
          <w:marBottom w:val="0"/>
          <w:divBdr>
            <w:top w:val="none" w:sz="0" w:space="0" w:color="auto"/>
            <w:left w:val="none" w:sz="0" w:space="0" w:color="auto"/>
            <w:bottom w:val="none" w:sz="0" w:space="0" w:color="auto"/>
            <w:right w:val="none" w:sz="0" w:space="0" w:color="auto"/>
          </w:divBdr>
        </w:div>
        <w:div w:id="1473518811">
          <w:marLeft w:val="480"/>
          <w:marRight w:val="0"/>
          <w:marTop w:val="0"/>
          <w:marBottom w:val="0"/>
          <w:divBdr>
            <w:top w:val="none" w:sz="0" w:space="0" w:color="auto"/>
            <w:left w:val="none" w:sz="0" w:space="0" w:color="auto"/>
            <w:bottom w:val="none" w:sz="0" w:space="0" w:color="auto"/>
            <w:right w:val="none" w:sz="0" w:space="0" w:color="auto"/>
          </w:divBdr>
        </w:div>
        <w:div w:id="2087217366">
          <w:marLeft w:val="480"/>
          <w:marRight w:val="0"/>
          <w:marTop w:val="0"/>
          <w:marBottom w:val="0"/>
          <w:divBdr>
            <w:top w:val="none" w:sz="0" w:space="0" w:color="auto"/>
            <w:left w:val="none" w:sz="0" w:space="0" w:color="auto"/>
            <w:bottom w:val="none" w:sz="0" w:space="0" w:color="auto"/>
            <w:right w:val="none" w:sz="0" w:space="0" w:color="auto"/>
          </w:divBdr>
        </w:div>
        <w:div w:id="178349054">
          <w:marLeft w:val="480"/>
          <w:marRight w:val="0"/>
          <w:marTop w:val="0"/>
          <w:marBottom w:val="0"/>
          <w:divBdr>
            <w:top w:val="none" w:sz="0" w:space="0" w:color="auto"/>
            <w:left w:val="none" w:sz="0" w:space="0" w:color="auto"/>
            <w:bottom w:val="none" w:sz="0" w:space="0" w:color="auto"/>
            <w:right w:val="none" w:sz="0" w:space="0" w:color="auto"/>
          </w:divBdr>
        </w:div>
        <w:div w:id="581452745">
          <w:marLeft w:val="480"/>
          <w:marRight w:val="0"/>
          <w:marTop w:val="0"/>
          <w:marBottom w:val="0"/>
          <w:divBdr>
            <w:top w:val="none" w:sz="0" w:space="0" w:color="auto"/>
            <w:left w:val="none" w:sz="0" w:space="0" w:color="auto"/>
            <w:bottom w:val="none" w:sz="0" w:space="0" w:color="auto"/>
            <w:right w:val="none" w:sz="0" w:space="0" w:color="auto"/>
          </w:divBdr>
        </w:div>
        <w:div w:id="374473724">
          <w:marLeft w:val="480"/>
          <w:marRight w:val="0"/>
          <w:marTop w:val="0"/>
          <w:marBottom w:val="0"/>
          <w:divBdr>
            <w:top w:val="none" w:sz="0" w:space="0" w:color="auto"/>
            <w:left w:val="none" w:sz="0" w:space="0" w:color="auto"/>
            <w:bottom w:val="none" w:sz="0" w:space="0" w:color="auto"/>
            <w:right w:val="none" w:sz="0" w:space="0" w:color="auto"/>
          </w:divBdr>
        </w:div>
        <w:div w:id="1898206409">
          <w:marLeft w:val="480"/>
          <w:marRight w:val="0"/>
          <w:marTop w:val="0"/>
          <w:marBottom w:val="0"/>
          <w:divBdr>
            <w:top w:val="none" w:sz="0" w:space="0" w:color="auto"/>
            <w:left w:val="none" w:sz="0" w:space="0" w:color="auto"/>
            <w:bottom w:val="none" w:sz="0" w:space="0" w:color="auto"/>
            <w:right w:val="none" w:sz="0" w:space="0" w:color="auto"/>
          </w:divBdr>
        </w:div>
        <w:div w:id="1041127934">
          <w:marLeft w:val="480"/>
          <w:marRight w:val="0"/>
          <w:marTop w:val="0"/>
          <w:marBottom w:val="0"/>
          <w:divBdr>
            <w:top w:val="none" w:sz="0" w:space="0" w:color="auto"/>
            <w:left w:val="none" w:sz="0" w:space="0" w:color="auto"/>
            <w:bottom w:val="none" w:sz="0" w:space="0" w:color="auto"/>
            <w:right w:val="none" w:sz="0" w:space="0" w:color="auto"/>
          </w:divBdr>
        </w:div>
        <w:div w:id="59255434">
          <w:marLeft w:val="480"/>
          <w:marRight w:val="0"/>
          <w:marTop w:val="0"/>
          <w:marBottom w:val="0"/>
          <w:divBdr>
            <w:top w:val="none" w:sz="0" w:space="0" w:color="auto"/>
            <w:left w:val="none" w:sz="0" w:space="0" w:color="auto"/>
            <w:bottom w:val="none" w:sz="0" w:space="0" w:color="auto"/>
            <w:right w:val="none" w:sz="0" w:space="0" w:color="auto"/>
          </w:divBdr>
        </w:div>
        <w:div w:id="369261717">
          <w:marLeft w:val="480"/>
          <w:marRight w:val="0"/>
          <w:marTop w:val="0"/>
          <w:marBottom w:val="0"/>
          <w:divBdr>
            <w:top w:val="none" w:sz="0" w:space="0" w:color="auto"/>
            <w:left w:val="none" w:sz="0" w:space="0" w:color="auto"/>
            <w:bottom w:val="none" w:sz="0" w:space="0" w:color="auto"/>
            <w:right w:val="none" w:sz="0" w:space="0" w:color="auto"/>
          </w:divBdr>
        </w:div>
        <w:div w:id="146826805">
          <w:marLeft w:val="480"/>
          <w:marRight w:val="0"/>
          <w:marTop w:val="0"/>
          <w:marBottom w:val="0"/>
          <w:divBdr>
            <w:top w:val="none" w:sz="0" w:space="0" w:color="auto"/>
            <w:left w:val="none" w:sz="0" w:space="0" w:color="auto"/>
            <w:bottom w:val="none" w:sz="0" w:space="0" w:color="auto"/>
            <w:right w:val="none" w:sz="0" w:space="0" w:color="auto"/>
          </w:divBdr>
        </w:div>
      </w:divsChild>
    </w:div>
    <w:div w:id="765613142">
      <w:bodyDiv w:val="1"/>
      <w:marLeft w:val="0"/>
      <w:marRight w:val="0"/>
      <w:marTop w:val="0"/>
      <w:marBottom w:val="0"/>
      <w:divBdr>
        <w:top w:val="none" w:sz="0" w:space="0" w:color="auto"/>
        <w:left w:val="none" w:sz="0" w:space="0" w:color="auto"/>
        <w:bottom w:val="none" w:sz="0" w:space="0" w:color="auto"/>
        <w:right w:val="none" w:sz="0" w:space="0" w:color="auto"/>
      </w:divBdr>
      <w:divsChild>
        <w:div w:id="2014066731">
          <w:marLeft w:val="480"/>
          <w:marRight w:val="0"/>
          <w:marTop w:val="0"/>
          <w:marBottom w:val="0"/>
          <w:divBdr>
            <w:top w:val="none" w:sz="0" w:space="0" w:color="auto"/>
            <w:left w:val="none" w:sz="0" w:space="0" w:color="auto"/>
            <w:bottom w:val="none" w:sz="0" w:space="0" w:color="auto"/>
            <w:right w:val="none" w:sz="0" w:space="0" w:color="auto"/>
          </w:divBdr>
        </w:div>
        <w:div w:id="1473907601">
          <w:marLeft w:val="480"/>
          <w:marRight w:val="0"/>
          <w:marTop w:val="0"/>
          <w:marBottom w:val="0"/>
          <w:divBdr>
            <w:top w:val="none" w:sz="0" w:space="0" w:color="auto"/>
            <w:left w:val="none" w:sz="0" w:space="0" w:color="auto"/>
            <w:bottom w:val="none" w:sz="0" w:space="0" w:color="auto"/>
            <w:right w:val="none" w:sz="0" w:space="0" w:color="auto"/>
          </w:divBdr>
        </w:div>
        <w:div w:id="1373461841">
          <w:marLeft w:val="480"/>
          <w:marRight w:val="0"/>
          <w:marTop w:val="0"/>
          <w:marBottom w:val="0"/>
          <w:divBdr>
            <w:top w:val="none" w:sz="0" w:space="0" w:color="auto"/>
            <w:left w:val="none" w:sz="0" w:space="0" w:color="auto"/>
            <w:bottom w:val="none" w:sz="0" w:space="0" w:color="auto"/>
            <w:right w:val="none" w:sz="0" w:space="0" w:color="auto"/>
          </w:divBdr>
        </w:div>
        <w:div w:id="475345059">
          <w:marLeft w:val="480"/>
          <w:marRight w:val="0"/>
          <w:marTop w:val="0"/>
          <w:marBottom w:val="0"/>
          <w:divBdr>
            <w:top w:val="none" w:sz="0" w:space="0" w:color="auto"/>
            <w:left w:val="none" w:sz="0" w:space="0" w:color="auto"/>
            <w:bottom w:val="none" w:sz="0" w:space="0" w:color="auto"/>
            <w:right w:val="none" w:sz="0" w:space="0" w:color="auto"/>
          </w:divBdr>
        </w:div>
        <w:div w:id="1703938339">
          <w:marLeft w:val="480"/>
          <w:marRight w:val="0"/>
          <w:marTop w:val="0"/>
          <w:marBottom w:val="0"/>
          <w:divBdr>
            <w:top w:val="none" w:sz="0" w:space="0" w:color="auto"/>
            <w:left w:val="none" w:sz="0" w:space="0" w:color="auto"/>
            <w:bottom w:val="none" w:sz="0" w:space="0" w:color="auto"/>
            <w:right w:val="none" w:sz="0" w:space="0" w:color="auto"/>
          </w:divBdr>
        </w:div>
        <w:div w:id="254870170">
          <w:marLeft w:val="480"/>
          <w:marRight w:val="0"/>
          <w:marTop w:val="0"/>
          <w:marBottom w:val="0"/>
          <w:divBdr>
            <w:top w:val="none" w:sz="0" w:space="0" w:color="auto"/>
            <w:left w:val="none" w:sz="0" w:space="0" w:color="auto"/>
            <w:bottom w:val="none" w:sz="0" w:space="0" w:color="auto"/>
            <w:right w:val="none" w:sz="0" w:space="0" w:color="auto"/>
          </w:divBdr>
        </w:div>
        <w:div w:id="1351376875">
          <w:marLeft w:val="480"/>
          <w:marRight w:val="0"/>
          <w:marTop w:val="0"/>
          <w:marBottom w:val="0"/>
          <w:divBdr>
            <w:top w:val="none" w:sz="0" w:space="0" w:color="auto"/>
            <w:left w:val="none" w:sz="0" w:space="0" w:color="auto"/>
            <w:bottom w:val="none" w:sz="0" w:space="0" w:color="auto"/>
            <w:right w:val="none" w:sz="0" w:space="0" w:color="auto"/>
          </w:divBdr>
        </w:div>
        <w:div w:id="1598978222">
          <w:marLeft w:val="480"/>
          <w:marRight w:val="0"/>
          <w:marTop w:val="0"/>
          <w:marBottom w:val="0"/>
          <w:divBdr>
            <w:top w:val="none" w:sz="0" w:space="0" w:color="auto"/>
            <w:left w:val="none" w:sz="0" w:space="0" w:color="auto"/>
            <w:bottom w:val="none" w:sz="0" w:space="0" w:color="auto"/>
            <w:right w:val="none" w:sz="0" w:space="0" w:color="auto"/>
          </w:divBdr>
        </w:div>
        <w:div w:id="1543591181">
          <w:marLeft w:val="480"/>
          <w:marRight w:val="0"/>
          <w:marTop w:val="0"/>
          <w:marBottom w:val="0"/>
          <w:divBdr>
            <w:top w:val="none" w:sz="0" w:space="0" w:color="auto"/>
            <w:left w:val="none" w:sz="0" w:space="0" w:color="auto"/>
            <w:bottom w:val="none" w:sz="0" w:space="0" w:color="auto"/>
            <w:right w:val="none" w:sz="0" w:space="0" w:color="auto"/>
          </w:divBdr>
        </w:div>
        <w:div w:id="2060863362">
          <w:marLeft w:val="480"/>
          <w:marRight w:val="0"/>
          <w:marTop w:val="0"/>
          <w:marBottom w:val="0"/>
          <w:divBdr>
            <w:top w:val="none" w:sz="0" w:space="0" w:color="auto"/>
            <w:left w:val="none" w:sz="0" w:space="0" w:color="auto"/>
            <w:bottom w:val="none" w:sz="0" w:space="0" w:color="auto"/>
            <w:right w:val="none" w:sz="0" w:space="0" w:color="auto"/>
          </w:divBdr>
        </w:div>
        <w:div w:id="1369989554">
          <w:marLeft w:val="480"/>
          <w:marRight w:val="0"/>
          <w:marTop w:val="0"/>
          <w:marBottom w:val="0"/>
          <w:divBdr>
            <w:top w:val="none" w:sz="0" w:space="0" w:color="auto"/>
            <w:left w:val="none" w:sz="0" w:space="0" w:color="auto"/>
            <w:bottom w:val="none" w:sz="0" w:space="0" w:color="auto"/>
            <w:right w:val="none" w:sz="0" w:space="0" w:color="auto"/>
          </w:divBdr>
        </w:div>
        <w:div w:id="472253937">
          <w:marLeft w:val="480"/>
          <w:marRight w:val="0"/>
          <w:marTop w:val="0"/>
          <w:marBottom w:val="0"/>
          <w:divBdr>
            <w:top w:val="none" w:sz="0" w:space="0" w:color="auto"/>
            <w:left w:val="none" w:sz="0" w:space="0" w:color="auto"/>
            <w:bottom w:val="none" w:sz="0" w:space="0" w:color="auto"/>
            <w:right w:val="none" w:sz="0" w:space="0" w:color="auto"/>
          </w:divBdr>
        </w:div>
        <w:div w:id="1844078477">
          <w:marLeft w:val="48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30568">
      <w:bodyDiv w:val="1"/>
      <w:marLeft w:val="0"/>
      <w:marRight w:val="0"/>
      <w:marTop w:val="0"/>
      <w:marBottom w:val="0"/>
      <w:divBdr>
        <w:top w:val="none" w:sz="0" w:space="0" w:color="auto"/>
        <w:left w:val="none" w:sz="0" w:space="0" w:color="auto"/>
        <w:bottom w:val="none" w:sz="0" w:space="0" w:color="auto"/>
        <w:right w:val="none" w:sz="0" w:space="0" w:color="auto"/>
      </w:divBdr>
      <w:divsChild>
        <w:div w:id="1312828507">
          <w:marLeft w:val="480"/>
          <w:marRight w:val="0"/>
          <w:marTop w:val="0"/>
          <w:marBottom w:val="0"/>
          <w:divBdr>
            <w:top w:val="none" w:sz="0" w:space="0" w:color="auto"/>
            <w:left w:val="none" w:sz="0" w:space="0" w:color="auto"/>
            <w:bottom w:val="none" w:sz="0" w:space="0" w:color="auto"/>
            <w:right w:val="none" w:sz="0" w:space="0" w:color="auto"/>
          </w:divBdr>
        </w:div>
        <w:div w:id="776215795">
          <w:marLeft w:val="480"/>
          <w:marRight w:val="0"/>
          <w:marTop w:val="0"/>
          <w:marBottom w:val="0"/>
          <w:divBdr>
            <w:top w:val="none" w:sz="0" w:space="0" w:color="auto"/>
            <w:left w:val="none" w:sz="0" w:space="0" w:color="auto"/>
            <w:bottom w:val="none" w:sz="0" w:space="0" w:color="auto"/>
            <w:right w:val="none" w:sz="0" w:space="0" w:color="auto"/>
          </w:divBdr>
        </w:div>
        <w:div w:id="655187214">
          <w:marLeft w:val="480"/>
          <w:marRight w:val="0"/>
          <w:marTop w:val="0"/>
          <w:marBottom w:val="0"/>
          <w:divBdr>
            <w:top w:val="none" w:sz="0" w:space="0" w:color="auto"/>
            <w:left w:val="none" w:sz="0" w:space="0" w:color="auto"/>
            <w:bottom w:val="none" w:sz="0" w:space="0" w:color="auto"/>
            <w:right w:val="none" w:sz="0" w:space="0" w:color="auto"/>
          </w:divBdr>
        </w:div>
        <w:div w:id="2066683048">
          <w:marLeft w:val="480"/>
          <w:marRight w:val="0"/>
          <w:marTop w:val="0"/>
          <w:marBottom w:val="0"/>
          <w:divBdr>
            <w:top w:val="none" w:sz="0" w:space="0" w:color="auto"/>
            <w:left w:val="none" w:sz="0" w:space="0" w:color="auto"/>
            <w:bottom w:val="none" w:sz="0" w:space="0" w:color="auto"/>
            <w:right w:val="none" w:sz="0" w:space="0" w:color="auto"/>
          </w:divBdr>
        </w:div>
        <w:div w:id="1949316983">
          <w:marLeft w:val="480"/>
          <w:marRight w:val="0"/>
          <w:marTop w:val="0"/>
          <w:marBottom w:val="0"/>
          <w:divBdr>
            <w:top w:val="none" w:sz="0" w:space="0" w:color="auto"/>
            <w:left w:val="none" w:sz="0" w:space="0" w:color="auto"/>
            <w:bottom w:val="none" w:sz="0" w:space="0" w:color="auto"/>
            <w:right w:val="none" w:sz="0" w:space="0" w:color="auto"/>
          </w:divBdr>
        </w:div>
        <w:div w:id="1531450800">
          <w:marLeft w:val="480"/>
          <w:marRight w:val="0"/>
          <w:marTop w:val="0"/>
          <w:marBottom w:val="0"/>
          <w:divBdr>
            <w:top w:val="none" w:sz="0" w:space="0" w:color="auto"/>
            <w:left w:val="none" w:sz="0" w:space="0" w:color="auto"/>
            <w:bottom w:val="none" w:sz="0" w:space="0" w:color="auto"/>
            <w:right w:val="none" w:sz="0" w:space="0" w:color="auto"/>
          </w:divBdr>
        </w:div>
        <w:div w:id="330111315">
          <w:marLeft w:val="480"/>
          <w:marRight w:val="0"/>
          <w:marTop w:val="0"/>
          <w:marBottom w:val="0"/>
          <w:divBdr>
            <w:top w:val="none" w:sz="0" w:space="0" w:color="auto"/>
            <w:left w:val="none" w:sz="0" w:space="0" w:color="auto"/>
            <w:bottom w:val="none" w:sz="0" w:space="0" w:color="auto"/>
            <w:right w:val="none" w:sz="0" w:space="0" w:color="auto"/>
          </w:divBdr>
        </w:div>
        <w:div w:id="136194484">
          <w:marLeft w:val="480"/>
          <w:marRight w:val="0"/>
          <w:marTop w:val="0"/>
          <w:marBottom w:val="0"/>
          <w:divBdr>
            <w:top w:val="none" w:sz="0" w:space="0" w:color="auto"/>
            <w:left w:val="none" w:sz="0" w:space="0" w:color="auto"/>
            <w:bottom w:val="none" w:sz="0" w:space="0" w:color="auto"/>
            <w:right w:val="none" w:sz="0" w:space="0" w:color="auto"/>
          </w:divBdr>
        </w:div>
        <w:div w:id="1916013995">
          <w:marLeft w:val="480"/>
          <w:marRight w:val="0"/>
          <w:marTop w:val="0"/>
          <w:marBottom w:val="0"/>
          <w:divBdr>
            <w:top w:val="none" w:sz="0" w:space="0" w:color="auto"/>
            <w:left w:val="none" w:sz="0" w:space="0" w:color="auto"/>
            <w:bottom w:val="none" w:sz="0" w:space="0" w:color="auto"/>
            <w:right w:val="none" w:sz="0" w:space="0" w:color="auto"/>
          </w:divBdr>
        </w:div>
        <w:div w:id="1533959320">
          <w:marLeft w:val="480"/>
          <w:marRight w:val="0"/>
          <w:marTop w:val="0"/>
          <w:marBottom w:val="0"/>
          <w:divBdr>
            <w:top w:val="none" w:sz="0" w:space="0" w:color="auto"/>
            <w:left w:val="none" w:sz="0" w:space="0" w:color="auto"/>
            <w:bottom w:val="none" w:sz="0" w:space="0" w:color="auto"/>
            <w:right w:val="none" w:sz="0" w:space="0" w:color="auto"/>
          </w:divBdr>
        </w:div>
        <w:div w:id="1706632670">
          <w:marLeft w:val="480"/>
          <w:marRight w:val="0"/>
          <w:marTop w:val="0"/>
          <w:marBottom w:val="0"/>
          <w:divBdr>
            <w:top w:val="none" w:sz="0" w:space="0" w:color="auto"/>
            <w:left w:val="none" w:sz="0" w:space="0" w:color="auto"/>
            <w:bottom w:val="none" w:sz="0" w:space="0" w:color="auto"/>
            <w:right w:val="none" w:sz="0" w:space="0" w:color="auto"/>
          </w:divBdr>
        </w:div>
        <w:div w:id="1366639652">
          <w:marLeft w:val="48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2399843">
      <w:bodyDiv w:val="1"/>
      <w:marLeft w:val="0"/>
      <w:marRight w:val="0"/>
      <w:marTop w:val="0"/>
      <w:marBottom w:val="0"/>
      <w:divBdr>
        <w:top w:val="none" w:sz="0" w:space="0" w:color="auto"/>
        <w:left w:val="none" w:sz="0" w:space="0" w:color="auto"/>
        <w:bottom w:val="none" w:sz="0" w:space="0" w:color="auto"/>
        <w:right w:val="none" w:sz="0" w:space="0" w:color="auto"/>
      </w:divBdr>
      <w:divsChild>
        <w:div w:id="103498990">
          <w:marLeft w:val="480"/>
          <w:marRight w:val="0"/>
          <w:marTop w:val="0"/>
          <w:marBottom w:val="0"/>
          <w:divBdr>
            <w:top w:val="none" w:sz="0" w:space="0" w:color="auto"/>
            <w:left w:val="none" w:sz="0" w:space="0" w:color="auto"/>
            <w:bottom w:val="none" w:sz="0" w:space="0" w:color="auto"/>
            <w:right w:val="none" w:sz="0" w:space="0" w:color="auto"/>
          </w:divBdr>
        </w:div>
        <w:div w:id="1958489614">
          <w:marLeft w:val="480"/>
          <w:marRight w:val="0"/>
          <w:marTop w:val="0"/>
          <w:marBottom w:val="0"/>
          <w:divBdr>
            <w:top w:val="none" w:sz="0" w:space="0" w:color="auto"/>
            <w:left w:val="none" w:sz="0" w:space="0" w:color="auto"/>
            <w:bottom w:val="none" w:sz="0" w:space="0" w:color="auto"/>
            <w:right w:val="none" w:sz="0" w:space="0" w:color="auto"/>
          </w:divBdr>
        </w:div>
        <w:div w:id="1783181432">
          <w:marLeft w:val="480"/>
          <w:marRight w:val="0"/>
          <w:marTop w:val="0"/>
          <w:marBottom w:val="0"/>
          <w:divBdr>
            <w:top w:val="none" w:sz="0" w:space="0" w:color="auto"/>
            <w:left w:val="none" w:sz="0" w:space="0" w:color="auto"/>
            <w:bottom w:val="none" w:sz="0" w:space="0" w:color="auto"/>
            <w:right w:val="none" w:sz="0" w:space="0" w:color="auto"/>
          </w:divBdr>
        </w:div>
        <w:div w:id="1908178928">
          <w:marLeft w:val="480"/>
          <w:marRight w:val="0"/>
          <w:marTop w:val="0"/>
          <w:marBottom w:val="0"/>
          <w:divBdr>
            <w:top w:val="none" w:sz="0" w:space="0" w:color="auto"/>
            <w:left w:val="none" w:sz="0" w:space="0" w:color="auto"/>
            <w:bottom w:val="none" w:sz="0" w:space="0" w:color="auto"/>
            <w:right w:val="none" w:sz="0" w:space="0" w:color="auto"/>
          </w:divBdr>
        </w:div>
        <w:div w:id="1314412968">
          <w:marLeft w:val="480"/>
          <w:marRight w:val="0"/>
          <w:marTop w:val="0"/>
          <w:marBottom w:val="0"/>
          <w:divBdr>
            <w:top w:val="none" w:sz="0" w:space="0" w:color="auto"/>
            <w:left w:val="none" w:sz="0" w:space="0" w:color="auto"/>
            <w:bottom w:val="none" w:sz="0" w:space="0" w:color="auto"/>
            <w:right w:val="none" w:sz="0" w:space="0" w:color="auto"/>
          </w:divBdr>
        </w:div>
        <w:div w:id="869538850">
          <w:marLeft w:val="480"/>
          <w:marRight w:val="0"/>
          <w:marTop w:val="0"/>
          <w:marBottom w:val="0"/>
          <w:divBdr>
            <w:top w:val="none" w:sz="0" w:space="0" w:color="auto"/>
            <w:left w:val="none" w:sz="0" w:space="0" w:color="auto"/>
            <w:bottom w:val="none" w:sz="0" w:space="0" w:color="auto"/>
            <w:right w:val="none" w:sz="0" w:space="0" w:color="auto"/>
          </w:divBdr>
        </w:div>
        <w:div w:id="1201356429">
          <w:marLeft w:val="480"/>
          <w:marRight w:val="0"/>
          <w:marTop w:val="0"/>
          <w:marBottom w:val="0"/>
          <w:divBdr>
            <w:top w:val="none" w:sz="0" w:space="0" w:color="auto"/>
            <w:left w:val="none" w:sz="0" w:space="0" w:color="auto"/>
            <w:bottom w:val="none" w:sz="0" w:space="0" w:color="auto"/>
            <w:right w:val="none" w:sz="0" w:space="0" w:color="auto"/>
          </w:divBdr>
        </w:div>
        <w:div w:id="1364747955">
          <w:marLeft w:val="480"/>
          <w:marRight w:val="0"/>
          <w:marTop w:val="0"/>
          <w:marBottom w:val="0"/>
          <w:divBdr>
            <w:top w:val="none" w:sz="0" w:space="0" w:color="auto"/>
            <w:left w:val="none" w:sz="0" w:space="0" w:color="auto"/>
            <w:bottom w:val="none" w:sz="0" w:space="0" w:color="auto"/>
            <w:right w:val="none" w:sz="0" w:space="0" w:color="auto"/>
          </w:divBdr>
        </w:div>
        <w:div w:id="415369509">
          <w:marLeft w:val="480"/>
          <w:marRight w:val="0"/>
          <w:marTop w:val="0"/>
          <w:marBottom w:val="0"/>
          <w:divBdr>
            <w:top w:val="none" w:sz="0" w:space="0" w:color="auto"/>
            <w:left w:val="none" w:sz="0" w:space="0" w:color="auto"/>
            <w:bottom w:val="none" w:sz="0" w:space="0" w:color="auto"/>
            <w:right w:val="none" w:sz="0" w:space="0" w:color="auto"/>
          </w:divBdr>
        </w:div>
        <w:div w:id="1563834930">
          <w:marLeft w:val="480"/>
          <w:marRight w:val="0"/>
          <w:marTop w:val="0"/>
          <w:marBottom w:val="0"/>
          <w:divBdr>
            <w:top w:val="none" w:sz="0" w:space="0" w:color="auto"/>
            <w:left w:val="none" w:sz="0" w:space="0" w:color="auto"/>
            <w:bottom w:val="none" w:sz="0" w:space="0" w:color="auto"/>
            <w:right w:val="none" w:sz="0" w:space="0" w:color="auto"/>
          </w:divBdr>
        </w:div>
        <w:div w:id="508525484">
          <w:marLeft w:val="480"/>
          <w:marRight w:val="0"/>
          <w:marTop w:val="0"/>
          <w:marBottom w:val="0"/>
          <w:divBdr>
            <w:top w:val="none" w:sz="0" w:space="0" w:color="auto"/>
            <w:left w:val="none" w:sz="0" w:space="0" w:color="auto"/>
            <w:bottom w:val="none" w:sz="0" w:space="0" w:color="auto"/>
            <w:right w:val="none" w:sz="0" w:space="0" w:color="auto"/>
          </w:divBdr>
        </w:div>
        <w:div w:id="316153990">
          <w:marLeft w:val="48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942869">
      <w:bodyDiv w:val="1"/>
      <w:marLeft w:val="0"/>
      <w:marRight w:val="0"/>
      <w:marTop w:val="0"/>
      <w:marBottom w:val="0"/>
      <w:divBdr>
        <w:top w:val="none" w:sz="0" w:space="0" w:color="auto"/>
        <w:left w:val="none" w:sz="0" w:space="0" w:color="auto"/>
        <w:bottom w:val="none" w:sz="0" w:space="0" w:color="auto"/>
        <w:right w:val="none" w:sz="0" w:space="0" w:color="auto"/>
      </w:divBdr>
    </w:div>
    <w:div w:id="1020617942">
      <w:bodyDiv w:val="1"/>
      <w:marLeft w:val="0"/>
      <w:marRight w:val="0"/>
      <w:marTop w:val="0"/>
      <w:marBottom w:val="0"/>
      <w:divBdr>
        <w:top w:val="none" w:sz="0" w:space="0" w:color="auto"/>
        <w:left w:val="none" w:sz="0" w:space="0" w:color="auto"/>
        <w:bottom w:val="none" w:sz="0" w:space="0" w:color="auto"/>
        <w:right w:val="none" w:sz="0" w:space="0" w:color="auto"/>
      </w:divBdr>
      <w:divsChild>
        <w:div w:id="1529946039">
          <w:marLeft w:val="480"/>
          <w:marRight w:val="0"/>
          <w:marTop w:val="0"/>
          <w:marBottom w:val="0"/>
          <w:divBdr>
            <w:top w:val="none" w:sz="0" w:space="0" w:color="auto"/>
            <w:left w:val="none" w:sz="0" w:space="0" w:color="auto"/>
            <w:bottom w:val="none" w:sz="0" w:space="0" w:color="auto"/>
            <w:right w:val="none" w:sz="0" w:space="0" w:color="auto"/>
          </w:divBdr>
        </w:div>
        <w:div w:id="941035255">
          <w:marLeft w:val="480"/>
          <w:marRight w:val="0"/>
          <w:marTop w:val="0"/>
          <w:marBottom w:val="0"/>
          <w:divBdr>
            <w:top w:val="none" w:sz="0" w:space="0" w:color="auto"/>
            <w:left w:val="none" w:sz="0" w:space="0" w:color="auto"/>
            <w:bottom w:val="none" w:sz="0" w:space="0" w:color="auto"/>
            <w:right w:val="none" w:sz="0" w:space="0" w:color="auto"/>
          </w:divBdr>
        </w:div>
        <w:div w:id="349455152">
          <w:marLeft w:val="480"/>
          <w:marRight w:val="0"/>
          <w:marTop w:val="0"/>
          <w:marBottom w:val="0"/>
          <w:divBdr>
            <w:top w:val="none" w:sz="0" w:space="0" w:color="auto"/>
            <w:left w:val="none" w:sz="0" w:space="0" w:color="auto"/>
            <w:bottom w:val="none" w:sz="0" w:space="0" w:color="auto"/>
            <w:right w:val="none" w:sz="0" w:space="0" w:color="auto"/>
          </w:divBdr>
        </w:div>
        <w:div w:id="340817320">
          <w:marLeft w:val="480"/>
          <w:marRight w:val="0"/>
          <w:marTop w:val="0"/>
          <w:marBottom w:val="0"/>
          <w:divBdr>
            <w:top w:val="none" w:sz="0" w:space="0" w:color="auto"/>
            <w:left w:val="none" w:sz="0" w:space="0" w:color="auto"/>
            <w:bottom w:val="none" w:sz="0" w:space="0" w:color="auto"/>
            <w:right w:val="none" w:sz="0" w:space="0" w:color="auto"/>
          </w:divBdr>
        </w:div>
        <w:div w:id="1519126507">
          <w:marLeft w:val="480"/>
          <w:marRight w:val="0"/>
          <w:marTop w:val="0"/>
          <w:marBottom w:val="0"/>
          <w:divBdr>
            <w:top w:val="none" w:sz="0" w:space="0" w:color="auto"/>
            <w:left w:val="none" w:sz="0" w:space="0" w:color="auto"/>
            <w:bottom w:val="none" w:sz="0" w:space="0" w:color="auto"/>
            <w:right w:val="none" w:sz="0" w:space="0" w:color="auto"/>
          </w:divBdr>
        </w:div>
        <w:div w:id="1604875620">
          <w:marLeft w:val="480"/>
          <w:marRight w:val="0"/>
          <w:marTop w:val="0"/>
          <w:marBottom w:val="0"/>
          <w:divBdr>
            <w:top w:val="none" w:sz="0" w:space="0" w:color="auto"/>
            <w:left w:val="none" w:sz="0" w:space="0" w:color="auto"/>
            <w:bottom w:val="none" w:sz="0" w:space="0" w:color="auto"/>
            <w:right w:val="none" w:sz="0" w:space="0" w:color="auto"/>
          </w:divBdr>
        </w:div>
        <w:div w:id="933509871">
          <w:marLeft w:val="480"/>
          <w:marRight w:val="0"/>
          <w:marTop w:val="0"/>
          <w:marBottom w:val="0"/>
          <w:divBdr>
            <w:top w:val="none" w:sz="0" w:space="0" w:color="auto"/>
            <w:left w:val="none" w:sz="0" w:space="0" w:color="auto"/>
            <w:bottom w:val="none" w:sz="0" w:space="0" w:color="auto"/>
            <w:right w:val="none" w:sz="0" w:space="0" w:color="auto"/>
          </w:divBdr>
        </w:div>
        <w:div w:id="1995528787">
          <w:marLeft w:val="480"/>
          <w:marRight w:val="0"/>
          <w:marTop w:val="0"/>
          <w:marBottom w:val="0"/>
          <w:divBdr>
            <w:top w:val="none" w:sz="0" w:space="0" w:color="auto"/>
            <w:left w:val="none" w:sz="0" w:space="0" w:color="auto"/>
            <w:bottom w:val="none" w:sz="0" w:space="0" w:color="auto"/>
            <w:right w:val="none" w:sz="0" w:space="0" w:color="auto"/>
          </w:divBdr>
        </w:div>
        <w:div w:id="919100108">
          <w:marLeft w:val="480"/>
          <w:marRight w:val="0"/>
          <w:marTop w:val="0"/>
          <w:marBottom w:val="0"/>
          <w:divBdr>
            <w:top w:val="none" w:sz="0" w:space="0" w:color="auto"/>
            <w:left w:val="none" w:sz="0" w:space="0" w:color="auto"/>
            <w:bottom w:val="none" w:sz="0" w:space="0" w:color="auto"/>
            <w:right w:val="none" w:sz="0" w:space="0" w:color="auto"/>
          </w:divBdr>
        </w:div>
        <w:div w:id="1950702312">
          <w:marLeft w:val="480"/>
          <w:marRight w:val="0"/>
          <w:marTop w:val="0"/>
          <w:marBottom w:val="0"/>
          <w:divBdr>
            <w:top w:val="none" w:sz="0" w:space="0" w:color="auto"/>
            <w:left w:val="none" w:sz="0" w:space="0" w:color="auto"/>
            <w:bottom w:val="none" w:sz="0" w:space="0" w:color="auto"/>
            <w:right w:val="none" w:sz="0" w:space="0" w:color="auto"/>
          </w:divBdr>
        </w:div>
        <w:div w:id="444739707">
          <w:marLeft w:val="480"/>
          <w:marRight w:val="0"/>
          <w:marTop w:val="0"/>
          <w:marBottom w:val="0"/>
          <w:divBdr>
            <w:top w:val="none" w:sz="0" w:space="0" w:color="auto"/>
            <w:left w:val="none" w:sz="0" w:space="0" w:color="auto"/>
            <w:bottom w:val="none" w:sz="0" w:space="0" w:color="auto"/>
            <w:right w:val="none" w:sz="0" w:space="0" w:color="auto"/>
          </w:divBdr>
        </w:div>
        <w:div w:id="2004359775">
          <w:marLeft w:val="480"/>
          <w:marRight w:val="0"/>
          <w:marTop w:val="0"/>
          <w:marBottom w:val="0"/>
          <w:divBdr>
            <w:top w:val="none" w:sz="0" w:space="0" w:color="auto"/>
            <w:left w:val="none" w:sz="0" w:space="0" w:color="auto"/>
            <w:bottom w:val="none" w:sz="0" w:space="0" w:color="auto"/>
            <w:right w:val="none" w:sz="0" w:space="0" w:color="auto"/>
          </w:divBdr>
        </w:div>
      </w:divsChild>
    </w:div>
    <w:div w:id="1259869816">
      <w:bodyDiv w:val="1"/>
      <w:marLeft w:val="0"/>
      <w:marRight w:val="0"/>
      <w:marTop w:val="0"/>
      <w:marBottom w:val="0"/>
      <w:divBdr>
        <w:top w:val="none" w:sz="0" w:space="0" w:color="auto"/>
        <w:left w:val="none" w:sz="0" w:space="0" w:color="auto"/>
        <w:bottom w:val="none" w:sz="0" w:space="0" w:color="auto"/>
        <w:right w:val="none" w:sz="0" w:space="0" w:color="auto"/>
      </w:divBdr>
    </w:div>
    <w:div w:id="1329796217">
      <w:bodyDiv w:val="1"/>
      <w:marLeft w:val="0"/>
      <w:marRight w:val="0"/>
      <w:marTop w:val="0"/>
      <w:marBottom w:val="0"/>
      <w:divBdr>
        <w:top w:val="none" w:sz="0" w:space="0" w:color="auto"/>
        <w:left w:val="none" w:sz="0" w:space="0" w:color="auto"/>
        <w:bottom w:val="none" w:sz="0" w:space="0" w:color="auto"/>
        <w:right w:val="none" w:sz="0" w:space="0" w:color="auto"/>
      </w:divBdr>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58257981">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41013894">
      <w:bodyDiv w:val="1"/>
      <w:marLeft w:val="0"/>
      <w:marRight w:val="0"/>
      <w:marTop w:val="0"/>
      <w:marBottom w:val="0"/>
      <w:divBdr>
        <w:top w:val="none" w:sz="0" w:space="0" w:color="auto"/>
        <w:left w:val="none" w:sz="0" w:space="0" w:color="auto"/>
        <w:bottom w:val="none" w:sz="0" w:space="0" w:color="auto"/>
        <w:right w:val="none" w:sz="0" w:space="0" w:color="auto"/>
      </w:divBdr>
    </w:div>
    <w:div w:id="1606644692">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3852">
      <w:bodyDiv w:val="1"/>
      <w:marLeft w:val="0"/>
      <w:marRight w:val="0"/>
      <w:marTop w:val="0"/>
      <w:marBottom w:val="0"/>
      <w:divBdr>
        <w:top w:val="none" w:sz="0" w:space="0" w:color="auto"/>
        <w:left w:val="none" w:sz="0" w:space="0" w:color="auto"/>
        <w:bottom w:val="none" w:sz="0" w:space="0" w:color="auto"/>
        <w:right w:val="none" w:sz="0" w:space="0" w:color="auto"/>
      </w:divBdr>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1766923245">
      <w:bodyDiv w:val="1"/>
      <w:marLeft w:val="0"/>
      <w:marRight w:val="0"/>
      <w:marTop w:val="0"/>
      <w:marBottom w:val="0"/>
      <w:divBdr>
        <w:top w:val="none" w:sz="0" w:space="0" w:color="auto"/>
        <w:left w:val="none" w:sz="0" w:space="0" w:color="auto"/>
        <w:bottom w:val="none" w:sz="0" w:space="0" w:color="auto"/>
        <w:right w:val="none" w:sz="0" w:space="0" w:color="auto"/>
      </w:divBdr>
      <w:divsChild>
        <w:div w:id="1850409374">
          <w:marLeft w:val="480"/>
          <w:marRight w:val="0"/>
          <w:marTop w:val="0"/>
          <w:marBottom w:val="0"/>
          <w:divBdr>
            <w:top w:val="none" w:sz="0" w:space="0" w:color="auto"/>
            <w:left w:val="none" w:sz="0" w:space="0" w:color="auto"/>
            <w:bottom w:val="none" w:sz="0" w:space="0" w:color="auto"/>
            <w:right w:val="none" w:sz="0" w:space="0" w:color="auto"/>
          </w:divBdr>
        </w:div>
        <w:div w:id="492524689">
          <w:marLeft w:val="480"/>
          <w:marRight w:val="0"/>
          <w:marTop w:val="0"/>
          <w:marBottom w:val="0"/>
          <w:divBdr>
            <w:top w:val="none" w:sz="0" w:space="0" w:color="auto"/>
            <w:left w:val="none" w:sz="0" w:space="0" w:color="auto"/>
            <w:bottom w:val="none" w:sz="0" w:space="0" w:color="auto"/>
            <w:right w:val="none" w:sz="0" w:space="0" w:color="auto"/>
          </w:divBdr>
        </w:div>
        <w:div w:id="1678851809">
          <w:marLeft w:val="480"/>
          <w:marRight w:val="0"/>
          <w:marTop w:val="0"/>
          <w:marBottom w:val="0"/>
          <w:divBdr>
            <w:top w:val="none" w:sz="0" w:space="0" w:color="auto"/>
            <w:left w:val="none" w:sz="0" w:space="0" w:color="auto"/>
            <w:bottom w:val="none" w:sz="0" w:space="0" w:color="auto"/>
            <w:right w:val="none" w:sz="0" w:space="0" w:color="auto"/>
          </w:divBdr>
        </w:div>
        <w:div w:id="1439522580">
          <w:marLeft w:val="480"/>
          <w:marRight w:val="0"/>
          <w:marTop w:val="0"/>
          <w:marBottom w:val="0"/>
          <w:divBdr>
            <w:top w:val="none" w:sz="0" w:space="0" w:color="auto"/>
            <w:left w:val="none" w:sz="0" w:space="0" w:color="auto"/>
            <w:bottom w:val="none" w:sz="0" w:space="0" w:color="auto"/>
            <w:right w:val="none" w:sz="0" w:space="0" w:color="auto"/>
          </w:divBdr>
        </w:div>
        <w:div w:id="546339203">
          <w:marLeft w:val="480"/>
          <w:marRight w:val="0"/>
          <w:marTop w:val="0"/>
          <w:marBottom w:val="0"/>
          <w:divBdr>
            <w:top w:val="none" w:sz="0" w:space="0" w:color="auto"/>
            <w:left w:val="none" w:sz="0" w:space="0" w:color="auto"/>
            <w:bottom w:val="none" w:sz="0" w:space="0" w:color="auto"/>
            <w:right w:val="none" w:sz="0" w:space="0" w:color="auto"/>
          </w:divBdr>
        </w:div>
        <w:div w:id="938608784">
          <w:marLeft w:val="480"/>
          <w:marRight w:val="0"/>
          <w:marTop w:val="0"/>
          <w:marBottom w:val="0"/>
          <w:divBdr>
            <w:top w:val="none" w:sz="0" w:space="0" w:color="auto"/>
            <w:left w:val="none" w:sz="0" w:space="0" w:color="auto"/>
            <w:bottom w:val="none" w:sz="0" w:space="0" w:color="auto"/>
            <w:right w:val="none" w:sz="0" w:space="0" w:color="auto"/>
          </w:divBdr>
        </w:div>
        <w:div w:id="2063362511">
          <w:marLeft w:val="480"/>
          <w:marRight w:val="0"/>
          <w:marTop w:val="0"/>
          <w:marBottom w:val="0"/>
          <w:divBdr>
            <w:top w:val="none" w:sz="0" w:space="0" w:color="auto"/>
            <w:left w:val="none" w:sz="0" w:space="0" w:color="auto"/>
            <w:bottom w:val="none" w:sz="0" w:space="0" w:color="auto"/>
            <w:right w:val="none" w:sz="0" w:space="0" w:color="auto"/>
          </w:divBdr>
        </w:div>
        <w:div w:id="1174539147">
          <w:marLeft w:val="480"/>
          <w:marRight w:val="0"/>
          <w:marTop w:val="0"/>
          <w:marBottom w:val="0"/>
          <w:divBdr>
            <w:top w:val="none" w:sz="0" w:space="0" w:color="auto"/>
            <w:left w:val="none" w:sz="0" w:space="0" w:color="auto"/>
            <w:bottom w:val="none" w:sz="0" w:space="0" w:color="auto"/>
            <w:right w:val="none" w:sz="0" w:space="0" w:color="auto"/>
          </w:divBdr>
        </w:div>
        <w:div w:id="1597714942">
          <w:marLeft w:val="480"/>
          <w:marRight w:val="0"/>
          <w:marTop w:val="0"/>
          <w:marBottom w:val="0"/>
          <w:divBdr>
            <w:top w:val="none" w:sz="0" w:space="0" w:color="auto"/>
            <w:left w:val="none" w:sz="0" w:space="0" w:color="auto"/>
            <w:bottom w:val="none" w:sz="0" w:space="0" w:color="auto"/>
            <w:right w:val="none" w:sz="0" w:space="0" w:color="auto"/>
          </w:divBdr>
        </w:div>
        <w:div w:id="1708603887">
          <w:marLeft w:val="480"/>
          <w:marRight w:val="0"/>
          <w:marTop w:val="0"/>
          <w:marBottom w:val="0"/>
          <w:divBdr>
            <w:top w:val="none" w:sz="0" w:space="0" w:color="auto"/>
            <w:left w:val="none" w:sz="0" w:space="0" w:color="auto"/>
            <w:bottom w:val="none" w:sz="0" w:space="0" w:color="auto"/>
            <w:right w:val="none" w:sz="0" w:space="0" w:color="auto"/>
          </w:divBdr>
        </w:div>
        <w:div w:id="778835798">
          <w:marLeft w:val="480"/>
          <w:marRight w:val="0"/>
          <w:marTop w:val="0"/>
          <w:marBottom w:val="0"/>
          <w:divBdr>
            <w:top w:val="none" w:sz="0" w:space="0" w:color="auto"/>
            <w:left w:val="none" w:sz="0" w:space="0" w:color="auto"/>
            <w:bottom w:val="none" w:sz="0" w:space="0" w:color="auto"/>
            <w:right w:val="none" w:sz="0" w:space="0" w:color="auto"/>
          </w:divBdr>
        </w:div>
        <w:div w:id="1063062722">
          <w:marLeft w:val="480"/>
          <w:marRight w:val="0"/>
          <w:marTop w:val="0"/>
          <w:marBottom w:val="0"/>
          <w:divBdr>
            <w:top w:val="none" w:sz="0" w:space="0" w:color="auto"/>
            <w:left w:val="none" w:sz="0" w:space="0" w:color="auto"/>
            <w:bottom w:val="none" w:sz="0" w:space="0" w:color="auto"/>
            <w:right w:val="none" w:sz="0" w:space="0" w:color="auto"/>
          </w:divBdr>
        </w:div>
        <w:div w:id="2068257269">
          <w:marLeft w:val="480"/>
          <w:marRight w:val="0"/>
          <w:marTop w:val="0"/>
          <w:marBottom w:val="0"/>
          <w:divBdr>
            <w:top w:val="none" w:sz="0" w:space="0" w:color="auto"/>
            <w:left w:val="none" w:sz="0" w:space="0" w:color="auto"/>
            <w:bottom w:val="none" w:sz="0" w:space="0" w:color="auto"/>
            <w:right w:val="none" w:sz="0" w:space="0" w:color="auto"/>
          </w:divBdr>
        </w:div>
      </w:divsChild>
    </w:div>
    <w:div w:id="1933931200">
      <w:bodyDiv w:val="1"/>
      <w:marLeft w:val="0"/>
      <w:marRight w:val="0"/>
      <w:marTop w:val="0"/>
      <w:marBottom w:val="0"/>
      <w:divBdr>
        <w:top w:val="none" w:sz="0" w:space="0" w:color="auto"/>
        <w:left w:val="none" w:sz="0" w:space="0" w:color="auto"/>
        <w:bottom w:val="none" w:sz="0" w:space="0" w:color="auto"/>
        <w:right w:val="none" w:sz="0" w:space="0" w:color="auto"/>
      </w:divBdr>
    </w:div>
    <w:div w:id="2039501212">
      <w:bodyDiv w:val="1"/>
      <w:marLeft w:val="0"/>
      <w:marRight w:val="0"/>
      <w:marTop w:val="0"/>
      <w:marBottom w:val="0"/>
      <w:divBdr>
        <w:top w:val="none" w:sz="0" w:space="0" w:color="auto"/>
        <w:left w:val="none" w:sz="0" w:space="0" w:color="auto"/>
        <w:bottom w:val="none" w:sz="0" w:space="0" w:color="auto"/>
        <w:right w:val="none" w:sz="0" w:space="0" w:color="auto"/>
      </w:divBdr>
    </w:div>
    <w:div w:id="206806601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50">
          <w:marLeft w:val="480"/>
          <w:marRight w:val="0"/>
          <w:marTop w:val="0"/>
          <w:marBottom w:val="0"/>
          <w:divBdr>
            <w:top w:val="none" w:sz="0" w:space="0" w:color="auto"/>
            <w:left w:val="none" w:sz="0" w:space="0" w:color="auto"/>
            <w:bottom w:val="none" w:sz="0" w:space="0" w:color="auto"/>
            <w:right w:val="none" w:sz="0" w:space="0" w:color="auto"/>
          </w:divBdr>
        </w:div>
        <w:div w:id="1348169448">
          <w:marLeft w:val="480"/>
          <w:marRight w:val="0"/>
          <w:marTop w:val="0"/>
          <w:marBottom w:val="0"/>
          <w:divBdr>
            <w:top w:val="none" w:sz="0" w:space="0" w:color="auto"/>
            <w:left w:val="none" w:sz="0" w:space="0" w:color="auto"/>
            <w:bottom w:val="none" w:sz="0" w:space="0" w:color="auto"/>
            <w:right w:val="none" w:sz="0" w:space="0" w:color="auto"/>
          </w:divBdr>
        </w:div>
        <w:div w:id="1972244970">
          <w:marLeft w:val="480"/>
          <w:marRight w:val="0"/>
          <w:marTop w:val="0"/>
          <w:marBottom w:val="0"/>
          <w:divBdr>
            <w:top w:val="none" w:sz="0" w:space="0" w:color="auto"/>
            <w:left w:val="none" w:sz="0" w:space="0" w:color="auto"/>
            <w:bottom w:val="none" w:sz="0" w:space="0" w:color="auto"/>
            <w:right w:val="none" w:sz="0" w:space="0" w:color="auto"/>
          </w:divBdr>
        </w:div>
        <w:div w:id="1443301239">
          <w:marLeft w:val="480"/>
          <w:marRight w:val="0"/>
          <w:marTop w:val="0"/>
          <w:marBottom w:val="0"/>
          <w:divBdr>
            <w:top w:val="none" w:sz="0" w:space="0" w:color="auto"/>
            <w:left w:val="none" w:sz="0" w:space="0" w:color="auto"/>
            <w:bottom w:val="none" w:sz="0" w:space="0" w:color="auto"/>
            <w:right w:val="none" w:sz="0" w:space="0" w:color="auto"/>
          </w:divBdr>
        </w:div>
        <w:div w:id="2043362556">
          <w:marLeft w:val="480"/>
          <w:marRight w:val="0"/>
          <w:marTop w:val="0"/>
          <w:marBottom w:val="0"/>
          <w:divBdr>
            <w:top w:val="none" w:sz="0" w:space="0" w:color="auto"/>
            <w:left w:val="none" w:sz="0" w:space="0" w:color="auto"/>
            <w:bottom w:val="none" w:sz="0" w:space="0" w:color="auto"/>
            <w:right w:val="none" w:sz="0" w:space="0" w:color="auto"/>
          </w:divBdr>
        </w:div>
        <w:div w:id="414939855">
          <w:marLeft w:val="480"/>
          <w:marRight w:val="0"/>
          <w:marTop w:val="0"/>
          <w:marBottom w:val="0"/>
          <w:divBdr>
            <w:top w:val="none" w:sz="0" w:space="0" w:color="auto"/>
            <w:left w:val="none" w:sz="0" w:space="0" w:color="auto"/>
            <w:bottom w:val="none" w:sz="0" w:space="0" w:color="auto"/>
            <w:right w:val="none" w:sz="0" w:space="0" w:color="auto"/>
          </w:divBdr>
        </w:div>
        <w:div w:id="280036241">
          <w:marLeft w:val="480"/>
          <w:marRight w:val="0"/>
          <w:marTop w:val="0"/>
          <w:marBottom w:val="0"/>
          <w:divBdr>
            <w:top w:val="none" w:sz="0" w:space="0" w:color="auto"/>
            <w:left w:val="none" w:sz="0" w:space="0" w:color="auto"/>
            <w:bottom w:val="none" w:sz="0" w:space="0" w:color="auto"/>
            <w:right w:val="none" w:sz="0" w:space="0" w:color="auto"/>
          </w:divBdr>
        </w:div>
        <w:div w:id="1735355606">
          <w:marLeft w:val="480"/>
          <w:marRight w:val="0"/>
          <w:marTop w:val="0"/>
          <w:marBottom w:val="0"/>
          <w:divBdr>
            <w:top w:val="none" w:sz="0" w:space="0" w:color="auto"/>
            <w:left w:val="none" w:sz="0" w:space="0" w:color="auto"/>
            <w:bottom w:val="none" w:sz="0" w:space="0" w:color="auto"/>
            <w:right w:val="none" w:sz="0" w:space="0" w:color="auto"/>
          </w:divBdr>
        </w:div>
        <w:div w:id="1842624038">
          <w:marLeft w:val="480"/>
          <w:marRight w:val="0"/>
          <w:marTop w:val="0"/>
          <w:marBottom w:val="0"/>
          <w:divBdr>
            <w:top w:val="none" w:sz="0" w:space="0" w:color="auto"/>
            <w:left w:val="none" w:sz="0" w:space="0" w:color="auto"/>
            <w:bottom w:val="none" w:sz="0" w:space="0" w:color="auto"/>
            <w:right w:val="none" w:sz="0" w:space="0" w:color="auto"/>
          </w:divBdr>
        </w:div>
        <w:div w:id="1588269566">
          <w:marLeft w:val="480"/>
          <w:marRight w:val="0"/>
          <w:marTop w:val="0"/>
          <w:marBottom w:val="0"/>
          <w:divBdr>
            <w:top w:val="none" w:sz="0" w:space="0" w:color="auto"/>
            <w:left w:val="none" w:sz="0" w:space="0" w:color="auto"/>
            <w:bottom w:val="none" w:sz="0" w:space="0" w:color="auto"/>
            <w:right w:val="none" w:sz="0" w:space="0" w:color="auto"/>
          </w:divBdr>
        </w:div>
        <w:div w:id="1174101821">
          <w:marLeft w:val="480"/>
          <w:marRight w:val="0"/>
          <w:marTop w:val="0"/>
          <w:marBottom w:val="0"/>
          <w:divBdr>
            <w:top w:val="none" w:sz="0" w:space="0" w:color="auto"/>
            <w:left w:val="none" w:sz="0" w:space="0" w:color="auto"/>
            <w:bottom w:val="none" w:sz="0" w:space="0" w:color="auto"/>
            <w:right w:val="none" w:sz="0" w:space="0" w:color="auto"/>
          </w:divBdr>
        </w:div>
        <w:div w:id="1527061829">
          <w:marLeft w:val="480"/>
          <w:marRight w:val="0"/>
          <w:marTop w:val="0"/>
          <w:marBottom w:val="0"/>
          <w:divBdr>
            <w:top w:val="none" w:sz="0" w:space="0" w:color="auto"/>
            <w:left w:val="none" w:sz="0" w:space="0" w:color="auto"/>
            <w:bottom w:val="none" w:sz="0" w:space="0" w:color="auto"/>
            <w:right w:val="none" w:sz="0" w:space="0" w:color="auto"/>
          </w:divBdr>
        </w:div>
      </w:divsChild>
    </w:div>
    <w:div w:id="2113237004">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87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FB5288F-C728-4A05-B14D-FF6E1E3A227F}">
  <we:reference id="wa104382081" version="1.55.1.0" store="en-GB" storeType="OMEX"/>
  <we:alternateReferences>
    <we:reference id="WA104382081" version="1.55.1.0" store="" storeType="OMEX"/>
  </we:alternateReferences>
  <we:properties>
    <we:property name="MENDELEY_CITATIONS" value="[{&quot;citationID&quot;:&quot;MENDELEY_CITATION_30ea1797-3105-4bab-86b3-21b74e381607&quot;,&quot;properties&quot;:{&quot;noteIndex&quot;:0},&quot;isEdited&quot;:false,&quot;manualOverride&quot;:{&quot;isManuallyOverridden&quot;:true,&quot;citeprocText&quot;:&quot;(European Comission, 2024)&quot;,&quot;manualOverrideText&quot;:&quot;(European Commission, 2024)&quot;},&quot;citationTag&quot;:&quot;MENDELEY_CITATION_v3_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&quot;,&quot;citationItems&quot;:[{&quot;id&quot;:&quot;0746523b-86c3-339c-a015-ad4d18e88f17&quot;,&quot;itemData&quot;:{&quot;type&quot;:&quot;webpage&quot;,&quot;id&quot;:&quot;0746523b-86c3-339c-a015-ad4d18e88f17&quot;,&quot;title&quot;:&quot;Causes of climate change&quot;,&quot;author&quot;:[{&quot;family&quot;:&quot;European Comission&quot;,&quot;given&quot;:&quot;&quot;,&quot;parse-names&quot;:false,&quot;dropping-particle&quot;:&quot;&quot;,&quot;non-dropping-particle&quot;:&quot;&quot;}],&quot;accessed&quot;:{&quot;date-parts&quot;:[[2024,8,9]]},&quot;URL&quot;:&quot;https://climate.ec.europa.eu/climate-change/causes-climate-change_en&quot;,&quot;issued&quot;:{&quot;date-parts&quot;:[[2024]]},&quot;container-title-short&quot;:&quot;&quot;},&quot;isTemporary&quot;:false,&quot;suppress-author&quot;:false,&quot;composite&quot;:false,&quot;author-only&quot;:false}]},{&quot;citationID&quot;:&quot;MENDELEY_CITATION_0710edc9-7098-4fad-9153-ddd4d9ed3625&quot;,&quot;properties&quot;:{&quot;noteIndex&quot;:0},&quot;isEdited&quot;:false,&quot;manualOverride&quot;:{&quot;isManuallyOverridden&quot;:false,&quot;citeprocText&quot;:&quot;(European Union, 2020)&quot;,&quot;manualOverrideText&quot;:&quot;&quot;},&quot;citationTag&quot;:&quot;MENDELEY_CITATION_v3_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&quot;,&quot;citationItems&quot;:[{&quot;id&quot;:&quot;9d604a3d-7ba5-358c-b982-791a69e231c7&quot;,&quot;itemData&quot;:{&quot;type&quot;:&quot;webpage&quot;,&quot;id&quot;:&quot;9d604a3d-7ba5-358c-b982-791a69e231c7&quot;,&quot;title&quot;:&quot;Global and European temperatures&quot;,&quot;author&quot;:[{&quot;family&quot;:&quot;European Union&quot;,&quot;given&quot;:&quot;&quot;,&quot;parse-names&quot;:false,&quot;dropping-particle&quot;:&quot;&quot;,&quot;non-dropping-particle&quot;:&quot;&quot;}],&quot;accessed&quot;:{&quot;date-parts&quot;:[[2024,8,9]]},&quot;URL&quot;:&quot;https://www.eea.europa.eu/en/analysis/indicators/global-and-european-temperatures&quot;,&quot;issued&quot;:{&quot;date-parts&quot;:[[2020]]},&quot;container-title-short&quot;:&quot;&quot;},&quot;isTemporary&quot;:false,&quot;suppress-author&quot;:false,&quot;composite&quot;:false,&quot;author-only&quot;:false}]},{&quot;citationID&quot;:&quot;MENDELEY_CITATION_3ce48f36-2958-4418-9eef-fe8e64a846cd&quot;,&quot;properties&quot;:{&quot;noteIndex&quot;:0},&quot;isEdited&quot;:false,&quot;manualOverride&quot;:{&quot;isManuallyOverridden&quot;:false,&quot;citeprocText&quot;:&quot;(Bian, 2020)&quot;,&quot;manualOverrideText&quot;:&quot;&quot;},&quot;citationTag&quot;:&quot;MENDELEY_CITATION_v3_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&quot;,&quot;citationItems&quot;:[{&quot;id&quot;:&quot;bb359a5b-f7d0-3ff6-b158-d70b00ef0bff&quot;,&quot;itemData&quot;:{&quot;type&quot;:&quot;article-journal&quot;,&quot;id&quot;:&quot;bb359a5b-f7d0-3ff6-b158-d70b00ef0bff&quot;,&quot;title&quot;:&quot;Waste heat: the dominating root cause of current global warming&quot;,&quot;author&quot;:[{&quot;family&quot;:&quot;Bian&quot;,&quot;given&quot;:&quot;Qinghan&quot;,&quot;parse-names&quot;:false,&quot;dropping-particle&quot;:&quot;&quot;,&quot;non-dropping-particle&quot;:&quot;&quot;}],&quot;container-title&quot;:&quot;Environmental Systems Research&quot;,&quot;DOI&quot;:&quot;10.1186/s40068-020-00169-2&quot;,&quot;ISSN&quot;:&quot;2193-2697&quot;,&quot;URL&quot;:&quot;https://doi.org/10.1186/s40068-020-00169-2&quot;,&quot;issued&quot;:{&quot;date-parts&quot;:[[2020]]},&quot;page&quot;:&quot;8&quot;,&quot;abstract&quot;:&quot;Pursuing GHG reductions by means of all resources and efforts has turned out no result to stop or even slow the global warming: the globe still gets warmer and warmer, especially in the recent years, at record-breaking rate almost each single year. Additionally, no definitive relationship has been found between the warming and the atmospheric GHG concentration. The link between them even in IPCC’s report lacks support and is unconvincing. All these imply that something else is responsible for the warming. On the other hand, huge amount of residual heat or waste heat from human activities has been poured into the climate system but has not been considered seriously in the context of global warming or climate change.&quot;,&quot;issue&quot;:&quot;1&quot;,&quot;volume&quot;:&quot;9&quot;,&quot;container-title-short&quot;:&quot;&quot;},&quot;isTemporary&quot;:false,&quot;suppress-author&quot;:false,&quot;composite&quot;:false,&quot;author-only&quot;:false}]},{&quot;citationID&quot;:&quot;MENDELEY_CITATION_a728e135-9235-468b-82bf-1f823c78e2cc&quot;,&quot;properties&quot;:{&quot;noteIndex&quot;:0},&quot;isEdited&quot;:false,&quot;manualOverride&quot;:{&quot;isManuallyOverridden&quot;:false,&quot;citeprocText&quot;:&quot;(Kalita et al., 2021)&quot;,&quot;manualOverrideText&quot;:&quot;&quot;},&quot;citationTag&quot;:&quot;MENDELEY_CITATION_v3_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&quot;,&quot;citationItems&quot;:[{&quot;id&quot;:&quot;cf7643c3-5165-3f12-9c0f-dcfb760f873e&quot;,&quot;itemData&quot;:{&quot;type&quot;:&quot;chapter&quot;,&quot;id&quot;:&quot;cf7643c3-5165-3f12-9c0f-dcfb760f873e&quot;,&quot;title&quot;:&quot;Thermal Energy Storage Systems for Cooling and Heating Applications&quot;,&quot;author&quot;:[{&quot;family&quot;:&quot;Kalita&quot;,&quot;given&quot;:&quot;Pankaj&quot;,&quot;parse-names&quot;:false,&quot;dropping-particle&quot;:&quot;&quot;,&quot;non-dropping-particle&quot;:&quot;&quot;},{&quot;family&quot;:&quot;Kashyap&quot;,&quot;given&quot;:&quot;Debangsu&quot;,&quot;parse-names&quot;:false,&quot;dropping-particle&quot;:&quot;&quot;,&quot;non-dropping-particle&quot;:&quot;&quot;},{&quot;family&quot;:&quot;Bordoloi&quot;,&quot;given&quot;:&quot;Urbashi&quot;,&quot;parse-names&quot;:false,&quot;dropping-particle&quot;:&quot;&quot;,&quot;non-dropping-particle&quot;:&quot;&quot;}],&quot;container-title&quot;:&quot;Photoconductivity and Photoconductive Materials: Fundamentals, Energy Storage&quot;,&quot;DOI&quot;:&quot;10.1002/9781119555599.ch5&quot;,&quot;ISBN&quot;:&quot;9781119555599&quot;,&quot;issued&quot;:{&quot;date-parts&quot;:[[2021,1,1]]},&quot;page&quot;:&quot;149-199&quot;,&quot;abstract&quot;:&quot;This chapter focuses on the importance of Thermal Energy Storage (TES) technology and provides a state-of-the-art review of its significance in the field of space heating and cooling applications. The chapter starts with a brief introduction followed by the classification of different commonly used TES technologies, viz. sensible heat storage (SHS), latent heat storage (LHS), and thermochemical heat storage (TCHS). A major portion of the chapter discusses the importance of these three systems and their real-time application and technological interventions. A systematic analysis has been made for both passive and active systems on space heating and cooling of both residential and commercial buildings. The active system of space heating includes solar FPS, solar air heater, solar pump, solar PV/T and solar pond. Different passive architecture systems and the use of phase change materials in passive buildings have also been explained. Space cooling achieved through solar refrigerating systems, viz. vapour adsorption/absorption system is analyzed, and detailed comparisons on the advantages and limitations of different TES systems are discussed. Further, sufficient numbers of numerical and design problems have been incorporated to provide a comprehensive understanding and design of the TES system for space heating/cooling applications.&quot;,&quot;publisher&quot;:&quot;wiley&quot;,&quot;container-title-short&quot;:&quot;&quot;},&quot;isTemporary&quot;:false,&quot;suppress-author&quot;:false,&quot;composite&quot;:false,&quot;author-only&quot;:false}]},{&quot;citationID&quot;:&quot;MENDELEY_CITATION_fa90d706-14aa-4577-9292-ecaabfa3dee1&quot;,&quot;properties&quot;:{&quot;noteIndex&quot;:0},&quot;isEdited&quot;:false,&quot;manualOverride&quot;:{&quot;isManuallyOverridden&quot;:false,&quot;citeprocText&quot;:&quot;(Behzadi et al., 2022)&quot;,&quot;manualOverrideText&quot;:&quot;&quot;},&quot;citationTag&quot;:&quot;MENDELEY_CITATION_v3_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&quot;,&quot;citationItems&quot;:[{&quot;id&quot;:&quot;5e66a199-c76d-3291-93d4-80f1ddc407c6&quot;,&quot;itemData&quot;:{&quot;type&quot;:&quot;article&quot;,&quot;id&quot;:&quot;5e66a199-c76d-3291-93d4-80f1ddc407c6&quot;,&quot;title&quot;:&quot;Smart design and control of thermal energy storage in low-temperature heating and high-temperature cooling systems: A comprehensive review&quot;,&quot;author&quot;:[{&quot;family&quot;:&quot;Behzadi&quot;,&quot;given&quot;:&quot;Amirmohammad&quot;,&quot;parse-names&quot;:false,&quot;dropping-particle&quot;:&quot;&quot;,&quot;non-dropping-particle&quot;:&quot;&quot;},{&quot;family&quot;:&quot;Holmberg&quot;,&quot;given&quot;:&quot;Sture&quot;,&quot;parse-names&quot;:false,&quot;dropping-particle&quot;:&quot;&quot;,&quot;non-dropping-particle&quot;:&quot;&quot;},{&quot;family&quot;:&quot;Duwig&quot;,&quot;given&quot;:&quot;Christophe&quot;,&quot;parse-names&quot;:false,&quot;dropping-particle&quot;:&quot;&quot;,&quot;non-dropping-particle&quot;:&quot;&quot;},{&quot;family&quot;:&quot;Haghighat&quot;,&quot;given&quot;:&quot;Fariborz&quot;,&quot;parse-names&quot;:false,&quot;dropping-particle&quot;:&quot;&quot;,&quot;non-dropping-particle&quot;:&quot;&quot;},{&quot;family&quot;:&quot;Ooka&quot;,&quot;given&quot;:&quot;Ryozo&quot;,&quot;parse-names&quot;:false,&quot;dropping-particle&quot;:&quot;&quot;,&quot;non-dropping-particle&quot;:&quot;&quot;},{&quot;family&quot;:&quot;Sadrizadeh&quot;,&quot;given&quot;:&quot;Sasan&quot;,&quot;parse-names&quot;:false,&quot;dropping-particle&quot;:&quot;&quot;,&quot;non-dropping-particle&quot;:&quot;&quot;}],&quot;container-title&quot;:&quot;Renewable and Sustainable Energy Reviews&quot;,&quot;DOI&quot;:&quot;10.1016/j.rser.2022.112625&quot;,&quot;ISSN&quot;:&quot;18790690&quot;,&quot;issued&quot;:{&quot;date-parts&quot;:[[2022,9,1]]},&quot;abstract&quot;:&quot;Thermal energy storage (TES) is recognized as a well-established technology added to the smart energy systems to support the immediate increase in energy demand, flatten the rapid supply-side changes, and reduce energy costs through an efficient and sustainable integration. On the utilization side, low-temperature heating (LTH) and high-temperature cooling (HTC) systems have grown popular because of their excellent performance in terms of energy efficiency, cost-effectiveness, and ease of integration with renewable resources. This article presents the current state-of-the-art regarding the smart design of TES integrated with LTH and HTC systems. TES is first explained in basic concepts, classification, and design possibilities. Secondly, the literature on well-known existing control approaches, strategies, and optimization methods applied to thermal energy storage is reviewed. Thirdly, the specifications, types, benefits, and drawbacks of the LTH and HTC systems from the viewpoints of supply and demand sides are discussed. Fourthly, the smart design of TES integrated with the LTH and HTC systems based on the control approach/strategy, optimization method, building type, and energy supplier is investigated to find the newest technology, ideas, and features and detect the existing gaps. The present article will provide a realistically feasible solution for having a smart storage configuration with the maximum possible energy efficiency, reliability, and cost-effectiveness for the building owners and the energy suppliers.&quot;,&quot;publisher&quot;:&quot;Elsevier Ltd&quot;,&quot;volume&quot;:&quot;166&quot;,&quot;container-title-short&quot;:&quot;&quot;},&quot;isTemporary&quot;:false,&quot;suppress-author&quot;:false,&quot;composite&quot;:false,&quot;author-only&quot;:false}]},{&quot;citationID&quot;:&quot;MENDELEY_CITATION_d042efe8-3248-4fcd-86af-dd6cddcfab86&quot;,&quot;properties&quot;:{&quot;noteIndex&quot;:0},&quot;isEdited&quot;:false,&quot;manualOverride&quot;:{&quot;isManuallyOverridden&quot;:false,&quot;citeprocText&quot;:&quot;(Eyidogan et al., 2016)&quot;,&quot;manualOverrideText&quot;:&quot;&quot;},&quot;citationTag&quot;:&quot;MENDELEY_CITATION_v3_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&quot;,&quot;citationItems&quot;:[{&quot;id&quot;:&quot;408ee5c0-af62-3a0f-96f0-7434a3ea1ac0&quot;,&quot;itemData&quot;:{&quot;type&quot;:&quot;article-journal&quot;,&quot;id&quot;:&quot;408ee5c0-af62-3a0f-96f0-7434a3ea1ac0&quot;,&quot;title&quot;:&quot;Investigation of Organic Rankine Cycle (ORC) technologies in Turkey from the technical and economic point of view&quot;,&quot;author&quot;:[{&quot;family&quot;:&quot;Eyidogan&quot;,&quot;given&quot;:&quot;Muharrem&quot;,&quot;parse-names&quot;:false,&quot;dropping-particle&quot;:&quot;&quot;,&quot;non-dropping-particle&quot;:&quot;&quot;},{&quot;family&quot;:&quot;Canka Kilic&quot;,&quot;given&quot;:&quot;Fatma&quot;,&quot;parse-names&quot;:false,&quot;dropping-particle&quot;:&quot;&quot;,&quot;non-dropping-particle&quot;:&quot;&quot;},{&quot;family&quot;:&quot;Kaya&quot;,&quot;given&quot;:&quot;Durmus&quot;,&quot;parse-names&quot;:false,&quot;dropping-particle&quot;:&quot;&quot;,&quot;non-dropping-particle&quot;:&quot;&quot;},{&quot;family&quot;:&quot;Coban&quot;,&quot;given&quot;:&quot;Volkan&quot;,&quot;parse-names&quot;:false,&quot;dropping-particle&quot;:&quot;&quot;,&quot;non-dropping-particle&quot;:&quot;&quot;},{&quot;family&quot;:&quot;Cagman&quot;,&quot;given&quot;:&quot;Selman&quot;,&quot;parse-names&quot;:false,&quot;dropping-particle&quot;:&quot;&quot;,&quot;non-dropping-particle&quot;:&quot;&quot;}],&quot;container-title&quot;:&quot;Renewable and Sustainable Energy Reviews&quot;,&quot;DOI&quot;:&quot;https://doi.org/10.1016/j.rser.2015.12.158&quot;,&quot;ISSN&quot;:&quot;1364-0321&quot;,&quot;URL&quot;:&quot;https://www.sciencedirect.com/science/article/pii/S1364032115015415&quot;,&quot;issued&quot;:{&quot;date-parts&quot;:[[2016]]},&quot;page&quot;:&quot;885-895&quot;,&quot;abstract&quot;:&quot;In this study, technical and economic analysis of Organic Rankine Cycle (ORC) systems in Turkey and their application areas have been examined in detail. Also, the government incentives for renewable energy productions and industrial waste heat recovery opportunities are investigated and presented. ORC technologies have been dealt with individually in geothermal, solar, biomass and industrial waste heat based power generation plants. In this concept, some power plants have been selected for each application and the technical specifications of these examinations have been presented. An application in a biomass based plant, which has 1MW of installed capacity, has been given as an example. According to the feasibility analysis, the investment payback period of this ORC application has been calculated as 2.7 years and the results have been presented and commented.&quot;,&quot;volume&quot;:&quot;58&quot;,&quot;container-title-short&quot;:&quot;&quot;},&quot;isTemporary&quot;:false,&quot;suppress-author&quot;:false,&quot;composite&quot;:false,&quot;author-only&quot;:false}]},{&quot;citationID&quot;:&quot;MENDELEY_CITATION_1a02d622-6382-484f-b47f-a5851bd6b0c0&quot;,&quot;properties&quot;:{&quot;noteIndex&quot;:0},&quot;isEdited&quot;:false,&quot;manualOverride&quot;:{&quot;isManuallyOverridden&quot;:false,&quot;citeprocText&quot;:&quot;(Wei et al., 2007)&quot;,&quot;manualOverrideText&quot;:&quot;&quot;},&quot;citationTag&quot;:&quot;MENDELEY_CITATION_v3_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&quot;,&quot;citationItems&quot;:[{&quot;id&quot;:&quot;f6b5327f-df30-3d47-b33f-0a4c55344a56&quot;,&quot;itemData&quot;:{&quot;type&quot;:&quot;article-journal&quot;,&quot;id&quot;:&quot;f6b5327f-df30-3d47-b33f-0a4c55344a56&quot;,&quot;title&quot;:&quot;Performance analysis and optimization of organic Rankine cycle (ORC) for waste heat recovery&quot;,&quot;author&quot;:[{&quot;family&quot;:&quot;Wei&quot;,&quot;given&quot;:&quot;Donghong&quot;,&quot;parse-names&quot;:false,&quot;dropping-particle&quot;:&quot;&quot;,&quot;non-dropping-particle&quot;:&quot;&quot;},{&quot;family&quot;:&quot;Lu&quot;,&quot;given&quot;:&quot;Xuesheng&quot;,&quot;parse-names&quot;:false,&quot;dropping-particle&quot;:&quot;&quot;,&quot;non-dropping-particle&quot;:&quot;&quot;},{&quot;family&quot;:&quot;Lu&quot;,&quot;given&quot;:&quot;Zhen&quot;,&quot;parse-names&quot;:false,&quot;dropping-particle&quot;:&quot;&quot;,&quot;non-dropping-particle&quot;:&quot;&quot;},{&quot;family&quot;:&quot;Gu&quot;,&quot;given&quot;:&quot;Jianming&quot;,&quot;parse-names&quot;:false,&quot;dropping-particle&quot;:&quot;&quot;,&quot;non-dropping-particle&quot;:&quot;&quot;}],&quot;container-title&quot;:&quot;Energy Conversion and Management&quot;,&quot;container-title-short&quot;:&quot;Energy Convers Manag&quot;,&quot;DOI&quot;:&quot;https://doi.org/10.1016/j.enconman.2006.10.020&quot;,&quot;ISSN&quot;:&quot;0196-8904&quot;,&quot;URL&quot;:&quot;https://www.sciencedirect.com/science/article/pii/S0196890406003347&quot;,&quot;issued&quot;:{&quot;date-parts&quot;:[[2007]]},&quot;page&quot;:&quot;1113-1119&quot;,&quot;abstract&quot;:&quot;The system performance analysis and optimization of an organic Rankine cycle (ORC) system using HFC-245fa (1,1,1,3,3-pentafluoropropane) as working fluid driven by exhaust heat is presented. The thermodynamic performances of an ORC system under disturbances have been analyzed. The results show: maximizing the usage of exhaust heat as much as possible is a good way to improve system output net power and efficiency; the degree of sub-cooling at the condenser outlet should be small (0.5–0.6K); when the ambient temperature is too high, the system output net power and efficiency will deteriorate with the departure from nominal state possibly exceeding 30%. According to the running environment, choosing a proper nominal state is a good idea for improving the system output net power and efficiency.&quot;,&quot;issue&quot;:&quot;4&quot;,&quot;volume&quot;:&quot;48&quot;},&quot;isTemporary&quot;:false,&quot;suppress-author&quot;:false,&quot;composite&quot;:false,&quot;author-only&quot;:false}]},{&quot;citationID&quot;:&quot;MENDELEY_CITATION_e49142f9-854a-4e0b-80e4-f14d0b071ba8&quot;,&quot;properties&quot;:{&quot;noteIndex&quot;:0},&quot;isEdited&quot;:false,&quot;manualOverride&quot;:{&quot;isManuallyOverridden&quot;:false,&quot;citeprocText&quot;:&quot;(Klüppel, 2005)&quot;,&quot;manualOverrideText&quot;:&quot;&quot;},&quot;citationTag&quot;:&quot;MENDELEY_CITATION_v3_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&quot;,&quot;citationItems&quot;:[{&quot;id&quot;:&quot;7051bfb6-6065-3692-83e3-17725a09642e&quot;,&quot;itemData&quot;:{&quot;type&quot;:&quot;article-journal&quot;,&quot;id&quot;:&quot;7051bfb6-6065-3692-83e3-17725a09642e&quot;,&quot;title&quot;:&quot;The Revision of ISO Standards 14040-3 - ISO 14040: Environmental management  Life cycle assessment  Principles and framework - ISO 14044: Environmental management  Life cycle assessment  Requirements and guidelines&quot;,&quot;author&quot;:[{&quot;family&quot;:&quot;Klüppel&quot;,&quot;given&quot;:&quot;Hans-Jürgen&quot;,&quot;parse-names&quot;:false,&quot;dropping-particle&quot;:&quot;&quot;,&quot;non-dropping-particle&quot;:&quot;&quot;}],&quot;container-title&quot;:&quot;The International Journal of Life Cycle Assessment&quot;,&quot;container-title-short&quot;:&quot;Int J Life Cycle Assess&quot;,&quot;DOI&quot;:&quot;10.1065/lca2005.03.001&quot;,&quot;ISSN&quot;:&quot;1614-7502&quot;,&quot;URL&quot;:&quot;https://doi.org/10.1065/lca2005.03.001&quot;,&quot;issued&quot;:{&quot;date-parts&quot;:[[2005]]},&quot;page&quot;:&quot;165&quot;,&quot;issue&quot;:&quot;3&quot;,&quot;volume&quot;:&quot;10&quot;},&quot;isTemporary&quot;:false,&quot;suppress-author&quot;:false,&quot;composite&quot;:false,&quot;author-only&quot;:false}]},{&quot;citationID&quot;:&quot;MENDELEY_CITATION_9b8e154c-f4dc-4076-a9d6-4e6dd492ae33&quot;,&quot;properties&quot;:{&quot;noteIndex&quot;:0},&quot;isEdited&quot;:false,&quot;manualOverride&quot;:{&quot;isManuallyOverridden&quot;:false,&quot;citeprocText&quot;:&quot;(Curran, 2017)&quot;,&quot;manualOverrideText&quot;:&quot;&quot;},&quot;citationTag&quot;:&quot;MENDELEY_CITATION_v3_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&quot;,&quot;citationItems&quot;:[{&quot;id&quot;:&quot;6452b271-6465-368b-a7a9-0916608f7aab&quot;,&quot;itemData&quot;:{&quot;type&quot;:&quot;book&quot;,&quot;id&quot;:&quot;6452b271-6465-368b-a7a9-0916608f7aab&quot;,&quot;title&quot;:&quot;Goal and Scope Definition in Life Cycle Assessment&quot;,&quot;editor&quot;:[{&quot;family&quot;:&quot;Curran&quot;,&quot;given&quot;:&quot;Mary Ann&quot;,&quot;parse-names&quot;:false,&quot;dropping-particle&quot;:&quot;&quot;,&quot;non-dropping-particle&quot;:&quot;&quot;}],&quot;DOI&quot;:&quot;10.1007/978-94-024-0855-3&quot;,&quot;ISBN&quot;:&quot;978-94-024-0854-6&quot;,&quot;issued&quot;:{&quot;date-parts&quot;:[[2017]]},&quot;publisher-place&quot;:&quot;Dordrecht&quot;,&quot;publisher&quot;:&quot;Springer Netherlands&quot;,&quot;container-title-short&quot;:&quot;&quot;},&quot;isTemporary&quot;:false,&quot;suppress-author&quot;:false,&quot;composite&quot;:false,&quot;author-only&quot;:false}]},{&quot;citationID&quot;:&quot;MENDELEY_CITATION_40fa1a0b-335d-497e-89d9-dd3fdd1906e6&quot;,&quot;properties&quot;:{&quot;noteIndex&quot;:0},&quot;isEdited&quot;:false,&quot;manualOverride&quot;:{&quot;isManuallyOverridden&quot;:false,&quot;citeprocText&quot;:&quot;(Hauschild and Huijbregts, 2015)&quot;,&quot;manualOverrideText&quot;:&quot;&quot;},&quot;citationTag&quot;:&quot;MENDELEY_CITATION_v3_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&quot;,&quot;citationItems&quot;:[{&quot;id&quot;:&quot;1878b31d-2a95-3bb6-81e6-c9b970f76218&quot;,&quot;itemData&quot;:{&quot;type&quot;:&quot;chapter&quot;,&quot;id&quot;:&quot;1878b31d-2a95-3bb6-81e6-c9b970f76218&quot;,&quot;title&quot;:&quot;Introducing Life Cycle Impact Assessment&quot;,&quot;author&quot;:[{&quot;family&quot;:&quot;Hauschild&quot;,&quot;given&quot;:&quot;Michael Z.&quot;,&quot;parse-names&quot;:false,&quot;dropping-particle&quot;:&quot;&quot;,&quot;non-dropping-particle&quot;:&quot;&quot;},{&quot;family&quot;:&quot;Huijbregts&quot;,&quot;given&quot;:&quot;Mark A. J.&quot;,&quot;parse-names&quot;:false,&quot;dropping-particle&quot;:&quot;&quot;,&quot;non-dropping-particle&quot;:&quot;&quot;}],&quot;DOI&quot;:&quot;10.1007/978-94-017-9744-3_1&quot;,&quot;issued&quot;:{&quot;date-parts&quot;:[[2015]]},&quot;page&quot;:&quot;1-16&quot;,&quot;abstract&quot;:&quot;The Life Cycle Impact Assessment (LCIA) phase of an LCA is the evaluation of potential human health and environmental impacts of the environmental resources and releases identified during the LCI. Impact assessment should address ecological and human health effects; it should also address resource depletion. A life cycle impact assessment attempts to establish a linkage between the product or process and its potential environmental impacts. For example, what are the impacts of 9,000 tons of carbon dioxide or 5,000 tons of methane emissions released into the atmosphere? Which is worse? What are their potential impacts on smog? On global warming? The key concept in this component is that of stressors. A stressor is a set of conditions that may lead to an impact. For example, if a product or process is emitting greenhouse gases, the increase of greenhouse gases in the atmosphere may contribute to global warming. Processes that result in the discharge of excess nutrients into bodies of water may lead to eutrophication. An LCIA provides a systematic procedure for classifying and characterizing these types of environmental effects.&quot;,&quot;container-title-short&quot;:&quot;&quot;},&quot;isTemporary&quot;:false,&quot;suppress-author&quot;:false,&quot;composite&quot;:false,&quot;author-only&quot;:false}]},{&quot;citationID&quot;:&quot;MENDELEY_CITATION_3afba3f3-f51c-4da9-af46-800933d953be&quot;,&quot;properties&quot;:{&quot;noteIndex&quot;:0},&quot;isEdited&quot;:false,&quot;manualOverride&quot;:{&quot;isManuallyOverridden&quot;:false,&quot;citeprocText&quot;:&quot;(Nuss, 2014)&quot;,&quot;manualOverrideText&quot;:&quot;&quot;},&quot;citationTag&quot;:&quot;MENDELEY_CITATION_v3_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&quot;,&quot;citationItems&quot;:[{&quot;id&quot;:&quot;ff4e497e-dc63-36e2-810c-b404166704b8&quot;,&quot;itemData&quot;:{&quot;type&quot;:&quot;article-journal&quot;,&quot;id&quot;:&quot;ff4e497e-dc63-36e2-810c-b404166704b8&quot;,&quot;title&quot;:&quot;Life Cycle Assessment Handbook: A Guide for Environmentally Sustainable Products, edited by Mary Ann Curran. Hoboken, NJ, USA: John Wiley &amp; Sons, Inc., and Salem, MA, USA: Scrivener Publishing LLC, 2012, 611 pp., ISBN 9781118099728, 199.00 (paper), 159.99 (e-book).&quot;,&quot;author&quot;:[{&quot;family&quot;:&quot;Nuss&quot;,&quot;given&quot;:&quot;Philip&quot;,&quot;parse-names&quot;:false,&quot;dropping-particle&quot;:&quot;&quot;,&quot;non-dropping-particle&quot;:&quot;&quot;}],&quot;container-title&quot;:&quot;Journal of Industrial Ecology&quot;,&quot;container-title-short&quot;:&quot;J Ind Ecol&quot;,&quot;DOI&quot;:&quot;10.1111/jiec.12217&quot;,&quot;issued&quot;:{&quot;date-parts&quot;:[[2014,6]]},&quot;volume&quot;:&quot;19&quot;},&quot;isTemporary&quot;:false,&quot;suppress-author&quot;:false,&quot;composite&quot;:false,&quot;author-only&quot;:false}]},{&quot;citationID&quot;:&quot;MENDELEY_CITATION_7d94e485-c4f6-42a8-a77f-4d97a7bd6375&quot;,&quot;properties&quot;:{&quot;noteIndex&quot;:0},&quot;isEdited&quot;:false,&quot;manualOverride&quot;:{&quot;isManuallyOverridden&quot;:false,&quot;citeprocText&quot;:&quot;(SimTech GmbH, 2024)&quot;,&quot;manualOverrideText&quot;:&quot;&quot;},&quot;citationTag&quot;:&quot;MENDELEY_CITATION_v3_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&quot;,&quot;citationItems&quot;:[{&quot;id&quot;:&quot;821d2cce-7704-32ed-ab52-137ca21e6746&quot;,&quot;itemData&quot;:{&quot;type&quot;:&quot;webpage&quot;,&quot;id&quot;:&quot;821d2cce-7704-32ed-ab52-137ca21e6746&quot;,&quot;title&quot;:&quot;  IPSE GO: a web-based platform for process simulations&quot;,&quot;author&quot;:[{&quot;family&quot;:&quot;SimTech GmbH&quot;,&quot;given&quot;:&quot;&quot;,&quot;parse-names&quot;:false,&quot;dropping-particle&quot;:&quot;&quot;,&quot;non-dropping-particle&quot;:&quot;&quot;}],&quot;issued&quot;:{&quot;date-parts&quot;:[[2024,10]]},&quot;container-title-short&quot;:&quot;&quot;},&quot;isTemporary&quot;:false,&quot;suppress-author&quot;:false,&quot;composite&quot;:false,&quot;author-only&quot;:false}]},{&quot;citationID&quot;:&quot;MENDELEY_CITATION_5b134309-d1c3-4918-b556-779a072cee1f&quot;,&quot;properties&quot;:{&quot;noteIndex&quot;:0},&quot;isEdited&quot;:false,&quot;manualOverride&quot;:{&quot;isManuallyOverridden&quot;:false,&quot;citeprocText&quot;:&quot;(Huijbregts, 2017)&quot;,&quot;manualOverrideText&quot;:&quot;&quot;},&quot;citationTag&quot;:&quot;MENDELEY_CITATION_v3_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&quot;,&quot;citationItems&quot;:[{&quot;id&quot;:&quot;fe1369b1-aa74-3747-8fde-ee08e7bc8777&quot;,&quot;itemData&quot;:{&quot;type&quot;:&quot;article-journal&quot;,&quot;id&quot;:&quot;fe1369b1-aa74-3747-8fde-ee08e7bc8777&quot;,&quot;title&quot;:&quot;ReCiPe 2016 A harmonized life cycle impact assessment method at midpoint and endpoint level Report I: Characterization&quot;,&quot;author&quot;:[{&quot;family&quot;:&quot;Huijbregts&quot;,&quot;given&quot;:&quot;M A J&quot;,&quot;parse-names&quot;:false,&quot;dropping-particle&quot;:&quot;&quot;,&quot;non-dropping-particle&quot;:&quot;&quot;}],&quot;ISSN&quot;:&quot;2016-0104&quot;,&quot;issued&quot;:{&quot;date-parts&quot;:[[2017]]},&quot;container-title-short&quot;:&quot;&quot;},&quot;isTemporary&quot;:false,&quot;suppress-author&quot;:false,&quot;composite&quot;:false,&quot;author-only&quot;:false}]}]"/>
    <we:property name="MENDELEY_CITATIONS_STYLE" value="{&quot;id&quot;:&quot;https://www.zotero.org/styles/journal-of-environmental-management&quot;,&quot;title&quot;:&quot;Journal of Environmental Management&quot;,&quot;format&quot;:&quot;author-date&quot;,&quot;defaultLocale&quot;:&quot;en-US&quot;,&quot;isLocaleCodeValid&quot;:true}"/>
    <we:property name="MENDELEY_CITATIONS_LOCALE_CODE" value="&quot;en-U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6</Pages>
  <Words>3270</Words>
  <Characters>18645</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Selejan Alessandra</cp:lastModifiedBy>
  <cp:revision>9</cp:revision>
  <cp:lastPrinted>2024-11-13T13:05:00Z</cp:lastPrinted>
  <dcterms:created xsi:type="dcterms:W3CDTF">2024-12-10T09:53:00Z</dcterms:created>
  <dcterms:modified xsi:type="dcterms:W3CDTF">2025-01-27T10:21:00Z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