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1763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C1763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C1763E">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36491E29" w:rsidR="00E978D0" w:rsidRPr="00B57B36" w:rsidRDefault="00844A0B" w:rsidP="00E978D0">
      <w:pPr>
        <w:pStyle w:val="CETTitle"/>
      </w:pPr>
      <w:r w:rsidRPr="00844A0B">
        <w:t>Role of Polypropylene Membranes in Enhancing Lithium Fluoride Crystallization: A Molecular Dynamics Study</w:t>
      </w:r>
    </w:p>
    <w:p w14:paraId="0488FED2" w14:textId="3B843874" w:rsidR="00B57E6F" w:rsidRPr="00863715" w:rsidRDefault="00C1763E" w:rsidP="00B57E6F">
      <w:pPr>
        <w:pStyle w:val="CETAuthors"/>
        <w:rPr>
          <w:lang w:val="it-IT"/>
        </w:rPr>
      </w:pPr>
      <w:r w:rsidRPr="00863715">
        <w:rPr>
          <w:lang w:val="it-IT"/>
        </w:rPr>
        <w:t>Giuseppe Prenesti</w:t>
      </w:r>
      <w:r w:rsidRPr="00863715">
        <w:rPr>
          <w:vertAlign w:val="superscript"/>
          <w:lang w:val="it-IT"/>
        </w:rPr>
        <w:t>a</w:t>
      </w:r>
      <w:r w:rsidR="00CA4323" w:rsidRPr="00863715">
        <w:rPr>
          <w:vertAlign w:val="superscript"/>
          <w:lang w:val="it-IT"/>
        </w:rPr>
        <w:t>,</w:t>
      </w:r>
      <w:r w:rsidRPr="00863715">
        <w:rPr>
          <w:vertAlign w:val="superscript"/>
          <w:lang w:val="it-IT"/>
        </w:rPr>
        <w:t>*</w:t>
      </w:r>
      <w:r w:rsidRPr="00863715">
        <w:rPr>
          <w:lang w:val="it-IT"/>
        </w:rPr>
        <w:t>,</w:t>
      </w:r>
      <w:r w:rsidR="003C7911" w:rsidRPr="00863715">
        <w:rPr>
          <w:lang w:val="it-IT"/>
        </w:rPr>
        <w:t xml:space="preserve"> </w:t>
      </w:r>
      <w:r w:rsidRPr="00863715">
        <w:rPr>
          <w:lang w:val="it-IT"/>
        </w:rPr>
        <w:t>Alfredo Cassano</w:t>
      </w:r>
      <w:r w:rsidR="00CA4323" w:rsidRPr="00863715">
        <w:rPr>
          <w:vertAlign w:val="superscript"/>
          <w:lang w:val="it-IT"/>
        </w:rPr>
        <w:t>b</w:t>
      </w:r>
      <w:r w:rsidRPr="00863715">
        <w:rPr>
          <w:lang w:val="it-IT"/>
        </w:rPr>
        <w:t>,</w:t>
      </w:r>
      <w:r w:rsidR="003C7911" w:rsidRPr="00863715">
        <w:rPr>
          <w:lang w:val="it-IT"/>
        </w:rPr>
        <w:t xml:space="preserve"> Agostino Lauria</w:t>
      </w:r>
      <w:r w:rsidR="003C7911" w:rsidRPr="00863715">
        <w:rPr>
          <w:vertAlign w:val="superscript"/>
          <w:lang w:val="it-IT"/>
        </w:rPr>
        <w:t>c</w:t>
      </w:r>
      <w:r w:rsidR="003C7911" w:rsidRPr="00863715">
        <w:rPr>
          <w:lang w:val="it-IT"/>
        </w:rPr>
        <w:t>,</w:t>
      </w:r>
      <w:r w:rsidRPr="00863715">
        <w:rPr>
          <w:lang w:val="it-IT"/>
        </w:rPr>
        <w:t xml:space="preserve"> Alessio Caravella</w:t>
      </w:r>
      <w:r w:rsidRPr="00863715">
        <w:rPr>
          <w:vertAlign w:val="superscript"/>
          <w:lang w:val="it-IT"/>
        </w:rPr>
        <w:t>a</w:t>
      </w:r>
      <w:r w:rsidRPr="00863715">
        <w:rPr>
          <w:lang w:val="it-IT"/>
        </w:rPr>
        <w:t>, Francesca Macedonio</w:t>
      </w:r>
      <w:r w:rsidR="00CA4323" w:rsidRPr="00863715">
        <w:rPr>
          <w:vertAlign w:val="superscript"/>
          <w:lang w:val="it-IT"/>
        </w:rPr>
        <w:t>b</w:t>
      </w:r>
      <w:r w:rsidRPr="00863715">
        <w:rPr>
          <w:lang w:val="it-IT"/>
        </w:rPr>
        <w:t>, Elena Tocci1</w:t>
      </w:r>
      <w:r w:rsidR="00CA4323" w:rsidRPr="00863715">
        <w:rPr>
          <w:vertAlign w:val="superscript"/>
          <w:lang w:val="it-IT"/>
        </w:rPr>
        <w:t>b</w:t>
      </w:r>
      <w:r w:rsidR="00D95172" w:rsidRPr="00863715">
        <w:rPr>
          <w:vertAlign w:val="superscript"/>
          <w:lang w:val="it-IT"/>
        </w:rPr>
        <w:t>,*</w:t>
      </w:r>
    </w:p>
    <w:p w14:paraId="73B2C81A" w14:textId="129C63AB" w:rsidR="00CA4323" w:rsidRDefault="00CA4323" w:rsidP="00CA4323">
      <w:pPr>
        <w:pStyle w:val="CETAddress"/>
      </w:pPr>
      <w:r>
        <w:rPr>
          <w:vertAlign w:val="superscript"/>
        </w:rPr>
        <w:t>a</w:t>
      </w:r>
      <w:r>
        <w:t>Department of Computer Engineering, Modelling, Electronics and System Engineering (DIMES),</w:t>
      </w:r>
    </w:p>
    <w:p w14:paraId="2CB38E06" w14:textId="77777777" w:rsidR="00CA4323" w:rsidRDefault="00CA4323" w:rsidP="00CA4323">
      <w:pPr>
        <w:pStyle w:val="CETAddress"/>
      </w:pPr>
      <w:r>
        <w:t xml:space="preserve">University of Calabria, Via P. Bucci 42C, 87036 Rende (CS), Italy; </w:t>
      </w:r>
    </w:p>
    <w:p w14:paraId="60187492" w14:textId="15D2B1CF" w:rsidR="00C1763E" w:rsidRDefault="00CA4323" w:rsidP="00C1763E">
      <w:pPr>
        <w:pStyle w:val="CETAddress"/>
      </w:pPr>
      <w:r>
        <w:rPr>
          <w:vertAlign w:val="superscript"/>
        </w:rPr>
        <w:t>b</w:t>
      </w:r>
      <w:r w:rsidR="00C1763E">
        <w:t>Institute on Membrane Technology–National Research Council of Italy (CNR-ITM), Via P. Bucci 17C,</w:t>
      </w:r>
    </w:p>
    <w:p w14:paraId="6FD34FCE" w14:textId="77777777" w:rsidR="00C1763E" w:rsidRDefault="00C1763E" w:rsidP="00C1763E">
      <w:pPr>
        <w:pStyle w:val="CETAddress"/>
      </w:pPr>
      <w:r>
        <w:t>87036 Rende (CS), Italy</w:t>
      </w:r>
    </w:p>
    <w:p w14:paraId="0000F814" w14:textId="7C2E2712" w:rsidR="003C7911" w:rsidRDefault="003C7911" w:rsidP="00C1763E">
      <w:pPr>
        <w:pStyle w:val="CETAddress"/>
      </w:pPr>
      <w:r>
        <w:rPr>
          <w:vertAlign w:val="superscript"/>
        </w:rPr>
        <w:t>c</w:t>
      </w:r>
      <w:r w:rsidRPr="003C7911">
        <w:t>Department of Engineering for Innovation, University of Salento (UNISALENTO), Corpo Z, Campus Ecotekne, SP.6 per Monteroni, 73047 Lecce, Italy</w:t>
      </w:r>
    </w:p>
    <w:p w14:paraId="325E60EC" w14:textId="3F64F194" w:rsidR="00CA4323" w:rsidRDefault="00D95172" w:rsidP="00D95172">
      <w:pPr>
        <w:pStyle w:val="CETAddress"/>
      </w:pPr>
      <w:hyperlink r:id="rId10" w:history="1">
        <w:r w:rsidRPr="00924B89">
          <w:rPr>
            <w:rStyle w:val="Collegamentoipertestuale"/>
          </w:rPr>
          <w:t>*giuseppe.prenesti@unical.it</w:t>
        </w:r>
      </w:hyperlink>
      <w:r>
        <w:t>; e.tocci@itm.cnr.it</w:t>
      </w:r>
    </w:p>
    <w:p w14:paraId="3CF8DF1C" w14:textId="77777777" w:rsidR="00D95172" w:rsidRDefault="00D95172" w:rsidP="00D95172">
      <w:pPr>
        <w:pStyle w:val="CETAddress"/>
      </w:pPr>
    </w:p>
    <w:p w14:paraId="72424314" w14:textId="424C0AB6" w:rsidR="00887D35" w:rsidRDefault="00863715" w:rsidP="00887D35">
      <w:pPr>
        <w:pStyle w:val="CETBodytext"/>
        <w:rPr>
          <w:lang w:val="en-GB"/>
        </w:rPr>
      </w:pPr>
      <w:r w:rsidRPr="00863715">
        <w:rPr>
          <w:lang w:val="en-GB"/>
        </w:rPr>
        <w:t>The increasing demand for lithium in lithium-based batteries (LIBs) underscores the urgent need for sustainable recovery technologies, particularly for recycling exhausted batteries. Membrane-assisted crystallization (MCr) has emerged as a promising method for lithium recovery, enabling the production of high-quality crystals with minimal environmental impact. Although MCr has been widely explored across various applications, its specific role in the crystallization of lithium salts—especially lithium fluoride (LiF)—remains under-researched.</w:t>
      </w:r>
      <w:r w:rsidR="00887D35" w:rsidRPr="00863715">
        <w:rPr>
          <w:lang w:val="en-GB"/>
        </w:rPr>
        <w:t xml:space="preserve"> </w:t>
      </w:r>
      <w:r w:rsidRPr="00863715">
        <w:rPr>
          <w:lang w:val="en-GB"/>
        </w:rPr>
        <w:t xml:space="preserve">This study examines the interactions between LiF solutions and polypropylene (PP) membranes during the crystallization process through molecular dynamics (MD) simulations. </w:t>
      </w:r>
      <w:bookmarkStart w:id="1" w:name="_Hlk187321135"/>
      <w:r w:rsidRPr="00546B55">
        <w:rPr>
          <w:color w:val="FF0000"/>
          <w:lang w:val="en-GB"/>
        </w:rPr>
        <w:t>By comparing systems with</w:t>
      </w:r>
      <w:r w:rsidR="00546B55" w:rsidRPr="00546B55">
        <w:rPr>
          <w:color w:val="FF0000"/>
          <w:lang w:val="en-GB"/>
        </w:rPr>
        <w:t xml:space="preserve"> membrane, from now on referring simply as </w:t>
      </w:r>
      <w:r w:rsidR="00546B55" w:rsidRPr="00546B55">
        <w:rPr>
          <w:i/>
          <w:iCs/>
          <w:color w:val="FF0000"/>
          <w:lang w:val="en-GB"/>
        </w:rPr>
        <w:t>Membrane</w:t>
      </w:r>
      <w:r w:rsidR="00546B55" w:rsidRPr="00546B55">
        <w:rPr>
          <w:color w:val="FF0000"/>
          <w:lang w:val="en-GB"/>
        </w:rPr>
        <w:t>,</w:t>
      </w:r>
      <w:r w:rsidR="00546B55" w:rsidRPr="00546B55">
        <w:rPr>
          <w:i/>
          <w:iCs/>
          <w:color w:val="FF0000"/>
          <w:lang w:val="en-GB"/>
        </w:rPr>
        <w:t xml:space="preserve"> </w:t>
      </w:r>
      <w:r w:rsidRPr="00546B55">
        <w:rPr>
          <w:color w:val="FF0000"/>
          <w:lang w:val="en-GB"/>
        </w:rPr>
        <w:t>and without the membrane</w:t>
      </w:r>
      <w:r w:rsidR="00546B55" w:rsidRPr="00546B55">
        <w:rPr>
          <w:color w:val="FF0000"/>
          <w:lang w:val="en-GB"/>
        </w:rPr>
        <w:t xml:space="preserve">, from now on referring with the word </w:t>
      </w:r>
      <w:r w:rsidR="00546B55" w:rsidRPr="00546B55">
        <w:rPr>
          <w:i/>
          <w:iCs/>
          <w:color w:val="FF0000"/>
          <w:lang w:val="en-GB"/>
        </w:rPr>
        <w:t>Bulk</w:t>
      </w:r>
      <w:r w:rsidR="00546B55" w:rsidRPr="00546B55">
        <w:rPr>
          <w:color w:val="FF0000"/>
          <w:lang w:val="en-GB"/>
        </w:rPr>
        <w:t>,</w:t>
      </w:r>
      <w:r w:rsidRPr="00546B55">
        <w:rPr>
          <w:color w:val="FF0000"/>
          <w:lang w:val="en-GB"/>
        </w:rPr>
        <w:t xml:space="preserve"> we highlight the membrane's pivotal role in influencing water and ion diffusion, promoting ion aggregation, and enhancing crystal formation. </w:t>
      </w:r>
      <w:bookmarkEnd w:id="1"/>
      <w:r w:rsidRPr="00863715">
        <w:rPr>
          <w:lang w:val="en-GB"/>
        </w:rPr>
        <w:t>The results demonstrate that PP membranes slow water diffusion while facilitating ion mobility, leading to the development of more ordered and crystalline structures. Additionally, interactions with the ionic solution induce subtle morphological changes in the membrane, which influence the spatial arrangement of forming crystals. Experimental validation supports these findings, showing that PP membranes significantly improve crystal quality and structure. This work underscores the essential role of PP membranes in advancing sustainable and efficient lithium recovery technologies.</w:t>
      </w:r>
    </w:p>
    <w:p w14:paraId="7EEC0C02" w14:textId="77777777" w:rsidR="00A07FF4" w:rsidRDefault="00A07FF4" w:rsidP="00887D35">
      <w:pPr>
        <w:pStyle w:val="CETBodytext"/>
        <w:rPr>
          <w:b/>
          <w:lang w:val="en-GB"/>
        </w:rPr>
      </w:pPr>
    </w:p>
    <w:p w14:paraId="476B2F2E" w14:textId="611347BC" w:rsidR="00600535" w:rsidRPr="00A07FF4" w:rsidRDefault="00600535" w:rsidP="00A07FF4">
      <w:pPr>
        <w:pStyle w:val="CETHeading1"/>
        <w:tabs>
          <w:tab w:val="clear" w:pos="360"/>
          <w:tab w:val="right" w:pos="7100"/>
        </w:tabs>
        <w:spacing w:before="0"/>
        <w:jc w:val="both"/>
        <w:rPr>
          <w:lang w:val="en-GB"/>
        </w:rPr>
      </w:pPr>
      <w:r w:rsidRPr="00A07FF4">
        <w:rPr>
          <w:lang w:val="en-GB"/>
        </w:rPr>
        <w:t>Introduction</w:t>
      </w:r>
    </w:p>
    <w:p w14:paraId="2170362D" w14:textId="624C3AC5" w:rsidR="00887D35" w:rsidRDefault="00887D35" w:rsidP="00887D35">
      <w:pPr>
        <w:pStyle w:val="CETBodytext"/>
      </w:pPr>
      <w:r>
        <w:t xml:space="preserve">The global push to reduce greenhouse gas emissions has led to the adoption of renewable energy sources, but their variability necessitates effective energy storage solutions </w:t>
      </w:r>
      <w:r w:rsidRPr="00332DC6">
        <w:fldChar w:fldCharType="begin" w:fldLock="1"/>
      </w:r>
      <w:r>
        <w:instrText>ADDIN CSL_CITATION {"citationItems":[{"id":"ITEM-1","itemData":{"DOI":"10.1016/j.egyr.2024.01.024","ISSN":"23524847","abstract":"Renewable energy resources are essential for combating climate change. However, their use, production and collection have environmental impacts and climate change effects also affect them. The unique contributions were that the risks of climate change to renewable energy resources were addressed, which is addressed rarely before. Climate change, marked the increase of Greenhouse gases (GHGs), affects ground heat source, Asphalt/concrete-covered areas and borehole energy at about 0.5 risk levels. Toxicity emerges as the primary environmental impact from ground heat sources (0.7), asphalt/concrete-covered areas (0.6), borehole energy (0.9), and sediment heat energy production (1.6). Bioenergy sufficiency and cost affect bio-oil (2.25), biodiesel (1.9), bioethanol (2.4), biogas (2.3), forest biomass (2.3), and algae (2.3) at varying risk estimate levels. The most prevalent impact, observed across all bioenergy and biomass energy sources, is on biodiversity. Extreme weather phenomena impact ground wind energy (2.7), offshore wind energy (3.4), solar panels and collectors (1.3), and hydropower (1.2) at varying risk estimate levels. Ground and offshore wind energy have effects on birds and other animals at levels of about 1.3 and 1.1, respectively. Field-based biomass energy is affected by climate change more than other renewable energy resources. Ground heat sources were the least-affected type of renewable energy and the type with the fewest effects on the environment was solar energy/collectors. The significance of the study is that it helped to make it clear that renewables are safe for the environment. This study assists renewable energy sustainability by creating attractiveness and awareness of its risk-free facts to society. One of the novelties of the study is that new renewable energy sources were included – sediment heat, asphalt heat and water heat exchangers. The research concludes that even if the risks of renewable energy are much lower than fossil fuels, they are still significant and cannot be ignored.","author":[{"dropping-particle":"","family":"Girgibo","given":"N.","non-dropping-particle":"","parse-names":false,"suffix":""},{"dropping-particle":"","family":"Hiltunen","given":"E.","non-dropping-particle":"","parse-names":false,"suffix":""},{"dropping-particle":"","family":"Lü","given":"X.","non-dropping-particle":"","parse-names":false,"suffix":""},{"dropping-particle":"","family":"Mäkiranta","given":"A.","non-dropping-particle":"","parse-names":false,"suffix":""},{"dropping-particle":"","family":"Tuomi","given":"V.","non-dropping-particle":"","parse-names":false,"suffix":""}],"container-title":"Energy Reports","id":"ITEM-1","issue":"January","issued":{"date-parts":[["2024"]]},"page":"1517-1534","title":"Risks of climate change effects on renewable energy resources and the effects of their utilisation on the environment","type":"article-journal","volume":"11"},"uris":["http://www.mendeley.com/documents/?uuid=e1d41716-6bde-4d9e-abbf-0e9dfe053399"]}],"mendeley":{"formattedCitation":"(Girgibo et al. 2024)","plainTextFormattedCitation":"(Girgibo et al. 2024)","previouslyFormattedCitation":"(Girgibo et al. 2024)"},"properties":{"noteIndex":0},"schema":"https://github.com/citation-style-language/schema/raw/master/csl-citation.json"}</w:instrText>
      </w:r>
      <w:r w:rsidRPr="00332DC6">
        <w:fldChar w:fldCharType="separate"/>
      </w:r>
      <w:r w:rsidRPr="00D940CB">
        <w:rPr>
          <w:noProof/>
        </w:rPr>
        <w:t>(Girgibo et al. 2024)</w:t>
      </w:r>
      <w:r w:rsidRPr="00332DC6">
        <w:fldChar w:fldCharType="end"/>
      </w:r>
      <w:r w:rsidRPr="00332DC6">
        <w:t>.</w:t>
      </w:r>
      <w:r>
        <w:t xml:space="preserve"> Lithium-based batteries (LIBs) are essential for energy storage but contribute to waste and pollution, creating a growing interest in recycling lithium from spent batteries. </w:t>
      </w:r>
      <w:r w:rsidR="0078124D" w:rsidRPr="00332DC6">
        <w:t xml:space="preserve">Techniques such as extraction and reactive crystallization are essential in this process </w:t>
      </w:r>
      <w:r w:rsidR="0078124D" w:rsidRPr="00332DC6">
        <w:fldChar w:fldCharType="begin" w:fldLock="1"/>
      </w:r>
      <w:r w:rsidR="0078124D">
        <w:instrText>ADDIN CSL_CITATION {"citationItems":[{"id":"ITEM-1","itemData":{"DOI":"10.1016/j.jcrysgro.2024.127625","ISSN":"00220248","abstract":"Today Li-ion battery recycling processes allow the recovery of heavy metal elements such as copper, cobalt, nickel and manganese. On the other hand, lithium is generally lost in slag or released to the environment and therefore is not recovered. Lithium is an element non-substitutable of Li-ion batteries which technology is indispensable in electromobility and energy transition. Moreover, since 2020 the EU has classified lithium as a “critical metal”. The objective of this work is to develop a precipitation process of lithium salts from spent Li-ion batteries (LIBs), which respects the environment, consumes little energy and material, by maximizing the yield and purity of the product obtained. Experimental procedures in batch and continuous reactors made possible to optimize operating parameters such as temperature, solid concentration inside the reactor, reaction time and stirring speed. Lithium carbonate and lithium hydroxide are the preferred precursors for synthetizing LIBs since they deliver high purity in the final product, and the most important are cost effective. Shin e al. (2022) [1] In this work the precipitation of Li2CO3 is performed. Lithium carbonate exhibits inverse solubility thus, the more the temperature increases, the residual content of dissolved lithium decreases and therefore the quantity of precipitated lithium carbonate increases. From the experiments a suitable set-up of the process is presented as well as a novel route for the precipitation of lithium salts by direct carbonation. This allows to improve the purity and yield of the precipitate.","author":[{"dropping-particle":"","family":"Ramírez Velázquez","given":"L. E.","non-dropping-particle":"","parse-names":false,"suffix":""},{"dropping-particle":"","family":"Palos","given":"Laëtitia","non-dropping-particle":"","parse-names":false,"suffix":""},{"dropping-particle":"","family":"Page Mostefa","given":"Marie","non-dropping-particle":"Le","parse-names":false,"suffix":""},{"dropping-particle":"","family":"Muhr","given":"Hervé","non-dropping-particle":"","parse-names":false,"suffix":""}],"container-title":"Journal of Crystal Growth","id":"ITEM-1","issue":"March 2023","issued":{"date-parts":[["2024"]]},"title":"Recovery of lithium from Li-ion battery leachate by gas-liquid precipitation","type":"article-journal","volume":"631"},"uris":["http://www.mendeley.com/documents/?uuid=c833e902-2f1e-4349-8c2c-2ea18382cbe4"]}],"mendeley":{"formattedCitation":"(Ramírez Velázquez et al. 2024)","plainTextFormattedCitation":"(Ramírez Velázquez et al. 2024)","previouslyFormattedCitation":"(Ramírez Velázquez et al. 2024)"},"properties":{"noteIndex":0},"schema":"https://github.com/citation-style-language/schema/raw/master/csl-citation.json"}</w:instrText>
      </w:r>
      <w:r w:rsidR="0078124D" w:rsidRPr="00332DC6">
        <w:fldChar w:fldCharType="separate"/>
      </w:r>
      <w:r w:rsidR="0078124D" w:rsidRPr="00D940CB">
        <w:rPr>
          <w:noProof/>
        </w:rPr>
        <w:t>(Ramírez Velázquez et al. 2024)</w:t>
      </w:r>
      <w:r w:rsidR="0078124D" w:rsidRPr="00332DC6">
        <w:fldChar w:fldCharType="end"/>
      </w:r>
      <w:r w:rsidR="0078124D" w:rsidRPr="00332DC6">
        <w:t>.</w:t>
      </w:r>
      <w:r w:rsidR="0078124D">
        <w:t xml:space="preserve"> </w:t>
      </w:r>
      <w:r>
        <w:t>Recovering lithium in crystal form is particularly desirable for reuse, and membrane-assisted crystallization has emerged as a green alternative</w:t>
      </w:r>
      <w:r w:rsidR="0078124D">
        <w:t xml:space="preserve"> </w:t>
      </w:r>
      <w:r w:rsidR="0078124D">
        <w:fldChar w:fldCharType="begin" w:fldLock="1"/>
      </w:r>
      <w:r w:rsidR="0078124D">
        <w:instrText>ADDIN CSL_CITATION {"citationItems":[{"id":"ITEM-1","itemData":{"DOI":"10.1021/ie000906d","ISSN":"08885885","abstract":"Well-controlled crystallization is the best method for preparing materials that are extremely pure. Furthermore, it can also be highly advantageous by operating the crystallization so that the crystals pick up impurities from water. Crystal growth generally starts at solute concentrations at which the nucleation occurs; the growth rate, depending on the supersaturation degree, is determined by a combination of the nature of the growing crystal surface and the diffusional rate. The purpose of this work is to introduce an innovative methodology, the membrane crystallization, to produce crystals from solutions. For the present application, direct contact membrane distillation - a separation process based on hydrophobic microporous membranes - has been employed to reach the supersaturation in the crystallization of NaCl from aqueous solutions: volatile components diffuse through the membrane pores as vapor by applying a temperature difference across the membrane which creates a gradient of the equilibrium partial pressures; that is the driving force for the operation. The experiments have been carried out in a laboratory plant for studying the distribution of crystal dimensions, nucleation, and growth rates as a function of the retention time, slurry density, temperature, and supersaturation level of the solution. The kinetic data and product size distribution obtained have been compared with the ones by traditional crystallizers.","author":[{"dropping-particle":"","family":"Curcio","given":"E.","non-dropping-particle":"","parse-names":false,"suffix":""},{"dropping-particle":"","family":"Criscuoli","given":"A.","non-dropping-particle":"","parse-names":false,"suffix":""},{"dropping-particle":"","family":"Drioli","given":"E.","non-dropping-particle":"","parse-names":false,"suffix":""}],"container-title":"Industrial and Engineering Chemistry Research","id":"ITEM-1","issue":"12","issued":{"date-parts":[["2001"]]},"page":"2679-2684","title":"Membrane crystallizers","type":"article-journal","volume":"40"},"uris":["http://www.mendeley.com/documents/?uuid=d8052b93-6535-4971-ad66-523bcf43cff3"]},{"id":"ITEM-2","itemData":{"DOI":"10.1016/j.coche.2012.03.005","ISSN":"22113398","abstract":"Membrane crystallization (MCr) is an innovative concept related to the implementation of membrane technology in crystallization processes. Some important advantages make this methodology of growing interest: well-con</w:instrText>
      </w:r>
      <w:r w:rsidR="0078124D" w:rsidRPr="0078124D">
        <w:instrText>trolled nucleation and growth kinetics, fast crystallization rates and reduced induction time, membrane surface promoting heterogeneous nucleation, fine modulation of the level and rate of supersaturation, selection of polymorphic forms, extension of the MCr concept to antisolvent crystallization, and production of cocrystals. © 2012 Elsevier Ltd.","author":[{"dropping-particle":"","family":"Drioli","given":"Enrico","non-dropping-particle":"","parse-names":false,"suffix":""},{"dropping-particle":"","family":"Profio","given":"Gianluca","non-dropping-particle":"Di","parse-names":false,"suffix":""},{"dropping-particle":"","family":"Curcio","given":"Efrem","non-dropping-particle":"","parse-names":false,"suffix":""}],"container-title":"Current Opinion in Chemical Engineering","id":"ITEM-2","issue":"2","issued":{"date-parts":[["2012"]]},"page":"178-182","publisher":"Elsevier Ltd","title":"Progress in membrane crystallization","type":"article-journal","volume":"1"},"uris":["http://www.mendeley.com/documents/?uuid=f8aa51a9-a225-4f5a-89e1-956369ac5f17"]}],"mendeley":{"formattedCitation":"(Curcio, Criscuoli, and Drioli 2001; Drioli, Di Profio, and Curcio 2012)","plainTextFormattedCitation":"(Curcio, Criscuoli, and Drioli 2001; Drioli, Di Profio, and Curcio 2012)","previouslyFormattedCitation":"(Curcio, Criscuoli, and Drioli 2001; Drioli, Di Profio, and Curcio 2012)"},"properties":{"noteIndex":0},"schema":"https://github.com/citation-style-language/schema/raw/master/csl-citation.json"}</w:instrText>
      </w:r>
      <w:r w:rsidR="0078124D">
        <w:fldChar w:fldCharType="separate"/>
      </w:r>
      <w:r w:rsidR="0078124D" w:rsidRPr="0078124D">
        <w:rPr>
          <w:noProof/>
        </w:rPr>
        <w:t>(Curcio, Criscuoli, and Drioli 2001; Drioli, Di Profio, and Curcio 2012)</w:t>
      </w:r>
      <w:r w:rsidR="0078124D">
        <w:fldChar w:fldCharType="end"/>
      </w:r>
      <w:r w:rsidR="0078124D" w:rsidRPr="0078124D">
        <w:t>.</w:t>
      </w:r>
      <w:r w:rsidRPr="0078124D">
        <w:t xml:space="preserve"> </w:t>
      </w:r>
      <w:r w:rsidRPr="00863715">
        <w:rPr>
          <w:lang w:val="en-GB"/>
        </w:rPr>
        <w:t>LiF presents unique challenges due to its low solubility in water, and strong Coulombic interactions between Li</w:t>
      </w:r>
      <w:r w:rsidRPr="00863715">
        <w:rPr>
          <w:vertAlign w:val="superscript"/>
          <w:lang w:val="en-GB"/>
        </w:rPr>
        <w:t>+</w:t>
      </w:r>
      <w:r w:rsidRPr="00863715">
        <w:rPr>
          <w:lang w:val="en-GB"/>
        </w:rPr>
        <w:t xml:space="preserve"> and F</w:t>
      </w:r>
      <w:r w:rsidRPr="00794355">
        <w:rPr>
          <w:vertAlign w:val="superscript"/>
          <w:lang w:val="en-GB"/>
        </w:rPr>
        <w:t>−</w:t>
      </w:r>
      <w:r w:rsidRPr="00863715">
        <w:rPr>
          <w:lang w:val="en-GB"/>
        </w:rPr>
        <w:t>. These characteristics result in significant dehydration barriers, making spontaneous nucleation at room temperature unlikely. Studies have shown that LiF crystallization requires conditions of high supersaturation and typically forms a face-centered cubic (FCC) structure.</w:t>
      </w:r>
      <w:r w:rsidR="00C1520C">
        <w:rPr>
          <w:lang w:val="en-GB"/>
        </w:rPr>
        <w:t xml:space="preserve"> Hydrophobic</w:t>
      </w:r>
      <w:r>
        <w:rPr>
          <w:lang w:val="en-GB"/>
        </w:rPr>
        <w:t xml:space="preserve"> </w:t>
      </w:r>
      <w:r w:rsidR="00C1520C">
        <w:t xml:space="preserve">polymeric </w:t>
      </w:r>
      <w:r>
        <w:t xml:space="preserve">membranes, such as </w:t>
      </w:r>
      <w:r w:rsidR="00C1520C">
        <w:t xml:space="preserve">those containing </w:t>
      </w:r>
      <w:r>
        <w:t>PP, are pivotal in membrane-assisted crystallization, acting as selective barriers that allow water vapor transport while retaining ions. These properties facilitate high-quality crystal recovery while minimizing environmental impact</w:t>
      </w:r>
      <w:r w:rsidR="0078124D">
        <w:t xml:space="preserve"> </w:t>
      </w:r>
      <w:r w:rsidR="0078124D" w:rsidRPr="00EA7C4A">
        <w:fldChar w:fldCharType="begin" w:fldLock="1"/>
      </w:r>
      <w:r w:rsidR="0078124D">
        <w:instrText>ADDIN CSL_CITATION {"citationItems":[{"id":"ITEM-1","itemData":{"DOI":"10.1039/d3ce00045a","ISSN":"14668033","abstract":"Membrane crystallization (MCr) is a novel coupling technique, where the membrane can act as the interface of heterogeneous nucleation, aiming to reduce the nucleation barrier and contributing to crystal growth. This review systematically summarized the recent advances in the MCr technique. This paper first focuses on the process intensification of MCr, from model configuration to the regulation of process parameters and the development of membrane modules. Then, we review the applications of MCr in chemical engineering, including optimization of the product properties, the treatment of seawater, and the fixation of carbon dioxide. Although the MCr process displays huge potential in crystal engineering and chemical engineering fields, the problems of membrane fouling and wetting still restrict its industrial application. This review analyzes the mechanisms behind the membrane problems and proposes corresponding strategies to ensure stable and long-term operation. Finally, we propose some future perspectives for further development.","author":[{"dropping-particle":"","family":"Shen","given":"Lixia","non-dropping-particle":"","parse-names":false,"suffix":""},{"dropping-particle":"","family":"Dang","given":"Mingyan","non-dropping-particle":"","parse-names":false,"suffix":""},{"dropping-particle":"","family":"Han","given":"Xingwei","non-dropping-particle":"","parse-names":false,"suffix":""}],"container-title":"CrystEngComm","id":"ITEM-1","issue":"17","issued":{"date-parts":[["2023"]]},"page":"2503-2517","publisher":"Royal Society of Chemistry","title":"Recent advances in membrane crystallization","type":"article-journal","volume":"25"},"uris":["http://www.mendeley.com/documents/?uuid=4195e689-a2af-4797-9d41-bf78240288b7"]},{"id":"ITEM-2","itemData":{"author":[{"dropping-particle":"","family":"Frappa","given":"Mirko","non-dropping-particle":"","parse-names":false,"suffix":""},{"dropping-particle":"","family":"Macedonio","given":"Francesca","non-dropping-particle":"","parse-names":false,"suffix":""},{"dropping-particle":"","family":"Drioli","given":"Enrico","non-dropping-particle":"","parse-names":false,"suffix":""}],"id":"ITEM-2","issue":"January","issued":{"date-parts":[["2023"]]},"title":"Membrane-assisted crystallization","type":"article-journal","volume":"1"},"uris":["http://www.mendeley.com/documents/?uuid=d5a3fdd0-1fab-49a4-9ca9-7114fa1b5e94"]}],"mendeley":{"formattedCitation":"(Frappa, Macedonio, and Drioli 2023; Shen, Dang, and Han 2023)","plainTextFormattedCitation":"(Frappa, Macedonio, and Drioli 2023; Shen, Dang, and Han 2023)","previouslyFormattedCitation":"(Frappa, Macedonio, and Drioli 2023; Shen, Dang, and Han 2023)"},"properties":{"noteIndex":0},"schema":"https://github.com/citation-style-language/schema/raw/master/csl-citation.json"}</w:instrText>
      </w:r>
      <w:r w:rsidR="0078124D" w:rsidRPr="00EA7C4A">
        <w:fldChar w:fldCharType="separate"/>
      </w:r>
      <w:r w:rsidR="0078124D" w:rsidRPr="00D940CB">
        <w:rPr>
          <w:noProof/>
        </w:rPr>
        <w:t>(Frappa, Macedonio, and Drioli 2023; Shen, Dang, and Han 2023)</w:t>
      </w:r>
      <w:r w:rsidR="0078124D" w:rsidRPr="00EA7C4A">
        <w:fldChar w:fldCharType="end"/>
      </w:r>
      <w:r>
        <w:t xml:space="preserve">. </w:t>
      </w:r>
      <w:bookmarkStart w:id="2" w:name="_Hlk187760342"/>
      <w:r w:rsidR="00E85933" w:rsidRPr="009248FE">
        <w:rPr>
          <w:color w:val="FF0000"/>
          <w:lang w:val="en-GB"/>
        </w:rPr>
        <w:t xml:space="preserve">Our recent MD simulation studies revealed that PP membranes exhibit unique interactions with supersaturated LiF solutions, affecting both crystal properties and membrane morphology. These interactions result from the membrane's hydrophobic nature, surface morphology, and </w:t>
      </w:r>
      <w:r w:rsidR="00E85933" w:rsidRPr="009248FE">
        <w:rPr>
          <w:color w:val="FF0000"/>
          <w:lang w:val="en-GB"/>
        </w:rPr>
        <w:lastRenderedPageBreak/>
        <w:t>selective transport properties.</w:t>
      </w:r>
      <w:r w:rsidR="00E85933">
        <w:rPr>
          <w:color w:val="FF0000"/>
          <w:lang w:val="en-GB"/>
        </w:rPr>
        <w:t xml:space="preserve"> </w:t>
      </w:r>
      <w:bookmarkEnd w:id="2"/>
      <w:r>
        <w:t>This work aims to deepen the understanding of LiF crystallization processes by analyzing the interactions of lithium,</w:t>
      </w:r>
      <w:r w:rsidR="00572460">
        <w:t xml:space="preserve"> f</w:t>
      </w:r>
      <w:r>
        <w:t>luorine, and water with and without PP membranes. Experimental validation supports the simulation findings, providing insights into the role of PP in controlling crystallization dynamics.</w:t>
      </w:r>
    </w:p>
    <w:p w14:paraId="6F553530" w14:textId="77777777" w:rsidR="00A07FF4" w:rsidRDefault="00A07FF4" w:rsidP="00887D35">
      <w:pPr>
        <w:pStyle w:val="CETBodytext"/>
      </w:pPr>
    </w:p>
    <w:p w14:paraId="5741900F" w14:textId="5B8A063C" w:rsidR="00453E24" w:rsidRPr="00A07FF4" w:rsidRDefault="00941811" w:rsidP="00A07FF4">
      <w:pPr>
        <w:pStyle w:val="CETHeading1"/>
        <w:tabs>
          <w:tab w:val="clear" w:pos="360"/>
          <w:tab w:val="right" w:pos="7100"/>
        </w:tabs>
        <w:spacing w:before="0"/>
        <w:jc w:val="both"/>
        <w:rPr>
          <w:lang w:val="en-GB"/>
        </w:rPr>
      </w:pPr>
      <w:r>
        <w:t>Materials and methods</w:t>
      </w:r>
    </w:p>
    <w:p w14:paraId="2DAF24FB" w14:textId="598F0F04" w:rsidR="002670C7" w:rsidRPr="002670C7" w:rsidRDefault="002670C7" w:rsidP="002670C7">
      <w:pPr>
        <w:pStyle w:val="CETheadingx"/>
      </w:pPr>
      <w:r w:rsidRPr="002670C7">
        <w:t>2.</w:t>
      </w:r>
      <w:r w:rsidR="00A41BE6">
        <w:t>1</w:t>
      </w:r>
      <w:r w:rsidRPr="002670C7">
        <w:t xml:space="preserve"> </w:t>
      </w:r>
      <w:r>
        <w:t>Computational membrane box</w:t>
      </w:r>
    </w:p>
    <w:p w14:paraId="72F31791" w14:textId="4121A54F" w:rsidR="00D634F4" w:rsidRPr="002C70A9" w:rsidRDefault="00D634F4" w:rsidP="00F578AD">
      <w:pPr>
        <w:pStyle w:val="CETBodytext"/>
        <w:rPr>
          <w:color w:val="FF0000"/>
        </w:rPr>
      </w:pPr>
      <w:r w:rsidRPr="00D634F4">
        <w:t>A dense PP</w:t>
      </w:r>
      <w:r w:rsidR="009C7B0B">
        <w:t xml:space="preserve"> </w:t>
      </w:r>
      <w:r w:rsidRPr="00D634F4">
        <w:t xml:space="preserve">model was developed using Materials Studio 8.0. The membrane box dimensions were 50×50×30 Å, achieving a density of 0.85–0.95 g/cm³. </w:t>
      </w:r>
      <w:bookmarkStart w:id="3" w:name="_Hlk187322677"/>
      <w:r w:rsidR="00F578AD" w:rsidRPr="00F578AD">
        <w:rPr>
          <w:color w:val="FF0000"/>
        </w:rPr>
        <w:t xml:space="preserve">The isotactic PP polymer, consisting of 300 monomers with randomized torsion branching, was confined in an amorphous cell containing argon, which acted as a spacer. The box was replicated in a supercell twice in the x and y directions. Two graphene layers (GWs) were positioned on the two largest faces of the box to ensure flat surfaces along the x and y axes. Simulations were conducted using the COMPASS II force field with periodic boundary conditions </w:t>
      </w:r>
      <w:r w:rsidR="00F578AD" w:rsidRPr="008C3D8F">
        <w:rPr>
          <w:color w:val="FF0000"/>
        </w:rPr>
        <w:fldChar w:fldCharType="begin" w:fldLock="1"/>
      </w:r>
      <w:r w:rsidR="00F578AD" w:rsidRPr="008C3D8F">
        <w:rPr>
          <w:color w:val="FF0000"/>
        </w:rPr>
        <w:instrText>ADDIN CSL_CITATION {"citationItems":[{"id":"ITEM-1","itemData":{"DOI":"10.1007/s00894-016-2909-0","ISSN":"09485023","PMID":"26815034","abstract":"The COMPASS II force field has been developed by extending the coverage of the COMPASS force field (J Phys Chem B 102(38):7338–7364, 1998) to polymer and drug-like molecules found in popular databases. Using a fragmentation method to systematically construct small molecules that exhibit key functional groups found in these databases, parameters applicable to database compounds were efficiently obtained. Based on the same parameterization paradigm as used in the development of the COMPASS force field, new parameters were derived by a combination of fits to quantum mechanical data for valence parameters and experimental liquid and crystal data for nonbond parameters. To preserve the quality of the original COMPASS parameters, a quality assurance suite was used and updated to ensure that additional atom-types and parameters do not interfere with the existing ones. Validation against molecular properties, liquid and crystal densities, and enthalpies, demonstrates that the quality of COMPASS is preserved and the same quality of prediction is achieved for the additional coverage.","author":[{"dropping-particle":"","family":"Sun","given":"Huai","non-dropping-particle":"","parse-names":false,"suffix":""},{"dropping-particle":"","family":"Jin","given":"Zhao","non-dropping-particle":"","parse-names":false,"suffix":""},{"dropping-particle":"","family":"Yang","given":"Chunwei","non-dropping-particle":"","parse-names":false,"suffix":""},{"dropping-particle":"","family":"Akkermans","given":"Reinier L.C.","non-dropping-particle":"","parse-names":false,"suffix":""},{"dropping-particle":"","family":"Robertson","given":"Struan H.","non-dropping-particle":"","parse-names":false,"suffix":""},{"dropping-particle":"","family":"Spenley","given":"Neil A.","non-dropping-particle":"","parse-names":false,"suffix":""},{"dropping-particle":"","family":"Miller","given":"Simon","non-dropping-particle":"","parse-names":false,"suffix":""},{"dropping-particle":"","family":"Todd","given":"Stephen M.","non-dropping-particle":"","parse-names":false,"suffix":""}],"container-title":"Journal of Molecular Modeling","id":"ITEM-1","issue":"2","issued":{"date-parts":[["2016"]]},"page":"1-10","title":"COMPASS II: extended coverage for polymer and drug-like molecule databases","type":"article-journal","volume":"22"},"uris":["http://www.mendeley.com/documents/?uuid=de46951f-a707-4641-8a72-fd384729deab"]}],"mendeley":{"formattedCitation":"(Sun et al. 2016)","plainTextFormattedCitation":"(Sun et al. 2016)","previouslyFormattedCitation":"(Sun et al. 2016)"},"properties":{"noteIndex":0},"schema":"https://github.com/citation-style-language/schema/raw/master/csl-citation.json"}</w:instrText>
      </w:r>
      <w:r w:rsidR="00F578AD" w:rsidRPr="008C3D8F">
        <w:rPr>
          <w:color w:val="FF0000"/>
        </w:rPr>
        <w:fldChar w:fldCharType="separate"/>
      </w:r>
      <w:r w:rsidR="00F578AD" w:rsidRPr="008C3D8F">
        <w:rPr>
          <w:noProof/>
          <w:color w:val="FF0000"/>
        </w:rPr>
        <w:t>(Sun et al. 2016)</w:t>
      </w:r>
      <w:r w:rsidR="00F578AD" w:rsidRPr="008C3D8F">
        <w:rPr>
          <w:color w:val="FF0000"/>
        </w:rPr>
        <w:fldChar w:fldCharType="end"/>
      </w:r>
      <w:r w:rsidR="00F578AD" w:rsidRPr="008C3D8F">
        <w:rPr>
          <w:color w:val="FF0000"/>
        </w:rPr>
        <w:t xml:space="preserve">. </w:t>
      </w:r>
      <w:r w:rsidR="00F578AD" w:rsidRPr="00F578AD">
        <w:rPr>
          <w:color w:val="FF0000"/>
        </w:rPr>
        <w:t>The system was initially optimized for energy and geometry. After optimization, the GWs and argon were removed, and the system was equilibrated under NVT (constant number of molecules, volume, and temperature) and NPT (constant number of molecules, pressure, and temperature) conditions until a stable density was achieved.</w:t>
      </w:r>
    </w:p>
    <w:bookmarkEnd w:id="3"/>
    <w:p w14:paraId="6FAB974C" w14:textId="7E5464B8" w:rsidR="002670C7" w:rsidRDefault="002670C7" w:rsidP="002670C7">
      <w:pPr>
        <w:pStyle w:val="CETheadingx"/>
      </w:pPr>
      <w:r w:rsidRPr="002670C7">
        <w:t>2.</w:t>
      </w:r>
      <w:r w:rsidR="00A41BE6">
        <w:t>2</w:t>
      </w:r>
      <w:r>
        <w:t xml:space="preserve"> Computational ionic solution</w:t>
      </w:r>
    </w:p>
    <w:p w14:paraId="17C1957A" w14:textId="7629FE44" w:rsidR="00740AC5" w:rsidRDefault="00740AC5" w:rsidP="00740AC5">
      <w:pPr>
        <w:pStyle w:val="CETBodytext"/>
      </w:pPr>
      <w:r>
        <w:t xml:space="preserve">A supersaturated LiF solution was modeled in GROMACS. The system included 8,763 water molecules and a salt concentration of 8.9 M. The solution box dimensions were 50×50×108.3 Å, later reduced to 43.3×43.3×93.9 Å after equilibration. The OPLS-AA force field </w:t>
      </w:r>
      <w:r>
        <w:fldChar w:fldCharType="begin" w:fldLock="1"/>
      </w:r>
      <w:r>
        <w:instrText>ADDIN CSL_CITATION {"citationItems":[{"id":"ITEM-1","itemData":{"DOI":"10.1021/acs.jctc.7b00520","ISSN":"15499626","PMID":"29112809","abstract":"Our OPLS-2009IL force field parameters (J. Chem. Theory Comput. 2009, 5, 1038-1050) were originally developed and tested on 68 unique ionic liquids featuring the 1-alkyl-3-methylimidazolium [RMIM], N-alkylpyridinium [RPyr], and choline cations. Experimental validation was limited to densities and a few, largely conflicting, heat of vaporization (ΔHvap) values reported in the literature at the time. Owing to the use of Monte Carlo as our sampling technique, it was also not possible to investigate the reproduction of dynamics. The [RMIM] OPLS-2009IL parameters have been revisited in this work and adapted for use in molecular dynamics (MD) simulations. In addition, new OPLS-AA parameters have been developed for multiple anions, i.e., AlCl4-, BF4-, Br-, Cl-, NO3-, PF6-, acetate, benzoate bis(pentafluoroethylsulfonyl)amide, bis(trifluoroethylsulfonyl)amide, dicyanamide, formate, methylsulfate, perchlorate, propanoate, thiocyanate, tricyanomethanide, and trifluoromethanesulfonate. The computed solvent densities, heats of vaporization, viscosities, diffusion coefficients, heat capacities, surface tensions, and other relevant solvent data compared favorably with experiment. A charge scaling of ±0.8 e was also investigated as a means to mimic polarization and charge transfer effects. The 0.8-scaling led to significant improvements for ΔHvap, surface tension, and self-diffusivity; however, a concern when scaling charges is the potential degradation of local intermolecular interactions at short ranges. Radial distribution functions (RDFs) were used to examine cation-anion interactions when employing 0.8</w:instrText>
      </w:r>
      <w:r>
        <w:rPr>
          <w:rFonts w:ascii="Cambria Math" w:hAnsi="Cambria Math" w:cs="Cambria Math"/>
        </w:rPr>
        <w:instrText>∗</w:instrText>
      </w:r>
      <w:r>
        <w:instrText>OPLS-2009IL and the scaled force field accurately reproduced RDFs from ab initio MD simulations.","author":[{"dropping-particle":"","family":"Doherty","given":"Brian","non-dropping-particle":"","parse-names":false,"suffix":""},{"dropping-particle":"","family":"Zhong","given":"Xiang","non-dropping-particle":"","parse-names":false,"suffix":""},{"dropping-particle":"","family":"Gathiaka","given":"Symon","non-dropping-particle":"","parse-names":false,"suffix":""},{"dropping-particle":"","family":"Li","given":"Bin","non-dropping-particle":"","parse-names":false,"suffix":""},{"dropping-particle":"","family":"Acevedo","given":"Orlando","non-dropping-particle":"","parse-names":false,"suffix":""}],"container-title":"Journal of Chemical Theory and Computation","id":"ITEM-1","issue":"12","issued":{"date-parts":[["2017"]]},"page":"6131-6135","title":"Revisiting OPLS Force Field Parameters for Ionic Liquid Simulations","type":"article-journal","volume":"13"},"uris":["http://www.mendeley.com/documents/?uuid=1ffdc739-fb95-47db-9792-3f03e5d3aea3"]}],"mendeley":{"formattedCitation":"(Doherty et al. 2017)","plainTextFormattedCitation":"(Doherty et al. 2017)","previouslyFormattedCitation":"(Doherty et al. 2017)"},"properties":{"noteIndex":0},"schema":"https://github.com/citation-style-language/schema/raw/master/csl-citation.json"}</w:instrText>
      </w:r>
      <w:r>
        <w:fldChar w:fldCharType="separate"/>
      </w:r>
      <w:r w:rsidRPr="006E3716">
        <w:rPr>
          <w:noProof/>
        </w:rPr>
        <w:t>(Doherty et al. 2017)</w:t>
      </w:r>
      <w:r>
        <w:fldChar w:fldCharType="end"/>
      </w:r>
      <w:r w:rsidR="00103E51">
        <w:t xml:space="preserve"> </w:t>
      </w:r>
      <w:r>
        <w:t xml:space="preserve">and SPC/E </w:t>
      </w:r>
      <w:r>
        <w:fldChar w:fldCharType="begin" w:fldLock="1"/>
      </w:r>
      <w:r>
        <w:instrText>ADDIN CSL_CITATION {"citationItems":[{"id":"ITEM-1","itemData":{"DOI":"10.1021/jp1067022","ISBN":"9024943213","ISSN":"15205207","abstract":"Molecular dynamics (MD) simulation has been used extensively to study water surfaces. Nevertheless, the quantitative prediction of water surface tension has been controversial, since results from different simulation studies using the same water model may differ considerably. Recent research has suggested that bond flexibility, long-range electrostatic interactions, and certain simulation parameters, such as Lennard-Jones (LJ) cutoff distance and simulation time, may play an important role in determining the simulated surface tension. To gain better insight on the MD simulation of water surfaces, particularly on the prediction of surface tension, we examined seven flexible water models using a consistent set of simulation parameters. The surface tensions of the flexible, extended simple point charge (SPCE-F) model and the flexible three-center (F3C) model at 300 K were found to be 70.2 and 65.3 mN/m, respectively, in reasonable agreement with the experimental value of 71.7 mN/m. More importantly, however, detailed analysis of the interfacial structure and contributions from various interactions have revealed that the surface tension of water is determined by the delicate balance between intramolecular (bond stretching) and intermolecular (LJ) interactions, which reflects both the molecular orientation in the interfacial region and the density variation across the Gibbs dividing surface (GDS). In addition, the water molecules on the liquid side of the GDS were found to lie almost parallel to the surface, which helps to clarify the dual-layer structure suggested by sum-frequency generation spectroscopy. By correlating the simulated surface tensions of the seven water models with selected molecular parameters, it was found that the partial charge distribution in the water molecule is likely a key factor in determining the near-parallel alignment of water molecules with the surface. © 2010 American Chemical Society.","author":[{"dropping-particle":"","family":"Yuet","given":"Pak K.","non-dropping-particle":"","parse-names":false,"suffix":""},{"dropping-particle":"","family":"Blankschtein","given":"Daniel","non-dropping-particle":"","parse-names":false,"suffix":""}],"container-title":"Journal of Physical Chemistry B","id":"ITEM-1","issue":"43","issued":{"date-parts":[["2010"]]},"page":"13786-13795","title":"Molecular dynamics simulation study of water surfaces: Comparison of flexible water models","type":"article-journal","volume":"114"},"uris":["http://www.mendeley.com/documents/?uuid=798bcde3-55ff-41d8-80b6-7bc1dfaf7dc2"]}],"mendeley":{"formattedCitation":"(Yuet and Blankschtein 2010)","plainTextFormattedCitation":"(Yuet and Blankschtein 2010)","previouslyFormattedCitation":"(Yuet and Blankschtein 2010)"},"properties":{"noteIndex":0},"schema":"https://github.com/citation-style-language/schema/raw/master/csl-citation.json"}</w:instrText>
      </w:r>
      <w:r>
        <w:fldChar w:fldCharType="separate"/>
      </w:r>
      <w:r w:rsidRPr="006E3716">
        <w:rPr>
          <w:noProof/>
        </w:rPr>
        <w:t>(Yuet and Blankschtein 2010)</w:t>
      </w:r>
      <w:r>
        <w:fldChar w:fldCharType="end"/>
      </w:r>
      <w:r w:rsidR="00572460">
        <w:t xml:space="preserve"> </w:t>
      </w:r>
      <w:r>
        <w:t>water model were used, with systems equilibrated under NPT conditions for 1 ns at 300 K and 1 bar.</w:t>
      </w:r>
    </w:p>
    <w:p w14:paraId="44DBF8D8" w14:textId="629D35D7" w:rsidR="002670C7" w:rsidRDefault="002670C7" w:rsidP="002670C7">
      <w:pPr>
        <w:pStyle w:val="CETheadingx"/>
      </w:pPr>
      <w:r w:rsidRPr="002670C7">
        <w:t>2.</w:t>
      </w:r>
      <w:r>
        <w:t>3 Computational membrane-solution system</w:t>
      </w:r>
    </w:p>
    <w:p w14:paraId="4C3E1B49" w14:textId="32F11711" w:rsidR="008525B8" w:rsidRPr="00866A9D" w:rsidRDefault="00E96C3B" w:rsidP="002670C7">
      <w:pPr>
        <w:pStyle w:val="CETBodytext"/>
        <w:rPr>
          <w:color w:val="FF0000"/>
        </w:rPr>
      </w:pPr>
      <w:r w:rsidRPr="00E96C3B">
        <w:t>The PP membrane and ionic solution were initially placed with a small gap to avoid overlap. After performing energy minimization and NPT equilibration, the system converged, eliminating the initial gap between the solution and membrane. MD simulations were then extended for 800 ns under NPT conditions, using the V-rescale thermostat for temperature control and the Particle Mesh Ewald (PME) method to handle long-range electrostatic interactions. The analysis focused on diffusion coefficients and coordination numbers to monitor crystallization. The number of atoms and the dimensions of each simulation box are summarized in</w:t>
      </w:r>
      <w:r w:rsidR="00BB5AFD">
        <w:t xml:space="preserve"> Table </w:t>
      </w:r>
      <w:r w:rsidR="00BB5AFD">
        <w:fldChar w:fldCharType="begin"/>
      </w:r>
      <w:r w:rsidR="00BB5AFD">
        <w:instrText xml:space="preserve"> REF Tab_BoxInfo \h </w:instrText>
      </w:r>
      <w:r w:rsidR="00BB5AFD">
        <w:fldChar w:fldCharType="separate"/>
      </w:r>
      <w:r w:rsidR="00BB5AFD">
        <w:rPr>
          <w:noProof/>
        </w:rPr>
        <w:t>1</w:t>
      </w:r>
      <w:r w:rsidR="00BB5AFD">
        <w:fldChar w:fldCharType="end"/>
      </w:r>
      <w:r w:rsidR="00BB5AFD">
        <w:t>.</w:t>
      </w:r>
      <w:r w:rsidR="0090165D">
        <w:t xml:space="preserve"> </w:t>
      </w:r>
      <w:bookmarkStart w:id="4" w:name="_Hlk187317823"/>
      <w:r w:rsidR="00866A9D">
        <w:rPr>
          <w:color w:val="FF0000"/>
        </w:rPr>
        <w:t xml:space="preserve">Concentration were chosen according to literature data </w:t>
      </w:r>
      <w:r w:rsidR="00866A9D">
        <w:rPr>
          <w:color w:val="FF0000"/>
        </w:rPr>
        <w:fldChar w:fldCharType="begin" w:fldLock="1"/>
      </w:r>
      <w:r w:rsidR="00866A9D">
        <w:rPr>
          <w:color w:val="FF0000"/>
        </w:rPr>
        <w:instrText>ADDIN CSL_CITATION {"citationItems":[{"id":"ITEM-1","itemData":{"DOI":"10.1063/1.5001521","ISSN":"00219606","PMID":"29331123","abstract":"Molecular dynamics (MD) simulations are employed to investigate crystal nucleation and growth in oversaturated aqueous LiF solutions. Results obtained for a range of temperatures provide evidence that the rate of crystal growth is determined by a substantial energy barrier (</w:instrText>
      </w:r>
      <w:r w:rsidR="00866A9D">
        <w:rPr>
          <w:rFonts w:ascii="Cambria Math" w:hAnsi="Cambria Math" w:cs="Cambria Math"/>
          <w:color w:val="FF0000"/>
        </w:rPr>
        <w:instrText>∼</w:instrText>
      </w:r>
      <w:r w:rsidR="00866A9D">
        <w:rPr>
          <w:color w:val="FF0000"/>
        </w:rPr>
        <w:instrText>49 kJ mol-1) related to the loss of water from the ion hydration shells. Employing direct MD simulations, we do not observe spontaneous nucleation of LiF crystals at 300 K, but nucleation is easily observable in NVT simulations at 500 K. This contrasts with the NaCl case, where crystal nucleation is directly observed in similar simulations at 300 K. Based on these observations, together with a detailed analysis of ion clustering in metastable LiF solutions, we argue that the ion dehydration barrier also plays a key role in crystal nucleation. The hydration of the relatively small Li+ and F- ions strongly influences the probability of forming large, crystal-like ion clusters, which are a necessary precursor to nucleation. This important factor is not accounted for in classical nucleation theory.","author":[{"dropping-particle":"","family":"Lanaro","given":"G.","non-dropping-particle":"","parse-names":false,"suffix":""},{"dropping-particle":"","family":"Patey","given":"G. N.","non-dropping-particle":"","parse-names":false,"suffix":""}],"container-title":"Journal of Chemical Physics","id":"ITEM-1","issue":"2","issued":{"date-parts":[["2018"]]},"title":"The influence of ion hydration on nucleation and growth of LiF crystals in aqueous solution","type":"article-journal","volume":"148"},"uris":["http://www.mendeley.com/documents/?uuid=4a61bdcd-7848-41c6-b442-7b7a7647f49b"]}],"mendeley":{"formattedCitation":"(Lanaro and Patey 2018)","plainTextFormattedCitation":"(Lanaro and Patey 2018)","previouslyFormattedCitation":"(Lanaro and Patey 2018)"},"properties":{"noteIndex":0},"schema":"https://github.com/citation-style-language/schema/raw/master/csl-citation.json"}</w:instrText>
      </w:r>
      <w:r w:rsidR="00866A9D">
        <w:rPr>
          <w:color w:val="FF0000"/>
        </w:rPr>
        <w:fldChar w:fldCharType="separate"/>
      </w:r>
      <w:r w:rsidR="00866A9D" w:rsidRPr="00866A9D">
        <w:rPr>
          <w:noProof/>
          <w:color w:val="FF0000"/>
        </w:rPr>
        <w:t>(Lanaro and Patey 2018)</w:t>
      </w:r>
      <w:r w:rsidR="00866A9D">
        <w:rPr>
          <w:color w:val="FF0000"/>
        </w:rPr>
        <w:fldChar w:fldCharType="end"/>
      </w:r>
      <w:r w:rsidR="00866A9D">
        <w:rPr>
          <w:color w:val="FF0000"/>
        </w:rPr>
        <w:t>.</w:t>
      </w:r>
    </w:p>
    <w:bookmarkEnd w:id="4"/>
    <w:p w14:paraId="7635D024" w14:textId="16137271" w:rsidR="008525B8" w:rsidRPr="00B57B36" w:rsidRDefault="008525B8" w:rsidP="008525B8">
      <w:pPr>
        <w:pStyle w:val="CETTabletitle"/>
      </w:pPr>
      <w:r w:rsidRPr="00B57B36">
        <w:t xml:space="preserve">Table </w:t>
      </w:r>
      <w:bookmarkStart w:id="5" w:name="Tab_BoxInfo"/>
      <w:r w:rsidRPr="00941811">
        <w:fldChar w:fldCharType="begin"/>
      </w:r>
      <w:r w:rsidRPr="00941811">
        <w:instrText xml:space="preserve"> SEQ Table \* ARABIC </w:instrText>
      </w:r>
      <w:r w:rsidRPr="00941811">
        <w:fldChar w:fldCharType="separate"/>
      </w:r>
      <w:r w:rsidR="00BB5AFD">
        <w:rPr>
          <w:noProof/>
        </w:rPr>
        <w:t>1</w:t>
      </w:r>
      <w:r w:rsidRPr="00941811">
        <w:fldChar w:fldCharType="end"/>
      </w:r>
      <w:bookmarkEnd w:id="5"/>
      <w:r>
        <w:t>:</w:t>
      </w:r>
      <w:r w:rsidRPr="00941811">
        <w:t xml:space="preserve"> </w:t>
      </w:r>
      <w:r w:rsidR="00E85933" w:rsidRPr="000332B6">
        <w:rPr>
          <w:color w:val="FF0000"/>
        </w:rPr>
        <w:t>Simulation box parameters for different conditions</w:t>
      </w:r>
      <w:r w:rsidR="00BB5AFD" w:rsidRPr="00DA3E81">
        <w:t>.</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541"/>
        <w:gridCol w:w="586"/>
        <w:gridCol w:w="567"/>
        <w:gridCol w:w="708"/>
        <w:gridCol w:w="567"/>
        <w:gridCol w:w="1134"/>
        <w:gridCol w:w="1701"/>
      </w:tblGrid>
      <w:tr w:rsidR="008525B8" w:rsidRPr="00B57B36" w14:paraId="6606DF44" w14:textId="74AF093E" w:rsidTr="00BB5AFD">
        <w:tc>
          <w:tcPr>
            <w:tcW w:w="1541" w:type="dxa"/>
            <w:tcBorders>
              <w:top w:val="single" w:sz="12" w:space="0" w:color="008000"/>
              <w:bottom w:val="single" w:sz="6" w:space="0" w:color="008000"/>
            </w:tcBorders>
            <w:shd w:val="clear" w:color="auto" w:fill="FFFFFF"/>
          </w:tcPr>
          <w:p w14:paraId="541CB02D" w14:textId="1FEF9709" w:rsidR="008525B8" w:rsidRPr="00B57B36" w:rsidRDefault="008525B8" w:rsidP="008525B8">
            <w:pPr>
              <w:pStyle w:val="CETBodytext"/>
              <w:rPr>
                <w:lang w:val="en-GB"/>
              </w:rPr>
            </w:pPr>
            <w:r w:rsidRPr="00F807B5">
              <w:t>Conditions</w:t>
            </w:r>
          </w:p>
        </w:tc>
        <w:tc>
          <w:tcPr>
            <w:tcW w:w="586" w:type="dxa"/>
            <w:tcBorders>
              <w:top w:val="single" w:sz="12" w:space="0" w:color="008000"/>
              <w:bottom w:val="single" w:sz="6" w:space="0" w:color="008000"/>
            </w:tcBorders>
            <w:shd w:val="clear" w:color="auto" w:fill="FFFFFF"/>
          </w:tcPr>
          <w:p w14:paraId="6B9FA196" w14:textId="3AE9D0BD" w:rsidR="008525B8" w:rsidRPr="00AC1279" w:rsidRDefault="008525B8" w:rsidP="008525B8">
            <w:pPr>
              <w:pStyle w:val="CETBodytext"/>
            </w:pPr>
            <w:r w:rsidRPr="009853E6">
              <w:t>n. Li</w:t>
            </w:r>
            <w:r w:rsidRPr="008525B8">
              <w:rPr>
                <w:vertAlign w:val="superscript"/>
              </w:rPr>
              <w:t>+</w:t>
            </w:r>
          </w:p>
        </w:tc>
        <w:tc>
          <w:tcPr>
            <w:tcW w:w="567" w:type="dxa"/>
            <w:tcBorders>
              <w:top w:val="single" w:sz="12" w:space="0" w:color="008000"/>
              <w:bottom w:val="single" w:sz="6" w:space="0" w:color="008000"/>
            </w:tcBorders>
            <w:shd w:val="clear" w:color="auto" w:fill="FFFFFF"/>
          </w:tcPr>
          <w:p w14:paraId="77DA39D4" w14:textId="60D690CA" w:rsidR="008525B8" w:rsidRPr="00BC2F5A" w:rsidRDefault="008525B8" w:rsidP="008525B8">
            <w:pPr>
              <w:pStyle w:val="CETBodytext"/>
              <w:rPr>
                <w:rFonts w:ascii="Symbol" w:hAnsi="Symbol"/>
              </w:rPr>
            </w:pPr>
            <w:r w:rsidRPr="009853E6">
              <w:t xml:space="preserve">n. </w:t>
            </w:r>
            <w:r w:rsidR="00866A9D" w:rsidRPr="00866A9D">
              <w:rPr>
                <w:color w:val="FF0000"/>
              </w:rPr>
              <w:t>F</w:t>
            </w:r>
            <w:r w:rsidRPr="008525B8">
              <w:rPr>
                <w:vertAlign w:val="superscript"/>
              </w:rPr>
              <w:t>-</w:t>
            </w:r>
          </w:p>
        </w:tc>
        <w:tc>
          <w:tcPr>
            <w:tcW w:w="708" w:type="dxa"/>
            <w:tcBorders>
              <w:top w:val="single" w:sz="12" w:space="0" w:color="008000"/>
              <w:bottom w:val="single" w:sz="6" w:space="0" w:color="008000"/>
            </w:tcBorders>
            <w:shd w:val="clear" w:color="auto" w:fill="FFFFFF"/>
          </w:tcPr>
          <w:p w14:paraId="7A374826" w14:textId="22771211" w:rsidR="008525B8" w:rsidRPr="00BC2F5A" w:rsidRDefault="008525B8" w:rsidP="008525B8">
            <w:pPr>
              <w:pStyle w:val="CETBodytext"/>
              <w:rPr>
                <w:rFonts w:ascii="Symbol" w:hAnsi="Symbol"/>
              </w:rPr>
            </w:pPr>
            <w:r w:rsidRPr="009853E6">
              <w:t>n. water</w:t>
            </w:r>
          </w:p>
        </w:tc>
        <w:tc>
          <w:tcPr>
            <w:tcW w:w="567" w:type="dxa"/>
            <w:tcBorders>
              <w:top w:val="single" w:sz="12" w:space="0" w:color="008000"/>
              <w:bottom w:val="single" w:sz="6" w:space="0" w:color="008000"/>
            </w:tcBorders>
            <w:shd w:val="clear" w:color="auto" w:fill="FFFFFF"/>
          </w:tcPr>
          <w:p w14:paraId="4B4EB2E4" w14:textId="4CFCDB69" w:rsidR="008525B8" w:rsidRPr="00BC2F5A" w:rsidRDefault="008525B8" w:rsidP="008525B8">
            <w:pPr>
              <w:pStyle w:val="CETBodytext"/>
              <w:rPr>
                <w:rFonts w:ascii="Symbol" w:hAnsi="Symbol"/>
              </w:rPr>
            </w:pPr>
            <w:r w:rsidRPr="00BC75E9">
              <w:t>n. PP</w:t>
            </w:r>
          </w:p>
        </w:tc>
        <w:tc>
          <w:tcPr>
            <w:tcW w:w="1134" w:type="dxa"/>
            <w:tcBorders>
              <w:top w:val="single" w:sz="12" w:space="0" w:color="008000"/>
              <w:bottom w:val="single" w:sz="6" w:space="0" w:color="008000"/>
            </w:tcBorders>
            <w:shd w:val="clear" w:color="auto" w:fill="FFFFFF"/>
          </w:tcPr>
          <w:p w14:paraId="0CB503AA" w14:textId="1B7A1EB1" w:rsidR="008525B8" w:rsidRPr="009853E6" w:rsidRDefault="008525B8" w:rsidP="008525B8">
            <w:pPr>
              <w:pStyle w:val="CETBodytext"/>
            </w:pPr>
            <w:r w:rsidRPr="00BC75E9">
              <w:t>n. total atoms</w:t>
            </w:r>
          </w:p>
        </w:tc>
        <w:tc>
          <w:tcPr>
            <w:tcW w:w="1701" w:type="dxa"/>
            <w:tcBorders>
              <w:top w:val="single" w:sz="12" w:space="0" w:color="008000"/>
              <w:bottom w:val="single" w:sz="6" w:space="0" w:color="008000"/>
            </w:tcBorders>
            <w:shd w:val="clear" w:color="auto" w:fill="FFFFFF"/>
          </w:tcPr>
          <w:p w14:paraId="7A027ABE" w14:textId="7E931663" w:rsidR="008525B8" w:rsidRPr="009853E6" w:rsidRDefault="008525B8" w:rsidP="008525B8">
            <w:pPr>
              <w:pStyle w:val="CETBodytext"/>
            </w:pPr>
            <w:r w:rsidRPr="008525B8">
              <w:t>Box dimensions (nm)</w:t>
            </w:r>
          </w:p>
        </w:tc>
      </w:tr>
      <w:tr w:rsidR="008525B8" w:rsidRPr="00B57B36" w14:paraId="4B673301" w14:textId="4C2BC887" w:rsidTr="00BB5AFD">
        <w:tc>
          <w:tcPr>
            <w:tcW w:w="1541" w:type="dxa"/>
            <w:shd w:val="clear" w:color="auto" w:fill="FFFFFF"/>
          </w:tcPr>
          <w:p w14:paraId="70517925" w14:textId="204CC698" w:rsidR="008525B8" w:rsidRPr="00B57B36" w:rsidRDefault="008525B8" w:rsidP="008525B8">
            <w:pPr>
              <w:pStyle w:val="CETBodytext"/>
              <w:rPr>
                <w:lang w:val="en-GB"/>
              </w:rPr>
            </w:pPr>
            <w:r>
              <w:rPr>
                <w:lang w:val="en-GB"/>
              </w:rPr>
              <w:t>Bulk (1)</w:t>
            </w:r>
          </w:p>
        </w:tc>
        <w:tc>
          <w:tcPr>
            <w:tcW w:w="586" w:type="dxa"/>
            <w:shd w:val="clear" w:color="auto" w:fill="FFFFFF"/>
          </w:tcPr>
          <w:p w14:paraId="00A169DF" w14:textId="10363C93" w:rsidR="008525B8" w:rsidRPr="00AC1279" w:rsidRDefault="008525B8" w:rsidP="00844A0B">
            <w:pPr>
              <w:pStyle w:val="CETBodytext"/>
              <w:jc w:val="center"/>
            </w:pPr>
            <w:r w:rsidRPr="000F745E">
              <w:t>1451</w:t>
            </w:r>
          </w:p>
        </w:tc>
        <w:tc>
          <w:tcPr>
            <w:tcW w:w="567" w:type="dxa"/>
            <w:shd w:val="clear" w:color="auto" w:fill="FFFFFF"/>
          </w:tcPr>
          <w:p w14:paraId="5A5666DE" w14:textId="0BBE87AB" w:rsidR="008525B8" w:rsidRDefault="008525B8" w:rsidP="00844A0B">
            <w:pPr>
              <w:pStyle w:val="CETBodytext"/>
              <w:jc w:val="center"/>
            </w:pPr>
            <w:r w:rsidRPr="000F745E">
              <w:t>1451</w:t>
            </w:r>
          </w:p>
        </w:tc>
        <w:tc>
          <w:tcPr>
            <w:tcW w:w="708" w:type="dxa"/>
            <w:shd w:val="clear" w:color="auto" w:fill="FFFFFF"/>
          </w:tcPr>
          <w:p w14:paraId="32358EAF" w14:textId="2767660E" w:rsidR="008525B8" w:rsidRDefault="008525B8" w:rsidP="00844A0B">
            <w:pPr>
              <w:pStyle w:val="CETBodytext"/>
              <w:jc w:val="center"/>
            </w:pPr>
            <w:r w:rsidRPr="000F745E">
              <w:t>17583</w:t>
            </w:r>
          </w:p>
        </w:tc>
        <w:tc>
          <w:tcPr>
            <w:tcW w:w="567" w:type="dxa"/>
            <w:shd w:val="clear" w:color="auto" w:fill="FFFFFF"/>
          </w:tcPr>
          <w:p w14:paraId="7E5FC3C8" w14:textId="44C2E863" w:rsidR="008525B8" w:rsidRDefault="008525B8" w:rsidP="00844A0B">
            <w:pPr>
              <w:pStyle w:val="CETBodytext"/>
              <w:jc w:val="center"/>
            </w:pPr>
            <w:r w:rsidRPr="000F745E">
              <w:t>-</w:t>
            </w:r>
          </w:p>
        </w:tc>
        <w:tc>
          <w:tcPr>
            <w:tcW w:w="1134" w:type="dxa"/>
            <w:shd w:val="clear" w:color="auto" w:fill="FFFFFF"/>
          </w:tcPr>
          <w:p w14:paraId="7F14EB27" w14:textId="0459F021" w:rsidR="008525B8" w:rsidRDefault="008525B8" w:rsidP="00844A0B">
            <w:pPr>
              <w:pStyle w:val="CETBodytext"/>
              <w:jc w:val="center"/>
            </w:pPr>
            <w:r w:rsidRPr="000F745E">
              <w:t>20485</w:t>
            </w:r>
          </w:p>
        </w:tc>
        <w:tc>
          <w:tcPr>
            <w:tcW w:w="1701" w:type="dxa"/>
            <w:shd w:val="clear" w:color="auto" w:fill="FFFFFF"/>
          </w:tcPr>
          <w:p w14:paraId="46B8C679" w14:textId="095DC8CE" w:rsidR="008525B8" w:rsidRDefault="008525B8" w:rsidP="00844A0B">
            <w:pPr>
              <w:pStyle w:val="CETBodytext"/>
              <w:jc w:val="center"/>
            </w:pPr>
            <w:r w:rsidRPr="000F745E">
              <w:t>4.43×4.43×9.59</w:t>
            </w:r>
          </w:p>
        </w:tc>
      </w:tr>
      <w:tr w:rsidR="008525B8" w:rsidRPr="00B57B36" w14:paraId="57C5E6D7" w14:textId="39A2EB38" w:rsidTr="00BB5AFD">
        <w:tc>
          <w:tcPr>
            <w:tcW w:w="1541" w:type="dxa"/>
            <w:shd w:val="clear" w:color="auto" w:fill="FFFFFF"/>
          </w:tcPr>
          <w:p w14:paraId="4D7BDE89" w14:textId="1F66C76E" w:rsidR="008525B8" w:rsidRPr="00B57B36" w:rsidRDefault="008525B8" w:rsidP="008525B8">
            <w:pPr>
              <w:pStyle w:val="CETBodytext"/>
              <w:ind w:right="-1"/>
              <w:rPr>
                <w:rFonts w:cs="Arial"/>
                <w:szCs w:val="18"/>
                <w:lang w:val="en-GB"/>
              </w:rPr>
            </w:pPr>
            <w:r>
              <w:rPr>
                <w:rFonts w:cs="Arial"/>
                <w:szCs w:val="18"/>
                <w:lang w:val="en-GB"/>
              </w:rPr>
              <w:t>Bulk (2)</w:t>
            </w:r>
          </w:p>
        </w:tc>
        <w:tc>
          <w:tcPr>
            <w:tcW w:w="586" w:type="dxa"/>
            <w:shd w:val="clear" w:color="auto" w:fill="FFFFFF"/>
          </w:tcPr>
          <w:p w14:paraId="241514A6" w14:textId="6DED3DC2" w:rsidR="008525B8" w:rsidRPr="00AC1279" w:rsidRDefault="008525B8" w:rsidP="00844A0B">
            <w:pPr>
              <w:pStyle w:val="CETBodytext"/>
              <w:ind w:right="-1"/>
              <w:jc w:val="center"/>
            </w:pPr>
            <w:r w:rsidRPr="000F745E">
              <w:t>1451</w:t>
            </w:r>
          </w:p>
        </w:tc>
        <w:tc>
          <w:tcPr>
            <w:tcW w:w="567" w:type="dxa"/>
            <w:shd w:val="clear" w:color="auto" w:fill="FFFFFF"/>
          </w:tcPr>
          <w:p w14:paraId="28B43854" w14:textId="41671AC9" w:rsidR="008525B8" w:rsidRDefault="008525B8" w:rsidP="00844A0B">
            <w:pPr>
              <w:pStyle w:val="CETBodytext"/>
              <w:ind w:right="-1"/>
              <w:jc w:val="center"/>
            </w:pPr>
            <w:r w:rsidRPr="000F745E">
              <w:t>1451</w:t>
            </w:r>
          </w:p>
        </w:tc>
        <w:tc>
          <w:tcPr>
            <w:tcW w:w="708" w:type="dxa"/>
            <w:shd w:val="clear" w:color="auto" w:fill="FFFFFF"/>
          </w:tcPr>
          <w:p w14:paraId="2973E22D" w14:textId="2B7B6CA9" w:rsidR="008525B8" w:rsidRDefault="008525B8" w:rsidP="00844A0B">
            <w:pPr>
              <w:pStyle w:val="CETBodytext"/>
              <w:ind w:right="-1"/>
              <w:jc w:val="center"/>
            </w:pPr>
            <w:r w:rsidRPr="000F745E">
              <w:t>17583</w:t>
            </w:r>
          </w:p>
        </w:tc>
        <w:tc>
          <w:tcPr>
            <w:tcW w:w="567" w:type="dxa"/>
            <w:shd w:val="clear" w:color="auto" w:fill="FFFFFF"/>
          </w:tcPr>
          <w:p w14:paraId="41C9F33A" w14:textId="3904487E" w:rsidR="008525B8" w:rsidRDefault="008525B8" w:rsidP="00844A0B">
            <w:pPr>
              <w:pStyle w:val="CETBodytext"/>
              <w:ind w:right="-1"/>
              <w:jc w:val="center"/>
            </w:pPr>
            <w:r w:rsidRPr="000F745E">
              <w:t>-</w:t>
            </w:r>
          </w:p>
        </w:tc>
        <w:tc>
          <w:tcPr>
            <w:tcW w:w="1134" w:type="dxa"/>
            <w:shd w:val="clear" w:color="auto" w:fill="FFFFFF"/>
          </w:tcPr>
          <w:p w14:paraId="49BE56F7" w14:textId="745DCCFB" w:rsidR="008525B8" w:rsidRDefault="008525B8" w:rsidP="00844A0B">
            <w:pPr>
              <w:pStyle w:val="CETBodytext"/>
              <w:ind w:right="-1"/>
              <w:jc w:val="center"/>
            </w:pPr>
            <w:r w:rsidRPr="000F745E">
              <w:t>20485</w:t>
            </w:r>
          </w:p>
        </w:tc>
        <w:tc>
          <w:tcPr>
            <w:tcW w:w="1701" w:type="dxa"/>
            <w:shd w:val="clear" w:color="auto" w:fill="FFFFFF"/>
          </w:tcPr>
          <w:p w14:paraId="3A26A653" w14:textId="4D8DB6C3" w:rsidR="008525B8" w:rsidRDefault="008525B8" w:rsidP="00844A0B">
            <w:pPr>
              <w:pStyle w:val="CETBodytext"/>
              <w:ind w:right="-1"/>
              <w:jc w:val="center"/>
            </w:pPr>
            <w:r w:rsidRPr="000F745E">
              <w:t>4.44×4.44×9.61</w:t>
            </w:r>
          </w:p>
        </w:tc>
      </w:tr>
      <w:tr w:rsidR="008525B8" w:rsidRPr="00B57B36" w14:paraId="33F40A26" w14:textId="77C795F7" w:rsidTr="00BB5AFD">
        <w:tc>
          <w:tcPr>
            <w:tcW w:w="1541" w:type="dxa"/>
            <w:shd w:val="clear" w:color="auto" w:fill="FFFFFF"/>
          </w:tcPr>
          <w:p w14:paraId="4BFAC4EE" w14:textId="66609BB4" w:rsidR="008525B8" w:rsidRPr="00B57B36" w:rsidRDefault="00E85933" w:rsidP="008525B8">
            <w:pPr>
              <w:pStyle w:val="CETBodytext"/>
              <w:ind w:right="-1"/>
              <w:rPr>
                <w:rFonts w:cs="Arial"/>
                <w:szCs w:val="18"/>
                <w:lang w:val="en-GB"/>
              </w:rPr>
            </w:pPr>
            <w:r w:rsidRPr="00E85933">
              <w:rPr>
                <w:rFonts w:cs="Arial"/>
                <w:color w:val="FF0000"/>
                <w:szCs w:val="18"/>
                <w:lang w:val="en-GB"/>
              </w:rPr>
              <w:t>M</w:t>
            </w:r>
            <w:r w:rsidR="008525B8" w:rsidRPr="00E85933">
              <w:rPr>
                <w:rFonts w:cs="Arial"/>
                <w:color w:val="FF0000"/>
                <w:szCs w:val="18"/>
                <w:lang w:val="en-GB"/>
              </w:rPr>
              <w:t xml:space="preserve">embrane </w:t>
            </w:r>
            <w:r w:rsidR="008525B8">
              <w:rPr>
                <w:rFonts w:cs="Arial"/>
                <w:szCs w:val="18"/>
                <w:lang w:val="en-GB"/>
              </w:rPr>
              <w:t>(1)</w:t>
            </w:r>
          </w:p>
        </w:tc>
        <w:tc>
          <w:tcPr>
            <w:tcW w:w="586" w:type="dxa"/>
            <w:shd w:val="clear" w:color="auto" w:fill="FFFFFF"/>
          </w:tcPr>
          <w:p w14:paraId="6E61AB43" w14:textId="50A9412A" w:rsidR="008525B8" w:rsidRPr="00AC1279" w:rsidRDefault="008525B8" w:rsidP="00844A0B">
            <w:pPr>
              <w:pStyle w:val="CETBodytext"/>
              <w:ind w:right="-1"/>
              <w:jc w:val="center"/>
            </w:pPr>
            <w:r w:rsidRPr="000F745E">
              <w:t>1451</w:t>
            </w:r>
          </w:p>
        </w:tc>
        <w:tc>
          <w:tcPr>
            <w:tcW w:w="567" w:type="dxa"/>
            <w:shd w:val="clear" w:color="auto" w:fill="FFFFFF"/>
          </w:tcPr>
          <w:p w14:paraId="01E1DE7D" w14:textId="0835B86F" w:rsidR="008525B8" w:rsidRDefault="008525B8" w:rsidP="00844A0B">
            <w:pPr>
              <w:pStyle w:val="CETBodytext"/>
              <w:ind w:right="-1"/>
              <w:jc w:val="center"/>
            </w:pPr>
            <w:r w:rsidRPr="000F745E">
              <w:t>1451</w:t>
            </w:r>
          </w:p>
        </w:tc>
        <w:tc>
          <w:tcPr>
            <w:tcW w:w="708" w:type="dxa"/>
            <w:shd w:val="clear" w:color="auto" w:fill="FFFFFF"/>
          </w:tcPr>
          <w:p w14:paraId="11D50A66" w14:textId="0FF13B71" w:rsidR="008525B8" w:rsidRDefault="008525B8" w:rsidP="00844A0B">
            <w:pPr>
              <w:pStyle w:val="CETBodytext"/>
              <w:ind w:right="-1"/>
              <w:jc w:val="center"/>
            </w:pPr>
            <w:r w:rsidRPr="000F745E">
              <w:t>17583</w:t>
            </w:r>
          </w:p>
        </w:tc>
        <w:tc>
          <w:tcPr>
            <w:tcW w:w="567" w:type="dxa"/>
            <w:shd w:val="clear" w:color="auto" w:fill="FFFFFF"/>
          </w:tcPr>
          <w:p w14:paraId="303C576A" w14:textId="34820B9C" w:rsidR="008525B8" w:rsidRDefault="008525B8" w:rsidP="00844A0B">
            <w:pPr>
              <w:pStyle w:val="CETBodytext"/>
              <w:ind w:right="-1"/>
              <w:jc w:val="center"/>
            </w:pPr>
            <w:r w:rsidRPr="000F745E">
              <w:t>10808</w:t>
            </w:r>
          </w:p>
        </w:tc>
        <w:tc>
          <w:tcPr>
            <w:tcW w:w="1134" w:type="dxa"/>
            <w:shd w:val="clear" w:color="auto" w:fill="FFFFFF"/>
          </w:tcPr>
          <w:p w14:paraId="7C30BCDA" w14:textId="7C0423EE" w:rsidR="008525B8" w:rsidRDefault="008525B8" w:rsidP="00844A0B">
            <w:pPr>
              <w:pStyle w:val="CETBodytext"/>
              <w:ind w:right="-1"/>
              <w:jc w:val="center"/>
            </w:pPr>
            <w:r w:rsidRPr="000F745E">
              <w:t>31293</w:t>
            </w:r>
          </w:p>
        </w:tc>
        <w:tc>
          <w:tcPr>
            <w:tcW w:w="1701" w:type="dxa"/>
            <w:shd w:val="clear" w:color="auto" w:fill="FFFFFF"/>
          </w:tcPr>
          <w:p w14:paraId="3ED12070" w14:textId="45E34D82" w:rsidR="008525B8" w:rsidRDefault="008525B8" w:rsidP="00844A0B">
            <w:pPr>
              <w:pStyle w:val="CETBodytext"/>
              <w:ind w:right="-1"/>
              <w:jc w:val="center"/>
            </w:pPr>
            <w:r w:rsidRPr="000F745E">
              <w:t>4.76×4.76×13.5</w:t>
            </w:r>
          </w:p>
        </w:tc>
      </w:tr>
      <w:tr w:rsidR="008525B8" w:rsidRPr="00B57B36" w14:paraId="68D8D85A" w14:textId="77D63E54" w:rsidTr="00BB5AFD">
        <w:tc>
          <w:tcPr>
            <w:tcW w:w="1541" w:type="dxa"/>
            <w:shd w:val="clear" w:color="auto" w:fill="FFFFFF"/>
          </w:tcPr>
          <w:p w14:paraId="681D3D67" w14:textId="0564D436" w:rsidR="008525B8" w:rsidRPr="00B57B36" w:rsidRDefault="00E85933" w:rsidP="008525B8">
            <w:pPr>
              <w:pStyle w:val="CETBodytext"/>
              <w:ind w:right="-1"/>
              <w:rPr>
                <w:rFonts w:cs="Arial"/>
                <w:szCs w:val="18"/>
                <w:lang w:val="en-GB"/>
              </w:rPr>
            </w:pPr>
            <w:r w:rsidRPr="00E85933">
              <w:rPr>
                <w:rFonts w:cs="Arial"/>
                <w:color w:val="FF0000"/>
                <w:szCs w:val="18"/>
                <w:lang w:val="en-GB"/>
              </w:rPr>
              <w:t>M</w:t>
            </w:r>
            <w:r w:rsidR="008525B8" w:rsidRPr="00E85933">
              <w:rPr>
                <w:rFonts w:cs="Arial"/>
                <w:color w:val="FF0000"/>
                <w:szCs w:val="18"/>
                <w:lang w:val="en-GB"/>
              </w:rPr>
              <w:t>embrane</w:t>
            </w:r>
            <w:r w:rsidR="008525B8">
              <w:rPr>
                <w:rFonts w:cs="Arial"/>
                <w:szCs w:val="18"/>
                <w:lang w:val="en-GB"/>
              </w:rPr>
              <w:t xml:space="preserve"> (2)</w:t>
            </w:r>
          </w:p>
        </w:tc>
        <w:tc>
          <w:tcPr>
            <w:tcW w:w="586" w:type="dxa"/>
            <w:shd w:val="clear" w:color="auto" w:fill="FFFFFF"/>
          </w:tcPr>
          <w:p w14:paraId="44C97687" w14:textId="3C214B5E" w:rsidR="008525B8" w:rsidRPr="00AC1279" w:rsidRDefault="008525B8" w:rsidP="00844A0B">
            <w:pPr>
              <w:pStyle w:val="CETBodytext"/>
              <w:ind w:right="-1"/>
              <w:jc w:val="center"/>
            </w:pPr>
            <w:r w:rsidRPr="000F745E">
              <w:t>1451</w:t>
            </w:r>
          </w:p>
        </w:tc>
        <w:tc>
          <w:tcPr>
            <w:tcW w:w="567" w:type="dxa"/>
            <w:shd w:val="clear" w:color="auto" w:fill="FFFFFF"/>
          </w:tcPr>
          <w:p w14:paraId="7FD4F846" w14:textId="64553880" w:rsidR="008525B8" w:rsidRDefault="008525B8" w:rsidP="00844A0B">
            <w:pPr>
              <w:pStyle w:val="CETBodytext"/>
              <w:ind w:right="-1"/>
              <w:jc w:val="center"/>
            </w:pPr>
            <w:r w:rsidRPr="000F745E">
              <w:t>1451</w:t>
            </w:r>
          </w:p>
        </w:tc>
        <w:tc>
          <w:tcPr>
            <w:tcW w:w="708" w:type="dxa"/>
            <w:shd w:val="clear" w:color="auto" w:fill="FFFFFF"/>
          </w:tcPr>
          <w:p w14:paraId="28459077" w14:textId="34658129" w:rsidR="008525B8" w:rsidRDefault="008525B8" w:rsidP="00844A0B">
            <w:pPr>
              <w:pStyle w:val="CETBodytext"/>
              <w:ind w:right="-1"/>
              <w:jc w:val="center"/>
            </w:pPr>
            <w:r w:rsidRPr="000F745E">
              <w:t>17583</w:t>
            </w:r>
          </w:p>
        </w:tc>
        <w:tc>
          <w:tcPr>
            <w:tcW w:w="567" w:type="dxa"/>
            <w:shd w:val="clear" w:color="auto" w:fill="FFFFFF"/>
          </w:tcPr>
          <w:p w14:paraId="0FC3E29A" w14:textId="3518C2A2" w:rsidR="008525B8" w:rsidRDefault="008525B8" w:rsidP="00844A0B">
            <w:pPr>
              <w:pStyle w:val="CETBodytext"/>
              <w:ind w:right="-1"/>
              <w:jc w:val="center"/>
            </w:pPr>
            <w:r w:rsidRPr="000F745E">
              <w:t>10808</w:t>
            </w:r>
          </w:p>
        </w:tc>
        <w:tc>
          <w:tcPr>
            <w:tcW w:w="1134" w:type="dxa"/>
            <w:shd w:val="clear" w:color="auto" w:fill="FFFFFF"/>
          </w:tcPr>
          <w:p w14:paraId="7F8A1F63" w14:textId="11EF984C" w:rsidR="008525B8" w:rsidRDefault="008525B8" w:rsidP="00844A0B">
            <w:pPr>
              <w:pStyle w:val="CETBodytext"/>
              <w:ind w:right="-1"/>
              <w:jc w:val="center"/>
            </w:pPr>
            <w:r w:rsidRPr="000F745E">
              <w:t>31293</w:t>
            </w:r>
          </w:p>
        </w:tc>
        <w:tc>
          <w:tcPr>
            <w:tcW w:w="1701" w:type="dxa"/>
            <w:shd w:val="clear" w:color="auto" w:fill="FFFFFF"/>
          </w:tcPr>
          <w:p w14:paraId="71220DF4" w14:textId="2FB24E1D" w:rsidR="008525B8" w:rsidRDefault="008525B8" w:rsidP="00844A0B">
            <w:pPr>
              <w:pStyle w:val="CETBodytext"/>
              <w:ind w:right="-1"/>
              <w:jc w:val="center"/>
            </w:pPr>
            <w:r w:rsidRPr="000F745E">
              <w:t>4.74×4.74×13.4</w:t>
            </w:r>
          </w:p>
        </w:tc>
      </w:tr>
    </w:tbl>
    <w:p w14:paraId="588997C7" w14:textId="77777777" w:rsidR="008525B8" w:rsidRDefault="008525B8" w:rsidP="002670C7">
      <w:pPr>
        <w:pStyle w:val="CETBodytext"/>
      </w:pPr>
    </w:p>
    <w:p w14:paraId="5C70277E" w14:textId="4EB8AD37" w:rsidR="002670C7" w:rsidRPr="00A41BE6" w:rsidRDefault="00E96C3B" w:rsidP="00E96C3B">
      <w:pPr>
        <w:pStyle w:val="CETBodytext"/>
      </w:pPr>
      <w:r w:rsidRPr="00E96C3B">
        <w:t xml:space="preserve">The computational parameters were consistent with the earlier steps. The equilibrated system underwent 800 ns of simulation under NPT conditions, where the V-rescale thermostat and Berendsen barostat were employed to maintain a temperature of 300 K and pressure of 1 bar. Coulomb and van der Waals interactions were calculated using a 1.0 nm cut-off, with long-range interactions handled via PME </w:t>
      </w:r>
      <w:r>
        <w:fldChar w:fldCharType="begin" w:fldLock="1"/>
      </w:r>
      <w:r>
        <w:instrText>ADDIN CSL_CITATION {"citationItems":[{"id":"ITEM-1","itemData":{"DOI":"10.1063/1.470043","ISSN":"00219606","abstract":"In this article, a recently proposed method called the particle mesh Ewald (PME) method for computing the long ranged Coulomb interactions in for example molecular dynamics simulations is studied. The PME method has a complexity script O sign(N log N), where N is the total number of charges. This complexity should in particular be compared with the complexity script O sign(N 3/2) for the well known Ewald method and script O sign(N) for the rather new (but already famous) fast multipole method (FMM). However, these complexities say nothing about which method is fastest at some finite N. The purpose of this article is thus to study the PME method and compare its efficiency with the Ewald method and the fast multipole method. To enable this, a theoretical estimate for the accuracy of the PME method as function of its truncation parameters is derived. It is shown that this estimate is very precise by comparing it with results obtained from molecular dynamics simulations of a molten NaCl. Based on this estimate and very careful time experiments, the overall necessary time overhead for the PME method as function of N and a required accuracy is predicted. By a direct comparison with a similar prediction for the Ewald method and by studying existing Ewald-FMM comparisons, it is found that the PME method is significantly faster than both the Ewald method and the fast multipole method in the important decades N</w:instrText>
      </w:r>
      <w:r>
        <w:rPr>
          <w:rFonts w:ascii="Cambria Math" w:hAnsi="Cambria Math" w:cs="Cambria Math"/>
        </w:rPr>
        <w:instrText>≃</w:instrText>
      </w:r>
      <w:r>
        <w:instrText xml:space="preserve">10 4-105. </w:instrText>
      </w:r>
      <w:r>
        <w:rPr>
          <w:rFonts w:cs="Arial"/>
        </w:rPr>
        <w:instrText>©</w:instrText>
      </w:r>
      <w:r>
        <w:instrText xml:space="preserve"> 1995 American Institute of Physics.","author":[{"dropping-particle":"","family":"Petersen","given":"Henrik G.","non-dropping-particle":"","parse-names":false,"suffix":""}],"container-title":"The Journal of Chemical Physics","id":"ITEM-1","issue":"9","issued":{"date-parts":[["1995"]]},"page":"3668-3679","title":"Accuracy and efficiency of the particle mesh Ewald method","type":"article-journal","volume":"103"},"uris":["http://www.mendeley.com/documents/?uuid=632e95dd-9fb4-4a2c-bd20-61d310a98db6"]}],"mendeley":{"formattedCitation":"(Petersen 1995)","plainTextFormattedCitation":"(Petersen 1995)","previouslyFormattedCitation":"(Petersen 1995)"},"properties":{"noteIndex":0},"schema":"https://github.com/citation-style-language/schema/raw/master/csl-citation.json"}</w:instrText>
      </w:r>
      <w:r>
        <w:fldChar w:fldCharType="separate"/>
      </w:r>
      <w:r w:rsidRPr="00FE5157">
        <w:rPr>
          <w:noProof/>
        </w:rPr>
        <w:t>(Petersen 1995)</w:t>
      </w:r>
      <w:r>
        <w:fldChar w:fldCharType="end"/>
      </w:r>
      <w:r w:rsidRPr="00E96C3B">
        <w:t xml:space="preserve">. Covalent bonds in water were constrained using the LINCS algorithm </w:t>
      </w:r>
      <w:r>
        <w:fldChar w:fldCharType="begin" w:fldLock="1"/>
      </w:r>
      <w:r>
        <w:instrText>ADDIN CSL_CITATION {"citationItems":[{"id":"ITEM-1","itemData":{"DOI":"10.1002/(SICI)1096-987X(199709)18:12&lt;1463::AID-JCC4&gt;3.0.CO;2-H","ISSN":"01928651","abstract":"In this article, we present a new LINear Constraint Solver (LINCS) for molecular simulations with bond constraints. The algorithm is inherently stable, as the constraints themselves are reset instead of derivatives of the constraints, thereby eliminating drift. Although the derivation of the algorithm is presented in terms of matrices, no matrix matrix multiplications are needed and only the nonzero matrix elements have to be stored, making the method useful for very large molecules. At the same accuracy, the LINCS algorithm is three to four times faster than the SHAKE algorithm. Parallelization of the algorithm is straightforward. © 1997 John Wiley &amp; Sons, Inc.","author":[{"dropping-particle":"","family":"Hess","given":"Berk","non-dropping-particle":"","parse-names":false,"suffix":""},{"dropping-particle":"","family":"Bekker","given":"Henk","non-dropping-particle":"","parse-names":false,"suffix":""},{"dropping-particle":"","family":"Berendsen","given":"Herman J.C.","non-dropping-particle":"","parse-names":false,"suffix":""},{"dropping-particle":"","family":"Fraaije","given":"Johannes G.E.M.","non-dropping-particle":"","parse-names":false,"suffix":""}],"container-title":"Journal of Computational Chemistry","id":"ITEM-1","issue":"12","issued":{"date-parts":[["1997"]]},"page":"1463-1472","title":"LINCS: A Linear Constraint Solver for molecular simulations","type":"article-journal","volume":"18"},"uris":["http://www.mendeley.com/documents/?uuid=27fc641b-5423-48b9-8f58-a8dd79e6fbdc"]}],"mendeley":{"formattedCitation":"(Hess et al. 1997)","plainTextFormattedCitation":"(Hess et al. 1997)","previouslyFormattedCitation":"(Hess et al. 1997)"},"properties":{"noteIndex":0},"schema":"https://github.com/citation-style-language/schema/raw/master/csl-citation.json"}</w:instrText>
      </w:r>
      <w:r>
        <w:fldChar w:fldCharType="separate"/>
      </w:r>
      <w:r w:rsidRPr="006E3716">
        <w:rPr>
          <w:noProof/>
        </w:rPr>
        <w:t>(Hess et al. 1997)</w:t>
      </w:r>
      <w:r>
        <w:fldChar w:fldCharType="end"/>
      </w:r>
      <w:r w:rsidRPr="00A41BE6">
        <w:t>.</w:t>
      </w:r>
      <w:r w:rsidR="006E3716">
        <w:t xml:space="preserve"> </w:t>
      </w:r>
    </w:p>
    <w:p w14:paraId="68E4784E" w14:textId="0E57A131" w:rsidR="002670C7" w:rsidRDefault="002670C7" w:rsidP="002670C7">
      <w:pPr>
        <w:pStyle w:val="CETheadingx"/>
      </w:pPr>
      <w:r w:rsidRPr="00A41BE6">
        <w:t>2.</w:t>
      </w:r>
      <w:r w:rsidR="00A41BE6">
        <w:t>4</w:t>
      </w:r>
      <w:r w:rsidRPr="00A41BE6">
        <w:t xml:space="preserve"> Crystals data analysis</w:t>
      </w:r>
    </w:p>
    <w:p w14:paraId="7EE8CB66" w14:textId="7491ACC4" w:rsidR="00DB3410" w:rsidRPr="00DB3410" w:rsidRDefault="00DB3410" w:rsidP="0086537C">
      <w:pPr>
        <w:pStyle w:val="CETBodytext"/>
      </w:pPr>
      <w:r>
        <w:t xml:space="preserve">A detailed data analysis approach was developed to track crystal formation within the simulations by processing ion trajectories. The method includes three key steps </w:t>
      </w:r>
      <w:r>
        <w:fldChar w:fldCharType="begin" w:fldLock="1"/>
      </w:r>
      <w:r>
        <w:instrText>ADDIN CSL_CITATION {"citationItems":[{"id":"ITEM-1","itemData":{"DOI":"10.1021/acs.jpcb.6b05291","ISSN":"15205207","abstract":"Molecular dynamics simulations are used to investigate the factors that influence the nucleation of NaCl crystals in a supersaturated aqueous solution. We describe a methodology for detecting solidlike NaCl clusters (potential nuclei) and following their evolution in time until they achieve nucleation (which is very rare) or dissolve back into solution. Through an analysis of cluster lifetimes and multiple nucleation events, we demonstrate that cluster size is not the only property that influences cluster stability and the probability of achieving nucleation. We introduce a parameter called cluster crystallinity, which is a measure of the solidlike order in a particular cluster. We show that cluster order (as measured by this parameter) has a strong influence on the lifetime and nucleation probability of clusters of equal sizes, with the lifetime and probability of nucleation increasing with increasing crystallinity. These observations remain true for clusters as small as six ions, showing that the structural factors are important even at the earliest stages of crystal birth.","author":[{"dropping-particle":"","family":"Lanaro","given":"G.","non-dropping-particle":"","parse-names":false,"suffix":""},{"dropping-particle":"","family":"Patey","given":"G. N.","non-dropping-particle":"","parse-names":false,"suffix":""}],"container-title":"Journal of Physical Chemistry B","id":"ITEM-1","issue":"34","issued":{"date-parts":[["2016"]]},"page":"9076-9087","title":"Birth of NaCl Crystals: Insights from Molecular Simulations","type":"article-journal","volume":"120"},"uris":["http://www.mendeley.com/documents/?uuid=7c8c73f9-06af-42ab-9105-3b6fcacbdc28"]}],"mendeley":{"formattedCitation":"(Lanaro and Patey 2016)","plainTextFormattedCitation":"(Lanaro and Patey 2016)","previouslyFormattedCitation":"(Lanaro and Patey 2016)"},"properties":{"noteIndex":0},"schema":"https://github.com/citation-style-language/schema/raw/master/csl-citation.json"}</w:instrText>
      </w:r>
      <w:r>
        <w:fldChar w:fldCharType="separate"/>
      </w:r>
      <w:r w:rsidRPr="0021716A">
        <w:rPr>
          <w:noProof/>
        </w:rPr>
        <w:t>(Lanaro and Patey 2016)</w:t>
      </w:r>
      <w:r>
        <w:fldChar w:fldCharType="end"/>
      </w:r>
      <w:r w:rsidRPr="002670C7">
        <w:t>:</w:t>
      </w:r>
      <w:r>
        <w:t xml:space="preserve"> 1) Ion Filtering: The Steinhardt order parameter was used to classify ions based on their local environment, categorizing them as solid-like or liquid-like. 2) Crystal Identification: The DBSCAN machine learning algorithm was applied to group solid-like ions into clusters, identifying potential crystals. 3) Crystal Stability Evaluation: The Jaccard similarity index was calculated to assess the stability and persistence of crystals over time.</w:t>
      </w:r>
      <w:r w:rsidR="00572460">
        <w:t xml:space="preserve"> </w:t>
      </w:r>
      <w:r w:rsidR="0086537C">
        <w:t>Additionally, self-diffusion coefficients (</w:t>
      </w:r>
      <w:r w:rsidR="0086537C" w:rsidRPr="003B247F">
        <w:rPr>
          <w:i/>
          <w:iCs/>
        </w:rPr>
        <w:t>D</w:t>
      </w:r>
      <w:r w:rsidR="0086537C" w:rsidRPr="00E21560">
        <w:rPr>
          <w:i/>
          <w:iCs/>
          <w:vertAlign w:val="subscript"/>
        </w:rPr>
        <w:t>i</w:t>
      </w:r>
      <w:r w:rsidR="0086537C">
        <w:t xml:space="preserve">) for all species were determined using the long-time limit of the Mean Square Displacement, applying the Einstein relation as shown in Equation 1 </w:t>
      </w:r>
      <w:r w:rsidR="0086537C">
        <w:fldChar w:fldCharType="begin" w:fldLock="1"/>
      </w:r>
      <w:r w:rsidR="0086537C">
        <w:instrText>ADDIN CSL_CITATION {"citationItems":[{"id":"ITEM-1","itemData":{"DOI":"10.1039/d0cp00928h","ISSN":"14639076","PMID":"32249878","abstract":"Membrane-assisted crystallization is an emerging technology where microporous hydrophobic membranes are used not as selective barriers but to promote the water vapor transfer between phases inducing supersaturation in solution. This has been successfully tested in the crystallization of ionic salts, low molecular weight organic acids and proteins. In this work, molecular dynamics simulations were used to study the crystal nucleation and growth of sodium chloride in contact with hydrophobic polymer surfaces at a supersaturated concentration of salt. A pristine polyvinylidene fluoride (PVDF) surface and PVDF containing different concentrations of graphene platelets were studied. Membrane crystallization tests were performed in parallel, in order to compare the experimental results with the computational ones. Here, with an integrated experimental-computational approach, we demonstrate that graphene-containing membranes assisted the crystal growth of NaCl, speeding up crystal nucleation in comparison with the pristine PVDF membranes. The computational results agreed with the experimental data, allowing the possibility of exploring the behavior of nanomaterials in membrane processes at a microscopic level.","author":[{"dropping-particle":"","family":"Perrotta","given":"Maria Luisa","non-dropping-particle":"","parse-names":false,"suffix":""},{"dropping-particle":"","family":"Macedonio","given":"Francesca","non-dropping-particle":"","parse-names":false,"suffix":""},{"dropping-particle":"","family":"Giorno","given":"Lidietta","non-dropping-particle":"","parse-names":false,"suffix":""},{"dropping-particle":"","family":"Jin","given":"Wanqin","non-dropping-particle":"","parse-names":false,"suffix":""},{"dropping-particle":"","family":"Drioli","given":"Enrico","non-dropping-particle":"","parse-names":false,"suffix":""},{"dropping-particle":"","family":"Gugliuzza","given":"Annarosa","non-dropping-particle":"","parse-names":false,"suffix":""},{"dropping-particle":"","family":"Tocci","given":"Elena","non-dropping-particle":"","parse-names":false,"suffix":""}],"container-title":"Physical Chemistry Chemical Physics","id":"ITEM-1","issue":"15","issued":{"date-parts":[["2020"]]},"page":"7817-7827","publisher":"Royal Society of Chemistry","title":"Molecular insights on NaCl crystal formation approaching PVDF membranes functionalized with graphene","type":"article-journal","volume":"22"},"uris":["http://www.mendeley.com/documents/?uuid=5cae39ce-38cd-4067-89d6-cfe49d524b90"]}],"mendeley":{"formattedCitation":"(Perrotta et al. 2020)","plainTextFormattedCitation":"(Perrotta et al. 2020)","previouslyFormattedCitation":"(Perrotta et al. 2020)"},"properties":{"noteIndex":0},"schema":"https://github.com/citation-style-language/schema/raw/master/csl-citation.json"}</w:instrText>
      </w:r>
      <w:r w:rsidR="0086537C">
        <w:fldChar w:fldCharType="separate"/>
      </w:r>
      <w:r w:rsidR="0086537C" w:rsidRPr="00DF5BDD">
        <w:rPr>
          <w:noProof/>
        </w:rPr>
        <w:t>(Perrotta et al. 2020)</w:t>
      </w:r>
      <w:r w:rsidR="0086537C">
        <w:fldChar w:fldCharType="end"/>
      </w:r>
      <w:r w:rsidR="0086537C">
        <w:t>:</w:t>
      </w:r>
    </w:p>
    <w:tbl>
      <w:tblPr>
        <w:tblW w:w="5000" w:type="pct"/>
        <w:tblLook w:val="04A0" w:firstRow="1" w:lastRow="0" w:firstColumn="1" w:lastColumn="0" w:noHBand="0" w:noVBand="1"/>
      </w:tblPr>
      <w:tblGrid>
        <w:gridCol w:w="7985"/>
        <w:gridCol w:w="802"/>
      </w:tblGrid>
      <w:tr w:rsidR="003B247F" w:rsidRPr="00B57B36" w14:paraId="02A0E491" w14:textId="77777777" w:rsidTr="0003490D">
        <w:tc>
          <w:tcPr>
            <w:tcW w:w="7985" w:type="dxa"/>
            <w:shd w:val="clear" w:color="auto" w:fill="auto"/>
            <w:vAlign w:val="center"/>
          </w:tcPr>
          <w:p w14:paraId="7283A0E7" w14:textId="096DAF7F" w:rsidR="003B247F" w:rsidRPr="009F79A3" w:rsidRDefault="003B247F" w:rsidP="0003490D">
            <w:pPr>
              <w:pStyle w:val="CETEquation"/>
              <w:rPr>
                <w:sz w:val="24"/>
                <w:szCs w:val="32"/>
              </w:rPr>
            </w:pPr>
            <w:r w:rsidRPr="003B247F">
              <w:rPr>
                <w:position w:val="-24"/>
                <w:sz w:val="24"/>
                <w:szCs w:val="32"/>
              </w:rPr>
              <w:object w:dxaOrig="2380" w:dyaOrig="840" w14:anchorId="7C8B4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8pt;height:41.4pt" o:ole="">
                  <v:imagedata r:id="rId11" o:title=""/>
                </v:shape>
                <o:OLEObject Type="Embed" ProgID="Equation.DSMT4" ShapeID="_x0000_i1025" DrawAspect="Content" ObjectID="_1798536722" r:id="rId12"/>
              </w:object>
            </w:r>
          </w:p>
        </w:tc>
        <w:tc>
          <w:tcPr>
            <w:tcW w:w="802" w:type="dxa"/>
            <w:shd w:val="clear" w:color="auto" w:fill="auto"/>
            <w:vAlign w:val="center"/>
          </w:tcPr>
          <w:p w14:paraId="3EC0B9B3" w14:textId="51CD955B" w:rsidR="003B247F" w:rsidRPr="00B57B36" w:rsidRDefault="003B247F" w:rsidP="0003490D">
            <w:pPr>
              <w:pStyle w:val="CETEquation"/>
              <w:jc w:val="right"/>
            </w:pPr>
            <w:r w:rsidRPr="00B57B36">
              <w:t>(</w:t>
            </w:r>
            <w:bookmarkStart w:id="6" w:name="Eq_DiffCoeff"/>
            <w:r w:rsidRPr="00941811">
              <w:fldChar w:fldCharType="begin"/>
            </w:r>
            <w:r w:rsidRPr="00941811">
              <w:instrText xml:space="preserve"> SEQ n_Eqs \* MERGEFORMAT </w:instrText>
            </w:r>
            <w:r w:rsidRPr="00941811">
              <w:fldChar w:fldCharType="separate"/>
            </w:r>
            <w:r w:rsidR="00BB5AFD">
              <w:rPr>
                <w:noProof/>
              </w:rPr>
              <w:t>1</w:t>
            </w:r>
            <w:r w:rsidRPr="00941811">
              <w:fldChar w:fldCharType="end"/>
            </w:r>
            <w:bookmarkEnd w:id="6"/>
            <w:r w:rsidRPr="00B57B36">
              <w:t>)</w:t>
            </w:r>
          </w:p>
        </w:tc>
      </w:tr>
    </w:tbl>
    <w:p w14:paraId="6107FAAE" w14:textId="2BB5ECC1" w:rsidR="003B247F" w:rsidRPr="00345288" w:rsidRDefault="003B247F" w:rsidP="00BC2F5A">
      <w:pPr>
        <w:pStyle w:val="CETBodytext"/>
        <w:rPr>
          <w:color w:val="FF0000"/>
        </w:rPr>
      </w:pPr>
      <w:bookmarkStart w:id="7" w:name="_Hlk187349953"/>
      <w:r w:rsidRPr="00345288">
        <w:rPr>
          <w:color w:val="FF0000"/>
        </w:rPr>
        <w:t xml:space="preserve">where </w:t>
      </w:r>
      <w:r w:rsidRPr="00345288">
        <w:rPr>
          <w:i/>
          <w:iCs/>
          <w:color w:val="FF0000"/>
        </w:rPr>
        <w:t>r(t)</w:t>
      </w:r>
      <w:r w:rsidRPr="00345288">
        <w:rPr>
          <w:color w:val="FF0000"/>
        </w:rPr>
        <w:t xml:space="preserve"> is the position vector </w:t>
      </w:r>
      <w:r w:rsidR="00345288" w:rsidRPr="00345288">
        <w:rPr>
          <w:color w:val="FF0000"/>
        </w:rPr>
        <w:t xml:space="preserve">(nm) </w:t>
      </w:r>
      <w:r w:rsidRPr="00345288">
        <w:rPr>
          <w:color w:val="FF0000"/>
        </w:rPr>
        <w:t xml:space="preserve">of the center of mass of the molecule (or ion) at time </w:t>
      </w:r>
      <w:r w:rsidRPr="00345288">
        <w:rPr>
          <w:i/>
          <w:iCs/>
          <w:color w:val="FF0000"/>
        </w:rPr>
        <w:t>t</w:t>
      </w:r>
      <w:r w:rsidR="00345288" w:rsidRPr="00345288">
        <w:rPr>
          <w:i/>
          <w:iCs/>
          <w:color w:val="FF0000"/>
        </w:rPr>
        <w:t xml:space="preserve"> (ns)</w:t>
      </w:r>
      <w:r w:rsidRPr="00345288">
        <w:rPr>
          <w:color w:val="FF0000"/>
        </w:rPr>
        <w:t>.</w:t>
      </w:r>
      <w:r w:rsidR="006F57C7" w:rsidRPr="00345288">
        <w:rPr>
          <w:color w:val="FF0000"/>
        </w:rPr>
        <w:t xml:space="preserve"> </w:t>
      </w:r>
    </w:p>
    <w:bookmarkEnd w:id="7"/>
    <w:p w14:paraId="51F463CC" w14:textId="4A9EDC55" w:rsidR="0086537C" w:rsidRPr="003B247F" w:rsidRDefault="0086537C" w:rsidP="00BC2F5A">
      <w:pPr>
        <w:pStyle w:val="CETBodytext"/>
      </w:pPr>
      <w:r w:rsidRPr="0086537C">
        <w:t>The coordination number (CN) was calculated using Equation 2</w:t>
      </w:r>
      <w:r w:rsidR="00DF5BDD">
        <w:t xml:space="preserve"> </w:t>
      </w:r>
      <w:r w:rsidR="00DF5BDD">
        <w:fldChar w:fldCharType="begin" w:fldLock="1"/>
      </w:r>
      <w:r w:rsidR="00FE5157">
        <w:instrText>ADDIN CSL_CITATION {"citationItems":[{"id":"ITEM-1","itemData":{"DOI":"10.1039/d0cp00928h","ISSN":"14639076","PMID":"32249878","abstract":"Membrane-assisted crystallization is an emerging technology where microporous hydrophobic membranes are used not as selective barriers but to promote the water vapor transfer between phases inducing supersaturation in solution. This has been successfully tested in the crystallization of ionic salts, low molecular weight organic acids and proteins. In this work, molecular dynamics simulations were used to study the crystal nucleation and growth of sodium chloride in contact with hydrophobic polymer surfaces at a supersaturated concentration of salt. A pristine polyvinylidene fluoride (PVDF) surface and PVDF containing different concentrations of graphene platelets were studied. Membrane crystallization tests were performed in parallel, in order to compare the experimental results with the computational ones. Here, with an integrated experimental-computational approach, we demonstrate that graphene-containing membranes assisted the crystal growth of NaCl, speeding up crystal nucleation in comparison with the pristine PVDF membranes. The computational results agreed with the experimental data, allowing the possibility of exploring the behavior of nanomaterials in membrane processes at a microscopic level.","author":[{"dropping-particle":"","family":"Perrotta","given":"Maria Luisa","non-dropping-particle":"","parse-names":false,"suffix":""},{"dropping-particle":"","family":"Macedonio","given":"Francesca","non-dropping-particle":"","parse-names":false,"suffix":""},{"dropping-particle":"","family":"Giorno","given":"Lidietta","non-dropping-particle":"","parse-names":false,"suffix":""},{"dropping-particle":"","family":"Jin","given":"Wanqin","non-dropping-particle":"","parse-names":false,"suffix":""},{"dropping-particle":"","family":"Drioli","given":"Enrico","non-dropping-particle":"","parse-names":false,"suffix":""},{"dropping-particle":"","family":"Gugliuzza","given":"Annarosa","non-dropping-particle":"","parse-names":false,"suffix":""},{"dropping-particle":"","family":"Tocci","given":"Elena","non-dropping-particle":"","parse-names":false,"suffix":""}],"container-title":"Physical Chemistry Chemical Physics","id":"ITEM-1","issue":"15","issued":{"date-parts":[["2020"]]},"page":"7817-7827","publisher":"Royal Society of Chemistry","title":"Molecular insights on NaCl crystal formation approaching PVDF membranes functionalized with graphene","type":"article-journal","volume":"22"},"uris":["http://www.mendeley.com/documents/?uuid=5cae39ce-38cd-4067-89d6-cfe49d524b90"]}],"mendeley":{"formattedCitation":"(Perrotta et al. 2020)","plainTextFormattedCitation":"(Perrotta et al. 2020)","previouslyFormattedCitation":"(Perrotta et al. 2020)"},"properties":{"noteIndex":0},"schema":"https://github.com/citation-style-language/schema/raw/master/csl-citation.json"}</w:instrText>
      </w:r>
      <w:r w:rsidR="00DF5BDD">
        <w:fldChar w:fldCharType="separate"/>
      </w:r>
      <w:r w:rsidR="00DF5BDD" w:rsidRPr="00DF5BDD">
        <w:rPr>
          <w:noProof/>
        </w:rPr>
        <w:t>(Perrotta et al. 2020)</w:t>
      </w:r>
      <w:r w:rsidR="00DF5BDD">
        <w:fldChar w:fldCharType="end"/>
      </w:r>
      <w:r>
        <w:t>:</w:t>
      </w:r>
    </w:p>
    <w:tbl>
      <w:tblPr>
        <w:tblW w:w="5000" w:type="pct"/>
        <w:tblLook w:val="04A0" w:firstRow="1" w:lastRow="0" w:firstColumn="1" w:lastColumn="0" w:noHBand="0" w:noVBand="1"/>
      </w:tblPr>
      <w:tblGrid>
        <w:gridCol w:w="7985"/>
        <w:gridCol w:w="802"/>
      </w:tblGrid>
      <w:tr w:rsidR="003B247F" w:rsidRPr="00B57B36" w14:paraId="58A4D462" w14:textId="77777777" w:rsidTr="0003490D">
        <w:tc>
          <w:tcPr>
            <w:tcW w:w="7985" w:type="dxa"/>
            <w:shd w:val="clear" w:color="auto" w:fill="auto"/>
            <w:vAlign w:val="center"/>
          </w:tcPr>
          <w:p w14:paraId="5B2D0540" w14:textId="77777777" w:rsidR="003B247F" w:rsidRPr="00B57B36" w:rsidRDefault="003B247F" w:rsidP="0003490D">
            <w:pPr>
              <w:pStyle w:val="CETEquation"/>
            </w:pPr>
            <w:r w:rsidRPr="009F79A3">
              <w:rPr>
                <w:position w:val="-32"/>
                <w:sz w:val="24"/>
                <w:szCs w:val="32"/>
              </w:rPr>
              <w:object w:dxaOrig="2079" w:dyaOrig="760" w14:anchorId="0A28D2D6">
                <v:shape id="_x0000_i1026" type="#_x0000_t75" style="width:103.8pt;height:37.2pt" o:ole="">
                  <v:imagedata r:id="rId13" o:title=""/>
                </v:shape>
                <o:OLEObject Type="Embed" ProgID="Equation.DSMT4" ShapeID="_x0000_i1026" DrawAspect="Content" ObjectID="_1798536723" r:id="rId14"/>
              </w:object>
            </w:r>
          </w:p>
        </w:tc>
        <w:tc>
          <w:tcPr>
            <w:tcW w:w="802" w:type="dxa"/>
            <w:shd w:val="clear" w:color="auto" w:fill="auto"/>
            <w:vAlign w:val="center"/>
          </w:tcPr>
          <w:p w14:paraId="692F5A37" w14:textId="1F325A15" w:rsidR="003B247F" w:rsidRPr="00B57B36" w:rsidRDefault="003B247F" w:rsidP="0003490D">
            <w:pPr>
              <w:pStyle w:val="CETEquation"/>
              <w:jc w:val="right"/>
            </w:pPr>
            <w:r w:rsidRPr="00B57B36">
              <w:t>(</w:t>
            </w:r>
            <w:bookmarkStart w:id="8" w:name="Eq_CN"/>
            <w:r w:rsidRPr="00941811">
              <w:fldChar w:fldCharType="begin"/>
            </w:r>
            <w:r w:rsidRPr="00941811">
              <w:instrText xml:space="preserve"> SEQ n_Eqs \* MERGEFORMAT </w:instrText>
            </w:r>
            <w:r w:rsidRPr="00941811">
              <w:fldChar w:fldCharType="separate"/>
            </w:r>
            <w:r w:rsidR="00BB5AFD">
              <w:rPr>
                <w:noProof/>
              </w:rPr>
              <w:t>2</w:t>
            </w:r>
            <w:r w:rsidRPr="00941811">
              <w:fldChar w:fldCharType="end"/>
            </w:r>
            <w:bookmarkEnd w:id="8"/>
            <w:r w:rsidRPr="00B57B36">
              <w:t>)</w:t>
            </w:r>
          </w:p>
        </w:tc>
      </w:tr>
    </w:tbl>
    <w:p w14:paraId="3AD4BCC0" w14:textId="4992DEA7" w:rsidR="00BC2F5A" w:rsidRPr="00345288" w:rsidRDefault="00BC2F5A" w:rsidP="002670C7">
      <w:pPr>
        <w:pStyle w:val="CETBodytext"/>
        <w:rPr>
          <w:color w:val="FF0000"/>
          <w:lang w:val="en-GB"/>
        </w:rPr>
      </w:pPr>
      <w:bookmarkStart w:id="9" w:name="_Hlk187349782"/>
      <w:r w:rsidRPr="00345288">
        <w:rPr>
          <w:color w:val="FF0000"/>
          <w:lang w:val="en-GB"/>
        </w:rPr>
        <w:t xml:space="preserve">where </w:t>
      </w:r>
      <w:r w:rsidRPr="00345288">
        <w:rPr>
          <w:rFonts w:ascii="Symbol" w:hAnsi="Symbol"/>
          <w:i/>
          <w:iCs/>
          <w:color w:val="FF0000"/>
          <w:lang w:val="en-GB"/>
        </w:rPr>
        <w:t></w:t>
      </w:r>
      <w:r w:rsidRPr="00345288">
        <w:rPr>
          <w:color w:val="FF0000"/>
          <w:lang w:val="en-GB"/>
        </w:rPr>
        <w:t xml:space="preserve"> is the molecular density</w:t>
      </w:r>
      <w:r w:rsidR="00345288" w:rsidRPr="00345288">
        <w:rPr>
          <w:color w:val="FF0000"/>
          <w:lang w:val="en-GB"/>
        </w:rPr>
        <w:t xml:space="preserve"> (</w:t>
      </w:r>
      <w:r w:rsidR="00345288">
        <w:rPr>
          <w:color w:val="FF0000"/>
          <w:lang w:val="en-GB"/>
        </w:rPr>
        <w:t>n</w:t>
      </w:r>
      <w:r w:rsidR="00345288" w:rsidRPr="00345288">
        <w:rPr>
          <w:color w:val="FF0000"/>
          <w:lang w:val="en-GB"/>
        </w:rPr>
        <w:t>umber of molecules nm</w:t>
      </w:r>
      <w:r w:rsidR="00345288" w:rsidRPr="00345288">
        <w:rPr>
          <w:color w:val="FF0000"/>
          <w:vertAlign w:val="superscript"/>
          <w:lang w:val="en-GB"/>
        </w:rPr>
        <w:t>-3</w:t>
      </w:r>
      <w:r w:rsidR="00345288" w:rsidRPr="00345288">
        <w:rPr>
          <w:color w:val="FF0000"/>
          <w:lang w:val="en-GB"/>
        </w:rPr>
        <w:t>)</w:t>
      </w:r>
      <w:r w:rsidRPr="00345288">
        <w:rPr>
          <w:color w:val="FF0000"/>
          <w:lang w:val="en-GB"/>
        </w:rPr>
        <w:t xml:space="preserve">, </w:t>
      </w:r>
      <w:r w:rsidRPr="00345288">
        <w:rPr>
          <w:i/>
          <w:iCs/>
          <w:color w:val="FF0000"/>
          <w:lang w:val="en-GB"/>
        </w:rPr>
        <w:t>g(r)</w:t>
      </w:r>
      <w:r w:rsidRPr="00345288">
        <w:rPr>
          <w:color w:val="FF0000"/>
          <w:lang w:val="en-GB"/>
        </w:rPr>
        <w:t xml:space="preserve"> </w:t>
      </w:r>
      <w:r w:rsidR="00345288">
        <w:rPr>
          <w:color w:val="FF0000"/>
          <w:lang w:val="en-GB"/>
        </w:rPr>
        <w:t>(-)</w:t>
      </w:r>
      <w:r w:rsidR="002C70A9">
        <w:rPr>
          <w:color w:val="FF0000"/>
          <w:lang w:val="en-GB"/>
        </w:rPr>
        <w:t xml:space="preserve"> </w:t>
      </w:r>
      <w:r w:rsidRPr="00345288">
        <w:rPr>
          <w:color w:val="FF0000"/>
          <w:lang w:val="en-GB"/>
        </w:rPr>
        <w:t xml:space="preserve">is the radial distribution function (rdf), </w:t>
      </w:r>
      <w:r w:rsidRPr="00345288">
        <w:rPr>
          <w:i/>
          <w:iCs/>
          <w:color w:val="FF0000"/>
          <w:lang w:val="en-GB"/>
        </w:rPr>
        <w:t>r</w:t>
      </w:r>
      <w:r w:rsidRPr="00345288">
        <w:rPr>
          <w:color w:val="FF0000"/>
          <w:lang w:val="en-GB"/>
        </w:rPr>
        <w:t xml:space="preserve"> is the position </w:t>
      </w:r>
      <w:r w:rsidR="00345288" w:rsidRPr="00345288">
        <w:rPr>
          <w:color w:val="FF0000"/>
          <w:lang w:val="en-GB"/>
        </w:rPr>
        <w:t xml:space="preserve">(nm) </w:t>
      </w:r>
      <w:r w:rsidRPr="00345288">
        <w:rPr>
          <w:color w:val="FF0000"/>
          <w:lang w:val="en-GB"/>
        </w:rPr>
        <w:t xml:space="preserve">and </w:t>
      </w:r>
      <w:r w:rsidRPr="00345288">
        <w:rPr>
          <w:i/>
          <w:iCs/>
          <w:color w:val="FF0000"/>
          <w:lang w:val="en-GB"/>
        </w:rPr>
        <w:t>r</w:t>
      </w:r>
      <w:r w:rsidRPr="00345288">
        <w:rPr>
          <w:i/>
          <w:iCs/>
          <w:color w:val="FF0000"/>
          <w:vertAlign w:val="subscript"/>
          <w:lang w:val="en-GB"/>
        </w:rPr>
        <w:t>c</w:t>
      </w:r>
      <w:r w:rsidRPr="00345288">
        <w:rPr>
          <w:color w:val="FF0000"/>
          <w:lang w:val="en-GB"/>
        </w:rPr>
        <w:t xml:space="preserve"> is the position </w:t>
      </w:r>
      <w:r w:rsidR="00345288">
        <w:rPr>
          <w:color w:val="FF0000"/>
          <w:lang w:val="en-GB"/>
        </w:rPr>
        <w:t xml:space="preserve">(nm) </w:t>
      </w:r>
      <w:r w:rsidRPr="00345288">
        <w:rPr>
          <w:color w:val="FF0000"/>
          <w:lang w:val="en-GB"/>
        </w:rPr>
        <w:t>of the first minimum after the first pick.</w:t>
      </w:r>
    </w:p>
    <w:bookmarkEnd w:id="9"/>
    <w:p w14:paraId="142E3D2A" w14:textId="43672A06" w:rsidR="00A41BE6" w:rsidRPr="002670C7" w:rsidRDefault="00A41BE6" w:rsidP="00A41BE6">
      <w:pPr>
        <w:pStyle w:val="CETheadingx"/>
      </w:pPr>
      <w:r w:rsidRPr="00A41BE6">
        <w:t>2.</w:t>
      </w:r>
      <w:r>
        <w:t>5</w:t>
      </w:r>
      <w:r w:rsidRPr="00A41BE6">
        <w:t xml:space="preserve"> </w:t>
      </w:r>
      <w:r>
        <w:t>Experimental methodology</w:t>
      </w:r>
    </w:p>
    <w:p w14:paraId="0BFBA917" w14:textId="1BB838F9" w:rsidR="002670C7" w:rsidRDefault="00A41BE6" w:rsidP="00A74AB9">
      <w:pPr>
        <w:rPr>
          <w:lang w:val="en-US"/>
        </w:rPr>
      </w:pPr>
      <w:r w:rsidRPr="00A41BE6">
        <w:rPr>
          <w:lang w:val="en-US"/>
        </w:rPr>
        <w:t>Solutions were prepared by dissolving lithium fluoride (LiF) in ultra-pure water to a concentration of 1.012×10</w:t>
      </w:r>
      <w:r w:rsidRPr="00A41BE6">
        <w:rPr>
          <w:rFonts w:ascii="Cambria Math" w:hAnsi="Cambria Math" w:cs="Cambria Math"/>
          <w:lang w:val="en-US"/>
        </w:rPr>
        <w:t>⁻</w:t>
      </w:r>
      <w:r w:rsidRPr="00A41BE6">
        <w:rPr>
          <w:rFonts w:cs="Arial"/>
          <w:lang w:val="en-US"/>
        </w:rPr>
        <w:t>³</w:t>
      </w:r>
      <w:r w:rsidRPr="00A41BE6">
        <w:rPr>
          <w:lang w:val="en-US"/>
        </w:rPr>
        <w:t xml:space="preserve"> g</w:t>
      </w:r>
      <w:r>
        <w:t xml:space="preserve"> </w:t>
      </w:r>
      <w:r w:rsidRPr="00A41BE6">
        <w:rPr>
          <w:lang w:val="en-US"/>
        </w:rPr>
        <w:t>mL</w:t>
      </w:r>
      <w:r w:rsidRPr="00A41BE6">
        <w:rPr>
          <w:vertAlign w:val="superscript"/>
        </w:rPr>
        <w:t>-1</w:t>
      </w:r>
      <w:r w:rsidRPr="00A41BE6">
        <w:rPr>
          <w:lang w:val="en-US"/>
        </w:rPr>
        <w:t xml:space="preserve">. Hydrophobic flat-sheet polypropylene membranes </w:t>
      </w:r>
      <w:r w:rsidR="0090165D">
        <w:rPr>
          <w:lang w:val="en-US"/>
        </w:rPr>
        <w:t>are</w:t>
      </w:r>
      <w:r w:rsidRPr="00A41BE6">
        <w:rPr>
          <w:lang w:val="en-US"/>
        </w:rPr>
        <w:t xml:space="preserve"> sourced from </w:t>
      </w:r>
      <w:r w:rsidR="0090165D">
        <w:rPr>
          <w:lang w:val="en-US"/>
        </w:rPr>
        <w:t>3M</w:t>
      </w:r>
      <w:r w:rsidRPr="00A41BE6">
        <w:rPr>
          <w:lang w:val="en-US"/>
        </w:rPr>
        <w:t xml:space="preserve">. All tests were </w:t>
      </w:r>
      <w:r>
        <w:t>performed</w:t>
      </w:r>
      <w:r w:rsidRPr="00A41BE6">
        <w:rPr>
          <w:lang w:val="en-US"/>
        </w:rPr>
        <w:t xml:space="preserve"> in a climate-controlled room at 300 K and 60% humidity. The experiments included placing 15 µL drops in a glass petri </w:t>
      </w:r>
      <w:r>
        <w:t>pla</w:t>
      </w:r>
      <w:r w:rsidR="0090165D">
        <w:t>t</w:t>
      </w:r>
      <w:r>
        <w:t>e</w:t>
      </w:r>
      <w:r w:rsidRPr="00A41BE6">
        <w:rPr>
          <w:lang w:val="en-US"/>
        </w:rPr>
        <w:t xml:space="preserve"> without a membrane or on a PP membrane</w:t>
      </w:r>
      <w:r>
        <w:t>.</w:t>
      </w:r>
      <w:r w:rsidRPr="00A41BE6">
        <w:rPr>
          <w:lang w:val="en-US"/>
        </w:rPr>
        <w:t xml:space="preserve"> </w:t>
      </w:r>
      <w:r>
        <w:t>C</w:t>
      </w:r>
      <w:r w:rsidR="009C7B0B" w:rsidRPr="00A41BE6">
        <w:rPr>
          <w:lang w:val="en-US"/>
        </w:rPr>
        <w:t>ryst</w:t>
      </w:r>
      <w:r w:rsidR="009C7B0B">
        <w:rPr>
          <w:lang w:val="en-US"/>
        </w:rPr>
        <w:t>als’</w:t>
      </w:r>
      <w:r w:rsidRPr="00A41BE6">
        <w:rPr>
          <w:lang w:val="en-US"/>
        </w:rPr>
        <w:t xml:space="preserve"> formation</w:t>
      </w:r>
      <w:r>
        <w:t xml:space="preserve"> is</w:t>
      </w:r>
      <w:r w:rsidRPr="00A41BE6">
        <w:rPr>
          <w:lang w:val="en-US"/>
        </w:rPr>
        <w:t xml:space="preserve"> monitored via microscope</w:t>
      </w:r>
      <w:r w:rsidR="00B9367D">
        <w:t xml:space="preserve"> (Nikon eclipse LV100ND)</w:t>
      </w:r>
      <w:r w:rsidRPr="00A41BE6">
        <w:rPr>
          <w:lang w:val="en-US"/>
        </w:rPr>
        <w:t xml:space="preserve"> images</w:t>
      </w:r>
      <w:r w:rsidRPr="00863715">
        <w:rPr>
          <w:lang w:val="en-US"/>
        </w:rPr>
        <w:t>.</w:t>
      </w:r>
    </w:p>
    <w:p w14:paraId="677EBFF0" w14:textId="13E95410" w:rsidR="00600535" w:rsidRDefault="00941811" w:rsidP="006F57C7">
      <w:pPr>
        <w:pStyle w:val="CETHeading1"/>
        <w:tabs>
          <w:tab w:val="clear" w:pos="360"/>
          <w:tab w:val="right" w:pos="7100"/>
        </w:tabs>
        <w:jc w:val="both"/>
        <w:rPr>
          <w:lang w:val="en-GB"/>
        </w:rPr>
      </w:pPr>
      <w:r>
        <w:rPr>
          <w:lang w:val="en-GB"/>
        </w:rPr>
        <w:t>Results and discussions</w:t>
      </w:r>
    </w:p>
    <w:p w14:paraId="38D4537A" w14:textId="45282C6E" w:rsidR="00DF564C" w:rsidRDefault="0086537C" w:rsidP="00DF564C">
      <w:pPr>
        <w:pStyle w:val="CETBodytext"/>
      </w:pPr>
      <w:bookmarkStart w:id="10" w:name="_Hlk187319664"/>
      <w:r w:rsidRPr="001F30F3">
        <w:rPr>
          <w:color w:val="FF0000"/>
          <w:lang w:val="en-GB"/>
        </w:rPr>
        <w:t xml:space="preserve">The presence of the membrane significantly impacts the </w:t>
      </w:r>
      <w:r w:rsidR="001F30F3" w:rsidRPr="001F30F3">
        <w:rPr>
          <w:color w:val="FF0000"/>
          <w:lang w:val="en-GB"/>
        </w:rPr>
        <w:t>self-</w:t>
      </w:r>
      <w:r w:rsidRPr="001F30F3">
        <w:rPr>
          <w:color w:val="FF0000"/>
          <w:lang w:val="en-GB"/>
        </w:rPr>
        <w:t>diffusion coefficients of all species, causing a reduction during the initial 50 ns compared to simulations without the membrane.</w:t>
      </w:r>
      <w:bookmarkEnd w:id="10"/>
      <w:r w:rsidRPr="0086537C">
        <w:rPr>
          <w:lang w:val="en-GB"/>
        </w:rPr>
        <w:t xml:space="preserve"> This </w:t>
      </w:r>
      <w:r w:rsidR="00041063" w:rsidRPr="0086537C">
        <w:rPr>
          <w:lang w:val="en-GB"/>
        </w:rPr>
        <w:t>behaviour</w:t>
      </w:r>
      <w:r w:rsidRPr="0086537C">
        <w:rPr>
          <w:lang w:val="en-GB"/>
        </w:rPr>
        <w:t xml:space="preserve"> aligns with </w:t>
      </w:r>
      <w:r w:rsidR="00453F53">
        <w:rPr>
          <w:lang w:val="en-GB"/>
        </w:rPr>
        <w:t xml:space="preserve">our </w:t>
      </w:r>
      <w:r w:rsidRPr="0086537C">
        <w:rPr>
          <w:lang w:val="en-GB"/>
        </w:rPr>
        <w:t xml:space="preserve">prior findings indicating that the membrane acts as a barrier, controlling ion aggregation and nucleation events. </w:t>
      </w:r>
      <w:bookmarkStart w:id="11" w:name="_Hlk187320027"/>
      <w:r w:rsidR="00CB079F" w:rsidRPr="00CB079F">
        <w:rPr>
          <w:color w:val="FF0000"/>
          <w:lang w:val="en-GB"/>
        </w:rPr>
        <w:t>Self-d</w:t>
      </w:r>
      <w:r w:rsidRPr="00CB079F">
        <w:rPr>
          <w:color w:val="FF0000"/>
          <w:lang w:val="en-GB"/>
        </w:rPr>
        <w:t xml:space="preserve">iffusion coefficients in our study are lower than those </w:t>
      </w:r>
      <w:r w:rsidR="00DE4926">
        <w:rPr>
          <w:color w:val="FF0000"/>
          <w:lang w:val="en-GB"/>
        </w:rPr>
        <w:t>calculated in an under-saturated LiF solution (D</w:t>
      </w:r>
      <w:r w:rsidR="00DE4926" w:rsidRPr="00DE4926">
        <w:rPr>
          <w:color w:val="FF0000"/>
          <w:vertAlign w:val="subscript"/>
          <w:lang w:val="en-GB"/>
        </w:rPr>
        <w:t>Li+</w:t>
      </w:r>
      <w:r w:rsidR="00DE4926">
        <w:rPr>
          <w:color w:val="FF0000"/>
          <w:vertAlign w:val="subscript"/>
          <w:lang w:val="en-GB"/>
        </w:rPr>
        <w:t xml:space="preserve"> </w:t>
      </w:r>
      <w:r w:rsidR="00DE4926" w:rsidRPr="00DE4926">
        <w:rPr>
          <w:color w:val="FF0000"/>
          <w:lang w:val="en-GB"/>
        </w:rPr>
        <w:t>(300K)</w:t>
      </w:r>
      <w:r w:rsidR="00671342">
        <w:rPr>
          <w:color w:val="FF0000"/>
          <w:lang w:val="en-GB"/>
        </w:rPr>
        <w:t xml:space="preserve"> </w:t>
      </w:r>
      <w:r w:rsidR="00DE4926">
        <w:rPr>
          <w:color w:val="FF0000"/>
          <w:lang w:val="en-GB"/>
        </w:rPr>
        <w:t>=</w:t>
      </w:r>
      <w:r w:rsidR="00DE4926" w:rsidRPr="00DE4926">
        <w:t xml:space="preserve"> </w:t>
      </w:r>
      <w:r w:rsidR="00DE4926" w:rsidRPr="00DE4926">
        <w:rPr>
          <w:color w:val="FF0000"/>
          <w:lang w:val="en-GB"/>
        </w:rPr>
        <w:t>1.188 ± 0.039</w:t>
      </w:r>
      <w:r w:rsidR="00DE4926">
        <w:rPr>
          <w:color w:val="FF0000"/>
          <w:lang w:val="en-GB"/>
        </w:rPr>
        <w:t xml:space="preserve"> 10</w:t>
      </w:r>
      <w:r w:rsidR="00DE4926" w:rsidRPr="00DE4926">
        <w:rPr>
          <w:color w:val="FF0000"/>
          <w:vertAlign w:val="superscript"/>
          <w:lang w:val="en-GB"/>
        </w:rPr>
        <w:t>-5</w:t>
      </w:r>
      <w:r w:rsidR="00DE4926">
        <w:rPr>
          <w:color w:val="FF0000"/>
          <w:vertAlign w:val="superscript"/>
          <w:lang w:val="en-GB"/>
        </w:rPr>
        <w:t xml:space="preserve"> </w:t>
      </w:r>
      <w:r w:rsidR="00DE4926" w:rsidRPr="00DE4926">
        <w:rPr>
          <w:color w:val="FF0000"/>
          <w:lang w:val="en-GB"/>
        </w:rPr>
        <w:t>cm</w:t>
      </w:r>
      <w:r w:rsidR="00DE4926">
        <w:rPr>
          <w:color w:val="FF0000"/>
          <w:vertAlign w:val="superscript"/>
          <w:lang w:val="en-GB"/>
        </w:rPr>
        <w:t xml:space="preserve">2 </w:t>
      </w:r>
      <w:r w:rsidR="00DE4926" w:rsidRPr="00DE4926">
        <w:rPr>
          <w:color w:val="FF0000"/>
          <w:lang w:val="en-GB"/>
        </w:rPr>
        <w:t>s</w:t>
      </w:r>
      <w:r w:rsidR="00DE4926">
        <w:rPr>
          <w:color w:val="FF0000"/>
          <w:vertAlign w:val="superscript"/>
          <w:lang w:val="en-GB"/>
        </w:rPr>
        <w:t>-1</w:t>
      </w:r>
      <w:r w:rsidR="00DE4926">
        <w:rPr>
          <w:color w:val="FF0000"/>
          <w:lang w:val="en-GB"/>
        </w:rPr>
        <w:t xml:space="preserve">) </w:t>
      </w:r>
      <w:r w:rsidR="007B0197" w:rsidRPr="00CB079F">
        <w:rPr>
          <w:color w:val="FF0000"/>
          <w:lang w:val="en-GB"/>
        </w:rPr>
        <w:fldChar w:fldCharType="begin" w:fldLock="1"/>
      </w:r>
      <w:r w:rsidR="007B0197" w:rsidRPr="00CB079F">
        <w:rPr>
          <w:color w:val="FF0000"/>
          <w:lang w:val="en-GB"/>
        </w:rPr>
        <w:instrText>ADDIN CSL_CITATION {"citationItems":[{"id":"ITEM-1","itemData":{"DOI":"10.1051/e3sconf/202122901045","ISSN":"22671242","abstract":"Lithium metal is one of the most promising anodes for rechargeable batteries due to its large capacity, but its performance is plagued by high chemical reactivity, forming an unstable Li-electrolyte interface. Lithium fluoride has been recently touted as a promising material to improve this interface. Computer simulation of lithium in fluoride aqueous solution has an important tool in understanding the structural and dynamical characteristics of ionic complexes. In this investigation, the structural and dynamical properties of supersatured LiF systems have been studied by molecular dynamics simulations at different temperatures range from 300 K up to 360 K using SPC/E water model and the ions which are modeled as charged Lennard-Jones particles. The cartesian positions of each atom of lithium chloride aqueous solution are recorded at every time step of the trajectory. Therefore, the analysis of data requires to calculate the radial distribution functions (RDF) describing the structural and dynamical properties of the water and Li+ and F-ions, such as the coordination numbers, interparticle distances, self-diffusion coefficients and dielectric constants at various temperatures.","author":[{"dropping-particle":"","family":"Errougui","given":"Abdelkbir","non-dropping-particle":"","parse-names":false,"suffix":""},{"dropping-particle":"","family":"Benbiyi","given":"Asmaa","non-dropping-particle":"","parse-names":false,"suffix":""}],"container-title":"E3S Web of Conferences","id":"ITEM-1","issued":{"date-parts":[["2021"]]},"page":"0-5","title":"Molecular dynamics simulation of lithium fluoride in aqueous solutions at different temperatures 300 K - 360 K","type":"article-journal","volume":"229"},"uris":["http://www.mendeley.com/documents/?uuid=c85a93fe-d3c0-4563-82f0-7b7a69ca2a8f"]}],"mendeley":{"formattedCitation":"(Errougui and Benbiyi 2021)","plainTextFormattedCitation":"(Errougui and Benbiyi 2021)","previouslyFormattedCitation":"(Errougui and Benbiyi 2021)"},"properties":{"noteIndex":0},"schema":"https://github.com/citation-style-language/schema/raw/master/csl-citation.json"}</w:instrText>
      </w:r>
      <w:r w:rsidR="007B0197" w:rsidRPr="00CB079F">
        <w:rPr>
          <w:color w:val="FF0000"/>
          <w:lang w:val="en-GB"/>
        </w:rPr>
        <w:fldChar w:fldCharType="separate"/>
      </w:r>
      <w:r w:rsidR="007B0197" w:rsidRPr="00CB079F">
        <w:rPr>
          <w:noProof/>
          <w:color w:val="FF0000"/>
          <w:lang w:val="en-GB"/>
        </w:rPr>
        <w:t>(Errougui and Benbiyi 2021)</w:t>
      </w:r>
      <w:r w:rsidR="007B0197" w:rsidRPr="00CB079F">
        <w:rPr>
          <w:color w:val="FF0000"/>
          <w:lang w:val="en-GB"/>
        </w:rPr>
        <w:fldChar w:fldCharType="end"/>
      </w:r>
      <w:r w:rsidRPr="00CB079F">
        <w:rPr>
          <w:color w:val="FF0000"/>
          <w:lang w:val="en-GB"/>
        </w:rPr>
        <w:t>, further confirming reduced mobility and its role in promoting aggregation and nucleation.</w:t>
      </w:r>
      <w:bookmarkEnd w:id="11"/>
      <w:r w:rsidR="00DE4926">
        <w:rPr>
          <w:color w:val="FF0000"/>
          <w:lang w:val="en-GB"/>
        </w:rPr>
        <w:t xml:space="preserve"> </w:t>
      </w:r>
      <w:r w:rsidR="00514121" w:rsidRPr="00514121">
        <w:rPr>
          <w:color w:val="FF0000"/>
          <w:lang w:val="en-GB"/>
        </w:rPr>
        <w:t>A similar</w:t>
      </w:r>
      <w:r w:rsidR="00514121">
        <w:rPr>
          <w:color w:val="FF0000"/>
          <w:lang w:val="en-GB"/>
        </w:rPr>
        <w:t xml:space="preserve"> </w:t>
      </w:r>
      <w:r w:rsidR="00514121" w:rsidRPr="00514121">
        <w:rPr>
          <w:color w:val="FF0000"/>
          <w:lang w:val="en-GB"/>
        </w:rPr>
        <w:t>mobility reduction</w:t>
      </w:r>
      <w:r w:rsidR="00514121">
        <w:rPr>
          <w:color w:val="FF0000"/>
          <w:lang w:val="en-GB"/>
        </w:rPr>
        <w:t xml:space="preserve"> </w:t>
      </w:r>
      <w:r w:rsidR="00514121" w:rsidRPr="00514121">
        <w:rPr>
          <w:color w:val="FF0000"/>
          <w:lang w:val="en-GB"/>
        </w:rPr>
        <w:t>is evident during induced LiF bulk crystallization, where</w:t>
      </w:r>
      <w:r w:rsidR="00514121">
        <w:rPr>
          <w:color w:val="FF0000"/>
          <w:lang w:val="en-GB"/>
        </w:rPr>
        <w:t xml:space="preserve"> </w:t>
      </w:r>
      <w:r w:rsidR="00DE4926">
        <w:rPr>
          <w:color w:val="FF0000"/>
          <w:lang w:val="en-GB"/>
        </w:rPr>
        <w:t>D</w:t>
      </w:r>
      <w:r w:rsidR="00DE4926" w:rsidRPr="00DE4926">
        <w:rPr>
          <w:color w:val="FF0000"/>
          <w:vertAlign w:val="subscript"/>
          <w:lang w:val="en-GB"/>
        </w:rPr>
        <w:t>Li+</w:t>
      </w:r>
      <w:r w:rsidR="00DE4926">
        <w:rPr>
          <w:color w:val="FF0000"/>
          <w:vertAlign w:val="subscript"/>
          <w:lang w:val="en-GB"/>
        </w:rPr>
        <w:t xml:space="preserve"> </w:t>
      </w:r>
      <w:r w:rsidR="00DE4926" w:rsidRPr="00DE4926">
        <w:rPr>
          <w:color w:val="FF0000"/>
          <w:lang w:val="en-GB"/>
        </w:rPr>
        <w:t>(300K)</w:t>
      </w:r>
      <w:r w:rsidR="00671342">
        <w:rPr>
          <w:color w:val="FF0000"/>
          <w:lang w:val="en-GB"/>
        </w:rPr>
        <w:t xml:space="preserve"> </w:t>
      </w:r>
      <w:r w:rsidR="00DE4926">
        <w:rPr>
          <w:color w:val="FF0000"/>
          <w:lang w:val="en-GB"/>
        </w:rPr>
        <w:t>=</w:t>
      </w:r>
      <w:r w:rsidR="00DE4926" w:rsidRPr="00DE4926">
        <w:rPr>
          <w:color w:val="FF0000"/>
        </w:rPr>
        <w:t>1</w:t>
      </w:r>
      <w:r w:rsidR="00DE4926" w:rsidRPr="00E85933">
        <w:rPr>
          <w:color w:val="FF0000"/>
        </w:rPr>
        <w:t>.90</w:t>
      </w:r>
      <w:r w:rsidR="00DE4926" w:rsidRPr="00DE4926">
        <w:rPr>
          <w:color w:val="FF0000"/>
          <w:lang w:val="en-GB"/>
        </w:rPr>
        <w:t>±</w:t>
      </w:r>
      <w:r w:rsidR="00DE4926" w:rsidRPr="00E85933">
        <w:rPr>
          <w:color w:val="FF0000"/>
        </w:rPr>
        <w:t xml:space="preserve">0.07 </w:t>
      </w:r>
      <w:r w:rsidR="00DE4926">
        <w:rPr>
          <w:color w:val="FF0000"/>
          <w:lang w:val="en-GB"/>
        </w:rPr>
        <w:t>10</w:t>
      </w:r>
      <w:r w:rsidR="00DE4926" w:rsidRPr="00DE4926">
        <w:rPr>
          <w:color w:val="FF0000"/>
          <w:vertAlign w:val="superscript"/>
          <w:lang w:val="en-GB"/>
        </w:rPr>
        <w:t>-</w:t>
      </w:r>
      <w:r w:rsidR="00DE4926">
        <w:rPr>
          <w:color w:val="FF0000"/>
          <w:vertAlign w:val="superscript"/>
          <w:lang w:val="en-GB"/>
        </w:rPr>
        <w:t xml:space="preserve">7 </w:t>
      </w:r>
      <w:r w:rsidR="00DE4926" w:rsidRPr="00DE4926">
        <w:rPr>
          <w:color w:val="FF0000"/>
          <w:lang w:val="en-GB"/>
        </w:rPr>
        <w:t>cm</w:t>
      </w:r>
      <w:r w:rsidR="00DE4926">
        <w:rPr>
          <w:color w:val="FF0000"/>
          <w:vertAlign w:val="superscript"/>
          <w:lang w:val="en-GB"/>
        </w:rPr>
        <w:t xml:space="preserve">2 </w:t>
      </w:r>
      <w:r w:rsidR="00DE4926">
        <w:rPr>
          <w:color w:val="FF0000"/>
          <w:lang w:val="en-GB"/>
        </w:rPr>
        <w:t>s</w:t>
      </w:r>
      <w:r w:rsidR="00DE4926">
        <w:rPr>
          <w:color w:val="FF0000"/>
          <w:vertAlign w:val="superscript"/>
          <w:lang w:val="en-GB"/>
        </w:rPr>
        <w:t>-1</w:t>
      </w:r>
      <w:r w:rsidR="006F57C7">
        <w:rPr>
          <w:lang w:val="en-GB"/>
        </w:rPr>
        <w:t xml:space="preserve"> </w:t>
      </w:r>
      <w:r w:rsidR="00514121" w:rsidRPr="00514121">
        <w:rPr>
          <w:color w:val="FF0000"/>
          <w:lang w:val="en-GB"/>
        </w:rPr>
        <w:fldChar w:fldCharType="begin" w:fldLock="1"/>
      </w:r>
      <w:r w:rsidR="00514121" w:rsidRPr="00514121">
        <w:rPr>
          <w:color w:val="FF0000"/>
          <w:lang w:val="en-GB"/>
        </w:rPr>
        <w:instrText>ADDIN CSL_CITATION {"citationItems":[{"id":"ITEM-1","itemData":{"DOI":"10.1063/1.5001521","ISSN":"00219606","PMID":"29331123","abstract":"Molecular dynamics (MD) simulations are employed to investigate crystal nucleation and growth in oversaturated aqueous LiF solutions. Results obtained for a range of temperatures provide evidence that the rate of crystal growth is determined by a substantial energy barrier (</w:instrText>
      </w:r>
      <w:r w:rsidR="00514121" w:rsidRPr="00514121">
        <w:rPr>
          <w:rFonts w:ascii="Cambria Math" w:hAnsi="Cambria Math" w:cs="Cambria Math"/>
          <w:color w:val="FF0000"/>
          <w:lang w:val="en-GB"/>
        </w:rPr>
        <w:instrText>∼</w:instrText>
      </w:r>
      <w:r w:rsidR="00514121" w:rsidRPr="00514121">
        <w:rPr>
          <w:color w:val="FF0000"/>
          <w:lang w:val="en-GB"/>
        </w:rPr>
        <w:instrText>49 kJ mol-1) related to the loss of water from the ion hydration shells. Employing direct MD simulations, we do not observe spontaneous nucleation of LiF crystals at 300 K, but nucleation is easily observable in NVT simulations at 500 K. This contrasts with the NaCl case, where crystal nucleation is directly observed in similar simulations at 300 K. Based on these observations, together with a detailed analysis of ion clustering in metastable LiF solutions, we argue that the ion dehydration barrier also plays a key role in crystal nucleation. The hydration of the relatively small Li+ and F- ions strongly influences the probability of forming large, crystal-like ion clusters, which are a necessary precursor to nucleation. This important factor is not accounted for in classical nucleation theory.","author":[{"dropping-particle":"","family":"Lanaro","given":"G.","non-dropping-particle":"","parse-names":false,"suffix":""},{"dropping-particle":"","family":"Patey","given":"G. N.","non-dropping-particle":"","parse-names":false,"suffix":""}],"container-title":"Journal of Chemical Physics","id":"ITEM-1","issue":"2","issued":{"date-parts":[["2018"]]},"title":"The influence of ion hydration on nucleation and growth of LiF crystals in aqueous solution","type":"article-journal","volume":"148"},"uris":["http://www.mendeley.com/documents/?uuid=4a61bdcd-7848-41c6-b442-7b7a7647f49b"]}],"mendeley":{"formattedCitation":"(Lanaro and Patey 2018)","plainTextFormattedCitation":"(Lanaro and Patey 2018)"},"properties":{"noteIndex":0},"schema":"https://github.com/citation-style-language/schema/raw/master/csl-citation.json"}</w:instrText>
      </w:r>
      <w:r w:rsidR="00514121" w:rsidRPr="00514121">
        <w:rPr>
          <w:color w:val="FF0000"/>
          <w:lang w:val="en-GB"/>
        </w:rPr>
        <w:fldChar w:fldCharType="separate"/>
      </w:r>
      <w:r w:rsidR="00514121" w:rsidRPr="00514121">
        <w:rPr>
          <w:noProof/>
          <w:color w:val="FF0000"/>
          <w:lang w:val="en-GB"/>
        </w:rPr>
        <w:t>(Lanaro and Patey 2018)</w:t>
      </w:r>
      <w:r w:rsidR="00514121" w:rsidRPr="00514121">
        <w:rPr>
          <w:color w:val="FF0000"/>
          <w:lang w:val="en-GB"/>
        </w:rPr>
        <w:fldChar w:fldCharType="end"/>
      </w:r>
      <w:r w:rsidR="00514121" w:rsidRPr="00514121">
        <w:rPr>
          <w:color w:val="FF0000"/>
          <w:lang w:val="en-GB"/>
        </w:rPr>
        <w:t xml:space="preserve">. </w:t>
      </w:r>
      <w:r w:rsidR="007B0197" w:rsidRPr="007B0197">
        <w:rPr>
          <w:lang w:val="en-GB"/>
        </w:rPr>
        <w:t xml:space="preserve">A key focus lies in the changes observed after crystal formation, particularly at the end of the simulations. </w:t>
      </w:r>
      <w:r w:rsidR="007B0197" w:rsidRPr="00844A0B">
        <w:rPr>
          <w:lang w:val="en-GB"/>
        </w:rPr>
        <w:t xml:space="preserve">Figures </w:t>
      </w:r>
      <w:r w:rsidR="007B0197" w:rsidRPr="00844A0B">
        <w:rPr>
          <w:lang w:val="en-GB"/>
        </w:rPr>
        <w:fldChar w:fldCharType="begin"/>
      </w:r>
      <w:r w:rsidR="007B0197" w:rsidRPr="00844A0B">
        <w:rPr>
          <w:lang w:val="en-GB"/>
        </w:rPr>
        <w:instrText xml:space="preserve"> REF Fig_CN_LiF_Theoretical_Cry \h </w:instrText>
      </w:r>
      <w:r w:rsidR="00CB6EC7" w:rsidRPr="00844A0B">
        <w:rPr>
          <w:lang w:val="en-GB"/>
        </w:rPr>
        <w:instrText xml:space="preserve"> \* MERGEFORMAT </w:instrText>
      </w:r>
      <w:r w:rsidR="007B0197" w:rsidRPr="00844A0B">
        <w:rPr>
          <w:lang w:val="en-GB"/>
        </w:rPr>
      </w:r>
      <w:r w:rsidR="007B0197" w:rsidRPr="00844A0B">
        <w:rPr>
          <w:lang w:val="en-GB"/>
        </w:rPr>
        <w:fldChar w:fldCharType="separate"/>
      </w:r>
      <w:r w:rsidR="007B0197" w:rsidRPr="00844A0B">
        <w:rPr>
          <w:rStyle w:val="CETCaptionCarattere"/>
          <w:noProof/>
        </w:rPr>
        <w:t>1</w:t>
      </w:r>
      <w:r w:rsidR="007B0197" w:rsidRPr="00844A0B">
        <w:rPr>
          <w:lang w:val="en-GB"/>
        </w:rPr>
        <w:fldChar w:fldCharType="end"/>
      </w:r>
      <w:r w:rsidR="007B0197" w:rsidRPr="00844A0B">
        <w:rPr>
          <w:lang w:val="en-GB"/>
        </w:rPr>
        <w:t xml:space="preserve">a and </w:t>
      </w:r>
      <w:r w:rsidR="007B0197" w:rsidRPr="00844A0B">
        <w:rPr>
          <w:lang w:val="en-GB"/>
        </w:rPr>
        <w:fldChar w:fldCharType="begin"/>
      </w:r>
      <w:r w:rsidR="007B0197" w:rsidRPr="00844A0B">
        <w:rPr>
          <w:lang w:val="en-GB"/>
        </w:rPr>
        <w:instrText xml:space="preserve"> REF Fig_CN_LiF_Theoretical_Cry \h </w:instrText>
      </w:r>
      <w:r w:rsidR="00CB6EC7" w:rsidRPr="00844A0B">
        <w:rPr>
          <w:lang w:val="en-GB"/>
        </w:rPr>
        <w:instrText xml:space="preserve"> \* MERGEFORMAT </w:instrText>
      </w:r>
      <w:r w:rsidR="007B0197" w:rsidRPr="00844A0B">
        <w:rPr>
          <w:lang w:val="en-GB"/>
        </w:rPr>
      </w:r>
      <w:r w:rsidR="007B0197" w:rsidRPr="00844A0B">
        <w:rPr>
          <w:lang w:val="en-GB"/>
        </w:rPr>
        <w:fldChar w:fldCharType="separate"/>
      </w:r>
      <w:r w:rsidR="007B0197" w:rsidRPr="00844A0B">
        <w:rPr>
          <w:rStyle w:val="CETCaptionCarattere"/>
          <w:noProof/>
        </w:rPr>
        <w:t>1</w:t>
      </w:r>
      <w:r w:rsidR="007B0197" w:rsidRPr="00844A0B">
        <w:rPr>
          <w:lang w:val="en-GB"/>
        </w:rPr>
        <w:fldChar w:fldCharType="end"/>
      </w:r>
      <w:r w:rsidR="007B0197" w:rsidRPr="00844A0B">
        <w:rPr>
          <w:lang w:val="en-GB"/>
        </w:rPr>
        <w:t>b illustrate the diffusion coefficients of all species during the final 50 ns of the simulations (750–</w:t>
      </w:r>
      <w:r w:rsidR="007B0197" w:rsidRPr="007B0197">
        <w:rPr>
          <w:lang w:val="en-GB"/>
        </w:rPr>
        <w:t>800 ns). In both systems, the diffusion coefficients of ions are significantly reduced compared to the initial phase (0–50 ns), indicating increased ion aggregation into crystals. This aggregation results in stronger ionic interactions, which limit ion mobility. In contrast, water diffusion coefficients increase in both systems, reflecting the need for water to exit the ions' solvation shells during crystal formation.</w:t>
      </w:r>
      <w:r w:rsidR="00CB6EC7">
        <w:rPr>
          <w:lang w:val="en-GB"/>
        </w:rPr>
        <w:t xml:space="preserve"> </w:t>
      </w:r>
      <w:r w:rsidR="0066013F" w:rsidRPr="0066013F">
        <w:t>The reduction in ion diffusion is more pronounced in the bulk system compared to the membrane system (</w:t>
      </w:r>
      <w:r w:rsidR="0066013F">
        <w:rPr>
          <w:lang w:val="en-GB"/>
        </w:rPr>
        <w:t xml:space="preserve">Table </w:t>
      </w:r>
      <w:r w:rsidR="0066013F">
        <w:rPr>
          <w:lang w:val="en-GB"/>
        </w:rPr>
        <w:fldChar w:fldCharType="begin"/>
      </w:r>
      <w:r w:rsidR="0066013F">
        <w:rPr>
          <w:lang w:val="en-GB"/>
        </w:rPr>
        <w:instrText xml:space="preserve"> REF Tab_DiffusionCoeff \h </w:instrText>
      </w:r>
      <w:r w:rsidR="0066013F">
        <w:rPr>
          <w:lang w:val="en-GB"/>
        </w:rPr>
      </w:r>
      <w:r w:rsidR="0066013F">
        <w:rPr>
          <w:lang w:val="en-GB"/>
        </w:rPr>
        <w:fldChar w:fldCharType="separate"/>
      </w:r>
      <w:r w:rsidR="0066013F">
        <w:rPr>
          <w:noProof/>
        </w:rPr>
        <w:t>2</w:t>
      </w:r>
      <w:r w:rsidR="0066013F">
        <w:rPr>
          <w:lang w:val="en-GB"/>
        </w:rPr>
        <w:fldChar w:fldCharType="end"/>
      </w:r>
      <w:r w:rsidR="0066013F" w:rsidRPr="00941811">
        <w:rPr>
          <w:lang w:val="en-GB"/>
        </w:rPr>
        <w:t>)</w:t>
      </w:r>
      <w:r w:rsidR="0066013F" w:rsidRPr="0066013F">
        <w:t xml:space="preserve">. </w:t>
      </w:r>
      <w:r w:rsidR="00DF564C">
        <w:t>T</w:t>
      </w:r>
      <w:r w:rsidR="00DF564C" w:rsidRPr="00DF564C">
        <w:t>he membrane enables subtle ion rearrangements, promoting more ordered crystals through controlled interactions with the polymeric matrix, enhancing crystallization efficiency.</w:t>
      </w:r>
    </w:p>
    <w:p w14:paraId="5F87914B" w14:textId="77777777" w:rsidR="00DF564C" w:rsidRDefault="00DF564C" w:rsidP="00DF564C">
      <w:pPr>
        <w:pStyle w:val="CETBodytext"/>
      </w:pPr>
    </w:p>
    <w:p w14:paraId="56B76D00" w14:textId="70272A88" w:rsidR="0066013F" w:rsidRPr="00B57B36" w:rsidRDefault="0066013F" w:rsidP="00DF564C">
      <w:pPr>
        <w:pStyle w:val="CETBodytext"/>
      </w:pPr>
      <w:r w:rsidRPr="00B57B36">
        <w:t xml:space="preserve">Table </w:t>
      </w:r>
      <w:bookmarkStart w:id="12" w:name="Tab_DiffusionCoeff"/>
      <w:r w:rsidRPr="00941811">
        <w:fldChar w:fldCharType="begin"/>
      </w:r>
      <w:r w:rsidRPr="00941811">
        <w:instrText xml:space="preserve"> SEQ Table \* ARABIC </w:instrText>
      </w:r>
      <w:r w:rsidRPr="00941811">
        <w:fldChar w:fldCharType="separate"/>
      </w:r>
      <w:r>
        <w:rPr>
          <w:noProof/>
        </w:rPr>
        <w:t>2</w:t>
      </w:r>
      <w:r w:rsidRPr="00941811">
        <w:fldChar w:fldCharType="end"/>
      </w:r>
      <w:bookmarkEnd w:id="12"/>
      <w:r>
        <w:t>:</w:t>
      </w:r>
      <w:r w:rsidRPr="00941811">
        <w:t xml:space="preserve"> </w:t>
      </w:r>
      <w:bookmarkStart w:id="13" w:name="_Hlk187320325"/>
      <w:r w:rsidR="00BF38CD" w:rsidRPr="00BF38CD">
        <w:rPr>
          <w:i/>
          <w:iCs/>
          <w:color w:val="FF0000"/>
        </w:rPr>
        <w:t xml:space="preserve">Percentage variation in Water and Ion Diffusion Coefficients between </w:t>
      </w:r>
      <w:r w:rsidR="00CB6EC7" w:rsidRPr="00DA3E81">
        <w:rPr>
          <w:i/>
          <w:iCs/>
          <w:color w:val="FF0000"/>
        </w:rPr>
        <w:t>0 ns and 800 ns</w:t>
      </w:r>
      <w:r w:rsidR="00A07FF4" w:rsidRPr="00DA3E81">
        <w:rPr>
          <w:i/>
          <w:iCs/>
          <w:color w:val="FF0000"/>
        </w:rPr>
        <w:t>.</w:t>
      </w:r>
      <w:bookmarkEnd w:id="13"/>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51"/>
        <w:gridCol w:w="976"/>
        <w:gridCol w:w="1417"/>
      </w:tblGrid>
      <w:tr w:rsidR="0066013F" w:rsidRPr="00B57B36" w14:paraId="69166B62" w14:textId="77777777" w:rsidTr="00844A0B">
        <w:tc>
          <w:tcPr>
            <w:tcW w:w="0" w:type="auto"/>
            <w:tcBorders>
              <w:top w:val="single" w:sz="12" w:space="0" w:color="008000"/>
              <w:bottom w:val="single" w:sz="6" w:space="0" w:color="008000"/>
            </w:tcBorders>
            <w:shd w:val="clear" w:color="auto" w:fill="FFFFFF"/>
          </w:tcPr>
          <w:p w14:paraId="55DD881E" w14:textId="77777777" w:rsidR="0066013F" w:rsidRPr="00B57B36" w:rsidRDefault="0066013F" w:rsidP="0049520B">
            <w:pPr>
              <w:pStyle w:val="CETBodytext"/>
              <w:rPr>
                <w:lang w:val="en-GB"/>
              </w:rPr>
            </w:pPr>
            <w:r w:rsidRPr="00AC1279">
              <w:t>Species</w:t>
            </w:r>
          </w:p>
        </w:tc>
        <w:tc>
          <w:tcPr>
            <w:tcW w:w="976" w:type="dxa"/>
            <w:tcBorders>
              <w:top w:val="single" w:sz="12" w:space="0" w:color="008000"/>
              <w:bottom w:val="single" w:sz="6" w:space="0" w:color="008000"/>
            </w:tcBorders>
            <w:shd w:val="clear" w:color="auto" w:fill="FFFFFF"/>
          </w:tcPr>
          <w:p w14:paraId="2EBBCF0D" w14:textId="77777777" w:rsidR="0066013F" w:rsidRPr="00B57B36" w:rsidRDefault="0066013F" w:rsidP="00844A0B">
            <w:pPr>
              <w:pStyle w:val="CETBodytext"/>
              <w:jc w:val="left"/>
              <w:rPr>
                <w:lang w:val="en-GB"/>
              </w:rPr>
            </w:pPr>
            <w:r w:rsidRPr="00BC2F5A">
              <w:rPr>
                <w:rFonts w:ascii="Symbol" w:hAnsi="Symbol"/>
              </w:rPr>
              <w:t></w:t>
            </w:r>
            <w:r>
              <w:t>D % Bulk</w:t>
            </w:r>
          </w:p>
        </w:tc>
        <w:tc>
          <w:tcPr>
            <w:tcW w:w="1417" w:type="dxa"/>
            <w:tcBorders>
              <w:top w:val="single" w:sz="12" w:space="0" w:color="008000"/>
              <w:bottom w:val="single" w:sz="6" w:space="0" w:color="008000"/>
            </w:tcBorders>
            <w:shd w:val="clear" w:color="auto" w:fill="FFFFFF"/>
          </w:tcPr>
          <w:p w14:paraId="7602EBA1" w14:textId="77777777" w:rsidR="0066013F" w:rsidRPr="00AC1279" w:rsidRDefault="0066013F" w:rsidP="0049520B">
            <w:pPr>
              <w:pStyle w:val="CETBodytext"/>
            </w:pPr>
            <w:r w:rsidRPr="00BC2F5A">
              <w:rPr>
                <w:rFonts w:ascii="Symbol" w:hAnsi="Symbol"/>
              </w:rPr>
              <w:t></w:t>
            </w:r>
            <w:r>
              <w:t>D % Membrane</w:t>
            </w:r>
          </w:p>
        </w:tc>
      </w:tr>
      <w:tr w:rsidR="0066013F" w:rsidRPr="00B57B36" w14:paraId="5B6EC847" w14:textId="77777777" w:rsidTr="00844A0B">
        <w:tc>
          <w:tcPr>
            <w:tcW w:w="0" w:type="auto"/>
            <w:shd w:val="clear" w:color="auto" w:fill="FFFFFF"/>
          </w:tcPr>
          <w:p w14:paraId="1C227E06" w14:textId="77777777" w:rsidR="0066013F" w:rsidRPr="00B57B36" w:rsidRDefault="0066013F" w:rsidP="0049520B">
            <w:pPr>
              <w:pStyle w:val="CETBodytext"/>
              <w:rPr>
                <w:lang w:val="en-GB"/>
              </w:rPr>
            </w:pPr>
            <w:r w:rsidRPr="00AC1279">
              <w:t>Water (bulk)</w:t>
            </w:r>
          </w:p>
        </w:tc>
        <w:tc>
          <w:tcPr>
            <w:tcW w:w="976" w:type="dxa"/>
            <w:shd w:val="clear" w:color="auto" w:fill="FFFFFF"/>
          </w:tcPr>
          <w:p w14:paraId="72496379" w14:textId="77777777" w:rsidR="0066013F" w:rsidRPr="00B57B36" w:rsidRDefault="0066013F" w:rsidP="00844A0B">
            <w:pPr>
              <w:pStyle w:val="CETBodytext"/>
              <w:jc w:val="center"/>
              <w:rPr>
                <w:lang w:val="en-GB"/>
              </w:rPr>
            </w:pPr>
            <w:r w:rsidRPr="00AC1279">
              <w:t>117</w:t>
            </w:r>
          </w:p>
        </w:tc>
        <w:tc>
          <w:tcPr>
            <w:tcW w:w="1417" w:type="dxa"/>
            <w:shd w:val="clear" w:color="auto" w:fill="FFFFFF"/>
          </w:tcPr>
          <w:p w14:paraId="047A1B1D" w14:textId="77777777" w:rsidR="0066013F" w:rsidRPr="00AC1279" w:rsidRDefault="0066013F" w:rsidP="00844A0B">
            <w:pPr>
              <w:pStyle w:val="CETBodytext"/>
              <w:jc w:val="center"/>
            </w:pPr>
            <w:r>
              <w:t>118</w:t>
            </w:r>
          </w:p>
        </w:tc>
      </w:tr>
      <w:tr w:rsidR="0066013F" w:rsidRPr="00B57B36" w14:paraId="10C0FEE7" w14:textId="77777777" w:rsidTr="00844A0B">
        <w:tc>
          <w:tcPr>
            <w:tcW w:w="0" w:type="auto"/>
            <w:shd w:val="clear" w:color="auto" w:fill="FFFFFF"/>
          </w:tcPr>
          <w:p w14:paraId="44063418" w14:textId="77777777" w:rsidR="0066013F" w:rsidRPr="00B57B36" w:rsidRDefault="0066013F" w:rsidP="0049520B">
            <w:pPr>
              <w:pStyle w:val="CETBodytext"/>
              <w:ind w:right="-1"/>
              <w:rPr>
                <w:rFonts w:cs="Arial"/>
                <w:szCs w:val="18"/>
                <w:lang w:val="en-GB"/>
              </w:rPr>
            </w:pPr>
            <w:r w:rsidRPr="00AC1279">
              <w:t>Lithium (bulk)</w:t>
            </w:r>
          </w:p>
        </w:tc>
        <w:tc>
          <w:tcPr>
            <w:tcW w:w="976" w:type="dxa"/>
            <w:shd w:val="clear" w:color="auto" w:fill="FFFFFF"/>
          </w:tcPr>
          <w:p w14:paraId="3D095090" w14:textId="77777777" w:rsidR="0066013F" w:rsidRPr="00B57B36" w:rsidRDefault="0066013F" w:rsidP="00844A0B">
            <w:pPr>
              <w:pStyle w:val="CETBodytext"/>
              <w:ind w:right="-1"/>
              <w:jc w:val="center"/>
              <w:rPr>
                <w:rFonts w:cs="Arial"/>
                <w:szCs w:val="18"/>
                <w:lang w:val="en-GB"/>
              </w:rPr>
            </w:pPr>
            <w:r w:rsidRPr="00AC1279">
              <w:t>-67</w:t>
            </w:r>
          </w:p>
        </w:tc>
        <w:tc>
          <w:tcPr>
            <w:tcW w:w="1417" w:type="dxa"/>
            <w:shd w:val="clear" w:color="auto" w:fill="FFFFFF"/>
          </w:tcPr>
          <w:p w14:paraId="296487F8" w14:textId="77777777" w:rsidR="0066013F" w:rsidRPr="00AC1279" w:rsidRDefault="0066013F" w:rsidP="00844A0B">
            <w:pPr>
              <w:pStyle w:val="CETBodytext"/>
              <w:ind w:right="-1"/>
              <w:jc w:val="center"/>
            </w:pPr>
            <w:r>
              <w:t>-55</w:t>
            </w:r>
          </w:p>
        </w:tc>
      </w:tr>
      <w:tr w:rsidR="0066013F" w:rsidRPr="00B57B36" w14:paraId="2DDF9FDB" w14:textId="77777777" w:rsidTr="00844A0B">
        <w:tc>
          <w:tcPr>
            <w:tcW w:w="0" w:type="auto"/>
            <w:shd w:val="clear" w:color="auto" w:fill="FFFFFF"/>
          </w:tcPr>
          <w:p w14:paraId="56FF942C" w14:textId="77777777" w:rsidR="0066013F" w:rsidRPr="00B57B36" w:rsidRDefault="0066013F" w:rsidP="0049520B">
            <w:pPr>
              <w:pStyle w:val="CETBodytext"/>
              <w:ind w:right="-1"/>
              <w:rPr>
                <w:rFonts w:cs="Arial"/>
                <w:szCs w:val="18"/>
                <w:lang w:val="en-GB"/>
              </w:rPr>
            </w:pPr>
            <w:r w:rsidRPr="00AC1279">
              <w:t>Fluorine (bulk)</w:t>
            </w:r>
          </w:p>
        </w:tc>
        <w:tc>
          <w:tcPr>
            <w:tcW w:w="976" w:type="dxa"/>
            <w:shd w:val="clear" w:color="auto" w:fill="FFFFFF"/>
          </w:tcPr>
          <w:p w14:paraId="25E434ED" w14:textId="77777777" w:rsidR="0066013F" w:rsidRPr="00B57B36" w:rsidRDefault="0066013F" w:rsidP="00844A0B">
            <w:pPr>
              <w:pStyle w:val="CETBodytext"/>
              <w:ind w:right="-1"/>
              <w:jc w:val="center"/>
              <w:rPr>
                <w:rFonts w:cs="Arial"/>
                <w:szCs w:val="18"/>
                <w:lang w:val="en-GB"/>
              </w:rPr>
            </w:pPr>
            <w:r w:rsidRPr="00AC1279">
              <w:t>-68</w:t>
            </w:r>
          </w:p>
        </w:tc>
        <w:tc>
          <w:tcPr>
            <w:tcW w:w="1417" w:type="dxa"/>
            <w:shd w:val="clear" w:color="auto" w:fill="FFFFFF"/>
          </w:tcPr>
          <w:p w14:paraId="3ECF32E0" w14:textId="77777777" w:rsidR="0066013F" w:rsidRPr="00AC1279" w:rsidRDefault="0066013F" w:rsidP="00844A0B">
            <w:pPr>
              <w:pStyle w:val="CETBodytext"/>
              <w:ind w:right="-1"/>
              <w:jc w:val="center"/>
            </w:pPr>
            <w:r>
              <w:t>-56</w:t>
            </w:r>
          </w:p>
        </w:tc>
      </w:tr>
    </w:tbl>
    <w:p w14:paraId="4CC79A8B" w14:textId="208097F2" w:rsidR="0066013F" w:rsidRDefault="0066013F" w:rsidP="0066013F">
      <w:pPr>
        <w:rPr>
          <w:lang w:val="en-US"/>
        </w:rPr>
      </w:pPr>
    </w:p>
    <w:p w14:paraId="7C5FB8B4" w14:textId="5EDE98B4" w:rsidR="00572460" w:rsidRDefault="0066013F" w:rsidP="00572460">
      <w:pPr>
        <w:rPr>
          <w:lang w:val="en-US"/>
        </w:rPr>
      </w:pPr>
      <w:r w:rsidRPr="0066013F">
        <w:rPr>
          <w:lang w:val="en-US"/>
        </w:rPr>
        <w:t>The relationship between diffusion and aggregation was further analyzed by calculating the coordination number (CN) to understand the organization of lithium, fluorine, and water molecules. CN was determined for Li-F and Li-OH</w:t>
      </w:r>
      <w:r w:rsidRPr="0066013F">
        <w:rPr>
          <w:vertAlign w:val="subscript"/>
          <w:lang w:val="en-US"/>
        </w:rPr>
        <w:t>2</w:t>
      </w:r>
      <w:r w:rsidRPr="0066013F">
        <w:rPr>
          <w:lang w:val="en-US"/>
        </w:rPr>
        <w:t xml:space="preserve"> interact</w:t>
      </w:r>
      <w:r w:rsidRPr="00844A0B">
        <w:rPr>
          <w:lang w:val="en-US"/>
        </w:rPr>
        <w:t>ions (Figure 1c, d). O</w:t>
      </w:r>
      <w:r w:rsidRPr="0066013F">
        <w:rPr>
          <w:lang w:val="en-US"/>
        </w:rPr>
        <w:t xml:space="preserve">ver time, </w:t>
      </w:r>
      <w:r w:rsidRPr="00CB6EC7">
        <w:rPr>
          <w:lang w:val="en-US"/>
        </w:rPr>
        <w:t>CN</w:t>
      </w:r>
      <w:r w:rsidRPr="00CB6EC7">
        <w:rPr>
          <w:vertAlign w:val="subscript"/>
          <w:lang w:val="en-US"/>
        </w:rPr>
        <w:t>Li-F</w:t>
      </w:r>
      <w:r w:rsidRPr="00CB6EC7">
        <w:rPr>
          <w:lang w:val="en-US"/>
        </w:rPr>
        <w:t xml:space="preserve"> </w:t>
      </w:r>
      <w:r w:rsidRPr="0066013F">
        <w:rPr>
          <w:lang w:val="en-US"/>
        </w:rPr>
        <w:t>increased while CN</w:t>
      </w:r>
      <w:r w:rsidRPr="0066013F">
        <w:rPr>
          <w:vertAlign w:val="subscript"/>
          <w:lang w:val="en-US"/>
        </w:rPr>
        <w:t>Li-OH2</w:t>
      </w:r>
      <w:r>
        <w:rPr>
          <w:vertAlign w:val="subscript"/>
          <w:lang w:val="en-US"/>
        </w:rPr>
        <w:t xml:space="preserve"> </w:t>
      </w:r>
      <w:r w:rsidRPr="0066013F">
        <w:rPr>
          <w:lang w:val="en-US"/>
        </w:rPr>
        <w:t>decreased. This shift reflects lithium and fluorine ions coming closer to form ordered crystal structures. These results are consistent with the FCC crystal structure, where each lithium atom is surrounded by six fluorine atoms.</w:t>
      </w:r>
      <w:r w:rsidR="006F57C7">
        <w:rPr>
          <w:lang w:val="en-US"/>
        </w:rPr>
        <w:t xml:space="preserve"> </w:t>
      </w:r>
      <w:r w:rsidRPr="0066013F">
        <w:rPr>
          <w:lang w:val="en-US"/>
        </w:rPr>
        <w:t xml:space="preserve">Although our simulations did not reach the theoretical CN value of six, the observed crystallization dynamics align with experimental data, which suggest CN values between four and six. First-principle </w:t>
      </w:r>
      <w:r w:rsidR="00453F53">
        <w:rPr>
          <w:lang w:val="en-US"/>
        </w:rPr>
        <w:t>MD</w:t>
      </w:r>
      <w:r w:rsidRPr="0066013F">
        <w:rPr>
          <w:lang w:val="en-US"/>
        </w:rPr>
        <w:t xml:space="preserve"> simulations for low-concentration systems also report CN</w:t>
      </w:r>
      <w:r w:rsidRPr="0066013F">
        <w:rPr>
          <w:rFonts w:ascii="Cambria Math" w:hAnsi="Cambria Math" w:cs="Cambria Math"/>
          <w:lang w:val="en-US"/>
        </w:rPr>
        <w:t>∼</w:t>
      </w:r>
      <w:r w:rsidRPr="0066013F">
        <w:rPr>
          <w:lang w:val="en-US"/>
        </w:rPr>
        <w:t>4, consistent with our findings</w:t>
      </w:r>
      <w:r w:rsidR="00CB6EC7">
        <w:rPr>
          <w:lang w:val="en-US"/>
        </w:rPr>
        <w:t xml:space="preserve"> </w:t>
      </w:r>
      <w:r w:rsidR="00281960">
        <w:rPr>
          <w:lang w:val="en-US"/>
        </w:rPr>
        <w:fldChar w:fldCharType="begin" w:fldLock="1"/>
      </w:r>
      <w:r w:rsidR="00281960">
        <w:rPr>
          <w:lang w:val="en-US"/>
        </w:rPr>
        <w:instrText>ADDIN CSL_CITATION {"citationItems":[{"id":"ITEM-1","itemData":{"DOI":"10.1063/1.2424710","ISSN":"00219606","PMID":"17249878","abstract":"Structural and dynamical properties of the hydration of Li+, Na+, and K+ in liquid water at ambient conditions were studied by first principles molecular dynamics. Our simulations successfully captured the different hydration behavior shown by the three alkali ions as observed in experiments. The present analyses of the dependence of the self-diffusion coefficient and rotational correlation time of water on the ion concentration suggest that Li+ (K+) is certainly categorized as a structure maker (breaker), whereas Na+ acts as a weak structure breaker. An analysis of the relevant electronic structures, based on maximally localized Wannier functions, revealed that the dipole moment of H2 O molecules in the first solvation shell of Na+ and K+ decreases by about 0.1 D compared to that in the bulk, due to a contraction of the oxygen lone pair orbital pointing toward the metal ion. © 2007 American Institute of Physics.","author":[{"dropping-particle":"","family":"Ikeda","given":"Takashi","non-dropping-particle":"","parse-names":false,"suffix":""},{"dropping-particle":"","family":"Boero","given":"Mauro","non-dropping-particle":"","parse-names":false,"suffix":""},{"dropping-particle":"","family":"Terakura","given":"Kiyoyuki","non-dropping-particle":"","parse-names":false,"suffix":""}],"container-title":"Journal of Chemical Physics","id":"ITEM-1","issue":"3","issued":{"date-parts":[["2007"]]},"title":"Hydration of alkali ions from first principles molecular dynamics revisited","type":"article-journal","volume":"126"},"uris":["http://www.mendeley.com/documents/?uuid=8cb1f19e-ef28-4e95-8520-70791af675c8"]}],"mendeley":{"formattedCitation":"(Ikeda, Boero, and Terakura 2007)","plainTextFormattedCitation":"(Ikeda, Boero, and Terakura 2007)","previouslyFormattedCitation":"(Ikeda, Boero, and Terakura 2007)"},"properties":{"noteIndex":0},"schema":"https://github.com/citation-style-language/schema/raw/master/csl-citation.json"}</w:instrText>
      </w:r>
      <w:r w:rsidR="00281960">
        <w:rPr>
          <w:lang w:val="en-US"/>
        </w:rPr>
        <w:fldChar w:fldCharType="separate"/>
      </w:r>
      <w:r w:rsidR="00281960" w:rsidRPr="00281960">
        <w:rPr>
          <w:noProof/>
          <w:lang w:val="en-US"/>
        </w:rPr>
        <w:t>(Ikeda, Boero, and Terakura 2007)</w:t>
      </w:r>
      <w:r w:rsidR="00281960">
        <w:rPr>
          <w:lang w:val="en-US"/>
        </w:rPr>
        <w:fldChar w:fldCharType="end"/>
      </w:r>
      <w:r w:rsidRPr="0066013F">
        <w:rPr>
          <w:lang w:val="en-US"/>
        </w:rPr>
        <w:t>. Bulk crystallization achieved a CN of approximately 3, whereas membrane-assisted crystallization resulted in a CN of 4.6. These results indicate that interactions between the membrane and the solution encourage lithium desolvation, promoting ion aggregation and enhancing crystallinity.</w:t>
      </w:r>
      <w:r w:rsidR="006F57C7">
        <w:rPr>
          <w:lang w:val="en-US"/>
        </w:rPr>
        <w:t xml:space="preserve">  </w:t>
      </w:r>
      <w:r w:rsidRPr="0066013F">
        <w:rPr>
          <w:lang w:val="en-US"/>
        </w:rPr>
        <w:t>Figures</w:t>
      </w:r>
      <w:r w:rsidR="00CB6EC7" w:rsidRPr="00941811">
        <w:t xml:space="preserve"> </w:t>
      </w:r>
      <w:r w:rsidR="00CB6EC7">
        <w:fldChar w:fldCharType="begin"/>
      </w:r>
      <w:r w:rsidR="00CB6EC7">
        <w:instrText xml:space="preserve"> REF Fig_CN_LiF_Theoretical_Cry \h </w:instrText>
      </w:r>
      <w:r w:rsidR="00CB6EC7">
        <w:fldChar w:fldCharType="separate"/>
      </w:r>
      <w:r w:rsidR="00CB6EC7">
        <w:rPr>
          <w:rStyle w:val="CETCaptionCarattere"/>
          <w:noProof/>
        </w:rPr>
        <w:t>1</w:t>
      </w:r>
      <w:r w:rsidR="00CB6EC7">
        <w:fldChar w:fldCharType="end"/>
      </w:r>
      <w:r w:rsidR="00CB6EC7" w:rsidRPr="00941811">
        <w:t>e</w:t>
      </w:r>
      <w:r w:rsidR="00CB6EC7">
        <w:t xml:space="preserve"> and </w:t>
      </w:r>
      <w:r w:rsidR="00CB6EC7">
        <w:fldChar w:fldCharType="begin"/>
      </w:r>
      <w:r w:rsidR="00CB6EC7">
        <w:instrText xml:space="preserve"> REF Fig_CN_LiF_Theoretical_Cry \h </w:instrText>
      </w:r>
      <w:r w:rsidR="00CB6EC7">
        <w:fldChar w:fldCharType="separate"/>
      </w:r>
      <w:r w:rsidR="00CB6EC7">
        <w:rPr>
          <w:rStyle w:val="CETCaptionCarattere"/>
          <w:noProof/>
        </w:rPr>
        <w:t>1</w:t>
      </w:r>
      <w:r w:rsidR="00CB6EC7">
        <w:fldChar w:fldCharType="end"/>
      </w:r>
      <w:r w:rsidR="00CB6EC7">
        <w:t xml:space="preserve">f </w:t>
      </w:r>
      <w:r w:rsidR="009C7B0B" w:rsidRPr="009C7B0B">
        <w:rPr>
          <w:lang w:val="en-US"/>
        </w:rPr>
        <w:t xml:space="preserve">illustrate the probability density functions (PDF) of crystallinity for the bulk and membrane-assisted systems at the conclusion of the simulations. Crystallinity, assessed using the mean Steinhardt parameter, quantifies lattice order, with higher values reflecting a more </w:t>
      </w:r>
      <w:r w:rsidR="009C7B0B" w:rsidRPr="009C7B0B">
        <w:rPr>
          <w:lang w:val="en-US"/>
        </w:rPr>
        <w:lastRenderedPageBreak/>
        <w:t>perfect structure. A crystallinity value of 0.41, calculated for a perfect crystal of 1,700 atoms (blue dotted line in Figures 1e and 1f), serves as a benchmark for evaluating crystal quality in the simulations. The presence of the membrane shifts the crystallinity distribution towards higher values, highlighting its significant role in enhancing crystal order.</w:t>
      </w:r>
      <w:r w:rsidR="006F57C7">
        <w:rPr>
          <w:lang w:val="en-US"/>
        </w:rPr>
        <w:t xml:space="preserve"> </w:t>
      </w:r>
      <w:r w:rsidR="006F57C7" w:rsidRPr="009C7B0B">
        <w:rPr>
          <w:lang w:val="en-US"/>
        </w:rPr>
        <w:t>Crystals in the bulk system show lower crystallinity, beginning with disordered structures caused by the chaotic growth environment. In contrast, membrane-assisted crystals exhibit higher initial order, with the gap in crystallinity between the two systems widening over time.</w:t>
      </w:r>
      <w:r w:rsidR="006F57C7">
        <w:rPr>
          <w:lang w:val="en-US"/>
        </w:rPr>
        <w:t xml:space="preserve"> </w:t>
      </w:r>
      <w:r w:rsidR="006F57C7" w:rsidRPr="009C7B0B">
        <w:rPr>
          <w:lang w:val="en-US"/>
        </w:rPr>
        <w:t>The PDF analysis confirms a progressive shift toward higher crystallinity in the membrane system, underscoring its ability to regulate crystal formation.</w:t>
      </w:r>
      <w:r w:rsidR="00572460">
        <w:rPr>
          <w:lang w:val="en-US"/>
        </w:rPr>
        <w:t xml:space="preserve"> </w:t>
      </w:r>
      <w:r w:rsidR="00572460" w:rsidRPr="009C7B0B">
        <w:rPr>
          <w:lang w:val="en-US"/>
        </w:rPr>
        <w:t>The membrane provides precise control of the supersaturation environment, acting as a structured interface that guides ion aggregation into well-ordered lattices. This reduces randomness in ion motion, producing stable, uniform crystals. Conversely, the bulk system's dynamic, unregulated environment results in smaller, less ordered crystals.</w:t>
      </w:r>
    </w:p>
    <w:p w14:paraId="717ADD4C" w14:textId="32BE9BCC" w:rsidR="00941811" w:rsidRDefault="00AB57E0" w:rsidP="00941811">
      <w:pPr>
        <w:pStyle w:val="CETBodytext"/>
        <w:jc w:val="left"/>
        <w:rPr>
          <w:lang w:val="en-GB"/>
        </w:rPr>
      </w:pPr>
      <w:r w:rsidRPr="00AB57E0">
        <w:rPr>
          <w:noProof/>
        </w:rPr>
        <w:drawing>
          <wp:inline distT="0" distB="0" distL="0" distR="0" wp14:anchorId="4DF8A570" wp14:editId="6C50425E">
            <wp:extent cx="3960000" cy="5978083"/>
            <wp:effectExtent l="0" t="0" r="2540" b="3810"/>
            <wp:docPr id="17658280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5978083"/>
                    </a:xfrm>
                    <a:prstGeom prst="rect">
                      <a:avLst/>
                    </a:prstGeom>
                    <a:noFill/>
                    <a:ln>
                      <a:noFill/>
                    </a:ln>
                  </pic:spPr>
                </pic:pic>
              </a:graphicData>
            </a:graphic>
          </wp:inline>
        </w:drawing>
      </w:r>
    </w:p>
    <w:p w14:paraId="69285060" w14:textId="77777777" w:rsidR="00453F53" w:rsidRDefault="00941811" w:rsidP="009A58D0">
      <w:pPr>
        <w:pStyle w:val="CETCaption"/>
      </w:pPr>
      <w:r w:rsidRPr="00BD077D">
        <w:rPr>
          <w:rStyle w:val="CETCaptionCarattere"/>
          <w:i/>
        </w:rPr>
        <w:t xml:space="preserve">Figure </w:t>
      </w:r>
      <w:bookmarkStart w:id="14" w:name="Fig_CN_LiF_Theoretical_Cry"/>
      <w:r w:rsidRPr="00941811">
        <w:rPr>
          <w:rStyle w:val="CETCaptionCarattere"/>
        </w:rPr>
        <w:fldChar w:fldCharType="begin"/>
      </w:r>
      <w:r w:rsidRPr="00941811">
        <w:rPr>
          <w:rStyle w:val="CETCaptionCarattere"/>
        </w:rPr>
        <w:instrText xml:space="preserve"> SEQ Figure \* ARABIC </w:instrText>
      </w:r>
      <w:r w:rsidRPr="00941811">
        <w:rPr>
          <w:rStyle w:val="CETCaptionCarattere"/>
        </w:rPr>
        <w:fldChar w:fldCharType="separate"/>
      </w:r>
      <w:r w:rsidR="00BB5AFD">
        <w:rPr>
          <w:rStyle w:val="CETCaptionCarattere"/>
          <w:noProof/>
        </w:rPr>
        <w:t>1</w:t>
      </w:r>
      <w:r w:rsidRPr="00941811">
        <w:rPr>
          <w:rStyle w:val="CETCaptionCarattere"/>
        </w:rPr>
        <w:fldChar w:fldCharType="end"/>
      </w:r>
      <w:bookmarkEnd w:id="14"/>
      <w:r w:rsidRPr="00BD077D">
        <w:rPr>
          <w:rStyle w:val="CETCaptionCarattere"/>
          <w:i/>
        </w:rPr>
        <w:t>:</w:t>
      </w:r>
      <w:r w:rsidR="009A58D0" w:rsidRPr="00DA3E81">
        <w:t>a) Diffusion coefficients of all species in the bulk system. b) Diffusion coefficients of all species in the membrane system. c) Lithium coordination with fluorine (pink curve) and water oxygen (blue curve) in the bulk system. d) Lithium coordination with fluorine (pink curve) and water oxygen (blue curve) in the membrane system. e) Probability density function (PDF) of crystallinity for the bulk system. f) PDF of crystallinity for the membrane system. The blue dotted line represents a crystallinity value of 0.41, which corresponds to a perfect crystal containing 1,700 atoms</w:t>
      </w:r>
      <w:r w:rsidR="00572460" w:rsidRPr="00DA3E81">
        <w:t>.</w:t>
      </w:r>
      <w:r w:rsidR="00453F53" w:rsidRPr="00453F53">
        <w:t xml:space="preserve"> </w:t>
      </w:r>
    </w:p>
    <w:p w14:paraId="09221833" w14:textId="42BB69CE" w:rsidR="009A58D0" w:rsidRPr="00453F53" w:rsidRDefault="00453F53" w:rsidP="009A58D0">
      <w:pPr>
        <w:pStyle w:val="CETCaption"/>
        <w:rPr>
          <w:i w:val="0"/>
        </w:rPr>
      </w:pPr>
      <w:r w:rsidRPr="008C3D8F">
        <w:rPr>
          <w:i w:val="0"/>
          <w:color w:val="FF0000"/>
        </w:rPr>
        <w:lastRenderedPageBreak/>
        <w:t>Experimental validation revealed that crystal formation occurs faster in the absence of the membrane</w:t>
      </w:r>
      <w:r w:rsidR="008C3D8F" w:rsidRPr="008C3D8F">
        <w:rPr>
          <w:i w:val="0"/>
          <w:color w:val="FF0000"/>
        </w:rPr>
        <w:t xml:space="preserve"> (</w:t>
      </w:r>
      <w:r w:rsidR="008C3D8F" w:rsidRPr="008C3D8F">
        <w:rPr>
          <w:iCs/>
          <w:color w:val="FF0000"/>
        </w:rPr>
        <w:t>Bulk</w:t>
      </w:r>
      <w:r w:rsidR="008C3D8F" w:rsidRPr="008C3D8F">
        <w:rPr>
          <w:i w:val="0"/>
          <w:color w:val="FF0000"/>
        </w:rPr>
        <w:t>: 18</w:t>
      </w:r>
      <w:r w:rsidR="008C3D8F" w:rsidRPr="008C3D8F">
        <w:rPr>
          <w:rFonts w:cs="Arial"/>
          <w:i w:val="0"/>
          <w:color w:val="FF0000"/>
        </w:rPr>
        <w:t>±</w:t>
      </w:r>
      <w:r w:rsidR="008C3D8F" w:rsidRPr="008C3D8F">
        <w:rPr>
          <w:i w:val="0"/>
          <w:color w:val="FF0000"/>
        </w:rPr>
        <w:t xml:space="preserve">5 min, </w:t>
      </w:r>
      <w:r w:rsidR="008C3D8F" w:rsidRPr="008C3D8F">
        <w:rPr>
          <w:iCs/>
          <w:color w:val="FF0000"/>
        </w:rPr>
        <w:t>Membrane</w:t>
      </w:r>
      <w:r w:rsidR="008C3D8F" w:rsidRPr="008C3D8F">
        <w:rPr>
          <w:i w:val="0"/>
          <w:color w:val="FF0000"/>
        </w:rPr>
        <w:t>: 78</w:t>
      </w:r>
      <w:r w:rsidR="008C3D8F" w:rsidRPr="008C3D8F">
        <w:rPr>
          <w:rFonts w:cs="Arial"/>
          <w:i w:val="0"/>
          <w:color w:val="FF0000"/>
        </w:rPr>
        <w:t>±</w:t>
      </w:r>
      <w:r w:rsidR="008C3D8F" w:rsidRPr="008C3D8F">
        <w:rPr>
          <w:i w:val="0"/>
          <w:color w:val="FF0000"/>
        </w:rPr>
        <w:t>5 min)</w:t>
      </w:r>
      <w:r w:rsidRPr="008C3D8F">
        <w:rPr>
          <w:i w:val="0"/>
          <w:color w:val="FF0000"/>
        </w:rPr>
        <w:t>.</w:t>
      </w:r>
      <w:r w:rsidRPr="00453F53">
        <w:rPr>
          <w:i w:val="0"/>
        </w:rPr>
        <w:t xml:space="preserve"> However, this rapid crystallization leads to less ordered and more aggregated crystals, highlighting the importance of the simulation results. The slower water diffusion observed in the presence of the membrane enables reduced ion motion, resulting in the formation of more ordered crystals.</w:t>
      </w:r>
    </w:p>
    <w:p w14:paraId="6BF03523" w14:textId="0B17CE1D" w:rsidR="00855A76" w:rsidRPr="00453F53" w:rsidRDefault="00797D3A" w:rsidP="00855A76">
      <w:pPr>
        <w:pStyle w:val="CETBodytext"/>
      </w:pPr>
      <w:r w:rsidRPr="00797D3A">
        <w:drawing>
          <wp:inline distT="0" distB="0" distL="0" distR="0" wp14:anchorId="08EEDF3C" wp14:editId="5BB19840">
            <wp:extent cx="4320000" cy="1565859"/>
            <wp:effectExtent l="0" t="0" r="4445" b="0"/>
            <wp:docPr id="96423979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1565859"/>
                    </a:xfrm>
                    <a:prstGeom prst="rect">
                      <a:avLst/>
                    </a:prstGeom>
                    <a:noFill/>
                    <a:ln>
                      <a:noFill/>
                    </a:ln>
                  </pic:spPr>
                </pic:pic>
              </a:graphicData>
            </a:graphic>
          </wp:inline>
        </w:drawing>
      </w:r>
    </w:p>
    <w:p w14:paraId="41AFF691" w14:textId="255FB948" w:rsidR="00BB5AFD" w:rsidRPr="00453F53" w:rsidRDefault="00B65352" w:rsidP="00D537CF">
      <w:pPr>
        <w:pStyle w:val="CETCaption"/>
        <w:rPr>
          <w:i w:val="0"/>
        </w:rPr>
      </w:pPr>
      <w:r w:rsidRPr="00453F53">
        <w:rPr>
          <w:i w:val="0"/>
        </w:rPr>
        <w:t>Figure</w:t>
      </w:r>
      <w:r w:rsidR="00855A76" w:rsidRPr="00453F53">
        <w:rPr>
          <w:i w:val="0"/>
        </w:rPr>
        <w:t xml:space="preserve"> </w:t>
      </w:r>
      <w:bookmarkStart w:id="15" w:name="Fig_ExperimentalCrystals"/>
      <w:r w:rsidR="00855A76" w:rsidRPr="00453F53">
        <w:rPr>
          <w:i w:val="0"/>
        </w:rPr>
        <w:fldChar w:fldCharType="begin"/>
      </w:r>
      <w:r w:rsidR="00855A76" w:rsidRPr="00453F53">
        <w:rPr>
          <w:i w:val="0"/>
        </w:rPr>
        <w:instrText xml:space="preserve"> SEQ Figure \* ARABIC </w:instrText>
      </w:r>
      <w:r w:rsidR="00855A76" w:rsidRPr="00453F53">
        <w:rPr>
          <w:i w:val="0"/>
        </w:rPr>
        <w:fldChar w:fldCharType="separate"/>
      </w:r>
      <w:r w:rsidR="00BB5AFD" w:rsidRPr="00453F53">
        <w:rPr>
          <w:i w:val="0"/>
          <w:noProof/>
        </w:rPr>
        <w:t>2</w:t>
      </w:r>
      <w:r w:rsidR="00855A76" w:rsidRPr="00453F53">
        <w:rPr>
          <w:i w:val="0"/>
        </w:rPr>
        <w:fldChar w:fldCharType="end"/>
      </w:r>
      <w:bookmarkEnd w:id="15"/>
      <w:r w:rsidR="00855A76" w:rsidRPr="00453F53">
        <w:rPr>
          <w:i w:val="0"/>
        </w:rPr>
        <w:t>.</w:t>
      </w:r>
      <w:r w:rsidR="00D537CF" w:rsidRPr="00453F53">
        <w:rPr>
          <w:i w:val="0"/>
        </w:rPr>
        <w:t xml:space="preserve"> </w:t>
      </w:r>
      <w:r w:rsidR="00D537CF" w:rsidRPr="00DA3E81">
        <w:rPr>
          <w:iCs/>
        </w:rPr>
        <w:t>a)</w:t>
      </w:r>
      <w:r w:rsidR="00D537CF" w:rsidRPr="00453F53">
        <w:rPr>
          <w:i w:val="0"/>
        </w:rPr>
        <w:t xml:space="preserve"> </w:t>
      </w:r>
      <w:r w:rsidR="00D537CF" w:rsidRPr="00DA3E81">
        <w:rPr>
          <w:iCs/>
        </w:rPr>
        <w:t>Crystals in the bulk (magnification x20). b) Crystals in the membrane system (magnification x20).</w:t>
      </w:r>
    </w:p>
    <w:p w14:paraId="37491B52" w14:textId="1A0B509C" w:rsidR="007E20A2" w:rsidRPr="00453F53" w:rsidRDefault="007E20A2" w:rsidP="007E20A2">
      <w:r w:rsidRPr="00453F53">
        <w:t xml:space="preserve">Figure </w:t>
      </w:r>
      <w:r w:rsidRPr="00453F53">
        <w:fldChar w:fldCharType="begin"/>
      </w:r>
      <w:r w:rsidRPr="00453F53">
        <w:instrText xml:space="preserve"> SEQ Figure \* ARABIC </w:instrText>
      </w:r>
      <w:r w:rsidRPr="00453F53">
        <w:fldChar w:fldCharType="separate"/>
      </w:r>
      <w:r w:rsidRPr="00453F53">
        <w:rPr>
          <w:noProof/>
        </w:rPr>
        <w:t>2</w:t>
      </w:r>
      <w:r w:rsidRPr="00453F53">
        <w:fldChar w:fldCharType="end"/>
      </w:r>
      <w:r w:rsidRPr="00453F53">
        <w:t xml:space="preserve"> compares crystal morphology in the bulk and membrane systems. The membrane system produces more uniform and structured crystals, further confirming its role in enhancing crystallinity. The membrane system produces more uniform and structured crystals, further confirming its role in enhancing crystallinity.</w:t>
      </w:r>
    </w:p>
    <w:p w14:paraId="293B54D9" w14:textId="79AE4B42" w:rsidR="00855A76" w:rsidRPr="00453F53" w:rsidRDefault="0084035F" w:rsidP="00855A76">
      <w:pPr>
        <w:pStyle w:val="CETBodytext"/>
      </w:pPr>
      <w:r w:rsidRPr="0084035F">
        <w:rPr>
          <w:noProof/>
        </w:rPr>
        <w:drawing>
          <wp:inline distT="0" distB="0" distL="0" distR="0" wp14:anchorId="5B09B96C" wp14:editId="3087F4EA">
            <wp:extent cx="5040000" cy="2268488"/>
            <wp:effectExtent l="0" t="0" r="0" b="0"/>
            <wp:docPr id="15391832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2268488"/>
                    </a:xfrm>
                    <a:prstGeom prst="rect">
                      <a:avLst/>
                    </a:prstGeom>
                    <a:noFill/>
                    <a:ln>
                      <a:noFill/>
                    </a:ln>
                  </pic:spPr>
                </pic:pic>
              </a:graphicData>
            </a:graphic>
          </wp:inline>
        </w:drawing>
      </w:r>
    </w:p>
    <w:p w14:paraId="225D148D" w14:textId="735ED175" w:rsidR="0059260A" w:rsidRPr="00DA3E81" w:rsidRDefault="00B65352" w:rsidP="00D537CF">
      <w:pPr>
        <w:pStyle w:val="CETCaption"/>
        <w:rPr>
          <w:iCs/>
        </w:rPr>
      </w:pPr>
      <w:r w:rsidRPr="00453F53">
        <w:rPr>
          <w:i w:val="0"/>
        </w:rPr>
        <w:t>Figure</w:t>
      </w:r>
      <w:r w:rsidR="0059260A" w:rsidRPr="00453F53">
        <w:rPr>
          <w:i w:val="0"/>
        </w:rPr>
        <w:t xml:space="preserve"> </w:t>
      </w:r>
      <w:bookmarkStart w:id="16" w:name="Fig_SpecificArea"/>
      <w:r w:rsidR="0059260A" w:rsidRPr="00453F53">
        <w:rPr>
          <w:i w:val="0"/>
        </w:rPr>
        <w:fldChar w:fldCharType="begin"/>
      </w:r>
      <w:r w:rsidR="0059260A" w:rsidRPr="00453F53">
        <w:rPr>
          <w:i w:val="0"/>
        </w:rPr>
        <w:instrText xml:space="preserve"> SEQ Figure \* ARABIC </w:instrText>
      </w:r>
      <w:r w:rsidR="0059260A" w:rsidRPr="00453F53">
        <w:rPr>
          <w:i w:val="0"/>
        </w:rPr>
        <w:fldChar w:fldCharType="separate"/>
      </w:r>
      <w:r w:rsidR="00BB5AFD" w:rsidRPr="00453F53">
        <w:rPr>
          <w:i w:val="0"/>
          <w:noProof/>
        </w:rPr>
        <w:t>3</w:t>
      </w:r>
      <w:r w:rsidR="0059260A" w:rsidRPr="00453F53">
        <w:rPr>
          <w:i w:val="0"/>
        </w:rPr>
        <w:fldChar w:fldCharType="end"/>
      </w:r>
      <w:bookmarkEnd w:id="16"/>
      <w:r w:rsidR="0059260A" w:rsidRPr="00453F53">
        <w:rPr>
          <w:i w:val="0"/>
        </w:rPr>
        <w:t xml:space="preserve">. </w:t>
      </w:r>
      <w:r w:rsidR="00D537CF" w:rsidRPr="00DA3E81">
        <w:rPr>
          <w:iCs/>
        </w:rPr>
        <w:t xml:space="preserve">a) Time profile of ion-PP distances along the </w:t>
      </w:r>
      <w:r w:rsidR="00D537CF" w:rsidRPr="00DA3E81">
        <w:rPr>
          <w:rFonts w:ascii="Cambria Math" w:hAnsi="Cambria Math" w:cs="Cambria Math"/>
          <w:iCs/>
        </w:rPr>
        <w:t>𝑧</w:t>
      </w:r>
      <w:r w:rsidR="00D537CF" w:rsidRPr="00DA3E81">
        <w:rPr>
          <w:iCs/>
        </w:rPr>
        <w:t>-direction. b) Positions of ions and PP at 800 ns. c) Positions of water and PP at 800 ns.</w:t>
      </w:r>
    </w:p>
    <w:p w14:paraId="49249A07" w14:textId="3BC4FDB4" w:rsidR="006F57C7" w:rsidRPr="002C70A9" w:rsidRDefault="00D92111" w:rsidP="00D92111">
      <w:pPr>
        <w:rPr>
          <w:color w:val="FF0000"/>
          <w:lang w:val="en-US"/>
        </w:rPr>
      </w:pPr>
      <w:r w:rsidRPr="00453F53">
        <w:t xml:space="preserve">The membrane’s morphology was also analyzed (Figure </w:t>
      </w:r>
      <w:r w:rsidRPr="00453F53">
        <w:fldChar w:fldCharType="begin"/>
      </w:r>
      <w:r w:rsidRPr="00453F53">
        <w:instrText xml:space="preserve"> SEQ Figure \* ARABIC </w:instrText>
      </w:r>
      <w:r w:rsidRPr="00453F53">
        <w:fldChar w:fldCharType="separate"/>
      </w:r>
      <w:r w:rsidRPr="00453F53">
        <w:rPr>
          <w:noProof/>
        </w:rPr>
        <w:t>3</w:t>
      </w:r>
      <w:r w:rsidRPr="00453F53">
        <w:fldChar w:fldCharType="end"/>
      </w:r>
      <w:r w:rsidRPr="00453F53">
        <w:t xml:space="preserve">). </w:t>
      </w:r>
      <w:r w:rsidR="00572460" w:rsidRPr="00453F53">
        <w:t>Our p</w:t>
      </w:r>
      <w:r w:rsidRPr="00453F53">
        <w:t xml:space="preserve">revious studies indicate that polymeric chains undergo slight shrinkage, reducing the membrane’s total volume. This shrinkage allows water to accumulate near the membrane surface without being adsorbed. Figure </w:t>
      </w:r>
      <w:r w:rsidRPr="00453F53">
        <w:fldChar w:fldCharType="begin"/>
      </w:r>
      <w:r w:rsidRPr="00453F53">
        <w:instrText xml:space="preserve"> REF Fig_SpecificArea \h  \* MERGEFORMAT </w:instrText>
      </w:r>
      <w:r w:rsidRPr="00453F53">
        <w:fldChar w:fldCharType="separate"/>
      </w:r>
      <w:r w:rsidRPr="00453F53">
        <w:rPr>
          <w:noProof/>
        </w:rPr>
        <w:t>3</w:t>
      </w:r>
      <w:r w:rsidRPr="00453F53">
        <w:fldChar w:fldCharType="end"/>
      </w:r>
      <w:r w:rsidRPr="00453F53">
        <w:t xml:space="preserve">a shows the time profile of the distance along the </w:t>
      </w:r>
      <w:r w:rsidRPr="00453F53">
        <w:rPr>
          <w:rFonts w:ascii="Cambria Math" w:hAnsi="Cambria Math" w:cs="Cambria Math"/>
        </w:rPr>
        <w:t>𝑧</w:t>
      </w:r>
      <w:r w:rsidRPr="00453F53">
        <w:t xml:space="preserve">-direction between the nearest ion and the PP membrane. Initially, negative values reflect valleys formed by deformed polymeric chains, which host ions and water. As crystals </w:t>
      </w:r>
      <w:r w:rsidR="001A3055">
        <w:t xml:space="preserve">begin to </w:t>
      </w:r>
      <w:r w:rsidRPr="00453F53">
        <w:t>form, they grow away from the membrane surface, increasing the distance before stabilizing at nonzero values. This behavior aligns with the hypothesis that water acts as a buffer, mitigating the membrane’s superficial charge and facilitating controlled crystal growth</w:t>
      </w:r>
      <w:bookmarkStart w:id="17" w:name="_Hlk187323444"/>
      <w:r w:rsidRPr="006D7682">
        <w:rPr>
          <w:color w:val="FF0000"/>
        </w:rPr>
        <w:t xml:space="preserve">. Figures </w:t>
      </w:r>
      <w:r w:rsidRPr="006D7682">
        <w:rPr>
          <w:color w:val="FF0000"/>
        </w:rPr>
        <w:fldChar w:fldCharType="begin"/>
      </w:r>
      <w:r w:rsidRPr="006D7682">
        <w:rPr>
          <w:color w:val="FF0000"/>
        </w:rPr>
        <w:instrText xml:space="preserve"> REF Fig_SpecificArea \h  \* MERGEFORMAT </w:instrText>
      </w:r>
      <w:r w:rsidRPr="006D7682">
        <w:rPr>
          <w:color w:val="FF0000"/>
        </w:rPr>
      </w:r>
      <w:r w:rsidRPr="006D7682">
        <w:rPr>
          <w:color w:val="FF0000"/>
        </w:rPr>
        <w:fldChar w:fldCharType="separate"/>
      </w:r>
      <w:r w:rsidRPr="006D7682">
        <w:rPr>
          <w:noProof/>
          <w:color w:val="FF0000"/>
        </w:rPr>
        <w:t>3</w:t>
      </w:r>
      <w:r w:rsidRPr="006D7682">
        <w:rPr>
          <w:color w:val="FF0000"/>
        </w:rPr>
        <w:fldChar w:fldCharType="end"/>
      </w:r>
      <w:r w:rsidRPr="006D7682">
        <w:rPr>
          <w:color w:val="FF0000"/>
        </w:rPr>
        <w:t xml:space="preserve">b and  </w:t>
      </w:r>
      <w:r w:rsidRPr="006D7682">
        <w:rPr>
          <w:color w:val="FF0000"/>
        </w:rPr>
        <w:fldChar w:fldCharType="begin"/>
      </w:r>
      <w:r w:rsidRPr="006D7682">
        <w:rPr>
          <w:color w:val="FF0000"/>
        </w:rPr>
        <w:instrText xml:space="preserve"> REF Fig_SpecificArea \h  \* MERGEFORMAT </w:instrText>
      </w:r>
      <w:r w:rsidRPr="006D7682">
        <w:rPr>
          <w:color w:val="FF0000"/>
        </w:rPr>
      </w:r>
      <w:r w:rsidRPr="006D7682">
        <w:rPr>
          <w:color w:val="FF0000"/>
        </w:rPr>
        <w:fldChar w:fldCharType="separate"/>
      </w:r>
      <w:r w:rsidRPr="006D7682">
        <w:rPr>
          <w:noProof/>
          <w:color w:val="FF0000"/>
        </w:rPr>
        <w:t>3</w:t>
      </w:r>
      <w:r w:rsidRPr="006D7682">
        <w:rPr>
          <w:color w:val="FF0000"/>
        </w:rPr>
        <w:fldChar w:fldCharType="end"/>
      </w:r>
      <w:r w:rsidRPr="006D7682">
        <w:rPr>
          <w:color w:val="FF0000"/>
        </w:rPr>
        <w:t xml:space="preserve">c </w:t>
      </w:r>
      <w:r w:rsidR="001A3055" w:rsidRPr="001A3055">
        <w:rPr>
          <w:color w:val="FF0000"/>
          <w:lang w:val="en-US"/>
        </w:rPr>
        <w:t xml:space="preserve">further illustrate the system’s behavior at the end of the simulation (800 ns). </w:t>
      </w:r>
      <w:r w:rsidR="007B0F70" w:rsidRPr="006D7682">
        <w:rPr>
          <w:color w:val="FF0000"/>
        </w:rPr>
        <w:t xml:space="preserve">Figures </w:t>
      </w:r>
      <w:r w:rsidR="001A3055" w:rsidRPr="001A3055">
        <w:rPr>
          <w:color w:val="FF0000"/>
          <w:lang w:val="en-US"/>
        </w:rPr>
        <w:t>depicts the relative positions of ions and the membrane, while</w:t>
      </w:r>
      <w:r w:rsidR="001A3055" w:rsidRPr="006D7682">
        <w:rPr>
          <w:color w:val="FF0000"/>
        </w:rPr>
        <w:t xml:space="preserve"> </w:t>
      </w:r>
      <w:r w:rsidR="007B0F70" w:rsidRPr="006D7682">
        <w:rPr>
          <w:color w:val="FF0000"/>
        </w:rPr>
        <w:t xml:space="preserve">Figure </w:t>
      </w:r>
      <w:r w:rsidR="007B0F70" w:rsidRPr="006D7682">
        <w:rPr>
          <w:color w:val="FF0000"/>
        </w:rPr>
        <w:fldChar w:fldCharType="begin"/>
      </w:r>
      <w:r w:rsidR="007B0F70" w:rsidRPr="006D7682">
        <w:rPr>
          <w:color w:val="FF0000"/>
        </w:rPr>
        <w:instrText xml:space="preserve"> REF Fig_SpecificArea \h  \* MERGEFORMAT </w:instrText>
      </w:r>
      <w:r w:rsidR="007B0F70" w:rsidRPr="006D7682">
        <w:rPr>
          <w:color w:val="FF0000"/>
        </w:rPr>
      </w:r>
      <w:r w:rsidR="007B0F70" w:rsidRPr="006D7682">
        <w:rPr>
          <w:color w:val="FF0000"/>
        </w:rPr>
        <w:fldChar w:fldCharType="separate"/>
      </w:r>
      <w:r w:rsidR="007B0F70" w:rsidRPr="006D7682">
        <w:rPr>
          <w:noProof/>
          <w:color w:val="FF0000"/>
        </w:rPr>
        <w:t>3</w:t>
      </w:r>
      <w:r w:rsidR="007B0F70" w:rsidRPr="006D7682">
        <w:rPr>
          <w:color w:val="FF0000"/>
        </w:rPr>
        <w:fldChar w:fldCharType="end"/>
      </w:r>
      <w:r w:rsidR="007B0F70" w:rsidRPr="006D7682">
        <w:rPr>
          <w:color w:val="FF0000"/>
        </w:rPr>
        <w:t>c</w:t>
      </w:r>
      <w:r w:rsidR="001A3055" w:rsidRPr="001A3055">
        <w:rPr>
          <w:color w:val="FF0000"/>
          <w:lang w:val="en-US"/>
        </w:rPr>
        <w:t xml:space="preserve"> highlights the distribution of water near the membrane surface. Crystals form within the solution, maintaining a controlled proximity to the membrane, supported by a thin water film. This film prevents excessive interaction with the surface, ensuring a more stable and predictable growth environment.</w:t>
      </w:r>
      <w:bookmarkEnd w:id="17"/>
    </w:p>
    <w:p w14:paraId="019FB708" w14:textId="1AD3EB58" w:rsidR="00D95172" w:rsidRPr="00453F53" w:rsidRDefault="00D95172" w:rsidP="006F57C7">
      <w:pPr>
        <w:pStyle w:val="CETHeading1"/>
        <w:tabs>
          <w:tab w:val="clear" w:pos="360"/>
          <w:tab w:val="right" w:pos="7100"/>
        </w:tabs>
        <w:spacing w:before="0"/>
        <w:jc w:val="both"/>
        <w:rPr>
          <w:lang w:val="en-GB"/>
        </w:rPr>
      </w:pPr>
      <w:r w:rsidRPr="00453F53">
        <w:rPr>
          <w:lang w:val="en-GB"/>
        </w:rPr>
        <w:t>Conclusions</w:t>
      </w:r>
    </w:p>
    <w:p w14:paraId="5DE4CA3C" w14:textId="687390AA" w:rsidR="00D537CF" w:rsidRPr="00D537CF" w:rsidRDefault="00D537CF" w:rsidP="006F57C7">
      <w:pPr>
        <w:pStyle w:val="CETCaption"/>
        <w:spacing w:before="0"/>
        <w:rPr>
          <w:i w:val="0"/>
        </w:rPr>
      </w:pPr>
      <w:r w:rsidRPr="00453F53">
        <w:rPr>
          <w:i w:val="0"/>
        </w:rPr>
        <w:t xml:space="preserve">This study utilized </w:t>
      </w:r>
      <w:r w:rsidR="00572460" w:rsidRPr="00453F53">
        <w:rPr>
          <w:i w:val="0"/>
        </w:rPr>
        <w:t>MD</w:t>
      </w:r>
      <w:r w:rsidRPr="00453F53">
        <w:rPr>
          <w:i w:val="0"/>
        </w:rPr>
        <w:t xml:space="preserve"> simulations to investigate the early stages of the crystallization process in systems with and without a polypropylene membrane. A comprehensive data analysis strategy was implemented to identify ions with solid-like characteristics, group them into crystals based on defined parameters, and track their stability over time. The primary objective was to elucidate the influence of the polymeric membrane on the crystallization </w:t>
      </w:r>
      <w:r w:rsidRPr="00453F53">
        <w:rPr>
          <w:i w:val="0"/>
        </w:rPr>
        <w:lastRenderedPageBreak/>
        <w:t xml:space="preserve">process. The results demonstrate that interactions between the ionic solution and the PP membrane significantly </w:t>
      </w:r>
      <w:r w:rsidRPr="00D537CF">
        <w:rPr>
          <w:i w:val="0"/>
        </w:rPr>
        <w:t>enhance crystal crystallinity. This enhancement is attributed to the membrane’s modulation of diffusion coefficients for both ions and water. Initially, the PP membrane acts as a barrier, slowing water motion and delaying ion diffusion. This delay promotes controlled ion desolvation and aggregation. Over time, the membrane facilitates increased ion diffusion, enabling the reorganization of aggregated ions into more ordered crystal structures. These dynamics are reflected in the coordination number between lithium and fluorine, which is notably higher in the presence of the membrane compared to the bulk system.</w:t>
      </w:r>
      <w:r>
        <w:rPr>
          <w:i w:val="0"/>
        </w:rPr>
        <w:t xml:space="preserve"> </w:t>
      </w:r>
      <w:r w:rsidRPr="00D537CF">
        <w:rPr>
          <w:i w:val="0"/>
        </w:rPr>
        <w:t>Experimental validation confirmed these findings. Tests conducted in static conditions demonstrated that the presence of the PP membrane prevents the formation of disordered and overly aggregated crystals, thereby corroborating the simulation results. Furthermore, it was observed that the ionic solution interacts with the membrane, inducing a slight shrinkage of the polymeric chains. This morphological change allows water to approach the polymer surface without being adsorbed, effectively mitigating the surface charge of the PP membrane and facilitating controlled crystal formation.</w:t>
      </w:r>
      <w:r>
        <w:rPr>
          <w:i w:val="0"/>
        </w:rPr>
        <w:t xml:space="preserve"> </w:t>
      </w:r>
      <w:r w:rsidRPr="00D537CF">
        <w:rPr>
          <w:i w:val="0"/>
        </w:rPr>
        <w:t xml:space="preserve">In conclusion, the PP membrane plays a dual role in the crystallization process: it modulates diffusion rates to promote controlled nucleation and enhances the final crystallinity and order of the resulting crystals. These findings underline the critical role of PP membranes in membrane-assisted crystallization and their potential for improving sustainable lithium recovery technologies. </w:t>
      </w:r>
    </w:p>
    <w:p w14:paraId="68B1C0B2" w14:textId="54D02B83" w:rsidR="000E41A5" w:rsidRDefault="000E41A5" w:rsidP="006F57C7">
      <w:pPr>
        <w:pStyle w:val="CETHeading1"/>
        <w:numPr>
          <w:ilvl w:val="0"/>
          <w:numId w:val="0"/>
        </w:numPr>
        <w:tabs>
          <w:tab w:val="right" w:pos="7100"/>
        </w:tabs>
        <w:jc w:val="both"/>
        <w:rPr>
          <w:lang w:val="en-GB"/>
        </w:rPr>
      </w:pPr>
      <w:r>
        <w:rPr>
          <w:lang w:val="en-GB"/>
        </w:rPr>
        <w:t>Acknowledgments</w:t>
      </w:r>
    </w:p>
    <w:p w14:paraId="579A584D" w14:textId="139DCB86" w:rsidR="000E41A5" w:rsidRPr="000E41A5" w:rsidRDefault="000E41A5" w:rsidP="006F57C7">
      <w:pPr>
        <w:pStyle w:val="CETBodytext"/>
        <w:rPr>
          <w:lang w:val="en-GB"/>
        </w:rPr>
      </w:pPr>
      <w:r w:rsidRPr="000E41A5">
        <w:rPr>
          <w:lang w:val="en-GB"/>
        </w:rPr>
        <w:t>This work was funded by the Next Generation EU - Italian NRRP, Mission 4, Component 2, Investment 1.5, call for the creation and strengthening of ‘Innovation Ecosystems', building ‘Territorial R&amp;D Leaders' (Directorial Decree n. 2021/3277) - project Tech4You - Technologies for climate change adaptation and quality of life improvement, n. ECS0000009.</w:t>
      </w:r>
      <w:r w:rsidR="00572460">
        <w:rPr>
          <w:lang w:val="en-GB"/>
        </w:rPr>
        <w:t xml:space="preserve"> </w:t>
      </w:r>
    </w:p>
    <w:p w14:paraId="23A10F9B" w14:textId="573A5BD0" w:rsidR="000E41A5" w:rsidRPr="000E41A5" w:rsidRDefault="000E41A5" w:rsidP="000E41A5">
      <w:pPr>
        <w:pStyle w:val="CETBodytext"/>
        <w:rPr>
          <w:lang w:val="en-GB"/>
        </w:rPr>
      </w:pPr>
      <w:r w:rsidRPr="000E41A5">
        <w:rPr>
          <w:lang w:val="en-GB"/>
        </w:rPr>
        <w:t>We acknowledge ISCRA for awarding this project access to the LEONARDO supercomputer, owned by the EuroHPC Joint Undertaking, hosted by CINECA (Italy).</w:t>
      </w:r>
    </w:p>
    <w:p w14:paraId="6F89E4AF" w14:textId="5C3FAA4C" w:rsidR="00D940CB" w:rsidRDefault="000E41A5" w:rsidP="00D940CB">
      <w:pPr>
        <w:pStyle w:val="CETHeading1"/>
        <w:numPr>
          <w:ilvl w:val="0"/>
          <w:numId w:val="0"/>
        </w:numPr>
        <w:tabs>
          <w:tab w:val="right" w:pos="7100"/>
        </w:tabs>
        <w:jc w:val="both"/>
        <w:rPr>
          <w:lang w:val="en-GB"/>
        </w:rPr>
      </w:pPr>
      <w:r>
        <w:rPr>
          <w:lang w:val="en-GB"/>
        </w:rPr>
        <w:t>References</w:t>
      </w:r>
    </w:p>
    <w:p w14:paraId="14881889" w14:textId="042D9081" w:rsidR="00866A9D" w:rsidRPr="00866A9D" w:rsidRDefault="00866A9D" w:rsidP="00866A9D">
      <w:pPr>
        <w:widowControl w:val="0"/>
        <w:autoSpaceDE w:val="0"/>
        <w:autoSpaceDN w:val="0"/>
        <w:adjustRightInd w:val="0"/>
        <w:spacing w:line="240" w:lineRule="auto"/>
        <w:ind w:left="482" w:hanging="482"/>
      </w:pPr>
      <w:r w:rsidRPr="00866A9D">
        <w:t>Curcio, E., A. Criscuoli, and E. Drioli.</w:t>
      </w:r>
      <w:r w:rsidR="0003176E">
        <w:t>,</w:t>
      </w:r>
      <w:r w:rsidRPr="00866A9D">
        <w:t xml:space="preserve"> 2001</w:t>
      </w:r>
      <w:r w:rsidR="0003176E">
        <w:t>,</w:t>
      </w:r>
      <w:r w:rsidRPr="00866A9D">
        <w:t xml:space="preserve"> Membrane Crystallizers</w:t>
      </w:r>
      <w:r w:rsidR="0003176E">
        <w:t>,</w:t>
      </w:r>
      <w:r w:rsidRPr="00866A9D">
        <w:t xml:space="preserve"> Industrial and Engineering Chemistry Research</w:t>
      </w:r>
      <w:r w:rsidR="005B57CE">
        <w:t>,</w:t>
      </w:r>
      <w:r w:rsidRPr="00866A9D">
        <w:t xml:space="preserve"> 40</w:t>
      </w:r>
      <w:r w:rsidR="0003176E">
        <w:t>,</w:t>
      </w:r>
      <w:r w:rsidRPr="00866A9D">
        <w:t xml:space="preserve"> 2679–84.</w:t>
      </w:r>
    </w:p>
    <w:p w14:paraId="4421EBE7" w14:textId="502189E5" w:rsidR="00866A9D" w:rsidRPr="00866A9D" w:rsidRDefault="00866A9D" w:rsidP="00866A9D">
      <w:pPr>
        <w:widowControl w:val="0"/>
        <w:autoSpaceDE w:val="0"/>
        <w:autoSpaceDN w:val="0"/>
        <w:adjustRightInd w:val="0"/>
        <w:spacing w:line="240" w:lineRule="auto"/>
        <w:ind w:left="482" w:hanging="482"/>
      </w:pPr>
      <w:r w:rsidRPr="00866A9D">
        <w:t xml:space="preserve">Doherty, Brian </w:t>
      </w:r>
      <w:r w:rsidR="00EB77FC" w:rsidRPr="00EB77FC">
        <w:t>Xiang Zhong, Symon Gathiaka, Bin Li, Orlando Acevedo</w:t>
      </w:r>
      <w:r w:rsidR="0003176E">
        <w:t>,</w:t>
      </w:r>
      <w:r w:rsidRPr="00866A9D">
        <w:t xml:space="preserve"> 2017</w:t>
      </w:r>
      <w:r w:rsidR="0003176E">
        <w:t xml:space="preserve">, </w:t>
      </w:r>
      <w:r w:rsidRPr="00866A9D">
        <w:t>Revisiting OPLS Force Field Parameters for Ionic Liquid Simulations</w:t>
      </w:r>
      <w:r w:rsidR="0003176E">
        <w:t>,</w:t>
      </w:r>
      <w:r w:rsidRPr="00866A9D">
        <w:t xml:space="preserve"> Journal of Chemical Theory and Computation</w:t>
      </w:r>
      <w:r w:rsidR="005B57CE">
        <w:t>,</w:t>
      </w:r>
      <w:r w:rsidRPr="00866A9D">
        <w:t xml:space="preserve"> 13</w:t>
      </w:r>
      <w:r w:rsidR="0003176E">
        <w:t>,</w:t>
      </w:r>
      <w:r w:rsidRPr="00866A9D">
        <w:t xml:space="preserve"> 6131–35.</w:t>
      </w:r>
    </w:p>
    <w:p w14:paraId="6463D63B" w14:textId="1392614E" w:rsidR="00866A9D" w:rsidRPr="00866A9D" w:rsidRDefault="00866A9D" w:rsidP="00866A9D">
      <w:pPr>
        <w:widowControl w:val="0"/>
        <w:autoSpaceDE w:val="0"/>
        <w:autoSpaceDN w:val="0"/>
        <w:adjustRightInd w:val="0"/>
        <w:spacing w:line="240" w:lineRule="auto"/>
        <w:ind w:left="482" w:hanging="482"/>
      </w:pPr>
      <w:r w:rsidRPr="00866A9D">
        <w:t>Drioli, Enrico, Gianluca Di Profio, and Efrem Curcio.</w:t>
      </w:r>
      <w:r w:rsidR="0003176E">
        <w:t>,</w:t>
      </w:r>
      <w:r w:rsidRPr="00866A9D">
        <w:t xml:space="preserve"> 2012</w:t>
      </w:r>
      <w:r w:rsidR="0003176E">
        <w:t xml:space="preserve">, </w:t>
      </w:r>
      <w:r w:rsidRPr="00866A9D">
        <w:t>Progress in Membrane Crystallization</w:t>
      </w:r>
      <w:r w:rsidR="0003176E">
        <w:t>,</w:t>
      </w:r>
      <w:r w:rsidRPr="00866A9D">
        <w:t xml:space="preserve"> Current Opinion in Chemical Engineering</w:t>
      </w:r>
      <w:r w:rsidR="005B57CE">
        <w:t>,</w:t>
      </w:r>
      <w:r w:rsidRPr="00866A9D">
        <w:t xml:space="preserve"> 1</w:t>
      </w:r>
      <w:r w:rsidR="0003176E">
        <w:t xml:space="preserve">, </w:t>
      </w:r>
      <w:r w:rsidRPr="00866A9D">
        <w:t>178–82.</w:t>
      </w:r>
    </w:p>
    <w:p w14:paraId="651E830D" w14:textId="71ABA2FB" w:rsidR="00866A9D" w:rsidRPr="00866A9D" w:rsidRDefault="00866A9D" w:rsidP="00866A9D">
      <w:pPr>
        <w:widowControl w:val="0"/>
        <w:autoSpaceDE w:val="0"/>
        <w:autoSpaceDN w:val="0"/>
        <w:adjustRightInd w:val="0"/>
        <w:spacing w:line="240" w:lineRule="auto"/>
        <w:ind w:left="482" w:hanging="482"/>
      </w:pPr>
      <w:r w:rsidRPr="00866A9D">
        <w:t>Errougui, Abdelkbir, and Asmaa Benbiyi.</w:t>
      </w:r>
      <w:r w:rsidR="0003176E">
        <w:t>,</w:t>
      </w:r>
      <w:r w:rsidRPr="00866A9D">
        <w:t xml:space="preserve"> 2021</w:t>
      </w:r>
      <w:r w:rsidR="0003176E">
        <w:t xml:space="preserve">, </w:t>
      </w:r>
      <w:r w:rsidRPr="00866A9D">
        <w:t>Molecular Dynamics Simulation of Lithium Fluoride in Aqueous Solutions at Different Temperatures 300 K - 360 K</w:t>
      </w:r>
      <w:r w:rsidR="0003176E">
        <w:t>,</w:t>
      </w:r>
      <w:r w:rsidRPr="00866A9D">
        <w:t xml:space="preserve"> E3S Web of Conferences</w:t>
      </w:r>
      <w:r w:rsidR="005B57CE">
        <w:t>,</w:t>
      </w:r>
      <w:r w:rsidRPr="00866A9D">
        <w:t xml:space="preserve"> 229</w:t>
      </w:r>
      <w:r w:rsidR="0003176E">
        <w:t>,</w:t>
      </w:r>
      <w:r w:rsidRPr="00866A9D">
        <w:t xml:space="preserve"> 0–5.</w:t>
      </w:r>
    </w:p>
    <w:p w14:paraId="5E967FF5" w14:textId="495A37DC" w:rsidR="00866A9D" w:rsidRPr="00866A9D" w:rsidRDefault="00866A9D" w:rsidP="00866A9D">
      <w:pPr>
        <w:widowControl w:val="0"/>
        <w:autoSpaceDE w:val="0"/>
        <w:autoSpaceDN w:val="0"/>
        <w:adjustRightInd w:val="0"/>
        <w:spacing w:line="240" w:lineRule="auto"/>
        <w:ind w:left="482" w:hanging="482"/>
      </w:pPr>
      <w:r w:rsidRPr="00866A9D">
        <w:t>Frappa, Mirko, Francesca Macedonio, and Enrico Drioli. 2023</w:t>
      </w:r>
      <w:r w:rsidR="005B57CE">
        <w:t xml:space="preserve">, </w:t>
      </w:r>
      <w:r w:rsidRPr="00866A9D">
        <w:t>Membrane-Assisted Crystallization</w:t>
      </w:r>
      <w:r w:rsidR="005B57CE">
        <w:t>.</w:t>
      </w:r>
    </w:p>
    <w:p w14:paraId="4EB7CBF8" w14:textId="05FA8F92" w:rsidR="00866A9D" w:rsidRPr="00866A9D" w:rsidRDefault="00EB77FC" w:rsidP="00866A9D">
      <w:pPr>
        <w:widowControl w:val="0"/>
        <w:autoSpaceDE w:val="0"/>
        <w:autoSpaceDN w:val="0"/>
        <w:adjustRightInd w:val="0"/>
        <w:spacing w:line="240" w:lineRule="auto"/>
        <w:ind w:left="482" w:hanging="482"/>
      </w:pPr>
      <w:r w:rsidRPr="00EB77FC">
        <w:t>Girgibo Nebiyu</w:t>
      </w:r>
      <w:r>
        <w:t xml:space="preserve">, </w:t>
      </w:r>
      <w:r w:rsidRPr="00EB77FC">
        <w:t>Hiltunen</w:t>
      </w:r>
      <w:r>
        <w:t xml:space="preserve"> Erkki</w:t>
      </w:r>
      <w:r w:rsidRPr="00EB77FC">
        <w:t>,</w:t>
      </w:r>
      <w:r>
        <w:t xml:space="preserve"> </w:t>
      </w:r>
      <w:r w:rsidRPr="00EB77FC">
        <w:t>L</w:t>
      </w:r>
      <w:r>
        <w:t>u Xiaoshu</w:t>
      </w:r>
      <w:r w:rsidRPr="00EB77FC">
        <w:t>,</w:t>
      </w:r>
      <w:r>
        <w:t xml:space="preserve"> </w:t>
      </w:r>
      <w:r w:rsidRPr="00EB77FC">
        <w:t>Makiranta</w:t>
      </w:r>
      <w:r>
        <w:t xml:space="preserve"> Anne</w:t>
      </w:r>
      <w:r w:rsidRPr="00EB77FC">
        <w:t>, Tuomi</w:t>
      </w:r>
      <w:r w:rsidR="00C06038">
        <w:t xml:space="preserve"> Ville</w:t>
      </w:r>
      <w:r w:rsidR="005B57CE">
        <w:t>,</w:t>
      </w:r>
      <w:r w:rsidR="00866A9D" w:rsidRPr="00866A9D">
        <w:t xml:space="preserve"> 2024</w:t>
      </w:r>
      <w:r w:rsidR="005B57CE">
        <w:t xml:space="preserve">, </w:t>
      </w:r>
      <w:r w:rsidR="00866A9D" w:rsidRPr="00866A9D">
        <w:t>Risks of Climate Change Effects on Renewable Energy Resources and the Effects of Their Utilisation on the Environment</w:t>
      </w:r>
      <w:r w:rsidR="005B57CE">
        <w:t xml:space="preserve">, </w:t>
      </w:r>
      <w:r w:rsidR="00866A9D" w:rsidRPr="00866A9D">
        <w:t>Energy Reports</w:t>
      </w:r>
      <w:r w:rsidR="005B57CE">
        <w:t>,</w:t>
      </w:r>
      <w:r w:rsidR="00866A9D" w:rsidRPr="00866A9D">
        <w:t xml:space="preserve"> 11</w:t>
      </w:r>
      <w:r w:rsidR="005B57CE">
        <w:t xml:space="preserve">, </w:t>
      </w:r>
      <w:r w:rsidR="00866A9D" w:rsidRPr="00866A9D">
        <w:t>1517–34.</w:t>
      </w:r>
    </w:p>
    <w:p w14:paraId="7C18CD7F" w14:textId="54795F17" w:rsidR="00866A9D" w:rsidRPr="00866A9D" w:rsidRDefault="00866A9D" w:rsidP="00866A9D">
      <w:pPr>
        <w:widowControl w:val="0"/>
        <w:autoSpaceDE w:val="0"/>
        <w:autoSpaceDN w:val="0"/>
        <w:adjustRightInd w:val="0"/>
        <w:spacing w:line="240" w:lineRule="auto"/>
        <w:ind w:left="482" w:hanging="482"/>
      </w:pPr>
      <w:r w:rsidRPr="00866A9D">
        <w:t>Hess, Berk, Henk Bekker, Herman J.C. Berendsen, and Johannes G.E.M. Fraaije.</w:t>
      </w:r>
      <w:r w:rsidR="005B57CE">
        <w:t>,</w:t>
      </w:r>
      <w:r w:rsidRPr="00866A9D">
        <w:t xml:space="preserve"> 1997</w:t>
      </w:r>
      <w:r w:rsidR="005B57CE">
        <w:t xml:space="preserve">, </w:t>
      </w:r>
      <w:r w:rsidRPr="00866A9D">
        <w:t>LINCS: A Linear Constraint Solver for Molecular Simulations</w:t>
      </w:r>
      <w:r w:rsidR="005B57CE">
        <w:t xml:space="preserve">, </w:t>
      </w:r>
      <w:r w:rsidRPr="00866A9D">
        <w:t>Journal of Computational Chemistry</w:t>
      </w:r>
      <w:r w:rsidR="005B57CE">
        <w:t>,</w:t>
      </w:r>
      <w:r w:rsidRPr="00866A9D">
        <w:t xml:space="preserve"> 18</w:t>
      </w:r>
      <w:r w:rsidR="005B57CE">
        <w:t xml:space="preserve">, </w:t>
      </w:r>
      <w:r w:rsidRPr="00866A9D">
        <w:t>1463–72.</w:t>
      </w:r>
    </w:p>
    <w:p w14:paraId="5E906A42" w14:textId="4F41D56A" w:rsidR="00866A9D" w:rsidRPr="00866A9D" w:rsidRDefault="00866A9D" w:rsidP="00866A9D">
      <w:pPr>
        <w:widowControl w:val="0"/>
        <w:autoSpaceDE w:val="0"/>
        <w:autoSpaceDN w:val="0"/>
        <w:adjustRightInd w:val="0"/>
        <w:spacing w:line="240" w:lineRule="auto"/>
        <w:ind w:left="482" w:hanging="482"/>
      </w:pPr>
      <w:r w:rsidRPr="00E85933">
        <w:rPr>
          <w:lang w:val="it-IT"/>
        </w:rPr>
        <w:t>Ikeda, Takashi, Mauro Boero, and Kiyoyuki Terakura.</w:t>
      </w:r>
      <w:r w:rsidR="005B57CE">
        <w:rPr>
          <w:lang w:val="it-IT"/>
        </w:rPr>
        <w:t>,</w:t>
      </w:r>
      <w:r w:rsidRPr="00E85933">
        <w:rPr>
          <w:lang w:val="it-IT"/>
        </w:rPr>
        <w:t xml:space="preserve"> </w:t>
      </w:r>
      <w:r w:rsidRPr="00866A9D">
        <w:t>2007</w:t>
      </w:r>
      <w:r w:rsidR="005B57CE">
        <w:t xml:space="preserve">, </w:t>
      </w:r>
      <w:r w:rsidRPr="00866A9D">
        <w:t>Hydration of Alkali Ions from First Principles Molecular Dynamics Revisited</w:t>
      </w:r>
      <w:r w:rsidR="005B57CE">
        <w:t xml:space="preserve">, </w:t>
      </w:r>
      <w:r w:rsidRPr="00866A9D">
        <w:t>Journal of Chemical Physics</w:t>
      </w:r>
      <w:r w:rsidR="005B57CE">
        <w:t>,</w:t>
      </w:r>
      <w:r w:rsidRPr="00866A9D">
        <w:t xml:space="preserve"> 126</w:t>
      </w:r>
      <w:r w:rsidR="005B57CE">
        <w:t>.</w:t>
      </w:r>
    </w:p>
    <w:p w14:paraId="6549602F" w14:textId="2BA5181A" w:rsidR="00866A9D" w:rsidRPr="00866A9D" w:rsidRDefault="00866A9D" w:rsidP="00866A9D">
      <w:pPr>
        <w:widowControl w:val="0"/>
        <w:autoSpaceDE w:val="0"/>
        <w:autoSpaceDN w:val="0"/>
        <w:adjustRightInd w:val="0"/>
        <w:spacing w:line="240" w:lineRule="auto"/>
        <w:ind w:left="482" w:hanging="482"/>
      </w:pPr>
      <w:r w:rsidRPr="00866A9D">
        <w:t>Lanaro, G., and G. N. Patey.</w:t>
      </w:r>
      <w:r w:rsidR="005B57CE">
        <w:t>,</w:t>
      </w:r>
      <w:r w:rsidRPr="00866A9D">
        <w:t xml:space="preserve"> 2016</w:t>
      </w:r>
      <w:r w:rsidR="005B57CE">
        <w:t xml:space="preserve">, </w:t>
      </w:r>
      <w:r w:rsidRPr="00866A9D">
        <w:t>Birth of NaCl Crystals: Insights from Molecular Simulations.” Journal of Physical Chemistry B</w:t>
      </w:r>
      <w:r w:rsidR="005B57CE">
        <w:t>,</w:t>
      </w:r>
      <w:r w:rsidRPr="00866A9D">
        <w:t xml:space="preserve"> 120</w:t>
      </w:r>
      <w:r w:rsidR="005B57CE">
        <w:t xml:space="preserve">, </w:t>
      </w:r>
      <w:r w:rsidRPr="00866A9D">
        <w:t>9076–87.</w:t>
      </w:r>
    </w:p>
    <w:p w14:paraId="4AFBCEBA" w14:textId="779A7A0E" w:rsidR="00866A9D" w:rsidRPr="00866A9D" w:rsidRDefault="00866A9D" w:rsidP="00866A9D">
      <w:pPr>
        <w:widowControl w:val="0"/>
        <w:autoSpaceDE w:val="0"/>
        <w:autoSpaceDN w:val="0"/>
        <w:adjustRightInd w:val="0"/>
        <w:spacing w:line="240" w:lineRule="auto"/>
        <w:ind w:left="482" w:hanging="482"/>
        <w:rPr>
          <w:color w:val="FF0000"/>
        </w:rPr>
      </w:pPr>
      <w:bookmarkStart w:id="18" w:name="_Hlk187318110"/>
      <w:r w:rsidRPr="00866A9D">
        <w:rPr>
          <w:color w:val="FF0000"/>
        </w:rPr>
        <w:t>Lanaro, G., and G. N. Patey.</w:t>
      </w:r>
      <w:r w:rsidR="005B57CE">
        <w:rPr>
          <w:color w:val="FF0000"/>
        </w:rPr>
        <w:t>,</w:t>
      </w:r>
      <w:r w:rsidRPr="00866A9D">
        <w:rPr>
          <w:color w:val="FF0000"/>
        </w:rPr>
        <w:t xml:space="preserve"> 2018</w:t>
      </w:r>
      <w:r w:rsidR="005B57CE">
        <w:rPr>
          <w:color w:val="FF0000"/>
        </w:rPr>
        <w:t xml:space="preserve">, </w:t>
      </w:r>
      <w:r w:rsidRPr="00866A9D">
        <w:rPr>
          <w:color w:val="FF0000"/>
        </w:rPr>
        <w:t>The Influence of Ion Hydration on Nucleation and Growth of LiF Crystals in Aqueous Solution</w:t>
      </w:r>
      <w:r w:rsidR="005B57CE">
        <w:rPr>
          <w:color w:val="FF0000"/>
        </w:rPr>
        <w:t>,</w:t>
      </w:r>
      <w:r w:rsidRPr="00866A9D">
        <w:rPr>
          <w:color w:val="FF0000"/>
        </w:rPr>
        <w:t xml:space="preserve"> Journal of Chemical Physics</w:t>
      </w:r>
      <w:r w:rsidR="005B57CE">
        <w:rPr>
          <w:color w:val="FF0000"/>
        </w:rPr>
        <w:t>,</w:t>
      </w:r>
      <w:r w:rsidRPr="00866A9D">
        <w:rPr>
          <w:color w:val="FF0000"/>
        </w:rPr>
        <w:t xml:space="preserve"> 148</w:t>
      </w:r>
      <w:r w:rsidR="005B57CE">
        <w:rPr>
          <w:color w:val="FF0000"/>
        </w:rPr>
        <w:t>.</w:t>
      </w:r>
    </w:p>
    <w:bookmarkEnd w:id="18"/>
    <w:p w14:paraId="3936A5BD" w14:textId="0852EF31" w:rsidR="00866A9D" w:rsidRPr="00866A9D" w:rsidRDefault="00C06038" w:rsidP="00C06038">
      <w:pPr>
        <w:widowControl w:val="0"/>
        <w:autoSpaceDE w:val="0"/>
        <w:autoSpaceDN w:val="0"/>
        <w:adjustRightInd w:val="0"/>
        <w:spacing w:line="240" w:lineRule="auto"/>
        <w:ind w:left="482" w:hanging="482"/>
      </w:pPr>
      <w:r>
        <w:t>Perrotta Maria Luisa, Macedonio Francesca, Giorno Lidietta, Jin Wanqin, Drioli Enrico, Gugliuzza Annarosa, Tocci Elena</w:t>
      </w:r>
      <w:r w:rsidR="005B57CE">
        <w:t>,</w:t>
      </w:r>
      <w:r w:rsidR="00866A9D" w:rsidRPr="00866A9D">
        <w:t xml:space="preserve"> 2020</w:t>
      </w:r>
      <w:r w:rsidR="005B57CE">
        <w:t xml:space="preserve">, </w:t>
      </w:r>
      <w:r w:rsidR="00866A9D" w:rsidRPr="00866A9D">
        <w:t>Molecular Insights on NaCl Crystal Formation Approaching PVDF Membranes Functionalized with Graphene</w:t>
      </w:r>
      <w:r w:rsidR="005B57CE">
        <w:t>,</w:t>
      </w:r>
      <w:r w:rsidR="00866A9D" w:rsidRPr="00866A9D">
        <w:t xml:space="preserve"> Physical Chemistry Chemical Physics</w:t>
      </w:r>
      <w:r w:rsidR="005B57CE">
        <w:t>,</w:t>
      </w:r>
      <w:r w:rsidR="00866A9D" w:rsidRPr="00866A9D">
        <w:t xml:space="preserve"> 22</w:t>
      </w:r>
      <w:r w:rsidR="005B57CE">
        <w:t xml:space="preserve">, </w:t>
      </w:r>
      <w:r w:rsidR="00866A9D" w:rsidRPr="00866A9D">
        <w:t>7817–27.</w:t>
      </w:r>
    </w:p>
    <w:p w14:paraId="00811A48" w14:textId="24D16839" w:rsidR="00866A9D" w:rsidRPr="00866A9D" w:rsidRDefault="00866A9D" w:rsidP="00866A9D">
      <w:pPr>
        <w:widowControl w:val="0"/>
        <w:autoSpaceDE w:val="0"/>
        <w:autoSpaceDN w:val="0"/>
        <w:adjustRightInd w:val="0"/>
        <w:spacing w:line="240" w:lineRule="auto"/>
        <w:ind w:left="482" w:hanging="482"/>
      </w:pPr>
      <w:r w:rsidRPr="00866A9D">
        <w:t>Petersen, Henrik G</w:t>
      </w:r>
      <w:r w:rsidR="005B57CE">
        <w:t xml:space="preserve">., </w:t>
      </w:r>
      <w:r w:rsidRPr="00866A9D">
        <w:t>1995</w:t>
      </w:r>
      <w:r w:rsidR="005B57CE">
        <w:t xml:space="preserve">, </w:t>
      </w:r>
      <w:r w:rsidRPr="00866A9D">
        <w:t>Accuracy and Efficiency of the Particle Mesh Ewald Method</w:t>
      </w:r>
      <w:r w:rsidR="005B57CE">
        <w:t>,</w:t>
      </w:r>
      <w:r w:rsidRPr="00866A9D">
        <w:t xml:space="preserve"> The Journal of Chemical Physics</w:t>
      </w:r>
      <w:r w:rsidR="005B57CE">
        <w:t>,</w:t>
      </w:r>
      <w:r w:rsidRPr="00866A9D">
        <w:t xml:space="preserve"> 103</w:t>
      </w:r>
      <w:r w:rsidR="005B57CE">
        <w:t xml:space="preserve">, </w:t>
      </w:r>
      <w:r w:rsidRPr="00866A9D">
        <w:t>3668–79.</w:t>
      </w:r>
    </w:p>
    <w:p w14:paraId="73D9EEBB" w14:textId="10980F7A" w:rsidR="00866A9D" w:rsidRPr="00866A9D" w:rsidRDefault="00866A9D" w:rsidP="00866A9D">
      <w:pPr>
        <w:widowControl w:val="0"/>
        <w:autoSpaceDE w:val="0"/>
        <w:autoSpaceDN w:val="0"/>
        <w:adjustRightInd w:val="0"/>
        <w:spacing w:line="240" w:lineRule="auto"/>
        <w:ind w:left="482" w:hanging="482"/>
      </w:pPr>
      <w:r w:rsidRPr="00866A9D">
        <w:t>Ramírez Velázquez, L. E., Laëtitia Palos, Marie Le Page Mostefa, and Hervé Muhr.</w:t>
      </w:r>
      <w:r w:rsidR="005B57CE">
        <w:t>,</w:t>
      </w:r>
      <w:r w:rsidRPr="00866A9D">
        <w:t xml:space="preserve"> 2024</w:t>
      </w:r>
      <w:r w:rsidR="005B57CE">
        <w:t xml:space="preserve">, </w:t>
      </w:r>
      <w:r w:rsidRPr="00866A9D">
        <w:t>Recovery of Lithium from Li-Ion Battery Leachate by Gas-Liquid Precipitation</w:t>
      </w:r>
      <w:r w:rsidR="005B57CE">
        <w:t>,</w:t>
      </w:r>
      <w:r w:rsidRPr="00866A9D">
        <w:t xml:space="preserve"> Journal of Crystal Growth</w:t>
      </w:r>
      <w:r w:rsidR="005B57CE">
        <w:t>,</w:t>
      </w:r>
      <w:r w:rsidRPr="00866A9D">
        <w:t xml:space="preserve"> 631</w:t>
      </w:r>
      <w:r w:rsidR="005B57CE">
        <w:t>.</w:t>
      </w:r>
    </w:p>
    <w:p w14:paraId="0AA86D14" w14:textId="6DA61FAF" w:rsidR="00866A9D" w:rsidRPr="00866A9D" w:rsidRDefault="00866A9D" w:rsidP="00866A9D">
      <w:pPr>
        <w:widowControl w:val="0"/>
        <w:autoSpaceDE w:val="0"/>
        <w:autoSpaceDN w:val="0"/>
        <w:adjustRightInd w:val="0"/>
        <w:spacing w:line="240" w:lineRule="auto"/>
        <w:ind w:left="482" w:hanging="482"/>
      </w:pPr>
      <w:r w:rsidRPr="00866A9D">
        <w:t>Shen, Lixia, Mingyan Dang, and Xingwei Han.</w:t>
      </w:r>
      <w:r w:rsidR="005B57CE">
        <w:t>,</w:t>
      </w:r>
      <w:r w:rsidRPr="00866A9D">
        <w:t xml:space="preserve"> 2023</w:t>
      </w:r>
      <w:r w:rsidR="005B57CE">
        <w:t xml:space="preserve">, </w:t>
      </w:r>
      <w:r w:rsidRPr="00866A9D">
        <w:t>Recent Advances in Membrane Crystallization</w:t>
      </w:r>
      <w:r w:rsidR="005B57CE">
        <w:t>,</w:t>
      </w:r>
      <w:r w:rsidRPr="00866A9D">
        <w:t xml:space="preserve"> CrystEngComm</w:t>
      </w:r>
      <w:r w:rsidR="005B57CE">
        <w:t>,</w:t>
      </w:r>
      <w:r w:rsidRPr="00866A9D">
        <w:t xml:space="preserve"> 25</w:t>
      </w:r>
      <w:r w:rsidR="005B57CE">
        <w:t xml:space="preserve">, </w:t>
      </w:r>
      <w:r w:rsidRPr="00866A9D">
        <w:t>2503–17.</w:t>
      </w:r>
    </w:p>
    <w:p w14:paraId="7A6D61EB" w14:textId="4741AE70" w:rsidR="00866A9D" w:rsidRPr="00866A9D" w:rsidRDefault="00C06038" w:rsidP="00C06038">
      <w:pPr>
        <w:widowControl w:val="0"/>
        <w:autoSpaceDE w:val="0"/>
        <w:autoSpaceDN w:val="0"/>
        <w:adjustRightInd w:val="0"/>
        <w:spacing w:line="240" w:lineRule="auto"/>
        <w:ind w:left="482" w:hanging="482"/>
      </w:pPr>
      <w:r>
        <w:t xml:space="preserve">Sun Huai, Jin Zhao, Yang Chunwei, Akkermans </w:t>
      </w:r>
      <w:r w:rsidRPr="00C06038">
        <w:t>Reinier L. C.</w:t>
      </w:r>
      <w:r>
        <w:t>, Robertson Struan H., Spenley Neil A., Miller Simon, Todd Stephen M.</w:t>
      </w:r>
      <w:r w:rsidR="005B57CE">
        <w:t>,</w:t>
      </w:r>
      <w:r w:rsidR="00866A9D" w:rsidRPr="00866A9D">
        <w:t xml:space="preserve"> 2016</w:t>
      </w:r>
      <w:r w:rsidR="005B57CE">
        <w:t xml:space="preserve">, </w:t>
      </w:r>
      <w:r w:rsidR="00866A9D" w:rsidRPr="00866A9D">
        <w:t>COMPASS II: Extended Coverage for Polymer and Drug-like Molecule Databases</w:t>
      </w:r>
      <w:r w:rsidR="005B57CE">
        <w:t>,</w:t>
      </w:r>
      <w:r w:rsidR="00866A9D" w:rsidRPr="00866A9D">
        <w:t xml:space="preserve"> Journal of Molecular Modeling</w:t>
      </w:r>
      <w:r w:rsidR="005B57CE">
        <w:t>,</w:t>
      </w:r>
      <w:r w:rsidR="00866A9D" w:rsidRPr="00866A9D">
        <w:t xml:space="preserve"> 22</w:t>
      </w:r>
      <w:r w:rsidR="005B57CE">
        <w:t xml:space="preserve">, </w:t>
      </w:r>
      <w:r w:rsidR="00866A9D" w:rsidRPr="00866A9D">
        <w:t>1–10.</w:t>
      </w:r>
    </w:p>
    <w:p w14:paraId="5152636A" w14:textId="79158C78" w:rsidR="00866A9D" w:rsidRPr="00866A9D" w:rsidRDefault="00866A9D" w:rsidP="00866A9D">
      <w:pPr>
        <w:widowControl w:val="0"/>
        <w:autoSpaceDE w:val="0"/>
        <w:autoSpaceDN w:val="0"/>
        <w:adjustRightInd w:val="0"/>
        <w:spacing w:line="240" w:lineRule="auto"/>
        <w:ind w:left="482" w:hanging="482"/>
      </w:pPr>
      <w:r w:rsidRPr="00866A9D">
        <w:t>Yuet, Pak K., and Daniel Blankschtein.</w:t>
      </w:r>
      <w:r w:rsidR="005B57CE">
        <w:t>,</w:t>
      </w:r>
      <w:r w:rsidRPr="00866A9D">
        <w:t xml:space="preserve"> 2010</w:t>
      </w:r>
      <w:r w:rsidR="005B57CE">
        <w:t xml:space="preserve">, </w:t>
      </w:r>
      <w:r w:rsidRPr="00866A9D">
        <w:t>Molecular Dynamics Simulation Study of Water Surfaces: Comparison of Flexible Water Models</w:t>
      </w:r>
      <w:r w:rsidR="005B57CE">
        <w:t>,</w:t>
      </w:r>
      <w:r w:rsidRPr="00866A9D">
        <w:t xml:space="preserve"> Journal of Physical Chemistry B</w:t>
      </w:r>
      <w:r w:rsidR="005B57CE">
        <w:t>,</w:t>
      </w:r>
      <w:r w:rsidRPr="00866A9D">
        <w:t xml:space="preserve"> 114</w:t>
      </w:r>
      <w:r w:rsidR="005B57CE">
        <w:t>,</w:t>
      </w:r>
      <w:r w:rsidRPr="00866A9D">
        <w:t>13786–95.</w:t>
      </w:r>
    </w:p>
    <w:p w14:paraId="261E8D5B" w14:textId="60BCBAD7" w:rsidR="00281960" w:rsidRPr="00281960" w:rsidRDefault="00281960" w:rsidP="00281960">
      <w:pPr>
        <w:pStyle w:val="CETBodytext"/>
        <w:rPr>
          <w:lang w:val="en-GB"/>
        </w:rPr>
      </w:pPr>
    </w:p>
    <w:sectPr w:rsidR="00281960" w:rsidRPr="00281960" w:rsidSect="00453F53">
      <w:type w:val="continuous"/>
      <w:pgSz w:w="11906" w:h="16838" w:code="9"/>
      <w:pgMar w:top="1701" w:right="1418" w:bottom="1560"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17CEA" w14:textId="77777777" w:rsidR="000D5E8C" w:rsidRDefault="000D5E8C" w:rsidP="004F5E36">
      <w:r>
        <w:separator/>
      </w:r>
    </w:p>
  </w:endnote>
  <w:endnote w:type="continuationSeparator" w:id="0">
    <w:p w14:paraId="0E7B4CD2" w14:textId="77777777" w:rsidR="000D5E8C" w:rsidRDefault="000D5E8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tra">
    <w:altName w:val="Courier New"/>
    <w:charset w:val="B2"/>
    <w:family w:val="auto"/>
    <w:pitch w:val="variable"/>
    <w:sig w:usb0="00002000" w:usb1="00000000" w:usb2="00000000" w:usb3="00000000" w:csb0="00000040"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8BA8D" w14:textId="77777777" w:rsidR="000D5E8C" w:rsidRDefault="000D5E8C" w:rsidP="004F5E36">
      <w:r>
        <w:separator/>
      </w:r>
    </w:p>
  </w:footnote>
  <w:footnote w:type="continuationSeparator" w:id="0">
    <w:p w14:paraId="4445707C" w14:textId="77777777" w:rsidR="000D5E8C" w:rsidRDefault="000D5E8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39178385">
    <w:abstractNumId w:val="11"/>
  </w:num>
  <w:num w:numId="2" w16cid:durableId="1025324548">
    <w:abstractNumId w:val="8"/>
  </w:num>
  <w:num w:numId="3" w16cid:durableId="639581398">
    <w:abstractNumId w:val="3"/>
  </w:num>
  <w:num w:numId="4" w16cid:durableId="842012640">
    <w:abstractNumId w:val="2"/>
  </w:num>
  <w:num w:numId="5" w16cid:durableId="1612663712">
    <w:abstractNumId w:val="1"/>
  </w:num>
  <w:num w:numId="6" w16cid:durableId="560677135">
    <w:abstractNumId w:val="0"/>
  </w:num>
  <w:num w:numId="7" w16cid:durableId="2122215311">
    <w:abstractNumId w:val="9"/>
  </w:num>
  <w:num w:numId="8" w16cid:durableId="1013066185">
    <w:abstractNumId w:val="7"/>
  </w:num>
  <w:num w:numId="9" w16cid:durableId="18288019">
    <w:abstractNumId w:val="6"/>
  </w:num>
  <w:num w:numId="10" w16cid:durableId="1855922446">
    <w:abstractNumId w:val="5"/>
  </w:num>
  <w:num w:numId="11" w16cid:durableId="578099826">
    <w:abstractNumId w:val="4"/>
  </w:num>
  <w:num w:numId="12" w16cid:durableId="1037391651">
    <w:abstractNumId w:val="18"/>
  </w:num>
  <w:num w:numId="13" w16cid:durableId="1787847789">
    <w:abstractNumId w:val="13"/>
  </w:num>
  <w:num w:numId="14" w16cid:durableId="1189221698">
    <w:abstractNumId w:val="19"/>
  </w:num>
  <w:num w:numId="15" w16cid:durableId="283509907">
    <w:abstractNumId w:val="21"/>
  </w:num>
  <w:num w:numId="16" w16cid:durableId="325984973">
    <w:abstractNumId w:val="20"/>
  </w:num>
  <w:num w:numId="17" w16cid:durableId="2059011516">
    <w:abstractNumId w:val="12"/>
  </w:num>
  <w:num w:numId="18" w16cid:durableId="1668360936">
    <w:abstractNumId w:val="13"/>
    <w:lvlOverride w:ilvl="0">
      <w:startOverride w:val="1"/>
    </w:lvlOverride>
  </w:num>
  <w:num w:numId="19" w16cid:durableId="311184059">
    <w:abstractNumId w:val="17"/>
  </w:num>
  <w:num w:numId="20" w16cid:durableId="569998504">
    <w:abstractNumId w:val="16"/>
  </w:num>
  <w:num w:numId="21" w16cid:durableId="18896012">
    <w:abstractNumId w:val="15"/>
  </w:num>
  <w:num w:numId="22" w16cid:durableId="1107890491">
    <w:abstractNumId w:val="14"/>
  </w:num>
  <w:num w:numId="23" w16cid:durableId="1405805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0116"/>
    <w:rsid w:val="000117CB"/>
    <w:rsid w:val="00022CEF"/>
    <w:rsid w:val="0003148D"/>
    <w:rsid w:val="0003176E"/>
    <w:rsid w:val="00031EEC"/>
    <w:rsid w:val="00041063"/>
    <w:rsid w:val="00045314"/>
    <w:rsid w:val="00051566"/>
    <w:rsid w:val="000562A9"/>
    <w:rsid w:val="00062A9A"/>
    <w:rsid w:val="00064CDE"/>
    <w:rsid w:val="00065058"/>
    <w:rsid w:val="0007076B"/>
    <w:rsid w:val="00085287"/>
    <w:rsid w:val="00086C39"/>
    <w:rsid w:val="000A03B2"/>
    <w:rsid w:val="000A0B22"/>
    <w:rsid w:val="000C267D"/>
    <w:rsid w:val="000D0268"/>
    <w:rsid w:val="000D1348"/>
    <w:rsid w:val="000D34BE"/>
    <w:rsid w:val="000D5E8C"/>
    <w:rsid w:val="000E0B3C"/>
    <w:rsid w:val="000E102F"/>
    <w:rsid w:val="000E36F1"/>
    <w:rsid w:val="000E3A73"/>
    <w:rsid w:val="000E414A"/>
    <w:rsid w:val="000E41A5"/>
    <w:rsid w:val="000E75FD"/>
    <w:rsid w:val="000F093C"/>
    <w:rsid w:val="000F787B"/>
    <w:rsid w:val="00103E51"/>
    <w:rsid w:val="00107C19"/>
    <w:rsid w:val="0012091F"/>
    <w:rsid w:val="00126BC2"/>
    <w:rsid w:val="001308B6"/>
    <w:rsid w:val="0013121F"/>
    <w:rsid w:val="00131FE6"/>
    <w:rsid w:val="0013263F"/>
    <w:rsid w:val="001331DF"/>
    <w:rsid w:val="00134DE4"/>
    <w:rsid w:val="0014034D"/>
    <w:rsid w:val="00140FE3"/>
    <w:rsid w:val="001427CB"/>
    <w:rsid w:val="00144D16"/>
    <w:rsid w:val="00150E59"/>
    <w:rsid w:val="00152DE3"/>
    <w:rsid w:val="00164CF9"/>
    <w:rsid w:val="0016668E"/>
    <w:rsid w:val="001667A6"/>
    <w:rsid w:val="0018171E"/>
    <w:rsid w:val="00184AD6"/>
    <w:rsid w:val="001A3055"/>
    <w:rsid w:val="001A4AF7"/>
    <w:rsid w:val="001B0349"/>
    <w:rsid w:val="001B1E93"/>
    <w:rsid w:val="001B65C1"/>
    <w:rsid w:val="001C260F"/>
    <w:rsid w:val="001C5C3A"/>
    <w:rsid w:val="001C684B"/>
    <w:rsid w:val="001D080B"/>
    <w:rsid w:val="001D0CFB"/>
    <w:rsid w:val="001D21AF"/>
    <w:rsid w:val="001D3D32"/>
    <w:rsid w:val="001D53FC"/>
    <w:rsid w:val="001F2240"/>
    <w:rsid w:val="001F30F3"/>
    <w:rsid w:val="001F42A5"/>
    <w:rsid w:val="001F7B9D"/>
    <w:rsid w:val="00201C93"/>
    <w:rsid w:val="00204E65"/>
    <w:rsid w:val="00207868"/>
    <w:rsid w:val="0021716A"/>
    <w:rsid w:val="002224B4"/>
    <w:rsid w:val="00237C52"/>
    <w:rsid w:val="002433A4"/>
    <w:rsid w:val="002434D9"/>
    <w:rsid w:val="002447EF"/>
    <w:rsid w:val="00251550"/>
    <w:rsid w:val="00254E85"/>
    <w:rsid w:val="00263B05"/>
    <w:rsid w:val="002670C7"/>
    <w:rsid w:val="0027221A"/>
    <w:rsid w:val="00275B61"/>
    <w:rsid w:val="00277784"/>
    <w:rsid w:val="00280FAF"/>
    <w:rsid w:val="00281960"/>
    <w:rsid w:val="00282656"/>
    <w:rsid w:val="002842AB"/>
    <w:rsid w:val="002866E9"/>
    <w:rsid w:val="002920E8"/>
    <w:rsid w:val="00296B83"/>
    <w:rsid w:val="002B4015"/>
    <w:rsid w:val="002B6C7F"/>
    <w:rsid w:val="002B78CE"/>
    <w:rsid w:val="002C2FB6"/>
    <w:rsid w:val="002C70A9"/>
    <w:rsid w:val="002E57AB"/>
    <w:rsid w:val="002E5FA7"/>
    <w:rsid w:val="002F3309"/>
    <w:rsid w:val="003008CE"/>
    <w:rsid w:val="003009B7"/>
    <w:rsid w:val="00300E56"/>
    <w:rsid w:val="0030152C"/>
    <w:rsid w:val="0030165A"/>
    <w:rsid w:val="003043A1"/>
    <w:rsid w:val="0030469C"/>
    <w:rsid w:val="00304CE8"/>
    <w:rsid w:val="00321CA6"/>
    <w:rsid w:val="00323763"/>
    <w:rsid w:val="00323C5F"/>
    <w:rsid w:val="00332DC6"/>
    <w:rsid w:val="00334C09"/>
    <w:rsid w:val="00345288"/>
    <w:rsid w:val="003723D4"/>
    <w:rsid w:val="00377A3D"/>
    <w:rsid w:val="00381905"/>
    <w:rsid w:val="00384CC8"/>
    <w:rsid w:val="003871FD"/>
    <w:rsid w:val="00391B6D"/>
    <w:rsid w:val="003946FC"/>
    <w:rsid w:val="003A1E30"/>
    <w:rsid w:val="003A2829"/>
    <w:rsid w:val="003A2978"/>
    <w:rsid w:val="003A7D1C"/>
    <w:rsid w:val="003B247F"/>
    <w:rsid w:val="003B304B"/>
    <w:rsid w:val="003B3146"/>
    <w:rsid w:val="003B49CD"/>
    <w:rsid w:val="003C224E"/>
    <w:rsid w:val="003C7911"/>
    <w:rsid w:val="003D1E02"/>
    <w:rsid w:val="003D5926"/>
    <w:rsid w:val="003E7A80"/>
    <w:rsid w:val="003F015E"/>
    <w:rsid w:val="00400414"/>
    <w:rsid w:val="0041446B"/>
    <w:rsid w:val="00437A1E"/>
    <w:rsid w:val="0044071E"/>
    <w:rsid w:val="0044329C"/>
    <w:rsid w:val="00443EEB"/>
    <w:rsid w:val="00453E24"/>
    <w:rsid w:val="00453F53"/>
    <w:rsid w:val="00457456"/>
    <w:rsid w:val="004577FE"/>
    <w:rsid w:val="00457B9C"/>
    <w:rsid w:val="0046164A"/>
    <w:rsid w:val="004628D2"/>
    <w:rsid w:val="00462DCD"/>
    <w:rsid w:val="004648AD"/>
    <w:rsid w:val="004703A9"/>
    <w:rsid w:val="004760DE"/>
    <w:rsid w:val="004763D7"/>
    <w:rsid w:val="00482076"/>
    <w:rsid w:val="004A004E"/>
    <w:rsid w:val="004A099E"/>
    <w:rsid w:val="004A24CF"/>
    <w:rsid w:val="004A4F3F"/>
    <w:rsid w:val="004B3AE0"/>
    <w:rsid w:val="004C0ACF"/>
    <w:rsid w:val="004C3D1D"/>
    <w:rsid w:val="004C3D84"/>
    <w:rsid w:val="004C7913"/>
    <w:rsid w:val="004E4DD6"/>
    <w:rsid w:val="004F5E36"/>
    <w:rsid w:val="00507814"/>
    <w:rsid w:val="00507B47"/>
    <w:rsid w:val="00507BEF"/>
    <w:rsid w:val="00507CC9"/>
    <w:rsid w:val="005119A5"/>
    <w:rsid w:val="00514121"/>
    <w:rsid w:val="00514540"/>
    <w:rsid w:val="00520451"/>
    <w:rsid w:val="005278B7"/>
    <w:rsid w:val="00532016"/>
    <w:rsid w:val="005346C8"/>
    <w:rsid w:val="00543E7D"/>
    <w:rsid w:val="00546B55"/>
    <w:rsid w:val="00547A68"/>
    <w:rsid w:val="00550F39"/>
    <w:rsid w:val="005531C9"/>
    <w:rsid w:val="00554879"/>
    <w:rsid w:val="00554B2D"/>
    <w:rsid w:val="00570C43"/>
    <w:rsid w:val="00572460"/>
    <w:rsid w:val="00591459"/>
    <w:rsid w:val="00592274"/>
    <w:rsid w:val="0059260A"/>
    <w:rsid w:val="005A2891"/>
    <w:rsid w:val="005B1E64"/>
    <w:rsid w:val="005B2110"/>
    <w:rsid w:val="005B350B"/>
    <w:rsid w:val="005B57CE"/>
    <w:rsid w:val="005B61E6"/>
    <w:rsid w:val="005C77E1"/>
    <w:rsid w:val="005D1AA7"/>
    <w:rsid w:val="005D5B0C"/>
    <w:rsid w:val="005D668A"/>
    <w:rsid w:val="005D6A2F"/>
    <w:rsid w:val="005E0592"/>
    <w:rsid w:val="005E1A82"/>
    <w:rsid w:val="005E794C"/>
    <w:rsid w:val="005F0A28"/>
    <w:rsid w:val="005F0E5E"/>
    <w:rsid w:val="005F17C4"/>
    <w:rsid w:val="005F19AD"/>
    <w:rsid w:val="00600535"/>
    <w:rsid w:val="00610CD6"/>
    <w:rsid w:val="00620DEE"/>
    <w:rsid w:val="00621F92"/>
    <w:rsid w:val="0062280A"/>
    <w:rsid w:val="006231E1"/>
    <w:rsid w:val="00625639"/>
    <w:rsid w:val="00626342"/>
    <w:rsid w:val="00631B33"/>
    <w:rsid w:val="006357AF"/>
    <w:rsid w:val="0064184D"/>
    <w:rsid w:val="006422CC"/>
    <w:rsid w:val="00644A7B"/>
    <w:rsid w:val="00651D18"/>
    <w:rsid w:val="00651E59"/>
    <w:rsid w:val="006530FA"/>
    <w:rsid w:val="00654FE3"/>
    <w:rsid w:val="00660022"/>
    <w:rsid w:val="0066013F"/>
    <w:rsid w:val="00660E3E"/>
    <w:rsid w:val="00662E74"/>
    <w:rsid w:val="00671342"/>
    <w:rsid w:val="00680C23"/>
    <w:rsid w:val="00683E23"/>
    <w:rsid w:val="00693766"/>
    <w:rsid w:val="006A3281"/>
    <w:rsid w:val="006A6DE5"/>
    <w:rsid w:val="006B4888"/>
    <w:rsid w:val="006B50E4"/>
    <w:rsid w:val="006C2E45"/>
    <w:rsid w:val="006C359C"/>
    <w:rsid w:val="006C5579"/>
    <w:rsid w:val="006D6E8B"/>
    <w:rsid w:val="006D7209"/>
    <w:rsid w:val="006D7682"/>
    <w:rsid w:val="006E3716"/>
    <w:rsid w:val="006E737D"/>
    <w:rsid w:val="006F57C7"/>
    <w:rsid w:val="00707DD1"/>
    <w:rsid w:val="00713973"/>
    <w:rsid w:val="00713D31"/>
    <w:rsid w:val="007203CE"/>
    <w:rsid w:val="00720A24"/>
    <w:rsid w:val="00732386"/>
    <w:rsid w:val="0073514D"/>
    <w:rsid w:val="007358D1"/>
    <w:rsid w:val="00740AC5"/>
    <w:rsid w:val="00740D9F"/>
    <w:rsid w:val="007447F3"/>
    <w:rsid w:val="0075046E"/>
    <w:rsid w:val="0075499F"/>
    <w:rsid w:val="007661C8"/>
    <w:rsid w:val="0077098D"/>
    <w:rsid w:val="0078124D"/>
    <w:rsid w:val="00785BF9"/>
    <w:rsid w:val="007931FA"/>
    <w:rsid w:val="00794355"/>
    <w:rsid w:val="007955DC"/>
    <w:rsid w:val="00797D3A"/>
    <w:rsid w:val="007A1BEA"/>
    <w:rsid w:val="007A4861"/>
    <w:rsid w:val="007A7BBA"/>
    <w:rsid w:val="007B0197"/>
    <w:rsid w:val="007B0C50"/>
    <w:rsid w:val="007B0F70"/>
    <w:rsid w:val="007B48F9"/>
    <w:rsid w:val="007C1A43"/>
    <w:rsid w:val="007D0951"/>
    <w:rsid w:val="007D610D"/>
    <w:rsid w:val="007E20A2"/>
    <w:rsid w:val="007E669C"/>
    <w:rsid w:val="007F5FB5"/>
    <w:rsid w:val="0080013E"/>
    <w:rsid w:val="00801759"/>
    <w:rsid w:val="00813288"/>
    <w:rsid w:val="008168FC"/>
    <w:rsid w:val="008300D5"/>
    <w:rsid w:val="00830996"/>
    <w:rsid w:val="008345F1"/>
    <w:rsid w:val="0084035F"/>
    <w:rsid w:val="00844A0B"/>
    <w:rsid w:val="00850461"/>
    <w:rsid w:val="008525B8"/>
    <w:rsid w:val="00855A76"/>
    <w:rsid w:val="00863715"/>
    <w:rsid w:val="0086537C"/>
    <w:rsid w:val="00865B07"/>
    <w:rsid w:val="008667EA"/>
    <w:rsid w:val="00866A9D"/>
    <w:rsid w:val="0087637F"/>
    <w:rsid w:val="008853E9"/>
    <w:rsid w:val="00887D35"/>
    <w:rsid w:val="00892AD5"/>
    <w:rsid w:val="008A1512"/>
    <w:rsid w:val="008A6208"/>
    <w:rsid w:val="008B057F"/>
    <w:rsid w:val="008C3D8F"/>
    <w:rsid w:val="008D32B9"/>
    <w:rsid w:val="008D433B"/>
    <w:rsid w:val="008D4A16"/>
    <w:rsid w:val="008E5401"/>
    <w:rsid w:val="008E566E"/>
    <w:rsid w:val="008F3829"/>
    <w:rsid w:val="008F47AA"/>
    <w:rsid w:val="0090161A"/>
    <w:rsid w:val="0090165D"/>
    <w:rsid w:val="00901EB6"/>
    <w:rsid w:val="009034FB"/>
    <w:rsid w:val="009041F8"/>
    <w:rsid w:val="00904C62"/>
    <w:rsid w:val="00922BA8"/>
    <w:rsid w:val="00924B04"/>
    <w:rsid w:val="00924DAC"/>
    <w:rsid w:val="0092612A"/>
    <w:rsid w:val="00927058"/>
    <w:rsid w:val="00941811"/>
    <w:rsid w:val="00942750"/>
    <w:rsid w:val="009450CE"/>
    <w:rsid w:val="009459BB"/>
    <w:rsid w:val="00947179"/>
    <w:rsid w:val="0095164B"/>
    <w:rsid w:val="00954090"/>
    <w:rsid w:val="009572D6"/>
    <w:rsid w:val="009573E7"/>
    <w:rsid w:val="009630C6"/>
    <w:rsid w:val="00963E05"/>
    <w:rsid w:val="00964A45"/>
    <w:rsid w:val="00967843"/>
    <w:rsid w:val="00967D54"/>
    <w:rsid w:val="00970599"/>
    <w:rsid w:val="00971028"/>
    <w:rsid w:val="00982E0B"/>
    <w:rsid w:val="00993B84"/>
    <w:rsid w:val="00994C6A"/>
    <w:rsid w:val="00996483"/>
    <w:rsid w:val="00996F5A"/>
    <w:rsid w:val="009A58D0"/>
    <w:rsid w:val="009B041A"/>
    <w:rsid w:val="009B6E57"/>
    <w:rsid w:val="009B77E5"/>
    <w:rsid w:val="009C12A6"/>
    <w:rsid w:val="009C37C3"/>
    <w:rsid w:val="009C6354"/>
    <w:rsid w:val="009C7B0B"/>
    <w:rsid w:val="009C7C86"/>
    <w:rsid w:val="009D2FF7"/>
    <w:rsid w:val="009D492E"/>
    <w:rsid w:val="009E6FDB"/>
    <w:rsid w:val="009E7884"/>
    <w:rsid w:val="009E788A"/>
    <w:rsid w:val="009F0E08"/>
    <w:rsid w:val="00A079AE"/>
    <w:rsid w:val="00A07FF4"/>
    <w:rsid w:val="00A1763D"/>
    <w:rsid w:val="00A17CEC"/>
    <w:rsid w:val="00A27EF0"/>
    <w:rsid w:val="00A30A70"/>
    <w:rsid w:val="00A330CB"/>
    <w:rsid w:val="00A41BE6"/>
    <w:rsid w:val="00A42361"/>
    <w:rsid w:val="00A456D4"/>
    <w:rsid w:val="00A50B20"/>
    <w:rsid w:val="00A51390"/>
    <w:rsid w:val="00A5576A"/>
    <w:rsid w:val="00A557CC"/>
    <w:rsid w:val="00A60D13"/>
    <w:rsid w:val="00A71ED9"/>
    <w:rsid w:val="00A7223D"/>
    <w:rsid w:val="00A72745"/>
    <w:rsid w:val="00A74AB9"/>
    <w:rsid w:val="00A76EFC"/>
    <w:rsid w:val="00A87D50"/>
    <w:rsid w:val="00A91010"/>
    <w:rsid w:val="00A97F29"/>
    <w:rsid w:val="00AA0C3C"/>
    <w:rsid w:val="00AA1736"/>
    <w:rsid w:val="00AA702E"/>
    <w:rsid w:val="00AA7D26"/>
    <w:rsid w:val="00AB0964"/>
    <w:rsid w:val="00AB5011"/>
    <w:rsid w:val="00AB57E0"/>
    <w:rsid w:val="00AC7368"/>
    <w:rsid w:val="00AD16B9"/>
    <w:rsid w:val="00AE377D"/>
    <w:rsid w:val="00AF0EBA"/>
    <w:rsid w:val="00AF2463"/>
    <w:rsid w:val="00AF48BD"/>
    <w:rsid w:val="00B0010D"/>
    <w:rsid w:val="00B02C8A"/>
    <w:rsid w:val="00B17FBD"/>
    <w:rsid w:val="00B30B33"/>
    <w:rsid w:val="00B315A6"/>
    <w:rsid w:val="00B31813"/>
    <w:rsid w:val="00B33365"/>
    <w:rsid w:val="00B45AC4"/>
    <w:rsid w:val="00B57B36"/>
    <w:rsid w:val="00B57E6F"/>
    <w:rsid w:val="00B65352"/>
    <w:rsid w:val="00B66954"/>
    <w:rsid w:val="00B80156"/>
    <w:rsid w:val="00B8686D"/>
    <w:rsid w:val="00B9367D"/>
    <w:rsid w:val="00B93F69"/>
    <w:rsid w:val="00BB1DDC"/>
    <w:rsid w:val="00BB2586"/>
    <w:rsid w:val="00BB393D"/>
    <w:rsid w:val="00BB5AFD"/>
    <w:rsid w:val="00BB6E86"/>
    <w:rsid w:val="00BC2783"/>
    <w:rsid w:val="00BC2F5A"/>
    <w:rsid w:val="00BC30C9"/>
    <w:rsid w:val="00BD077D"/>
    <w:rsid w:val="00BE3E58"/>
    <w:rsid w:val="00BE5579"/>
    <w:rsid w:val="00BF13CE"/>
    <w:rsid w:val="00BF38CD"/>
    <w:rsid w:val="00C01616"/>
    <w:rsid w:val="00C0162B"/>
    <w:rsid w:val="00C03085"/>
    <w:rsid w:val="00C06038"/>
    <w:rsid w:val="00C068ED"/>
    <w:rsid w:val="00C1520C"/>
    <w:rsid w:val="00C1763E"/>
    <w:rsid w:val="00C22E0C"/>
    <w:rsid w:val="00C33574"/>
    <w:rsid w:val="00C345B1"/>
    <w:rsid w:val="00C40142"/>
    <w:rsid w:val="00C52C3C"/>
    <w:rsid w:val="00C57182"/>
    <w:rsid w:val="00C57863"/>
    <w:rsid w:val="00C61479"/>
    <w:rsid w:val="00C640AF"/>
    <w:rsid w:val="00C655FD"/>
    <w:rsid w:val="00C72891"/>
    <w:rsid w:val="00C75407"/>
    <w:rsid w:val="00C841C6"/>
    <w:rsid w:val="00C870A8"/>
    <w:rsid w:val="00C94434"/>
    <w:rsid w:val="00C9578D"/>
    <w:rsid w:val="00CA0D75"/>
    <w:rsid w:val="00CA1C95"/>
    <w:rsid w:val="00CA4323"/>
    <w:rsid w:val="00CA5A9C"/>
    <w:rsid w:val="00CB079F"/>
    <w:rsid w:val="00CB6182"/>
    <w:rsid w:val="00CB6EC7"/>
    <w:rsid w:val="00CC4C20"/>
    <w:rsid w:val="00CD3517"/>
    <w:rsid w:val="00CD5FE2"/>
    <w:rsid w:val="00CE5F84"/>
    <w:rsid w:val="00CE7C68"/>
    <w:rsid w:val="00D02B4C"/>
    <w:rsid w:val="00D040C4"/>
    <w:rsid w:val="00D20AD1"/>
    <w:rsid w:val="00D2582C"/>
    <w:rsid w:val="00D264D2"/>
    <w:rsid w:val="00D46B7E"/>
    <w:rsid w:val="00D537CF"/>
    <w:rsid w:val="00D557C9"/>
    <w:rsid w:val="00D57C84"/>
    <w:rsid w:val="00D6057D"/>
    <w:rsid w:val="00D634F4"/>
    <w:rsid w:val="00D64DF9"/>
    <w:rsid w:val="00D71640"/>
    <w:rsid w:val="00D836C5"/>
    <w:rsid w:val="00D84576"/>
    <w:rsid w:val="00D92111"/>
    <w:rsid w:val="00D940CB"/>
    <w:rsid w:val="00D95172"/>
    <w:rsid w:val="00DA1399"/>
    <w:rsid w:val="00DA13C2"/>
    <w:rsid w:val="00DA24C6"/>
    <w:rsid w:val="00DA3E81"/>
    <w:rsid w:val="00DA4D7B"/>
    <w:rsid w:val="00DB3410"/>
    <w:rsid w:val="00DC2840"/>
    <w:rsid w:val="00DC73EE"/>
    <w:rsid w:val="00DD271C"/>
    <w:rsid w:val="00DD2745"/>
    <w:rsid w:val="00DD7866"/>
    <w:rsid w:val="00DE264A"/>
    <w:rsid w:val="00DE4926"/>
    <w:rsid w:val="00DF5072"/>
    <w:rsid w:val="00DF52B7"/>
    <w:rsid w:val="00DF564C"/>
    <w:rsid w:val="00DF5BDD"/>
    <w:rsid w:val="00E02D18"/>
    <w:rsid w:val="00E041E7"/>
    <w:rsid w:val="00E21560"/>
    <w:rsid w:val="00E2289D"/>
    <w:rsid w:val="00E23CA1"/>
    <w:rsid w:val="00E409A8"/>
    <w:rsid w:val="00E50C12"/>
    <w:rsid w:val="00E5154F"/>
    <w:rsid w:val="00E61B3F"/>
    <w:rsid w:val="00E65683"/>
    <w:rsid w:val="00E65B91"/>
    <w:rsid w:val="00E7209D"/>
    <w:rsid w:val="00E72EAD"/>
    <w:rsid w:val="00E77223"/>
    <w:rsid w:val="00E8528B"/>
    <w:rsid w:val="00E85933"/>
    <w:rsid w:val="00E85B94"/>
    <w:rsid w:val="00E96C3B"/>
    <w:rsid w:val="00E978D0"/>
    <w:rsid w:val="00EA422F"/>
    <w:rsid w:val="00EA4613"/>
    <w:rsid w:val="00EA7C4A"/>
    <w:rsid w:val="00EA7F91"/>
    <w:rsid w:val="00EB1523"/>
    <w:rsid w:val="00EB77FC"/>
    <w:rsid w:val="00EC0E49"/>
    <w:rsid w:val="00EC101F"/>
    <w:rsid w:val="00EC1D9F"/>
    <w:rsid w:val="00EE0131"/>
    <w:rsid w:val="00EE17B0"/>
    <w:rsid w:val="00EF06D9"/>
    <w:rsid w:val="00EF7F7B"/>
    <w:rsid w:val="00F028B1"/>
    <w:rsid w:val="00F17395"/>
    <w:rsid w:val="00F30239"/>
    <w:rsid w:val="00F3049E"/>
    <w:rsid w:val="00F30C64"/>
    <w:rsid w:val="00F32BA2"/>
    <w:rsid w:val="00F32CDB"/>
    <w:rsid w:val="00F41EE4"/>
    <w:rsid w:val="00F565FE"/>
    <w:rsid w:val="00F578AD"/>
    <w:rsid w:val="00F57B19"/>
    <w:rsid w:val="00F62E49"/>
    <w:rsid w:val="00F63A70"/>
    <w:rsid w:val="00F63D8C"/>
    <w:rsid w:val="00F70307"/>
    <w:rsid w:val="00F7534E"/>
    <w:rsid w:val="00F93EDF"/>
    <w:rsid w:val="00F96660"/>
    <w:rsid w:val="00F96C4C"/>
    <w:rsid w:val="00FA1802"/>
    <w:rsid w:val="00FA21D0"/>
    <w:rsid w:val="00FA5F5F"/>
    <w:rsid w:val="00FB730C"/>
    <w:rsid w:val="00FC2695"/>
    <w:rsid w:val="00FC3E03"/>
    <w:rsid w:val="00FC3FC1"/>
    <w:rsid w:val="00FD2637"/>
    <w:rsid w:val="00FD2745"/>
    <w:rsid w:val="00FE515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qFormat/>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2670C7"/>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2670C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styleId="Titolo">
    <w:name w:val="Title"/>
    <w:basedOn w:val="Normale"/>
    <w:link w:val="TitoloCarattere"/>
    <w:uiPriority w:val="99"/>
    <w:qFormat/>
    <w:rsid w:val="00941811"/>
    <w:pPr>
      <w:tabs>
        <w:tab w:val="clear" w:pos="7100"/>
      </w:tabs>
      <w:bidi/>
      <w:spacing w:line="240" w:lineRule="auto"/>
      <w:jc w:val="center"/>
    </w:pPr>
    <w:rPr>
      <w:rFonts w:ascii="Times New Roman" w:hAnsi="Times New Roman" w:cs="Mitra"/>
      <w:b/>
      <w:bCs/>
      <w:noProof/>
      <w:sz w:val="36"/>
      <w:szCs w:val="36"/>
      <w:lang w:val="en-US"/>
    </w:rPr>
  </w:style>
  <w:style w:type="character" w:customStyle="1" w:styleId="TitoloCarattere">
    <w:name w:val="Titolo Carattere"/>
    <w:basedOn w:val="Carpredefinitoparagrafo"/>
    <w:link w:val="Titolo"/>
    <w:uiPriority w:val="10"/>
    <w:rsid w:val="00941811"/>
    <w:rPr>
      <w:rFonts w:ascii="Times New Roman" w:eastAsia="Times New Roman" w:hAnsi="Times New Roman" w:cs="Mitra"/>
      <w:b/>
      <w:bCs/>
      <w:noProof/>
      <w:sz w:val="36"/>
      <w:szCs w:val="36"/>
      <w:lang w:val="en-US"/>
    </w:rPr>
  </w:style>
  <w:style w:type="character" w:styleId="Menzionenonrisolta">
    <w:name w:val="Unresolved Mention"/>
    <w:basedOn w:val="Carpredefinitoparagrafo"/>
    <w:uiPriority w:val="99"/>
    <w:semiHidden/>
    <w:unhideWhenUsed/>
    <w:rsid w:val="00D95172"/>
    <w:rPr>
      <w:color w:val="605E5C"/>
      <w:shd w:val="clear" w:color="auto" w:fill="E1DFDD"/>
    </w:rPr>
  </w:style>
  <w:style w:type="paragraph" w:styleId="Revisione">
    <w:name w:val="Revision"/>
    <w:hidden/>
    <w:uiPriority w:val="99"/>
    <w:semiHidden/>
    <w:rsid w:val="00C1520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50724">
      <w:bodyDiv w:val="1"/>
      <w:marLeft w:val="0"/>
      <w:marRight w:val="0"/>
      <w:marTop w:val="0"/>
      <w:marBottom w:val="0"/>
      <w:divBdr>
        <w:top w:val="none" w:sz="0" w:space="0" w:color="auto"/>
        <w:left w:val="none" w:sz="0" w:space="0" w:color="auto"/>
        <w:bottom w:val="none" w:sz="0" w:space="0" w:color="auto"/>
        <w:right w:val="none" w:sz="0" w:space="0" w:color="auto"/>
      </w:divBdr>
    </w:div>
    <w:div w:id="332877878">
      <w:bodyDiv w:val="1"/>
      <w:marLeft w:val="0"/>
      <w:marRight w:val="0"/>
      <w:marTop w:val="0"/>
      <w:marBottom w:val="0"/>
      <w:divBdr>
        <w:top w:val="none" w:sz="0" w:space="0" w:color="auto"/>
        <w:left w:val="none" w:sz="0" w:space="0" w:color="auto"/>
        <w:bottom w:val="none" w:sz="0" w:space="0" w:color="auto"/>
        <w:right w:val="none" w:sz="0" w:space="0" w:color="auto"/>
      </w:divBdr>
    </w:div>
    <w:div w:id="406273590">
      <w:bodyDiv w:val="1"/>
      <w:marLeft w:val="0"/>
      <w:marRight w:val="0"/>
      <w:marTop w:val="0"/>
      <w:marBottom w:val="0"/>
      <w:divBdr>
        <w:top w:val="none" w:sz="0" w:space="0" w:color="auto"/>
        <w:left w:val="none" w:sz="0" w:space="0" w:color="auto"/>
        <w:bottom w:val="none" w:sz="0" w:space="0" w:color="auto"/>
        <w:right w:val="none" w:sz="0" w:space="0" w:color="auto"/>
      </w:divBdr>
    </w:div>
    <w:div w:id="576986369">
      <w:bodyDiv w:val="1"/>
      <w:marLeft w:val="0"/>
      <w:marRight w:val="0"/>
      <w:marTop w:val="0"/>
      <w:marBottom w:val="0"/>
      <w:divBdr>
        <w:top w:val="none" w:sz="0" w:space="0" w:color="auto"/>
        <w:left w:val="none" w:sz="0" w:space="0" w:color="auto"/>
        <w:bottom w:val="none" w:sz="0" w:space="0" w:color="auto"/>
        <w:right w:val="none" w:sz="0" w:space="0" w:color="auto"/>
      </w:divBdr>
    </w:div>
    <w:div w:id="610404806">
      <w:bodyDiv w:val="1"/>
      <w:marLeft w:val="0"/>
      <w:marRight w:val="0"/>
      <w:marTop w:val="0"/>
      <w:marBottom w:val="0"/>
      <w:divBdr>
        <w:top w:val="none" w:sz="0" w:space="0" w:color="auto"/>
        <w:left w:val="none" w:sz="0" w:space="0" w:color="auto"/>
        <w:bottom w:val="none" w:sz="0" w:space="0" w:color="auto"/>
        <w:right w:val="none" w:sz="0" w:space="0" w:color="auto"/>
      </w:divBdr>
    </w:div>
    <w:div w:id="64882909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5246">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358925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23">
      <w:bodyDiv w:val="1"/>
      <w:marLeft w:val="0"/>
      <w:marRight w:val="0"/>
      <w:marTop w:val="0"/>
      <w:marBottom w:val="0"/>
      <w:divBdr>
        <w:top w:val="none" w:sz="0" w:space="0" w:color="auto"/>
        <w:left w:val="none" w:sz="0" w:space="0" w:color="auto"/>
        <w:bottom w:val="none" w:sz="0" w:space="0" w:color="auto"/>
        <w:right w:val="none" w:sz="0" w:space="0" w:color="auto"/>
      </w:divBdr>
    </w:div>
    <w:div w:id="985010669">
      <w:bodyDiv w:val="1"/>
      <w:marLeft w:val="0"/>
      <w:marRight w:val="0"/>
      <w:marTop w:val="0"/>
      <w:marBottom w:val="0"/>
      <w:divBdr>
        <w:top w:val="none" w:sz="0" w:space="0" w:color="auto"/>
        <w:left w:val="none" w:sz="0" w:space="0" w:color="auto"/>
        <w:bottom w:val="none" w:sz="0" w:space="0" w:color="auto"/>
        <w:right w:val="none" w:sz="0" w:space="0" w:color="auto"/>
      </w:divBdr>
    </w:div>
    <w:div w:id="1044671183">
      <w:bodyDiv w:val="1"/>
      <w:marLeft w:val="0"/>
      <w:marRight w:val="0"/>
      <w:marTop w:val="0"/>
      <w:marBottom w:val="0"/>
      <w:divBdr>
        <w:top w:val="none" w:sz="0" w:space="0" w:color="auto"/>
        <w:left w:val="none" w:sz="0" w:space="0" w:color="auto"/>
        <w:bottom w:val="none" w:sz="0" w:space="0" w:color="auto"/>
        <w:right w:val="none" w:sz="0" w:space="0" w:color="auto"/>
      </w:divBdr>
    </w:div>
    <w:div w:id="1052773850">
      <w:bodyDiv w:val="1"/>
      <w:marLeft w:val="0"/>
      <w:marRight w:val="0"/>
      <w:marTop w:val="0"/>
      <w:marBottom w:val="0"/>
      <w:divBdr>
        <w:top w:val="none" w:sz="0" w:space="0" w:color="auto"/>
        <w:left w:val="none" w:sz="0" w:space="0" w:color="auto"/>
        <w:bottom w:val="none" w:sz="0" w:space="0" w:color="auto"/>
        <w:right w:val="none" w:sz="0" w:space="0" w:color="auto"/>
      </w:divBdr>
    </w:div>
    <w:div w:id="1064639036">
      <w:bodyDiv w:val="1"/>
      <w:marLeft w:val="0"/>
      <w:marRight w:val="0"/>
      <w:marTop w:val="0"/>
      <w:marBottom w:val="0"/>
      <w:divBdr>
        <w:top w:val="none" w:sz="0" w:space="0" w:color="auto"/>
        <w:left w:val="none" w:sz="0" w:space="0" w:color="auto"/>
        <w:bottom w:val="none" w:sz="0" w:space="0" w:color="auto"/>
        <w:right w:val="none" w:sz="0" w:space="0" w:color="auto"/>
      </w:divBdr>
    </w:div>
    <w:div w:id="1085373156">
      <w:bodyDiv w:val="1"/>
      <w:marLeft w:val="0"/>
      <w:marRight w:val="0"/>
      <w:marTop w:val="0"/>
      <w:marBottom w:val="0"/>
      <w:divBdr>
        <w:top w:val="none" w:sz="0" w:space="0" w:color="auto"/>
        <w:left w:val="none" w:sz="0" w:space="0" w:color="auto"/>
        <w:bottom w:val="none" w:sz="0" w:space="0" w:color="auto"/>
        <w:right w:val="none" w:sz="0" w:space="0" w:color="auto"/>
      </w:divBdr>
    </w:div>
    <w:div w:id="1210262174">
      <w:bodyDiv w:val="1"/>
      <w:marLeft w:val="0"/>
      <w:marRight w:val="0"/>
      <w:marTop w:val="0"/>
      <w:marBottom w:val="0"/>
      <w:divBdr>
        <w:top w:val="none" w:sz="0" w:space="0" w:color="auto"/>
        <w:left w:val="none" w:sz="0" w:space="0" w:color="auto"/>
        <w:bottom w:val="none" w:sz="0" w:space="0" w:color="auto"/>
        <w:right w:val="none" w:sz="0" w:space="0" w:color="auto"/>
      </w:divBdr>
    </w:div>
    <w:div w:id="1240671296">
      <w:bodyDiv w:val="1"/>
      <w:marLeft w:val="0"/>
      <w:marRight w:val="0"/>
      <w:marTop w:val="0"/>
      <w:marBottom w:val="0"/>
      <w:divBdr>
        <w:top w:val="none" w:sz="0" w:space="0" w:color="auto"/>
        <w:left w:val="none" w:sz="0" w:space="0" w:color="auto"/>
        <w:bottom w:val="none" w:sz="0" w:space="0" w:color="auto"/>
        <w:right w:val="none" w:sz="0" w:space="0" w:color="auto"/>
      </w:divBdr>
    </w:div>
    <w:div w:id="1244217109">
      <w:bodyDiv w:val="1"/>
      <w:marLeft w:val="0"/>
      <w:marRight w:val="0"/>
      <w:marTop w:val="0"/>
      <w:marBottom w:val="0"/>
      <w:divBdr>
        <w:top w:val="none" w:sz="0" w:space="0" w:color="auto"/>
        <w:left w:val="none" w:sz="0" w:space="0" w:color="auto"/>
        <w:bottom w:val="none" w:sz="0" w:space="0" w:color="auto"/>
        <w:right w:val="none" w:sz="0" w:space="0" w:color="auto"/>
      </w:divBdr>
    </w:div>
    <w:div w:id="1290550697">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141182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4198091">
      <w:bodyDiv w:val="1"/>
      <w:marLeft w:val="0"/>
      <w:marRight w:val="0"/>
      <w:marTop w:val="0"/>
      <w:marBottom w:val="0"/>
      <w:divBdr>
        <w:top w:val="none" w:sz="0" w:space="0" w:color="auto"/>
        <w:left w:val="none" w:sz="0" w:space="0" w:color="auto"/>
        <w:bottom w:val="none" w:sz="0" w:space="0" w:color="auto"/>
        <w:right w:val="none" w:sz="0" w:space="0" w:color="auto"/>
      </w:divBdr>
    </w:div>
    <w:div w:id="1567455152">
      <w:bodyDiv w:val="1"/>
      <w:marLeft w:val="0"/>
      <w:marRight w:val="0"/>
      <w:marTop w:val="0"/>
      <w:marBottom w:val="0"/>
      <w:divBdr>
        <w:top w:val="none" w:sz="0" w:space="0" w:color="auto"/>
        <w:left w:val="none" w:sz="0" w:space="0" w:color="auto"/>
        <w:bottom w:val="none" w:sz="0" w:space="0" w:color="auto"/>
        <w:right w:val="none" w:sz="0" w:space="0" w:color="auto"/>
      </w:divBdr>
    </w:div>
    <w:div w:id="164824135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12594948">
      <w:bodyDiv w:val="1"/>
      <w:marLeft w:val="0"/>
      <w:marRight w:val="0"/>
      <w:marTop w:val="0"/>
      <w:marBottom w:val="0"/>
      <w:divBdr>
        <w:top w:val="none" w:sz="0" w:space="0" w:color="auto"/>
        <w:left w:val="none" w:sz="0" w:space="0" w:color="auto"/>
        <w:bottom w:val="none" w:sz="0" w:space="0" w:color="auto"/>
        <w:right w:val="none" w:sz="0" w:space="0" w:color="auto"/>
      </w:divBdr>
    </w:div>
    <w:div w:id="1834493427">
      <w:bodyDiv w:val="1"/>
      <w:marLeft w:val="0"/>
      <w:marRight w:val="0"/>
      <w:marTop w:val="0"/>
      <w:marBottom w:val="0"/>
      <w:divBdr>
        <w:top w:val="none" w:sz="0" w:space="0" w:color="auto"/>
        <w:left w:val="none" w:sz="0" w:space="0" w:color="auto"/>
        <w:bottom w:val="none" w:sz="0" w:space="0" w:color="auto"/>
        <w:right w:val="none" w:sz="0" w:space="0" w:color="auto"/>
      </w:divBdr>
    </w:div>
    <w:div w:id="1864980833">
      <w:bodyDiv w:val="1"/>
      <w:marLeft w:val="0"/>
      <w:marRight w:val="0"/>
      <w:marTop w:val="0"/>
      <w:marBottom w:val="0"/>
      <w:divBdr>
        <w:top w:val="none" w:sz="0" w:space="0" w:color="auto"/>
        <w:left w:val="none" w:sz="0" w:space="0" w:color="auto"/>
        <w:bottom w:val="none" w:sz="0" w:space="0" w:color="auto"/>
        <w:right w:val="none" w:sz="0" w:space="0" w:color="auto"/>
      </w:divBdr>
    </w:div>
    <w:div w:id="1875269916">
      <w:bodyDiv w:val="1"/>
      <w:marLeft w:val="0"/>
      <w:marRight w:val="0"/>
      <w:marTop w:val="0"/>
      <w:marBottom w:val="0"/>
      <w:divBdr>
        <w:top w:val="none" w:sz="0" w:space="0" w:color="auto"/>
        <w:left w:val="none" w:sz="0" w:space="0" w:color="auto"/>
        <w:bottom w:val="none" w:sz="0" w:space="0" w:color="auto"/>
        <w:right w:val="none" w:sz="0" w:space="0" w:color="auto"/>
      </w:divBdr>
    </w:div>
    <w:div w:id="1894803342">
      <w:bodyDiv w:val="1"/>
      <w:marLeft w:val="0"/>
      <w:marRight w:val="0"/>
      <w:marTop w:val="0"/>
      <w:marBottom w:val="0"/>
      <w:divBdr>
        <w:top w:val="none" w:sz="0" w:space="0" w:color="auto"/>
        <w:left w:val="none" w:sz="0" w:space="0" w:color="auto"/>
        <w:bottom w:val="none" w:sz="0" w:space="0" w:color="auto"/>
        <w:right w:val="none" w:sz="0" w:space="0" w:color="auto"/>
      </w:divBdr>
    </w:div>
    <w:div w:id="2088190746">
      <w:bodyDiv w:val="1"/>
      <w:marLeft w:val="0"/>
      <w:marRight w:val="0"/>
      <w:marTop w:val="0"/>
      <w:marBottom w:val="0"/>
      <w:divBdr>
        <w:top w:val="none" w:sz="0" w:space="0" w:color="auto"/>
        <w:left w:val="none" w:sz="0" w:space="0" w:color="auto"/>
        <w:bottom w:val="none" w:sz="0" w:space="0" w:color="auto"/>
        <w:right w:val="none" w:sz="0" w:space="0" w:color="auto"/>
      </w:divBdr>
    </w:div>
    <w:div w:id="209489055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giuseppe.prenesti@unical.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8DA34-DF19-441F-AAA5-B7FC7B055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9866</Words>
  <Characters>56238</Characters>
  <Application>Microsoft Office Word</Application>
  <DocSecurity>0</DocSecurity>
  <Lines>468</Lines>
  <Paragraphs>131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Giuseppe Prenesti</cp:lastModifiedBy>
  <cp:revision>7</cp:revision>
  <cp:lastPrinted>2015-05-12T18:31:00Z</cp:lastPrinted>
  <dcterms:created xsi:type="dcterms:W3CDTF">2025-01-14T15:59:00Z</dcterms:created>
  <dcterms:modified xsi:type="dcterms:W3CDTF">2025-01-16T11:46:00Z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http://www.zotero.org/styles/chemical-engineering-journal</vt:lpwstr>
  </property>
  <property fmtid="{D5CDD505-2E9C-101B-9397-08002B2CF9AE}" pid="11" name="Mendeley Recent Style Name 3_1">
    <vt:lpwstr>Chemical Engineering Journal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http://www.zotero.org/styles/separation-and-purification-technology</vt:lpwstr>
  </property>
  <property fmtid="{D5CDD505-2E9C-101B-9397-08002B2CF9AE}" pid="23" name="Mendeley Recent Style Name 9_1">
    <vt:lpwstr>Separation and Purification Technology</vt:lpwstr>
  </property>
  <property fmtid="{D5CDD505-2E9C-101B-9397-08002B2CF9AE}" pid="24" name="Mendeley Document_1">
    <vt:lpwstr>True</vt:lpwstr>
  </property>
  <property fmtid="{D5CDD505-2E9C-101B-9397-08002B2CF9AE}" pid="25" name="Mendeley Unique User Id_1">
    <vt:lpwstr>8424d941-3644-3a74-b8ce-6c491d1b238f</vt:lpwstr>
  </property>
  <property fmtid="{D5CDD505-2E9C-101B-9397-08002B2CF9AE}" pid="26" name="Mendeley Citation Style_1">
    <vt:lpwstr>http://www.zotero.org/styles/american-medical-association</vt:lpwstr>
  </property>
</Properties>
</file>