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4644965"/>
            <w:bookmarkStart w:id="1" w:name="_Hlk145068772"/>
            <w:bookmarkEnd w:id="0"/>
            <w:r w:rsidRPr="00B57B36">
              <w:rPr>
                <w:rFonts w:ascii="AdvP6960" w:hAnsi="AdvP6960" w:cs="AdvP6960"/>
                <w:noProof/>
                <w:color w:val="241F20"/>
                <w:szCs w:val="18"/>
                <w:lang w:val="hu-HU" w:eastAsia="hu-H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hu-HU" w:eastAsia="hu-H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6F92CC6F" w:rsidR="00E978D0" w:rsidRPr="00B57B36" w:rsidRDefault="00E467B1" w:rsidP="00E978D0">
      <w:pPr>
        <w:pStyle w:val="CETTitle"/>
      </w:pPr>
      <w:r>
        <w:t xml:space="preserve">The effect of </w:t>
      </w:r>
      <w:r w:rsidR="002528BD">
        <w:t xml:space="preserve">metal impregnated </w:t>
      </w:r>
      <w:proofErr w:type="spellStart"/>
      <w:r w:rsidR="002528BD">
        <w:t>biochars</w:t>
      </w:r>
      <w:proofErr w:type="spellEnd"/>
      <w:r w:rsidR="002528BD">
        <w:t xml:space="preserve"> in carbon dioxide decrement</w:t>
      </w:r>
    </w:p>
    <w:p w14:paraId="0488FED2" w14:textId="057FA2FA" w:rsidR="00B57E6F" w:rsidRPr="00981F81" w:rsidRDefault="00A704CC" w:rsidP="00B57E6F">
      <w:pPr>
        <w:pStyle w:val="CETAuthors"/>
        <w:rPr>
          <w:lang w:val="es-ES"/>
        </w:rPr>
      </w:pPr>
      <w:r w:rsidRPr="00981F81">
        <w:rPr>
          <w:lang w:val="es-ES"/>
        </w:rPr>
        <w:t>Kiara Atina Császár</w:t>
      </w:r>
      <w:r w:rsidR="00B57E6F" w:rsidRPr="00981F81">
        <w:rPr>
          <w:vertAlign w:val="superscript"/>
          <w:lang w:val="es-ES"/>
        </w:rPr>
        <w:t>a</w:t>
      </w:r>
      <w:r w:rsidR="00B57E6F" w:rsidRPr="00981F81">
        <w:rPr>
          <w:lang w:val="es-ES"/>
        </w:rPr>
        <w:t xml:space="preserve">, </w:t>
      </w:r>
      <w:r w:rsidRPr="00981F81">
        <w:rPr>
          <w:lang w:val="es-ES"/>
        </w:rPr>
        <w:t>Lilla Virág</w:t>
      </w:r>
      <w:r w:rsidRPr="00981F81">
        <w:rPr>
          <w:vertAlign w:val="superscript"/>
          <w:lang w:val="es-ES"/>
        </w:rPr>
        <w:t>a</w:t>
      </w:r>
      <w:r w:rsidR="00B57E6F" w:rsidRPr="00981F81">
        <w:rPr>
          <w:lang w:val="es-ES"/>
        </w:rPr>
        <w:t xml:space="preserve">, </w:t>
      </w:r>
      <w:r w:rsidRPr="00981F81">
        <w:rPr>
          <w:lang w:val="es-ES"/>
        </w:rPr>
        <w:t>Viktória Zsinka</w:t>
      </w:r>
      <w:r w:rsidRPr="00981F81">
        <w:rPr>
          <w:vertAlign w:val="superscript"/>
          <w:lang w:val="es-ES"/>
        </w:rPr>
        <w:t>a,*</w:t>
      </w:r>
      <w:r w:rsidRPr="00981F81">
        <w:rPr>
          <w:lang w:val="es-ES"/>
        </w:rPr>
        <w:t>, Norbert Miskolczi</w:t>
      </w:r>
      <w:r w:rsidRPr="00981F81">
        <w:rPr>
          <w:vertAlign w:val="superscript"/>
          <w:lang w:val="es-ES"/>
        </w:rPr>
        <w:t>a</w:t>
      </w:r>
    </w:p>
    <w:p w14:paraId="3D72B0B0" w14:textId="110D7978" w:rsidR="00B57E6F" w:rsidRPr="00B57B36" w:rsidRDefault="00B57E6F" w:rsidP="00B57E6F">
      <w:pPr>
        <w:pStyle w:val="CETAddress"/>
      </w:pPr>
      <w:r w:rsidRPr="00B57B36">
        <w:rPr>
          <w:vertAlign w:val="superscript"/>
        </w:rPr>
        <w:t>a</w:t>
      </w:r>
      <w:r w:rsidR="00A704CC" w:rsidRPr="00A704CC">
        <w:t>University of Pannonia, Department of MOL Hydrocarbon and Coal Processing, Egyetem u. 10, H-8200 Veszprém, Hungary</w:t>
      </w:r>
    </w:p>
    <w:p w14:paraId="73F1267A" w14:textId="4090B55C" w:rsidR="00B57E6F" w:rsidRPr="00981F81" w:rsidRDefault="00A704CC" w:rsidP="00B57E6F">
      <w:pPr>
        <w:pStyle w:val="CETemail"/>
      </w:pPr>
      <w:r w:rsidRPr="00981F81">
        <w:t>zsinka.viktoria@mk.uni-pannon.hu</w:t>
      </w:r>
    </w:p>
    <w:p w14:paraId="0169AD54" w14:textId="080BA8BC" w:rsidR="00FF4FE9" w:rsidRDefault="00FF4FE9" w:rsidP="00D71C7A">
      <w:pPr>
        <w:pStyle w:val="NormalWeb"/>
        <w:contextualSpacing/>
        <w:rPr>
          <w:rFonts w:cs="Arial"/>
          <w:sz w:val="18"/>
        </w:rPr>
      </w:pPr>
      <w:r w:rsidRPr="00FF4FE9">
        <w:rPr>
          <w:rFonts w:cs="Arial"/>
          <w:sz w:val="18"/>
        </w:rPr>
        <w:t>The rapid increment in CO</w:t>
      </w:r>
      <w:r w:rsidRPr="00FF4FE9">
        <w:rPr>
          <w:rFonts w:ascii="Cambria Math" w:hAnsi="Cambria Math" w:cs="Cambria Math"/>
          <w:sz w:val="18"/>
        </w:rPr>
        <w:t>₂</w:t>
      </w:r>
      <w:r w:rsidRPr="00FF4FE9">
        <w:rPr>
          <w:rFonts w:cs="Arial"/>
          <w:sz w:val="18"/>
        </w:rPr>
        <w:t xml:space="preserve"> levels in the atmosphere, mainly of anthropogenic origin, requires innovative solutions in the field of carbon dioxide capture and storage (CCS). Due to their improved physicochemical properties, metal-impregnated </w:t>
      </w:r>
      <w:proofErr w:type="spellStart"/>
      <w:r w:rsidRPr="00FF4FE9">
        <w:rPr>
          <w:rFonts w:cs="Arial"/>
          <w:sz w:val="18"/>
        </w:rPr>
        <w:t>biochars</w:t>
      </w:r>
      <w:proofErr w:type="spellEnd"/>
      <w:r w:rsidRPr="00FF4FE9">
        <w:rPr>
          <w:rFonts w:cs="Arial"/>
          <w:sz w:val="18"/>
        </w:rPr>
        <w:t xml:space="preserve"> </w:t>
      </w:r>
      <w:r w:rsidR="00B33A6B">
        <w:rPr>
          <w:rFonts w:cs="Arial"/>
          <w:sz w:val="18"/>
        </w:rPr>
        <w:t>should</w:t>
      </w:r>
      <w:r w:rsidR="00B33A6B" w:rsidRPr="00FF4FE9">
        <w:rPr>
          <w:rFonts w:cs="Arial"/>
          <w:sz w:val="18"/>
        </w:rPr>
        <w:t xml:space="preserve"> </w:t>
      </w:r>
      <w:r w:rsidRPr="00FF4FE9">
        <w:rPr>
          <w:rFonts w:cs="Arial"/>
          <w:sz w:val="18"/>
        </w:rPr>
        <w:t>be promising materials for CO</w:t>
      </w:r>
      <w:r w:rsidRPr="00FF4FE9">
        <w:rPr>
          <w:rFonts w:ascii="Cambria Math" w:hAnsi="Cambria Math" w:cs="Cambria Math"/>
          <w:sz w:val="18"/>
        </w:rPr>
        <w:t>₂</w:t>
      </w:r>
      <w:r w:rsidRPr="00FF4FE9">
        <w:rPr>
          <w:rFonts w:cs="Arial"/>
          <w:sz w:val="18"/>
        </w:rPr>
        <w:t xml:space="preserve"> reduction. </w:t>
      </w:r>
      <w:r w:rsidR="00B33A6B">
        <w:rPr>
          <w:rFonts w:cs="Arial"/>
          <w:sz w:val="18"/>
        </w:rPr>
        <w:t>T</w:t>
      </w:r>
      <w:r w:rsidRPr="00FF4FE9">
        <w:rPr>
          <w:rFonts w:cs="Arial"/>
          <w:sz w:val="18"/>
        </w:rPr>
        <w:t>he efficiency of CO</w:t>
      </w:r>
      <w:r w:rsidRPr="00FF4FE9">
        <w:rPr>
          <w:rFonts w:ascii="Cambria Math" w:hAnsi="Cambria Math" w:cs="Cambria Math"/>
          <w:sz w:val="18"/>
        </w:rPr>
        <w:t>₂</w:t>
      </w:r>
      <w:r w:rsidRPr="00FF4FE9">
        <w:rPr>
          <w:rFonts w:cs="Arial"/>
          <w:sz w:val="18"/>
        </w:rPr>
        <w:t xml:space="preserve"> storage in case of biochar is significantly enhanced by the impregnation of metallic elements such as alkali, alkaline earth and transition metals, which provide additional active sites and change the electron </w:t>
      </w:r>
      <w:r w:rsidR="00B33A6B">
        <w:rPr>
          <w:rFonts w:cs="Arial"/>
          <w:sz w:val="18"/>
        </w:rPr>
        <w:t>structure</w:t>
      </w:r>
      <w:r w:rsidR="00B33A6B" w:rsidRPr="00FF4FE9">
        <w:rPr>
          <w:rFonts w:cs="Arial"/>
          <w:sz w:val="18"/>
        </w:rPr>
        <w:t xml:space="preserve"> </w:t>
      </w:r>
      <w:r w:rsidRPr="00FF4FE9">
        <w:rPr>
          <w:rFonts w:cs="Arial"/>
          <w:sz w:val="18"/>
        </w:rPr>
        <w:t>of the surface. The mechanism of CO</w:t>
      </w:r>
      <w:r w:rsidRPr="00FF4FE9">
        <w:rPr>
          <w:rFonts w:ascii="Cambria Math" w:hAnsi="Cambria Math" w:cs="Cambria Math"/>
          <w:sz w:val="18"/>
        </w:rPr>
        <w:t>₂</w:t>
      </w:r>
      <w:r w:rsidRPr="00FF4FE9">
        <w:rPr>
          <w:rFonts w:cs="Arial"/>
          <w:sz w:val="18"/>
        </w:rPr>
        <w:t xml:space="preserve"> capture in metal-impregnated </w:t>
      </w:r>
      <w:proofErr w:type="spellStart"/>
      <w:r w:rsidRPr="00FF4FE9">
        <w:rPr>
          <w:rFonts w:cs="Arial"/>
          <w:sz w:val="18"/>
        </w:rPr>
        <w:t>biochars</w:t>
      </w:r>
      <w:proofErr w:type="spellEnd"/>
      <w:r w:rsidRPr="00FF4FE9">
        <w:rPr>
          <w:rFonts w:cs="Arial"/>
          <w:sz w:val="18"/>
        </w:rPr>
        <w:t xml:space="preserve"> includes both physisorption and chemisorption. Metal ions on the biochar </w:t>
      </w:r>
      <w:r w:rsidR="00B33A6B" w:rsidRPr="00FF4FE9">
        <w:rPr>
          <w:rFonts w:cs="Arial"/>
          <w:sz w:val="18"/>
        </w:rPr>
        <w:t xml:space="preserve">surface </w:t>
      </w:r>
      <w:r w:rsidRPr="00FF4FE9">
        <w:rPr>
          <w:rFonts w:cs="Arial"/>
          <w:sz w:val="18"/>
        </w:rPr>
        <w:t xml:space="preserve">increase </w:t>
      </w:r>
      <w:r w:rsidR="00B33A6B">
        <w:rPr>
          <w:rFonts w:cs="Arial"/>
          <w:sz w:val="18"/>
        </w:rPr>
        <w:t xml:space="preserve">the </w:t>
      </w:r>
      <w:r w:rsidRPr="00FF4FE9">
        <w:rPr>
          <w:rFonts w:cs="Arial"/>
          <w:sz w:val="18"/>
        </w:rPr>
        <w:t>electrostatic interactions with CO</w:t>
      </w:r>
      <w:r w:rsidRPr="00FF4FE9">
        <w:rPr>
          <w:rFonts w:ascii="Cambria Math" w:hAnsi="Cambria Math" w:cs="Cambria Math"/>
          <w:sz w:val="18"/>
        </w:rPr>
        <w:t>₂</w:t>
      </w:r>
      <w:r w:rsidRPr="00FF4FE9">
        <w:rPr>
          <w:rFonts w:cs="Arial"/>
          <w:sz w:val="18"/>
        </w:rPr>
        <w:t xml:space="preserve">, </w:t>
      </w:r>
      <w:r w:rsidR="00B33A6B">
        <w:rPr>
          <w:rFonts w:cs="Arial"/>
          <w:sz w:val="18"/>
        </w:rPr>
        <w:t xml:space="preserve">which led to </w:t>
      </w:r>
      <w:r w:rsidRPr="00FF4FE9">
        <w:rPr>
          <w:rFonts w:cs="Arial"/>
          <w:sz w:val="18"/>
        </w:rPr>
        <w:t xml:space="preserve">improving physisorption. Transition metals such as Fe, Cu, and Ni promote </w:t>
      </w:r>
      <w:r w:rsidR="00B33A6B">
        <w:rPr>
          <w:rFonts w:cs="Arial"/>
          <w:sz w:val="18"/>
        </w:rPr>
        <w:t xml:space="preserve">the </w:t>
      </w:r>
      <w:r w:rsidRPr="00FF4FE9">
        <w:rPr>
          <w:rFonts w:cs="Arial"/>
          <w:sz w:val="18"/>
        </w:rPr>
        <w:t>chemisorption, in which CO</w:t>
      </w:r>
      <w:r w:rsidRPr="00FF4FE9">
        <w:rPr>
          <w:rFonts w:ascii="Cambria Math" w:hAnsi="Cambria Math" w:cs="Cambria Math"/>
          <w:sz w:val="18"/>
        </w:rPr>
        <w:t>₂</w:t>
      </w:r>
      <w:r w:rsidRPr="00FF4FE9">
        <w:rPr>
          <w:rFonts w:cs="Arial"/>
          <w:sz w:val="18"/>
        </w:rPr>
        <w:t xml:space="preserve"> undergoes more stable binding or reduction effects to form new compounds. For example, impregnation with calcium and potassium improves the alkaline nature of biochar, resulting better adsorption through acid-base interactions with CO</w:t>
      </w:r>
      <w:r w:rsidRPr="00FF4FE9">
        <w:rPr>
          <w:rFonts w:ascii="Cambria Math" w:hAnsi="Cambria Math" w:cs="Cambria Math"/>
          <w:sz w:val="18"/>
        </w:rPr>
        <w:t>₂</w:t>
      </w:r>
      <w:r w:rsidRPr="00FF4FE9">
        <w:rPr>
          <w:rFonts w:cs="Arial"/>
          <w:sz w:val="18"/>
        </w:rPr>
        <w:t>. The large surface area and porosity of biochar increase the availability of CO</w:t>
      </w:r>
      <w:r w:rsidRPr="00FF4FE9">
        <w:rPr>
          <w:rFonts w:ascii="Cambria Math" w:hAnsi="Cambria Math" w:cs="Cambria Math"/>
          <w:sz w:val="18"/>
        </w:rPr>
        <w:t>₂</w:t>
      </w:r>
      <w:r w:rsidRPr="00FF4FE9">
        <w:rPr>
          <w:rFonts w:cs="Arial"/>
          <w:sz w:val="18"/>
        </w:rPr>
        <w:t>, while the metallic elements provide catalytic activity that accelerates the CO</w:t>
      </w:r>
      <w:r w:rsidRPr="00FF4FE9">
        <w:rPr>
          <w:rFonts w:ascii="Cambria Math" w:hAnsi="Cambria Math" w:cs="Cambria Math"/>
          <w:sz w:val="18"/>
        </w:rPr>
        <w:t>₂</w:t>
      </w:r>
      <w:r w:rsidRPr="00FF4FE9">
        <w:rPr>
          <w:rFonts w:cs="Arial"/>
          <w:sz w:val="18"/>
        </w:rPr>
        <w:t xml:space="preserve"> adsorption and conversion processes. Metal-impregnated biochar, which is sustainably derived from biomass, is an energy-efficient and environmentally friendly solution for </w:t>
      </w:r>
      <w:r w:rsidR="00B33A6B" w:rsidRPr="00FF4FE9">
        <w:rPr>
          <w:rFonts w:cs="Arial"/>
          <w:sz w:val="18"/>
        </w:rPr>
        <w:t xml:space="preserve">carbon dioxide </w:t>
      </w:r>
      <w:r w:rsidRPr="00FF4FE9">
        <w:rPr>
          <w:rFonts w:cs="Arial"/>
          <w:sz w:val="18"/>
        </w:rPr>
        <w:t xml:space="preserve">capturing and storing. In this work, different metals were used for surface modification of sewage sludge </w:t>
      </w:r>
      <w:r w:rsidR="00B33A6B">
        <w:rPr>
          <w:rFonts w:cs="Arial"/>
          <w:sz w:val="18"/>
        </w:rPr>
        <w:t>derived</w:t>
      </w:r>
      <w:r w:rsidR="00B33A6B" w:rsidRPr="00FF4FE9">
        <w:rPr>
          <w:rFonts w:cs="Arial"/>
          <w:sz w:val="18"/>
        </w:rPr>
        <w:t xml:space="preserve"> </w:t>
      </w:r>
      <w:r w:rsidR="00B33A6B">
        <w:rPr>
          <w:rFonts w:cs="Arial"/>
          <w:sz w:val="18"/>
        </w:rPr>
        <w:t xml:space="preserve">biochar </w:t>
      </w:r>
      <w:proofErr w:type="gramStart"/>
      <w:r w:rsidRPr="00FF4FE9">
        <w:rPr>
          <w:rFonts w:cs="Arial"/>
          <w:sz w:val="18"/>
        </w:rPr>
        <w:t>in order to</w:t>
      </w:r>
      <w:proofErr w:type="gramEnd"/>
      <w:r w:rsidRPr="00FF4FE9">
        <w:rPr>
          <w:rFonts w:cs="Arial"/>
          <w:sz w:val="18"/>
        </w:rPr>
        <w:t xml:space="preserve"> </w:t>
      </w:r>
      <w:r w:rsidR="00B33A6B">
        <w:rPr>
          <w:rFonts w:cs="Arial"/>
          <w:sz w:val="18"/>
        </w:rPr>
        <w:t xml:space="preserve">obtain efficient </w:t>
      </w:r>
      <w:r w:rsidR="00E82F2B">
        <w:rPr>
          <w:rFonts w:cs="Arial"/>
          <w:sz w:val="18"/>
        </w:rPr>
        <w:t>waste-based</w:t>
      </w:r>
      <w:r w:rsidR="00B33A6B">
        <w:rPr>
          <w:rFonts w:cs="Arial"/>
          <w:sz w:val="18"/>
        </w:rPr>
        <w:t xml:space="preserve"> adsorbent for CCS/CCU process</w:t>
      </w:r>
      <w:r w:rsidRPr="00FF4FE9">
        <w:rPr>
          <w:rFonts w:cs="Arial"/>
          <w:sz w:val="18"/>
        </w:rPr>
        <w:t>.</w:t>
      </w:r>
    </w:p>
    <w:p w14:paraId="7D463F1D" w14:textId="77777777" w:rsidR="00B33A6B" w:rsidRDefault="00B33A6B" w:rsidP="00C10A52">
      <w:pPr>
        <w:pStyle w:val="NormalWeb"/>
        <w:contextualSpacing/>
        <w:rPr>
          <w:rStyle w:val="Strong"/>
          <w:rFonts w:cs="Arial"/>
          <w:b w:val="0"/>
          <w:sz w:val="18"/>
        </w:rPr>
      </w:pPr>
    </w:p>
    <w:p w14:paraId="4E2B198D" w14:textId="77777777" w:rsidR="00FF4FE9" w:rsidRPr="00FF4FE9" w:rsidRDefault="00FF4FE9" w:rsidP="00C10A52">
      <w:pPr>
        <w:pStyle w:val="NormalWeb"/>
        <w:contextualSpacing/>
        <w:rPr>
          <w:rFonts w:cs="Arial"/>
          <w:sz w:val="18"/>
        </w:rPr>
      </w:pPr>
      <w:r w:rsidRPr="00C10A52">
        <w:rPr>
          <w:rStyle w:val="Strong"/>
          <w:rFonts w:cs="Arial"/>
          <w:b w:val="0"/>
          <w:sz w:val="18"/>
        </w:rPr>
        <w:t>Keywords:</w:t>
      </w:r>
      <w:r w:rsidRPr="00FF4FE9">
        <w:rPr>
          <w:rFonts w:cs="Arial"/>
          <w:sz w:val="18"/>
        </w:rPr>
        <w:t xml:space="preserve"> metal-impregnated biochar, CO</w:t>
      </w:r>
      <w:r w:rsidRPr="00FF4FE9">
        <w:rPr>
          <w:rFonts w:ascii="Cambria Math" w:hAnsi="Cambria Math" w:cs="Cambria Math"/>
          <w:sz w:val="18"/>
        </w:rPr>
        <w:t>₂</w:t>
      </w:r>
      <w:r w:rsidRPr="00FF4FE9">
        <w:rPr>
          <w:rFonts w:cs="Arial"/>
          <w:sz w:val="18"/>
        </w:rPr>
        <w:t xml:space="preserve"> capture, carbon reduction, physisorption, chemisorption </w:t>
      </w:r>
    </w:p>
    <w:p w14:paraId="476B2F2E" w14:textId="52B36035" w:rsidR="00600535" w:rsidRDefault="00600535" w:rsidP="00600535">
      <w:pPr>
        <w:pStyle w:val="CETHeading1"/>
        <w:rPr>
          <w:lang w:val="en-GB"/>
        </w:rPr>
      </w:pPr>
      <w:r w:rsidRPr="00B57B36">
        <w:rPr>
          <w:lang w:val="en-GB"/>
        </w:rPr>
        <w:t>Introduction</w:t>
      </w:r>
    </w:p>
    <w:p w14:paraId="4E67FB48" w14:textId="4D430389" w:rsidR="001D0B8C" w:rsidRDefault="00952EEA" w:rsidP="00952EEA">
      <w:pPr>
        <w:pStyle w:val="CETBodytext"/>
      </w:pPr>
      <w:r w:rsidRPr="007A76AD">
        <w:t xml:space="preserve">Global </w:t>
      </w:r>
      <w:r w:rsidR="00A704CC" w:rsidRPr="007A76AD">
        <w:t>industrialization</w:t>
      </w:r>
      <w:r w:rsidRPr="007A76AD">
        <w:t xml:space="preserve"> and economic development are accelerating the use of fossil fuels and thus the excessive emission of greenhouse gases, in particular carbon dioxide (CO</w:t>
      </w:r>
      <w:r w:rsidRPr="007A76AD">
        <w:rPr>
          <w:vertAlign w:val="subscript"/>
        </w:rPr>
        <w:t>2</w:t>
      </w:r>
      <w:r w:rsidRPr="007A76AD">
        <w:t xml:space="preserve">), which poses a serious threat </w:t>
      </w:r>
      <w:r>
        <w:t xml:space="preserve">to the ecological environment. </w:t>
      </w:r>
      <w:r w:rsidRPr="007A76AD">
        <w:t>Increasing atmospheric carbon dioxide levels contribute to rising average temperatures, leading to global problems such as sea-level rise, extreme weather events, and ecological and economic damage.</w:t>
      </w:r>
      <w:r w:rsidR="001D0B8C">
        <w:t xml:space="preserve"> </w:t>
      </w:r>
      <w:r w:rsidR="001D0B8C" w:rsidRPr="001D0B8C">
        <w:t>The UK's weather forecasting service said that carbon dioxide concentrations in 2024 will be around 420 ppm</w:t>
      </w:r>
      <w:r w:rsidR="00A30FE1">
        <w:t xml:space="preserve">. </w:t>
      </w:r>
      <w:r w:rsidRPr="007A76AD">
        <w:t>This is dramatically higher than before the industrial revolution, when CO₂ levels were only about 280 ppm</w:t>
      </w:r>
      <w:r w:rsidR="002D16E1">
        <w:t xml:space="preserve"> (Martina </w:t>
      </w:r>
      <w:proofErr w:type="spellStart"/>
      <w:r w:rsidR="002D16E1">
        <w:t>Igini</w:t>
      </w:r>
      <w:proofErr w:type="spellEnd"/>
      <w:r w:rsidR="002D16E1">
        <w:t>, 2024)</w:t>
      </w:r>
      <w:r w:rsidRPr="007A76AD">
        <w:t xml:space="preserve">. </w:t>
      </w:r>
      <w:r w:rsidRPr="000E231F">
        <w:t>For this reason, CO</w:t>
      </w:r>
      <w:r w:rsidRPr="000E231F">
        <w:rPr>
          <w:vertAlign w:val="subscript"/>
        </w:rPr>
        <w:t>2</w:t>
      </w:r>
      <w:r w:rsidRPr="000E231F">
        <w:t xml:space="preserve"> capture is seen as a potential strategy to reduce the amount of CO</w:t>
      </w:r>
      <w:r w:rsidRPr="000E231F">
        <w:rPr>
          <w:vertAlign w:val="subscript"/>
        </w:rPr>
        <w:t>2</w:t>
      </w:r>
      <w:r w:rsidRPr="000E231F">
        <w:t xml:space="preserve"> emitted into the atmosphere. </w:t>
      </w:r>
      <w:r w:rsidRPr="00065004">
        <w:t>Solvent adsorption, membrane separation, cryogenic separation and adsorption with solids are commonly used to capture carbon dioxide after combustion</w:t>
      </w:r>
      <w:r w:rsidR="008A48E9">
        <w:t xml:space="preserve"> (A.L.</w:t>
      </w:r>
      <w:r w:rsidR="00465883">
        <w:t xml:space="preserve"> </w:t>
      </w:r>
      <w:proofErr w:type="spellStart"/>
      <w:r w:rsidR="008A48E9">
        <w:t>Yaumi</w:t>
      </w:r>
      <w:proofErr w:type="spellEnd"/>
      <w:r w:rsidR="008A48E9">
        <w:t xml:space="preserve"> et al., 2017)</w:t>
      </w:r>
      <w:r w:rsidRPr="00065004">
        <w:t>.</w:t>
      </w:r>
      <w:r>
        <w:t xml:space="preserve"> </w:t>
      </w:r>
      <w:r w:rsidRPr="00065004">
        <w:t xml:space="preserve">Adsorption </w:t>
      </w:r>
      <w:proofErr w:type="gramStart"/>
      <w:r w:rsidRPr="00065004">
        <w:t>is considered to be</w:t>
      </w:r>
      <w:proofErr w:type="gramEnd"/>
      <w:r w:rsidRPr="00065004">
        <w:t xml:space="preserve"> the best technique because of its low energy consumption, the wide temperature and pressure range </w:t>
      </w:r>
      <w:r w:rsidR="00A704CC">
        <w:t>where the</w:t>
      </w:r>
      <w:r w:rsidRPr="00065004">
        <w:t xml:space="preserve"> technology can be applied, and the sorbent </w:t>
      </w:r>
      <w:r w:rsidR="00703072">
        <w:t>regeneration</w:t>
      </w:r>
      <w:r w:rsidRPr="00065004">
        <w:t xml:space="preserve"> without generating </w:t>
      </w:r>
      <w:r w:rsidR="00703072" w:rsidRPr="00065004">
        <w:t>unfavorable</w:t>
      </w:r>
      <w:r w:rsidRPr="00065004">
        <w:t xml:space="preserve"> by-products.</w:t>
      </w:r>
      <w:r>
        <w:t xml:space="preserve"> </w:t>
      </w:r>
      <w:r w:rsidRPr="00065004">
        <w:t xml:space="preserve">Thus, biochar can be a promising </w:t>
      </w:r>
      <w:r w:rsidR="00A35C91">
        <w:t>adsorbent</w:t>
      </w:r>
      <w:r w:rsidR="00A35C91" w:rsidRPr="00065004">
        <w:t xml:space="preserve"> </w:t>
      </w:r>
      <w:r w:rsidRPr="00065004">
        <w:t>for CO</w:t>
      </w:r>
      <w:r w:rsidRPr="001D0B8C">
        <w:rPr>
          <w:vertAlign w:val="subscript"/>
        </w:rPr>
        <w:t>2</w:t>
      </w:r>
      <w:r w:rsidRPr="00065004">
        <w:t xml:space="preserve"> </w:t>
      </w:r>
      <w:r w:rsidR="00A35C91">
        <w:t>reduction</w:t>
      </w:r>
      <w:r w:rsidR="008A48E9">
        <w:t xml:space="preserve"> (M.S.</w:t>
      </w:r>
      <w:r w:rsidR="00A10596">
        <w:t xml:space="preserve"> </w:t>
      </w:r>
      <w:proofErr w:type="spellStart"/>
      <w:r w:rsidR="008A48E9">
        <w:t>Shafeeyan</w:t>
      </w:r>
      <w:proofErr w:type="spellEnd"/>
      <w:r w:rsidR="008A48E9">
        <w:t xml:space="preserve"> et al., 2010)</w:t>
      </w:r>
      <w:r w:rsidRPr="00065004">
        <w:t>.</w:t>
      </w:r>
      <w:r>
        <w:t xml:space="preserve"> </w:t>
      </w:r>
      <w:r w:rsidRPr="00065004">
        <w:t>Despite the fact</w:t>
      </w:r>
      <w:r w:rsidR="00703072">
        <w:t>,</w:t>
      </w:r>
      <w:r w:rsidRPr="00065004">
        <w:t xml:space="preserve"> that biochar can be used directly for CO</w:t>
      </w:r>
      <w:r w:rsidRPr="001D0B8C">
        <w:rPr>
          <w:vertAlign w:val="subscript"/>
        </w:rPr>
        <w:t>2</w:t>
      </w:r>
      <w:r w:rsidRPr="00065004">
        <w:t xml:space="preserve"> </w:t>
      </w:r>
      <w:r w:rsidR="00703072">
        <w:t>capture</w:t>
      </w:r>
      <w:r w:rsidRPr="00065004">
        <w:t xml:space="preserve">, it generally shows </w:t>
      </w:r>
      <w:r w:rsidR="00A35C91">
        <w:t>limited</w:t>
      </w:r>
      <w:r w:rsidR="00A35C91" w:rsidRPr="00065004">
        <w:t xml:space="preserve"> </w:t>
      </w:r>
      <w:r w:rsidRPr="00065004">
        <w:t>adsorption performance.</w:t>
      </w:r>
      <w:r>
        <w:t xml:space="preserve"> </w:t>
      </w:r>
      <w:r w:rsidRPr="00F118BB">
        <w:t xml:space="preserve">Therefore, the </w:t>
      </w:r>
      <w:r w:rsidR="00A35C91">
        <w:t xml:space="preserve">surface of </w:t>
      </w:r>
      <w:r>
        <w:t>biochar</w:t>
      </w:r>
      <w:r w:rsidRPr="00F118BB">
        <w:t xml:space="preserve"> </w:t>
      </w:r>
      <w:proofErr w:type="gramStart"/>
      <w:r w:rsidR="00A35C91">
        <w:t>has</w:t>
      </w:r>
      <w:r w:rsidR="00A35C91" w:rsidRPr="00F118BB">
        <w:t xml:space="preserve"> </w:t>
      </w:r>
      <w:r w:rsidRPr="00F118BB">
        <w:t>to</w:t>
      </w:r>
      <w:proofErr w:type="gramEnd"/>
      <w:r w:rsidRPr="00F118BB">
        <w:t xml:space="preserve"> be modified</w:t>
      </w:r>
      <w:r w:rsidR="00A35C91">
        <w:t xml:space="preserve"> (e.g. </w:t>
      </w:r>
      <w:r w:rsidRPr="00F118BB">
        <w:t>physicochemical properties, specific surface area, pore structure and surface functional groups</w:t>
      </w:r>
      <w:r w:rsidR="00A35C91">
        <w:t>, etc.)</w:t>
      </w:r>
      <w:r w:rsidRPr="00F118BB">
        <w:t>.</w:t>
      </w:r>
      <w:r>
        <w:t xml:space="preserve"> </w:t>
      </w:r>
      <w:r w:rsidR="00A35C91">
        <w:t>Different a</w:t>
      </w:r>
      <w:r w:rsidRPr="001D0B8C">
        <w:t>dsorbents have been extensively studied over the past decades. Solid adsorbents, such as amine-supported silica</w:t>
      </w:r>
      <w:r w:rsidR="001D0B8C">
        <w:t xml:space="preserve"> </w:t>
      </w:r>
      <w:r w:rsidR="00473F09">
        <w:t>(Lee et al.</w:t>
      </w:r>
      <w:r w:rsidR="001D0B8C" w:rsidRPr="001D0B8C">
        <w:t xml:space="preserve"> 2018)</w:t>
      </w:r>
      <w:r w:rsidRPr="001D0B8C">
        <w:t>, carbonaceous materials</w:t>
      </w:r>
      <w:r w:rsidR="001D0B8C" w:rsidRPr="001D0B8C">
        <w:t xml:space="preserve"> (Kamran and Park, 2021)</w:t>
      </w:r>
      <w:r w:rsidRPr="001D0B8C">
        <w:t>, zeolites</w:t>
      </w:r>
      <w:r w:rsidR="001D0B8C">
        <w:t xml:space="preserve"> </w:t>
      </w:r>
      <w:r w:rsidR="00D85AFB">
        <w:t>(Kumar et al.</w:t>
      </w:r>
      <w:r w:rsidR="001D0B8C" w:rsidRPr="001D0B8C">
        <w:t xml:space="preserve"> 2020),</w:t>
      </w:r>
      <w:r w:rsidRPr="001D0B8C">
        <w:t xml:space="preserve"> organo-metallic </w:t>
      </w:r>
      <w:r w:rsidRPr="001D0B8C">
        <w:lastRenderedPageBreak/>
        <w:t>framework materials</w:t>
      </w:r>
      <w:r w:rsidR="001D0B8C">
        <w:t xml:space="preserve"> </w:t>
      </w:r>
      <w:r w:rsidR="001D0B8C" w:rsidRPr="001D0B8C">
        <w:t>(Younas et al.</w:t>
      </w:r>
      <w:r w:rsidR="00473F09">
        <w:t xml:space="preserve"> </w:t>
      </w:r>
      <w:r w:rsidR="001D0B8C" w:rsidRPr="001D0B8C">
        <w:t>2020)</w:t>
      </w:r>
      <w:r w:rsidRPr="001D0B8C">
        <w:t>.</w:t>
      </w:r>
      <w:r>
        <w:t xml:space="preserve"> </w:t>
      </w:r>
      <w:r w:rsidRPr="00F118BB">
        <w:t xml:space="preserve">Compared to the </w:t>
      </w:r>
      <w:proofErr w:type="gramStart"/>
      <w:r w:rsidRPr="00F118BB">
        <w:t xml:space="preserve">above </w:t>
      </w:r>
      <w:r w:rsidR="00703072">
        <w:t>mentioned</w:t>
      </w:r>
      <w:proofErr w:type="gramEnd"/>
      <w:r w:rsidR="00703072">
        <w:t xml:space="preserve"> </w:t>
      </w:r>
      <w:r w:rsidRPr="00F118BB">
        <w:t xml:space="preserve">solid adsorbents, biochar is a substance that is stable, highly aromatized and carbon-rich, </w:t>
      </w:r>
      <w:r w:rsidR="00703072">
        <w:t>therefore it is</w:t>
      </w:r>
      <w:r w:rsidRPr="00F118BB">
        <w:t xml:space="preserve"> naturally able to </w:t>
      </w:r>
      <w:r w:rsidR="00A35C91">
        <w:t>adsorb</w:t>
      </w:r>
      <w:r w:rsidR="00A35C91" w:rsidRPr="00F118BB">
        <w:t xml:space="preserve"> </w:t>
      </w:r>
      <w:r w:rsidRPr="00F118BB">
        <w:t>carbon dioxide.</w:t>
      </w:r>
      <w:r w:rsidRPr="00952EEA">
        <w:t xml:space="preserve"> </w:t>
      </w:r>
      <w:r w:rsidRPr="00F118BB">
        <w:t xml:space="preserve">It has excellent potential due to its high porosity and its surface contains </w:t>
      </w:r>
      <w:proofErr w:type="gramStart"/>
      <w:r w:rsidRPr="00F118BB">
        <w:t>a large number of</w:t>
      </w:r>
      <w:proofErr w:type="gramEnd"/>
      <w:r w:rsidRPr="00F118BB">
        <w:t xml:space="preserve"> active sites.</w:t>
      </w:r>
      <w:r>
        <w:t xml:space="preserve"> </w:t>
      </w:r>
      <w:r w:rsidR="007F19FE" w:rsidRPr="007F19FE">
        <w:t xml:space="preserve">According to the International Biochar Initiative, </w:t>
      </w:r>
      <w:r w:rsidR="00ED4ED2">
        <w:t xml:space="preserve">biomass </w:t>
      </w:r>
      <w:r w:rsidR="00703072" w:rsidRPr="007F19FE">
        <w:t>derived</w:t>
      </w:r>
      <w:r w:rsidR="00703072">
        <w:t xml:space="preserve"> </w:t>
      </w:r>
      <w:r w:rsidR="00703072" w:rsidRPr="007F19FE">
        <w:t>biochar</w:t>
      </w:r>
      <w:r w:rsidR="007F19FE" w:rsidRPr="007F19FE">
        <w:t xml:space="preserve">, can be carbon neutral </w:t>
      </w:r>
      <w:r w:rsidR="004C1A0E">
        <w:t>(Lee et al.</w:t>
      </w:r>
      <w:r w:rsidR="007F19FE" w:rsidRPr="007F19FE">
        <w:t xml:space="preserve"> 2018).</w:t>
      </w:r>
      <w:r w:rsidR="006D76BB">
        <w:t xml:space="preserve"> </w:t>
      </w:r>
    </w:p>
    <w:p w14:paraId="5B664614" w14:textId="00AA85B1" w:rsidR="00952EEA" w:rsidRDefault="00952EEA" w:rsidP="00952EEA">
      <w:pPr>
        <w:pStyle w:val="CETBodytext"/>
      </w:pPr>
      <w:r w:rsidRPr="00F118BB">
        <w:t xml:space="preserve">The economic feasibility of biochar production depends </w:t>
      </w:r>
      <w:r w:rsidR="00404743" w:rsidRPr="00F118BB">
        <w:t>mostly</w:t>
      </w:r>
      <w:r w:rsidRPr="00F118BB">
        <w:t xml:space="preserve"> on the cost of the </w:t>
      </w:r>
      <w:proofErr w:type="gramStart"/>
      <w:r w:rsidRPr="00F118BB">
        <w:t>feedstock,</w:t>
      </w:r>
      <w:proofErr w:type="gramEnd"/>
      <w:r w:rsidRPr="00F118BB">
        <w:t xml:space="preserve"> </w:t>
      </w:r>
      <w:r w:rsidR="00703072">
        <w:t>therefore</w:t>
      </w:r>
      <w:r w:rsidR="00703072" w:rsidRPr="00F118BB">
        <w:t xml:space="preserve"> </w:t>
      </w:r>
      <w:r w:rsidRPr="00F118BB">
        <w:t xml:space="preserve">biomass </w:t>
      </w:r>
      <w:r w:rsidR="00ED4ED2" w:rsidRPr="00F118BB">
        <w:t>waste</w:t>
      </w:r>
      <w:r w:rsidR="00ED4ED2" w:rsidRPr="00F118BB" w:rsidDel="00703072">
        <w:t xml:space="preserve"> </w:t>
      </w:r>
      <w:r w:rsidR="00703072">
        <w:t>can be an advanced solution</w:t>
      </w:r>
      <w:r w:rsidR="006D76BB">
        <w:t xml:space="preserve">. </w:t>
      </w:r>
      <w:r w:rsidRPr="00F118BB">
        <w:t xml:space="preserve">Due to its relatively low cost, biochar can be produced using biomass and </w:t>
      </w:r>
      <w:r w:rsidR="00ED4ED2">
        <w:t xml:space="preserve">other </w:t>
      </w:r>
      <w:r w:rsidRPr="00F118BB">
        <w:t>waste such as crop residues, wood waste, animal manure, food waste, municipal solid waste and sewage sludge.</w:t>
      </w:r>
      <w:r>
        <w:t xml:space="preserve"> </w:t>
      </w:r>
      <w:r w:rsidRPr="008F338D">
        <w:t>In addition, the use of biochar from waste promotes sustainable waste management.</w:t>
      </w:r>
      <w:r w:rsidRPr="00952EEA">
        <w:t xml:space="preserve"> </w:t>
      </w:r>
      <w:r w:rsidR="00D16328" w:rsidRPr="00D16328">
        <w:t xml:space="preserve">According to Xue </w:t>
      </w:r>
      <w:r w:rsidR="00703072">
        <w:t>et al. (</w:t>
      </w:r>
      <w:r w:rsidR="002D16E1">
        <w:t>2022</w:t>
      </w:r>
      <w:r w:rsidR="00703072">
        <w:t>)</w:t>
      </w:r>
      <w:r w:rsidR="00D16328" w:rsidRPr="00D16328">
        <w:t xml:space="preserve">, carbon, hydrogen, oxygen and nitrogen are the primary components of biochar, with carbon </w:t>
      </w:r>
      <w:r w:rsidR="00703072">
        <w:t>content</w:t>
      </w:r>
      <w:r w:rsidR="00703072" w:rsidRPr="00D16328">
        <w:t xml:space="preserve"> </w:t>
      </w:r>
      <w:r w:rsidR="00D16328" w:rsidRPr="00D16328">
        <w:t>for more than 40% of all elements.</w:t>
      </w:r>
      <w:r w:rsidRPr="006D76BB">
        <w:t xml:space="preserve"> </w:t>
      </w:r>
      <w:r w:rsidRPr="00620F27">
        <w:t>Biochar produced from different raw materials generally exhibit different</w:t>
      </w:r>
      <w:r>
        <w:t xml:space="preserve"> </w:t>
      </w:r>
      <w:r w:rsidRPr="00620F27">
        <w:t xml:space="preserve">physicochemical properties </w:t>
      </w:r>
      <w:r w:rsidR="00ED4ED2">
        <w:t>(e.g.</w:t>
      </w:r>
      <w:r w:rsidRPr="00620F27">
        <w:t xml:space="preserve"> pore structure, specific surface area, surface oxygen-containing </w:t>
      </w:r>
      <w:r w:rsidR="00ED4ED2">
        <w:t>chemical</w:t>
      </w:r>
      <w:r w:rsidR="00ED4ED2" w:rsidRPr="00620F27">
        <w:t xml:space="preserve"> </w:t>
      </w:r>
      <w:r w:rsidRPr="00620F27">
        <w:t>groups and elemental composition</w:t>
      </w:r>
      <w:r w:rsidR="00ED4ED2">
        <w:t xml:space="preserve">, etc.) </w:t>
      </w:r>
      <w:r w:rsidR="005306A7" w:rsidRPr="005306A7">
        <w:t xml:space="preserve">(Nguyen and Lee 2016; </w:t>
      </w:r>
      <w:proofErr w:type="spellStart"/>
      <w:r w:rsidR="00D85AFB">
        <w:t>Mulabagal</w:t>
      </w:r>
      <w:proofErr w:type="spellEnd"/>
      <w:r w:rsidR="00D85AFB">
        <w:t xml:space="preserve"> et al. 2015; Goldfarb et al. 2017; Lee et al.</w:t>
      </w:r>
      <w:r w:rsidR="005306A7" w:rsidRPr="005306A7">
        <w:t xml:space="preserve"> 2017)</w:t>
      </w:r>
      <w:r w:rsidR="002D16E1">
        <w:t xml:space="preserve"> </w:t>
      </w:r>
      <w:r w:rsidRPr="00620F27">
        <w:t xml:space="preserve">The </w:t>
      </w:r>
      <w:r w:rsidR="00703072" w:rsidRPr="00620F27">
        <w:t>carbon dioxide</w:t>
      </w:r>
      <w:r w:rsidR="00703072" w:rsidRPr="00620F27" w:rsidDel="00703072">
        <w:t xml:space="preserve"> </w:t>
      </w:r>
      <w:r w:rsidRPr="00620F27">
        <w:t>capacity can be further enhanced by various chemical treatments of biochar, such as surface oxidation or impregnation wi</w:t>
      </w:r>
      <w:r>
        <w:t xml:space="preserve">th metals (e.g. Ca, Mg, Zn, Ni, </w:t>
      </w:r>
      <w:r w:rsidRPr="00620F27">
        <w:t>Cu).</w:t>
      </w:r>
      <w:r>
        <w:t xml:space="preserve"> </w:t>
      </w:r>
      <w:r w:rsidRPr="00620F27">
        <w:t>These impregnations facilitate reactions in the presence of alkali and alkaline earth metals, which enhance the adsorption process, for example by forming carbonate that binds carbon dioxide to the biochar surface</w:t>
      </w:r>
      <w:r w:rsidR="00A90F27">
        <w:t xml:space="preserve"> (X.</w:t>
      </w:r>
      <w:r w:rsidR="00A10596">
        <w:t xml:space="preserve"> </w:t>
      </w:r>
      <w:r w:rsidR="00A90F27">
        <w:t>Xu et al., 2016)</w:t>
      </w:r>
      <w:r w:rsidRPr="00620F27">
        <w:t>.</w:t>
      </w:r>
      <w:r>
        <w:t xml:space="preserve"> </w:t>
      </w:r>
    </w:p>
    <w:p w14:paraId="1EAB01CC" w14:textId="063CC2E5" w:rsidR="00ED4ED2" w:rsidRPr="000E790D" w:rsidRDefault="00952EEA" w:rsidP="000E790D">
      <w:pPr>
        <w:pStyle w:val="CETBodytext"/>
      </w:pPr>
      <w:r w:rsidRPr="005322DC">
        <w:t xml:space="preserve">In </w:t>
      </w:r>
      <w:r w:rsidR="00ED4ED2">
        <w:t>this work</w:t>
      </w:r>
      <w:r w:rsidRPr="005322DC">
        <w:t xml:space="preserve">, </w:t>
      </w:r>
      <w:r w:rsidR="00ED4ED2">
        <w:t xml:space="preserve">sewage sludge </w:t>
      </w:r>
      <w:proofErr w:type="spellStart"/>
      <w:r w:rsidRPr="005322DC">
        <w:t>biochars</w:t>
      </w:r>
      <w:proofErr w:type="spellEnd"/>
      <w:r w:rsidRPr="005322DC">
        <w:t xml:space="preserve"> </w:t>
      </w:r>
      <w:r w:rsidR="00703072">
        <w:t xml:space="preserve">were </w:t>
      </w:r>
      <w:r w:rsidR="00ED4ED2">
        <w:t>modified with different metals and the</w:t>
      </w:r>
      <w:r w:rsidRPr="005322DC">
        <w:t xml:space="preserve"> </w:t>
      </w:r>
      <w:r w:rsidR="00ED4ED2" w:rsidRPr="005322DC">
        <w:t>carbon dioxide</w:t>
      </w:r>
      <w:r w:rsidR="00ED4ED2">
        <w:t xml:space="preserve"> </w:t>
      </w:r>
      <w:r w:rsidR="00703072">
        <w:t>capture</w:t>
      </w:r>
      <w:r w:rsidR="00ED4ED2">
        <w:t xml:space="preserve"> was also investigated.</w:t>
      </w:r>
    </w:p>
    <w:p w14:paraId="19E54E15" w14:textId="20E76D29" w:rsidR="00FF03F2" w:rsidRDefault="00FF03F2" w:rsidP="00FF03F2">
      <w:pPr>
        <w:pStyle w:val="CETHeading1"/>
        <w:rPr>
          <w:lang w:val="en-GB"/>
        </w:rPr>
      </w:pPr>
      <w:r w:rsidRPr="00DD2235">
        <w:rPr>
          <w:lang w:val="en-GB"/>
        </w:rPr>
        <w:t>Materials and methods</w:t>
      </w:r>
    </w:p>
    <w:p w14:paraId="390438E9" w14:textId="77777777" w:rsidR="00DD1736" w:rsidRPr="00DD1736" w:rsidRDefault="00DD1736" w:rsidP="002245B3">
      <w:pPr>
        <w:pStyle w:val="CETheadingx"/>
        <w:numPr>
          <w:ilvl w:val="0"/>
          <w:numId w:val="0"/>
        </w:numPr>
      </w:pPr>
      <w:r w:rsidRPr="00DD1736">
        <w:t xml:space="preserve">2.1 Preparation and characterization of biochar </w:t>
      </w:r>
    </w:p>
    <w:p w14:paraId="77D7417D" w14:textId="611CD26E" w:rsidR="00377D62" w:rsidRDefault="00ED4ED2" w:rsidP="00DD1736">
      <w:pPr>
        <w:pStyle w:val="CETBodytext"/>
        <w:rPr>
          <w:color w:val="1F1F1F"/>
        </w:rPr>
      </w:pPr>
      <w:r>
        <w:rPr>
          <w:color w:val="1F1F1F"/>
        </w:rPr>
        <w:t xml:space="preserve">For biochar production animal sewage sludge was used. Raw material </w:t>
      </w:r>
      <w:r w:rsidR="00DD1736" w:rsidRPr="0029096B">
        <w:rPr>
          <w:color w:val="1F1F1F"/>
        </w:rPr>
        <w:t>was dried</w:t>
      </w:r>
      <w:r>
        <w:rPr>
          <w:color w:val="1F1F1F"/>
        </w:rPr>
        <w:t xml:space="preserve"> and pyrolyzed</w:t>
      </w:r>
      <w:r w:rsidR="00DD1736" w:rsidRPr="0029096B">
        <w:rPr>
          <w:color w:val="1F1F1F"/>
        </w:rPr>
        <w:t xml:space="preserve"> in a batch steel </w:t>
      </w:r>
      <w:r w:rsidR="00DD1736" w:rsidRPr="00882AF9">
        <w:rPr>
          <w:color w:val="1F1F1F"/>
        </w:rPr>
        <w:t>reactor</w:t>
      </w:r>
      <w:r w:rsidR="00811926">
        <w:rPr>
          <w:color w:val="1F1F1F"/>
        </w:rPr>
        <w:t xml:space="preserve"> (inside volume </w:t>
      </w:r>
      <w:r w:rsidR="00C044A5">
        <w:rPr>
          <w:color w:val="1F1F1F"/>
        </w:rPr>
        <w:t>~</w:t>
      </w:r>
      <w:r w:rsidR="00811926">
        <w:rPr>
          <w:color w:val="1F1F1F"/>
        </w:rPr>
        <w:t>0.5 dm</w:t>
      </w:r>
      <w:r w:rsidR="00811926">
        <w:rPr>
          <w:color w:val="1F1F1F"/>
          <w:vertAlign w:val="superscript"/>
        </w:rPr>
        <w:t>3</w:t>
      </w:r>
      <w:r w:rsidR="00811926">
        <w:rPr>
          <w:color w:val="1F1F1F"/>
        </w:rPr>
        <w:t>)</w:t>
      </w:r>
      <w:r w:rsidR="00DD1736" w:rsidRPr="00882AF9">
        <w:rPr>
          <w:color w:val="1F1F1F"/>
        </w:rPr>
        <w:t xml:space="preserve"> under</w:t>
      </w:r>
      <w:r w:rsidR="00DD1736" w:rsidRPr="0029096B">
        <w:rPr>
          <w:color w:val="1F1F1F"/>
        </w:rPr>
        <w:t xml:space="preserve"> a nitrogen atmosphere at 400°C</w:t>
      </w:r>
      <w:r w:rsidR="008C7009">
        <w:rPr>
          <w:color w:val="1F1F1F"/>
        </w:rPr>
        <w:t>.</w:t>
      </w:r>
      <w:r w:rsidR="004309D7">
        <w:rPr>
          <w:color w:val="1F1F1F"/>
        </w:rPr>
        <w:t xml:space="preserve"> The sewage sludge derived biochar </w:t>
      </w:r>
      <w:r w:rsidR="008C7009">
        <w:rPr>
          <w:color w:val="1F1F1F"/>
        </w:rPr>
        <w:t>was divided</w:t>
      </w:r>
      <w:r w:rsidR="00DD1736" w:rsidRPr="00882AF9">
        <w:rPr>
          <w:color w:val="1F1F1F"/>
        </w:rPr>
        <w:t xml:space="preserve"> into different fractions </w:t>
      </w:r>
      <w:r w:rsidR="00404743" w:rsidRPr="00882AF9">
        <w:rPr>
          <w:color w:val="1F1F1F"/>
        </w:rPr>
        <w:t>by sieving</w:t>
      </w:r>
      <w:r w:rsidR="004309D7">
        <w:rPr>
          <w:color w:val="1F1F1F"/>
        </w:rPr>
        <w:t>:</w:t>
      </w:r>
      <w:r w:rsidR="00404743" w:rsidRPr="00882AF9">
        <w:rPr>
          <w:color w:val="1F1F1F"/>
        </w:rPr>
        <w:t xml:space="preserve"> 3.15-2.50 mm </w:t>
      </w:r>
      <w:r w:rsidR="002B2020">
        <w:t xml:space="preserve">(hereafter CM1) </w:t>
      </w:r>
      <w:r w:rsidR="00404743" w:rsidRPr="00882AF9">
        <w:rPr>
          <w:color w:val="1F1F1F"/>
        </w:rPr>
        <w:t>and 0.80-0.40 mm</w:t>
      </w:r>
      <w:r w:rsidR="002B2020">
        <w:rPr>
          <w:color w:val="1F1F1F"/>
        </w:rPr>
        <w:t xml:space="preserve"> </w:t>
      </w:r>
      <w:r w:rsidR="002B2020">
        <w:t>(hereafter CM2)</w:t>
      </w:r>
      <w:r w:rsidR="00377D62">
        <w:rPr>
          <w:color w:val="1F1F1F"/>
        </w:rPr>
        <w:t xml:space="preserve"> (Figure 1).</w:t>
      </w:r>
    </w:p>
    <w:p w14:paraId="1F15F857" w14:textId="6DBB3934" w:rsidR="00377D62" w:rsidRDefault="00377D62" w:rsidP="00DD1736">
      <w:pPr>
        <w:pStyle w:val="CETBodytext"/>
        <w:rPr>
          <w:color w:val="1F1F1F"/>
        </w:rPr>
      </w:pPr>
      <w:r>
        <w:rPr>
          <w:noProof/>
          <w:color w:val="1F1F1F"/>
          <w:lang w:val="hu-HU" w:eastAsia="hu-HU"/>
        </w:rPr>
        <w:drawing>
          <wp:inline distT="0" distB="0" distL="0" distR="0" wp14:anchorId="428E7621" wp14:editId="156CFCBB">
            <wp:extent cx="5486400" cy="723900"/>
            <wp:effectExtent l="76200" t="0" r="762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A32D236" w14:textId="167A86C1" w:rsidR="00377D62" w:rsidRDefault="00377D62" w:rsidP="00377D62">
      <w:pPr>
        <w:pStyle w:val="CETCaption"/>
      </w:pPr>
      <w:r>
        <w:t xml:space="preserve">Figure </w:t>
      </w:r>
      <w:r>
        <w:rPr>
          <w:rFonts w:cstheme="minorHAnsi"/>
        </w:rPr>
        <w:fldChar w:fldCharType="begin"/>
      </w:r>
      <w:r>
        <w:rPr>
          <w:rFonts w:cstheme="minorHAnsi"/>
        </w:rPr>
        <w:instrText xml:space="preserve"> SEQ Figure \* ARABIC </w:instrText>
      </w:r>
      <w:r>
        <w:rPr>
          <w:rFonts w:cstheme="minorHAnsi"/>
        </w:rPr>
        <w:fldChar w:fldCharType="separate"/>
      </w:r>
      <w:r>
        <w:rPr>
          <w:rFonts w:cstheme="minorHAnsi"/>
          <w:noProof/>
        </w:rPr>
        <w:t>1</w:t>
      </w:r>
      <w:r>
        <w:rPr>
          <w:rFonts w:cstheme="minorHAnsi"/>
        </w:rPr>
        <w:fldChar w:fldCharType="end"/>
      </w:r>
      <w:r>
        <w:t>: Production and application of metal impregnated biochar</w:t>
      </w:r>
    </w:p>
    <w:p w14:paraId="3AB0B30A" w14:textId="17F8529F" w:rsidR="00DD1736" w:rsidRDefault="004309D7" w:rsidP="00DD1736">
      <w:pPr>
        <w:pStyle w:val="CETBodytext"/>
        <w:rPr>
          <w:color w:val="1F1F1F"/>
        </w:rPr>
      </w:pPr>
      <w:r>
        <w:rPr>
          <w:color w:val="1F1F1F"/>
        </w:rPr>
        <w:t>T</w:t>
      </w:r>
      <w:r w:rsidR="006F213B" w:rsidRPr="00882AF9">
        <w:rPr>
          <w:color w:val="1F1F1F"/>
        </w:rPr>
        <w:t>he biochar fractions with different particle sizes were impregnated by wet impregnation.</w:t>
      </w:r>
      <w:r w:rsidR="00DD1736" w:rsidRPr="00882AF9">
        <w:rPr>
          <w:color w:val="1F1F1F"/>
        </w:rPr>
        <w:t xml:space="preserve"> Five different metal</w:t>
      </w:r>
      <w:r>
        <w:rPr>
          <w:color w:val="1F1F1F"/>
        </w:rPr>
        <w:t xml:space="preserve"> salts</w:t>
      </w:r>
      <w:r w:rsidR="00DD1736" w:rsidRPr="00882AF9">
        <w:rPr>
          <w:color w:val="1F1F1F"/>
        </w:rPr>
        <w:t xml:space="preserve"> were </w:t>
      </w:r>
      <w:r>
        <w:rPr>
          <w:color w:val="1F1F1F"/>
        </w:rPr>
        <w:t>used:</w:t>
      </w:r>
      <w:r w:rsidR="006F213B" w:rsidRPr="00882AF9">
        <w:rPr>
          <w:color w:val="1F1F1F"/>
        </w:rPr>
        <w:t xml:space="preserve"> calcium-chloride </w:t>
      </w:r>
      <w:r w:rsidR="006F213B" w:rsidRPr="00AD092B">
        <w:rPr>
          <w:color w:val="1F1F1F"/>
        </w:rPr>
        <w:t>(</w:t>
      </w:r>
      <w:r w:rsidR="00AD092B">
        <w:rPr>
          <w:color w:val="1F1F1F"/>
        </w:rPr>
        <w:t>Sigma-Aldrich, 97-103%</w:t>
      </w:r>
      <w:r w:rsidR="006F213B" w:rsidRPr="00882AF9">
        <w:rPr>
          <w:color w:val="1F1F1F"/>
        </w:rPr>
        <w:t>), magnesium-chloride</w:t>
      </w:r>
      <w:r w:rsidR="00AD092B">
        <w:rPr>
          <w:color w:val="1F1F1F"/>
        </w:rPr>
        <w:t>-hexahydrate</w:t>
      </w:r>
      <w:r w:rsidR="006F213B" w:rsidRPr="00882AF9">
        <w:rPr>
          <w:color w:val="1F1F1F"/>
        </w:rPr>
        <w:t xml:space="preserve"> (</w:t>
      </w:r>
      <w:r w:rsidR="00AD092B">
        <w:rPr>
          <w:color w:val="1F1F1F"/>
        </w:rPr>
        <w:t>VWR Chemicals, 99-101%</w:t>
      </w:r>
      <w:r w:rsidR="006F213B" w:rsidRPr="00882AF9">
        <w:rPr>
          <w:color w:val="1F1F1F"/>
        </w:rPr>
        <w:t>),</w:t>
      </w:r>
      <w:r w:rsidR="00DD1736" w:rsidRPr="00882AF9">
        <w:rPr>
          <w:color w:val="1F1F1F"/>
        </w:rPr>
        <w:t xml:space="preserve"> </w:t>
      </w:r>
      <w:r w:rsidR="006F213B" w:rsidRPr="00882AF9">
        <w:rPr>
          <w:color w:val="1F1F1F"/>
        </w:rPr>
        <w:t>nickel-nitrate</w:t>
      </w:r>
      <w:r w:rsidR="00AD092B">
        <w:rPr>
          <w:color w:val="1F1F1F"/>
        </w:rPr>
        <w:t xml:space="preserve"> hexahydrate</w:t>
      </w:r>
      <w:r w:rsidR="006F213B" w:rsidRPr="00882AF9">
        <w:rPr>
          <w:color w:val="1F1F1F"/>
        </w:rPr>
        <w:t xml:space="preserve"> (</w:t>
      </w:r>
      <w:r w:rsidR="00AD092B" w:rsidRPr="00AD092B">
        <w:rPr>
          <w:color w:val="1F1F1F"/>
        </w:rPr>
        <w:t>thermo-scientific</w:t>
      </w:r>
      <w:r w:rsidR="00AD092B">
        <w:rPr>
          <w:color w:val="1F1F1F"/>
        </w:rPr>
        <w:t>, 98%</w:t>
      </w:r>
      <w:r w:rsidR="006F213B" w:rsidRPr="00882AF9">
        <w:rPr>
          <w:color w:val="1F1F1F"/>
        </w:rPr>
        <w:t>), zinc-nitrate</w:t>
      </w:r>
      <w:r w:rsidR="00927158">
        <w:rPr>
          <w:color w:val="1F1F1F"/>
        </w:rPr>
        <w:t xml:space="preserve"> hexahydrate</w:t>
      </w:r>
      <w:r w:rsidR="006F213B" w:rsidRPr="00882AF9">
        <w:rPr>
          <w:color w:val="1F1F1F"/>
        </w:rPr>
        <w:t xml:space="preserve"> (</w:t>
      </w:r>
      <w:r w:rsidR="00927158">
        <w:rPr>
          <w:color w:val="1F1F1F"/>
        </w:rPr>
        <w:t>Molar Chemicals Kft.</w:t>
      </w:r>
      <w:r w:rsidR="000173B0">
        <w:rPr>
          <w:color w:val="1F1F1F"/>
        </w:rPr>
        <w:t>) and copper-</w:t>
      </w:r>
      <w:r w:rsidR="006F213B" w:rsidRPr="00882AF9">
        <w:rPr>
          <w:color w:val="1F1F1F"/>
        </w:rPr>
        <w:t>sulphate</w:t>
      </w:r>
      <w:r w:rsidR="00927158">
        <w:rPr>
          <w:color w:val="1F1F1F"/>
        </w:rPr>
        <w:t xml:space="preserve"> pentahydrate</w:t>
      </w:r>
      <w:r w:rsidR="006F213B" w:rsidRPr="00882AF9">
        <w:rPr>
          <w:color w:val="1F1F1F"/>
        </w:rPr>
        <w:t xml:space="preserve"> (</w:t>
      </w:r>
      <w:r w:rsidR="00927158">
        <w:rPr>
          <w:color w:val="1F1F1F"/>
        </w:rPr>
        <w:t>Molar Chemicals Kft.</w:t>
      </w:r>
      <w:r w:rsidR="006F213B" w:rsidRPr="00882AF9">
        <w:rPr>
          <w:color w:val="1F1F1F"/>
        </w:rPr>
        <w:t>).</w:t>
      </w:r>
      <w:r w:rsidR="006F213B" w:rsidRPr="00882AF9" w:rsidDel="006F213B">
        <w:rPr>
          <w:color w:val="1F1F1F"/>
        </w:rPr>
        <w:t xml:space="preserve"> </w:t>
      </w:r>
      <w:r w:rsidR="00DD1736" w:rsidRPr="00882AF9">
        <w:rPr>
          <w:color w:val="1F1F1F"/>
        </w:rPr>
        <w:t>The impregnation was carried out in a spherical flask with a recirculating cooler</w:t>
      </w:r>
      <w:r w:rsidR="00FD7713" w:rsidRPr="00882AF9">
        <w:rPr>
          <w:color w:val="1F1F1F"/>
        </w:rPr>
        <w:t xml:space="preserve">, which was placed in a </w:t>
      </w:r>
      <w:r w:rsidR="00783378" w:rsidRPr="00783378">
        <w:rPr>
          <w:color w:val="1F1F1F"/>
        </w:rPr>
        <w:t>temperature-controlled water bath</w:t>
      </w:r>
      <w:r w:rsidR="00783378">
        <w:rPr>
          <w:color w:val="1F1F1F"/>
        </w:rPr>
        <w:t xml:space="preserve"> </w:t>
      </w:r>
      <w:r w:rsidR="00FD7713" w:rsidRPr="00882AF9">
        <w:rPr>
          <w:color w:val="1F1F1F"/>
        </w:rPr>
        <w:t>to adjust the temperature of the impregnation. For the impregnation</w:t>
      </w:r>
      <w:r w:rsidR="006F213B" w:rsidRPr="00882AF9">
        <w:rPr>
          <w:color w:val="1F1F1F"/>
        </w:rPr>
        <w:t xml:space="preserve"> </w:t>
      </w:r>
      <w:r w:rsidR="00FD7713" w:rsidRPr="00882AF9">
        <w:rPr>
          <w:color w:val="1F1F1F"/>
        </w:rPr>
        <w:t xml:space="preserve">60 g of the </w:t>
      </w:r>
      <w:r>
        <w:rPr>
          <w:color w:val="1F1F1F"/>
        </w:rPr>
        <w:t>biochar</w:t>
      </w:r>
      <w:r w:rsidR="00FD7713" w:rsidRPr="00882AF9">
        <w:rPr>
          <w:color w:val="1F1F1F"/>
        </w:rPr>
        <w:t xml:space="preserve"> was placed in the flask and 240 ml of 2 M metal-salt solution was added in a 1:4 ratio.</w:t>
      </w:r>
      <w:r w:rsidR="00DD1736" w:rsidRPr="00882AF9">
        <w:rPr>
          <w:color w:val="1F1F1F"/>
        </w:rPr>
        <w:t xml:space="preserve"> The wet </w:t>
      </w:r>
      <w:r w:rsidR="00FD7713" w:rsidRPr="00882AF9">
        <w:rPr>
          <w:color w:val="1F1F1F"/>
        </w:rPr>
        <w:t xml:space="preserve">impregnation </w:t>
      </w:r>
      <w:r w:rsidR="00DD1736" w:rsidRPr="00882AF9">
        <w:rPr>
          <w:color w:val="1F1F1F"/>
        </w:rPr>
        <w:t>process was carried out at 80°C</w:t>
      </w:r>
      <w:r w:rsidR="00FD7713" w:rsidRPr="00882AF9">
        <w:rPr>
          <w:color w:val="1F1F1F"/>
        </w:rPr>
        <w:t xml:space="preserve"> and 2°C</w:t>
      </w:r>
      <w:r w:rsidR="008C7009">
        <w:rPr>
          <w:color w:val="1F1F1F"/>
        </w:rPr>
        <w:t xml:space="preserve"> </w:t>
      </w:r>
      <w:r w:rsidR="00DD1736" w:rsidRPr="00882AF9">
        <w:rPr>
          <w:color w:val="1F1F1F"/>
        </w:rPr>
        <w:t>for 2 hours using a magnetic stirrer (</w:t>
      </w:r>
      <w:r w:rsidR="00F01C4C">
        <w:rPr>
          <w:color w:val="1F1F1F"/>
        </w:rPr>
        <w:t>Faithful</w:t>
      </w:r>
      <w:r w:rsidR="00DD1736" w:rsidRPr="00882AF9">
        <w:rPr>
          <w:color w:val="1F1F1F"/>
        </w:rPr>
        <w:t xml:space="preserve">) with constant stirring. </w:t>
      </w:r>
      <w:r w:rsidR="008C7009">
        <w:rPr>
          <w:color w:val="1F1F1F"/>
        </w:rPr>
        <w:t>The</w:t>
      </w:r>
      <w:r w:rsidR="008C7009" w:rsidRPr="00882AF9">
        <w:rPr>
          <w:color w:val="1F1F1F"/>
        </w:rPr>
        <w:t xml:space="preserve"> </w:t>
      </w:r>
      <w:r w:rsidR="00DD1736" w:rsidRPr="00882AF9">
        <w:rPr>
          <w:color w:val="1F1F1F"/>
        </w:rPr>
        <w:t>samples were then filtered and dried</w:t>
      </w:r>
      <w:r w:rsidR="00FD7713" w:rsidRPr="00882AF9">
        <w:rPr>
          <w:color w:val="1F1F1F"/>
        </w:rPr>
        <w:t xml:space="preserve"> in an oven (</w:t>
      </w:r>
      <w:r w:rsidR="00AD092B">
        <w:rPr>
          <w:color w:val="1F1F1F"/>
        </w:rPr>
        <w:t xml:space="preserve">POL-EKO </w:t>
      </w:r>
      <w:proofErr w:type="spellStart"/>
      <w:r w:rsidR="00AD092B">
        <w:rPr>
          <w:color w:val="1F1F1F"/>
        </w:rPr>
        <w:t>Aparatura</w:t>
      </w:r>
      <w:proofErr w:type="spellEnd"/>
      <w:r w:rsidR="00FD7713" w:rsidRPr="00882AF9">
        <w:rPr>
          <w:color w:val="1F1F1F"/>
        </w:rPr>
        <w:t>)</w:t>
      </w:r>
      <w:r w:rsidR="00DD1736" w:rsidRPr="00882AF9">
        <w:rPr>
          <w:color w:val="1F1F1F"/>
        </w:rPr>
        <w:t xml:space="preserve"> at 80°C to constant weight.</w:t>
      </w:r>
      <w:r>
        <w:rPr>
          <w:color w:val="1F1F1F"/>
        </w:rPr>
        <w:t xml:space="preserve"> </w:t>
      </w:r>
      <w:r w:rsidR="00DD1736" w:rsidRPr="00882AF9">
        <w:rPr>
          <w:color w:val="1F1F1F"/>
        </w:rPr>
        <w:t xml:space="preserve">Finally, after </w:t>
      </w:r>
      <w:r w:rsidR="00FD7713" w:rsidRPr="00882AF9">
        <w:rPr>
          <w:color w:val="1F1F1F"/>
        </w:rPr>
        <w:t xml:space="preserve">the </w:t>
      </w:r>
      <w:r w:rsidR="00882AF9" w:rsidRPr="00882AF9">
        <w:rPr>
          <w:color w:val="1F1F1F"/>
        </w:rPr>
        <w:t>impregnation,</w:t>
      </w:r>
      <w:r w:rsidR="00DD1736" w:rsidRPr="00882AF9">
        <w:rPr>
          <w:color w:val="1F1F1F"/>
        </w:rPr>
        <w:t xml:space="preserve"> the materials were </w:t>
      </w:r>
      <w:r>
        <w:rPr>
          <w:color w:val="1F1F1F"/>
        </w:rPr>
        <w:t xml:space="preserve">treated in </w:t>
      </w:r>
      <w:r w:rsidR="00DD1736" w:rsidRPr="00882AF9">
        <w:rPr>
          <w:color w:val="1F1F1F"/>
        </w:rPr>
        <w:t>in a tub</w:t>
      </w:r>
      <w:r w:rsidR="00A30FE1">
        <w:rPr>
          <w:color w:val="1F1F1F"/>
        </w:rPr>
        <w:t>ular</w:t>
      </w:r>
      <w:r w:rsidR="00DD1736" w:rsidRPr="00882AF9">
        <w:rPr>
          <w:color w:val="1F1F1F"/>
        </w:rPr>
        <w:t xml:space="preserve"> reactor (</w:t>
      </w:r>
      <w:proofErr w:type="spellStart"/>
      <w:r w:rsidR="00811926">
        <w:rPr>
          <w:color w:val="1F1F1F"/>
        </w:rPr>
        <w:t>Carbolite</w:t>
      </w:r>
      <w:proofErr w:type="spellEnd"/>
      <w:r w:rsidR="00811926">
        <w:rPr>
          <w:color w:val="1F1F1F"/>
        </w:rPr>
        <w:t xml:space="preserve"> Gero</w:t>
      </w:r>
      <w:r w:rsidR="00DD1736" w:rsidRPr="00882AF9">
        <w:rPr>
          <w:color w:val="1F1F1F"/>
        </w:rPr>
        <w:t xml:space="preserve">). Samples were </w:t>
      </w:r>
      <w:proofErr w:type="spellStart"/>
      <w:r w:rsidR="00DD1736" w:rsidRPr="00882AF9">
        <w:rPr>
          <w:color w:val="1F1F1F"/>
        </w:rPr>
        <w:t>inert</w:t>
      </w:r>
      <w:r>
        <w:rPr>
          <w:color w:val="1F1F1F"/>
        </w:rPr>
        <w:t>iz</w:t>
      </w:r>
      <w:r w:rsidR="00DD1736" w:rsidRPr="00882AF9">
        <w:rPr>
          <w:color w:val="1F1F1F"/>
        </w:rPr>
        <w:t>ed</w:t>
      </w:r>
      <w:proofErr w:type="spellEnd"/>
      <w:r w:rsidR="00DD1736" w:rsidRPr="00882AF9">
        <w:rPr>
          <w:color w:val="1F1F1F"/>
        </w:rPr>
        <w:t xml:space="preserve"> in a nitrogen atmosphere </w:t>
      </w:r>
      <w:r w:rsidR="00882AF9" w:rsidRPr="00882AF9">
        <w:rPr>
          <w:color w:val="1F1F1F"/>
        </w:rPr>
        <w:t xml:space="preserve">for 20 minutes at room temperature </w:t>
      </w:r>
      <w:r w:rsidR="00DD1736" w:rsidRPr="00882AF9">
        <w:rPr>
          <w:color w:val="1F1F1F"/>
        </w:rPr>
        <w:t>before heat treatment</w:t>
      </w:r>
      <w:r w:rsidR="00882AF9" w:rsidRPr="00882AF9">
        <w:rPr>
          <w:color w:val="1F1F1F"/>
        </w:rPr>
        <w:t>.</w:t>
      </w:r>
      <w:r w:rsidR="00DD1736" w:rsidRPr="00882AF9">
        <w:rPr>
          <w:color w:val="1F1F1F"/>
        </w:rPr>
        <w:t xml:space="preserve"> </w:t>
      </w:r>
      <w:r w:rsidR="00882AF9" w:rsidRPr="00882AF9">
        <w:rPr>
          <w:color w:val="1F1F1F"/>
        </w:rPr>
        <w:t xml:space="preserve">After the </w:t>
      </w:r>
      <w:proofErr w:type="spellStart"/>
      <w:r w:rsidR="00882AF9" w:rsidRPr="00882AF9">
        <w:rPr>
          <w:color w:val="1F1F1F"/>
        </w:rPr>
        <w:t>inertization</w:t>
      </w:r>
      <w:proofErr w:type="spellEnd"/>
      <w:r w:rsidR="00882AF9" w:rsidRPr="00882AF9">
        <w:rPr>
          <w:color w:val="1F1F1F"/>
        </w:rPr>
        <w:t xml:space="preserve">, the </w:t>
      </w:r>
      <w:r>
        <w:rPr>
          <w:color w:val="1F1F1F"/>
        </w:rPr>
        <w:t xml:space="preserve">metal impregnated </w:t>
      </w:r>
      <w:proofErr w:type="spellStart"/>
      <w:r>
        <w:rPr>
          <w:color w:val="1F1F1F"/>
        </w:rPr>
        <w:t>biochars</w:t>
      </w:r>
      <w:proofErr w:type="spellEnd"/>
      <w:r w:rsidRPr="00882AF9">
        <w:rPr>
          <w:color w:val="1F1F1F"/>
        </w:rPr>
        <w:t xml:space="preserve"> </w:t>
      </w:r>
      <w:r w:rsidR="00882AF9" w:rsidRPr="00882AF9">
        <w:rPr>
          <w:color w:val="1F1F1F"/>
        </w:rPr>
        <w:t>were heat</w:t>
      </w:r>
      <w:r w:rsidR="008C7009">
        <w:rPr>
          <w:color w:val="1F1F1F"/>
        </w:rPr>
        <w:t>e</w:t>
      </w:r>
      <w:r w:rsidR="00882AF9" w:rsidRPr="00882AF9">
        <w:rPr>
          <w:color w:val="1F1F1F"/>
        </w:rPr>
        <w:t xml:space="preserve">d </w:t>
      </w:r>
      <w:r w:rsidR="00DD1736" w:rsidRPr="00882AF9">
        <w:rPr>
          <w:color w:val="1F1F1F"/>
        </w:rPr>
        <w:t xml:space="preserve">at 400 and 600°C </w:t>
      </w:r>
      <w:r w:rsidR="00882AF9" w:rsidRPr="00882AF9">
        <w:rPr>
          <w:color w:val="1F1F1F"/>
        </w:rPr>
        <w:t>for</w:t>
      </w:r>
      <w:r w:rsidR="00DD1736" w:rsidRPr="00882AF9">
        <w:rPr>
          <w:color w:val="1F1F1F"/>
        </w:rPr>
        <w:t xml:space="preserve"> 1 hour</w:t>
      </w:r>
      <w:r w:rsidR="008C7009">
        <w:rPr>
          <w:color w:val="1F1F1F"/>
        </w:rPr>
        <w:t>, with</w:t>
      </w:r>
      <w:r>
        <w:rPr>
          <w:color w:val="1F1F1F"/>
        </w:rPr>
        <w:t xml:space="preserve"> nitrogen</w:t>
      </w:r>
      <w:r w:rsidR="00882AF9" w:rsidRPr="00882AF9">
        <w:rPr>
          <w:color w:val="1F1F1F"/>
        </w:rPr>
        <w:t xml:space="preserve"> flowrate of </w:t>
      </w:r>
      <w:r w:rsidR="00D67A1E">
        <w:rPr>
          <w:color w:val="1F1F1F"/>
        </w:rPr>
        <w:t>2</w:t>
      </w:r>
      <w:r w:rsidR="00882AF9" w:rsidRPr="00882AF9">
        <w:rPr>
          <w:color w:val="1F1F1F"/>
        </w:rPr>
        <w:t xml:space="preserve"> l/h.</w:t>
      </w:r>
    </w:p>
    <w:p w14:paraId="69537903" w14:textId="5154A582" w:rsidR="00FF03F2" w:rsidRDefault="00FF03F2" w:rsidP="00DD1736">
      <w:pPr>
        <w:pStyle w:val="CETheadingx"/>
        <w:numPr>
          <w:ilvl w:val="2"/>
          <w:numId w:val="24"/>
        </w:numPr>
      </w:pPr>
      <w:r>
        <w:t>Adsorption</w:t>
      </w:r>
    </w:p>
    <w:p w14:paraId="710EBF2E" w14:textId="5DC92C57" w:rsidR="00377D62" w:rsidRDefault="00FF03F2" w:rsidP="00FF03F2">
      <w:pPr>
        <w:pStyle w:val="CETBodytext"/>
      </w:pPr>
      <w:r w:rsidRPr="00FF03F2">
        <w:t>The CO</w:t>
      </w:r>
      <w:r w:rsidRPr="00FF03F2">
        <w:rPr>
          <w:vertAlign w:val="subscript"/>
        </w:rPr>
        <w:t>2</w:t>
      </w:r>
      <w:r w:rsidRPr="00FF03F2">
        <w:t xml:space="preserve"> absorption properties of the </w:t>
      </w:r>
      <w:r w:rsidR="00882AF9">
        <w:t xml:space="preserve">biochar-based </w:t>
      </w:r>
      <w:r w:rsidRPr="00FF03F2">
        <w:t>adsorbents were investigated at 25°C using 15 vol.% CO</w:t>
      </w:r>
      <w:r w:rsidRPr="00FF03F2">
        <w:rPr>
          <w:vertAlign w:val="subscript"/>
        </w:rPr>
        <w:t>2</w:t>
      </w:r>
      <w:r w:rsidRPr="00FF03F2">
        <w:t>-N</w:t>
      </w:r>
      <w:r w:rsidRPr="00FF03F2">
        <w:rPr>
          <w:vertAlign w:val="subscript"/>
        </w:rPr>
        <w:t>2</w:t>
      </w:r>
      <w:r w:rsidRPr="00FF03F2">
        <w:t xml:space="preserve"> gas mixture. For the adsorption, 14 g of impregnated </w:t>
      </w:r>
      <w:r w:rsidR="00A42F25">
        <w:t>biochar</w:t>
      </w:r>
      <w:r w:rsidR="00A42F25" w:rsidRPr="00FF03F2">
        <w:t xml:space="preserve"> </w:t>
      </w:r>
      <w:r w:rsidRPr="00FF03F2">
        <w:t xml:space="preserve">was loaded into </w:t>
      </w:r>
      <w:r w:rsidR="00A30FE1" w:rsidRPr="00FF03F2">
        <w:t>a</w:t>
      </w:r>
      <w:r w:rsidRPr="00FF03F2">
        <w:t xml:space="preserve"> U-tube, which was placed in thermostat</w:t>
      </w:r>
      <w:r w:rsidR="006B5F0B">
        <w:t xml:space="preserve"> (</w:t>
      </w:r>
      <w:proofErr w:type="spellStart"/>
      <w:r w:rsidR="00927158">
        <w:t>Julabo</w:t>
      </w:r>
      <w:proofErr w:type="spellEnd"/>
      <w:r w:rsidR="006B5F0B">
        <w:t>)</w:t>
      </w:r>
      <w:r w:rsidR="00882AF9">
        <w:t xml:space="preserve"> </w:t>
      </w:r>
      <w:r w:rsidRPr="00FF03F2">
        <w:t>to ensure a constant temperature (30°C). The gas flow rate was set to 4.1 l/. The CO</w:t>
      </w:r>
      <w:r w:rsidRPr="00FF03F2">
        <w:rPr>
          <w:vertAlign w:val="subscript"/>
        </w:rPr>
        <w:t>2</w:t>
      </w:r>
      <w:r w:rsidRPr="00FF03F2">
        <w:t xml:space="preserve"> concentration was measured by a Draeger X-am 7000 multi-gas </w:t>
      </w:r>
      <w:proofErr w:type="gramStart"/>
      <w:r w:rsidRPr="00FF03F2">
        <w:t>detector</w:t>
      </w:r>
      <w:proofErr w:type="gramEnd"/>
      <w:r>
        <w:t xml:space="preserve">. </w:t>
      </w:r>
      <w:r w:rsidRPr="00FF03F2">
        <w:t>The acquired CO</w:t>
      </w:r>
      <w:r w:rsidRPr="00FF03F2">
        <w:rPr>
          <w:vertAlign w:val="subscript"/>
        </w:rPr>
        <w:t>2</w:t>
      </w:r>
      <w:r w:rsidRPr="00FF03F2">
        <w:t xml:space="preserve"> breakthrough curves were used to determine the breakthrough time (</w:t>
      </w:r>
      <w:proofErr w:type="spellStart"/>
      <w:r w:rsidRPr="00FF03F2">
        <w:t>t</w:t>
      </w:r>
      <w:r w:rsidRPr="00FF03F2">
        <w:rPr>
          <w:vertAlign w:val="subscript"/>
        </w:rPr>
        <w:t>br</w:t>
      </w:r>
      <w:proofErr w:type="spellEnd"/>
      <w:r w:rsidRPr="00FF03F2">
        <w:t>)</w:t>
      </w:r>
      <w:r>
        <w:t xml:space="preserve"> of the </w:t>
      </w:r>
      <w:r w:rsidRPr="00FF03F2">
        <w:t>CO</w:t>
      </w:r>
      <w:r w:rsidRPr="00FF03F2">
        <w:rPr>
          <w:vertAlign w:val="subscript"/>
        </w:rPr>
        <w:t>2</w:t>
      </w:r>
      <w:r w:rsidRPr="00FF03F2">
        <w:t>, which was used to determine the adsorption capacity (q) in mg CO</w:t>
      </w:r>
      <w:r w:rsidRPr="00FF03F2">
        <w:rPr>
          <w:vertAlign w:val="subscript"/>
        </w:rPr>
        <w:t>2</w:t>
      </w:r>
      <w:r w:rsidRPr="00FF03F2">
        <w:t>/g sorbent unit.</w:t>
      </w:r>
    </w:p>
    <w:p w14:paraId="22433BAD" w14:textId="7078EEC3" w:rsidR="00FF03F2" w:rsidRDefault="00FF03F2" w:rsidP="00FF03F2">
      <w:pPr>
        <w:pStyle w:val="CETHeading1"/>
      </w:pPr>
      <w:r>
        <w:lastRenderedPageBreak/>
        <w:t>Results and discussion</w:t>
      </w:r>
    </w:p>
    <w:p w14:paraId="0C5D276F" w14:textId="6D1F3B29" w:rsidR="00A30FE1" w:rsidRPr="00A30FE1" w:rsidRDefault="00A30FE1" w:rsidP="002B2020">
      <w:pPr>
        <w:pStyle w:val="CETheadingx"/>
      </w:pPr>
      <w:r>
        <w:t>Adsorption isotherms</w:t>
      </w:r>
    </w:p>
    <w:p w14:paraId="16B5F251" w14:textId="2B039D04" w:rsidR="00B865F4" w:rsidRDefault="00B865F4" w:rsidP="00B865F4">
      <w:pPr>
        <w:pStyle w:val="CETBodytext"/>
      </w:pPr>
      <w:r>
        <w:t>The CO</w:t>
      </w:r>
      <w:r w:rsidRPr="00314E64">
        <w:rPr>
          <w:vertAlign w:val="subscript"/>
        </w:rPr>
        <w:t>2</w:t>
      </w:r>
      <w:r>
        <w:t xml:space="preserve"> adsorption breakthrough curves of the biochar-based sorbents obtained are shown in Figure </w:t>
      </w:r>
      <w:r w:rsidR="00BE4339">
        <w:t>2</w:t>
      </w:r>
      <w:r>
        <w:t>. Based on the results, it can be concluded that for the reference samples, the breakthrough occurs slightly earlier (</w:t>
      </w:r>
      <w:r>
        <w:sym w:font="Symbol" w:char="F07E"/>
      </w:r>
      <w:r>
        <w:t xml:space="preserve">25 seconds) for the 0.80-0.40 mm particle size fraction than for the 3.15-2.50 mm particle size fraction. Accordingly, the reference samples CM1 and CM2 have a capacity of 2.9 </w:t>
      </w:r>
      <w:r w:rsidRPr="00FF03F2">
        <w:t>mg CO</w:t>
      </w:r>
      <w:r w:rsidRPr="00FF03F2">
        <w:rPr>
          <w:vertAlign w:val="subscript"/>
        </w:rPr>
        <w:t>2</w:t>
      </w:r>
      <w:r w:rsidRPr="00FF03F2">
        <w:t xml:space="preserve">/g sorbent </w:t>
      </w:r>
      <w:r>
        <w:t xml:space="preserve">and 3.5 </w:t>
      </w:r>
      <w:r w:rsidRPr="00FF03F2">
        <w:t>mg CO</w:t>
      </w:r>
      <w:r w:rsidRPr="00FF03F2">
        <w:rPr>
          <w:vertAlign w:val="subscript"/>
        </w:rPr>
        <w:t>2</w:t>
      </w:r>
      <w:r w:rsidRPr="00FF03F2">
        <w:t xml:space="preserve">/g sorbent </w:t>
      </w:r>
      <w:r>
        <w:t>respectively. This is probably because the CM1 sample may have a larger particle size but higher porosity than the CM2 sample, so their specific surface areas may be nearly the same.</w:t>
      </w:r>
    </w:p>
    <w:p w14:paraId="5D1DBC41" w14:textId="77777777" w:rsidR="00B865F4" w:rsidRDefault="00B865F4" w:rsidP="00B865F4">
      <w:pPr>
        <w:pStyle w:val="CETBodytext"/>
      </w:pPr>
      <w:r w:rsidRPr="00C10B07">
        <w:rPr>
          <w:noProof/>
          <w:lang w:val="hu-HU" w:eastAsia="hu-HU"/>
        </w:rPr>
        <w:drawing>
          <wp:inline distT="0" distB="0" distL="0" distR="0" wp14:anchorId="5CE5A158" wp14:editId="33315015">
            <wp:extent cx="2174719" cy="2160000"/>
            <wp:effectExtent l="0" t="0" r="0" b="0"/>
            <wp:docPr id="1444948688"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r w:rsidRPr="00C10B07">
        <w:t xml:space="preserve"> </w:t>
      </w:r>
      <w:r w:rsidRPr="00C10B07">
        <w:rPr>
          <w:noProof/>
          <w:lang w:val="hu-HU" w:eastAsia="hu-HU"/>
        </w:rPr>
        <w:drawing>
          <wp:inline distT="0" distB="0" distL="0" distR="0" wp14:anchorId="684D82CD" wp14:editId="250D3ECA">
            <wp:extent cx="2174719" cy="2160000"/>
            <wp:effectExtent l="0" t="0" r="0" b="0"/>
            <wp:docPr id="113785543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p>
    <w:p w14:paraId="58CBF79B" w14:textId="28D57728" w:rsidR="00B865F4" w:rsidRDefault="00B865F4" w:rsidP="00B865F4">
      <w:pPr>
        <w:pStyle w:val="CETCaption"/>
      </w:pPr>
      <w:r>
        <w:t xml:space="preserve">Figure </w:t>
      </w:r>
      <w:r w:rsidR="00BE4339">
        <w:rPr>
          <w:rFonts w:cstheme="minorHAnsi"/>
        </w:rPr>
        <w:t>2</w:t>
      </w:r>
      <w:r>
        <w:t xml:space="preserve">: </w:t>
      </w:r>
      <w:r w:rsidRPr="00EF4F0A">
        <w:t>CO</w:t>
      </w:r>
      <w:r w:rsidRPr="001F4607">
        <w:rPr>
          <w:vertAlign w:val="subscript"/>
        </w:rPr>
        <w:t>2</w:t>
      </w:r>
      <w:r w:rsidRPr="00EF4F0A">
        <w:t xml:space="preserve"> breakthrough curves of adsorbents: a. impregnated at 25°C</w:t>
      </w:r>
      <w:r>
        <w:t xml:space="preserve"> and</w:t>
      </w:r>
      <w:r w:rsidRPr="00EF4F0A">
        <w:t xml:space="preserve"> b. impregnated at 80°C</w:t>
      </w:r>
    </w:p>
    <w:p w14:paraId="23E6E807" w14:textId="51351C3B" w:rsidR="00B865F4" w:rsidRDefault="00B865F4" w:rsidP="007B42AE">
      <w:pPr>
        <w:pStyle w:val="CETBodytext"/>
      </w:pPr>
      <w:bookmarkStart w:id="2" w:name="_Hlk185840005"/>
      <w:r>
        <w:t>As function of particle size, the results show that the CO</w:t>
      </w:r>
      <w:r w:rsidRPr="00FF03F2">
        <w:rPr>
          <w:vertAlign w:val="subscript"/>
        </w:rPr>
        <w:t>2</w:t>
      </w:r>
      <w:r>
        <w:t xml:space="preserve"> breakthrough of the impregnated sorbents occurred at least at the same time as for the reference sample (2,1 min&lt;</w:t>
      </w:r>
      <w:proofErr w:type="spellStart"/>
      <w:r>
        <w:t>t</w:t>
      </w:r>
      <w:r w:rsidRPr="00FF03F2">
        <w:rPr>
          <w:vertAlign w:val="subscript"/>
        </w:rPr>
        <w:t>br</w:t>
      </w:r>
      <w:proofErr w:type="spellEnd"/>
      <w:r>
        <w:t xml:space="preserve">&lt;4,0 min), so the capacity of sorbents increased or remained almost the same </w:t>
      </w:r>
      <w:proofErr w:type="gramStart"/>
      <w:r>
        <w:t>as a result of</w:t>
      </w:r>
      <w:proofErr w:type="gramEnd"/>
      <w:r>
        <w:t xml:space="preserve"> impregnation.</w:t>
      </w:r>
      <w:bookmarkEnd w:id="2"/>
      <w:r>
        <w:t xml:space="preserve"> The change in the capacity was independent of the temperature to be used during the impregnation process. For most of the samples, the 0.80-0.40 mm particle size had higher capacity, than that of </w:t>
      </w:r>
      <w:r w:rsidRPr="00882AF9">
        <w:rPr>
          <w:color w:val="1F1F1F"/>
        </w:rPr>
        <w:t>3.15-2.50 mm</w:t>
      </w:r>
      <w:r>
        <w:t xml:space="preserve">. </w:t>
      </w:r>
      <w:r w:rsidRPr="00CE63C7">
        <w:t>The capacity increased by an average of 1.9 mg CO</w:t>
      </w:r>
      <w:r w:rsidRPr="00637A7E">
        <w:rPr>
          <w:vertAlign w:val="subscript"/>
        </w:rPr>
        <w:t>2</w:t>
      </w:r>
      <w:r w:rsidRPr="00CE63C7">
        <w:t>/g sorbent compared to the reference, an overall increase of 89% on average.</w:t>
      </w:r>
      <w:r>
        <w:t xml:space="preserve"> The highest capacity was found for CM2_80_Cu, which was 4.1 </w:t>
      </w:r>
      <w:r w:rsidRPr="00FF03F2">
        <w:t>mg CO</w:t>
      </w:r>
      <w:r w:rsidRPr="00FF03F2">
        <w:rPr>
          <w:vertAlign w:val="subscript"/>
        </w:rPr>
        <w:t>2</w:t>
      </w:r>
      <w:r w:rsidRPr="00FF03F2">
        <w:t>/g sorbent</w:t>
      </w:r>
      <w:r>
        <w:t>. However, the results show that the capacity for some samples impregnated at 25°C was worse than that of samples impregnated at 80°C. As it is known, the adsorption is favored by the low temperature, therefore at room temperature more metals are likely to have been impregnated onto the surface of the biochar, blocking the pores of the sorbent and reducing its capacity.</w:t>
      </w:r>
    </w:p>
    <w:p w14:paraId="26CEFABD" w14:textId="77777777" w:rsidR="00B865F4" w:rsidRDefault="00B865F4" w:rsidP="00B865F4">
      <w:pPr>
        <w:pStyle w:val="CETBodytext"/>
      </w:pPr>
      <w:r w:rsidRPr="00C10B07">
        <w:rPr>
          <w:noProof/>
          <w:lang w:val="hu-HU" w:eastAsia="hu-HU"/>
        </w:rPr>
        <w:drawing>
          <wp:inline distT="0" distB="0" distL="0" distR="0" wp14:anchorId="0F0058A2" wp14:editId="19FC66A3">
            <wp:extent cx="2174719" cy="2160000"/>
            <wp:effectExtent l="0" t="0" r="0" b="0"/>
            <wp:docPr id="177216070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r w:rsidRPr="00104441">
        <w:t xml:space="preserve"> </w:t>
      </w:r>
      <w:r w:rsidRPr="00104441">
        <w:rPr>
          <w:noProof/>
          <w:lang w:val="hu-HU" w:eastAsia="hu-HU"/>
        </w:rPr>
        <w:drawing>
          <wp:inline distT="0" distB="0" distL="0" distR="0" wp14:anchorId="2496A10E" wp14:editId="35C9CB99">
            <wp:extent cx="2174719" cy="2160000"/>
            <wp:effectExtent l="0" t="0" r="0" b="0"/>
            <wp:docPr id="1056423732"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p>
    <w:p w14:paraId="6D75E519" w14:textId="02395602" w:rsidR="00B865F4" w:rsidRDefault="00B865F4" w:rsidP="00B865F4">
      <w:pPr>
        <w:pStyle w:val="CETCaption"/>
      </w:pPr>
      <w:r>
        <w:t xml:space="preserve">Figure </w:t>
      </w:r>
      <w:r w:rsidR="00BE4339">
        <w:rPr>
          <w:rFonts w:cstheme="minorHAnsi"/>
        </w:rPr>
        <w:t>3</w:t>
      </w:r>
      <w:r>
        <w:t xml:space="preserve">: </w:t>
      </w:r>
      <w:r w:rsidRPr="00EF4F0A">
        <w:t>CO</w:t>
      </w:r>
      <w:r w:rsidRPr="001F4607">
        <w:rPr>
          <w:vertAlign w:val="subscript"/>
        </w:rPr>
        <w:t>2</w:t>
      </w:r>
      <w:r w:rsidRPr="00EF4F0A">
        <w:t xml:space="preserve"> breakthrough curves of adsorbents: </w:t>
      </w:r>
      <w:r>
        <w:t>a</w:t>
      </w:r>
      <w:r w:rsidRPr="00EF4F0A">
        <w:t>. impregnated at 25°C and heat treated at 400°C</w:t>
      </w:r>
      <w:r>
        <w:t xml:space="preserve"> and</w:t>
      </w:r>
      <w:r w:rsidRPr="00EF4F0A">
        <w:t xml:space="preserve"> </w:t>
      </w:r>
      <w:r>
        <w:t>b</w:t>
      </w:r>
      <w:r w:rsidRPr="00EF4F0A">
        <w:t>. impregnated at 80°C and heat treated at 400°C</w:t>
      </w:r>
    </w:p>
    <w:p w14:paraId="5C11C1B7" w14:textId="575574EB" w:rsidR="00E82F2B" w:rsidRDefault="00E82F2B" w:rsidP="00B865F4">
      <w:pPr>
        <w:pStyle w:val="CETBodytext"/>
      </w:pPr>
      <w:r>
        <w:t>Regarding the heat treatment, the results show that the heat treatment after impregnation had a positive effect on the CO</w:t>
      </w:r>
      <w:r w:rsidRPr="00FF03F2">
        <w:rPr>
          <w:vertAlign w:val="subscript"/>
        </w:rPr>
        <w:t>2</w:t>
      </w:r>
      <w:r>
        <w:t xml:space="preserve"> capture of the impregnated sorbents (Figure 3 and Figure 4). Similarly to the reference samples, </w:t>
      </w:r>
      <w:r>
        <w:lastRenderedPageBreak/>
        <w:t>due to the heat treatment, most of the impregnated CM1 sorbents showed a longer breakthrough time, resulting sorbents with higher specific capacities than the impregnated CM2 sorbents. This observation is true for samples with both particle size ranges treated at 400°C and 600°C. The increase in the breakthrough times at 400°C and 600°C was at least 6.5% and 17.5% respectively.</w:t>
      </w:r>
    </w:p>
    <w:p w14:paraId="5EE2D203" w14:textId="3E7CFD64" w:rsidR="00B865F4" w:rsidRDefault="00B865F4" w:rsidP="00B865F4">
      <w:pPr>
        <w:pStyle w:val="CETBodytext"/>
      </w:pPr>
      <w:r>
        <w:t xml:space="preserve">The results show that in case of 400°C heat treatment, the capacity of the CM2 sample did not change significantly (0.7 </w:t>
      </w:r>
      <w:r w:rsidRPr="00FF03F2">
        <w:t>mg CO</w:t>
      </w:r>
      <w:r w:rsidRPr="00FF03F2">
        <w:rPr>
          <w:vertAlign w:val="subscript"/>
        </w:rPr>
        <w:t>2</w:t>
      </w:r>
      <w:r w:rsidRPr="00FF03F2">
        <w:t xml:space="preserve">/g sorbent </w:t>
      </w:r>
      <w:r>
        <w:t xml:space="preserve">increase in capacity), whereas the capacity of the reference sample increased by 2.5 times using CM1 biochar. At higher temperatures (600°C), the heat treatment can increase the capacity of the reference samples (CM1 and CM2) by at least 1.5 times. However, the capacity of the CM1_600 particle size fraction decreased compared to the samples heated at 400°C. The capacity of the CM1_600 sample (3.6 </w:t>
      </w:r>
      <w:r w:rsidRPr="00FF03F2">
        <w:t>mg CO</w:t>
      </w:r>
      <w:r w:rsidRPr="00FF03F2">
        <w:rPr>
          <w:vertAlign w:val="subscript"/>
        </w:rPr>
        <w:t>2</w:t>
      </w:r>
      <w:r w:rsidRPr="00FF03F2">
        <w:t>/g sorbent</w:t>
      </w:r>
      <w:r>
        <w:t xml:space="preserve">) was 25% lower than that of the CM1_400 sample (4.9 </w:t>
      </w:r>
      <w:r w:rsidRPr="00FF03F2">
        <w:t>mg CO</w:t>
      </w:r>
      <w:r w:rsidRPr="00FF03F2">
        <w:rPr>
          <w:vertAlign w:val="subscript"/>
        </w:rPr>
        <w:t>2</w:t>
      </w:r>
      <w:r w:rsidRPr="00FF03F2">
        <w:t>/g sorbent</w:t>
      </w:r>
      <w:r>
        <w:t>). However, the capacity of the other particle fraction (CM2) increased by 34% after heat treatment at 600°C.</w:t>
      </w:r>
    </w:p>
    <w:p w14:paraId="3E9FA684" w14:textId="77777777" w:rsidR="00B865F4" w:rsidRDefault="00B865F4" w:rsidP="00B865F4">
      <w:pPr>
        <w:pStyle w:val="CETBodytext"/>
        <w:spacing w:before="240"/>
      </w:pPr>
      <w:r w:rsidRPr="00C10B07">
        <w:rPr>
          <w:noProof/>
          <w:lang w:val="hu-HU" w:eastAsia="hu-HU"/>
        </w:rPr>
        <w:drawing>
          <wp:inline distT="0" distB="0" distL="0" distR="0" wp14:anchorId="30DBF030" wp14:editId="42187D48">
            <wp:extent cx="2174719" cy="2160000"/>
            <wp:effectExtent l="0" t="0" r="0" b="0"/>
            <wp:docPr id="6135112"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r w:rsidRPr="00104441">
        <w:t xml:space="preserve"> </w:t>
      </w:r>
      <w:r w:rsidRPr="00104441">
        <w:rPr>
          <w:noProof/>
          <w:lang w:val="hu-HU" w:eastAsia="hu-HU"/>
        </w:rPr>
        <w:drawing>
          <wp:inline distT="0" distB="0" distL="0" distR="0" wp14:anchorId="351AE469" wp14:editId="58BBE6FB">
            <wp:extent cx="2174719" cy="2160000"/>
            <wp:effectExtent l="0" t="0" r="0" b="0"/>
            <wp:docPr id="1420097456"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4719" cy="2160000"/>
                    </a:xfrm>
                    <a:prstGeom prst="rect">
                      <a:avLst/>
                    </a:prstGeom>
                    <a:noFill/>
                    <a:ln>
                      <a:noFill/>
                    </a:ln>
                  </pic:spPr>
                </pic:pic>
              </a:graphicData>
            </a:graphic>
          </wp:inline>
        </w:drawing>
      </w:r>
    </w:p>
    <w:p w14:paraId="0DC3DF3D" w14:textId="2C00AE17" w:rsidR="00B865F4" w:rsidRDefault="00B865F4" w:rsidP="00B865F4">
      <w:pPr>
        <w:pStyle w:val="CETCaption"/>
      </w:pPr>
      <w:r>
        <w:t xml:space="preserve">Figure </w:t>
      </w:r>
      <w:r w:rsidR="00BE4339">
        <w:rPr>
          <w:rFonts w:cstheme="minorHAnsi"/>
        </w:rPr>
        <w:t>4</w:t>
      </w:r>
      <w:r>
        <w:t xml:space="preserve">: </w:t>
      </w:r>
      <w:r w:rsidRPr="00EF4F0A">
        <w:t>CO</w:t>
      </w:r>
      <w:r w:rsidRPr="001F4607">
        <w:rPr>
          <w:vertAlign w:val="subscript"/>
        </w:rPr>
        <w:t>2</w:t>
      </w:r>
      <w:r w:rsidRPr="00EF4F0A">
        <w:t xml:space="preserve"> breakthrough curves of adsorbents: </w:t>
      </w:r>
      <w:r>
        <w:t>a</w:t>
      </w:r>
      <w:r w:rsidRPr="00EF4F0A">
        <w:t xml:space="preserve">. impregnated at 25°C and heat treated at 600°C and </w:t>
      </w:r>
      <w:r>
        <w:t>b</w:t>
      </w:r>
      <w:r w:rsidRPr="00EF4F0A">
        <w:t>. impregnated at 80°C and heat treated at 600°C</w:t>
      </w:r>
    </w:p>
    <w:p w14:paraId="6FFB368C" w14:textId="4AF1EB57" w:rsidR="00A30FE1" w:rsidRDefault="00A30FE1" w:rsidP="00A30FE1">
      <w:pPr>
        <w:pStyle w:val="CETheadingx"/>
        <w:numPr>
          <w:ilvl w:val="2"/>
          <w:numId w:val="24"/>
        </w:numPr>
      </w:pPr>
      <w:r>
        <w:t>CO</w:t>
      </w:r>
      <w:r w:rsidRPr="002B2020">
        <w:rPr>
          <w:vertAlign w:val="subscript"/>
        </w:rPr>
        <w:t>2</w:t>
      </w:r>
      <w:r>
        <w:t xml:space="preserve"> capacity of the sorbents</w:t>
      </w:r>
    </w:p>
    <w:p w14:paraId="2E57CD00" w14:textId="57B715B7" w:rsidR="00B865F4" w:rsidRDefault="00B865F4" w:rsidP="00B865F4">
      <w:pPr>
        <w:pStyle w:val="CETBodytext"/>
      </w:pPr>
      <w:r>
        <w:t>The specific capacity for the different adsorbents is shown in Figure</w:t>
      </w:r>
      <w:r w:rsidR="00BE4339">
        <w:t xml:space="preserve"> 5</w:t>
      </w:r>
      <w:r w:rsidR="00E82F2B">
        <w:t xml:space="preserve"> and 6</w:t>
      </w:r>
      <w:r>
        <w:t xml:space="preserve">. </w:t>
      </w:r>
      <w:r w:rsidRPr="004C33E6">
        <w:t>For both the CM1_80</w:t>
      </w:r>
      <w:r>
        <w:t>_</w:t>
      </w:r>
      <w:r w:rsidRPr="004C33E6">
        <w:t xml:space="preserve">400 and CM1_80_600 impregnated samples, it </w:t>
      </w:r>
      <w:r>
        <w:t>can be</w:t>
      </w:r>
      <w:r w:rsidRPr="004C33E6">
        <w:t xml:space="preserve"> concluded that the sorbent capacity increased or remained almost unchanged after heat </w:t>
      </w:r>
      <w:r w:rsidR="00A30FE1" w:rsidRPr="004C33E6">
        <w:t>treatment.</w:t>
      </w:r>
      <w:r>
        <w:t xml:space="preserve"> But the opposite trend was observed for CM2_80_400 and CM2_80_600, where the capacity was reduced by the heat treatment. On average, the capacity decrease was 45%. A similar conclusion was found for samples impregnated at 25°C. </w:t>
      </w:r>
    </w:p>
    <w:p w14:paraId="7A4B32DD" w14:textId="750B505D" w:rsidR="00E82F2B" w:rsidRDefault="00B865F4" w:rsidP="00B865F4">
      <w:pPr>
        <w:pStyle w:val="NoSpacing"/>
        <w:keepNext/>
        <w:rPr>
          <w:noProof/>
          <w:lang w:eastAsia="hu-HU"/>
        </w:rPr>
      </w:pPr>
      <w:r w:rsidRPr="00104441">
        <w:rPr>
          <w:noProof/>
          <w:lang w:eastAsia="hu-HU"/>
        </w:rPr>
        <w:drawing>
          <wp:inline distT="0" distB="0" distL="0" distR="0" wp14:anchorId="58638567" wp14:editId="3A9B5CA6">
            <wp:extent cx="3291840" cy="2181225"/>
            <wp:effectExtent l="0" t="0" r="3810" b="9525"/>
            <wp:docPr id="1110446247"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r="4435"/>
                    <a:stretch/>
                  </pic:blipFill>
                  <pic:spPr bwMode="auto">
                    <a:xfrm>
                      <a:off x="0" y="0"/>
                      <a:ext cx="3292406" cy="2181600"/>
                    </a:xfrm>
                    <a:prstGeom prst="rect">
                      <a:avLst/>
                    </a:prstGeom>
                    <a:noFill/>
                    <a:ln>
                      <a:noFill/>
                    </a:ln>
                    <a:extLst>
                      <a:ext uri="{53640926-AAD7-44D8-BBD7-CCE9431645EC}">
                        <a14:shadowObscured xmlns:a14="http://schemas.microsoft.com/office/drawing/2010/main"/>
                      </a:ext>
                    </a:extLst>
                  </pic:spPr>
                </pic:pic>
              </a:graphicData>
            </a:graphic>
          </wp:inline>
        </w:drawing>
      </w:r>
    </w:p>
    <w:p w14:paraId="5BF8DB8B" w14:textId="4DEFEFAB" w:rsidR="00E82F2B" w:rsidRDefault="00E82F2B" w:rsidP="00E82F2B">
      <w:pPr>
        <w:pStyle w:val="CETCaption"/>
      </w:pPr>
      <w:r>
        <w:t xml:space="preserve">Figure 5: </w:t>
      </w:r>
      <w:r w:rsidRPr="00EF4F0A">
        <w:t>Specific CO</w:t>
      </w:r>
      <w:r w:rsidRPr="001F4607">
        <w:rPr>
          <w:vertAlign w:val="subscript"/>
        </w:rPr>
        <w:t>2</w:t>
      </w:r>
      <w:r w:rsidRPr="00EF4F0A">
        <w:t xml:space="preserve"> capacity of the adsorbents3.15-2.50 mm</w:t>
      </w:r>
    </w:p>
    <w:p w14:paraId="40F0F4F0" w14:textId="76F17F24" w:rsidR="00E82F2B" w:rsidRDefault="00E82F2B" w:rsidP="00E82F2B">
      <w:pPr>
        <w:pStyle w:val="CETCaption"/>
      </w:pPr>
      <w:r>
        <w:t xml:space="preserve">It was found that the capacity of the adsorbents increased or remained almost unchanged after heat treatment for both CM1_25_400 and CM1_25_600 samples. The average increase of the capacity was 12%. The best performance was achieved with Ni, Cu and Zn impregnated sorbents, and the highest capacity was obtained with CM1_Ni, CM1_Cu and CM1_Zn adsorbents. The average capacity was higher than 4.0 </w:t>
      </w:r>
      <w:r w:rsidRPr="00FF03F2">
        <w:t>mg CO</w:t>
      </w:r>
      <w:r w:rsidRPr="00FF03F2">
        <w:rPr>
          <w:vertAlign w:val="subscript"/>
        </w:rPr>
        <w:t>2</w:t>
      </w:r>
      <w:r w:rsidRPr="00FF03F2">
        <w:t>/g sorbent</w:t>
      </w:r>
      <w:r>
        <w:t xml:space="preserve">. </w:t>
      </w:r>
      <w:r w:rsidRPr="00BB67E8">
        <w:t xml:space="preserve">Overall, </w:t>
      </w:r>
      <w:r>
        <w:t>it can be</w:t>
      </w:r>
      <w:r w:rsidRPr="00BB67E8">
        <w:t xml:space="preserve"> concluded that the thermal treatment after impregnation has a positive effect on the CO</w:t>
      </w:r>
      <w:r w:rsidRPr="00BB67E8">
        <w:rPr>
          <w:vertAlign w:val="subscript"/>
        </w:rPr>
        <w:t>2</w:t>
      </w:r>
      <w:r w:rsidRPr="00BB67E8">
        <w:t xml:space="preserve"> adsorption properties of sorbents.</w:t>
      </w:r>
      <w:r>
        <w:t xml:space="preserve"> T</w:t>
      </w:r>
      <w:r w:rsidRPr="00BB67E8">
        <w:t>o the fact that</w:t>
      </w:r>
      <w:r>
        <w:t>, a</w:t>
      </w:r>
      <w:r w:rsidRPr="00BB67E8">
        <w:t>fter impregnation, the metals are present on the sorbent surface in the form of chlorite, nitrate and sulphate salts</w:t>
      </w:r>
      <w:r>
        <w:t>,</w:t>
      </w:r>
      <w:r w:rsidRPr="00BB67E8">
        <w:t xml:space="preserve"> which thermally decompose and form oxides at the heat treatment temperature. As confirmed by </w:t>
      </w:r>
      <w:r>
        <w:t xml:space="preserve">earlier </w:t>
      </w:r>
      <w:r w:rsidRPr="00BB67E8">
        <w:t>measurements, metal oxides are more efficient for CO</w:t>
      </w:r>
      <w:r w:rsidRPr="00BB67E8">
        <w:rPr>
          <w:vertAlign w:val="subscript"/>
        </w:rPr>
        <w:t>2</w:t>
      </w:r>
      <w:r w:rsidRPr="00BB67E8">
        <w:t xml:space="preserve"> absorption.</w:t>
      </w:r>
    </w:p>
    <w:p w14:paraId="7DC745C0" w14:textId="3B9911C3" w:rsidR="00B865F4" w:rsidRDefault="00B865F4" w:rsidP="00B865F4">
      <w:pPr>
        <w:pStyle w:val="NoSpacing"/>
        <w:keepNext/>
        <w:rPr>
          <w:noProof/>
          <w:lang w:eastAsia="hu-HU"/>
        </w:rPr>
      </w:pPr>
      <w:r w:rsidRPr="00104441">
        <w:rPr>
          <w:noProof/>
          <w:lang w:eastAsia="hu-HU"/>
        </w:rPr>
        <w:drawing>
          <wp:inline distT="0" distB="0" distL="0" distR="0" wp14:anchorId="457E59FF" wp14:editId="4324F3D5">
            <wp:extent cx="3291840" cy="2184994"/>
            <wp:effectExtent l="0" t="0" r="3810" b="6350"/>
            <wp:docPr id="136370334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a:extLst>
                        <a:ext uri="{28A0092B-C50C-407E-A947-70E740481C1C}">
                          <a14:useLocalDpi xmlns:a14="http://schemas.microsoft.com/office/drawing/2010/main" val="0"/>
                        </a:ext>
                      </a:extLst>
                    </a:blip>
                    <a:srcRect r="4442"/>
                    <a:stretch/>
                  </pic:blipFill>
                  <pic:spPr bwMode="auto">
                    <a:xfrm>
                      <a:off x="0" y="0"/>
                      <a:ext cx="3292151" cy="2185200"/>
                    </a:xfrm>
                    <a:prstGeom prst="rect">
                      <a:avLst/>
                    </a:prstGeom>
                    <a:noFill/>
                    <a:ln>
                      <a:noFill/>
                    </a:ln>
                    <a:extLst>
                      <a:ext uri="{53640926-AAD7-44D8-BBD7-CCE9431645EC}">
                        <a14:shadowObscured xmlns:a14="http://schemas.microsoft.com/office/drawing/2010/main"/>
                      </a:ext>
                    </a:extLst>
                  </pic:spPr>
                </pic:pic>
              </a:graphicData>
            </a:graphic>
          </wp:inline>
        </w:drawing>
      </w:r>
      <w:r w:rsidRPr="00C10B07">
        <w:rPr>
          <w:noProof/>
          <w:lang w:eastAsia="hu-HU"/>
        </w:rPr>
        <w:t xml:space="preserve"> </w:t>
      </w:r>
    </w:p>
    <w:p w14:paraId="60CBD3F4" w14:textId="1974E15F" w:rsidR="00B865F4" w:rsidRDefault="00B865F4" w:rsidP="00B865F4">
      <w:pPr>
        <w:pStyle w:val="CETCaption"/>
      </w:pPr>
      <w:r>
        <w:t xml:space="preserve">Figure </w:t>
      </w:r>
      <w:r w:rsidR="00E82F2B">
        <w:t>6</w:t>
      </w:r>
      <w:r>
        <w:t xml:space="preserve">: </w:t>
      </w:r>
      <w:r w:rsidRPr="00EF4F0A">
        <w:t>Specific CO</w:t>
      </w:r>
      <w:r w:rsidRPr="001F4607">
        <w:rPr>
          <w:vertAlign w:val="subscript"/>
        </w:rPr>
        <w:t>2</w:t>
      </w:r>
      <w:r w:rsidRPr="00EF4F0A">
        <w:t xml:space="preserve"> capacity of the adsorbent</w:t>
      </w:r>
      <w:r w:rsidR="00E82F2B">
        <w:t xml:space="preserve">s </w:t>
      </w:r>
      <w:r w:rsidRPr="00EF4F0A">
        <w:t>0.80-0.40 mm particle size fraction</w:t>
      </w:r>
    </w:p>
    <w:p w14:paraId="367F265A" w14:textId="37D5A30C" w:rsidR="00A30FE1" w:rsidRDefault="00A30FE1" w:rsidP="00A30FE1">
      <w:pPr>
        <w:pStyle w:val="CETheadingx"/>
        <w:numPr>
          <w:ilvl w:val="2"/>
          <w:numId w:val="24"/>
        </w:numPr>
      </w:pPr>
      <w:r>
        <w:t>Elemental composition</w:t>
      </w:r>
      <w:r w:rsidR="00534B39">
        <w:t xml:space="preserve"> of char</w:t>
      </w:r>
    </w:p>
    <w:p w14:paraId="1452FB21" w14:textId="644F3CEF" w:rsidR="00847EE1" w:rsidRDefault="00CE6F8C" w:rsidP="007B42AE">
      <w:pPr>
        <w:pStyle w:val="CETBodytext"/>
        <w:rPr>
          <w:lang w:val="en-GB"/>
        </w:rPr>
      </w:pPr>
      <w:r w:rsidRPr="00CE6F8C">
        <w:rPr>
          <w:lang w:val="en-GB"/>
        </w:rPr>
        <w:t xml:space="preserve">The elemental composition of the </w:t>
      </w:r>
      <w:r>
        <w:rPr>
          <w:lang w:val="en-GB"/>
        </w:rPr>
        <w:t>used adsorbents</w:t>
      </w:r>
      <w:r w:rsidRPr="00CE6F8C">
        <w:rPr>
          <w:lang w:val="en-GB"/>
        </w:rPr>
        <w:t xml:space="preserve"> was analy</w:t>
      </w:r>
      <w:r>
        <w:rPr>
          <w:lang w:val="en-GB"/>
        </w:rPr>
        <w:t>s</w:t>
      </w:r>
      <w:r w:rsidRPr="00CE6F8C">
        <w:rPr>
          <w:lang w:val="en-GB"/>
        </w:rPr>
        <w:t>ed</w:t>
      </w:r>
      <w:r>
        <w:rPr>
          <w:lang w:val="en-GB"/>
        </w:rPr>
        <w:t xml:space="preserve"> by</w:t>
      </w:r>
      <w:r w:rsidRPr="00CE6F8C">
        <w:rPr>
          <w:lang w:val="en-GB"/>
        </w:rPr>
        <w:t xml:space="preserve"> a Shimadzu EDX-8100 Energy Dispersive X-ray Fluorescence spectroscopy</w:t>
      </w:r>
      <w:r w:rsidR="00B91BD8">
        <w:rPr>
          <w:lang w:val="en-GB"/>
        </w:rPr>
        <w:t>.</w:t>
      </w:r>
      <w:r w:rsidR="002B2020">
        <w:rPr>
          <w:lang w:val="en-GB"/>
        </w:rPr>
        <w:t xml:space="preserve"> </w:t>
      </w:r>
      <w:r w:rsidR="0073318B" w:rsidRPr="0073318B">
        <w:rPr>
          <w:lang w:val="en-GB"/>
        </w:rPr>
        <w:t xml:space="preserve">The results showed that both the impregnation temperature and the particle size had an effect on the </w:t>
      </w:r>
      <w:proofErr w:type="gramStart"/>
      <w:r w:rsidR="0073318B" w:rsidRPr="0073318B">
        <w:rPr>
          <w:lang w:val="en-GB"/>
        </w:rPr>
        <w:t>amount</w:t>
      </w:r>
      <w:proofErr w:type="gramEnd"/>
      <w:r w:rsidR="0073318B" w:rsidRPr="0073318B">
        <w:rPr>
          <w:lang w:val="en-GB"/>
        </w:rPr>
        <w:t xml:space="preserve"> of metals impregnated on the </w:t>
      </w:r>
      <w:r w:rsidR="002B2020">
        <w:rPr>
          <w:lang w:val="en-GB"/>
        </w:rPr>
        <w:t xml:space="preserve">char </w:t>
      </w:r>
      <w:r w:rsidR="0073318B" w:rsidRPr="0073318B">
        <w:rPr>
          <w:lang w:val="en-GB"/>
        </w:rPr>
        <w:t>surface.</w:t>
      </w:r>
      <w:r w:rsidR="0073318B">
        <w:rPr>
          <w:lang w:val="en-GB"/>
        </w:rPr>
        <w:t xml:space="preserve"> </w:t>
      </w:r>
      <w:r w:rsidR="0081503F" w:rsidRPr="0081503F">
        <w:rPr>
          <w:lang w:val="en-GB"/>
        </w:rPr>
        <w:t xml:space="preserve">The results show that in the case of biochar impregnated at 80°C, less metal </w:t>
      </w:r>
      <w:r w:rsidR="000545B8" w:rsidRPr="0081503F">
        <w:rPr>
          <w:lang w:val="en-GB"/>
        </w:rPr>
        <w:t>was</w:t>
      </w:r>
      <w:r w:rsidR="0081503F" w:rsidRPr="0081503F">
        <w:rPr>
          <w:lang w:val="en-GB"/>
        </w:rPr>
        <w:t xml:space="preserve"> impregnated on CM1 p</w:t>
      </w:r>
      <w:r w:rsidR="00534B39">
        <w:rPr>
          <w:lang w:val="en-GB"/>
        </w:rPr>
        <w:t xml:space="preserve">articles than on CM2 particles. </w:t>
      </w:r>
      <w:r w:rsidR="000545B8" w:rsidRPr="00847EE1">
        <w:rPr>
          <w:lang w:val="en-GB"/>
        </w:rPr>
        <w:t>Considering</w:t>
      </w:r>
      <w:r w:rsidR="00847EE1" w:rsidRPr="00847EE1">
        <w:rPr>
          <w:lang w:val="en-GB"/>
        </w:rPr>
        <w:t xml:space="preserve"> the amount of metal components impregnated on the sorbent surface, the more metal impregnated on the sorbent surface, the higher the sorbent capacity. For sorbents impregnated at 80°C</w:t>
      </w:r>
      <w:r w:rsidR="00847EE1">
        <w:rPr>
          <w:lang w:val="en-GB"/>
        </w:rPr>
        <w:t xml:space="preserve"> t</w:t>
      </w:r>
      <w:r w:rsidR="00847EE1" w:rsidRPr="00847EE1">
        <w:rPr>
          <w:lang w:val="en-GB"/>
        </w:rPr>
        <w:t xml:space="preserve">he results show that although the nickel fraction was the smallest in the sorbent after impregnation, it was the second largest capacity measured. In the presence of </w:t>
      </w:r>
      <w:r w:rsidR="005908CE" w:rsidRPr="00847EE1">
        <w:rPr>
          <w:lang w:val="en-GB"/>
        </w:rPr>
        <w:t>nickel,</w:t>
      </w:r>
      <w:r w:rsidR="00847EE1" w:rsidRPr="00847EE1">
        <w:rPr>
          <w:lang w:val="en-GB"/>
        </w:rPr>
        <w:t xml:space="preserve"> the sorbent capacity increased by 2-3 times. </w:t>
      </w:r>
      <w:r w:rsidR="002B2020">
        <w:rPr>
          <w:lang w:val="en-GB"/>
        </w:rPr>
        <w:t>Regarding the effect of metals</w:t>
      </w:r>
      <w:r w:rsidR="00847EE1" w:rsidRPr="00847EE1">
        <w:rPr>
          <w:lang w:val="en-GB"/>
        </w:rPr>
        <w:t>, zinc and magnesium had the least effect on the capacity.</w:t>
      </w:r>
    </w:p>
    <w:p w14:paraId="068F2590" w14:textId="77777777" w:rsidR="00B865F4" w:rsidRDefault="00B865F4" w:rsidP="00B865F4">
      <w:pPr>
        <w:pStyle w:val="CETHeading1"/>
      </w:pPr>
      <w:r>
        <w:t>Conclusion</w:t>
      </w:r>
    </w:p>
    <w:p w14:paraId="7F8CF024" w14:textId="22041DA1" w:rsidR="00B865F4" w:rsidRDefault="00B865F4" w:rsidP="00B865F4">
      <w:pPr>
        <w:pStyle w:val="CETBodytext"/>
      </w:pPr>
      <w:r w:rsidRPr="00686D8F">
        <w:t>The CO</w:t>
      </w:r>
      <w:r w:rsidRPr="00686D8F">
        <w:rPr>
          <w:vertAlign w:val="subscript"/>
        </w:rPr>
        <w:t>2</w:t>
      </w:r>
      <w:r w:rsidRPr="00686D8F">
        <w:t xml:space="preserve"> adsorption capacity of metal-impregnated and heat-treated biochar-based sorbents was investigated. The effects of impregnation temperature and </w:t>
      </w:r>
      <w:r>
        <w:t>post-</w:t>
      </w:r>
      <w:r w:rsidRPr="00686D8F">
        <w:t xml:space="preserve">treatment temperature on biochar </w:t>
      </w:r>
      <w:r>
        <w:t>with</w:t>
      </w:r>
      <w:r w:rsidRPr="00686D8F">
        <w:t xml:space="preserve"> different </w:t>
      </w:r>
      <w:r>
        <w:t xml:space="preserve">particle </w:t>
      </w:r>
      <w:r w:rsidRPr="00686D8F">
        <w:t>sizes were investigated.</w:t>
      </w:r>
      <w:r>
        <w:t xml:space="preserve"> </w:t>
      </w:r>
      <w:r w:rsidRPr="00317F01">
        <w:t>Fractions of 3</w:t>
      </w:r>
      <w:r>
        <w:t>.15</w:t>
      </w:r>
      <w:r w:rsidRPr="00317F01">
        <w:t>-2</w:t>
      </w:r>
      <w:r>
        <w:t>.50</w:t>
      </w:r>
      <w:r w:rsidRPr="00317F01">
        <w:t xml:space="preserve"> mm and </w:t>
      </w:r>
      <w:r>
        <w:t>0.</w:t>
      </w:r>
      <w:r w:rsidRPr="00317F01">
        <w:t>8</w:t>
      </w:r>
      <w:r>
        <w:t>0</w:t>
      </w:r>
      <w:r w:rsidRPr="00317F01">
        <w:t>-</w:t>
      </w:r>
      <w:r>
        <w:t>0.</w:t>
      </w:r>
      <w:r w:rsidRPr="00317F01">
        <w:t>4</w:t>
      </w:r>
      <w:r>
        <w:t>0</w:t>
      </w:r>
      <w:r w:rsidRPr="00317F01">
        <w:t xml:space="preserve"> mm </w:t>
      </w:r>
      <w:r>
        <w:t xml:space="preserve">biochar </w:t>
      </w:r>
      <w:r w:rsidRPr="00317F01">
        <w:t>were used for the investigation</w:t>
      </w:r>
      <w:r>
        <w:t xml:space="preserve">. </w:t>
      </w:r>
      <w:r w:rsidRPr="00317F01">
        <w:t>The investigated biochar-based sorbents were prepared by a wet impregnation method using 5 different metal compounds (Ni, Cu, Zn, Mg and Ca) at 2 different temperatures (25°C and 80°C).</w:t>
      </w:r>
      <w:r>
        <w:t xml:space="preserve"> </w:t>
      </w:r>
      <w:r w:rsidRPr="00317F01">
        <w:t>The sorbents prepared by impregnation were heat treated at 400°C and 600°C.</w:t>
      </w:r>
      <w:r w:rsidR="002B2020">
        <w:t xml:space="preserve"> </w:t>
      </w:r>
      <w:r>
        <w:t>It was</w:t>
      </w:r>
      <w:r w:rsidRPr="001F4607">
        <w:t xml:space="preserve"> found that </w:t>
      </w:r>
      <w:r>
        <w:t>ad</w:t>
      </w:r>
      <w:r w:rsidRPr="001F4607">
        <w:t xml:space="preserve">sorbents </w:t>
      </w:r>
      <w:r>
        <w:t>with</w:t>
      </w:r>
      <w:r w:rsidRPr="001F4607">
        <w:t xml:space="preserve"> 3.15-2.50 mm particle size have</w:t>
      </w:r>
      <w:r>
        <w:t xml:space="preserve"> </w:t>
      </w:r>
      <w:r w:rsidRPr="001F4607">
        <w:t>better CO</w:t>
      </w:r>
      <w:r w:rsidRPr="001F4607">
        <w:rPr>
          <w:vertAlign w:val="subscript"/>
        </w:rPr>
        <w:t>2</w:t>
      </w:r>
      <w:r w:rsidRPr="001F4607">
        <w:t xml:space="preserve"> adsorption capacity</w:t>
      </w:r>
      <w:r>
        <w:t>,</w:t>
      </w:r>
      <w:r w:rsidRPr="001F4607">
        <w:t xml:space="preserve"> than </w:t>
      </w:r>
      <w:r>
        <w:t>ad</w:t>
      </w:r>
      <w:r w:rsidRPr="001F4607">
        <w:t xml:space="preserve">sorbents </w:t>
      </w:r>
      <w:r>
        <w:t>with</w:t>
      </w:r>
      <w:r w:rsidRPr="001F4607">
        <w:t xml:space="preserve"> 0.80-0.40 mm particle size.</w:t>
      </w:r>
      <w:r>
        <w:t xml:space="preserve"> </w:t>
      </w:r>
      <w:r w:rsidRPr="00A059AC">
        <w:t xml:space="preserve">The difference in capacity </w:t>
      </w:r>
      <w:r>
        <w:t>wa</w:t>
      </w:r>
      <w:r w:rsidRPr="00A059AC">
        <w:t>s 14%.</w:t>
      </w:r>
      <w:r>
        <w:t xml:space="preserve"> </w:t>
      </w:r>
      <w:r w:rsidRPr="00317F01">
        <w:t xml:space="preserve">As a function of particle size, the results show that the capacity of sorbents increased or remained almost the same </w:t>
      </w:r>
      <w:proofErr w:type="gramStart"/>
      <w:r w:rsidRPr="00317F01">
        <w:t>as a result of</w:t>
      </w:r>
      <w:proofErr w:type="gramEnd"/>
      <w:r w:rsidRPr="00317F01">
        <w:t xml:space="preserve"> impregnation.</w:t>
      </w:r>
      <w:r w:rsidRPr="001F4607">
        <w:t xml:space="preserve"> The highest capacity increase was achieved when </w:t>
      </w:r>
      <w:proofErr w:type="spellStart"/>
      <w:r>
        <w:t>biochars</w:t>
      </w:r>
      <w:proofErr w:type="spellEnd"/>
      <w:r>
        <w:t xml:space="preserve"> were </w:t>
      </w:r>
      <w:r w:rsidRPr="001F4607">
        <w:t>impregnat</w:t>
      </w:r>
      <w:r>
        <w:t>ed</w:t>
      </w:r>
      <w:r w:rsidRPr="001F4607">
        <w:t xml:space="preserve"> with Ni and Cu salts</w:t>
      </w:r>
      <w:r>
        <w:t xml:space="preserve"> (</w:t>
      </w:r>
      <w:r w:rsidRPr="001F4607">
        <w:t>average capacity of 3.</w:t>
      </w:r>
      <w:r>
        <w:t>4</w:t>
      </w:r>
      <w:r w:rsidRPr="001F4607">
        <w:t xml:space="preserve"> mg</w:t>
      </w:r>
      <w:r>
        <w:t xml:space="preserve"> CO</w:t>
      </w:r>
      <w:r w:rsidRPr="001F4607">
        <w:rPr>
          <w:vertAlign w:val="subscript"/>
        </w:rPr>
        <w:t>2</w:t>
      </w:r>
      <w:r w:rsidRPr="001F4607">
        <w:t>/g</w:t>
      </w:r>
      <w:r>
        <w:t xml:space="preserve"> adsorbent)</w:t>
      </w:r>
      <w:r w:rsidRPr="001F4607">
        <w:t xml:space="preserve">. Furthermore, </w:t>
      </w:r>
      <w:r>
        <w:t xml:space="preserve">it can be </w:t>
      </w:r>
      <w:r w:rsidRPr="00BB67E8">
        <w:t xml:space="preserve">concluded that </w:t>
      </w:r>
      <w:r w:rsidRPr="00686D8F">
        <w:t xml:space="preserve">the </w:t>
      </w:r>
      <w:r>
        <w:t>heat</w:t>
      </w:r>
      <w:r w:rsidRPr="00686D8F">
        <w:t xml:space="preserve"> treatment after impregnation has a positive effect on the CO</w:t>
      </w:r>
      <w:r w:rsidRPr="00686D8F">
        <w:rPr>
          <w:vertAlign w:val="subscript"/>
        </w:rPr>
        <w:t>2</w:t>
      </w:r>
      <w:r w:rsidRPr="00686D8F">
        <w:t xml:space="preserve"> adsorption</w:t>
      </w:r>
      <w:r>
        <w:t xml:space="preserve">. </w:t>
      </w:r>
      <w:r w:rsidRPr="00A059AC">
        <w:t xml:space="preserve">It was found that the capacity of the adsorbents increased or remained almost unchanged after heat treatment, both </w:t>
      </w:r>
      <w:r w:rsidRPr="00A059AC">
        <w:lastRenderedPageBreak/>
        <w:t>at 400° and 600°C.</w:t>
      </w:r>
      <w:r>
        <w:t xml:space="preserve"> The</w:t>
      </w:r>
      <w:r w:rsidRPr="001F4607">
        <w:t xml:space="preserve"> capacity increase is mostly favored by the 600°C heat treatment.</w:t>
      </w:r>
      <w:r>
        <w:t xml:space="preserve"> The average increase of capacity after the 600°C heat treatment was 12%.</w:t>
      </w:r>
    </w:p>
    <w:p w14:paraId="459D05E6" w14:textId="77777777" w:rsidR="00600535" w:rsidRPr="00B57B36" w:rsidRDefault="00600535" w:rsidP="00600535">
      <w:pPr>
        <w:pStyle w:val="CETAcknowledgementstitle"/>
      </w:pPr>
      <w:r w:rsidRPr="00B57B36">
        <w:t>Acknowledgments</w:t>
      </w:r>
    </w:p>
    <w:p w14:paraId="319FC6A6" w14:textId="3C967924" w:rsidR="00165685" w:rsidRDefault="00165685" w:rsidP="00165685">
      <w:pPr>
        <w:pStyle w:val="CETBodytext"/>
      </w:pPr>
      <w:r>
        <w:t>Project no. RRF-2.3.1-21-2022-00009, titled National Laboratory for Renewable Energy has been implemented with the support provided by the Recovery and R</w:t>
      </w:r>
      <w:r w:rsidR="00BA32DE">
        <w:t>esilience Facility of the Europe</w:t>
      </w:r>
      <w:r>
        <w:t xml:space="preserve">an Union within the framework of </w:t>
      </w:r>
      <w:proofErr w:type="spellStart"/>
      <w:r>
        <w:t>Programme</w:t>
      </w:r>
      <w:proofErr w:type="spellEnd"/>
      <w:r>
        <w:t xml:space="preserve"> Széchenyi Plan Plus. </w:t>
      </w:r>
    </w:p>
    <w:p w14:paraId="4F1327F8" w14:textId="77777777" w:rsidR="00600535" w:rsidRPr="00B57B36" w:rsidRDefault="00600535" w:rsidP="00600535">
      <w:pPr>
        <w:pStyle w:val="CETReference"/>
      </w:pPr>
      <w:r w:rsidRPr="00B57B36">
        <w:t>References</w:t>
      </w:r>
    </w:p>
    <w:p w14:paraId="3FB0BEF1" w14:textId="7A99EB07" w:rsidR="00A92933" w:rsidRPr="007B42AE" w:rsidRDefault="005F75CF" w:rsidP="007B42AE">
      <w:pPr>
        <w:pStyle w:val="CETReferencetext"/>
      </w:pPr>
      <w:r w:rsidRPr="007B42AE">
        <w:t xml:space="preserve">Dissanayake P.D., You S., </w:t>
      </w:r>
      <w:proofErr w:type="spellStart"/>
      <w:r w:rsidRPr="007B42AE">
        <w:t>Igalavithana</w:t>
      </w:r>
      <w:proofErr w:type="spellEnd"/>
      <w:r w:rsidR="004B4DB2" w:rsidRPr="007B42AE">
        <w:t xml:space="preserve"> A.D., Xia Y., Bhatnagar A., Gupta S., Kua H.W., Kim S., Kwon J.H., Tsang D.C.W., Ok Y.S.,</w:t>
      </w:r>
      <w:r w:rsidRPr="007B42AE">
        <w:t xml:space="preserve"> 2020, Biochar-based adsorbents for carbon dioxide capture: A critical review, Renewable and Sustainable Energy Reviews, 119, 109582 </w:t>
      </w:r>
    </w:p>
    <w:p w14:paraId="25D5D9A8" w14:textId="0DECFC85" w:rsidR="004B4DB2" w:rsidRPr="007B42AE" w:rsidRDefault="004B4DB2" w:rsidP="007B42AE">
      <w:pPr>
        <w:pStyle w:val="CETReferencetext"/>
      </w:pPr>
      <w:r w:rsidRPr="007B42AE">
        <w:t>Guo S., Li Y., Wang Y., Wang L., Sun Y., Liu L., 2022, Recent advances in biochar-based adsorbents for CO2 capture, Carbon Capture Science &amp; Technology, 4, 100059</w:t>
      </w:r>
    </w:p>
    <w:p w14:paraId="104DA62E" w14:textId="461A6F74" w:rsidR="004B4DB2" w:rsidRPr="007B42AE" w:rsidRDefault="00B62F94" w:rsidP="007B42AE">
      <w:pPr>
        <w:pStyle w:val="CETReferencetext"/>
      </w:pPr>
      <w:r w:rsidRPr="007B42AE">
        <w:t xml:space="preserve">Miskolczi N., </w:t>
      </w:r>
      <w:r w:rsidR="004B4DB2" w:rsidRPr="007B42AE">
        <w:t xml:space="preserve">Gao N., Quan C., Laszlo A.T., 2025, </w:t>
      </w:r>
      <w:r w:rsidRPr="007B42AE">
        <w:t>CO2 reduction by chars obtained by pyrolysis of real wastes: Low temperature adsorption and high temperature CO2 capture, Carbon Capture Science &amp; Technology, 1</w:t>
      </w:r>
      <w:r w:rsidR="004B4DB2" w:rsidRPr="007B42AE">
        <w:t>4, 100332</w:t>
      </w:r>
      <w:r w:rsidRPr="007B42AE">
        <w:t xml:space="preserve"> </w:t>
      </w:r>
    </w:p>
    <w:p w14:paraId="6AB4B491" w14:textId="203169F6" w:rsidR="00B62F94" w:rsidRPr="007B42AE" w:rsidRDefault="00B62F94" w:rsidP="007B42AE">
      <w:pPr>
        <w:pStyle w:val="CETReferencetext"/>
      </w:pPr>
      <w:r w:rsidRPr="007B42AE">
        <w:t xml:space="preserve">Miskolczi N., </w:t>
      </w:r>
      <w:proofErr w:type="spellStart"/>
      <w:r w:rsidRPr="007B42AE">
        <w:t>Csutoras</w:t>
      </w:r>
      <w:proofErr w:type="spellEnd"/>
      <w:r w:rsidRPr="007B42AE">
        <w:t xml:space="preserve"> B., 2024, Thermo-catalytic pyrolysis of sewage sludge and techno-economic analysis: The effect of synthetic zeolites and natural sourced catalysts, Bioresource Technology, 400, 130676</w:t>
      </w:r>
    </w:p>
    <w:p w14:paraId="0111AE50" w14:textId="37872E64" w:rsidR="004B4DB2" w:rsidRPr="007B42AE" w:rsidRDefault="00B62F94" w:rsidP="007B42AE">
      <w:pPr>
        <w:pStyle w:val="CETReferencetext"/>
      </w:pPr>
      <w:r w:rsidRPr="007B42AE">
        <w:t xml:space="preserve">Robert Monroe, 2024, Daily Measurements, Keeling Curve History </w:t>
      </w:r>
    </w:p>
    <w:p w14:paraId="22BAB8B1" w14:textId="6ADF0C80" w:rsidR="00B62F94" w:rsidRPr="007B42AE" w:rsidRDefault="00B62F94" w:rsidP="007B42AE">
      <w:pPr>
        <w:pStyle w:val="CETReferencetext"/>
      </w:pPr>
      <w:r w:rsidRPr="007B42AE">
        <w:t xml:space="preserve">Martina </w:t>
      </w:r>
      <w:proofErr w:type="spellStart"/>
      <w:r w:rsidRPr="007B42AE">
        <w:t>Igini</w:t>
      </w:r>
      <w:proofErr w:type="spellEnd"/>
      <w:r w:rsidRPr="007B42AE">
        <w:t xml:space="preserve">, 2024, Atmospheric CO2 Jump in 2024 off Track </w:t>
      </w:r>
      <w:proofErr w:type="gramStart"/>
      <w:r w:rsidRPr="007B42AE">
        <w:t>With</w:t>
      </w:r>
      <w:proofErr w:type="gramEnd"/>
      <w:r w:rsidRPr="007B42AE">
        <w:t xml:space="preserve"> Trajectory Needed to Meet 1.5 Goal, Met Office Says </w:t>
      </w:r>
    </w:p>
    <w:p w14:paraId="57E798D5" w14:textId="1507EB1D" w:rsidR="00B62F94" w:rsidRPr="007B42AE" w:rsidRDefault="00B62F94" w:rsidP="007B42AE">
      <w:pPr>
        <w:pStyle w:val="CETReferencetext"/>
      </w:pPr>
      <w:r w:rsidRPr="007B42AE">
        <w:t xml:space="preserve">Rebecca Lindsey, 2024, Climate Change: Atmospheric Carbon Dioxide </w:t>
      </w:r>
    </w:p>
    <w:p w14:paraId="19C4FC68" w14:textId="6D4D819E" w:rsidR="004628D2" w:rsidRPr="007B42AE" w:rsidRDefault="005C6C54" w:rsidP="007B42AE">
      <w:pPr>
        <w:pStyle w:val="CETReferencetext"/>
      </w:pPr>
      <w:r w:rsidRPr="007B42AE">
        <w:t>Xue Q., Xie S., Zhang T., 2022, Biochar production and modification for environmental improvement, Biochar in Agriculture for Achieving Sustainable Development Goals, 181-191</w:t>
      </w:r>
    </w:p>
    <w:p w14:paraId="64A5C740" w14:textId="2421E66C" w:rsidR="005C6C54" w:rsidRPr="007B42AE" w:rsidRDefault="005C6C54" w:rsidP="007B42AE">
      <w:pPr>
        <w:pStyle w:val="CETReferencetext"/>
      </w:pPr>
      <w:proofErr w:type="spellStart"/>
      <w:r w:rsidRPr="007B42AE">
        <w:t>Yaumi</w:t>
      </w:r>
      <w:proofErr w:type="spellEnd"/>
      <w:r w:rsidRPr="007B42AE">
        <w:t xml:space="preserve"> A.L., Abu Bakar M.Z., Hameed B.H., 2017, Recent advances in functionalized composite solid materials for carbon dioxide capture, Energy, 124, 461-480</w:t>
      </w:r>
    </w:p>
    <w:p w14:paraId="4E120A85" w14:textId="1B3A8B54" w:rsidR="005C6C54" w:rsidRPr="007B42AE" w:rsidRDefault="005C6C54" w:rsidP="007B42AE">
      <w:pPr>
        <w:pStyle w:val="CETReferencetext"/>
      </w:pPr>
      <w:proofErr w:type="spellStart"/>
      <w:r w:rsidRPr="007B42AE">
        <w:t>Shafeeyan</w:t>
      </w:r>
      <w:proofErr w:type="spellEnd"/>
      <w:r w:rsidRPr="007B42AE">
        <w:t xml:space="preserve"> M.S., Wan Daud W.M.A., Houshmand A., </w:t>
      </w:r>
      <w:proofErr w:type="spellStart"/>
      <w:r w:rsidRPr="007B42AE">
        <w:t>Shamiri</w:t>
      </w:r>
      <w:proofErr w:type="spellEnd"/>
      <w:r w:rsidRPr="007B42AE">
        <w:t xml:space="preserve"> A., 2010,</w:t>
      </w:r>
      <w:r w:rsidR="001F2745" w:rsidRPr="007B42AE">
        <w:t xml:space="preserve"> </w:t>
      </w:r>
      <w:r w:rsidR="00464BC7" w:rsidRPr="007B42AE">
        <w:t xml:space="preserve">A review on surface modification of activated carbon dioxide adsorption, </w:t>
      </w:r>
      <w:r w:rsidR="001F2745" w:rsidRPr="007B42AE">
        <w:t xml:space="preserve">Journal of Analytical and Applied Pyrolysis, 89, 143-151 </w:t>
      </w:r>
    </w:p>
    <w:p w14:paraId="329A616F" w14:textId="7A96B031" w:rsidR="001F2745" w:rsidRPr="007B42AE" w:rsidRDefault="00464BC7" w:rsidP="007B42AE">
      <w:pPr>
        <w:pStyle w:val="CETReferencetext"/>
      </w:pPr>
      <w:r w:rsidRPr="007B42AE">
        <w:t xml:space="preserve">Xu X., Kan Y., Zhao L., Cao X., Chemical transformation of CO2 during its capture by waste biomass derived </w:t>
      </w:r>
      <w:proofErr w:type="spellStart"/>
      <w:r w:rsidRPr="007B42AE">
        <w:t>biochars</w:t>
      </w:r>
      <w:proofErr w:type="spellEnd"/>
      <w:r w:rsidRPr="007B42AE">
        <w:t xml:space="preserve">, Environmental Pollution, 213, 533-540 </w:t>
      </w:r>
    </w:p>
    <w:p w14:paraId="43EF30F2" w14:textId="1713E71C" w:rsidR="006C6D65" w:rsidRPr="007B42AE" w:rsidRDefault="006C6D65" w:rsidP="007B42AE">
      <w:pPr>
        <w:pStyle w:val="CETReferencetext"/>
      </w:pPr>
      <w:r w:rsidRPr="007B42AE">
        <w:t xml:space="preserve">Kamran U., Park S-J., 2021, Chemically modified carbonaceous adsorbents for enhanced CO2 capture: A review, Journal of Cleaner Production, 290, 125776 </w:t>
      </w:r>
    </w:p>
    <w:sectPr w:rsidR="006C6D65" w:rsidRPr="007B42A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46B1" w14:textId="77777777" w:rsidR="004853A7" w:rsidRDefault="004853A7" w:rsidP="004F5E36">
      <w:r>
        <w:separator/>
      </w:r>
    </w:p>
  </w:endnote>
  <w:endnote w:type="continuationSeparator" w:id="0">
    <w:p w14:paraId="464D44EB" w14:textId="77777777" w:rsidR="004853A7" w:rsidRDefault="004853A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00000001"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D229F" w14:textId="77777777" w:rsidR="004853A7" w:rsidRDefault="004853A7" w:rsidP="004F5E36">
      <w:r>
        <w:separator/>
      </w:r>
    </w:p>
  </w:footnote>
  <w:footnote w:type="continuationSeparator" w:id="0">
    <w:p w14:paraId="4619632B" w14:textId="77777777" w:rsidR="004853A7" w:rsidRDefault="004853A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74384">
    <w:abstractNumId w:val="11"/>
  </w:num>
  <w:num w:numId="2" w16cid:durableId="1945456815">
    <w:abstractNumId w:val="8"/>
  </w:num>
  <w:num w:numId="3" w16cid:durableId="1792086394">
    <w:abstractNumId w:val="3"/>
  </w:num>
  <w:num w:numId="4" w16cid:durableId="1146510346">
    <w:abstractNumId w:val="2"/>
  </w:num>
  <w:num w:numId="5" w16cid:durableId="1458259969">
    <w:abstractNumId w:val="1"/>
  </w:num>
  <w:num w:numId="6" w16cid:durableId="1377008816">
    <w:abstractNumId w:val="0"/>
  </w:num>
  <w:num w:numId="7" w16cid:durableId="1455557238">
    <w:abstractNumId w:val="9"/>
  </w:num>
  <w:num w:numId="8" w16cid:durableId="587349466">
    <w:abstractNumId w:val="7"/>
  </w:num>
  <w:num w:numId="9" w16cid:durableId="1152019876">
    <w:abstractNumId w:val="6"/>
  </w:num>
  <w:num w:numId="10" w16cid:durableId="1209299918">
    <w:abstractNumId w:val="5"/>
  </w:num>
  <w:num w:numId="11" w16cid:durableId="2016491366">
    <w:abstractNumId w:val="4"/>
  </w:num>
  <w:num w:numId="12" w16cid:durableId="648437714">
    <w:abstractNumId w:val="18"/>
  </w:num>
  <w:num w:numId="13" w16cid:durableId="1101530664">
    <w:abstractNumId w:val="13"/>
  </w:num>
  <w:num w:numId="14" w16cid:durableId="2048799113">
    <w:abstractNumId w:val="19"/>
  </w:num>
  <w:num w:numId="15" w16cid:durableId="1893930893">
    <w:abstractNumId w:val="21"/>
  </w:num>
  <w:num w:numId="16" w16cid:durableId="1741632085">
    <w:abstractNumId w:val="20"/>
  </w:num>
  <w:num w:numId="17" w16cid:durableId="1811822411">
    <w:abstractNumId w:val="12"/>
  </w:num>
  <w:num w:numId="18" w16cid:durableId="74057662">
    <w:abstractNumId w:val="13"/>
    <w:lvlOverride w:ilvl="0">
      <w:startOverride w:val="1"/>
    </w:lvlOverride>
  </w:num>
  <w:num w:numId="19" w16cid:durableId="1155296586">
    <w:abstractNumId w:val="17"/>
  </w:num>
  <w:num w:numId="20" w16cid:durableId="1601255597">
    <w:abstractNumId w:val="16"/>
  </w:num>
  <w:num w:numId="21" w16cid:durableId="248736234">
    <w:abstractNumId w:val="15"/>
  </w:num>
  <w:num w:numId="22" w16cid:durableId="855575433">
    <w:abstractNumId w:val="14"/>
  </w:num>
  <w:num w:numId="23" w16cid:durableId="471484062">
    <w:abstractNumId w:val="10"/>
  </w:num>
  <w:num w:numId="24" w16cid:durableId="1810004365">
    <w:abstractNumId w:val="11"/>
    <w:lvlOverride w:ilvl="0">
      <w:startOverride w:val="1"/>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73B0"/>
    <w:rsid w:val="0002189A"/>
    <w:rsid w:val="0003148D"/>
    <w:rsid w:val="00031EEC"/>
    <w:rsid w:val="00034D16"/>
    <w:rsid w:val="00037024"/>
    <w:rsid w:val="00041CCF"/>
    <w:rsid w:val="00051566"/>
    <w:rsid w:val="000545B8"/>
    <w:rsid w:val="000562A9"/>
    <w:rsid w:val="00062A9A"/>
    <w:rsid w:val="00065058"/>
    <w:rsid w:val="000672C6"/>
    <w:rsid w:val="00074EBC"/>
    <w:rsid w:val="00086C39"/>
    <w:rsid w:val="00087C4A"/>
    <w:rsid w:val="000A03B2"/>
    <w:rsid w:val="000D0268"/>
    <w:rsid w:val="000D34BE"/>
    <w:rsid w:val="000E0B3C"/>
    <w:rsid w:val="000E102F"/>
    <w:rsid w:val="000E36F1"/>
    <w:rsid w:val="000E3A73"/>
    <w:rsid w:val="000E414A"/>
    <w:rsid w:val="000E75FD"/>
    <w:rsid w:val="000E790D"/>
    <w:rsid w:val="000F093C"/>
    <w:rsid w:val="000F787B"/>
    <w:rsid w:val="001063B3"/>
    <w:rsid w:val="00120326"/>
    <w:rsid w:val="0012091F"/>
    <w:rsid w:val="0012509B"/>
    <w:rsid w:val="00126BC2"/>
    <w:rsid w:val="001308B6"/>
    <w:rsid w:val="0013121F"/>
    <w:rsid w:val="00131FE6"/>
    <w:rsid w:val="0013263F"/>
    <w:rsid w:val="001331DF"/>
    <w:rsid w:val="00134DE4"/>
    <w:rsid w:val="0014034D"/>
    <w:rsid w:val="00140FE3"/>
    <w:rsid w:val="00143243"/>
    <w:rsid w:val="00144D16"/>
    <w:rsid w:val="00150E59"/>
    <w:rsid w:val="00152DE3"/>
    <w:rsid w:val="00164CF9"/>
    <w:rsid w:val="00165685"/>
    <w:rsid w:val="0016668E"/>
    <w:rsid w:val="001667A6"/>
    <w:rsid w:val="0017494A"/>
    <w:rsid w:val="0018171E"/>
    <w:rsid w:val="00184AD6"/>
    <w:rsid w:val="001A4AF7"/>
    <w:rsid w:val="001B0349"/>
    <w:rsid w:val="001B1E93"/>
    <w:rsid w:val="001B3FD5"/>
    <w:rsid w:val="001B55ED"/>
    <w:rsid w:val="001B65C1"/>
    <w:rsid w:val="001C2042"/>
    <w:rsid w:val="001C260F"/>
    <w:rsid w:val="001C59A6"/>
    <w:rsid w:val="001C5C3A"/>
    <w:rsid w:val="001C684B"/>
    <w:rsid w:val="001D0B8C"/>
    <w:rsid w:val="001D0CFB"/>
    <w:rsid w:val="001D21AF"/>
    <w:rsid w:val="001D3D32"/>
    <w:rsid w:val="001D53FC"/>
    <w:rsid w:val="001D726F"/>
    <w:rsid w:val="001F2745"/>
    <w:rsid w:val="001F42A5"/>
    <w:rsid w:val="001F4607"/>
    <w:rsid w:val="001F7B9D"/>
    <w:rsid w:val="00201C93"/>
    <w:rsid w:val="00216A60"/>
    <w:rsid w:val="00220E46"/>
    <w:rsid w:val="002224B4"/>
    <w:rsid w:val="002245B3"/>
    <w:rsid w:val="00230BBA"/>
    <w:rsid w:val="002447EF"/>
    <w:rsid w:val="00251550"/>
    <w:rsid w:val="002528BD"/>
    <w:rsid w:val="00263B05"/>
    <w:rsid w:val="00270D3B"/>
    <w:rsid w:val="0027221A"/>
    <w:rsid w:val="00275B61"/>
    <w:rsid w:val="00280FAF"/>
    <w:rsid w:val="00282656"/>
    <w:rsid w:val="00296B83"/>
    <w:rsid w:val="002B2020"/>
    <w:rsid w:val="002B4015"/>
    <w:rsid w:val="002B78CE"/>
    <w:rsid w:val="002C15D2"/>
    <w:rsid w:val="002C2FB6"/>
    <w:rsid w:val="002D16E1"/>
    <w:rsid w:val="002E5FA7"/>
    <w:rsid w:val="002F3309"/>
    <w:rsid w:val="003008CE"/>
    <w:rsid w:val="003009B7"/>
    <w:rsid w:val="00300E56"/>
    <w:rsid w:val="0030152C"/>
    <w:rsid w:val="0030469C"/>
    <w:rsid w:val="00304CE8"/>
    <w:rsid w:val="003112A8"/>
    <w:rsid w:val="00314E64"/>
    <w:rsid w:val="00321CA6"/>
    <w:rsid w:val="00323763"/>
    <w:rsid w:val="00323C5F"/>
    <w:rsid w:val="00334C09"/>
    <w:rsid w:val="003723D4"/>
    <w:rsid w:val="00373986"/>
    <w:rsid w:val="00377D62"/>
    <w:rsid w:val="00381905"/>
    <w:rsid w:val="00384CC8"/>
    <w:rsid w:val="003871FD"/>
    <w:rsid w:val="003A1E30"/>
    <w:rsid w:val="003A2829"/>
    <w:rsid w:val="003A7D1C"/>
    <w:rsid w:val="003B2589"/>
    <w:rsid w:val="003B304B"/>
    <w:rsid w:val="003B3146"/>
    <w:rsid w:val="003B49CD"/>
    <w:rsid w:val="003B628C"/>
    <w:rsid w:val="003D1E02"/>
    <w:rsid w:val="003F015E"/>
    <w:rsid w:val="00400414"/>
    <w:rsid w:val="004037EC"/>
    <w:rsid w:val="00404743"/>
    <w:rsid w:val="00412DCF"/>
    <w:rsid w:val="0041446B"/>
    <w:rsid w:val="004250E4"/>
    <w:rsid w:val="004309D7"/>
    <w:rsid w:val="0044071E"/>
    <w:rsid w:val="0044329C"/>
    <w:rsid w:val="00453E24"/>
    <w:rsid w:val="00457456"/>
    <w:rsid w:val="004577FE"/>
    <w:rsid w:val="00457B9C"/>
    <w:rsid w:val="004613D6"/>
    <w:rsid w:val="0046164A"/>
    <w:rsid w:val="004628D2"/>
    <w:rsid w:val="00462DCD"/>
    <w:rsid w:val="004648AD"/>
    <w:rsid w:val="00464BC7"/>
    <w:rsid w:val="00465883"/>
    <w:rsid w:val="004703A9"/>
    <w:rsid w:val="00473F09"/>
    <w:rsid w:val="004760DE"/>
    <w:rsid w:val="004763D7"/>
    <w:rsid w:val="004853A7"/>
    <w:rsid w:val="00485436"/>
    <w:rsid w:val="004A004E"/>
    <w:rsid w:val="004A24CF"/>
    <w:rsid w:val="004B4DB2"/>
    <w:rsid w:val="004C1A0E"/>
    <w:rsid w:val="004C3D1D"/>
    <w:rsid w:val="004C3D84"/>
    <w:rsid w:val="004C7913"/>
    <w:rsid w:val="004E4DD6"/>
    <w:rsid w:val="004F5E36"/>
    <w:rsid w:val="00507B47"/>
    <w:rsid w:val="00507BEF"/>
    <w:rsid w:val="00507CC9"/>
    <w:rsid w:val="005119A5"/>
    <w:rsid w:val="00513DD5"/>
    <w:rsid w:val="005256EB"/>
    <w:rsid w:val="005278B7"/>
    <w:rsid w:val="005306A7"/>
    <w:rsid w:val="00532016"/>
    <w:rsid w:val="005346C8"/>
    <w:rsid w:val="00534B39"/>
    <w:rsid w:val="00543E7D"/>
    <w:rsid w:val="00547A68"/>
    <w:rsid w:val="005531C9"/>
    <w:rsid w:val="00554879"/>
    <w:rsid w:val="00570C43"/>
    <w:rsid w:val="005908CE"/>
    <w:rsid w:val="00592274"/>
    <w:rsid w:val="005A3A3C"/>
    <w:rsid w:val="005A7895"/>
    <w:rsid w:val="005B2110"/>
    <w:rsid w:val="005B350B"/>
    <w:rsid w:val="005B3C4D"/>
    <w:rsid w:val="005B61E6"/>
    <w:rsid w:val="005C6C54"/>
    <w:rsid w:val="005C77E1"/>
    <w:rsid w:val="005D668A"/>
    <w:rsid w:val="005D6A2F"/>
    <w:rsid w:val="005E0592"/>
    <w:rsid w:val="005E1A82"/>
    <w:rsid w:val="005E794C"/>
    <w:rsid w:val="005F0A28"/>
    <w:rsid w:val="005F0E5E"/>
    <w:rsid w:val="005F75CF"/>
    <w:rsid w:val="00600535"/>
    <w:rsid w:val="00610CD6"/>
    <w:rsid w:val="00616027"/>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86D8F"/>
    <w:rsid w:val="00693766"/>
    <w:rsid w:val="006A3281"/>
    <w:rsid w:val="006A6DE5"/>
    <w:rsid w:val="006B4888"/>
    <w:rsid w:val="006B51A1"/>
    <w:rsid w:val="006B5F0B"/>
    <w:rsid w:val="006C2E45"/>
    <w:rsid w:val="006C359C"/>
    <w:rsid w:val="006C5579"/>
    <w:rsid w:val="006C6D65"/>
    <w:rsid w:val="006D6E8B"/>
    <w:rsid w:val="006D7209"/>
    <w:rsid w:val="006D76BB"/>
    <w:rsid w:val="006E737D"/>
    <w:rsid w:val="006F213B"/>
    <w:rsid w:val="006F5470"/>
    <w:rsid w:val="00702737"/>
    <w:rsid w:val="00703072"/>
    <w:rsid w:val="00707DD1"/>
    <w:rsid w:val="00711A0F"/>
    <w:rsid w:val="00713973"/>
    <w:rsid w:val="00720A24"/>
    <w:rsid w:val="007242C3"/>
    <w:rsid w:val="00732386"/>
    <w:rsid w:val="0073318B"/>
    <w:rsid w:val="0073514D"/>
    <w:rsid w:val="007447F3"/>
    <w:rsid w:val="00751B9D"/>
    <w:rsid w:val="0075499F"/>
    <w:rsid w:val="007661C8"/>
    <w:rsid w:val="00770636"/>
    <w:rsid w:val="0077098D"/>
    <w:rsid w:val="00783378"/>
    <w:rsid w:val="00785BF9"/>
    <w:rsid w:val="007931FA"/>
    <w:rsid w:val="007A4861"/>
    <w:rsid w:val="007A7BBA"/>
    <w:rsid w:val="007B0C50"/>
    <w:rsid w:val="007B42AE"/>
    <w:rsid w:val="007B48F9"/>
    <w:rsid w:val="007C1A43"/>
    <w:rsid w:val="007D0951"/>
    <w:rsid w:val="007D610D"/>
    <w:rsid w:val="007E5931"/>
    <w:rsid w:val="007F19FE"/>
    <w:rsid w:val="0080013E"/>
    <w:rsid w:val="00801759"/>
    <w:rsid w:val="00803D08"/>
    <w:rsid w:val="00811926"/>
    <w:rsid w:val="00813288"/>
    <w:rsid w:val="0081503F"/>
    <w:rsid w:val="008168FC"/>
    <w:rsid w:val="00830996"/>
    <w:rsid w:val="008345F1"/>
    <w:rsid w:val="00847EE1"/>
    <w:rsid w:val="008577D9"/>
    <w:rsid w:val="00865B07"/>
    <w:rsid w:val="008667EA"/>
    <w:rsid w:val="0087637F"/>
    <w:rsid w:val="00882AF9"/>
    <w:rsid w:val="00892AD5"/>
    <w:rsid w:val="00897F4B"/>
    <w:rsid w:val="008A01DA"/>
    <w:rsid w:val="008A1512"/>
    <w:rsid w:val="008A2F24"/>
    <w:rsid w:val="008A48E9"/>
    <w:rsid w:val="008C7009"/>
    <w:rsid w:val="008D32B9"/>
    <w:rsid w:val="008D433B"/>
    <w:rsid w:val="008D4A16"/>
    <w:rsid w:val="008E5401"/>
    <w:rsid w:val="008E566E"/>
    <w:rsid w:val="008F6035"/>
    <w:rsid w:val="0090161A"/>
    <w:rsid w:val="00901EB6"/>
    <w:rsid w:val="009041F8"/>
    <w:rsid w:val="00904C62"/>
    <w:rsid w:val="00922BA8"/>
    <w:rsid w:val="00924DAC"/>
    <w:rsid w:val="00927058"/>
    <w:rsid w:val="00927158"/>
    <w:rsid w:val="00942750"/>
    <w:rsid w:val="009450CE"/>
    <w:rsid w:val="009459BB"/>
    <w:rsid w:val="00947179"/>
    <w:rsid w:val="0095164B"/>
    <w:rsid w:val="00952EEA"/>
    <w:rsid w:val="009533FD"/>
    <w:rsid w:val="00954090"/>
    <w:rsid w:val="009573E7"/>
    <w:rsid w:val="00961FCE"/>
    <w:rsid w:val="00963E05"/>
    <w:rsid w:val="00964A45"/>
    <w:rsid w:val="00967843"/>
    <w:rsid w:val="00967D54"/>
    <w:rsid w:val="00971028"/>
    <w:rsid w:val="00981F81"/>
    <w:rsid w:val="00993B84"/>
    <w:rsid w:val="00994C6A"/>
    <w:rsid w:val="00996483"/>
    <w:rsid w:val="009967B6"/>
    <w:rsid w:val="00996F5A"/>
    <w:rsid w:val="009B041A"/>
    <w:rsid w:val="009B6E57"/>
    <w:rsid w:val="009C37C3"/>
    <w:rsid w:val="009C7C86"/>
    <w:rsid w:val="009D0545"/>
    <w:rsid w:val="009D2FF7"/>
    <w:rsid w:val="009E1FC1"/>
    <w:rsid w:val="009E7884"/>
    <w:rsid w:val="009E788A"/>
    <w:rsid w:val="009F0E08"/>
    <w:rsid w:val="00A079AE"/>
    <w:rsid w:val="00A10004"/>
    <w:rsid w:val="00A10596"/>
    <w:rsid w:val="00A1763D"/>
    <w:rsid w:val="00A17CEC"/>
    <w:rsid w:val="00A27AB8"/>
    <w:rsid w:val="00A27EF0"/>
    <w:rsid w:val="00A30FE1"/>
    <w:rsid w:val="00A35C91"/>
    <w:rsid w:val="00A42361"/>
    <w:rsid w:val="00A42F25"/>
    <w:rsid w:val="00A50B20"/>
    <w:rsid w:val="00A51390"/>
    <w:rsid w:val="00A60D13"/>
    <w:rsid w:val="00A704CC"/>
    <w:rsid w:val="00A7223D"/>
    <w:rsid w:val="00A72745"/>
    <w:rsid w:val="00A76EFC"/>
    <w:rsid w:val="00A87D01"/>
    <w:rsid w:val="00A87D50"/>
    <w:rsid w:val="00A90F27"/>
    <w:rsid w:val="00A91010"/>
    <w:rsid w:val="00A92933"/>
    <w:rsid w:val="00A97F29"/>
    <w:rsid w:val="00AA702E"/>
    <w:rsid w:val="00AA7D26"/>
    <w:rsid w:val="00AB0964"/>
    <w:rsid w:val="00AB128C"/>
    <w:rsid w:val="00AB5011"/>
    <w:rsid w:val="00AC2B20"/>
    <w:rsid w:val="00AC7368"/>
    <w:rsid w:val="00AD092B"/>
    <w:rsid w:val="00AD16B9"/>
    <w:rsid w:val="00AD7AAC"/>
    <w:rsid w:val="00AE3759"/>
    <w:rsid w:val="00AE377D"/>
    <w:rsid w:val="00AE48BF"/>
    <w:rsid w:val="00AF06AF"/>
    <w:rsid w:val="00AF0EBA"/>
    <w:rsid w:val="00AF2463"/>
    <w:rsid w:val="00B02C8A"/>
    <w:rsid w:val="00B17FBD"/>
    <w:rsid w:val="00B315A6"/>
    <w:rsid w:val="00B31813"/>
    <w:rsid w:val="00B33365"/>
    <w:rsid w:val="00B33A6B"/>
    <w:rsid w:val="00B3615D"/>
    <w:rsid w:val="00B47DAA"/>
    <w:rsid w:val="00B5741E"/>
    <w:rsid w:val="00B57B36"/>
    <w:rsid w:val="00B57E6F"/>
    <w:rsid w:val="00B62F94"/>
    <w:rsid w:val="00B865F4"/>
    <w:rsid w:val="00B8686D"/>
    <w:rsid w:val="00B91BD8"/>
    <w:rsid w:val="00B93F69"/>
    <w:rsid w:val="00B972BE"/>
    <w:rsid w:val="00BA32DE"/>
    <w:rsid w:val="00BB1DDC"/>
    <w:rsid w:val="00BB67E8"/>
    <w:rsid w:val="00BC30C9"/>
    <w:rsid w:val="00BD077D"/>
    <w:rsid w:val="00BD201C"/>
    <w:rsid w:val="00BE3E58"/>
    <w:rsid w:val="00BE4339"/>
    <w:rsid w:val="00BF13CE"/>
    <w:rsid w:val="00C01616"/>
    <w:rsid w:val="00C0162B"/>
    <w:rsid w:val="00C044A5"/>
    <w:rsid w:val="00C05C62"/>
    <w:rsid w:val="00C068ED"/>
    <w:rsid w:val="00C10A52"/>
    <w:rsid w:val="00C22189"/>
    <w:rsid w:val="00C22E0C"/>
    <w:rsid w:val="00C345B1"/>
    <w:rsid w:val="00C40142"/>
    <w:rsid w:val="00C52C3C"/>
    <w:rsid w:val="00C57182"/>
    <w:rsid w:val="00C57863"/>
    <w:rsid w:val="00C640AF"/>
    <w:rsid w:val="00C655FD"/>
    <w:rsid w:val="00C65C3E"/>
    <w:rsid w:val="00C75407"/>
    <w:rsid w:val="00C841C6"/>
    <w:rsid w:val="00C870A8"/>
    <w:rsid w:val="00C94434"/>
    <w:rsid w:val="00C953EA"/>
    <w:rsid w:val="00CA0D75"/>
    <w:rsid w:val="00CA1C95"/>
    <w:rsid w:val="00CA5A9C"/>
    <w:rsid w:val="00CA6F51"/>
    <w:rsid w:val="00CB521B"/>
    <w:rsid w:val="00CC4C20"/>
    <w:rsid w:val="00CD3517"/>
    <w:rsid w:val="00CD5FE2"/>
    <w:rsid w:val="00CE6F8C"/>
    <w:rsid w:val="00CE7C68"/>
    <w:rsid w:val="00D027FF"/>
    <w:rsid w:val="00D02B4C"/>
    <w:rsid w:val="00D040C4"/>
    <w:rsid w:val="00D0622F"/>
    <w:rsid w:val="00D16328"/>
    <w:rsid w:val="00D20AD1"/>
    <w:rsid w:val="00D2582C"/>
    <w:rsid w:val="00D46B7E"/>
    <w:rsid w:val="00D57C84"/>
    <w:rsid w:val="00D6057D"/>
    <w:rsid w:val="00D67A1E"/>
    <w:rsid w:val="00D71640"/>
    <w:rsid w:val="00D71C7A"/>
    <w:rsid w:val="00D76967"/>
    <w:rsid w:val="00D836C5"/>
    <w:rsid w:val="00D84576"/>
    <w:rsid w:val="00D85AFB"/>
    <w:rsid w:val="00DA1399"/>
    <w:rsid w:val="00DA24C6"/>
    <w:rsid w:val="00DA4D7B"/>
    <w:rsid w:val="00DC243E"/>
    <w:rsid w:val="00DC2840"/>
    <w:rsid w:val="00DC73EE"/>
    <w:rsid w:val="00DD1736"/>
    <w:rsid w:val="00DD2235"/>
    <w:rsid w:val="00DD271C"/>
    <w:rsid w:val="00DE264A"/>
    <w:rsid w:val="00DF5072"/>
    <w:rsid w:val="00E0069E"/>
    <w:rsid w:val="00E02D18"/>
    <w:rsid w:val="00E041E7"/>
    <w:rsid w:val="00E23CA1"/>
    <w:rsid w:val="00E27629"/>
    <w:rsid w:val="00E409A8"/>
    <w:rsid w:val="00E467B1"/>
    <w:rsid w:val="00E50C12"/>
    <w:rsid w:val="00E5373B"/>
    <w:rsid w:val="00E65B91"/>
    <w:rsid w:val="00E7209D"/>
    <w:rsid w:val="00E72EAD"/>
    <w:rsid w:val="00E77223"/>
    <w:rsid w:val="00E77B96"/>
    <w:rsid w:val="00E82F2B"/>
    <w:rsid w:val="00E8528B"/>
    <w:rsid w:val="00E853F9"/>
    <w:rsid w:val="00E85B94"/>
    <w:rsid w:val="00E978D0"/>
    <w:rsid w:val="00EA4613"/>
    <w:rsid w:val="00EA7F91"/>
    <w:rsid w:val="00EB1523"/>
    <w:rsid w:val="00EC0E49"/>
    <w:rsid w:val="00EC101F"/>
    <w:rsid w:val="00EC1D9F"/>
    <w:rsid w:val="00ED4B4F"/>
    <w:rsid w:val="00ED4ED2"/>
    <w:rsid w:val="00ED6E95"/>
    <w:rsid w:val="00EE0131"/>
    <w:rsid w:val="00EE16F6"/>
    <w:rsid w:val="00EE17B0"/>
    <w:rsid w:val="00EF06D9"/>
    <w:rsid w:val="00F01C4C"/>
    <w:rsid w:val="00F268AE"/>
    <w:rsid w:val="00F3049E"/>
    <w:rsid w:val="00F30C64"/>
    <w:rsid w:val="00F32BA2"/>
    <w:rsid w:val="00F32CDB"/>
    <w:rsid w:val="00F3490D"/>
    <w:rsid w:val="00F41EE4"/>
    <w:rsid w:val="00F565FE"/>
    <w:rsid w:val="00F63A70"/>
    <w:rsid w:val="00F63D8C"/>
    <w:rsid w:val="00F7534E"/>
    <w:rsid w:val="00F93EDF"/>
    <w:rsid w:val="00FA1802"/>
    <w:rsid w:val="00FA21D0"/>
    <w:rsid w:val="00FA5F5F"/>
    <w:rsid w:val="00FB5828"/>
    <w:rsid w:val="00FB730C"/>
    <w:rsid w:val="00FC2695"/>
    <w:rsid w:val="00FC3E03"/>
    <w:rsid w:val="00FC3FC1"/>
    <w:rsid w:val="00FD0F31"/>
    <w:rsid w:val="00FD7713"/>
    <w:rsid w:val="00FD779F"/>
    <w:rsid w:val="00FF03F2"/>
    <w:rsid w:val="00FF4FE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styleId="NoSpacing">
    <w:name w:val="No Spacing"/>
    <w:uiPriority w:val="1"/>
    <w:qFormat/>
    <w:rsid w:val="008F6035"/>
    <w:pPr>
      <w:spacing w:after="0" w:line="240" w:lineRule="auto"/>
    </w:pPr>
    <w:rPr>
      <w:lang w:val="hu-HU"/>
    </w:rPr>
  </w:style>
  <w:style w:type="character" w:styleId="Strong">
    <w:name w:val="Strong"/>
    <w:basedOn w:val="DefaultParagraphFont"/>
    <w:uiPriority w:val="22"/>
    <w:qFormat/>
    <w:rsid w:val="00FF4FE9"/>
    <w:rPr>
      <w:b/>
      <w:bCs/>
    </w:rPr>
  </w:style>
  <w:style w:type="paragraph" w:styleId="Revision">
    <w:name w:val="Revision"/>
    <w:hidden/>
    <w:uiPriority w:val="99"/>
    <w:semiHidden/>
    <w:rsid w:val="0040474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18943">
      <w:bodyDiv w:val="1"/>
      <w:marLeft w:val="0"/>
      <w:marRight w:val="0"/>
      <w:marTop w:val="0"/>
      <w:marBottom w:val="0"/>
      <w:divBdr>
        <w:top w:val="none" w:sz="0" w:space="0" w:color="auto"/>
        <w:left w:val="none" w:sz="0" w:space="0" w:color="auto"/>
        <w:bottom w:val="none" w:sz="0" w:space="0" w:color="auto"/>
        <w:right w:val="none" w:sz="0" w:space="0" w:color="auto"/>
      </w:divBdr>
    </w:div>
    <w:div w:id="157383794">
      <w:bodyDiv w:val="1"/>
      <w:marLeft w:val="0"/>
      <w:marRight w:val="0"/>
      <w:marTop w:val="0"/>
      <w:marBottom w:val="0"/>
      <w:divBdr>
        <w:top w:val="none" w:sz="0" w:space="0" w:color="auto"/>
        <w:left w:val="none" w:sz="0" w:space="0" w:color="auto"/>
        <w:bottom w:val="none" w:sz="0" w:space="0" w:color="auto"/>
        <w:right w:val="none" w:sz="0" w:space="0" w:color="auto"/>
      </w:divBdr>
    </w:div>
    <w:div w:id="38006137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738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33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7290947">
      <w:bodyDiv w:val="1"/>
      <w:marLeft w:val="0"/>
      <w:marRight w:val="0"/>
      <w:marTop w:val="0"/>
      <w:marBottom w:val="0"/>
      <w:divBdr>
        <w:top w:val="none" w:sz="0" w:space="0" w:color="auto"/>
        <w:left w:val="none" w:sz="0" w:space="0" w:color="auto"/>
        <w:bottom w:val="none" w:sz="0" w:space="0" w:color="auto"/>
        <w:right w:val="none" w:sz="0" w:space="0" w:color="auto"/>
      </w:divBdr>
    </w:div>
    <w:div w:id="203804215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image" Target="media/image10.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7BC21E-F929-4BA6-AEB3-5C6FD5972E56}" type="doc">
      <dgm:prSet loTypeId="urn:microsoft.com/office/officeart/2005/8/layout/process1" loCatId="process" qsTypeId="urn:microsoft.com/office/officeart/2005/8/quickstyle/simple3" qsCatId="simple" csTypeId="urn:microsoft.com/office/officeart/2005/8/colors/accent0_1" csCatId="mainScheme" phldr="1"/>
      <dgm:spPr/>
    </dgm:pt>
    <dgm:pt modelId="{926792EA-5BAB-4B2E-824E-BF503B6BAB95}">
      <dgm:prSet phldrT="[Szöveg]" custT="1"/>
      <dgm:spPr/>
      <dgm:t>
        <a:bodyPr/>
        <a:lstStyle/>
        <a:p>
          <a:r>
            <a:rPr lang="hu-HU" sz="800" b="0">
              <a:latin typeface="Arial" panose="020B0604020202020204" pitchFamily="34" charset="0"/>
              <a:cs typeface="Arial" panose="020B0604020202020204" pitchFamily="34" charset="0"/>
            </a:rPr>
            <a:t>Pyrolysis of animal sewage sludge (biochar production)</a:t>
          </a:r>
        </a:p>
      </dgm:t>
    </dgm:pt>
    <dgm:pt modelId="{C4DDE20F-B402-4307-8F3D-18A2F61D5EA8}" type="parTrans" cxnId="{609000E3-22B8-456A-B8EE-6C9A7C46FA50}">
      <dgm:prSet/>
      <dgm:spPr/>
      <dgm:t>
        <a:bodyPr/>
        <a:lstStyle/>
        <a:p>
          <a:endParaRPr lang="hu-HU" sz="800" b="0">
            <a:latin typeface="Arial" panose="020B0604020202020204" pitchFamily="34" charset="0"/>
            <a:cs typeface="Arial" panose="020B0604020202020204" pitchFamily="34" charset="0"/>
          </a:endParaRPr>
        </a:p>
      </dgm:t>
    </dgm:pt>
    <dgm:pt modelId="{AA54792D-5272-4196-B5D7-2FEA709DA51E}" type="sibTrans" cxnId="{609000E3-22B8-456A-B8EE-6C9A7C46FA50}">
      <dgm:prSet custT="1"/>
      <dgm:spPr/>
      <dgm:t>
        <a:bodyPr/>
        <a:lstStyle/>
        <a:p>
          <a:endParaRPr lang="hu-HU" sz="800" b="0">
            <a:latin typeface="Arial" panose="020B0604020202020204" pitchFamily="34" charset="0"/>
            <a:cs typeface="Arial" panose="020B0604020202020204" pitchFamily="34" charset="0"/>
          </a:endParaRPr>
        </a:p>
      </dgm:t>
    </dgm:pt>
    <dgm:pt modelId="{8FCD6712-FDAB-4908-A5B6-B637239770C6}">
      <dgm:prSet phldrT="[Szöveg]" custT="1"/>
      <dgm:spPr/>
      <dgm:t>
        <a:bodyPr/>
        <a:lstStyle/>
        <a:p>
          <a:r>
            <a:rPr lang="hu-HU" sz="800" b="0">
              <a:latin typeface="Arial" panose="020B0604020202020204" pitchFamily="34" charset="0"/>
              <a:cs typeface="Arial" panose="020B0604020202020204" pitchFamily="34" charset="0"/>
            </a:rPr>
            <a:t>Sepration of biochar (</a:t>
          </a:r>
          <a:r>
            <a:rPr lang="en-GB" sz="800" b="0">
              <a:latin typeface="Arial" panose="020B0604020202020204" pitchFamily="34" charset="0"/>
              <a:cs typeface="Arial" panose="020B0604020202020204" pitchFamily="34" charset="0"/>
            </a:rPr>
            <a:t>3.15-2.50 mm and 0.80-0.40 mm</a:t>
          </a:r>
          <a:r>
            <a:rPr lang="hu-HU" sz="800" b="0">
              <a:latin typeface="Arial" panose="020B0604020202020204" pitchFamily="34" charset="0"/>
              <a:cs typeface="Arial" panose="020B0604020202020204" pitchFamily="34" charset="0"/>
            </a:rPr>
            <a:t>)</a:t>
          </a:r>
        </a:p>
      </dgm:t>
    </dgm:pt>
    <dgm:pt modelId="{41C23D88-38D8-443B-93E5-82F05DB919E7}" type="parTrans" cxnId="{2529C1BE-8DB8-4CC7-89EA-E74D8A60EED7}">
      <dgm:prSet/>
      <dgm:spPr/>
      <dgm:t>
        <a:bodyPr/>
        <a:lstStyle/>
        <a:p>
          <a:endParaRPr lang="hu-HU" sz="800" b="0">
            <a:latin typeface="Arial" panose="020B0604020202020204" pitchFamily="34" charset="0"/>
            <a:cs typeface="Arial" panose="020B0604020202020204" pitchFamily="34" charset="0"/>
          </a:endParaRPr>
        </a:p>
      </dgm:t>
    </dgm:pt>
    <dgm:pt modelId="{B078F938-75F1-4C49-A654-1AFF8863E995}" type="sibTrans" cxnId="{2529C1BE-8DB8-4CC7-89EA-E74D8A60EED7}">
      <dgm:prSet custT="1"/>
      <dgm:spPr/>
      <dgm:t>
        <a:bodyPr/>
        <a:lstStyle/>
        <a:p>
          <a:endParaRPr lang="hu-HU" sz="800" b="0">
            <a:latin typeface="Arial" panose="020B0604020202020204" pitchFamily="34" charset="0"/>
            <a:cs typeface="Arial" panose="020B0604020202020204" pitchFamily="34" charset="0"/>
          </a:endParaRPr>
        </a:p>
      </dgm:t>
    </dgm:pt>
    <dgm:pt modelId="{FE3D500C-DE8D-40BD-84F6-E025EF7FD451}">
      <dgm:prSet phldrT="[Szöveg]" custT="1"/>
      <dgm:spPr/>
      <dgm:t>
        <a:bodyPr/>
        <a:lstStyle/>
        <a:p>
          <a:r>
            <a:rPr lang="hu-HU" sz="800" b="0">
              <a:latin typeface="Arial" panose="020B0604020202020204" pitchFamily="34" charset="0"/>
              <a:cs typeface="Arial" panose="020B0604020202020204" pitchFamily="34" charset="0"/>
            </a:rPr>
            <a:t>Impregnation of biochar</a:t>
          </a:r>
        </a:p>
      </dgm:t>
    </dgm:pt>
    <dgm:pt modelId="{5B810DE3-54A0-4111-9C69-C8DB8B77B4CE}" type="parTrans" cxnId="{DBA84D0D-4C65-4615-AF37-FFB3DD41518F}">
      <dgm:prSet/>
      <dgm:spPr/>
      <dgm:t>
        <a:bodyPr/>
        <a:lstStyle/>
        <a:p>
          <a:endParaRPr lang="hu-HU" sz="800" b="0">
            <a:latin typeface="Arial" panose="020B0604020202020204" pitchFamily="34" charset="0"/>
            <a:cs typeface="Arial" panose="020B0604020202020204" pitchFamily="34" charset="0"/>
          </a:endParaRPr>
        </a:p>
      </dgm:t>
    </dgm:pt>
    <dgm:pt modelId="{C5A5B217-C6EC-422E-A27F-D45437774D0D}" type="sibTrans" cxnId="{DBA84D0D-4C65-4615-AF37-FFB3DD41518F}">
      <dgm:prSet custT="1"/>
      <dgm:spPr/>
      <dgm:t>
        <a:bodyPr/>
        <a:lstStyle/>
        <a:p>
          <a:endParaRPr lang="hu-HU" sz="800" b="0">
            <a:latin typeface="Arial" panose="020B0604020202020204" pitchFamily="34" charset="0"/>
            <a:cs typeface="Arial" panose="020B0604020202020204" pitchFamily="34" charset="0"/>
          </a:endParaRPr>
        </a:p>
      </dgm:t>
    </dgm:pt>
    <dgm:pt modelId="{D0ECC2F3-6000-4A75-8735-D8B3FB6DF251}">
      <dgm:prSet phldrT="[Szöveg]" custT="1"/>
      <dgm:spPr/>
      <dgm:t>
        <a:bodyPr/>
        <a:lstStyle/>
        <a:p>
          <a:r>
            <a:rPr lang="hu-HU" sz="800" b="0">
              <a:latin typeface="Arial" panose="020B0604020202020204" pitchFamily="34" charset="0"/>
              <a:cs typeface="Arial" panose="020B0604020202020204" pitchFamily="34" charset="0"/>
            </a:rPr>
            <a:t>Post treatment of biochar (at 400 and 600°C)</a:t>
          </a:r>
        </a:p>
      </dgm:t>
    </dgm:pt>
    <dgm:pt modelId="{171D5FA5-E882-4323-86BF-A2CB7D297064}" type="parTrans" cxnId="{BDF977F3-D525-4E6B-AEA3-A887F1D9DD0E}">
      <dgm:prSet/>
      <dgm:spPr/>
      <dgm:t>
        <a:bodyPr/>
        <a:lstStyle/>
        <a:p>
          <a:endParaRPr lang="hu-HU" sz="800" b="0">
            <a:latin typeface="Arial" panose="020B0604020202020204" pitchFamily="34" charset="0"/>
            <a:cs typeface="Arial" panose="020B0604020202020204" pitchFamily="34" charset="0"/>
          </a:endParaRPr>
        </a:p>
      </dgm:t>
    </dgm:pt>
    <dgm:pt modelId="{85FAD492-CACA-442F-80F5-AF924E45A8BD}" type="sibTrans" cxnId="{BDF977F3-D525-4E6B-AEA3-A887F1D9DD0E}">
      <dgm:prSet custT="1"/>
      <dgm:spPr/>
      <dgm:t>
        <a:bodyPr/>
        <a:lstStyle/>
        <a:p>
          <a:endParaRPr lang="hu-HU" sz="800" b="0">
            <a:latin typeface="Arial" panose="020B0604020202020204" pitchFamily="34" charset="0"/>
            <a:cs typeface="Arial" panose="020B0604020202020204" pitchFamily="34" charset="0"/>
          </a:endParaRPr>
        </a:p>
      </dgm:t>
    </dgm:pt>
    <dgm:pt modelId="{8D3CC473-8558-4A0F-8D6E-70821571E177}">
      <dgm:prSet phldrT="[Szöveg]" custT="1"/>
      <dgm:spPr/>
      <dgm:t>
        <a:bodyPr/>
        <a:lstStyle/>
        <a:p>
          <a:r>
            <a:rPr lang="hu-HU" sz="800" b="0">
              <a:latin typeface="Arial" panose="020B0604020202020204" pitchFamily="34" charset="0"/>
              <a:cs typeface="Arial" panose="020B0604020202020204" pitchFamily="34" charset="0"/>
            </a:rPr>
            <a:t>Adsorption (15% CO</a:t>
          </a:r>
          <a:r>
            <a:rPr lang="hu-HU" sz="800" b="0" baseline="-25000">
              <a:latin typeface="Arial" panose="020B0604020202020204" pitchFamily="34" charset="0"/>
              <a:cs typeface="Arial" panose="020B0604020202020204" pitchFamily="34" charset="0"/>
            </a:rPr>
            <a:t>2</a:t>
          </a:r>
          <a:r>
            <a:rPr lang="hu-HU" sz="800" b="0">
              <a:latin typeface="Arial" panose="020B0604020202020204" pitchFamily="34" charset="0"/>
              <a:cs typeface="Arial" panose="020B0604020202020204" pitchFamily="34" charset="0"/>
            </a:rPr>
            <a:t>)</a:t>
          </a:r>
        </a:p>
      </dgm:t>
    </dgm:pt>
    <dgm:pt modelId="{73892B0F-ADFC-4623-83AB-A374D94C1A93}" type="parTrans" cxnId="{38F2B870-9619-460F-B73B-1D2227330276}">
      <dgm:prSet/>
      <dgm:spPr/>
      <dgm:t>
        <a:bodyPr/>
        <a:lstStyle/>
        <a:p>
          <a:endParaRPr lang="hu-HU" sz="800" b="0">
            <a:latin typeface="Arial" panose="020B0604020202020204" pitchFamily="34" charset="0"/>
            <a:cs typeface="Arial" panose="020B0604020202020204" pitchFamily="34" charset="0"/>
          </a:endParaRPr>
        </a:p>
      </dgm:t>
    </dgm:pt>
    <dgm:pt modelId="{868995DC-E4D7-467C-95B2-29DF59494432}" type="sibTrans" cxnId="{38F2B870-9619-460F-B73B-1D2227330276}">
      <dgm:prSet/>
      <dgm:spPr/>
      <dgm:t>
        <a:bodyPr/>
        <a:lstStyle/>
        <a:p>
          <a:endParaRPr lang="hu-HU" sz="800" b="0">
            <a:latin typeface="Arial" panose="020B0604020202020204" pitchFamily="34" charset="0"/>
            <a:cs typeface="Arial" panose="020B0604020202020204" pitchFamily="34" charset="0"/>
          </a:endParaRPr>
        </a:p>
      </dgm:t>
    </dgm:pt>
    <dgm:pt modelId="{15197C16-3E10-475E-A595-0C09DE57304D}" type="pres">
      <dgm:prSet presAssocID="{EA7BC21E-F929-4BA6-AEB3-5C6FD5972E56}" presName="Name0" presStyleCnt="0">
        <dgm:presLayoutVars>
          <dgm:dir/>
          <dgm:resizeHandles val="exact"/>
        </dgm:presLayoutVars>
      </dgm:prSet>
      <dgm:spPr/>
    </dgm:pt>
    <dgm:pt modelId="{6BECBC2A-D7E0-4736-BD37-756DB2F22132}" type="pres">
      <dgm:prSet presAssocID="{926792EA-5BAB-4B2E-824E-BF503B6BAB95}" presName="node" presStyleLbl="node1" presStyleIdx="0" presStyleCnt="5">
        <dgm:presLayoutVars>
          <dgm:bulletEnabled val="1"/>
        </dgm:presLayoutVars>
      </dgm:prSet>
      <dgm:spPr/>
    </dgm:pt>
    <dgm:pt modelId="{84A6DF59-FC40-4D74-9991-3FE4F8A4AFDA}" type="pres">
      <dgm:prSet presAssocID="{AA54792D-5272-4196-B5D7-2FEA709DA51E}" presName="sibTrans" presStyleLbl="sibTrans2D1" presStyleIdx="0" presStyleCnt="4"/>
      <dgm:spPr/>
    </dgm:pt>
    <dgm:pt modelId="{822C6141-352B-401B-92B0-3380764F28F8}" type="pres">
      <dgm:prSet presAssocID="{AA54792D-5272-4196-B5D7-2FEA709DA51E}" presName="connectorText" presStyleLbl="sibTrans2D1" presStyleIdx="0" presStyleCnt="4"/>
      <dgm:spPr/>
    </dgm:pt>
    <dgm:pt modelId="{88D24EC3-E400-4B30-8A57-A3ADD5BB2CE7}" type="pres">
      <dgm:prSet presAssocID="{8FCD6712-FDAB-4908-A5B6-B637239770C6}" presName="node" presStyleLbl="node1" presStyleIdx="1" presStyleCnt="5">
        <dgm:presLayoutVars>
          <dgm:bulletEnabled val="1"/>
        </dgm:presLayoutVars>
      </dgm:prSet>
      <dgm:spPr/>
    </dgm:pt>
    <dgm:pt modelId="{83A90084-7F97-453E-B4B4-E819964AC2D5}" type="pres">
      <dgm:prSet presAssocID="{B078F938-75F1-4C49-A654-1AFF8863E995}" presName="sibTrans" presStyleLbl="sibTrans2D1" presStyleIdx="1" presStyleCnt="4"/>
      <dgm:spPr/>
    </dgm:pt>
    <dgm:pt modelId="{5DA2128C-A5E7-46D1-A3EC-E5D5DD71DD01}" type="pres">
      <dgm:prSet presAssocID="{B078F938-75F1-4C49-A654-1AFF8863E995}" presName="connectorText" presStyleLbl="sibTrans2D1" presStyleIdx="1" presStyleCnt="4"/>
      <dgm:spPr/>
    </dgm:pt>
    <dgm:pt modelId="{168AEB58-C1F0-4428-AFCF-81B0FCA66D83}" type="pres">
      <dgm:prSet presAssocID="{FE3D500C-DE8D-40BD-84F6-E025EF7FD451}" presName="node" presStyleLbl="node1" presStyleIdx="2" presStyleCnt="5">
        <dgm:presLayoutVars>
          <dgm:bulletEnabled val="1"/>
        </dgm:presLayoutVars>
      </dgm:prSet>
      <dgm:spPr/>
    </dgm:pt>
    <dgm:pt modelId="{2B6DD6E6-B3A8-4F4F-8624-9E4A0857C05B}" type="pres">
      <dgm:prSet presAssocID="{C5A5B217-C6EC-422E-A27F-D45437774D0D}" presName="sibTrans" presStyleLbl="sibTrans2D1" presStyleIdx="2" presStyleCnt="4"/>
      <dgm:spPr/>
    </dgm:pt>
    <dgm:pt modelId="{B6F3019F-62DA-44B2-8665-3CD38EAE8E32}" type="pres">
      <dgm:prSet presAssocID="{C5A5B217-C6EC-422E-A27F-D45437774D0D}" presName="connectorText" presStyleLbl="sibTrans2D1" presStyleIdx="2" presStyleCnt="4"/>
      <dgm:spPr/>
    </dgm:pt>
    <dgm:pt modelId="{366076FE-F6EF-43A8-BEDA-44458EE608E1}" type="pres">
      <dgm:prSet presAssocID="{D0ECC2F3-6000-4A75-8735-D8B3FB6DF251}" presName="node" presStyleLbl="node1" presStyleIdx="3" presStyleCnt="5">
        <dgm:presLayoutVars>
          <dgm:bulletEnabled val="1"/>
        </dgm:presLayoutVars>
      </dgm:prSet>
      <dgm:spPr/>
    </dgm:pt>
    <dgm:pt modelId="{E85D3E79-0232-4EDA-848F-30961FDBA441}" type="pres">
      <dgm:prSet presAssocID="{85FAD492-CACA-442F-80F5-AF924E45A8BD}" presName="sibTrans" presStyleLbl="sibTrans2D1" presStyleIdx="3" presStyleCnt="4"/>
      <dgm:spPr/>
    </dgm:pt>
    <dgm:pt modelId="{35BF3598-D84C-474D-B9D7-0FA2B91749DA}" type="pres">
      <dgm:prSet presAssocID="{85FAD492-CACA-442F-80F5-AF924E45A8BD}" presName="connectorText" presStyleLbl="sibTrans2D1" presStyleIdx="3" presStyleCnt="4"/>
      <dgm:spPr/>
    </dgm:pt>
    <dgm:pt modelId="{476C7604-4AF0-43A8-9B37-C87A84C49287}" type="pres">
      <dgm:prSet presAssocID="{8D3CC473-8558-4A0F-8D6E-70821571E177}" presName="node" presStyleLbl="node1" presStyleIdx="4" presStyleCnt="5">
        <dgm:presLayoutVars>
          <dgm:bulletEnabled val="1"/>
        </dgm:presLayoutVars>
      </dgm:prSet>
      <dgm:spPr/>
    </dgm:pt>
  </dgm:ptLst>
  <dgm:cxnLst>
    <dgm:cxn modelId="{DBA84D0D-4C65-4615-AF37-FFB3DD41518F}" srcId="{EA7BC21E-F929-4BA6-AEB3-5C6FD5972E56}" destId="{FE3D500C-DE8D-40BD-84F6-E025EF7FD451}" srcOrd="2" destOrd="0" parTransId="{5B810DE3-54A0-4111-9C69-C8DB8B77B4CE}" sibTransId="{C5A5B217-C6EC-422E-A27F-D45437774D0D}"/>
    <dgm:cxn modelId="{4AFDF815-7C38-45D8-BC53-E0FA95858C3D}" type="presOf" srcId="{EA7BC21E-F929-4BA6-AEB3-5C6FD5972E56}" destId="{15197C16-3E10-475E-A595-0C09DE57304D}" srcOrd="0" destOrd="0" presId="urn:microsoft.com/office/officeart/2005/8/layout/process1"/>
    <dgm:cxn modelId="{AA27701B-7A09-4A17-90E9-1723624475F3}" type="presOf" srcId="{8FCD6712-FDAB-4908-A5B6-B637239770C6}" destId="{88D24EC3-E400-4B30-8A57-A3ADD5BB2CE7}" srcOrd="0" destOrd="0" presId="urn:microsoft.com/office/officeart/2005/8/layout/process1"/>
    <dgm:cxn modelId="{C94CCF20-04BC-4BD2-89E0-22B07AE38522}" type="presOf" srcId="{8D3CC473-8558-4A0F-8D6E-70821571E177}" destId="{476C7604-4AF0-43A8-9B37-C87A84C49287}" srcOrd="0" destOrd="0" presId="urn:microsoft.com/office/officeart/2005/8/layout/process1"/>
    <dgm:cxn modelId="{F3203B36-8968-4680-9B41-82A7A69B5300}" type="presOf" srcId="{D0ECC2F3-6000-4A75-8735-D8B3FB6DF251}" destId="{366076FE-F6EF-43A8-BEDA-44458EE608E1}" srcOrd="0" destOrd="0" presId="urn:microsoft.com/office/officeart/2005/8/layout/process1"/>
    <dgm:cxn modelId="{D087EE60-8144-4CEA-A3EF-59047ED7F710}" type="presOf" srcId="{B078F938-75F1-4C49-A654-1AFF8863E995}" destId="{83A90084-7F97-453E-B4B4-E819964AC2D5}" srcOrd="0" destOrd="0" presId="urn:microsoft.com/office/officeart/2005/8/layout/process1"/>
    <dgm:cxn modelId="{5D67E247-D8CC-4D99-A5EE-8B21301FEE26}" type="presOf" srcId="{AA54792D-5272-4196-B5D7-2FEA709DA51E}" destId="{84A6DF59-FC40-4D74-9991-3FE4F8A4AFDA}" srcOrd="0" destOrd="0" presId="urn:microsoft.com/office/officeart/2005/8/layout/process1"/>
    <dgm:cxn modelId="{38F2B870-9619-460F-B73B-1D2227330276}" srcId="{EA7BC21E-F929-4BA6-AEB3-5C6FD5972E56}" destId="{8D3CC473-8558-4A0F-8D6E-70821571E177}" srcOrd="4" destOrd="0" parTransId="{73892B0F-ADFC-4623-83AB-A374D94C1A93}" sibTransId="{868995DC-E4D7-467C-95B2-29DF59494432}"/>
    <dgm:cxn modelId="{5A2B2976-4A3F-49E6-A1CF-7F0218C7B4F6}" type="presOf" srcId="{C5A5B217-C6EC-422E-A27F-D45437774D0D}" destId="{B6F3019F-62DA-44B2-8665-3CD38EAE8E32}" srcOrd="1" destOrd="0" presId="urn:microsoft.com/office/officeart/2005/8/layout/process1"/>
    <dgm:cxn modelId="{9CFD469D-3634-40EA-8186-A49FFE40354D}" type="presOf" srcId="{85FAD492-CACA-442F-80F5-AF924E45A8BD}" destId="{E85D3E79-0232-4EDA-848F-30961FDBA441}" srcOrd="0" destOrd="0" presId="urn:microsoft.com/office/officeart/2005/8/layout/process1"/>
    <dgm:cxn modelId="{FE2281B3-FB00-48CA-B4BC-670B73E54CDB}" type="presOf" srcId="{FE3D500C-DE8D-40BD-84F6-E025EF7FD451}" destId="{168AEB58-C1F0-4428-AFCF-81B0FCA66D83}" srcOrd="0" destOrd="0" presId="urn:microsoft.com/office/officeart/2005/8/layout/process1"/>
    <dgm:cxn modelId="{2529C1BE-8DB8-4CC7-89EA-E74D8A60EED7}" srcId="{EA7BC21E-F929-4BA6-AEB3-5C6FD5972E56}" destId="{8FCD6712-FDAB-4908-A5B6-B637239770C6}" srcOrd="1" destOrd="0" parTransId="{41C23D88-38D8-443B-93E5-82F05DB919E7}" sibTransId="{B078F938-75F1-4C49-A654-1AFF8863E995}"/>
    <dgm:cxn modelId="{4DB855CA-05F6-43A9-8AFB-0027005438DD}" type="presOf" srcId="{85FAD492-CACA-442F-80F5-AF924E45A8BD}" destId="{35BF3598-D84C-474D-B9D7-0FA2B91749DA}" srcOrd="1" destOrd="0" presId="urn:microsoft.com/office/officeart/2005/8/layout/process1"/>
    <dgm:cxn modelId="{D1FBF8CC-3AEF-40CA-9212-031F6393F954}" type="presOf" srcId="{C5A5B217-C6EC-422E-A27F-D45437774D0D}" destId="{2B6DD6E6-B3A8-4F4F-8624-9E4A0857C05B}" srcOrd="0" destOrd="0" presId="urn:microsoft.com/office/officeart/2005/8/layout/process1"/>
    <dgm:cxn modelId="{177C26E0-36E7-42AD-83C7-55353D707E2B}" type="presOf" srcId="{926792EA-5BAB-4B2E-824E-BF503B6BAB95}" destId="{6BECBC2A-D7E0-4736-BD37-756DB2F22132}" srcOrd="0" destOrd="0" presId="urn:microsoft.com/office/officeart/2005/8/layout/process1"/>
    <dgm:cxn modelId="{609000E3-22B8-456A-B8EE-6C9A7C46FA50}" srcId="{EA7BC21E-F929-4BA6-AEB3-5C6FD5972E56}" destId="{926792EA-5BAB-4B2E-824E-BF503B6BAB95}" srcOrd="0" destOrd="0" parTransId="{C4DDE20F-B402-4307-8F3D-18A2F61D5EA8}" sibTransId="{AA54792D-5272-4196-B5D7-2FEA709DA51E}"/>
    <dgm:cxn modelId="{94F4C8E6-E792-453E-9136-988B0C65ABA3}" type="presOf" srcId="{AA54792D-5272-4196-B5D7-2FEA709DA51E}" destId="{822C6141-352B-401B-92B0-3380764F28F8}" srcOrd="1" destOrd="0" presId="urn:microsoft.com/office/officeart/2005/8/layout/process1"/>
    <dgm:cxn modelId="{BDF977F3-D525-4E6B-AEA3-A887F1D9DD0E}" srcId="{EA7BC21E-F929-4BA6-AEB3-5C6FD5972E56}" destId="{D0ECC2F3-6000-4A75-8735-D8B3FB6DF251}" srcOrd="3" destOrd="0" parTransId="{171D5FA5-E882-4323-86BF-A2CB7D297064}" sibTransId="{85FAD492-CACA-442F-80F5-AF924E45A8BD}"/>
    <dgm:cxn modelId="{9F4D3BFC-C952-4414-8901-C2260967752C}" type="presOf" srcId="{B078F938-75F1-4C49-A654-1AFF8863E995}" destId="{5DA2128C-A5E7-46D1-A3EC-E5D5DD71DD01}" srcOrd="1" destOrd="0" presId="urn:microsoft.com/office/officeart/2005/8/layout/process1"/>
    <dgm:cxn modelId="{C62B0836-AB63-4DA0-87B9-2ACD5D851C61}" type="presParOf" srcId="{15197C16-3E10-475E-A595-0C09DE57304D}" destId="{6BECBC2A-D7E0-4736-BD37-756DB2F22132}" srcOrd="0" destOrd="0" presId="urn:microsoft.com/office/officeart/2005/8/layout/process1"/>
    <dgm:cxn modelId="{4729E465-62A9-46B6-8AA1-D41DB0E281E2}" type="presParOf" srcId="{15197C16-3E10-475E-A595-0C09DE57304D}" destId="{84A6DF59-FC40-4D74-9991-3FE4F8A4AFDA}" srcOrd="1" destOrd="0" presId="urn:microsoft.com/office/officeart/2005/8/layout/process1"/>
    <dgm:cxn modelId="{E865E8F8-E136-46A8-8D4B-5E3F20C331EF}" type="presParOf" srcId="{84A6DF59-FC40-4D74-9991-3FE4F8A4AFDA}" destId="{822C6141-352B-401B-92B0-3380764F28F8}" srcOrd="0" destOrd="0" presId="urn:microsoft.com/office/officeart/2005/8/layout/process1"/>
    <dgm:cxn modelId="{760EB95F-8359-473F-B6AC-D0309FF19687}" type="presParOf" srcId="{15197C16-3E10-475E-A595-0C09DE57304D}" destId="{88D24EC3-E400-4B30-8A57-A3ADD5BB2CE7}" srcOrd="2" destOrd="0" presId="urn:microsoft.com/office/officeart/2005/8/layout/process1"/>
    <dgm:cxn modelId="{03176884-BF7F-4935-BC20-2C650C318B8B}" type="presParOf" srcId="{15197C16-3E10-475E-A595-0C09DE57304D}" destId="{83A90084-7F97-453E-B4B4-E819964AC2D5}" srcOrd="3" destOrd="0" presId="urn:microsoft.com/office/officeart/2005/8/layout/process1"/>
    <dgm:cxn modelId="{6A4F05C0-F6A9-4F5B-B8CD-C61AAEF9BF37}" type="presParOf" srcId="{83A90084-7F97-453E-B4B4-E819964AC2D5}" destId="{5DA2128C-A5E7-46D1-A3EC-E5D5DD71DD01}" srcOrd="0" destOrd="0" presId="urn:microsoft.com/office/officeart/2005/8/layout/process1"/>
    <dgm:cxn modelId="{60888376-4170-4928-9523-A9C3E3B96669}" type="presParOf" srcId="{15197C16-3E10-475E-A595-0C09DE57304D}" destId="{168AEB58-C1F0-4428-AFCF-81B0FCA66D83}" srcOrd="4" destOrd="0" presId="urn:microsoft.com/office/officeart/2005/8/layout/process1"/>
    <dgm:cxn modelId="{B1FEA328-60EF-456F-B4F4-160C1F3E73B0}" type="presParOf" srcId="{15197C16-3E10-475E-A595-0C09DE57304D}" destId="{2B6DD6E6-B3A8-4F4F-8624-9E4A0857C05B}" srcOrd="5" destOrd="0" presId="urn:microsoft.com/office/officeart/2005/8/layout/process1"/>
    <dgm:cxn modelId="{DDD8F2CE-3D6E-49CE-BC25-828AB149D58F}" type="presParOf" srcId="{2B6DD6E6-B3A8-4F4F-8624-9E4A0857C05B}" destId="{B6F3019F-62DA-44B2-8665-3CD38EAE8E32}" srcOrd="0" destOrd="0" presId="urn:microsoft.com/office/officeart/2005/8/layout/process1"/>
    <dgm:cxn modelId="{CECCFDB1-6B4F-4B2A-83E3-89263A806EAF}" type="presParOf" srcId="{15197C16-3E10-475E-A595-0C09DE57304D}" destId="{366076FE-F6EF-43A8-BEDA-44458EE608E1}" srcOrd="6" destOrd="0" presId="urn:microsoft.com/office/officeart/2005/8/layout/process1"/>
    <dgm:cxn modelId="{37B96D9E-5D09-452F-B5BA-BF6470B96ED8}" type="presParOf" srcId="{15197C16-3E10-475E-A595-0C09DE57304D}" destId="{E85D3E79-0232-4EDA-848F-30961FDBA441}" srcOrd="7" destOrd="0" presId="urn:microsoft.com/office/officeart/2005/8/layout/process1"/>
    <dgm:cxn modelId="{AC35F295-B47D-4AED-BE7F-D5156D847A81}" type="presParOf" srcId="{E85D3E79-0232-4EDA-848F-30961FDBA441}" destId="{35BF3598-D84C-474D-B9D7-0FA2B91749DA}" srcOrd="0" destOrd="0" presId="urn:microsoft.com/office/officeart/2005/8/layout/process1"/>
    <dgm:cxn modelId="{C0FE61E5-D842-40E7-8AD3-D50C8EDF2342}" type="presParOf" srcId="{15197C16-3E10-475E-A595-0C09DE57304D}" destId="{476C7604-4AF0-43A8-9B37-C87A84C49287}"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ECBC2A-D7E0-4736-BD37-756DB2F22132}">
      <dsp:nvSpPr>
        <dsp:cNvPr id="0" name=""/>
        <dsp:cNvSpPr/>
      </dsp:nvSpPr>
      <dsp:spPr>
        <a:xfrm>
          <a:off x="2678" y="101133"/>
          <a:ext cx="830460" cy="5216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u-HU" sz="800" b="0" kern="1200">
              <a:latin typeface="Arial" panose="020B0604020202020204" pitchFamily="34" charset="0"/>
              <a:cs typeface="Arial" panose="020B0604020202020204" pitchFamily="34" charset="0"/>
            </a:rPr>
            <a:t>Pyrolysis of animal sewage sludge (biochar production)</a:t>
          </a:r>
        </a:p>
      </dsp:txBody>
      <dsp:txXfrm>
        <a:off x="17956" y="116411"/>
        <a:ext cx="799904" cy="491077"/>
      </dsp:txXfrm>
    </dsp:sp>
    <dsp:sp modelId="{84A6DF59-FC40-4D74-9991-3FE4F8A4AFDA}">
      <dsp:nvSpPr>
        <dsp:cNvPr id="0" name=""/>
        <dsp:cNvSpPr/>
      </dsp:nvSpPr>
      <dsp:spPr>
        <a:xfrm>
          <a:off x="916185" y="258972"/>
          <a:ext cx="176057" cy="20595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u-HU" sz="800" b="0" kern="1200">
            <a:latin typeface="Arial" panose="020B0604020202020204" pitchFamily="34" charset="0"/>
            <a:cs typeface="Arial" panose="020B0604020202020204" pitchFamily="34" charset="0"/>
          </a:endParaRPr>
        </a:p>
      </dsp:txBody>
      <dsp:txXfrm>
        <a:off x="916185" y="300163"/>
        <a:ext cx="123240" cy="123572"/>
      </dsp:txXfrm>
    </dsp:sp>
    <dsp:sp modelId="{88D24EC3-E400-4B30-8A57-A3ADD5BB2CE7}">
      <dsp:nvSpPr>
        <dsp:cNvPr id="0" name=""/>
        <dsp:cNvSpPr/>
      </dsp:nvSpPr>
      <dsp:spPr>
        <a:xfrm>
          <a:off x="1165324" y="101133"/>
          <a:ext cx="830460" cy="5216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u-HU" sz="800" b="0" kern="1200">
              <a:latin typeface="Arial" panose="020B0604020202020204" pitchFamily="34" charset="0"/>
              <a:cs typeface="Arial" panose="020B0604020202020204" pitchFamily="34" charset="0"/>
            </a:rPr>
            <a:t>Sepration of biochar (</a:t>
          </a:r>
          <a:r>
            <a:rPr lang="en-GB" sz="800" b="0" kern="1200">
              <a:latin typeface="Arial" panose="020B0604020202020204" pitchFamily="34" charset="0"/>
              <a:cs typeface="Arial" panose="020B0604020202020204" pitchFamily="34" charset="0"/>
            </a:rPr>
            <a:t>3.15-2.50 mm and 0.80-0.40 mm</a:t>
          </a:r>
          <a:r>
            <a:rPr lang="hu-HU" sz="800" b="0" kern="1200">
              <a:latin typeface="Arial" panose="020B0604020202020204" pitchFamily="34" charset="0"/>
              <a:cs typeface="Arial" panose="020B0604020202020204" pitchFamily="34" charset="0"/>
            </a:rPr>
            <a:t>)</a:t>
          </a:r>
        </a:p>
      </dsp:txBody>
      <dsp:txXfrm>
        <a:off x="1180602" y="116411"/>
        <a:ext cx="799904" cy="491077"/>
      </dsp:txXfrm>
    </dsp:sp>
    <dsp:sp modelId="{83A90084-7F97-453E-B4B4-E819964AC2D5}">
      <dsp:nvSpPr>
        <dsp:cNvPr id="0" name=""/>
        <dsp:cNvSpPr/>
      </dsp:nvSpPr>
      <dsp:spPr>
        <a:xfrm>
          <a:off x="2078831" y="258972"/>
          <a:ext cx="176057" cy="20595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u-HU" sz="800" b="0" kern="1200">
            <a:latin typeface="Arial" panose="020B0604020202020204" pitchFamily="34" charset="0"/>
            <a:cs typeface="Arial" panose="020B0604020202020204" pitchFamily="34" charset="0"/>
          </a:endParaRPr>
        </a:p>
      </dsp:txBody>
      <dsp:txXfrm>
        <a:off x="2078831" y="300163"/>
        <a:ext cx="123240" cy="123572"/>
      </dsp:txXfrm>
    </dsp:sp>
    <dsp:sp modelId="{168AEB58-C1F0-4428-AFCF-81B0FCA66D83}">
      <dsp:nvSpPr>
        <dsp:cNvPr id="0" name=""/>
        <dsp:cNvSpPr/>
      </dsp:nvSpPr>
      <dsp:spPr>
        <a:xfrm>
          <a:off x="2327969" y="101133"/>
          <a:ext cx="830460" cy="5216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u-HU" sz="800" b="0" kern="1200">
              <a:latin typeface="Arial" panose="020B0604020202020204" pitchFamily="34" charset="0"/>
              <a:cs typeface="Arial" panose="020B0604020202020204" pitchFamily="34" charset="0"/>
            </a:rPr>
            <a:t>Impregnation of biochar</a:t>
          </a:r>
        </a:p>
      </dsp:txBody>
      <dsp:txXfrm>
        <a:off x="2343247" y="116411"/>
        <a:ext cx="799904" cy="491077"/>
      </dsp:txXfrm>
    </dsp:sp>
    <dsp:sp modelId="{2B6DD6E6-B3A8-4F4F-8624-9E4A0857C05B}">
      <dsp:nvSpPr>
        <dsp:cNvPr id="0" name=""/>
        <dsp:cNvSpPr/>
      </dsp:nvSpPr>
      <dsp:spPr>
        <a:xfrm>
          <a:off x="3241476" y="258972"/>
          <a:ext cx="176057" cy="20595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u-HU" sz="800" b="0" kern="1200">
            <a:latin typeface="Arial" panose="020B0604020202020204" pitchFamily="34" charset="0"/>
            <a:cs typeface="Arial" panose="020B0604020202020204" pitchFamily="34" charset="0"/>
          </a:endParaRPr>
        </a:p>
      </dsp:txBody>
      <dsp:txXfrm>
        <a:off x="3241476" y="300163"/>
        <a:ext cx="123240" cy="123572"/>
      </dsp:txXfrm>
    </dsp:sp>
    <dsp:sp modelId="{366076FE-F6EF-43A8-BEDA-44458EE608E1}">
      <dsp:nvSpPr>
        <dsp:cNvPr id="0" name=""/>
        <dsp:cNvSpPr/>
      </dsp:nvSpPr>
      <dsp:spPr>
        <a:xfrm>
          <a:off x="3490614" y="101133"/>
          <a:ext cx="830460" cy="5216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u-HU" sz="800" b="0" kern="1200">
              <a:latin typeface="Arial" panose="020B0604020202020204" pitchFamily="34" charset="0"/>
              <a:cs typeface="Arial" panose="020B0604020202020204" pitchFamily="34" charset="0"/>
            </a:rPr>
            <a:t>Post treatment of biochar (at 400 and 600°C)</a:t>
          </a:r>
        </a:p>
      </dsp:txBody>
      <dsp:txXfrm>
        <a:off x="3505892" y="116411"/>
        <a:ext cx="799904" cy="491077"/>
      </dsp:txXfrm>
    </dsp:sp>
    <dsp:sp modelId="{E85D3E79-0232-4EDA-848F-30961FDBA441}">
      <dsp:nvSpPr>
        <dsp:cNvPr id="0" name=""/>
        <dsp:cNvSpPr/>
      </dsp:nvSpPr>
      <dsp:spPr>
        <a:xfrm>
          <a:off x="4404121" y="258972"/>
          <a:ext cx="176057" cy="205954"/>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hu-HU" sz="800" b="0" kern="1200">
            <a:latin typeface="Arial" panose="020B0604020202020204" pitchFamily="34" charset="0"/>
            <a:cs typeface="Arial" panose="020B0604020202020204" pitchFamily="34" charset="0"/>
          </a:endParaRPr>
        </a:p>
      </dsp:txBody>
      <dsp:txXfrm>
        <a:off x="4404121" y="300163"/>
        <a:ext cx="123240" cy="123572"/>
      </dsp:txXfrm>
    </dsp:sp>
    <dsp:sp modelId="{476C7604-4AF0-43A8-9B37-C87A84C49287}">
      <dsp:nvSpPr>
        <dsp:cNvPr id="0" name=""/>
        <dsp:cNvSpPr/>
      </dsp:nvSpPr>
      <dsp:spPr>
        <a:xfrm>
          <a:off x="4653260" y="101133"/>
          <a:ext cx="830460" cy="52163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u-HU" sz="800" b="0" kern="1200">
              <a:latin typeface="Arial" panose="020B0604020202020204" pitchFamily="34" charset="0"/>
              <a:cs typeface="Arial" panose="020B0604020202020204" pitchFamily="34" charset="0"/>
            </a:rPr>
            <a:t>Adsorption (15% CO</a:t>
          </a:r>
          <a:r>
            <a:rPr lang="hu-HU" sz="800" b="0" kern="1200" baseline="-25000">
              <a:latin typeface="Arial" panose="020B0604020202020204" pitchFamily="34" charset="0"/>
              <a:cs typeface="Arial" panose="020B0604020202020204" pitchFamily="34" charset="0"/>
            </a:rPr>
            <a:t>2</a:t>
          </a:r>
          <a:r>
            <a:rPr lang="hu-HU" sz="800" b="0" kern="1200">
              <a:latin typeface="Arial" panose="020B0604020202020204" pitchFamily="34" charset="0"/>
              <a:cs typeface="Arial" panose="020B0604020202020204" pitchFamily="34" charset="0"/>
            </a:rPr>
            <a:t>)</a:t>
          </a:r>
        </a:p>
      </dsp:txBody>
      <dsp:txXfrm>
        <a:off x="4668538" y="116411"/>
        <a:ext cx="799904" cy="4910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1808-DCC4-4BC1-A16F-964D671C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2285</Words>
  <Characters>15767</Characters>
  <Application>Microsoft Office Word</Application>
  <DocSecurity>0</DocSecurity>
  <Lines>131</Lines>
  <Paragraphs>36</Paragraphs>
  <ScaleCrop>false</ScaleCrop>
  <HeadingPairs>
    <vt:vector size="6" baseType="variant">
      <vt:variant>
        <vt:lpstr>Cím</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Viki</cp:lastModifiedBy>
  <cp:revision>17</cp:revision>
  <cp:lastPrinted>2015-05-12T18:31:00Z</cp:lastPrinted>
  <dcterms:created xsi:type="dcterms:W3CDTF">2024-12-28T07:11:00Z</dcterms:created>
  <dcterms:modified xsi:type="dcterms:W3CDTF">2025-04-10T14:15:00Z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