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02003E"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02003E" w:rsidRDefault="000A03B2" w:rsidP="00DE264A">
            <w:pPr>
              <w:tabs>
                <w:tab w:val="left" w:pos="-108"/>
              </w:tabs>
              <w:ind w:left="-108"/>
              <w:jc w:val="left"/>
              <w:rPr>
                <w:rFonts w:cs="Arial"/>
                <w:b/>
                <w:bCs/>
                <w:i/>
                <w:iCs/>
                <w:color w:val="000066"/>
                <w:sz w:val="12"/>
                <w:szCs w:val="12"/>
                <w:lang w:eastAsia="it-IT"/>
              </w:rPr>
            </w:pPr>
            <w:bookmarkStart w:id="0" w:name="_Hlk145068772"/>
            <w:r w:rsidRPr="0002003E">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02003E">
              <w:rPr>
                <w:rFonts w:ascii="AdvP6960" w:hAnsi="AdvP6960" w:cs="AdvP6960"/>
                <w:color w:val="241F20"/>
                <w:szCs w:val="18"/>
                <w:lang w:eastAsia="it-IT"/>
              </w:rPr>
              <w:t xml:space="preserve"> </w:t>
            </w:r>
            <w:r w:rsidRPr="0002003E">
              <w:rPr>
                <w:rFonts w:cs="Arial"/>
                <w:b/>
                <w:bCs/>
                <w:i/>
                <w:iCs/>
                <w:color w:val="000066"/>
                <w:sz w:val="24"/>
                <w:szCs w:val="24"/>
                <w:lang w:eastAsia="it-IT"/>
              </w:rPr>
              <w:t>CHEMICAL ENGINEERING</w:t>
            </w:r>
            <w:r w:rsidRPr="0002003E">
              <w:rPr>
                <w:rFonts w:cs="Arial"/>
                <w:b/>
                <w:bCs/>
                <w:i/>
                <w:iCs/>
                <w:color w:val="0033FF"/>
                <w:sz w:val="24"/>
                <w:szCs w:val="24"/>
                <w:lang w:eastAsia="it-IT"/>
              </w:rPr>
              <w:t xml:space="preserve"> </w:t>
            </w:r>
            <w:r w:rsidRPr="0002003E">
              <w:rPr>
                <w:rFonts w:cs="Arial"/>
                <w:b/>
                <w:bCs/>
                <w:i/>
                <w:iCs/>
                <w:color w:val="666666"/>
                <w:sz w:val="24"/>
                <w:szCs w:val="24"/>
                <w:lang w:eastAsia="it-IT"/>
              </w:rPr>
              <w:t>TRANSACTIONS</w:t>
            </w:r>
            <w:r w:rsidRPr="0002003E">
              <w:rPr>
                <w:color w:val="333333"/>
                <w:sz w:val="24"/>
                <w:szCs w:val="24"/>
                <w:lang w:eastAsia="it-IT"/>
              </w:rPr>
              <w:t xml:space="preserve"> </w:t>
            </w:r>
            <w:r w:rsidRPr="0002003E">
              <w:rPr>
                <w:rFonts w:cs="Arial"/>
                <w:b/>
                <w:bCs/>
                <w:i/>
                <w:iCs/>
                <w:color w:val="000066"/>
                <w:sz w:val="27"/>
                <w:szCs w:val="27"/>
                <w:lang w:eastAsia="it-IT"/>
              </w:rPr>
              <w:br/>
            </w:r>
          </w:p>
          <w:p w14:paraId="4B780582" w14:textId="47EF826C" w:rsidR="000A03B2" w:rsidRPr="0002003E" w:rsidRDefault="00A76EFC" w:rsidP="001D21AF">
            <w:pPr>
              <w:tabs>
                <w:tab w:val="left" w:pos="-108"/>
              </w:tabs>
              <w:ind w:left="-108"/>
              <w:rPr>
                <w:rFonts w:cs="Arial"/>
                <w:b/>
                <w:bCs/>
                <w:i/>
                <w:iCs/>
                <w:color w:val="000066"/>
                <w:sz w:val="22"/>
                <w:szCs w:val="22"/>
                <w:lang w:eastAsia="it-IT"/>
              </w:rPr>
            </w:pPr>
            <w:r w:rsidRPr="0002003E">
              <w:rPr>
                <w:rFonts w:cs="Arial"/>
                <w:b/>
                <w:bCs/>
                <w:i/>
                <w:iCs/>
                <w:color w:val="000066"/>
                <w:sz w:val="22"/>
                <w:szCs w:val="22"/>
                <w:lang w:eastAsia="it-IT"/>
              </w:rPr>
              <w:t>VOL.</w:t>
            </w:r>
            <w:r w:rsidR="00785BF9" w:rsidRPr="0002003E">
              <w:rPr>
                <w:rFonts w:cs="Arial"/>
                <w:b/>
                <w:bCs/>
                <w:i/>
                <w:iCs/>
                <w:color w:val="000066"/>
                <w:sz w:val="22"/>
                <w:szCs w:val="22"/>
                <w:lang w:eastAsia="it-IT"/>
              </w:rPr>
              <w:t xml:space="preserve"> </w:t>
            </w:r>
            <w:r w:rsidR="00994C6A" w:rsidRPr="0002003E">
              <w:rPr>
                <w:rFonts w:cs="Arial"/>
                <w:b/>
                <w:bCs/>
                <w:i/>
                <w:iCs/>
                <w:color w:val="000066"/>
                <w:sz w:val="22"/>
                <w:szCs w:val="22"/>
                <w:lang w:eastAsia="it-IT"/>
              </w:rPr>
              <w:t>xxx</w:t>
            </w:r>
            <w:r w:rsidR="007B48F9" w:rsidRPr="0002003E">
              <w:rPr>
                <w:rFonts w:cs="Arial"/>
                <w:b/>
                <w:bCs/>
                <w:i/>
                <w:iCs/>
                <w:color w:val="000066"/>
                <w:sz w:val="22"/>
                <w:szCs w:val="22"/>
                <w:lang w:eastAsia="it-IT"/>
              </w:rPr>
              <w:t>,</w:t>
            </w:r>
            <w:r w:rsidR="00FA5F5F" w:rsidRPr="0002003E">
              <w:rPr>
                <w:rFonts w:cs="Arial"/>
                <w:b/>
                <w:bCs/>
                <w:i/>
                <w:iCs/>
                <w:color w:val="000066"/>
                <w:sz w:val="22"/>
                <w:szCs w:val="22"/>
                <w:lang w:eastAsia="it-IT"/>
              </w:rPr>
              <w:t xml:space="preserve"> </w:t>
            </w:r>
            <w:r w:rsidR="0030152C" w:rsidRPr="0002003E">
              <w:rPr>
                <w:rFonts w:cs="Arial"/>
                <w:b/>
                <w:bCs/>
                <w:i/>
                <w:iCs/>
                <w:color w:val="000066"/>
                <w:sz w:val="22"/>
                <w:szCs w:val="22"/>
                <w:lang w:eastAsia="it-IT"/>
              </w:rPr>
              <w:t>202</w:t>
            </w:r>
            <w:r w:rsidR="00994C6A" w:rsidRPr="0002003E">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02003E" w:rsidRDefault="000A03B2" w:rsidP="00CD5FE2">
            <w:pPr>
              <w:spacing w:line="140" w:lineRule="atLeast"/>
              <w:jc w:val="right"/>
              <w:rPr>
                <w:rFonts w:cs="Arial"/>
                <w:sz w:val="14"/>
                <w:szCs w:val="14"/>
              </w:rPr>
            </w:pPr>
            <w:r w:rsidRPr="0002003E">
              <w:rPr>
                <w:rFonts w:cs="Arial"/>
                <w:sz w:val="14"/>
                <w:szCs w:val="14"/>
              </w:rPr>
              <w:t>A publication of</w:t>
            </w:r>
          </w:p>
          <w:p w14:paraId="599E5441" w14:textId="77777777" w:rsidR="000A03B2" w:rsidRPr="0002003E" w:rsidRDefault="000A03B2" w:rsidP="00CD5FE2">
            <w:pPr>
              <w:jc w:val="right"/>
            </w:pPr>
            <w:r w:rsidRPr="0002003E">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02003E" w14:paraId="380FA3CD" w14:textId="77777777" w:rsidTr="00DE264A">
        <w:trPr>
          <w:trHeight w:val="567"/>
          <w:jc w:val="center"/>
        </w:trPr>
        <w:tc>
          <w:tcPr>
            <w:tcW w:w="6946" w:type="dxa"/>
            <w:vMerge/>
            <w:tcBorders>
              <w:right w:val="single" w:sz="4" w:space="0" w:color="auto"/>
            </w:tcBorders>
          </w:tcPr>
          <w:p w14:paraId="39E5E4C1" w14:textId="77777777" w:rsidR="000A03B2" w:rsidRPr="0002003E"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02003E" w:rsidRDefault="000A03B2" w:rsidP="00CD5FE2">
            <w:pPr>
              <w:spacing w:line="140" w:lineRule="atLeast"/>
              <w:jc w:val="right"/>
              <w:rPr>
                <w:rFonts w:cs="Arial"/>
                <w:sz w:val="14"/>
                <w:szCs w:val="14"/>
              </w:rPr>
            </w:pPr>
            <w:r w:rsidRPr="0002003E">
              <w:rPr>
                <w:rFonts w:cs="Arial"/>
                <w:sz w:val="14"/>
                <w:szCs w:val="14"/>
              </w:rPr>
              <w:t>The Italian Association</w:t>
            </w:r>
          </w:p>
          <w:p w14:paraId="7522B1D2" w14:textId="77777777" w:rsidR="000A03B2" w:rsidRPr="0002003E" w:rsidRDefault="000A03B2" w:rsidP="00CD5FE2">
            <w:pPr>
              <w:spacing w:line="140" w:lineRule="atLeast"/>
              <w:jc w:val="right"/>
              <w:rPr>
                <w:rFonts w:cs="Arial"/>
                <w:sz w:val="14"/>
                <w:szCs w:val="14"/>
              </w:rPr>
            </w:pPr>
            <w:r w:rsidRPr="0002003E">
              <w:rPr>
                <w:rFonts w:cs="Arial"/>
                <w:sz w:val="14"/>
                <w:szCs w:val="14"/>
              </w:rPr>
              <w:t>of Chemical Engineering</w:t>
            </w:r>
          </w:p>
          <w:p w14:paraId="4F0CC5DE" w14:textId="47FDB2FC" w:rsidR="000A03B2" w:rsidRPr="0002003E" w:rsidRDefault="000D0268" w:rsidP="00CD5FE2">
            <w:pPr>
              <w:spacing w:line="140" w:lineRule="atLeast"/>
              <w:jc w:val="right"/>
              <w:rPr>
                <w:rFonts w:cs="Arial"/>
                <w:sz w:val="13"/>
                <w:szCs w:val="13"/>
              </w:rPr>
            </w:pPr>
            <w:r w:rsidRPr="0002003E">
              <w:rPr>
                <w:rFonts w:cs="Arial"/>
                <w:sz w:val="13"/>
                <w:szCs w:val="13"/>
              </w:rPr>
              <w:t>Online at www.cetjournal.it</w:t>
            </w:r>
          </w:p>
        </w:tc>
      </w:tr>
      <w:tr w:rsidR="000A03B2" w:rsidRPr="001904C1" w14:paraId="2D1B7169" w14:textId="77777777" w:rsidTr="00DE264A">
        <w:trPr>
          <w:trHeight w:val="68"/>
          <w:jc w:val="center"/>
        </w:trPr>
        <w:tc>
          <w:tcPr>
            <w:tcW w:w="8789" w:type="dxa"/>
            <w:gridSpan w:val="2"/>
          </w:tcPr>
          <w:p w14:paraId="1D8DD3C9" w14:textId="025D7B18" w:rsidR="00AA7D26" w:rsidRPr="001904C1" w:rsidRDefault="00AA7D26" w:rsidP="007D610D">
            <w:pPr>
              <w:ind w:left="-107"/>
              <w:outlineLvl w:val="2"/>
              <w:rPr>
                <w:rFonts w:ascii="Tahoma" w:hAnsi="Tahoma" w:cs="Tahoma"/>
                <w:color w:val="000000"/>
                <w:sz w:val="14"/>
                <w:szCs w:val="14"/>
                <w:shd w:val="clear" w:color="auto" w:fill="FFFFFF"/>
                <w:lang w:val="it-IT"/>
              </w:rPr>
            </w:pPr>
            <w:r w:rsidRPr="001904C1">
              <w:rPr>
                <w:rFonts w:ascii="Tahoma" w:hAnsi="Tahoma" w:cs="Tahoma"/>
                <w:iCs/>
                <w:color w:val="333333"/>
                <w:sz w:val="14"/>
                <w:szCs w:val="14"/>
                <w:lang w:val="it-IT" w:eastAsia="it-IT"/>
              </w:rPr>
              <w:t>Guest Editors:</w:t>
            </w:r>
            <w:r w:rsidR="007D610D" w:rsidRPr="001904C1">
              <w:rPr>
                <w:rFonts w:ascii="Aptos" w:eastAsiaTheme="minorHAnsi" w:hAnsi="Aptos" w:cs="Aptos"/>
                <w:sz w:val="22"/>
                <w:szCs w:val="22"/>
                <w:lang w:val="it-IT"/>
                <w14:ligatures w14:val="standardContextual"/>
              </w:rPr>
              <w:t xml:space="preserve"> </w:t>
            </w:r>
            <w:r w:rsidR="007D610D" w:rsidRPr="001904C1">
              <w:rPr>
                <w:rFonts w:ascii="Tahoma" w:hAnsi="Tahoma" w:cs="Tahoma"/>
                <w:color w:val="000000"/>
                <w:sz w:val="14"/>
                <w:szCs w:val="14"/>
                <w:shd w:val="clear" w:color="auto" w:fill="FFFFFF"/>
                <w:lang w:val="it-IT"/>
              </w:rPr>
              <w:t xml:space="preserve">Fabrizio Bezzo, </w:t>
            </w:r>
            <w:r w:rsidR="001D3D32" w:rsidRPr="001904C1">
              <w:rPr>
                <w:rFonts w:ascii="Tahoma" w:hAnsi="Tahoma" w:cs="Tahoma"/>
                <w:color w:val="000000"/>
                <w:sz w:val="14"/>
                <w:szCs w:val="14"/>
                <w:shd w:val="clear" w:color="auto" w:fill="FFFFFF"/>
                <w:lang w:val="it-IT"/>
              </w:rPr>
              <w:t>Flavio Manenti</w:t>
            </w:r>
            <w:r w:rsidR="00304CE8" w:rsidRPr="001904C1">
              <w:rPr>
                <w:rFonts w:ascii="Tahoma" w:hAnsi="Tahoma" w:cs="Tahoma"/>
                <w:color w:val="000000"/>
                <w:sz w:val="14"/>
                <w:szCs w:val="14"/>
                <w:shd w:val="clear" w:color="auto" w:fill="FFFFFF"/>
                <w:lang w:val="it-IT"/>
              </w:rPr>
              <w:t>,</w:t>
            </w:r>
            <w:r w:rsidR="001D3D32" w:rsidRPr="001904C1">
              <w:rPr>
                <w:rFonts w:ascii="Tahoma" w:hAnsi="Tahoma" w:cs="Tahoma"/>
                <w:color w:val="000000"/>
                <w:sz w:val="14"/>
                <w:szCs w:val="14"/>
                <w:shd w:val="clear" w:color="auto" w:fill="FFFFFF"/>
                <w:lang w:val="it-IT"/>
              </w:rPr>
              <w:t xml:space="preserve"> </w:t>
            </w:r>
            <w:r w:rsidR="007D610D" w:rsidRPr="001904C1">
              <w:rPr>
                <w:rFonts w:ascii="Tahoma" w:hAnsi="Tahoma" w:cs="Tahoma"/>
                <w:color w:val="000000"/>
                <w:sz w:val="14"/>
                <w:szCs w:val="14"/>
                <w:shd w:val="clear" w:color="auto" w:fill="FFFFFF"/>
                <w:lang w:val="it-IT"/>
              </w:rPr>
              <w:t>Gabriele Pannocchia, Almerinda di Benedetto</w:t>
            </w:r>
          </w:p>
          <w:p w14:paraId="1B0F1814" w14:textId="7C54DC3A" w:rsidR="000A03B2" w:rsidRPr="001904C1" w:rsidRDefault="00AA7D26" w:rsidP="00AA7D26">
            <w:pPr>
              <w:tabs>
                <w:tab w:val="left" w:pos="-108"/>
              </w:tabs>
              <w:spacing w:line="140" w:lineRule="atLeast"/>
              <w:ind w:left="-107"/>
              <w:jc w:val="left"/>
            </w:pPr>
            <w:r w:rsidRPr="001904C1">
              <w:rPr>
                <w:rFonts w:ascii="Tahoma" w:hAnsi="Tahoma" w:cs="Tahoma"/>
                <w:iCs/>
                <w:color w:val="333333"/>
                <w:sz w:val="14"/>
                <w:szCs w:val="14"/>
                <w:lang w:eastAsia="it-IT"/>
              </w:rPr>
              <w:t>Copyright © 202</w:t>
            </w:r>
            <w:r w:rsidR="00994C6A" w:rsidRPr="001904C1">
              <w:rPr>
                <w:rFonts w:ascii="Tahoma" w:hAnsi="Tahoma" w:cs="Tahoma"/>
                <w:iCs/>
                <w:color w:val="333333"/>
                <w:sz w:val="14"/>
                <w:szCs w:val="14"/>
                <w:lang w:eastAsia="it-IT"/>
              </w:rPr>
              <w:t>5</w:t>
            </w:r>
            <w:r w:rsidRPr="001904C1">
              <w:rPr>
                <w:rFonts w:ascii="Tahoma" w:hAnsi="Tahoma" w:cs="Tahoma"/>
                <w:iCs/>
                <w:color w:val="333333"/>
                <w:sz w:val="14"/>
                <w:szCs w:val="14"/>
                <w:lang w:eastAsia="it-IT"/>
              </w:rPr>
              <w:t xml:space="preserve">, AIDIC </w:t>
            </w:r>
            <w:proofErr w:type="spellStart"/>
            <w:r w:rsidRPr="001904C1">
              <w:rPr>
                <w:rFonts w:ascii="Tahoma" w:hAnsi="Tahoma" w:cs="Tahoma"/>
                <w:iCs/>
                <w:color w:val="333333"/>
                <w:sz w:val="14"/>
                <w:szCs w:val="14"/>
                <w:lang w:eastAsia="it-IT"/>
              </w:rPr>
              <w:t>Servizi</w:t>
            </w:r>
            <w:proofErr w:type="spellEnd"/>
            <w:r w:rsidRPr="001904C1">
              <w:rPr>
                <w:rFonts w:ascii="Tahoma" w:hAnsi="Tahoma" w:cs="Tahoma"/>
                <w:iCs/>
                <w:color w:val="333333"/>
                <w:sz w:val="14"/>
                <w:szCs w:val="14"/>
                <w:lang w:eastAsia="it-IT"/>
              </w:rPr>
              <w:t xml:space="preserve"> </w:t>
            </w:r>
            <w:proofErr w:type="spellStart"/>
            <w:r w:rsidRPr="001904C1">
              <w:rPr>
                <w:rFonts w:ascii="Tahoma" w:hAnsi="Tahoma" w:cs="Tahoma"/>
                <w:iCs/>
                <w:color w:val="333333"/>
                <w:sz w:val="14"/>
                <w:szCs w:val="14"/>
                <w:lang w:eastAsia="it-IT"/>
              </w:rPr>
              <w:t>S.r.l</w:t>
            </w:r>
            <w:proofErr w:type="spellEnd"/>
            <w:r w:rsidRPr="001904C1">
              <w:rPr>
                <w:rFonts w:ascii="Tahoma" w:hAnsi="Tahoma" w:cs="Tahoma"/>
                <w:iCs/>
                <w:color w:val="333333"/>
                <w:sz w:val="14"/>
                <w:szCs w:val="14"/>
                <w:lang w:eastAsia="it-IT"/>
              </w:rPr>
              <w:t>.</w:t>
            </w:r>
            <w:r w:rsidRPr="001904C1">
              <w:rPr>
                <w:rFonts w:ascii="Tahoma" w:hAnsi="Tahoma" w:cs="Tahoma"/>
                <w:iCs/>
                <w:color w:val="333333"/>
                <w:sz w:val="14"/>
                <w:szCs w:val="14"/>
                <w:lang w:eastAsia="it-IT"/>
              </w:rPr>
              <w:br/>
            </w:r>
            <w:r w:rsidRPr="001904C1">
              <w:rPr>
                <w:rFonts w:ascii="Tahoma" w:hAnsi="Tahoma" w:cs="Tahoma"/>
                <w:b/>
                <w:iCs/>
                <w:color w:val="000000"/>
                <w:sz w:val="14"/>
                <w:szCs w:val="14"/>
                <w:lang w:eastAsia="it-IT"/>
              </w:rPr>
              <w:t>ISBN</w:t>
            </w:r>
            <w:r w:rsidRPr="001904C1">
              <w:rPr>
                <w:rFonts w:ascii="Tahoma" w:hAnsi="Tahoma" w:cs="Tahoma"/>
                <w:iCs/>
                <w:color w:val="000000"/>
                <w:sz w:val="14"/>
                <w:szCs w:val="14"/>
                <w:lang w:eastAsia="it-IT"/>
              </w:rPr>
              <w:t xml:space="preserve"> </w:t>
            </w:r>
            <w:r w:rsidR="003B49CD" w:rsidRPr="001904C1">
              <w:rPr>
                <w:rFonts w:ascii="Tahoma" w:hAnsi="Tahoma" w:cs="Tahoma"/>
                <w:sz w:val="14"/>
                <w:szCs w:val="14"/>
              </w:rPr>
              <w:t>979-12-81206-1</w:t>
            </w:r>
            <w:r w:rsidR="00994C6A" w:rsidRPr="001904C1">
              <w:rPr>
                <w:rFonts w:ascii="Tahoma" w:hAnsi="Tahoma" w:cs="Tahoma"/>
                <w:sz w:val="14"/>
                <w:szCs w:val="14"/>
              </w:rPr>
              <w:t>7</w:t>
            </w:r>
            <w:r w:rsidR="003B49CD" w:rsidRPr="001904C1">
              <w:rPr>
                <w:rFonts w:ascii="Tahoma" w:hAnsi="Tahoma" w:cs="Tahoma"/>
                <w:sz w:val="14"/>
                <w:szCs w:val="14"/>
              </w:rPr>
              <w:t>-</w:t>
            </w:r>
            <w:r w:rsidR="00994C6A" w:rsidRPr="001904C1">
              <w:rPr>
                <w:rFonts w:ascii="Tahoma" w:hAnsi="Tahoma" w:cs="Tahoma"/>
                <w:sz w:val="14"/>
                <w:szCs w:val="14"/>
              </w:rPr>
              <w:t>5</w:t>
            </w:r>
            <w:r w:rsidRPr="001904C1">
              <w:rPr>
                <w:rFonts w:ascii="Tahoma" w:hAnsi="Tahoma" w:cs="Tahoma"/>
                <w:iCs/>
                <w:color w:val="333333"/>
                <w:sz w:val="14"/>
                <w:szCs w:val="14"/>
                <w:lang w:eastAsia="it-IT"/>
              </w:rPr>
              <w:t xml:space="preserve">; </w:t>
            </w:r>
            <w:r w:rsidRPr="001904C1">
              <w:rPr>
                <w:rFonts w:ascii="Tahoma" w:hAnsi="Tahoma" w:cs="Tahoma"/>
                <w:b/>
                <w:iCs/>
                <w:color w:val="333333"/>
                <w:sz w:val="14"/>
                <w:szCs w:val="14"/>
                <w:lang w:eastAsia="it-IT"/>
              </w:rPr>
              <w:t>ISSN</w:t>
            </w:r>
            <w:r w:rsidRPr="001904C1">
              <w:rPr>
                <w:rFonts w:ascii="Tahoma" w:hAnsi="Tahoma" w:cs="Tahoma"/>
                <w:iCs/>
                <w:color w:val="333333"/>
                <w:sz w:val="14"/>
                <w:szCs w:val="14"/>
                <w:lang w:eastAsia="it-IT"/>
              </w:rPr>
              <w:t xml:space="preserve"> 2283-9216</w:t>
            </w:r>
          </w:p>
        </w:tc>
      </w:tr>
    </w:tbl>
    <w:bookmarkEnd w:id="0"/>
    <w:p w14:paraId="2E667253" w14:textId="6C2EA52D" w:rsidR="00E978D0" w:rsidRPr="001904C1" w:rsidRDefault="007B158D" w:rsidP="00E978D0">
      <w:pPr>
        <w:pStyle w:val="CETTitle"/>
      </w:pPr>
      <w:r w:rsidRPr="001904C1">
        <w:t xml:space="preserve">Desalination </w:t>
      </w:r>
      <w:r w:rsidR="004F3EF2" w:rsidRPr="001904C1">
        <w:t>and treatment of oilfield produced waters</w:t>
      </w:r>
    </w:p>
    <w:p w14:paraId="446E7822" w14:textId="55711832" w:rsidR="007D447A" w:rsidRPr="001904C1" w:rsidRDefault="004F3EF2" w:rsidP="007D447A">
      <w:pPr>
        <w:pStyle w:val="CETAuthors"/>
        <w:rPr>
          <w:lang w:val="it-IT"/>
        </w:rPr>
      </w:pPr>
      <w:r w:rsidRPr="001904C1">
        <w:rPr>
          <w:lang w:val="it-IT"/>
        </w:rPr>
        <w:t>G</w:t>
      </w:r>
      <w:r w:rsidR="00E8254D" w:rsidRPr="001904C1">
        <w:rPr>
          <w:lang w:val="it-IT"/>
        </w:rPr>
        <w:t>iovanni</w:t>
      </w:r>
      <w:r w:rsidRPr="001904C1">
        <w:rPr>
          <w:lang w:val="it-IT"/>
        </w:rPr>
        <w:t xml:space="preserve"> Campis</w:t>
      </w:r>
      <w:r w:rsidR="00392C29" w:rsidRPr="001904C1">
        <w:rPr>
          <w:lang w:val="it-IT"/>
        </w:rPr>
        <w:t>i</w:t>
      </w:r>
      <w:r w:rsidR="00B57E6F" w:rsidRPr="001904C1">
        <w:rPr>
          <w:lang w:val="it-IT"/>
        </w:rPr>
        <w:t xml:space="preserve">, </w:t>
      </w:r>
      <w:r w:rsidR="007D447A" w:rsidRPr="001904C1">
        <w:rPr>
          <w:lang w:val="it-IT"/>
        </w:rPr>
        <w:t>Alice Sorrenti, Paulo B</w:t>
      </w:r>
      <w:r w:rsidR="009912B8" w:rsidRPr="001904C1">
        <w:rPr>
          <w:lang w:val="it-IT"/>
        </w:rPr>
        <w:t xml:space="preserve">. </w:t>
      </w:r>
      <w:r w:rsidR="007D447A" w:rsidRPr="001904C1">
        <w:rPr>
          <w:lang w:val="it-IT"/>
        </w:rPr>
        <w:t>Mofatto, Alessandro Cosenza, Serena Randazzo</w:t>
      </w:r>
      <w:r w:rsidR="00CC2234" w:rsidRPr="001904C1">
        <w:rPr>
          <w:lang w:val="it-IT"/>
        </w:rPr>
        <w:t>*</w:t>
      </w:r>
      <w:r w:rsidR="007D447A" w:rsidRPr="001904C1">
        <w:rPr>
          <w:lang w:val="it-IT"/>
        </w:rPr>
        <w:t>, Santo F</w:t>
      </w:r>
      <w:r w:rsidR="009912B8" w:rsidRPr="001904C1">
        <w:rPr>
          <w:lang w:val="it-IT"/>
        </w:rPr>
        <w:t xml:space="preserve">. </w:t>
      </w:r>
      <w:r w:rsidR="007D447A" w:rsidRPr="001904C1">
        <w:rPr>
          <w:lang w:val="it-IT"/>
        </w:rPr>
        <w:t>Corsino, Marco Capodici, Michele Torregrossa, Alessandro Tamburini</w:t>
      </w:r>
      <w:r w:rsidR="007B3B85" w:rsidRPr="001904C1">
        <w:rPr>
          <w:lang w:val="it-IT"/>
        </w:rPr>
        <w:t xml:space="preserve">, </w:t>
      </w:r>
      <w:r w:rsidR="007D447A" w:rsidRPr="001904C1">
        <w:rPr>
          <w:lang w:val="it-IT"/>
        </w:rPr>
        <w:t xml:space="preserve">Giorgio Micale </w:t>
      </w:r>
    </w:p>
    <w:p w14:paraId="0829B74E" w14:textId="7669DC9F" w:rsidR="00453653" w:rsidRPr="001904C1" w:rsidRDefault="00453653" w:rsidP="00A15842">
      <w:pPr>
        <w:pStyle w:val="CETAddress"/>
        <w:rPr>
          <w:lang w:val="it-IT"/>
        </w:rPr>
      </w:pPr>
      <w:r w:rsidRPr="001904C1">
        <w:rPr>
          <w:lang w:val="it-IT"/>
        </w:rPr>
        <w:t>Dipartimento di Ingegneria, Università degli Studi di Palermo (UNIPA), Palermo, Italy, Viale delle Scienze Ed.6. 90128.</w:t>
      </w:r>
    </w:p>
    <w:p w14:paraId="3D72B0B0" w14:textId="6C34A384" w:rsidR="00B57E6F" w:rsidRPr="001904C1" w:rsidRDefault="00453653" w:rsidP="00A15842">
      <w:pPr>
        <w:pStyle w:val="CETAddress"/>
        <w:rPr>
          <w:lang w:val="it-IT"/>
        </w:rPr>
      </w:pPr>
      <w:r w:rsidRPr="001904C1">
        <w:rPr>
          <w:lang w:val="it-IT"/>
        </w:rPr>
        <w:t xml:space="preserve">Consorzio Interuniversitario Nazionale per la Scienza e Tecnologia dei Materiali (INSTM), Firenze, Italy, Via Giusti 9, 50121 </w:t>
      </w:r>
    </w:p>
    <w:p w14:paraId="73F1267A" w14:textId="49850E50" w:rsidR="00B57E6F" w:rsidRPr="001904C1" w:rsidRDefault="00CC2234" w:rsidP="00B57E6F">
      <w:pPr>
        <w:pStyle w:val="CETemail"/>
      </w:pPr>
      <w:r w:rsidRPr="001904C1">
        <w:t>serena.randazzo@unipa.it</w:t>
      </w:r>
    </w:p>
    <w:p w14:paraId="3014E61C" w14:textId="47B18D24" w:rsidR="00FA1F28" w:rsidRPr="001904C1" w:rsidRDefault="00FA1F28" w:rsidP="00A15842">
      <w:pPr>
        <w:pStyle w:val="CETnumberingbullets"/>
        <w:numPr>
          <w:ilvl w:val="0"/>
          <w:numId w:val="0"/>
        </w:numPr>
        <w:jc w:val="both"/>
      </w:pPr>
      <w:bookmarkStart w:id="1" w:name="_Hlk495475023"/>
      <w:r w:rsidRPr="001904C1">
        <w:t>Produced water is a salty and organic-polluted byproduct drilled out during the oil extraction. An annual production of 11.2 million of m</w:t>
      </w:r>
      <w:r w:rsidRPr="001904C1">
        <w:rPr>
          <w:vertAlign w:val="superscript"/>
        </w:rPr>
        <w:t>3</w:t>
      </w:r>
      <w:r w:rsidRPr="001904C1">
        <w:t xml:space="preserve"> is estimated, based on the production of at least 3 barrels of PW for every barrel of oil extracted.</w:t>
      </w:r>
      <w:r w:rsidR="004D773A" w:rsidRPr="001904C1">
        <w:t xml:space="preserve"> </w:t>
      </w:r>
      <w:r w:rsidRPr="001904C1">
        <w:t>The composition changes according to the well characteristics and to the addition of chemicals during the extraction process. Generally, a high salinity (up to 300 g L</w:t>
      </w:r>
      <w:r w:rsidRPr="001904C1">
        <w:rPr>
          <w:vertAlign w:val="superscript"/>
        </w:rPr>
        <w:t>-1</w:t>
      </w:r>
      <w:r w:rsidRPr="001904C1">
        <w:t>), due to the contact with subsurface rocks, is observed together with a large amount of dissolved hydrocarbon compound contaminants. Thus,</w:t>
      </w:r>
      <w:r w:rsidR="00B91F16" w:rsidRPr="001904C1">
        <w:t xml:space="preserve"> their treatment could be designed on case-by-case basis through tailored studies and experimental investigations as </w:t>
      </w:r>
      <w:r w:rsidRPr="001904C1">
        <w:t>it is not possible to standardize the characteristics of PW.</w:t>
      </w:r>
    </w:p>
    <w:p w14:paraId="4345079B" w14:textId="358CBAFC" w:rsidR="00FA1F28" w:rsidRPr="001904C1" w:rsidRDefault="00FA1F28" w:rsidP="00A15842">
      <w:pPr>
        <w:pStyle w:val="CETnumberingbullets"/>
        <w:numPr>
          <w:ilvl w:val="0"/>
          <w:numId w:val="0"/>
        </w:numPr>
        <w:jc w:val="both"/>
      </w:pPr>
      <w:r w:rsidRPr="001904C1">
        <w:t>In this work, an innovative PWs treatment scheme is proposed where an Assisted Reverse Electrodialysis (ARED) unit and a Sequencing Batch Moving Bed Biofilm Reactor (SBMBBR) were coupled</w:t>
      </w:r>
      <w:r w:rsidR="009B2541" w:rsidRPr="001904C1">
        <w:t xml:space="preserve">: </w:t>
      </w:r>
      <w:r w:rsidRPr="001904C1">
        <w:t xml:space="preserve">ARED </w:t>
      </w:r>
      <w:r w:rsidR="009B2541" w:rsidRPr="001904C1">
        <w:t>i</w:t>
      </w:r>
      <w:r w:rsidRPr="001904C1">
        <w:t>s used to reduce the PWs salinity to values lower than 20 g L</w:t>
      </w:r>
      <w:r w:rsidRPr="001904C1">
        <w:rPr>
          <w:vertAlign w:val="superscript"/>
        </w:rPr>
        <w:t>-1</w:t>
      </w:r>
      <w:r w:rsidRPr="001904C1">
        <w:t xml:space="preserve"> of NaCl</w:t>
      </w:r>
      <w:r w:rsidR="0045713D" w:rsidRPr="001904C1">
        <w:t xml:space="preserve"> to let the stream </w:t>
      </w:r>
      <w:r w:rsidR="00FB531E" w:rsidRPr="001904C1">
        <w:t>c</w:t>
      </w:r>
      <w:r w:rsidRPr="001904C1">
        <w:t xml:space="preserve">ompatible with the downstream biologic treatment, </w:t>
      </w:r>
      <w:r w:rsidR="00227AD8" w:rsidRPr="001904C1">
        <w:t>where</w:t>
      </w:r>
      <w:r w:rsidR="00FA6BC6" w:rsidRPr="001904C1">
        <w:t xml:space="preserve"> the</w:t>
      </w:r>
      <w:r w:rsidR="00227AD8" w:rsidRPr="001904C1">
        <w:t xml:space="preserve"> </w:t>
      </w:r>
      <w:r w:rsidR="00FA6BC6" w:rsidRPr="001904C1">
        <w:t xml:space="preserve">organic content is reduced ensuring compliance with legislative disposal limits. </w:t>
      </w:r>
    </w:p>
    <w:p w14:paraId="318128E0" w14:textId="507DD5D8" w:rsidR="00FA73BB" w:rsidRPr="001904C1" w:rsidRDefault="00FA1F28" w:rsidP="00A15842">
      <w:pPr>
        <w:pStyle w:val="CETnumberingbullets"/>
        <w:numPr>
          <w:ilvl w:val="0"/>
          <w:numId w:val="0"/>
        </w:numPr>
        <w:jc w:val="both"/>
      </w:pPr>
      <w:r w:rsidRPr="001904C1">
        <w:t>The desalination was performed under current-control mode and the ARED required less than 2 kWh∙m</w:t>
      </w:r>
      <w:r w:rsidRPr="001904C1">
        <w:rPr>
          <w:vertAlign w:val="superscript"/>
        </w:rPr>
        <w:t>-3</w:t>
      </w:r>
      <w:r w:rsidRPr="001904C1">
        <w:rPr>
          <w:vertAlign w:val="subscript"/>
        </w:rPr>
        <w:t xml:space="preserve">PW </w:t>
      </w:r>
      <w:r w:rsidRPr="001904C1">
        <w:t xml:space="preserve">for reaching the target outlet concentration. The organic content in SBMBBR successfully decreased, showing a </w:t>
      </w:r>
      <w:r w:rsidR="00377309" w:rsidRPr="001904C1">
        <w:t>Total Organi</w:t>
      </w:r>
      <w:r w:rsidR="000F2CE0" w:rsidRPr="001904C1">
        <w:t>c C</w:t>
      </w:r>
      <w:r w:rsidR="000C6002" w:rsidRPr="001904C1">
        <w:t>arbon</w:t>
      </w:r>
      <w:r w:rsidR="000F2CE0" w:rsidRPr="001904C1">
        <w:t xml:space="preserve"> (</w:t>
      </w:r>
      <w:r w:rsidRPr="001904C1">
        <w:t>TOC</w:t>
      </w:r>
      <w:r w:rsidR="000F2CE0" w:rsidRPr="001904C1">
        <w:t>)</w:t>
      </w:r>
      <w:r w:rsidRPr="001904C1">
        <w:t xml:space="preserve"> abatement of about 80%.</w:t>
      </w:r>
    </w:p>
    <w:bookmarkEnd w:id="1"/>
    <w:p w14:paraId="476B2F2E" w14:textId="52B36035" w:rsidR="00600535" w:rsidRPr="001904C1" w:rsidRDefault="00600535" w:rsidP="00A15842">
      <w:pPr>
        <w:pStyle w:val="CETHeading1"/>
        <w:rPr>
          <w:lang w:val="en-GB"/>
        </w:rPr>
      </w:pPr>
      <w:r w:rsidRPr="001904C1">
        <w:rPr>
          <w:lang w:val="en-GB"/>
        </w:rPr>
        <w:t>Introduction</w:t>
      </w:r>
    </w:p>
    <w:p w14:paraId="3398EFFA" w14:textId="77777777" w:rsidR="002756AF" w:rsidRPr="001904C1" w:rsidRDefault="002756AF" w:rsidP="00A15842">
      <w:pPr>
        <w:pStyle w:val="CETnumberingbullets"/>
        <w:numPr>
          <w:ilvl w:val="0"/>
          <w:numId w:val="0"/>
        </w:numPr>
        <w:jc w:val="both"/>
      </w:pPr>
      <w:r w:rsidRPr="001904C1">
        <w:t>During the operation of extraction of oil, d</w:t>
      </w:r>
      <w:r w:rsidR="00A15DFA" w:rsidRPr="001904C1">
        <w:t>ue to the depth of the reservoir, the fluid pressure of the oil certainly helps the drilling techniques</w:t>
      </w:r>
      <w:r w:rsidRPr="001904C1">
        <w:t xml:space="preserve">. However, </w:t>
      </w:r>
      <w:r w:rsidR="00A15DFA" w:rsidRPr="001904C1">
        <w:t>over time this pressure difference decreases, and water is used to enhance the oil recovery</w:t>
      </w:r>
      <w:r w:rsidRPr="001904C1">
        <w:t xml:space="preserve">, according to the so-called </w:t>
      </w:r>
      <w:r w:rsidR="00A15DFA" w:rsidRPr="001904C1">
        <w:t xml:space="preserve">waterflooding method. As a result, downstream separation processes are </w:t>
      </w:r>
      <w:r w:rsidRPr="001904C1">
        <w:t xml:space="preserve">necessary </w:t>
      </w:r>
      <w:r w:rsidR="00A15DFA" w:rsidRPr="001904C1">
        <w:t xml:space="preserve">to separate the water from the organic component. </w:t>
      </w:r>
    </w:p>
    <w:p w14:paraId="7E4E1A92" w14:textId="55A10EBF" w:rsidR="008A034C" w:rsidRPr="001904C1" w:rsidRDefault="002756AF" w:rsidP="00A15842">
      <w:pPr>
        <w:pStyle w:val="CETnumberingbullets"/>
        <w:numPr>
          <w:ilvl w:val="0"/>
          <w:numId w:val="0"/>
        </w:numPr>
        <w:jc w:val="both"/>
      </w:pPr>
      <w:r w:rsidRPr="001904C1">
        <w:t>The water</w:t>
      </w:r>
      <w:r w:rsidR="00A15DFA" w:rsidRPr="001904C1">
        <w:t>, referred to as produced water (PW), is characterised by high salinity</w:t>
      </w:r>
      <w:r w:rsidRPr="001904C1">
        <w:t>,</w:t>
      </w:r>
      <w:r w:rsidR="00A15DFA" w:rsidRPr="001904C1">
        <w:t xml:space="preserve"> due to </w:t>
      </w:r>
      <w:r w:rsidRPr="001904C1">
        <w:t xml:space="preserve">the </w:t>
      </w:r>
      <w:r w:rsidR="00A15DFA" w:rsidRPr="001904C1">
        <w:t xml:space="preserve">contact with subsurface rocks and </w:t>
      </w:r>
      <w:r w:rsidRPr="001904C1">
        <w:t xml:space="preserve">by the presence of </w:t>
      </w:r>
      <w:r w:rsidR="00A15DFA" w:rsidRPr="001904C1">
        <w:t xml:space="preserve">hydrocarbon compound contaminants </w:t>
      </w:r>
      <w:r w:rsidR="005D68CF" w:rsidRPr="001904C1">
        <w:rPr>
          <w:szCs w:val="18"/>
        </w:rPr>
        <w:t>(</w:t>
      </w:r>
      <w:r w:rsidR="00B60454" w:rsidRPr="001904C1">
        <w:rPr>
          <w:rFonts w:cs="Arial"/>
          <w:szCs w:val="18"/>
        </w:rPr>
        <w:t>Jiménez et al.,</w:t>
      </w:r>
      <w:r w:rsidR="005D68CF" w:rsidRPr="001904C1">
        <w:rPr>
          <w:rFonts w:cs="Arial"/>
          <w:szCs w:val="18"/>
        </w:rPr>
        <w:t xml:space="preserve"> 2018)</w:t>
      </w:r>
      <w:r w:rsidR="00A15DFA" w:rsidRPr="001904C1">
        <w:rPr>
          <w:szCs w:val="18"/>
        </w:rPr>
        <w:t>.</w:t>
      </w:r>
      <w:r w:rsidR="00A15DFA" w:rsidRPr="001904C1">
        <w:t xml:space="preserve"> Overall, PWs present a complex and variable composition depending on oil maturity, extraction methods, well depth and site morphology </w:t>
      </w:r>
      <w:r w:rsidR="00E67A6C" w:rsidRPr="001904C1">
        <w:t>(</w:t>
      </w:r>
      <w:r w:rsidR="00610E62" w:rsidRPr="001904C1">
        <w:t>Ji et al., 2024</w:t>
      </w:r>
      <w:r w:rsidR="00E67A6C" w:rsidRPr="001904C1">
        <w:rPr>
          <w:rFonts w:cs="Arial"/>
          <w:szCs w:val="18"/>
        </w:rPr>
        <w:t>)</w:t>
      </w:r>
      <w:r w:rsidR="00A15DFA" w:rsidRPr="001904C1">
        <w:t xml:space="preserve">. </w:t>
      </w:r>
      <w:r w:rsidRPr="001904C1">
        <w:t xml:space="preserve">Considering </w:t>
      </w:r>
      <w:r w:rsidR="00A15DFA" w:rsidRPr="001904C1">
        <w:t>all these variables,</w:t>
      </w:r>
      <w:r w:rsidRPr="001904C1">
        <w:t xml:space="preserve"> </w:t>
      </w:r>
      <w:r w:rsidR="008A034C" w:rsidRPr="001904C1">
        <w:t xml:space="preserve">PWs do not show specific characteristics, i.e. they do not have all the same composition, and thus, </w:t>
      </w:r>
      <w:r w:rsidRPr="001904C1">
        <w:t xml:space="preserve">it </w:t>
      </w:r>
      <w:r w:rsidR="00A15DFA" w:rsidRPr="001904C1">
        <w:t xml:space="preserve">is not possible to standardise the </w:t>
      </w:r>
      <w:r w:rsidR="008A034C" w:rsidRPr="001904C1">
        <w:t xml:space="preserve">procedure for the treatment </w:t>
      </w:r>
      <w:r w:rsidR="00A15DFA" w:rsidRPr="001904C1">
        <w:t>of PWs</w:t>
      </w:r>
      <w:r w:rsidR="008A034C" w:rsidRPr="001904C1">
        <w:t>. Indeed</w:t>
      </w:r>
      <w:r w:rsidR="00A15DFA" w:rsidRPr="001904C1">
        <w:t xml:space="preserve">, their treatment </w:t>
      </w:r>
      <w:r w:rsidR="008A034C" w:rsidRPr="001904C1">
        <w:t>could</w:t>
      </w:r>
      <w:r w:rsidR="00A15DFA" w:rsidRPr="001904C1">
        <w:t xml:space="preserve"> be defined </w:t>
      </w:r>
      <w:r w:rsidR="008A034C" w:rsidRPr="001904C1">
        <w:t xml:space="preserve">for each specific case, depending on the composition of the PW, carrying out </w:t>
      </w:r>
      <w:r w:rsidR="00A15DFA" w:rsidRPr="001904C1">
        <w:t>ad-hoc studies and experimental investigations.</w:t>
      </w:r>
    </w:p>
    <w:p w14:paraId="20832665" w14:textId="77777777" w:rsidR="008A034C" w:rsidRPr="001904C1" w:rsidRDefault="008A034C" w:rsidP="00A15842">
      <w:pPr>
        <w:pStyle w:val="CETnumberingbullets"/>
        <w:numPr>
          <w:ilvl w:val="0"/>
          <w:numId w:val="0"/>
        </w:numPr>
        <w:jc w:val="both"/>
      </w:pPr>
      <w:r w:rsidRPr="001904C1">
        <w:t xml:space="preserve">Moreover, </w:t>
      </w:r>
      <w:r w:rsidR="00A15DFA" w:rsidRPr="001904C1">
        <w:t xml:space="preserve">large volumes </w:t>
      </w:r>
      <w:r w:rsidRPr="001904C1">
        <w:t>of PWs are produced</w:t>
      </w:r>
      <w:r w:rsidR="00A15DFA" w:rsidRPr="001904C1">
        <w:t xml:space="preserve">. </w:t>
      </w:r>
      <w:r w:rsidRPr="001904C1">
        <w:rPr>
          <w:rFonts w:cs="Arial"/>
          <w:szCs w:val="18"/>
        </w:rPr>
        <w:t>Al-</w:t>
      </w:r>
      <w:proofErr w:type="spellStart"/>
      <w:r w:rsidRPr="001904C1">
        <w:rPr>
          <w:rFonts w:cs="Arial"/>
          <w:szCs w:val="18"/>
        </w:rPr>
        <w:t>Ghouti</w:t>
      </w:r>
      <w:proofErr w:type="spellEnd"/>
      <w:r w:rsidRPr="001904C1">
        <w:rPr>
          <w:rFonts w:cs="Arial"/>
          <w:szCs w:val="18"/>
        </w:rPr>
        <w:t xml:space="preserve"> et al. report </w:t>
      </w:r>
      <w:r w:rsidR="00A15DFA" w:rsidRPr="001904C1">
        <w:t>an annual generation of 11.2 million of m</w:t>
      </w:r>
      <w:r w:rsidR="00A15DFA" w:rsidRPr="001904C1">
        <w:rPr>
          <w:vertAlign w:val="superscript"/>
        </w:rPr>
        <w:t>3</w:t>
      </w:r>
      <w:r w:rsidRPr="001904C1">
        <w:t xml:space="preserve"> of PW, specifying that the </w:t>
      </w:r>
      <w:r w:rsidR="00A15DFA" w:rsidRPr="001904C1">
        <w:t>production</w:t>
      </w:r>
      <w:r w:rsidRPr="001904C1">
        <w:t xml:space="preserve"> could </w:t>
      </w:r>
      <w:r w:rsidR="00A15DFA" w:rsidRPr="001904C1">
        <w:t>increas</w:t>
      </w:r>
      <w:r w:rsidRPr="001904C1">
        <w:t>e</w:t>
      </w:r>
      <w:r w:rsidR="00A15DFA" w:rsidRPr="001904C1">
        <w:t xml:space="preserve"> with the well age, generating at least 3 barrels of PWs for every barrel of oil produced </w:t>
      </w:r>
      <w:r w:rsidR="00AA6B62" w:rsidRPr="001904C1">
        <w:t>(</w:t>
      </w:r>
      <w:r w:rsidR="00AA6B62" w:rsidRPr="001904C1">
        <w:rPr>
          <w:rFonts w:cs="Arial"/>
          <w:szCs w:val="18"/>
        </w:rPr>
        <w:t>Al-</w:t>
      </w:r>
      <w:proofErr w:type="spellStart"/>
      <w:r w:rsidR="00AA6B62" w:rsidRPr="001904C1">
        <w:rPr>
          <w:rFonts w:cs="Arial"/>
          <w:szCs w:val="18"/>
        </w:rPr>
        <w:t>Ghouti</w:t>
      </w:r>
      <w:proofErr w:type="spellEnd"/>
      <w:r w:rsidR="00AA6B62" w:rsidRPr="001904C1">
        <w:rPr>
          <w:rFonts w:cs="Arial"/>
          <w:szCs w:val="18"/>
        </w:rPr>
        <w:t xml:space="preserve"> et al., 2019)</w:t>
      </w:r>
      <w:r w:rsidR="00A15DFA" w:rsidRPr="001904C1">
        <w:t>.</w:t>
      </w:r>
      <w:r w:rsidR="002756AF" w:rsidRPr="001904C1">
        <w:t xml:space="preserve"> </w:t>
      </w:r>
    </w:p>
    <w:p w14:paraId="68513D32" w14:textId="1A3D5BB7" w:rsidR="00A15DFA" w:rsidRPr="001904C1" w:rsidRDefault="00A15DFA" w:rsidP="00A15842">
      <w:pPr>
        <w:pStyle w:val="CETnumberingbullets"/>
        <w:numPr>
          <w:ilvl w:val="0"/>
          <w:numId w:val="0"/>
        </w:numPr>
        <w:jc w:val="both"/>
      </w:pPr>
      <w:r w:rsidRPr="001904C1">
        <w:t>The management of PWs usually consists of re-injection into the well</w:t>
      </w:r>
      <w:r w:rsidR="006415D9" w:rsidRPr="001904C1">
        <w:t>. Environmental awareness has increased in recent years</w:t>
      </w:r>
      <w:r w:rsidRPr="001904C1">
        <w:t xml:space="preserve">, </w:t>
      </w:r>
      <w:proofErr w:type="gramStart"/>
      <w:r w:rsidR="006415D9" w:rsidRPr="001904C1">
        <w:t>and also</w:t>
      </w:r>
      <w:proofErr w:type="gramEnd"/>
      <w:r w:rsidR="006415D9" w:rsidRPr="001904C1">
        <w:t xml:space="preserve"> the </w:t>
      </w:r>
      <w:r w:rsidRPr="001904C1">
        <w:t>legislative attention</w:t>
      </w:r>
      <w:r w:rsidR="00EE57D7" w:rsidRPr="001904C1">
        <w:t xml:space="preserve"> to environment protection</w:t>
      </w:r>
      <w:r w:rsidRPr="001904C1">
        <w:t xml:space="preserve">, </w:t>
      </w:r>
      <w:r w:rsidR="006415D9" w:rsidRPr="001904C1">
        <w:t xml:space="preserve">thus </w:t>
      </w:r>
      <w:r w:rsidRPr="001904C1">
        <w:t xml:space="preserve">this </w:t>
      </w:r>
      <w:r w:rsidR="00EE57D7" w:rsidRPr="001904C1">
        <w:t xml:space="preserve">current procedure </w:t>
      </w:r>
      <w:r w:rsidRPr="001904C1">
        <w:t xml:space="preserve">might not be longer possible. </w:t>
      </w:r>
      <w:r w:rsidR="006415D9" w:rsidRPr="001904C1">
        <w:t xml:space="preserve">It </w:t>
      </w:r>
      <w:r w:rsidRPr="001904C1">
        <w:t>is require</w:t>
      </w:r>
      <w:r w:rsidR="00EE57D7" w:rsidRPr="001904C1">
        <w:t>d</w:t>
      </w:r>
      <w:r w:rsidRPr="001904C1">
        <w:t xml:space="preserve"> to treat PWs appropriately, with</w:t>
      </w:r>
      <w:r w:rsidR="00EE57D7" w:rsidRPr="001904C1">
        <w:t xml:space="preserve"> the aim of </w:t>
      </w:r>
      <w:r w:rsidRPr="001904C1">
        <w:t>leading to (</w:t>
      </w:r>
      <w:proofErr w:type="spellStart"/>
      <w:r w:rsidRPr="001904C1">
        <w:t>i</w:t>
      </w:r>
      <w:proofErr w:type="spellEnd"/>
      <w:r w:rsidRPr="001904C1">
        <w:t xml:space="preserve">) the Minimum Liquid Discharge (MLD) target and to (ii) the reuse for potable or irrigation purpose </w:t>
      </w:r>
      <w:r w:rsidR="00D4594E" w:rsidRPr="001904C1">
        <w:t>(</w:t>
      </w:r>
      <w:r w:rsidR="0008097C" w:rsidRPr="001904C1">
        <w:t>Duarte Cesar et al., 2024</w:t>
      </w:r>
      <w:r w:rsidR="00D4594E" w:rsidRPr="001904C1">
        <w:rPr>
          <w:rFonts w:cs="Arial"/>
          <w:szCs w:val="18"/>
        </w:rPr>
        <w:t>)</w:t>
      </w:r>
      <w:r w:rsidRPr="001904C1">
        <w:t>.</w:t>
      </w:r>
    </w:p>
    <w:p w14:paraId="49356547" w14:textId="31758022" w:rsidR="004A6E91" w:rsidRPr="001904C1" w:rsidRDefault="00DB624E" w:rsidP="00A15842">
      <w:pPr>
        <w:pStyle w:val="CETnumberingbullets"/>
        <w:numPr>
          <w:ilvl w:val="0"/>
          <w:numId w:val="0"/>
        </w:numPr>
        <w:jc w:val="both"/>
      </w:pPr>
      <w:r w:rsidRPr="001904C1">
        <w:t xml:space="preserve">Typically, </w:t>
      </w:r>
      <w:r w:rsidR="00F04BE3" w:rsidRPr="001904C1">
        <w:t>five</w:t>
      </w:r>
      <w:r w:rsidRPr="001904C1">
        <w:t xml:space="preserve"> main process categories are employed to treat PWs: </w:t>
      </w:r>
      <w:r w:rsidR="0000673B" w:rsidRPr="001904C1">
        <w:t xml:space="preserve">membrane technologies, biological treatment processes, electro-chemical coagulation, physical/chemical treatment processes and chemical catalytic oxidation. They are often implemented in sequence and/or in combination and the overall efficiency of each </w:t>
      </w:r>
      <w:r w:rsidR="0000673B" w:rsidRPr="001904C1">
        <w:lastRenderedPageBreak/>
        <w:t xml:space="preserve">treatment system depends on the type of contaminants to be removed and their concentration oxidants (Mansour et al., 2024). </w:t>
      </w:r>
      <w:r w:rsidR="001F7E8F" w:rsidRPr="001904C1">
        <w:t xml:space="preserve">However, </w:t>
      </w:r>
      <w:r w:rsidR="00EE57D7" w:rsidRPr="001904C1">
        <w:t xml:space="preserve">using of efficient </w:t>
      </w:r>
      <w:r w:rsidR="006415D9" w:rsidRPr="001904C1">
        <w:t xml:space="preserve">and innovative </w:t>
      </w:r>
      <w:r w:rsidR="00EE57D7" w:rsidRPr="001904C1">
        <w:t>treatment chain</w:t>
      </w:r>
      <w:r w:rsidR="006415D9" w:rsidRPr="001904C1">
        <w:t>s could be crucial for the effective treatment of PWs. Indeed, the scientific community shows even more</w:t>
      </w:r>
      <w:r w:rsidR="00A15DFA" w:rsidRPr="001904C1">
        <w:t xml:space="preserve"> interest and efforts to propose new technologies and treatment chains capable of handling PWs. </w:t>
      </w:r>
      <w:r w:rsidR="008B3895" w:rsidRPr="001904C1">
        <w:t xml:space="preserve">As an example, Wenzlick and Siefert proposed </w:t>
      </w:r>
      <w:r w:rsidR="006E251D" w:rsidRPr="001904C1">
        <w:t>to recover valuable products such as ten-pound brine and fresh water from PWs by using nanofiltration (NF) and reverse osmosis (RO)</w:t>
      </w:r>
      <w:r w:rsidR="000E336E" w:rsidRPr="001904C1">
        <w:t xml:space="preserve"> </w:t>
      </w:r>
      <w:r w:rsidR="00832451" w:rsidRPr="001904C1">
        <w:t>(Wenzlick and Siefert, 2020)</w:t>
      </w:r>
      <w:r w:rsidR="00581912" w:rsidRPr="001904C1">
        <w:t xml:space="preserve">; </w:t>
      </w:r>
      <w:r w:rsidR="009169F2" w:rsidRPr="001904C1">
        <w:t xml:space="preserve">while others focused on integrating </w:t>
      </w:r>
      <w:r w:rsidR="002B67F2" w:rsidRPr="001904C1">
        <w:t>oxidation and membrane processes</w:t>
      </w:r>
      <w:r w:rsidR="00450958" w:rsidRPr="001904C1">
        <w:t xml:space="preserve">, specifically </w:t>
      </w:r>
      <w:r w:rsidR="001D3DE3" w:rsidRPr="001904C1">
        <w:t>advanced oxidation methods</w:t>
      </w:r>
      <w:r w:rsidR="00450958" w:rsidRPr="001904C1">
        <w:t xml:space="preserve"> by using </w:t>
      </w:r>
      <w:r w:rsidR="001D3DE3" w:rsidRPr="001904C1">
        <w:t>ozone, chlorine or Fenton based</w:t>
      </w:r>
      <w:r w:rsidR="00C87206" w:rsidRPr="001904C1">
        <w:t xml:space="preserve"> oxidants</w:t>
      </w:r>
      <w:r w:rsidR="001D3DE3" w:rsidRPr="001904C1">
        <w:t xml:space="preserve"> </w:t>
      </w:r>
      <w:r w:rsidR="004A6E91" w:rsidRPr="001904C1">
        <w:t>(Ji et al., 2024).</w:t>
      </w:r>
      <w:r w:rsidR="001D3DE3" w:rsidRPr="001904C1">
        <w:t xml:space="preserve"> </w:t>
      </w:r>
    </w:p>
    <w:p w14:paraId="6465282A" w14:textId="01880AD5" w:rsidR="00512ED9" w:rsidRPr="001904C1" w:rsidRDefault="005C4C50" w:rsidP="00A15842">
      <w:pPr>
        <w:pStyle w:val="CETnumberingbullets"/>
        <w:numPr>
          <w:ilvl w:val="0"/>
          <w:numId w:val="0"/>
        </w:numPr>
        <w:jc w:val="both"/>
      </w:pPr>
      <w:r w:rsidRPr="001904C1">
        <w:t xml:space="preserve">Although </w:t>
      </w:r>
      <w:r w:rsidR="001D3DE3" w:rsidRPr="001904C1">
        <w:t xml:space="preserve">physical </w:t>
      </w:r>
      <w:r w:rsidR="00A15DFA" w:rsidRPr="001904C1">
        <w:t xml:space="preserve">and chemical treatments are the most efficient, </w:t>
      </w:r>
      <w:r w:rsidR="00D71CD4" w:rsidRPr="001904C1">
        <w:t xml:space="preserve">they are </w:t>
      </w:r>
      <w:r w:rsidR="00A15DFA" w:rsidRPr="001904C1">
        <w:t>also the most expensive. Conversely, biological treatments are among the most cost-effect and efficient technolog</w:t>
      </w:r>
      <w:r w:rsidR="006415D9" w:rsidRPr="001904C1">
        <w:t>ies</w:t>
      </w:r>
      <w:r w:rsidR="00A15DFA" w:rsidRPr="001904C1">
        <w:t xml:space="preserve"> to deal with wastewaters. </w:t>
      </w:r>
      <w:r w:rsidR="006415D9" w:rsidRPr="001904C1">
        <w:t xml:space="preserve">However, the </w:t>
      </w:r>
      <w:r w:rsidR="00A15DFA" w:rsidRPr="001904C1">
        <w:t>biological remediation</w:t>
      </w:r>
      <w:r w:rsidR="006415D9" w:rsidRPr="001904C1">
        <w:t>, usually used</w:t>
      </w:r>
      <w:r w:rsidR="00512ED9" w:rsidRPr="001904C1">
        <w:t xml:space="preserve"> </w:t>
      </w:r>
      <w:r w:rsidR="006415D9" w:rsidRPr="001904C1">
        <w:t>or the treatment of urban wastewaters, shows</w:t>
      </w:r>
      <w:r w:rsidR="00A15DFA" w:rsidRPr="001904C1">
        <w:t xml:space="preserve"> the main limit of the high salinity, i.e., PWs high salinity is detrimental for conventional bio-remediation treatment processes </w:t>
      </w:r>
      <w:r w:rsidR="003230D5" w:rsidRPr="001904C1">
        <w:t>(Nie et al., 2009)</w:t>
      </w:r>
      <w:r w:rsidR="00512ED9" w:rsidRPr="001904C1">
        <w:t xml:space="preserve"> and a maximum value could be not exceeded</w:t>
      </w:r>
      <w:r w:rsidR="00A15DFA" w:rsidRPr="001904C1">
        <w:t xml:space="preserve">. </w:t>
      </w:r>
      <w:r w:rsidR="00512ED9" w:rsidRPr="001904C1">
        <w:t xml:space="preserve">In addition, direct dilution of wastewater is not allowed as regulated by </w:t>
      </w:r>
      <w:proofErr w:type="spellStart"/>
      <w:proofErr w:type="gramStart"/>
      <w:r w:rsidR="00512ED9" w:rsidRPr="001904C1">
        <w:t>D.Lgs</w:t>
      </w:r>
      <w:proofErr w:type="spellEnd"/>
      <w:proofErr w:type="gramEnd"/>
      <w:r w:rsidR="00512ED9" w:rsidRPr="001904C1">
        <w:t xml:space="preserve"> 152/06 (Italian law).</w:t>
      </w:r>
    </w:p>
    <w:p w14:paraId="27CF66C2" w14:textId="7B3F1806" w:rsidR="00FE2815" w:rsidRPr="001904C1" w:rsidRDefault="00512ED9" w:rsidP="00F91D72">
      <w:pPr>
        <w:pStyle w:val="CETBodytext"/>
        <w:rPr>
          <w:rFonts w:cstheme="minorHAnsi"/>
          <w:color w:val="000000" w:themeColor="text1"/>
          <w:shd w:val="clear" w:color="auto" w:fill="FFFFFF"/>
        </w:rPr>
      </w:pPr>
      <w:r w:rsidRPr="001904C1">
        <w:t>In the present work, an innovative treatment chain is proposed for the treatment of PWs by coupling two main technologies</w:t>
      </w:r>
      <w:r w:rsidR="00564698" w:rsidRPr="001904C1">
        <w:t>:</w:t>
      </w:r>
      <w:r w:rsidR="00EE6A69" w:rsidRPr="001904C1">
        <w:t xml:space="preserve"> (</w:t>
      </w:r>
      <w:proofErr w:type="spellStart"/>
      <w:r w:rsidR="00EE6A69" w:rsidRPr="001904C1">
        <w:t>i</w:t>
      </w:r>
      <w:proofErr w:type="spellEnd"/>
      <w:r w:rsidR="00EE6A69" w:rsidRPr="001904C1">
        <w:t>)</w:t>
      </w:r>
      <w:r w:rsidR="00564698" w:rsidRPr="001904C1">
        <w:t xml:space="preserve"> </w:t>
      </w:r>
      <w:r w:rsidRPr="001904C1">
        <w:t xml:space="preserve">the </w:t>
      </w:r>
      <w:r w:rsidR="00564698" w:rsidRPr="001904C1">
        <w:t xml:space="preserve">Assisted Reverse Electrodialysis (ARED), </w:t>
      </w:r>
      <w:r w:rsidR="00223BE9" w:rsidRPr="001904C1">
        <w:t xml:space="preserve">already described </w:t>
      </w:r>
      <w:r w:rsidR="00DD7A19" w:rsidRPr="001904C1">
        <w:t xml:space="preserve">in other papers of some of co-authors </w:t>
      </w:r>
      <w:r w:rsidR="00844DE9" w:rsidRPr="001904C1">
        <w:rPr>
          <w:rFonts w:cstheme="minorHAnsi"/>
          <w:color w:val="000000" w:themeColor="text1"/>
          <w:shd w:val="clear" w:color="auto" w:fill="FFFFFF"/>
        </w:rPr>
        <w:t xml:space="preserve">(Campisi et al., 2023) </w:t>
      </w:r>
      <w:r w:rsidR="00DD7A19" w:rsidRPr="001904C1">
        <w:t xml:space="preserve">and tested not only in the field of PWs treatment </w:t>
      </w:r>
      <w:r w:rsidR="00844DE9" w:rsidRPr="001904C1">
        <w:t xml:space="preserve">but also </w:t>
      </w:r>
      <w:r w:rsidR="00223BE9" w:rsidRPr="001904C1">
        <w:t xml:space="preserve">for </w:t>
      </w:r>
      <w:r w:rsidR="00223BE9" w:rsidRPr="001904C1">
        <w:rPr>
          <w:rFonts w:cstheme="minorHAnsi"/>
          <w:color w:val="000000" w:themeColor="text1"/>
          <w:shd w:val="clear" w:color="auto" w:fill="FFFFFF"/>
        </w:rPr>
        <w:t>brine valorization (Filingeri et al., 2024)</w:t>
      </w:r>
      <w:r w:rsidR="00844DE9" w:rsidRPr="001904C1">
        <w:rPr>
          <w:rFonts w:cstheme="minorHAnsi"/>
          <w:color w:val="000000" w:themeColor="text1"/>
          <w:shd w:val="clear" w:color="auto" w:fill="FFFFFF"/>
        </w:rPr>
        <w:t xml:space="preserve"> and</w:t>
      </w:r>
      <w:r w:rsidR="00223BE9" w:rsidRPr="001904C1">
        <w:rPr>
          <w:rFonts w:cstheme="minorHAnsi"/>
          <w:color w:val="000000" w:themeColor="text1"/>
          <w:shd w:val="clear" w:color="auto" w:fill="FFFFFF"/>
        </w:rPr>
        <w:t xml:space="preserve"> hydrogen production (Pellegrino et al., 2024)</w:t>
      </w:r>
      <w:r w:rsidR="00FE2815" w:rsidRPr="001904C1">
        <w:rPr>
          <w:rFonts w:cstheme="minorHAnsi"/>
          <w:color w:val="000000" w:themeColor="text1"/>
          <w:shd w:val="clear" w:color="auto" w:fill="FFFFFF"/>
        </w:rPr>
        <w:t xml:space="preserve">; (ii) </w:t>
      </w:r>
      <w:r w:rsidR="00FE2815" w:rsidRPr="001904C1">
        <w:t xml:space="preserve">the biological treatment, by using a Sequencing Batch Moving Bed Biofilm Reactor (SBMBBR), already tested by some of co-authors for </w:t>
      </w:r>
      <w:r w:rsidR="00FE2815" w:rsidRPr="001904C1">
        <w:rPr>
          <w:lang w:val="en-GB"/>
        </w:rPr>
        <w:t>saline wastewaters containing hydrocarbons (Campo et al., 2016)</w:t>
      </w:r>
      <w:r w:rsidR="005F7B8A" w:rsidRPr="001904C1">
        <w:rPr>
          <w:lang w:val="en-GB"/>
        </w:rPr>
        <w:t>, which combines the advantages of attached growth, suspended growth and SBR systems, to provide high tolerance to shock loads and recalcitrant compounds degradation.</w:t>
      </w:r>
    </w:p>
    <w:p w14:paraId="190733D4" w14:textId="6E8CCA84" w:rsidR="00484A4C" w:rsidRPr="001904C1" w:rsidRDefault="00B6494A" w:rsidP="005F7B8A">
      <w:pPr>
        <w:pStyle w:val="CETBodytext"/>
        <w:rPr>
          <w:b/>
        </w:rPr>
      </w:pPr>
      <w:r w:rsidRPr="001904C1">
        <w:rPr>
          <w:rFonts w:cstheme="minorHAnsi"/>
          <w:color w:val="000000" w:themeColor="text1"/>
          <w:shd w:val="clear" w:color="auto" w:fill="FFFFFF"/>
        </w:rPr>
        <w:t xml:space="preserve">The ARED process was selected </w:t>
      </w:r>
      <w:r w:rsidR="00AC7050" w:rsidRPr="001904C1">
        <w:rPr>
          <w:rFonts w:cstheme="minorHAnsi"/>
          <w:color w:val="000000" w:themeColor="text1"/>
          <w:shd w:val="clear" w:color="auto" w:fill="FFFFFF"/>
        </w:rPr>
        <w:t xml:space="preserve">as </w:t>
      </w:r>
      <w:r w:rsidR="00286946" w:rsidRPr="001904C1">
        <w:rPr>
          <w:rFonts w:cstheme="minorHAnsi"/>
          <w:color w:val="000000" w:themeColor="text1"/>
          <w:shd w:val="clear" w:color="auto" w:fill="FFFFFF"/>
        </w:rPr>
        <w:t>the</w:t>
      </w:r>
      <w:r w:rsidR="00564698" w:rsidRPr="001904C1">
        <w:t xml:space="preserve"> low-cost pre-treatment for the salinity reduction, </w:t>
      </w:r>
      <w:r w:rsidR="00286946" w:rsidRPr="001904C1">
        <w:t>necessary for the subsequent biological step</w:t>
      </w:r>
      <w:r w:rsidR="00564698" w:rsidRPr="001904C1">
        <w:t>.</w:t>
      </w:r>
      <w:r w:rsidR="005F7B8A" w:rsidRPr="001904C1">
        <w:t xml:space="preserve"> </w:t>
      </w:r>
      <w:r w:rsidR="00564698" w:rsidRPr="001904C1">
        <w:t xml:space="preserve">These technologies </w:t>
      </w:r>
      <w:r w:rsidR="00512ED9" w:rsidRPr="001904C1">
        <w:t xml:space="preserve">were </w:t>
      </w:r>
      <w:proofErr w:type="gramStart"/>
      <w:r w:rsidR="00512ED9" w:rsidRPr="001904C1">
        <w:t>tested</w:t>
      </w:r>
      <w:proofErr w:type="gramEnd"/>
      <w:r w:rsidR="00512ED9" w:rsidRPr="001904C1">
        <w:t xml:space="preserve"> and </w:t>
      </w:r>
      <w:r w:rsidR="00FE24AE" w:rsidRPr="001904C1">
        <w:t xml:space="preserve">the </w:t>
      </w:r>
      <w:r w:rsidR="00512ED9" w:rsidRPr="001904C1">
        <w:t xml:space="preserve">results are </w:t>
      </w:r>
      <w:r w:rsidR="00FE24AE" w:rsidRPr="001904C1">
        <w:t>here presented</w:t>
      </w:r>
      <w:r w:rsidR="00512ED9" w:rsidRPr="001904C1">
        <w:t>.</w:t>
      </w:r>
    </w:p>
    <w:p w14:paraId="5741900F" w14:textId="46D51B5A" w:rsidR="00453E24" w:rsidRPr="001904C1" w:rsidRDefault="00CA7622" w:rsidP="00453E24">
      <w:pPr>
        <w:pStyle w:val="CETHeading1"/>
      </w:pPr>
      <w:r w:rsidRPr="001904C1">
        <w:t>Treatment chain</w:t>
      </w:r>
    </w:p>
    <w:p w14:paraId="094B42DA" w14:textId="3A105E93" w:rsidR="00AD2BF0" w:rsidRPr="001904C1" w:rsidRDefault="00AD2BF0" w:rsidP="00453E24">
      <w:pPr>
        <w:pStyle w:val="CETBodytext"/>
        <w:rPr>
          <w:lang w:val="en-GB"/>
        </w:rPr>
      </w:pPr>
      <w:r w:rsidRPr="001904C1">
        <w:rPr>
          <w:lang w:val="en-GB"/>
        </w:rPr>
        <w:t xml:space="preserve">The innovative treatment chain proposed in this work consisted of two main apparatuses: the ARED and the </w:t>
      </w:r>
      <w:r w:rsidR="00A440CF" w:rsidRPr="001904C1">
        <w:t xml:space="preserve">SBMBBR. </w:t>
      </w:r>
      <w:r w:rsidRPr="001904C1">
        <w:rPr>
          <w:lang w:val="en-GB"/>
        </w:rPr>
        <w:t>The scheme is reported in Figure 1.</w:t>
      </w:r>
    </w:p>
    <w:p w14:paraId="538B6BF2" w14:textId="77777777" w:rsidR="00AD2BF0" w:rsidRPr="001904C1" w:rsidRDefault="00AD2BF0" w:rsidP="00453E24">
      <w:pPr>
        <w:pStyle w:val="CETBodytext"/>
        <w:rPr>
          <w:lang w:val="en-GB"/>
        </w:rPr>
      </w:pPr>
    </w:p>
    <w:p w14:paraId="548ACBFD" w14:textId="7D382A8A" w:rsidR="00AD2BF0" w:rsidRPr="001904C1" w:rsidRDefault="00FE24AE" w:rsidP="00453E24">
      <w:pPr>
        <w:pStyle w:val="CETBodytext"/>
        <w:rPr>
          <w:lang w:val="en-GB"/>
        </w:rPr>
      </w:pPr>
      <w:r w:rsidRPr="001904C1">
        <w:rPr>
          <w:noProof/>
        </w:rPr>
        <w:drawing>
          <wp:inline distT="0" distB="0" distL="0" distR="0" wp14:anchorId="6EC4FD38" wp14:editId="22A253FC">
            <wp:extent cx="5579745" cy="1912791"/>
            <wp:effectExtent l="0" t="0" r="0" b="0"/>
            <wp:docPr id="20752069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9745" cy="1912791"/>
                    </a:xfrm>
                    <a:prstGeom prst="rect">
                      <a:avLst/>
                    </a:prstGeom>
                    <a:noFill/>
                    <a:ln>
                      <a:noFill/>
                    </a:ln>
                  </pic:spPr>
                </pic:pic>
              </a:graphicData>
            </a:graphic>
          </wp:inline>
        </w:drawing>
      </w:r>
    </w:p>
    <w:p w14:paraId="195CAFDD" w14:textId="77777777" w:rsidR="00AD2BF0" w:rsidRPr="001904C1" w:rsidRDefault="00AD2BF0" w:rsidP="00AD2BF0">
      <w:pPr>
        <w:pStyle w:val="CETCaption"/>
        <w:rPr>
          <w:rStyle w:val="CETCaptionCarattere"/>
          <w:i/>
        </w:rPr>
      </w:pPr>
      <w:r w:rsidRPr="001904C1">
        <w:rPr>
          <w:rStyle w:val="CETCaptionCarattere"/>
          <w:i/>
        </w:rPr>
        <w:t>Figure 1: Scheme of the proposed treatment chain</w:t>
      </w:r>
    </w:p>
    <w:p w14:paraId="430B6F82" w14:textId="77777777" w:rsidR="00AD2BF0" w:rsidRPr="001904C1" w:rsidRDefault="00197FA3" w:rsidP="00453E24">
      <w:pPr>
        <w:pStyle w:val="CETBodytext"/>
        <w:rPr>
          <w:lang w:val="en-GB"/>
        </w:rPr>
      </w:pPr>
      <w:r w:rsidRPr="001904C1">
        <w:rPr>
          <w:lang w:val="en-GB"/>
        </w:rPr>
        <w:t xml:space="preserve">PWs are fed to </w:t>
      </w:r>
      <w:r w:rsidR="00AD2BF0" w:rsidRPr="001904C1">
        <w:rPr>
          <w:lang w:val="en-GB"/>
        </w:rPr>
        <w:t xml:space="preserve">a filtration system constituted of </w:t>
      </w:r>
      <w:r w:rsidR="00AD2BF0" w:rsidRPr="001904C1">
        <w:rPr>
          <w:rFonts w:eastAsia="Arial" w:cs="Arial"/>
        </w:rPr>
        <w:t xml:space="preserve">2 cartridge filters in series (5 and 1 µm) to avoid clogging phenomena. Then, they enter </w:t>
      </w:r>
      <w:r w:rsidRPr="001904C1">
        <w:rPr>
          <w:lang w:val="en-GB"/>
        </w:rPr>
        <w:t xml:space="preserve">the ARED unit for the salinity reduction, to make them compliant with the downstream biological section. </w:t>
      </w:r>
    </w:p>
    <w:p w14:paraId="15939623" w14:textId="6D7A0719" w:rsidR="00C56D2D" w:rsidRPr="001904C1" w:rsidRDefault="00197FA3" w:rsidP="00453E24">
      <w:pPr>
        <w:pStyle w:val="CETBodytext"/>
        <w:rPr>
          <w:lang w:val="en-GB"/>
        </w:rPr>
      </w:pPr>
      <w:r w:rsidRPr="001904C1">
        <w:rPr>
          <w:lang w:val="en-GB"/>
        </w:rPr>
        <w:t>The ARED stack</w:t>
      </w:r>
      <w:r w:rsidR="00FE24AE" w:rsidRPr="001904C1">
        <w:rPr>
          <w:lang w:val="en-GB"/>
        </w:rPr>
        <w:t xml:space="preserve"> </w:t>
      </w:r>
      <w:r w:rsidRPr="001904C1">
        <w:rPr>
          <w:lang w:val="en-GB"/>
        </w:rPr>
        <w:t xml:space="preserve">is constituted by repetitive modules units as cell pairs, each comprising of two channels and two Ion Exchange Membranes (IEMs): an Anion Exchange Membrane (AEM) and a Cation Exchange Membrane (CEM). </w:t>
      </w:r>
      <w:r w:rsidR="00AD2BF0" w:rsidRPr="001904C1">
        <w:rPr>
          <w:lang w:val="en-GB"/>
        </w:rPr>
        <w:t>Between the membranes, the s</w:t>
      </w:r>
      <w:r w:rsidRPr="001904C1">
        <w:rPr>
          <w:lang w:val="en-GB"/>
        </w:rPr>
        <w:t>pacers were placed to create the channels</w:t>
      </w:r>
      <w:r w:rsidR="00AD2BF0" w:rsidRPr="001904C1">
        <w:rPr>
          <w:lang w:val="en-GB"/>
        </w:rPr>
        <w:t xml:space="preserve">. Here, a </w:t>
      </w:r>
      <w:r w:rsidRPr="001904C1">
        <w:rPr>
          <w:lang w:val="en-GB"/>
        </w:rPr>
        <w:t>concentrated solution (H) and a low-concentrated solution (L) are alternately fed. Electrode compartments</w:t>
      </w:r>
      <w:r w:rsidR="00C56D2D" w:rsidRPr="001904C1">
        <w:rPr>
          <w:lang w:val="en-GB"/>
        </w:rPr>
        <w:t xml:space="preserve">, where an Electrode Rinse Solution (ERS) continuously circulates </w:t>
      </w:r>
      <w:r w:rsidRPr="001904C1">
        <w:rPr>
          <w:lang w:val="en-GB"/>
        </w:rPr>
        <w:t xml:space="preserve">are positioned at both ends of the stack. In these compartments, </w:t>
      </w:r>
      <w:r w:rsidR="00C56D2D" w:rsidRPr="001904C1">
        <w:rPr>
          <w:lang w:val="en-GB"/>
        </w:rPr>
        <w:t>ERS contains redox couples (Fe</w:t>
      </w:r>
      <w:r w:rsidR="00C56D2D" w:rsidRPr="001904C1">
        <w:rPr>
          <w:vertAlign w:val="superscript"/>
          <w:lang w:val="en-GB"/>
        </w:rPr>
        <w:t>3+</w:t>
      </w:r>
      <w:r w:rsidR="00C56D2D" w:rsidRPr="001904C1">
        <w:rPr>
          <w:lang w:val="en-GB"/>
        </w:rPr>
        <w:t>/Fe</w:t>
      </w:r>
      <w:r w:rsidR="00C56D2D" w:rsidRPr="001904C1">
        <w:rPr>
          <w:vertAlign w:val="superscript"/>
          <w:lang w:val="en-GB"/>
        </w:rPr>
        <w:t>2+</w:t>
      </w:r>
      <w:r w:rsidR="00C56D2D" w:rsidRPr="001904C1">
        <w:rPr>
          <w:lang w:val="en-GB"/>
        </w:rPr>
        <w:t xml:space="preserve">) </w:t>
      </w:r>
      <w:r w:rsidRPr="001904C1">
        <w:rPr>
          <w:lang w:val="en-GB"/>
        </w:rPr>
        <w:t xml:space="preserve">allowing the conversion of electric current into ionic current. </w:t>
      </w:r>
    </w:p>
    <w:p w14:paraId="7FAB9D7A" w14:textId="3FF8BAED" w:rsidR="00146AC8" w:rsidRPr="001904C1" w:rsidRDefault="00197FA3" w:rsidP="00453E24">
      <w:pPr>
        <w:pStyle w:val="CETBodytext"/>
        <w:rPr>
          <w:lang w:val="en-GB"/>
        </w:rPr>
      </w:pPr>
      <w:r w:rsidRPr="001904C1">
        <w:rPr>
          <w:lang w:val="en-GB"/>
        </w:rPr>
        <w:t>After the dilution up to an equivalent NaCl concentration target of 20 g</w:t>
      </w:r>
      <w:r w:rsidR="00A563AC" w:rsidRPr="001904C1">
        <w:rPr>
          <w:lang w:val="en-GB"/>
        </w:rPr>
        <w:t xml:space="preserve"> </w:t>
      </w:r>
      <w:r w:rsidRPr="001904C1">
        <w:rPr>
          <w:lang w:val="en-GB"/>
        </w:rPr>
        <w:t>L</w:t>
      </w:r>
      <w:r w:rsidRPr="001904C1">
        <w:rPr>
          <w:vertAlign w:val="superscript"/>
          <w:lang w:val="en-GB"/>
        </w:rPr>
        <w:t>-1</w:t>
      </w:r>
      <w:r w:rsidRPr="001904C1">
        <w:rPr>
          <w:lang w:val="en-GB"/>
        </w:rPr>
        <w:t xml:space="preserve"> the PWs are sent to</w:t>
      </w:r>
      <w:r w:rsidR="00C56D2D" w:rsidRPr="001904C1">
        <w:rPr>
          <w:lang w:val="en-GB"/>
        </w:rPr>
        <w:t xml:space="preserve"> the</w:t>
      </w:r>
      <w:r w:rsidRPr="001904C1">
        <w:rPr>
          <w:lang w:val="en-GB"/>
        </w:rPr>
        <w:t xml:space="preserve"> biological section </w:t>
      </w:r>
      <w:r w:rsidR="00C56D2D" w:rsidRPr="001904C1">
        <w:rPr>
          <w:lang w:val="en-GB"/>
        </w:rPr>
        <w:t xml:space="preserve">(see Figure 1). It </w:t>
      </w:r>
      <w:r w:rsidRPr="001904C1">
        <w:rPr>
          <w:lang w:val="en-GB"/>
        </w:rPr>
        <w:t xml:space="preserve">consisted of a biological reactor with </w:t>
      </w:r>
      <w:r w:rsidR="00011B39" w:rsidRPr="001904C1">
        <w:rPr>
          <w:lang w:val="en-GB"/>
        </w:rPr>
        <w:t xml:space="preserve">Integrated Fixed Film Activated Sludge </w:t>
      </w:r>
      <w:r w:rsidRPr="001904C1">
        <w:rPr>
          <w:lang w:val="en-GB"/>
        </w:rPr>
        <w:t>(</w:t>
      </w:r>
      <w:r w:rsidR="00011B39" w:rsidRPr="001904C1">
        <w:rPr>
          <w:lang w:val="en-GB"/>
        </w:rPr>
        <w:t>IFAS</w:t>
      </w:r>
      <w:r w:rsidRPr="001904C1">
        <w:rPr>
          <w:lang w:val="en-GB"/>
        </w:rPr>
        <w:t xml:space="preserve">) </w:t>
      </w:r>
      <w:r w:rsidRPr="001904C1">
        <w:rPr>
          <w:lang w:val="en-GB"/>
        </w:rPr>
        <w:lastRenderedPageBreak/>
        <w:t>technology operating in a batch cycle, named SBMBBR (Sequencing Batch Moving Bed Biofilm Reactor). The purpose</w:t>
      </w:r>
      <w:r w:rsidR="00011B39" w:rsidRPr="001904C1">
        <w:rPr>
          <w:lang w:val="en-GB"/>
        </w:rPr>
        <w:t xml:space="preserve"> is</w:t>
      </w:r>
      <w:r w:rsidRPr="001904C1">
        <w:rPr>
          <w:lang w:val="en-GB"/>
        </w:rPr>
        <w:t xml:space="preserve"> to reduce the organic content of PWs and make the</w:t>
      </w:r>
      <w:r w:rsidR="00011B39" w:rsidRPr="001904C1">
        <w:rPr>
          <w:lang w:val="en-GB"/>
        </w:rPr>
        <w:t xml:space="preserve">m </w:t>
      </w:r>
      <w:r w:rsidRPr="001904C1">
        <w:rPr>
          <w:lang w:val="en-GB"/>
        </w:rPr>
        <w:t>respectful of the legislative limit for dis</w:t>
      </w:r>
      <w:r w:rsidR="00011B39" w:rsidRPr="001904C1">
        <w:rPr>
          <w:lang w:val="en-GB"/>
        </w:rPr>
        <w:t>posal</w:t>
      </w:r>
      <w:r w:rsidRPr="001904C1">
        <w:rPr>
          <w:lang w:val="en-GB"/>
        </w:rPr>
        <w:t>.</w:t>
      </w:r>
    </w:p>
    <w:p w14:paraId="677EBFF0" w14:textId="49CE51A8" w:rsidR="00600535" w:rsidRPr="001904C1" w:rsidRDefault="00453E24" w:rsidP="00FD4251">
      <w:pPr>
        <w:pStyle w:val="CETHeading1"/>
        <w:tabs>
          <w:tab w:val="right" w:pos="7100"/>
        </w:tabs>
        <w:jc w:val="both"/>
        <w:rPr>
          <w:lang w:val="en-GB"/>
        </w:rPr>
      </w:pPr>
      <w:proofErr w:type="spellStart"/>
      <w:r w:rsidRPr="001904C1">
        <w:rPr>
          <w:lang w:val="en-GB"/>
        </w:rPr>
        <w:t>E</w:t>
      </w:r>
      <w:r w:rsidR="00AF751D" w:rsidRPr="001904C1">
        <w:rPr>
          <w:lang w:val="en-GB"/>
        </w:rPr>
        <w:t>xperimentals</w:t>
      </w:r>
      <w:proofErr w:type="spellEnd"/>
    </w:p>
    <w:p w14:paraId="0AB3D5BE" w14:textId="41D44E50" w:rsidR="00C32BDB" w:rsidRPr="001904C1" w:rsidRDefault="00C528FD" w:rsidP="00C528FD">
      <w:pPr>
        <w:pStyle w:val="Paragrafoelenco"/>
        <w:widowControl w:val="0"/>
        <w:spacing w:line="240" w:lineRule="auto"/>
        <w:ind w:left="0"/>
        <w:rPr>
          <w:rFonts w:eastAsia="Arial" w:cs="Arial"/>
        </w:rPr>
      </w:pPr>
      <w:r w:rsidRPr="001904C1">
        <w:rPr>
          <w:rFonts w:eastAsia="Arial" w:cs="Arial"/>
        </w:rPr>
        <w:t>The experimental tests were performed with real PW solutions</w:t>
      </w:r>
      <w:r w:rsidR="00EF43BD" w:rsidRPr="001904C1">
        <w:rPr>
          <w:rFonts w:eastAsia="Arial" w:cs="Arial"/>
        </w:rPr>
        <w:t xml:space="preserve"> with an initial conductivity of 95 mS cm</w:t>
      </w:r>
      <w:r w:rsidR="00EF43BD" w:rsidRPr="001904C1">
        <w:rPr>
          <w:rFonts w:eastAsia="Arial" w:cs="Arial"/>
          <w:vertAlign w:val="superscript"/>
        </w:rPr>
        <w:t>-1</w:t>
      </w:r>
      <w:r w:rsidR="00C32BDB" w:rsidRPr="001904C1">
        <w:rPr>
          <w:rFonts w:eastAsia="Arial" w:cs="Arial"/>
        </w:rPr>
        <w:t>, corresponding to</w:t>
      </w:r>
      <w:r w:rsidR="00FE24AE" w:rsidRPr="001904C1">
        <w:rPr>
          <w:rFonts w:eastAsia="Arial" w:cs="Arial"/>
        </w:rPr>
        <w:t xml:space="preserve"> a concentration of 66 g </w:t>
      </w:r>
      <w:r w:rsidR="00FE24AE" w:rsidRPr="001904C1">
        <w:t>L</w:t>
      </w:r>
      <w:r w:rsidR="00FE24AE" w:rsidRPr="001904C1">
        <w:rPr>
          <w:vertAlign w:val="superscript"/>
        </w:rPr>
        <w:t>-1</w:t>
      </w:r>
      <w:r w:rsidR="00FE24AE" w:rsidRPr="001904C1">
        <w:rPr>
          <w:rFonts w:eastAsia="Arial" w:cs="Arial"/>
        </w:rPr>
        <w:t xml:space="preserve"> </w:t>
      </w:r>
      <w:r w:rsidR="00C32BDB" w:rsidRPr="001904C1">
        <w:rPr>
          <w:rFonts w:eastAsia="Arial" w:cs="Arial"/>
        </w:rPr>
        <w:t>of NaCl, assuming th</w:t>
      </w:r>
      <w:r w:rsidR="00FE24AE" w:rsidRPr="001904C1">
        <w:rPr>
          <w:rFonts w:eastAsia="Arial" w:cs="Arial"/>
        </w:rPr>
        <w:t xml:space="preserve">at the salinity of PW </w:t>
      </w:r>
      <w:r w:rsidR="00C32BDB" w:rsidRPr="001904C1">
        <w:rPr>
          <w:rFonts w:eastAsia="Arial" w:cs="Arial"/>
        </w:rPr>
        <w:t xml:space="preserve">is </w:t>
      </w:r>
      <w:r w:rsidR="00FE24AE" w:rsidRPr="001904C1">
        <w:rPr>
          <w:rFonts w:eastAsia="Arial" w:cs="Arial"/>
        </w:rPr>
        <w:t xml:space="preserve">mainly due to the presence of this </w:t>
      </w:r>
      <w:r w:rsidR="00C32BDB" w:rsidRPr="001904C1">
        <w:rPr>
          <w:rFonts w:eastAsia="Arial" w:cs="Arial"/>
        </w:rPr>
        <w:t>salt</w:t>
      </w:r>
      <w:r w:rsidR="00FE24AE" w:rsidRPr="001904C1">
        <w:rPr>
          <w:rFonts w:eastAsia="Arial" w:cs="Arial"/>
        </w:rPr>
        <w:t>.</w:t>
      </w:r>
    </w:p>
    <w:p w14:paraId="14491FA6" w14:textId="56C7C4CB" w:rsidR="00D00063" w:rsidRPr="001904C1" w:rsidRDefault="00C528FD" w:rsidP="00C528FD">
      <w:pPr>
        <w:pStyle w:val="Paragrafoelenco"/>
        <w:widowControl w:val="0"/>
        <w:spacing w:line="240" w:lineRule="auto"/>
        <w:ind w:left="0"/>
        <w:rPr>
          <w:rFonts w:eastAsia="Arial" w:cs="Arial"/>
        </w:rPr>
      </w:pPr>
      <w:r w:rsidRPr="001904C1">
        <w:rPr>
          <w:rFonts w:eastAsia="Arial" w:cs="Arial"/>
        </w:rPr>
        <w:t>The ARED unit ha</w:t>
      </w:r>
      <w:r w:rsidR="00C32BDB" w:rsidRPr="001904C1">
        <w:rPr>
          <w:rFonts w:eastAsia="Arial" w:cs="Arial"/>
        </w:rPr>
        <w:t>d</w:t>
      </w:r>
      <w:r w:rsidRPr="001904C1">
        <w:rPr>
          <w:rFonts w:eastAsia="Arial" w:cs="Arial"/>
        </w:rPr>
        <w:t xml:space="preserve"> a 10x10 cm</w:t>
      </w:r>
      <w:r w:rsidRPr="001904C1">
        <w:rPr>
          <w:rFonts w:eastAsia="Arial" w:cs="Arial"/>
          <w:vertAlign w:val="superscript"/>
        </w:rPr>
        <w:t>2</w:t>
      </w:r>
      <w:r w:rsidRPr="001904C1">
        <w:rPr>
          <w:rFonts w:eastAsia="Arial" w:cs="Arial"/>
        </w:rPr>
        <w:t xml:space="preserve"> active area constituted by 10 cell pairs, assembled with Fujifilm membranes Type 10 and separated by 300 µm woven spacers</w:t>
      </w:r>
      <w:r w:rsidR="00C32BDB" w:rsidRPr="001904C1">
        <w:rPr>
          <w:rFonts w:eastAsia="Arial" w:cs="Arial"/>
        </w:rPr>
        <w:t xml:space="preserve">. </w:t>
      </w:r>
      <w:r w:rsidR="00D00063" w:rsidRPr="001904C1">
        <w:rPr>
          <w:rFonts w:eastAsia="Arial" w:cs="Arial"/>
        </w:rPr>
        <w:t>Once completed</w:t>
      </w:r>
      <w:r w:rsidR="007D0CC4" w:rsidRPr="001904C1">
        <w:rPr>
          <w:rFonts w:eastAsia="Arial" w:cs="Arial"/>
        </w:rPr>
        <w:t xml:space="preserve"> the </w:t>
      </w:r>
      <w:r w:rsidR="00084FD4" w:rsidRPr="001904C1">
        <w:rPr>
          <w:rFonts w:eastAsia="Arial" w:cs="Arial"/>
        </w:rPr>
        <w:t>assembling</w:t>
      </w:r>
      <w:r w:rsidR="00D00063" w:rsidRPr="001904C1">
        <w:rPr>
          <w:rFonts w:eastAsia="Arial" w:cs="Arial"/>
        </w:rPr>
        <w:t>, the unit was closed, tested and then opened after several and several cycles</w:t>
      </w:r>
      <w:r w:rsidR="003A2FAC" w:rsidRPr="001904C1">
        <w:rPr>
          <w:rFonts w:eastAsia="Arial" w:cs="Arial"/>
        </w:rPr>
        <w:t xml:space="preserve">. Then, </w:t>
      </w:r>
      <w:r w:rsidR="00D00063" w:rsidRPr="001904C1">
        <w:rPr>
          <w:rFonts w:eastAsia="Arial" w:cs="Arial"/>
        </w:rPr>
        <w:t xml:space="preserve">membranes </w:t>
      </w:r>
      <w:r w:rsidR="003A2FAC" w:rsidRPr="001904C1">
        <w:rPr>
          <w:rFonts w:eastAsia="Arial" w:cs="Arial"/>
        </w:rPr>
        <w:t xml:space="preserve">were </w:t>
      </w:r>
      <w:r w:rsidR="00D00063" w:rsidRPr="001904C1">
        <w:rPr>
          <w:rFonts w:eastAsia="Arial" w:cs="Arial"/>
        </w:rPr>
        <w:t>dispose</w:t>
      </w:r>
      <w:r w:rsidR="003A2FAC" w:rsidRPr="001904C1">
        <w:rPr>
          <w:rFonts w:eastAsia="Arial" w:cs="Arial"/>
        </w:rPr>
        <w:t>d as solid waste</w:t>
      </w:r>
      <w:r w:rsidR="00D00063" w:rsidRPr="001904C1">
        <w:rPr>
          <w:rFonts w:eastAsia="Arial" w:cs="Arial"/>
        </w:rPr>
        <w:t xml:space="preserve">. </w:t>
      </w:r>
    </w:p>
    <w:p w14:paraId="519D7D35" w14:textId="5A2338DB" w:rsidR="00C32BDB" w:rsidRPr="001904C1" w:rsidRDefault="00C32BDB" w:rsidP="00C528FD">
      <w:pPr>
        <w:pStyle w:val="Paragrafoelenco"/>
        <w:widowControl w:val="0"/>
        <w:spacing w:line="240" w:lineRule="auto"/>
        <w:ind w:left="0"/>
        <w:rPr>
          <w:rFonts w:eastAsia="Arial" w:cs="Arial"/>
        </w:rPr>
      </w:pPr>
      <w:r w:rsidRPr="001904C1">
        <w:rPr>
          <w:rFonts w:eastAsia="Arial" w:cs="Arial"/>
        </w:rPr>
        <w:t>The solution wa</w:t>
      </w:r>
      <w:r w:rsidR="00C528FD" w:rsidRPr="001904C1">
        <w:rPr>
          <w:rFonts w:eastAsia="Arial" w:cs="Arial"/>
        </w:rPr>
        <w:t xml:space="preserve">s recirculated in the stack to </w:t>
      </w:r>
      <w:r w:rsidRPr="001904C1">
        <w:rPr>
          <w:rFonts w:eastAsia="Arial" w:cs="Arial"/>
        </w:rPr>
        <w:t>achieve the result of salinity reduction to a NaCl c</w:t>
      </w:r>
      <w:r w:rsidR="00C528FD" w:rsidRPr="001904C1">
        <w:rPr>
          <w:rFonts w:eastAsia="Arial" w:cs="Arial"/>
        </w:rPr>
        <w:t xml:space="preserve">oncentration </w:t>
      </w:r>
      <w:r w:rsidRPr="001904C1">
        <w:rPr>
          <w:rFonts w:eastAsia="Arial" w:cs="Arial"/>
        </w:rPr>
        <w:t>of</w:t>
      </w:r>
      <w:r w:rsidR="00C528FD" w:rsidRPr="001904C1">
        <w:rPr>
          <w:rFonts w:eastAsia="Arial" w:cs="Arial"/>
        </w:rPr>
        <w:t xml:space="preserve"> 20 g L</w:t>
      </w:r>
      <w:r w:rsidR="00C528FD" w:rsidRPr="001904C1">
        <w:rPr>
          <w:rFonts w:eastAsia="Arial" w:cs="Arial"/>
          <w:vertAlign w:val="superscript"/>
        </w:rPr>
        <w:t>-1</w:t>
      </w:r>
      <w:r w:rsidR="007E28BA" w:rsidRPr="001904C1">
        <w:rPr>
          <w:rFonts w:eastAsia="Arial" w:cs="Arial"/>
        </w:rPr>
        <w:t xml:space="preserve"> (corresponding to a conductivity of </w:t>
      </w:r>
      <w:r w:rsidR="007E28BA" w:rsidRPr="001904C1">
        <w:rPr>
          <w:bCs/>
          <w:szCs w:val="18"/>
        </w:rPr>
        <w:t>33 mS cm</w:t>
      </w:r>
      <w:r w:rsidR="007E28BA" w:rsidRPr="001904C1">
        <w:rPr>
          <w:bCs/>
          <w:szCs w:val="18"/>
          <w:vertAlign w:val="superscript"/>
        </w:rPr>
        <w:t>-1</w:t>
      </w:r>
      <w:r w:rsidR="007E28BA" w:rsidRPr="001904C1">
        <w:rPr>
          <w:bCs/>
          <w:szCs w:val="18"/>
        </w:rPr>
        <w:t>)</w:t>
      </w:r>
      <w:r w:rsidR="00C528FD" w:rsidRPr="001904C1">
        <w:rPr>
          <w:rFonts w:eastAsia="Arial" w:cs="Arial"/>
        </w:rPr>
        <w:t xml:space="preserve"> </w:t>
      </w:r>
      <w:r w:rsidRPr="001904C1">
        <w:rPr>
          <w:rFonts w:eastAsia="Arial" w:cs="Arial"/>
        </w:rPr>
        <w:t>Each load of PW had a volume of approximately 4 L.</w:t>
      </w:r>
      <w:r w:rsidR="005A19FF" w:rsidRPr="001904C1">
        <w:rPr>
          <w:rFonts w:eastAsia="Arial" w:cs="Arial"/>
        </w:rPr>
        <w:t xml:space="preserve"> </w:t>
      </w:r>
      <w:r w:rsidR="00C528FD" w:rsidRPr="001904C1">
        <w:rPr>
          <w:rFonts w:eastAsia="Arial" w:cs="Arial"/>
        </w:rPr>
        <w:t xml:space="preserve">The diluted solution was also recirculated in a separated </w:t>
      </w:r>
      <w:proofErr w:type="gramStart"/>
      <w:r w:rsidR="00C528FD" w:rsidRPr="001904C1">
        <w:rPr>
          <w:rFonts w:eastAsia="Arial" w:cs="Arial"/>
        </w:rPr>
        <w:t>tank</w:t>
      </w:r>
      <w:proofErr w:type="gramEnd"/>
      <w:r w:rsidRPr="001904C1">
        <w:rPr>
          <w:rFonts w:eastAsia="Arial" w:cs="Arial"/>
        </w:rPr>
        <w:t xml:space="preserve"> and it had </w:t>
      </w:r>
      <w:r w:rsidR="00C528FD" w:rsidRPr="001904C1">
        <w:rPr>
          <w:rFonts w:eastAsia="Arial" w:cs="Arial"/>
        </w:rPr>
        <w:t>a volume of 50 L</w:t>
      </w:r>
      <w:r w:rsidRPr="001904C1">
        <w:rPr>
          <w:rFonts w:eastAsia="Arial" w:cs="Arial"/>
        </w:rPr>
        <w:t xml:space="preserve">. The </w:t>
      </w:r>
      <w:r w:rsidR="00C528FD" w:rsidRPr="001904C1">
        <w:rPr>
          <w:rFonts w:eastAsia="Arial" w:cs="Arial"/>
        </w:rPr>
        <w:t xml:space="preserve">test lasted approximately 24 h. The treated PW was then collected in a buffer reservoir and transferred to the biological reactor once the previous cycle was completed. </w:t>
      </w:r>
    </w:p>
    <w:p w14:paraId="0FF48CA1" w14:textId="680602B0" w:rsidR="00C528FD" w:rsidRPr="001904C1" w:rsidRDefault="00C528FD" w:rsidP="00C528FD">
      <w:pPr>
        <w:pStyle w:val="Paragrafoelenco"/>
        <w:widowControl w:val="0"/>
        <w:spacing w:line="240" w:lineRule="auto"/>
        <w:ind w:left="0"/>
        <w:rPr>
          <w:rFonts w:eastAsia="Arial" w:cs="Arial"/>
        </w:rPr>
      </w:pPr>
      <w:r w:rsidRPr="001904C1">
        <w:rPr>
          <w:rFonts w:eastAsia="Arial" w:cs="Arial"/>
        </w:rPr>
        <w:t>The bioreactor</w:t>
      </w:r>
      <w:r w:rsidR="00C32BDB" w:rsidRPr="001904C1">
        <w:rPr>
          <w:rFonts w:eastAsia="Arial" w:cs="Arial"/>
        </w:rPr>
        <w:t xml:space="preserve"> had a </w:t>
      </w:r>
      <w:r w:rsidRPr="001904C1">
        <w:rPr>
          <w:rFonts w:eastAsia="Arial" w:cs="Arial"/>
        </w:rPr>
        <w:t>capacity of 20 L</w:t>
      </w:r>
      <w:r w:rsidR="00C32BDB" w:rsidRPr="001904C1">
        <w:rPr>
          <w:rFonts w:eastAsia="Arial" w:cs="Arial"/>
        </w:rPr>
        <w:t xml:space="preserve"> and </w:t>
      </w:r>
      <w:r w:rsidRPr="001904C1">
        <w:rPr>
          <w:rFonts w:eastAsia="Arial" w:cs="Arial"/>
        </w:rPr>
        <w:t>star</w:t>
      </w:r>
      <w:r w:rsidR="00C32BDB" w:rsidRPr="001904C1">
        <w:rPr>
          <w:rFonts w:eastAsia="Arial" w:cs="Arial"/>
        </w:rPr>
        <w:t>ted</w:t>
      </w:r>
      <w:r w:rsidRPr="001904C1">
        <w:rPr>
          <w:rFonts w:eastAsia="Arial" w:cs="Arial"/>
        </w:rPr>
        <w:t xml:space="preserve"> to operate without an active sludge inoculum to allow the development of autochthonous halophilic biomass present in the PWs on the carriers. The carriers used were the </w:t>
      </w:r>
      <w:proofErr w:type="spellStart"/>
      <w:r w:rsidRPr="001904C1">
        <w:rPr>
          <w:rFonts w:eastAsia="Arial" w:cs="Arial"/>
        </w:rPr>
        <w:t>Mutag</w:t>
      </w:r>
      <w:proofErr w:type="spellEnd"/>
      <w:r w:rsidRPr="001904C1">
        <w:rPr>
          <w:rFonts w:eastAsia="Arial" w:cs="Arial"/>
        </w:rPr>
        <w:t xml:space="preserve"> </w:t>
      </w:r>
      <w:proofErr w:type="spellStart"/>
      <w:r w:rsidRPr="001904C1">
        <w:rPr>
          <w:rFonts w:eastAsia="Arial" w:cs="Arial"/>
        </w:rPr>
        <w:t>BioChipsal</w:t>
      </w:r>
      <w:proofErr w:type="spellEnd"/>
      <w:r w:rsidRPr="001904C1">
        <w:rPr>
          <w:rFonts w:eastAsia="Arial" w:cs="Arial"/>
        </w:rPr>
        <w:t xml:space="preserve"> type (surface area of 5,500 m</w:t>
      </w:r>
      <w:r w:rsidRPr="001904C1">
        <w:rPr>
          <w:rFonts w:eastAsia="Arial" w:cs="Arial"/>
          <w:vertAlign w:val="superscript"/>
        </w:rPr>
        <w:t>2</w:t>
      </w:r>
      <w:r w:rsidRPr="001904C1">
        <w:rPr>
          <w:rFonts w:eastAsia="Arial" w:cs="Arial"/>
        </w:rPr>
        <w:t>/m</w:t>
      </w:r>
      <w:r w:rsidRPr="001904C1">
        <w:rPr>
          <w:rFonts w:eastAsia="Arial" w:cs="Arial"/>
          <w:vertAlign w:val="superscript"/>
        </w:rPr>
        <w:t>3</w:t>
      </w:r>
      <w:r w:rsidRPr="001904C1">
        <w:rPr>
          <w:rFonts w:eastAsia="Arial" w:cs="Arial"/>
        </w:rPr>
        <w:t>)</w:t>
      </w:r>
      <w:r w:rsidR="00C32BDB" w:rsidRPr="001904C1">
        <w:rPr>
          <w:rFonts w:eastAsia="Arial" w:cs="Arial"/>
        </w:rPr>
        <w:t xml:space="preserve"> with a </w:t>
      </w:r>
      <w:r w:rsidRPr="001904C1">
        <w:rPr>
          <w:rFonts w:eastAsia="Arial" w:cs="Arial"/>
        </w:rPr>
        <w:t>total volume of 5 L, corresponding to approximately 5000 carriers. The reactor was equipped with a blower connected to two porous stone diffusers for air supply (flow rate of 5 L min</w:t>
      </w:r>
      <w:r w:rsidRPr="001904C1">
        <w:rPr>
          <w:rFonts w:eastAsia="Arial" w:cs="Arial"/>
          <w:vertAlign w:val="superscript"/>
        </w:rPr>
        <w:t>-1</w:t>
      </w:r>
      <w:r w:rsidRPr="001904C1">
        <w:rPr>
          <w:rFonts w:eastAsia="Arial" w:cs="Arial"/>
        </w:rPr>
        <w:t xml:space="preserve">) </w:t>
      </w:r>
      <w:r w:rsidR="000B4680" w:rsidRPr="001904C1">
        <w:rPr>
          <w:rFonts w:eastAsia="Arial" w:cs="Arial"/>
        </w:rPr>
        <w:t xml:space="preserve">to allow the aeration, as represented in Figure 2 </w:t>
      </w:r>
      <w:r w:rsidRPr="001904C1">
        <w:rPr>
          <w:rFonts w:eastAsia="Arial" w:cs="Arial"/>
        </w:rPr>
        <w:t>and two peristaltic pumps for the PW feeding and effluent discharging. All the equipment were connected to a PLC for cycle phase management.</w:t>
      </w:r>
    </w:p>
    <w:p w14:paraId="6BE512E5" w14:textId="77777777" w:rsidR="00C32BDB" w:rsidRPr="001904C1" w:rsidRDefault="00C32BDB" w:rsidP="00C528FD">
      <w:pPr>
        <w:pStyle w:val="Paragrafoelenco"/>
        <w:widowControl w:val="0"/>
        <w:spacing w:line="240" w:lineRule="auto"/>
        <w:ind w:left="0"/>
        <w:rPr>
          <w:rFonts w:eastAsia="Arial" w:cs="Arial"/>
        </w:rPr>
      </w:pPr>
    </w:p>
    <w:p w14:paraId="0B9FA387" w14:textId="6ABBF9E7" w:rsidR="00C32BDB" w:rsidRPr="001904C1" w:rsidRDefault="000B4680" w:rsidP="00C528FD">
      <w:pPr>
        <w:pStyle w:val="Paragrafoelenco"/>
        <w:widowControl w:val="0"/>
        <w:spacing w:line="240" w:lineRule="auto"/>
        <w:ind w:left="0"/>
        <w:rPr>
          <w:rFonts w:eastAsia="Arial" w:cs="Arial"/>
        </w:rPr>
      </w:pPr>
      <w:r w:rsidRPr="001904C1">
        <w:rPr>
          <w:noProof/>
        </w:rPr>
        <w:drawing>
          <wp:inline distT="0" distB="0" distL="0" distR="0" wp14:anchorId="486EFEBD" wp14:editId="588BB4C7">
            <wp:extent cx="2636520" cy="1733372"/>
            <wp:effectExtent l="0" t="0" r="0" b="635"/>
            <wp:docPr id="147285796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5576" cy="1745900"/>
                    </a:xfrm>
                    <a:prstGeom prst="rect">
                      <a:avLst/>
                    </a:prstGeom>
                    <a:noFill/>
                    <a:ln>
                      <a:noFill/>
                    </a:ln>
                  </pic:spPr>
                </pic:pic>
              </a:graphicData>
            </a:graphic>
          </wp:inline>
        </w:drawing>
      </w:r>
    </w:p>
    <w:p w14:paraId="7518AE75" w14:textId="4B6F52A8" w:rsidR="00C32BDB" w:rsidRPr="001904C1" w:rsidRDefault="00E723E0" w:rsidP="00C528FD">
      <w:pPr>
        <w:pStyle w:val="Paragrafoelenco"/>
        <w:widowControl w:val="0"/>
        <w:spacing w:line="240" w:lineRule="auto"/>
        <w:ind w:left="0"/>
        <w:rPr>
          <w:rFonts w:eastAsia="Arial" w:cs="Arial"/>
        </w:rPr>
      </w:pPr>
      <w:r w:rsidRPr="001904C1">
        <w:rPr>
          <w:rStyle w:val="CETCaptionCarattere"/>
        </w:rPr>
        <w:t>Figure 2: Steps of aeration and subsequent settling during the operation of the SBMBBR</w:t>
      </w:r>
    </w:p>
    <w:p w14:paraId="74498555" w14:textId="70634980" w:rsidR="00C32BDB" w:rsidRPr="001904C1" w:rsidRDefault="00C32BDB" w:rsidP="00C528FD">
      <w:pPr>
        <w:pStyle w:val="Paragrafoelenco"/>
        <w:widowControl w:val="0"/>
        <w:spacing w:line="240" w:lineRule="auto"/>
        <w:ind w:left="0"/>
        <w:rPr>
          <w:rFonts w:eastAsia="Arial" w:cs="Arial"/>
        </w:rPr>
      </w:pPr>
    </w:p>
    <w:p w14:paraId="4A9DC2BE" w14:textId="5355E463" w:rsidR="00C32BDB" w:rsidRPr="001904C1" w:rsidRDefault="00C528FD" w:rsidP="00075871">
      <w:pPr>
        <w:widowControl w:val="0"/>
        <w:spacing w:line="240" w:lineRule="auto"/>
        <w:rPr>
          <w:rFonts w:eastAsia="Arial" w:cs="Arial"/>
        </w:rPr>
      </w:pPr>
      <w:r w:rsidRPr="001904C1">
        <w:rPr>
          <w:rFonts w:eastAsia="Arial" w:cs="Arial"/>
        </w:rPr>
        <w:t xml:space="preserve">The biological reactor </w:t>
      </w:r>
      <w:r w:rsidR="007E28BA" w:rsidRPr="001904C1">
        <w:t>SBMBBR</w:t>
      </w:r>
      <w:r w:rsidR="007E28BA" w:rsidRPr="001904C1">
        <w:rPr>
          <w:rFonts w:eastAsia="Arial" w:cs="Arial"/>
        </w:rPr>
        <w:t xml:space="preserve"> </w:t>
      </w:r>
      <w:r w:rsidRPr="001904C1">
        <w:rPr>
          <w:rFonts w:eastAsia="Arial" w:cs="Arial"/>
        </w:rPr>
        <w:t xml:space="preserve">operated in continuous mode, by alternating cycles with a duration of 6 h. The volumetric exchange ratio was set to 5 % to avoid organic overloading. Consequently, the treatment capacity of the plant was 4 </w:t>
      </w:r>
      <w:proofErr w:type="gramStart"/>
      <w:r w:rsidRPr="001904C1">
        <w:rPr>
          <w:rFonts w:eastAsia="Arial" w:cs="Arial"/>
        </w:rPr>
        <w:t>L</w:t>
      </w:r>
      <w:r w:rsidR="00DA1B4A" w:rsidRPr="001904C1">
        <w:rPr>
          <w:rFonts w:eastAsia="Arial" w:cs="Arial"/>
        </w:rPr>
        <w:t xml:space="preserve"> </w:t>
      </w:r>
      <w:r w:rsidRPr="001904C1">
        <w:rPr>
          <w:rFonts w:eastAsia="Arial" w:cs="Arial"/>
        </w:rPr>
        <w:t>day</w:t>
      </w:r>
      <w:proofErr w:type="gramEnd"/>
      <w:r w:rsidRPr="001904C1">
        <w:rPr>
          <w:rFonts w:eastAsia="Arial" w:cs="Arial"/>
          <w:vertAlign w:val="superscript"/>
        </w:rPr>
        <w:t>-1</w:t>
      </w:r>
      <w:r w:rsidRPr="001904C1">
        <w:rPr>
          <w:rFonts w:eastAsia="Arial" w:cs="Arial"/>
        </w:rPr>
        <w:t>. Each cycle was divided into the following phases: a feeding phase lasting 1 h; a reaction phase lasting 3 h</w:t>
      </w:r>
      <w:r w:rsidR="000B4680" w:rsidRPr="001904C1">
        <w:rPr>
          <w:rFonts w:eastAsia="Arial" w:cs="Arial"/>
        </w:rPr>
        <w:t xml:space="preserve"> (see Figure 2a)</w:t>
      </w:r>
      <w:r w:rsidRPr="001904C1">
        <w:rPr>
          <w:rFonts w:eastAsia="Arial" w:cs="Arial"/>
        </w:rPr>
        <w:t>; a settling phase lasting 2 h</w:t>
      </w:r>
      <w:r w:rsidR="000B4680" w:rsidRPr="001904C1">
        <w:rPr>
          <w:rFonts w:eastAsia="Arial" w:cs="Arial"/>
        </w:rPr>
        <w:t xml:space="preserve"> (see Figure 2b)</w:t>
      </w:r>
      <w:r w:rsidRPr="001904C1">
        <w:rPr>
          <w:rFonts w:eastAsia="Arial" w:cs="Arial"/>
        </w:rPr>
        <w:t xml:space="preserve">; and a discharge phase lasting 30 min. </w:t>
      </w:r>
    </w:p>
    <w:p w14:paraId="23665872" w14:textId="77777777" w:rsidR="006E7F5D" w:rsidRPr="001904C1" w:rsidRDefault="00C528FD" w:rsidP="00075871">
      <w:pPr>
        <w:widowControl w:val="0"/>
        <w:spacing w:line="240" w:lineRule="auto"/>
        <w:rPr>
          <w:rFonts w:eastAsia="Arial" w:cs="Arial"/>
        </w:rPr>
      </w:pPr>
      <w:r w:rsidRPr="001904C1">
        <w:rPr>
          <w:rFonts w:eastAsia="Arial" w:cs="Arial"/>
        </w:rPr>
        <w:t xml:space="preserve">Biological performances were evaluated by measuring the total organic carbon (TOC) and total petroleum hydrocarbons (TPH) removal efficiencies. </w:t>
      </w:r>
      <w:r w:rsidR="006E7F5D" w:rsidRPr="001904C1">
        <w:rPr>
          <w:rFonts w:eastAsia="Arial" w:cs="Arial"/>
        </w:rPr>
        <w:t xml:space="preserve">Thus, samples were withdrawn from surface water at the inlet and outlet of the ARED and of the biological reactor and </w:t>
      </w:r>
      <w:r w:rsidRPr="001904C1">
        <w:rPr>
          <w:rFonts w:eastAsia="Arial" w:cs="Arial"/>
        </w:rPr>
        <w:t xml:space="preserve">TOC </w:t>
      </w:r>
      <w:r w:rsidR="006E7F5D" w:rsidRPr="001904C1">
        <w:rPr>
          <w:rFonts w:eastAsia="Arial" w:cs="Arial"/>
        </w:rPr>
        <w:t>and TPH were</w:t>
      </w:r>
      <w:r w:rsidRPr="001904C1">
        <w:rPr>
          <w:rFonts w:eastAsia="Arial" w:cs="Arial"/>
        </w:rPr>
        <w:t xml:space="preserve"> measured</w:t>
      </w:r>
      <w:r w:rsidR="006E7F5D" w:rsidRPr="001904C1">
        <w:rPr>
          <w:rFonts w:eastAsia="Arial" w:cs="Arial"/>
        </w:rPr>
        <w:t>.</w:t>
      </w:r>
    </w:p>
    <w:p w14:paraId="59AD1228" w14:textId="116915E3" w:rsidR="007D6E0B" w:rsidRPr="001904C1" w:rsidRDefault="006E7F5D" w:rsidP="00860D53">
      <w:pPr>
        <w:widowControl w:val="0"/>
        <w:spacing w:line="240" w:lineRule="auto"/>
        <w:rPr>
          <w:rFonts w:eastAsia="Arial" w:cs="Arial"/>
        </w:rPr>
      </w:pPr>
      <w:r w:rsidRPr="001904C1">
        <w:rPr>
          <w:rFonts w:eastAsia="Arial" w:cs="Arial"/>
        </w:rPr>
        <w:t>TOC was evaluated</w:t>
      </w:r>
      <w:r w:rsidR="00C528FD" w:rsidRPr="001904C1">
        <w:rPr>
          <w:rFonts w:eastAsia="Arial" w:cs="Arial"/>
        </w:rPr>
        <w:t xml:space="preserve"> </w:t>
      </w:r>
      <w:r w:rsidRPr="001904C1">
        <w:rPr>
          <w:rFonts w:eastAsia="Arial" w:cs="Arial"/>
        </w:rPr>
        <w:t xml:space="preserve">by </w:t>
      </w:r>
      <w:r w:rsidR="00C528FD" w:rsidRPr="001904C1">
        <w:rPr>
          <w:rFonts w:eastAsia="Arial" w:cs="Arial"/>
        </w:rPr>
        <w:t>using a Shimadzu TOC-V analyser</w:t>
      </w:r>
      <w:r w:rsidR="007D6E0B" w:rsidRPr="001904C1">
        <w:rPr>
          <w:rFonts w:eastAsia="Arial" w:cs="Arial"/>
        </w:rPr>
        <w:t xml:space="preserve">. Before, samples were filtered by using membranes with a pore diameter of 0.45 </w:t>
      </w:r>
      <w:r w:rsidR="007D6E0B" w:rsidRPr="001904C1">
        <w:rPr>
          <w:rFonts w:cstheme="minorHAnsi"/>
          <w:color w:val="000000" w:themeColor="text1"/>
        </w:rPr>
        <w:t>µm</w:t>
      </w:r>
      <w:r w:rsidR="007D6E0B" w:rsidRPr="001904C1">
        <w:rPr>
          <w:rFonts w:eastAsia="Arial" w:cs="Arial"/>
        </w:rPr>
        <w:t>.</w:t>
      </w:r>
    </w:p>
    <w:p w14:paraId="09EE4578" w14:textId="77777777" w:rsidR="00325861" w:rsidRPr="001904C1" w:rsidRDefault="00C528FD" w:rsidP="00860D53">
      <w:pPr>
        <w:widowControl w:val="0"/>
        <w:spacing w:line="240" w:lineRule="auto"/>
        <w:rPr>
          <w:rFonts w:eastAsia="Arial" w:cs="Arial"/>
        </w:rPr>
      </w:pPr>
      <w:r w:rsidRPr="001904C1">
        <w:rPr>
          <w:rFonts w:eastAsia="Arial" w:cs="Arial"/>
        </w:rPr>
        <w:t>TPH</w:t>
      </w:r>
      <w:r w:rsidR="006E7F5D" w:rsidRPr="001904C1">
        <w:rPr>
          <w:rFonts w:eastAsia="Arial" w:cs="Arial"/>
        </w:rPr>
        <w:t xml:space="preserve"> was detected by using a GC-FID (Gas Chromatography-Flame Ionization Detector)</w:t>
      </w:r>
      <w:r w:rsidR="00D11402" w:rsidRPr="001904C1">
        <w:rPr>
          <w:rFonts w:eastAsia="Arial" w:cs="Arial"/>
        </w:rPr>
        <w:t xml:space="preserve"> equipped with a HP-5 capillary column (30mx 0.320 mm x 0.25 </w:t>
      </w:r>
      <w:proofErr w:type="spellStart"/>
      <w:r w:rsidR="00D11402" w:rsidRPr="001904C1">
        <w:rPr>
          <w:rFonts w:eastAsia="Arial" w:cs="Arial"/>
        </w:rPr>
        <w:t>μm</w:t>
      </w:r>
      <w:proofErr w:type="spellEnd"/>
      <w:r w:rsidR="00D11402" w:rsidRPr="001904C1">
        <w:rPr>
          <w:rFonts w:eastAsia="Arial" w:cs="Arial"/>
        </w:rPr>
        <w:t xml:space="preserve">) and </w:t>
      </w:r>
      <w:proofErr w:type="gramStart"/>
      <w:r w:rsidR="00D11402" w:rsidRPr="001904C1">
        <w:rPr>
          <w:rFonts w:eastAsia="Arial" w:cs="Arial"/>
        </w:rPr>
        <w:t>a</w:t>
      </w:r>
      <w:proofErr w:type="gramEnd"/>
      <w:r w:rsidR="00D11402" w:rsidRPr="001904C1">
        <w:rPr>
          <w:rFonts w:eastAsia="Arial" w:cs="Arial"/>
        </w:rPr>
        <w:t xml:space="preserve"> FID detector. A</w:t>
      </w:r>
      <w:r w:rsidR="00FE24AE" w:rsidRPr="001904C1">
        <w:rPr>
          <w:rFonts w:eastAsia="Arial" w:cs="Arial"/>
        </w:rPr>
        <w:t xml:space="preserve">n alkane </w:t>
      </w:r>
      <w:r w:rsidR="000B4680" w:rsidRPr="001904C1">
        <w:rPr>
          <w:rFonts w:eastAsia="Arial" w:cs="Arial"/>
        </w:rPr>
        <w:t xml:space="preserve">analytical </w:t>
      </w:r>
      <w:r w:rsidR="00FE24AE" w:rsidRPr="001904C1">
        <w:rPr>
          <w:rFonts w:eastAsia="Arial" w:cs="Arial"/>
        </w:rPr>
        <w:t>standard mixture, C10 - C40 (all even), 50 mg</w:t>
      </w:r>
      <w:r w:rsidR="000B4680" w:rsidRPr="001904C1">
        <w:rPr>
          <w:rFonts w:eastAsia="Arial" w:cs="Arial"/>
        </w:rPr>
        <w:t xml:space="preserve"> L</w:t>
      </w:r>
      <w:r w:rsidR="000B4680" w:rsidRPr="001904C1">
        <w:rPr>
          <w:rFonts w:eastAsia="Arial" w:cs="Arial"/>
          <w:vertAlign w:val="superscript"/>
        </w:rPr>
        <w:t>-1</w:t>
      </w:r>
      <w:r w:rsidR="000B4680" w:rsidRPr="001904C1">
        <w:rPr>
          <w:rFonts w:eastAsia="Arial" w:cs="Arial"/>
        </w:rPr>
        <w:t xml:space="preserve"> </w:t>
      </w:r>
      <w:r w:rsidR="00FE24AE" w:rsidRPr="001904C1">
        <w:rPr>
          <w:rFonts w:eastAsia="Arial" w:cs="Arial"/>
        </w:rPr>
        <w:t xml:space="preserve">each, from Sigma Aldrich, </w:t>
      </w:r>
      <w:r w:rsidR="00D11402" w:rsidRPr="001904C1">
        <w:rPr>
          <w:rFonts w:eastAsia="Arial" w:cs="Arial"/>
        </w:rPr>
        <w:t xml:space="preserve">was used </w:t>
      </w:r>
      <w:r w:rsidR="000B4680" w:rsidRPr="001904C1">
        <w:rPr>
          <w:rFonts w:eastAsia="Arial" w:cs="Arial"/>
        </w:rPr>
        <w:t>for performance tests of GC-systems</w:t>
      </w:r>
      <w:r w:rsidR="00706B07" w:rsidRPr="001904C1">
        <w:rPr>
          <w:rFonts w:eastAsia="Arial" w:cs="Arial"/>
        </w:rPr>
        <w:t xml:space="preserve"> and to prepare the calibration curve in the range of 4-200 ppm of the standard in hexane</w:t>
      </w:r>
      <w:r w:rsidR="000B4680" w:rsidRPr="001904C1">
        <w:rPr>
          <w:rFonts w:eastAsia="Arial" w:cs="Arial"/>
        </w:rPr>
        <w:t xml:space="preserve">. </w:t>
      </w:r>
      <w:r w:rsidR="006E7F5D" w:rsidRPr="001904C1">
        <w:rPr>
          <w:rFonts w:eastAsia="Arial" w:cs="Arial"/>
        </w:rPr>
        <w:t xml:space="preserve">Before the analysis, samples were prepared by performing a </w:t>
      </w:r>
      <w:r w:rsidRPr="001904C1">
        <w:rPr>
          <w:rFonts w:eastAsia="Arial" w:cs="Arial"/>
        </w:rPr>
        <w:t>liquid/liquid extraction with</w:t>
      </w:r>
      <w:r w:rsidR="00860D53" w:rsidRPr="001904C1">
        <w:rPr>
          <w:rFonts w:eastAsia="Arial" w:cs="Arial"/>
        </w:rPr>
        <w:t xml:space="preserve"> a solution of 20 ppm of </w:t>
      </w:r>
      <w:r w:rsidR="00860D53" w:rsidRPr="001904C1">
        <w:rPr>
          <w:rFonts w:eastAsia="Arial" w:cs="Arial"/>
          <w:lang w:val="en-US"/>
        </w:rPr>
        <w:t>n-</w:t>
      </w:r>
      <w:proofErr w:type="spellStart"/>
      <w:r w:rsidR="00860D53" w:rsidRPr="001904C1">
        <w:rPr>
          <w:rFonts w:eastAsia="Arial" w:cs="Arial"/>
          <w:lang w:val="en-US"/>
        </w:rPr>
        <w:t>decane</w:t>
      </w:r>
      <w:proofErr w:type="spellEnd"/>
      <w:r w:rsidR="00860D53" w:rsidRPr="001904C1">
        <w:rPr>
          <w:rFonts w:eastAsia="Arial" w:cs="Arial"/>
          <w:lang w:val="en-US"/>
        </w:rPr>
        <w:t xml:space="preserve"> (C</w:t>
      </w:r>
      <w:r w:rsidR="00860D53" w:rsidRPr="001904C1">
        <w:rPr>
          <w:rFonts w:eastAsia="Arial" w:cs="Arial"/>
          <w:vertAlign w:val="subscript"/>
          <w:lang w:val="en-US"/>
        </w:rPr>
        <w:t>10</w:t>
      </w:r>
      <w:r w:rsidR="00860D53" w:rsidRPr="001904C1">
        <w:rPr>
          <w:rFonts w:eastAsia="Arial" w:cs="Arial"/>
          <w:lang w:val="en-US"/>
        </w:rPr>
        <w:t>H</w:t>
      </w:r>
      <w:r w:rsidR="00860D53" w:rsidRPr="001904C1">
        <w:rPr>
          <w:rFonts w:eastAsia="Arial" w:cs="Arial"/>
          <w:vertAlign w:val="subscript"/>
          <w:lang w:val="en-US"/>
        </w:rPr>
        <w:t>22</w:t>
      </w:r>
      <w:r w:rsidR="00860D53" w:rsidRPr="001904C1">
        <w:rPr>
          <w:rFonts w:eastAsia="Arial" w:cs="Arial"/>
          <w:lang w:val="en-US"/>
        </w:rPr>
        <w:t>) e 20 ppm of n-tetracontane (C</w:t>
      </w:r>
      <w:r w:rsidR="00860D53" w:rsidRPr="001904C1">
        <w:rPr>
          <w:rFonts w:eastAsia="Arial" w:cs="Arial"/>
          <w:vertAlign w:val="subscript"/>
          <w:lang w:val="en-US"/>
        </w:rPr>
        <w:t>40</w:t>
      </w:r>
      <w:r w:rsidR="00860D53" w:rsidRPr="001904C1">
        <w:rPr>
          <w:rFonts w:eastAsia="Arial" w:cs="Arial"/>
          <w:lang w:val="en-US"/>
        </w:rPr>
        <w:t>H</w:t>
      </w:r>
      <w:r w:rsidR="00860D53" w:rsidRPr="001904C1">
        <w:rPr>
          <w:rFonts w:eastAsia="Arial" w:cs="Arial"/>
          <w:vertAlign w:val="subscript"/>
          <w:lang w:val="en-US"/>
        </w:rPr>
        <w:t>82</w:t>
      </w:r>
      <w:r w:rsidR="00860D53" w:rsidRPr="001904C1">
        <w:rPr>
          <w:rFonts w:eastAsia="Arial" w:cs="Arial"/>
          <w:lang w:val="en-US"/>
        </w:rPr>
        <w:t xml:space="preserve">) in </w:t>
      </w:r>
      <w:r w:rsidRPr="001904C1">
        <w:rPr>
          <w:rFonts w:eastAsia="Arial" w:cs="Arial"/>
        </w:rPr>
        <w:t>hexane</w:t>
      </w:r>
      <w:r w:rsidR="006E7F5D" w:rsidRPr="001904C1">
        <w:rPr>
          <w:rFonts w:eastAsia="Arial" w:cs="Arial"/>
        </w:rPr>
        <w:t>.</w:t>
      </w:r>
      <w:r w:rsidR="00860D53" w:rsidRPr="001904C1">
        <w:rPr>
          <w:rFonts w:eastAsia="Arial" w:cs="Arial"/>
        </w:rPr>
        <w:t xml:space="preserve"> </w:t>
      </w:r>
      <w:r w:rsidR="00860D53" w:rsidRPr="001904C1">
        <w:rPr>
          <w:rFonts w:eastAsia="Arial" w:cs="Arial"/>
          <w:lang w:val="en-US"/>
        </w:rPr>
        <w:t xml:space="preserve">Then, samples were </w:t>
      </w:r>
      <w:proofErr w:type="spellStart"/>
      <w:r w:rsidR="00860D53" w:rsidRPr="001904C1">
        <w:rPr>
          <w:rFonts w:eastAsia="Arial" w:cs="Arial"/>
          <w:lang w:val="en-US"/>
        </w:rPr>
        <w:t>anydrified</w:t>
      </w:r>
      <w:proofErr w:type="spellEnd"/>
      <w:r w:rsidR="005C4FF3" w:rsidRPr="001904C1">
        <w:rPr>
          <w:rFonts w:eastAsia="Arial" w:cs="Arial"/>
          <w:lang w:val="en-US"/>
        </w:rPr>
        <w:t xml:space="preserve"> by using Na</w:t>
      </w:r>
      <w:r w:rsidR="005C4FF3" w:rsidRPr="001904C1">
        <w:rPr>
          <w:rFonts w:eastAsia="Arial" w:cs="Arial"/>
          <w:vertAlign w:val="subscript"/>
          <w:lang w:val="en-US"/>
        </w:rPr>
        <w:t>2</w:t>
      </w:r>
      <w:r w:rsidR="005C4FF3" w:rsidRPr="001904C1">
        <w:rPr>
          <w:rFonts w:eastAsia="Arial" w:cs="Arial"/>
          <w:lang w:val="en-US"/>
        </w:rPr>
        <w:t>SO</w:t>
      </w:r>
      <w:r w:rsidR="005C4FF3" w:rsidRPr="001904C1">
        <w:rPr>
          <w:rFonts w:eastAsia="Arial" w:cs="Arial"/>
          <w:vertAlign w:val="subscript"/>
          <w:lang w:val="en-US"/>
        </w:rPr>
        <w:t>4</w:t>
      </w:r>
      <w:r w:rsidR="005C4FF3" w:rsidRPr="001904C1">
        <w:rPr>
          <w:rFonts w:eastAsia="Arial" w:cs="Arial"/>
          <w:lang w:val="en-US"/>
        </w:rPr>
        <w:t xml:space="preserve"> and subsequently purified by using </w:t>
      </w:r>
      <w:proofErr w:type="spellStart"/>
      <w:r w:rsidR="005C4FF3" w:rsidRPr="001904C1">
        <w:rPr>
          <w:rFonts w:eastAsia="Arial" w:cs="Arial"/>
          <w:lang w:val="en-US"/>
        </w:rPr>
        <w:t>Supelclean</w:t>
      </w:r>
      <w:proofErr w:type="spellEnd"/>
      <w:r w:rsidR="005C4FF3" w:rsidRPr="001904C1">
        <w:rPr>
          <w:rFonts w:eastAsia="Arial" w:cs="Arial"/>
          <w:lang w:val="en-US"/>
        </w:rPr>
        <w:t>™ ENVI-</w:t>
      </w:r>
      <w:proofErr w:type="spellStart"/>
      <w:r w:rsidR="005C4FF3" w:rsidRPr="001904C1">
        <w:rPr>
          <w:rFonts w:eastAsia="Arial" w:cs="Arial"/>
          <w:lang w:val="en-US"/>
        </w:rPr>
        <w:t>Florisil</w:t>
      </w:r>
      <w:proofErr w:type="spellEnd"/>
      <w:r w:rsidR="005C4FF3" w:rsidRPr="001904C1">
        <w:rPr>
          <w:rFonts w:eastAsia="Arial" w:cs="Arial"/>
          <w:lang w:val="en-US"/>
        </w:rPr>
        <w:t xml:space="preserve"> tubes of 500 mg</w:t>
      </w:r>
      <w:r w:rsidR="00860D53" w:rsidRPr="001904C1">
        <w:rPr>
          <w:rFonts w:eastAsia="Arial" w:cs="Arial"/>
          <w:lang w:val="en-US"/>
        </w:rPr>
        <w:t>.</w:t>
      </w:r>
      <w:r w:rsidR="00706B07" w:rsidRPr="001904C1">
        <w:rPr>
          <w:rFonts w:eastAsia="Arial" w:cs="Arial"/>
        </w:rPr>
        <w:t xml:space="preserve"> </w:t>
      </w:r>
    </w:p>
    <w:p w14:paraId="0AF1CA75" w14:textId="77777777" w:rsidR="00FD4251" w:rsidRPr="001904C1" w:rsidRDefault="00706B07" w:rsidP="00FD4251">
      <w:pPr>
        <w:pStyle w:val="CETBodytext"/>
        <w:rPr>
          <w:rFonts w:eastAsia="Arial" w:cs="Arial"/>
        </w:rPr>
      </w:pPr>
      <w:r w:rsidRPr="001904C1">
        <w:rPr>
          <w:rFonts w:eastAsia="Arial" w:cs="Arial"/>
        </w:rPr>
        <w:t xml:space="preserve">At the end, TPH was </w:t>
      </w:r>
      <w:r w:rsidR="00BE2E3B" w:rsidRPr="001904C1">
        <w:rPr>
          <w:rFonts w:eastAsia="Arial" w:cs="Arial"/>
        </w:rPr>
        <w:t xml:space="preserve">calculated by evaluating the </w:t>
      </w:r>
      <w:r w:rsidR="00325861" w:rsidRPr="001904C1">
        <w:rPr>
          <w:rFonts w:eastAsia="Arial" w:cs="Arial"/>
        </w:rPr>
        <w:t xml:space="preserve">total area included between </w:t>
      </w:r>
      <w:r w:rsidR="00BE2E3B" w:rsidRPr="001904C1">
        <w:rPr>
          <w:rFonts w:eastAsia="Arial" w:cs="Arial"/>
        </w:rPr>
        <w:t>the end of the peak of n-</w:t>
      </w:r>
      <w:proofErr w:type="spellStart"/>
      <w:r w:rsidR="00BE2E3B" w:rsidRPr="001904C1">
        <w:rPr>
          <w:rFonts w:eastAsia="Arial" w:cs="Arial"/>
        </w:rPr>
        <w:t>decane</w:t>
      </w:r>
      <w:proofErr w:type="spellEnd"/>
      <w:r w:rsidR="00BE2E3B" w:rsidRPr="001904C1">
        <w:rPr>
          <w:rFonts w:eastAsia="Arial" w:cs="Arial"/>
        </w:rPr>
        <w:t xml:space="preserve"> (C</w:t>
      </w:r>
      <w:r w:rsidR="00BE2E3B" w:rsidRPr="001904C1">
        <w:rPr>
          <w:rFonts w:eastAsia="Arial" w:cs="Arial"/>
          <w:vertAlign w:val="subscript"/>
        </w:rPr>
        <w:t>10</w:t>
      </w:r>
      <w:r w:rsidR="00BE2E3B" w:rsidRPr="001904C1">
        <w:rPr>
          <w:rFonts w:eastAsia="Arial" w:cs="Arial"/>
        </w:rPr>
        <w:t>H</w:t>
      </w:r>
      <w:r w:rsidR="00BE2E3B" w:rsidRPr="001904C1">
        <w:rPr>
          <w:rFonts w:eastAsia="Arial" w:cs="Arial"/>
          <w:vertAlign w:val="subscript"/>
        </w:rPr>
        <w:t>22</w:t>
      </w:r>
      <w:r w:rsidR="00BE2E3B" w:rsidRPr="001904C1">
        <w:rPr>
          <w:rFonts w:eastAsia="Arial" w:cs="Arial"/>
        </w:rPr>
        <w:t>) and the beginning of the peak of the n-tetracontane (C</w:t>
      </w:r>
      <w:r w:rsidR="00BE2E3B" w:rsidRPr="001904C1">
        <w:rPr>
          <w:rFonts w:eastAsia="Arial" w:cs="Arial"/>
          <w:vertAlign w:val="subscript"/>
        </w:rPr>
        <w:t>40</w:t>
      </w:r>
      <w:r w:rsidR="00BE2E3B" w:rsidRPr="001904C1">
        <w:rPr>
          <w:rFonts w:eastAsia="Arial" w:cs="Arial"/>
        </w:rPr>
        <w:t>H</w:t>
      </w:r>
      <w:r w:rsidR="00BE2E3B" w:rsidRPr="001904C1">
        <w:rPr>
          <w:rFonts w:eastAsia="Arial" w:cs="Arial"/>
          <w:vertAlign w:val="subscript"/>
        </w:rPr>
        <w:t>82</w:t>
      </w:r>
      <w:r w:rsidR="00BE2E3B" w:rsidRPr="001904C1">
        <w:rPr>
          <w:rFonts w:eastAsia="Arial" w:cs="Arial"/>
        </w:rPr>
        <w:t>)</w:t>
      </w:r>
      <w:r w:rsidRPr="001904C1">
        <w:rPr>
          <w:rFonts w:eastAsia="Arial" w:cs="Arial"/>
        </w:rPr>
        <w:t>.</w:t>
      </w:r>
      <w:r w:rsidR="00C4631E" w:rsidRPr="001904C1">
        <w:rPr>
          <w:rFonts w:eastAsia="Arial" w:cs="Arial"/>
        </w:rPr>
        <w:t xml:space="preserve"> </w:t>
      </w:r>
    </w:p>
    <w:p w14:paraId="3D488E08" w14:textId="78F09655" w:rsidR="006910FA" w:rsidRPr="001904C1" w:rsidRDefault="006910FA" w:rsidP="00FD4251">
      <w:pPr>
        <w:pStyle w:val="CETHeading1"/>
        <w:tabs>
          <w:tab w:val="right" w:pos="7100"/>
        </w:tabs>
        <w:jc w:val="both"/>
        <w:rPr>
          <w:lang w:val="en-GB"/>
        </w:rPr>
      </w:pPr>
      <w:r w:rsidRPr="001904C1">
        <w:rPr>
          <w:lang w:val="en-GB"/>
        </w:rPr>
        <w:t>Results and Discussion</w:t>
      </w:r>
    </w:p>
    <w:p w14:paraId="2E1D6114" w14:textId="0FCF578B" w:rsidR="004050F0" w:rsidRPr="001904C1" w:rsidRDefault="007E28BA" w:rsidP="00921275">
      <w:pPr>
        <w:pStyle w:val="CETBodytext"/>
        <w:rPr>
          <w:bCs/>
          <w:szCs w:val="18"/>
          <w:lang w:val="en-GB"/>
        </w:rPr>
      </w:pPr>
      <w:r w:rsidRPr="001904C1">
        <w:rPr>
          <w:bCs/>
          <w:szCs w:val="18"/>
          <w:lang w:val="en-GB"/>
        </w:rPr>
        <w:t xml:space="preserve">The main parameters evaluated for each 4 L-charge of PW at both units of ARED and </w:t>
      </w:r>
      <w:r w:rsidRPr="001904C1">
        <w:rPr>
          <w:lang w:val="en-GB"/>
        </w:rPr>
        <w:t>SBMBBR were the c</w:t>
      </w:r>
      <w:r w:rsidR="00921275" w:rsidRPr="001904C1">
        <w:rPr>
          <w:bCs/>
          <w:szCs w:val="18"/>
          <w:lang w:val="en-GB"/>
        </w:rPr>
        <w:t xml:space="preserve">onductivity, TOC and TPH. The trend for one treatment </w:t>
      </w:r>
      <w:r w:rsidRPr="001904C1">
        <w:rPr>
          <w:bCs/>
          <w:szCs w:val="18"/>
          <w:lang w:val="en-GB"/>
        </w:rPr>
        <w:t xml:space="preserve">cycle </w:t>
      </w:r>
      <w:r w:rsidR="00921275" w:rsidRPr="001904C1">
        <w:rPr>
          <w:bCs/>
          <w:szCs w:val="18"/>
          <w:lang w:val="en-GB"/>
        </w:rPr>
        <w:t xml:space="preserve">is described in Figure </w:t>
      </w:r>
      <w:r w:rsidR="0002003E" w:rsidRPr="001904C1">
        <w:rPr>
          <w:bCs/>
          <w:szCs w:val="18"/>
          <w:lang w:val="en-GB"/>
        </w:rPr>
        <w:t>3</w:t>
      </w:r>
      <w:r w:rsidR="00921275" w:rsidRPr="001904C1">
        <w:rPr>
          <w:bCs/>
          <w:szCs w:val="18"/>
          <w:lang w:val="en-GB"/>
        </w:rPr>
        <w:t xml:space="preserve">, where it is possible to </w:t>
      </w:r>
      <w:r w:rsidR="00921275" w:rsidRPr="001904C1">
        <w:rPr>
          <w:bCs/>
          <w:szCs w:val="18"/>
          <w:lang w:val="en-GB"/>
        </w:rPr>
        <w:lastRenderedPageBreak/>
        <w:t>observe the</w:t>
      </w:r>
      <w:r w:rsidR="000B4680" w:rsidRPr="001904C1">
        <w:rPr>
          <w:bCs/>
          <w:szCs w:val="18"/>
          <w:lang w:val="en-GB"/>
        </w:rPr>
        <w:t xml:space="preserve"> values of these parameters at the </w:t>
      </w:r>
      <w:r w:rsidR="00921275" w:rsidRPr="001904C1">
        <w:rPr>
          <w:bCs/>
          <w:szCs w:val="18"/>
          <w:lang w:val="en-GB"/>
        </w:rPr>
        <w:t xml:space="preserve">inlet and the outlet </w:t>
      </w:r>
      <w:r w:rsidR="000B4680" w:rsidRPr="001904C1">
        <w:rPr>
          <w:bCs/>
          <w:szCs w:val="18"/>
          <w:lang w:val="en-GB"/>
        </w:rPr>
        <w:t xml:space="preserve">of </w:t>
      </w:r>
      <w:r w:rsidR="00921275" w:rsidRPr="001904C1">
        <w:rPr>
          <w:bCs/>
          <w:szCs w:val="18"/>
          <w:lang w:val="en-GB"/>
        </w:rPr>
        <w:t>each unit</w:t>
      </w:r>
      <w:r w:rsidR="005A19FF" w:rsidRPr="001904C1">
        <w:rPr>
          <w:bCs/>
          <w:szCs w:val="18"/>
          <w:lang w:val="en-GB"/>
        </w:rPr>
        <w:t xml:space="preserve"> (highlighted red for ARED and blue for SBMBBR)</w:t>
      </w:r>
      <w:r w:rsidR="00921275" w:rsidRPr="001904C1">
        <w:rPr>
          <w:bCs/>
          <w:szCs w:val="18"/>
          <w:lang w:val="en-GB"/>
        </w:rPr>
        <w:t xml:space="preserve">. </w:t>
      </w:r>
    </w:p>
    <w:p w14:paraId="2B546D4D" w14:textId="1802C13E" w:rsidR="00130F17" w:rsidRPr="001904C1" w:rsidRDefault="007E28BA" w:rsidP="00921275">
      <w:pPr>
        <w:pStyle w:val="CETBodytext"/>
        <w:rPr>
          <w:bCs/>
          <w:szCs w:val="18"/>
          <w:lang w:val="en-GB"/>
        </w:rPr>
      </w:pPr>
      <w:r w:rsidRPr="001904C1">
        <w:rPr>
          <w:bCs/>
          <w:szCs w:val="18"/>
          <w:lang w:val="en-GB"/>
        </w:rPr>
        <w:t>As stated before, the PW entered in the ARED unit with a conductivity of about 95 mS cm</w:t>
      </w:r>
      <w:r w:rsidRPr="001904C1">
        <w:rPr>
          <w:bCs/>
          <w:szCs w:val="18"/>
          <w:vertAlign w:val="superscript"/>
          <w:lang w:val="en-GB"/>
        </w:rPr>
        <w:t>-1</w:t>
      </w:r>
      <w:r w:rsidRPr="001904C1">
        <w:rPr>
          <w:bCs/>
          <w:szCs w:val="18"/>
          <w:lang w:val="en-GB"/>
        </w:rPr>
        <w:t>, and after 24 h of treatment, the outlet conductivity was always lower than 33 mS cm</w:t>
      </w:r>
      <w:r w:rsidRPr="001904C1">
        <w:rPr>
          <w:bCs/>
          <w:szCs w:val="18"/>
          <w:vertAlign w:val="superscript"/>
          <w:lang w:val="en-GB"/>
        </w:rPr>
        <w:t>-1</w:t>
      </w:r>
      <w:r w:rsidRPr="001904C1">
        <w:rPr>
          <w:bCs/>
          <w:szCs w:val="18"/>
          <w:lang w:val="en-GB"/>
        </w:rPr>
        <w:t xml:space="preserve">, corresponding to a salinity concentration </w:t>
      </w:r>
      <w:r w:rsidR="000B4680" w:rsidRPr="001904C1">
        <w:rPr>
          <w:bCs/>
          <w:szCs w:val="18"/>
          <w:lang w:val="en-GB"/>
        </w:rPr>
        <w:t>lower than</w:t>
      </w:r>
      <w:r w:rsidRPr="001904C1">
        <w:rPr>
          <w:bCs/>
          <w:szCs w:val="18"/>
          <w:lang w:val="en-GB"/>
        </w:rPr>
        <w:t xml:space="preserve"> 20 g L</w:t>
      </w:r>
      <w:r w:rsidRPr="001904C1">
        <w:rPr>
          <w:bCs/>
          <w:szCs w:val="18"/>
          <w:vertAlign w:val="superscript"/>
          <w:lang w:val="en-GB"/>
        </w:rPr>
        <w:t>-1</w:t>
      </w:r>
      <w:r w:rsidR="000B4680" w:rsidRPr="001904C1">
        <w:rPr>
          <w:bCs/>
          <w:szCs w:val="18"/>
          <w:vertAlign w:val="superscript"/>
          <w:lang w:val="en-GB"/>
        </w:rPr>
        <w:t xml:space="preserve"> </w:t>
      </w:r>
      <w:r w:rsidR="000B4680" w:rsidRPr="001904C1">
        <w:rPr>
          <w:bCs/>
          <w:szCs w:val="18"/>
          <w:lang w:val="en-GB"/>
        </w:rPr>
        <w:t xml:space="preserve">(see Figure </w:t>
      </w:r>
      <w:r w:rsidR="0002003E" w:rsidRPr="001904C1">
        <w:rPr>
          <w:bCs/>
          <w:szCs w:val="18"/>
          <w:lang w:val="en-GB"/>
        </w:rPr>
        <w:t>3</w:t>
      </w:r>
      <w:r w:rsidR="000B4680" w:rsidRPr="001904C1">
        <w:rPr>
          <w:bCs/>
          <w:szCs w:val="18"/>
          <w:lang w:val="en-GB"/>
        </w:rPr>
        <w:t>a)</w:t>
      </w:r>
      <w:r w:rsidRPr="001904C1">
        <w:rPr>
          <w:bCs/>
          <w:szCs w:val="18"/>
          <w:lang w:val="en-GB"/>
        </w:rPr>
        <w:t>.</w:t>
      </w:r>
      <w:r w:rsidR="004E63A0" w:rsidRPr="001904C1">
        <w:rPr>
          <w:bCs/>
          <w:szCs w:val="18"/>
          <w:lang w:val="en-GB"/>
        </w:rPr>
        <w:t xml:space="preserve"> </w:t>
      </w:r>
      <w:r w:rsidR="005C2946" w:rsidRPr="001904C1">
        <w:rPr>
          <w:bCs/>
          <w:szCs w:val="18"/>
          <w:lang w:val="en-GB"/>
        </w:rPr>
        <w:t xml:space="preserve">The total applied energy for the salinity reduction in the ARED unit until the goal conductivity was of about 7.4 </w:t>
      </w:r>
      <w:proofErr w:type="spellStart"/>
      <w:r w:rsidR="005C2946" w:rsidRPr="001904C1">
        <w:rPr>
          <w:bCs/>
          <w:szCs w:val="18"/>
          <w:lang w:val="en-GB"/>
        </w:rPr>
        <w:t>Wh</w:t>
      </w:r>
      <w:proofErr w:type="spellEnd"/>
      <w:r w:rsidR="005C2946" w:rsidRPr="001904C1">
        <w:rPr>
          <w:bCs/>
          <w:szCs w:val="18"/>
          <w:lang w:val="en-GB"/>
        </w:rPr>
        <w:t xml:space="preserve"> (i.e., 1.84 kWh m</w:t>
      </w:r>
      <w:r w:rsidR="005C2946" w:rsidRPr="001904C1">
        <w:rPr>
          <w:bCs/>
          <w:szCs w:val="18"/>
          <w:vertAlign w:val="superscript"/>
          <w:lang w:val="en-GB"/>
        </w:rPr>
        <w:t>-3</w:t>
      </w:r>
      <w:r w:rsidR="005C2946" w:rsidRPr="001904C1">
        <w:rPr>
          <w:bCs/>
          <w:szCs w:val="18"/>
          <w:lang w:val="en-GB"/>
        </w:rPr>
        <w:t xml:space="preserve">). </w:t>
      </w:r>
      <w:r w:rsidR="00130F17" w:rsidRPr="001904C1">
        <w:rPr>
          <w:bCs/>
          <w:szCs w:val="18"/>
          <w:lang w:val="en-GB"/>
        </w:rPr>
        <w:t>Conversely, the conductivity in the SBMBBR remains constant at the value from the outlet ARED.</w:t>
      </w:r>
    </w:p>
    <w:p w14:paraId="5E6E1740" w14:textId="18935511" w:rsidR="005A19FF" w:rsidRPr="001904C1" w:rsidRDefault="005A19FF" w:rsidP="005A19FF">
      <w:pPr>
        <w:pStyle w:val="CETBodytext"/>
        <w:rPr>
          <w:bCs/>
          <w:szCs w:val="18"/>
          <w:lang w:val="en-GB"/>
        </w:rPr>
      </w:pPr>
      <w:r w:rsidRPr="001904C1">
        <w:rPr>
          <w:bCs/>
          <w:szCs w:val="18"/>
          <w:lang w:val="en-GB"/>
        </w:rPr>
        <w:t>Along the ARED unit the TOC concentration remained constant at the initial value of about 95 mg L</w:t>
      </w:r>
      <w:r w:rsidRPr="001904C1">
        <w:rPr>
          <w:bCs/>
          <w:szCs w:val="18"/>
          <w:vertAlign w:val="superscript"/>
          <w:lang w:val="en-GB"/>
        </w:rPr>
        <w:t>-1</w:t>
      </w:r>
      <w:r w:rsidRPr="001904C1">
        <w:rPr>
          <w:bCs/>
          <w:szCs w:val="18"/>
          <w:lang w:val="en-GB"/>
        </w:rPr>
        <w:t xml:space="preserve"> and when the PW enters the SBMBBR for the biological treatment, a TOC abatement of 80% was achieved (from 95 to 19 mg L</w:t>
      </w:r>
      <w:r w:rsidRPr="001904C1">
        <w:rPr>
          <w:bCs/>
          <w:szCs w:val="18"/>
          <w:vertAlign w:val="superscript"/>
          <w:lang w:val="en-GB"/>
        </w:rPr>
        <w:t>-1</w:t>
      </w:r>
      <w:r w:rsidRPr="001904C1">
        <w:rPr>
          <w:bCs/>
          <w:szCs w:val="18"/>
          <w:lang w:val="en-GB"/>
        </w:rPr>
        <w:t xml:space="preserve">) (see Figure </w:t>
      </w:r>
      <w:r w:rsidR="0002003E" w:rsidRPr="001904C1">
        <w:rPr>
          <w:bCs/>
          <w:szCs w:val="18"/>
          <w:lang w:val="en-GB"/>
        </w:rPr>
        <w:t>3</w:t>
      </w:r>
      <w:r w:rsidRPr="001904C1">
        <w:rPr>
          <w:bCs/>
          <w:szCs w:val="18"/>
          <w:lang w:val="en-GB"/>
        </w:rPr>
        <w:t xml:space="preserve">b). This good result allows to consider the SBMBBR as a system capable of producing a consistently high-quality effluent even with varying organic load inputs, demonstrating excellent resilience to load fluctuations. This was likely due to both the low volumetric exchange ratio applied in the reactor and the predominant presence of attached biomass, which is more effective at withstanding load fluctuations compared to suspended biomass. </w:t>
      </w:r>
    </w:p>
    <w:p w14:paraId="34BAD676" w14:textId="3C8BEDC8" w:rsidR="00130F17" w:rsidRPr="001904C1" w:rsidRDefault="00703876" w:rsidP="00F04BE3">
      <w:pPr>
        <w:pStyle w:val="CETBodytext"/>
        <w:rPr>
          <w:bCs/>
          <w:szCs w:val="18"/>
          <w:lang w:val="en-GB"/>
        </w:rPr>
      </w:pPr>
      <w:r w:rsidRPr="001904C1">
        <w:rPr>
          <w:bCs/>
          <w:i/>
          <w:iCs/>
          <w:noProof/>
          <w:szCs w:val="18"/>
          <w:lang w:val="en-GB"/>
        </w:rPr>
        <mc:AlternateContent>
          <mc:Choice Requires="wps">
            <w:drawing>
              <wp:anchor distT="45720" distB="45720" distL="114300" distR="114300" simplePos="0" relativeHeight="251661312" behindDoc="0" locked="0" layoutInCell="1" allowOverlap="1" wp14:anchorId="3A9DD239" wp14:editId="5AA156C1">
                <wp:simplePos x="0" y="0"/>
                <wp:positionH relativeFrom="column">
                  <wp:posOffset>4901565</wp:posOffset>
                </wp:positionH>
                <wp:positionV relativeFrom="paragraph">
                  <wp:posOffset>133985</wp:posOffset>
                </wp:positionV>
                <wp:extent cx="434340" cy="304800"/>
                <wp:effectExtent l="0" t="0" r="0" b="0"/>
                <wp:wrapNone/>
                <wp:docPr id="142242171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04800"/>
                        </a:xfrm>
                        <a:prstGeom prst="rect">
                          <a:avLst/>
                        </a:prstGeom>
                        <a:noFill/>
                        <a:ln w="9525">
                          <a:noFill/>
                          <a:miter lim="800000"/>
                          <a:headEnd/>
                          <a:tailEnd/>
                        </a:ln>
                      </wps:spPr>
                      <wps:txbx>
                        <w:txbxContent>
                          <w:p w14:paraId="6B76753D" w14:textId="368129B6" w:rsidR="00703876" w:rsidRPr="00703876" w:rsidRDefault="00703876" w:rsidP="00703876">
                            <w:pPr>
                              <w:rPr>
                                <w:lang w:val="it-IT"/>
                              </w:rPr>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9DD239" id="_x0000_t202" coordsize="21600,21600" o:spt="202" path="m,l,21600r21600,l21600,xe">
                <v:stroke joinstyle="miter"/>
                <v:path gradientshapeok="t" o:connecttype="rect"/>
              </v:shapetype>
              <v:shape id="Casella di testo 2" o:spid="_x0000_s1026" type="#_x0000_t202" style="position:absolute;left:0;text-align:left;margin-left:385.95pt;margin-top:10.55pt;width:34.2pt;height:2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" filled="f" stroked="f">
                <v:textbox>
                  <w:txbxContent>
                    <w:p w14:paraId="6B76753D" w14:textId="368129B6" w:rsidR="00703876" w:rsidRPr="00703876" w:rsidRDefault="00703876" w:rsidP="00703876">
                      <w:pPr>
                        <w:rPr>
                          <w:lang w:val="it-IT"/>
                        </w:rPr>
                      </w:pPr>
                      <w:r>
                        <w:t>(b)</w:t>
                      </w:r>
                    </w:p>
                  </w:txbxContent>
                </v:textbox>
              </v:shape>
            </w:pict>
          </mc:Fallback>
        </mc:AlternateContent>
      </w:r>
      <w:r w:rsidRPr="001904C1">
        <w:rPr>
          <w:bCs/>
          <w:i/>
          <w:iCs/>
          <w:noProof/>
          <w:szCs w:val="18"/>
          <w:lang w:val="en-GB"/>
        </w:rPr>
        <mc:AlternateContent>
          <mc:Choice Requires="wps">
            <w:drawing>
              <wp:anchor distT="45720" distB="45720" distL="114300" distR="114300" simplePos="0" relativeHeight="251659264" behindDoc="0" locked="0" layoutInCell="1" allowOverlap="1" wp14:anchorId="5D06121B" wp14:editId="0AE553F4">
                <wp:simplePos x="0" y="0"/>
                <wp:positionH relativeFrom="column">
                  <wp:posOffset>2242185</wp:posOffset>
                </wp:positionH>
                <wp:positionV relativeFrom="paragraph">
                  <wp:posOffset>141605</wp:posOffset>
                </wp:positionV>
                <wp:extent cx="434340" cy="304800"/>
                <wp:effectExtent l="0" t="0" r="0" b="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04800"/>
                        </a:xfrm>
                        <a:prstGeom prst="rect">
                          <a:avLst/>
                        </a:prstGeom>
                        <a:noFill/>
                        <a:ln w="9525">
                          <a:noFill/>
                          <a:miter lim="800000"/>
                          <a:headEnd/>
                          <a:tailEnd/>
                        </a:ln>
                      </wps:spPr>
                      <wps:txbx>
                        <w:txbxContent>
                          <w:p w14:paraId="31D8FD12" w14:textId="1AD270D0" w:rsidR="00703876" w:rsidRPr="00703876" w:rsidRDefault="00703876">
                            <w:pPr>
                              <w:rPr>
                                <w:lang w:val="it-IT"/>
                              </w:rPr>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6121B" id="_x0000_s1027" type="#_x0000_t202" style="position:absolute;left:0;text-align:left;margin-left:176.55pt;margin-top:11.15pt;width:34.2pt;height:2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" filled="f" stroked="f">
                <v:textbox>
                  <w:txbxContent>
                    <w:p w14:paraId="31D8FD12" w14:textId="1AD270D0" w:rsidR="00703876" w:rsidRPr="00703876" w:rsidRDefault="00703876">
                      <w:pPr>
                        <w:rPr>
                          <w:lang w:val="it-IT"/>
                        </w:rPr>
                      </w:pPr>
                      <w:r>
                        <w:t>(a)</w:t>
                      </w:r>
                    </w:p>
                  </w:txbxContent>
                </v:textbox>
              </v:shape>
            </w:pict>
          </mc:Fallback>
        </mc:AlternateContent>
      </w:r>
      <w:r w:rsidR="00130F17" w:rsidRPr="001904C1">
        <w:rPr>
          <w:noProof/>
        </w:rPr>
        <w:drawing>
          <wp:inline distT="0" distB="0" distL="0" distR="0" wp14:anchorId="3758E9B7" wp14:editId="57FAAF92">
            <wp:extent cx="2608028" cy="1930336"/>
            <wp:effectExtent l="0" t="0" r="1905" b="0"/>
            <wp:docPr id="154609105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r="11770"/>
                    <a:stretch/>
                  </pic:blipFill>
                  <pic:spPr bwMode="auto">
                    <a:xfrm>
                      <a:off x="0" y="0"/>
                      <a:ext cx="2635007" cy="1950305"/>
                    </a:xfrm>
                    <a:prstGeom prst="rect">
                      <a:avLst/>
                    </a:prstGeom>
                    <a:noFill/>
                    <a:ln>
                      <a:noFill/>
                    </a:ln>
                    <a:extLst>
                      <a:ext uri="{53640926-AAD7-44D8-BBD7-CCE9431645EC}">
                        <a14:shadowObscured xmlns:a14="http://schemas.microsoft.com/office/drawing/2010/main"/>
                      </a:ext>
                    </a:extLst>
                  </pic:spPr>
                </pic:pic>
              </a:graphicData>
            </a:graphic>
          </wp:inline>
        </w:drawing>
      </w:r>
      <w:r w:rsidR="00130F17" w:rsidRPr="001904C1">
        <w:rPr>
          <w:noProof/>
        </w:rPr>
        <w:drawing>
          <wp:inline distT="0" distB="0" distL="0" distR="0" wp14:anchorId="19ABD48B" wp14:editId="7D63B516">
            <wp:extent cx="2586592" cy="1963972"/>
            <wp:effectExtent l="0" t="0" r="4445" b="0"/>
            <wp:docPr id="1215104179"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a:extLst>
                        <a:ext uri="{28A0092B-C50C-407E-A947-70E740481C1C}">
                          <a14:useLocalDpi xmlns:a14="http://schemas.microsoft.com/office/drawing/2010/main" val="0"/>
                        </a:ext>
                      </a:extLst>
                    </a:blip>
                    <a:srcRect r="13993"/>
                    <a:stretch/>
                  </pic:blipFill>
                  <pic:spPr bwMode="auto">
                    <a:xfrm>
                      <a:off x="0" y="0"/>
                      <a:ext cx="2686420" cy="2039770"/>
                    </a:xfrm>
                    <a:prstGeom prst="rect">
                      <a:avLst/>
                    </a:prstGeom>
                    <a:noFill/>
                    <a:ln>
                      <a:noFill/>
                    </a:ln>
                    <a:extLst>
                      <a:ext uri="{53640926-AAD7-44D8-BBD7-CCE9431645EC}">
                        <a14:shadowObscured xmlns:a14="http://schemas.microsoft.com/office/drawing/2010/main"/>
                      </a:ext>
                    </a:extLst>
                  </pic:spPr>
                </pic:pic>
              </a:graphicData>
            </a:graphic>
          </wp:inline>
        </w:drawing>
      </w:r>
    </w:p>
    <w:p w14:paraId="07564D72" w14:textId="5F2DEE57" w:rsidR="00AD7ECC" w:rsidRPr="001904C1" w:rsidRDefault="00703876" w:rsidP="00A70B44">
      <w:pPr>
        <w:pStyle w:val="CETBodytext"/>
        <w:rPr>
          <w:bCs/>
          <w:i/>
          <w:iCs/>
          <w:szCs w:val="18"/>
          <w:lang w:val="en-GB"/>
        </w:rPr>
      </w:pPr>
      <w:r w:rsidRPr="001904C1">
        <w:rPr>
          <w:bCs/>
          <w:i/>
          <w:iCs/>
          <w:noProof/>
          <w:szCs w:val="18"/>
          <w:lang w:val="en-GB"/>
        </w:rPr>
        <mc:AlternateContent>
          <mc:Choice Requires="wps">
            <w:drawing>
              <wp:anchor distT="45720" distB="45720" distL="114300" distR="114300" simplePos="0" relativeHeight="251663360" behindDoc="0" locked="0" layoutInCell="1" allowOverlap="1" wp14:anchorId="7965329D" wp14:editId="70522B66">
                <wp:simplePos x="0" y="0"/>
                <wp:positionH relativeFrom="column">
                  <wp:posOffset>3756660</wp:posOffset>
                </wp:positionH>
                <wp:positionV relativeFrom="paragraph">
                  <wp:posOffset>118745</wp:posOffset>
                </wp:positionV>
                <wp:extent cx="434340" cy="304800"/>
                <wp:effectExtent l="0" t="0" r="0" b="0"/>
                <wp:wrapNone/>
                <wp:docPr id="103206438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04800"/>
                        </a:xfrm>
                        <a:prstGeom prst="rect">
                          <a:avLst/>
                        </a:prstGeom>
                        <a:noFill/>
                        <a:ln w="9525">
                          <a:noFill/>
                          <a:miter lim="800000"/>
                          <a:headEnd/>
                          <a:tailEnd/>
                        </a:ln>
                      </wps:spPr>
                      <wps:txbx>
                        <w:txbxContent>
                          <w:p w14:paraId="1429F586" w14:textId="2991F4B1" w:rsidR="00703876" w:rsidRPr="00703876" w:rsidRDefault="00703876" w:rsidP="00703876">
                            <w:pPr>
                              <w:rPr>
                                <w:lang w:val="it-IT"/>
                              </w:rPr>
                            </w:pPr>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5329D" id="_x0000_s1028" type="#_x0000_t202" style="position:absolute;left:0;text-align:left;margin-left:295.8pt;margin-top:9.35pt;width:34.2pt;height: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" filled="f" stroked="f">
                <v:textbox>
                  <w:txbxContent>
                    <w:p w14:paraId="1429F586" w14:textId="2991F4B1" w:rsidR="00703876" w:rsidRPr="00703876" w:rsidRDefault="00703876" w:rsidP="00703876">
                      <w:pPr>
                        <w:rPr>
                          <w:lang w:val="it-IT"/>
                        </w:rPr>
                      </w:pPr>
                      <w:r>
                        <w:t>(c)</w:t>
                      </w:r>
                    </w:p>
                  </w:txbxContent>
                </v:textbox>
              </v:shape>
            </w:pict>
          </mc:Fallback>
        </mc:AlternateContent>
      </w:r>
      <w:r w:rsidR="00130F17" w:rsidRPr="001904C1">
        <w:rPr>
          <w:bCs/>
          <w:i/>
          <w:iCs/>
          <w:szCs w:val="18"/>
          <w:lang w:val="en-GB"/>
        </w:rPr>
        <w:t xml:space="preserve">                                             </w:t>
      </w:r>
      <w:r w:rsidR="00130F17" w:rsidRPr="001904C1">
        <w:rPr>
          <w:noProof/>
        </w:rPr>
        <w:drawing>
          <wp:inline distT="0" distB="0" distL="0" distR="0" wp14:anchorId="54F86842" wp14:editId="4E2EF9D1">
            <wp:extent cx="3035460" cy="1892410"/>
            <wp:effectExtent l="0" t="0" r="0" b="0"/>
            <wp:docPr id="1228422208"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a:extLst>
                        <a:ext uri="{28A0092B-C50C-407E-A947-70E740481C1C}">
                          <a14:useLocalDpi xmlns:a14="http://schemas.microsoft.com/office/drawing/2010/main" val="0"/>
                        </a:ext>
                      </a:extLst>
                    </a:blip>
                    <a:srcRect t="4533"/>
                    <a:stretch/>
                  </pic:blipFill>
                  <pic:spPr bwMode="auto">
                    <a:xfrm>
                      <a:off x="0" y="0"/>
                      <a:ext cx="3042675" cy="1896908"/>
                    </a:xfrm>
                    <a:prstGeom prst="rect">
                      <a:avLst/>
                    </a:prstGeom>
                    <a:noFill/>
                    <a:ln>
                      <a:noFill/>
                    </a:ln>
                    <a:extLst>
                      <a:ext uri="{53640926-AAD7-44D8-BBD7-CCE9431645EC}">
                        <a14:shadowObscured xmlns:a14="http://schemas.microsoft.com/office/drawing/2010/main"/>
                      </a:ext>
                    </a:extLst>
                  </pic:spPr>
                </pic:pic>
              </a:graphicData>
            </a:graphic>
          </wp:inline>
        </w:drawing>
      </w:r>
    </w:p>
    <w:p w14:paraId="5CEE8571" w14:textId="5C1C201A" w:rsidR="00130F17" w:rsidRPr="001904C1" w:rsidRDefault="00130F17" w:rsidP="00130F17">
      <w:pPr>
        <w:pStyle w:val="CETBodytext"/>
        <w:rPr>
          <w:rStyle w:val="CETCaptionCarattere"/>
        </w:rPr>
      </w:pPr>
      <w:r w:rsidRPr="001904C1">
        <w:rPr>
          <w:rStyle w:val="CETCaptionCarattere"/>
        </w:rPr>
        <w:t xml:space="preserve">Figure </w:t>
      </w:r>
      <w:r w:rsidR="0002003E" w:rsidRPr="001904C1">
        <w:rPr>
          <w:rStyle w:val="CETCaptionCarattere"/>
        </w:rPr>
        <w:t>3</w:t>
      </w:r>
      <w:r w:rsidRPr="001904C1">
        <w:rPr>
          <w:rStyle w:val="CETCaptionCarattere"/>
        </w:rPr>
        <w:t>: Conductivity (σ) (a), Total Organic Carbon (TOC) (b) and Total Petroleum Hydrocarbons (TPH) (c) trends of a single PW load (4 L) in the A-RED unit and the SBMBBR reactor.</w:t>
      </w:r>
    </w:p>
    <w:p w14:paraId="6F7B8C19" w14:textId="77777777" w:rsidR="00130F17" w:rsidRPr="001904C1" w:rsidRDefault="00130F17" w:rsidP="00921275">
      <w:pPr>
        <w:pStyle w:val="CETBodytext"/>
        <w:rPr>
          <w:bCs/>
          <w:szCs w:val="18"/>
          <w:lang w:val="en-GB"/>
        </w:rPr>
      </w:pPr>
    </w:p>
    <w:p w14:paraId="4E917396" w14:textId="2F814E5B" w:rsidR="00A70B44" w:rsidRPr="001904C1" w:rsidRDefault="005A19FF" w:rsidP="00A70B44">
      <w:pPr>
        <w:pStyle w:val="CETBodytext"/>
        <w:rPr>
          <w:bCs/>
          <w:szCs w:val="18"/>
          <w:lang w:val="en-GB"/>
        </w:rPr>
      </w:pPr>
      <w:r w:rsidRPr="001904C1">
        <w:rPr>
          <w:bCs/>
          <w:szCs w:val="18"/>
          <w:lang w:val="en-GB"/>
        </w:rPr>
        <w:t xml:space="preserve">For what concern the TPH concentration, in Figure </w:t>
      </w:r>
      <w:r w:rsidR="0002003E" w:rsidRPr="001904C1">
        <w:rPr>
          <w:bCs/>
          <w:szCs w:val="18"/>
          <w:lang w:val="en-GB"/>
        </w:rPr>
        <w:t>3</w:t>
      </w:r>
      <w:r w:rsidRPr="001904C1">
        <w:rPr>
          <w:bCs/>
          <w:szCs w:val="18"/>
          <w:lang w:val="en-GB"/>
        </w:rPr>
        <w:t>c is shown a slight decreased by about 15 %, as the initial value at the inlet of the integrated system was 34 mg L</w:t>
      </w:r>
      <w:r w:rsidRPr="001904C1">
        <w:rPr>
          <w:bCs/>
          <w:szCs w:val="18"/>
          <w:vertAlign w:val="superscript"/>
          <w:lang w:val="en-GB"/>
        </w:rPr>
        <w:t>-1</w:t>
      </w:r>
      <w:r w:rsidRPr="001904C1">
        <w:rPr>
          <w:bCs/>
          <w:szCs w:val="18"/>
          <w:lang w:val="en-GB"/>
        </w:rPr>
        <w:t xml:space="preserve"> and it was reduced to an average value of 29 mg L</w:t>
      </w:r>
      <w:r w:rsidRPr="001904C1">
        <w:rPr>
          <w:bCs/>
          <w:szCs w:val="18"/>
          <w:vertAlign w:val="superscript"/>
          <w:lang w:val="en-GB"/>
        </w:rPr>
        <w:t>-1</w:t>
      </w:r>
      <w:r w:rsidRPr="001904C1">
        <w:rPr>
          <w:bCs/>
          <w:szCs w:val="18"/>
          <w:lang w:val="en-GB"/>
        </w:rPr>
        <w:t>). This fact can be ascribed to the adhesion of hydrocarbons on the ARED components due to continuous recirculation of PW, considering that no reduction of organics can be taken in account in this unit. On the other hand, in the biological unit, the TPH concentration was reduced to an average of 18 mg L</w:t>
      </w:r>
      <w:r w:rsidRPr="001904C1">
        <w:rPr>
          <w:bCs/>
          <w:szCs w:val="18"/>
          <w:vertAlign w:val="superscript"/>
          <w:lang w:val="en-GB"/>
        </w:rPr>
        <w:t>-1</w:t>
      </w:r>
      <w:r w:rsidRPr="001904C1">
        <w:rPr>
          <w:bCs/>
          <w:szCs w:val="18"/>
          <w:lang w:val="en-GB"/>
        </w:rPr>
        <w:t>, which corresponds to an abatement 30</w:t>
      </w:r>
      <w:r w:rsidR="005C2946" w:rsidRPr="001904C1">
        <w:rPr>
          <w:bCs/>
          <w:szCs w:val="18"/>
          <w:lang w:val="en-GB"/>
        </w:rPr>
        <w:t xml:space="preserve"> </w:t>
      </w:r>
      <w:r w:rsidRPr="001904C1">
        <w:rPr>
          <w:bCs/>
          <w:szCs w:val="18"/>
          <w:lang w:val="en-GB"/>
        </w:rPr>
        <w:t>%.</w:t>
      </w:r>
      <w:r w:rsidR="00DC6335" w:rsidRPr="001904C1">
        <w:rPr>
          <w:bCs/>
          <w:szCs w:val="18"/>
          <w:lang w:val="en-GB"/>
        </w:rPr>
        <w:t xml:space="preserve"> </w:t>
      </w:r>
      <w:r w:rsidRPr="001904C1">
        <w:rPr>
          <w:bCs/>
          <w:szCs w:val="18"/>
          <w:lang w:val="en-GB"/>
        </w:rPr>
        <w:t>This result, in addition to the reduction in the ARED, lead</w:t>
      </w:r>
      <w:r w:rsidR="00DC6335" w:rsidRPr="001904C1">
        <w:rPr>
          <w:bCs/>
          <w:szCs w:val="18"/>
          <w:lang w:val="en-GB"/>
        </w:rPr>
        <w:t>s</w:t>
      </w:r>
      <w:r w:rsidRPr="001904C1">
        <w:rPr>
          <w:bCs/>
          <w:szCs w:val="18"/>
          <w:lang w:val="en-GB"/>
        </w:rPr>
        <w:t xml:space="preserve"> to a total TPH decrease of about 45 %.</w:t>
      </w:r>
      <w:r w:rsidR="00FD4251" w:rsidRPr="001904C1">
        <w:rPr>
          <w:bCs/>
          <w:szCs w:val="18"/>
          <w:lang w:val="en-GB"/>
        </w:rPr>
        <w:t xml:space="preserve"> As an example, in Figure </w:t>
      </w:r>
      <w:r w:rsidR="0002003E" w:rsidRPr="001904C1">
        <w:rPr>
          <w:bCs/>
          <w:szCs w:val="18"/>
          <w:lang w:val="en-GB"/>
        </w:rPr>
        <w:t>4</w:t>
      </w:r>
      <w:r w:rsidR="00FD4251" w:rsidRPr="001904C1">
        <w:rPr>
          <w:bCs/>
          <w:szCs w:val="18"/>
          <w:lang w:val="en-GB"/>
        </w:rPr>
        <w:t xml:space="preserve"> is reported a representation of the peaks relieved from the chromatogram obtained for the evaluation of TPH at the inlet and outlet of the SBMBBR.</w:t>
      </w:r>
      <w:r w:rsidR="00A70B44" w:rsidRPr="001904C1">
        <w:rPr>
          <w:bCs/>
          <w:szCs w:val="18"/>
          <w:lang w:val="en-GB"/>
        </w:rPr>
        <w:t xml:space="preserve"> It is possible to observe that hydrocarbons from C14 to C18 seem to be more susceptible to the treatment as their concentration dramatically decrease. On the contrary, heavier compounds show the same value after the treatment demonstrating a poor effectiveness of the biological process for them.</w:t>
      </w:r>
    </w:p>
    <w:p w14:paraId="528D7363" w14:textId="77777777" w:rsidR="006B7E39" w:rsidRPr="001904C1" w:rsidRDefault="006B7E39" w:rsidP="006B7E39">
      <w:pPr>
        <w:pStyle w:val="CETBodytext"/>
        <w:rPr>
          <w:bCs/>
          <w:szCs w:val="18"/>
          <w:lang w:val="en-GB"/>
        </w:rPr>
      </w:pPr>
      <w:r w:rsidRPr="001904C1">
        <w:rPr>
          <w:bCs/>
          <w:szCs w:val="18"/>
          <w:lang w:val="en-GB"/>
        </w:rPr>
        <w:t xml:space="preserve">As further evidence of the efficiency of the bioreactor, the gradual development of the biofilm on the carriers is shown in Figure 5. </w:t>
      </w:r>
    </w:p>
    <w:p w14:paraId="5E2BBA28" w14:textId="77777777" w:rsidR="00A70B44" w:rsidRPr="001904C1" w:rsidRDefault="00A70B44" w:rsidP="00FD4251">
      <w:pPr>
        <w:pStyle w:val="CETBodytext"/>
        <w:rPr>
          <w:rFonts w:eastAsia="Arial" w:cs="Arial"/>
          <w:lang w:val="en-GB"/>
        </w:rPr>
      </w:pPr>
    </w:p>
    <w:p w14:paraId="1EE957E7" w14:textId="03361290" w:rsidR="00FD4251" w:rsidRPr="001904C1" w:rsidRDefault="0009400F" w:rsidP="00FD4251">
      <w:pPr>
        <w:widowControl w:val="0"/>
        <w:spacing w:line="240" w:lineRule="auto"/>
        <w:rPr>
          <w:rStyle w:val="CETCaptionCarattere"/>
          <w:lang w:val="en-US"/>
        </w:rPr>
      </w:pPr>
      <w:r w:rsidRPr="001904C1">
        <w:rPr>
          <w:rStyle w:val="CETCaptionCarattere"/>
          <w:noProof/>
          <w:lang w:val="en-US"/>
        </w:rPr>
        <w:lastRenderedPageBreak/>
        <w:drawing>
          <wp:inline distT="0" distB="0" distL="0" distR="0" wp14:anchorId="145ED16C" wp14:editId="3D863010">
            <wp:extent cx="4435475" cy="2440247"/>
            <wp:effectExtent l="0" t="0" r="3175" b="0"/>
            <wp:docPr id="18703613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116" t="484" r="1410" b="6463"/>
                    <a:stretch/>
                  </pic:blipFill>
                  <pic:spPr bwMode="auto">
                    <a:xfrm>
                      <a:off x="0" y="0"/>
                      <a:ext cx="4458660" cy="2453002"/>
                    </a:xfrm>
                    <a:prstGeom prst="rect">
                      <a:avLst/>
                    </a:prstGeom>
                    <a:noFill/>
                    <a:ln>
                      <a:noFill/>
                    </a:ln>
                    <a:extLst>
                      <a:ext uri="{53640926-AAD7-44D8-BBD7-CCE9431645EC}">
                        <a14:shadowObscured xmlns:a14="http://schemas.microsoft.com/office/drawing/2010/main"/>
                      </a:ext>
                    </a:extLst>
                  </pic:spPr>
                </pic:pic>
              </a:graphicData>
            </a:graphic>
          </wp:inline>
        </w:drawing>
      </w:r>
    </w:p>
    <w:p w14:paraId="78DE07BD" w14:textId="61E32933" w:rsidR="00FD4251" w:rsidRPr="001904C1" w:rsidRDefault="00FD4251" w:rsidP="00FD4251">
      <w:pPr>
        <w:widowControl w:val="0"/>
        <w:spacing w:line="240" w:lineRule="auto"/>
        <w:rPr>
          <w:rFonts w:eastAsia="Arial" w:cs="Arial"/>
        </w:rPr>
      </w:pPr>
      <w:r w:rsidRPr="001904C1">
        <w:rPr>
          <w:rStyle w:val="CETCaptionCarattere"/>
        </w:rPr>
        <w:t xml:space="preserve">Figure </w:t>
      </w:r>
      <w:r w:rsidR="0002003E" w:rsidRPr="001904C1">
        <w:rPr>
          <w:rStyle w:val="CETCaptionCarattere"/>
        </w:rPr>
        <w:t>4</w:t>
      </w:r>
      <w:r w:rsidRPr="001904C1">
        <w:rPr>
          <w:rStyle w:val="CETCaptionCarattere"/>
        </w:rPr>
        <w:t>: Representation of the peaks relieved from a chromatogram including C11-C39 hydrocarbons</w:t>
      </w:r>
    </w:p>
    <w:p w14:paraId="659DC5F7" w14:textId="77777777" w:rsidR="005A1609" w:rsidRPr="001904C1" w:rsidRDefault="005A1609" w:rsidP="00921275">
      <w:pPr>
        <w:pStyle w:val="CETBodytext"/>
        <w:rPr>
          <w:bCs/>
          <w:szCs w:val="18"/>
          <w:lang w:val="en-GB"/>
        </w:rPr>
      </w:pPr>
    </w:p>
    <w:p w14:paraId="2F7E26F9" w14:textId="2C71C35E" w:rsidR="004E63A0" w:rsidRPr="001904C1" w:rsidRDefault="005C2946" w:rsidP="00921275">
      <w:pPr>
        <w:pStyle w:val="CETBodytext"/>
        <w:rPr>
          <w:bCs/>
          <w:szCs w:val="18"/>
          <w:lang w:val="en-GB"/>
        </w:rPr>
      </w:pPr>
      <w:r w:rsidRPr="001904C1">
        <w:rPr>
          <w:noProof/>
        </w:rPr>
        <w:drawing>
          <wp:inline distT="0" distB="0" distL="0" distR="0" wp14:anchorId="107F5B7B" wp14:editId="0FCC94FF">
            <wp:extent cx="2590800" cy="871535"/>
            <wp:effectExtent l="0" t="0" r="0" b="5080"/>
            <wp:docPr id="133908303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b="50391"/>
                    <a:stretch/>
                  </pic:blipFill>
                  <pic:spPr bwMode="auto">
                    <a:xfrm>
                      <a:off x="0" y="0"/>
                      <a:ext cx="2620862" cy="881648"/>
                    </a:xfrm>
                    <a:prstGeom prst="rect">
                      <a:avLst/>
                    </a:prstGeom>
                    <a:noFill/>
                    <a:ln>
                      <a:noFill/>
                    </a:ln>
                    <a:extLst>
                      <a:ext uri="{53640926-AAD7-44D8-BBD7-CCE9431645EC}">
                        <a14:shadowObscured xmlns:a14="http://schemas.microsoft.com/office/drawing/2010/main"/>
                      </a:ext>
                    </a:extLst>
                  </pic:spPr>
                </pic:pic>
              </a:graphicData>
            </a:graphic>
          </wp:inline>
        </w:drawing>
      </w:r>
      <w:r w:rsidR="00A70B44" w:rsidRPr="001904C1">
        <w:rPr>
          <w:bCs/>
          <w:szCs w:val="18"/>
          <w:lang w:val="en-GB"/>
        </w:rPr>
        <w:t xml:space="preserve"> </w:t>
      </w:r>
      <w:r w:rsidR="00A70B44" w:rsidRPr="001904C1">
        <w:rPr>
          <w:noProof/>
        </w:rPr>
        <w:drawing>
          <wp:inline distT="0" distB="0" distL="0" distR="0" wp14:anchorId="2360C5A4" wp14:editId="6B3E3D07">
            <wp:extent cx="2513965" cy="859017"/>
            <wp:effectExtent l="0" t="0" r="635" b="0"/>
            <wp:docPr id="1410227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49609"/>
                    <a:stretch/>
                  </pic:blipFill>
                  <pic:spPr bwMode="auto">
                    <a:xfrm>
                      <a:off x="0" y="0"/>
                      <a:ext cx="2531888" cy="865141"/>
                    </a:xfrm>
                    <a:prstGeom prst="rect">
                      <a:avLst/>
                    </a:prstGeom>
                    <a:noFill/>
                    <a:ln>
                      <a:noFill/>
                    </a:ln>
                    <a:extLst>
                      <a:ext uri="{53640926-AAD7-44D8-BBD7-CCE9431645EC}">
                        <a14:shadowObscured xmlns:a14="http://schemas.microsoft.com/office/drawing/2010/main"/>
                      </a:ext>
                    </a:extLst>
                  </pic:spPr>
                </pic:pic>
              </a:graphicData>
            </a:graphic>
          </wp:inline>
        </w:drawing>
      </w:r>
    </w:p>
    <w:p w14:paraId="03A9960E" w14:textId="7894B9E6" w:rsidR="004E63A0" w:rsidRPr="001904C1" w:rsidRDefault="00706B07" w:rsidP="00921275">
      <w:pPr>
        <w:pStyle w:val="CETBodytext"/>
        <w:rPr>
          <w:bCs/>
          <w:i/>
          <w:iCs/>
          <w:szCs w:val="18"/>
        </w:rPr>
      </w:pPr>
      <w:r w:rsidRPr="001904C1">
        <w:rPr>
          <w:rStyle w:val="CETCaptionCarattere"/>
          <w:lang w:val="en-US"/>
        </w:rPr>
        <w:t xml:space="preserve">Figure </w:t>
      </w:r>
      <w:r w:rsidR="00E718D8" w:rsidRPr="001904C1">
        <w:rPr>
          <w:rStyle w:val="CETCaptionCarattere"/>
          <w:lang w:val="en-US"/>
        </w:rPr>
        <w:t>5</w:t>
      </w:r>
      <w:r w:rsidRPr="001904C1">
        <w:rPr>
          <w:rStyle w:val="CETCaptionCarattere"/>
          <w:lang w:val="en-US"/>
        </w:rPr>
        <w:t>:</w:t>
      </w:r>
      <w:r w:rsidRPr="001904C1">
        <w:rPr>
          <w:rStyle w:val="CETCaptionCarattere"/>
          <w:i w:val="0"/>
          <w:iCs/>
          <w:lang w:val="en-US"/>
        </w:rPr>
        <w:t xml:space="preserve"> </w:t>
      </w:r>
      <w:proofErr w:type="spellStart"/>
      <w:r w:rsidRPr="001904C1">
        <w:rPr>
          <w:bCs/>
          <w:i/>
          <w:iCs/>
          <w:szCs w:val="18"/>
        </w:rPr>
        <w:t>MutagBioChips</w:t>
      </w:r>
      <w:proofErr w:type="spellEnd"/>
      <w:r w:rsidRPr="001904C1">
        <w:rPr>
          <w:bCs/>
          <w:i/>
          <w:iCs/>
          <w:szCs w:val="18"/>
        </w:rPr>
        <w:t xml:space="preserve"> </w:t>
      </w:r>
      <w:proofErr w:type="gramStart"/>
      <w:r w:rsidRPr="001904C1">
        <w:rPr>
          <w:bCs/>
          <w:i/>
          <w:iCs/>
          <w:szCs w:val="18"/>
        </w:rPr>
        <w:t>carriers</w:t>
      </w:r>
      <w:proofErr w:type="gramEnd"/>
      <w:r w:rsidRPr="001904C1">
        <w:rPr>
          <w:bCs/>
          <w:i/>
          <w:iCs/>
          <w:szCs w:val="18"/>
        </w:rPr>
        <w:t xml:space="preserve"> </w:t>
      </w:r>
      <w:r w:rsidR="007D6E0B" w:rsidRPr="001904C1">
        <w:rPr>
          <w:bCs/>
          <w:i/>
          <w:iCs/>
          <w:szCs w:val="18"/>
        </w:rPr>
        <w:t>modification in the time</w:t>
      </w:r>
      <w:r w:rsidRPr="001904C1">
        <w:rPr>
          <w:bCs/>
          <w:i/>
          <w:iCs/>
          <w:szCs w:val="18"/>
        </w:rPr>
        <w:t xml:space="preserve">: 1) </w:t>
      </w:r>
      <w:r w:rsidR="007D6E0B" w:rsidRPr="001904C1">
        <w:rPr>
          <w:bCs/>
          <w:i/>
          <w:iCs/>
          <w:szCs w:val="18"/>
        </w:rPr>
        <w:t>new carriers at t=0</w:t>
      </w:r>
      <w:r w:rsidRPr="001904C1">
        <w:rPr>
          <w:bCs/>
          <w:i/>
          <w:iCs/>
          <w:szCs w:val="18"/>
        </w:rPr>
        <w:t xml:space="preserve">, 2) </w:t>
      </w:r>
      <w:r w:rsidR="007D6E0B" w:rsidRPr="001904C1">
        <w:rPr>
          <w:bCs/>
          <w:i/>
          <w:iCs/>
          <w:szCs w:val="18"/>
        </w:rPr>
        <w:t xml:space="preserve">at </w:t>
      </w:r>
      <w:r w:rsidRPr="001904C1">
        <w:rPr>
          <w:bCs/>
          <w:i/>
          <w:iCs/>
          <w:szCs w:val="18"/>
        </w:rPr>
        <w:t>37</w:t>
      </w:r>
      <w:r w:rsidR="007D6E0B" w:rsidRPr="001904C1">
        <w:rPr>
          <w:bCs/>
          <w:i/>
          <w:iCs/>
          <w:szCs w:val="18"/>
          <w:vertAlign w:val="superscript"/>
        </w:rPr>
        <w:t>th</w:t>
      </w:r>
      <w:r w:rsidR="007D6E0B" w:rsidRPr="001904C1">
        <w:rPr>
          <w:bCs/>
          <w:i/>
          <w:iCs/>
          <w:szCs w:val="18"/>
        </w:rPr>
        <w:t xml:space="preserve"> day</w:t>
      </w:r>
      <w:r w:rsidRPr="001904C1">
        <w:rPr>
          <w:bCs/>
          <w:i/>
          <w:iCs/>
          <w:szCs w:val="18"/>
        </w:rPr>
        <w:t xml:space="preserve">, 3) </w:t>
      </w:r>
      <w:r w:rsidR="007D6E0B" w:rsidRPr="001904C1">
        <w:rPr>
          <w:bCs/>
          <w:i/>
          <w:iCs/>
          <w:szCs w:val="18"/>
        </w:rPr>
        <w:t xml:space="preserve">at </w:t>
      </w:r>
      <w:r w:rsidRPr="001904C1">
        <w:rPr>
          <w:bCs/>
          <w:i/>
          <w:iCs/>
          <w:szCs w:val="18"/>
        </w:rPr>
        <w:t>100</w:t>
      </w:r>
      <w:r w:rsidR="007D6E0B" w:rsidRPr="001904C1">
        <w:rPr>
          <w:bCs/>
          <w:i/>
          <w:iCs/>
          <w:szCs w:val="18"/>
          <w:vertAlign w:val="superscript"/>
        </w:rPr>
        <w:t>th</w:t>
      </w:r>
      <w:r w:rsidR="007D6E0B" w:rsidRPr="001904C1">
        <w:rPr>
          <w:bCs/>
          <w:i/>
          <w:iCs/>
          <w:szCs w:val="18"/>
        </w:rPr>
        <w:t xml:space="preserve"> day and at </w:t>
      </w:r>
      <w:r w:rsidRPr="001904C1">
        <w:rPr>
          <w:bCs/>
          <w:i/>
          <w:iCs/>
          <w:szCs w:val="18"/>
        </w:rPr>
        <w:t>4) 184</w:t>
      </w:r>
      <w:r w:rsidR="007D6E0B" w:rsidRPr="001904C1">
        <w:rPr>
          <w:bCs/>
          <w:i/>
          <w:iCs/>
          <w:szCs w:val="18"/>
        </w:rPr>
        <w:t>th</w:t>
      </w:r>
      <w:r w:rsidRPr="001904C1">
        <w:rPr>
          <w:bCs/>
          <w:i/>
          <w:iCs/>
          <w:szCs w:val="18"/>
        </w:rPr>
        <w:t xml:space="preserve"> </w:t>
      </w:r>
      <w:r w:rsidR="007D6E0B" w:rsidRPr="001904C1">
        <w:rPr>
          <w:bCs/>
          <w:i/>
          <w:iCs/>
          <w:szCs w:val="18"/>
        </w:rPr>
        <w:t>day</w:t>
      </w:r>
    </w:p>
    <w:p w14:paraId="1FD1C66F" w14:textId="77777777" w:rsidR="004E63A0" w:rsidRPr="001904C1" w:rsidRDefault="004E63A0" w:rsidP="00921275">
      <w:pPr>
        <w:pStyle w:val="CETBodytext"/>
        <w:rPr>
          <w:bCs/>
          <w:szCs w:val="18"/>
        </w:rPr>
      </w:pPr>
    </w:p>
    <w:p w14:paraId="27EF8F44" w14:textId="77777777" w:rsidR="00F04BE3" w:rsidRPr="001904C1" w:rsidRDefault="00F04BE3" w:rsidP="00F04BE3">
      <w:pPr>
        <w:pStyle w:val="CETBodytext"/>
        <w:rPr>
          <w:bCs/>
          <w:szCs w:val="18"/>
          <w:lang w:val="en-GB"/>
        </w:rPr>
      </w:pPr>
      <w:r w:rsidRPr="001904C1">
        <w:rPr>
          <w:bCs/>
          <w:szCs w:val="18"/>
          <w:lang w:val="en-GB"/>
        </w:rPr>
        <w:t>Overall, the bacterial mass per unit surface area was 38.17 g m</w:t>
      </w:r>
      <w:r w:rsidRPr="001904C1">
        <w:rPr>
          <w:bCs/>
          <w:szCs w:val="18"/>
          <w:vertAlign w:val="superscript"/>
          <w:lang w:val="en-GB"/>
        </w:rPr>
        <w:t>-2</w:t>
      </w:r>
      <w:r w:rsidRPr="001904C1">
        <w:rPr>
          <w:bCs/>
          <w:szCs w:val="18"/>
          <w:lang w:val="en-GB"/>
        </w:rPr>
        <w:t xml:space="preserve">, after approximately 180 days from the start-up of the plant, indicating good development of the autochthonous halophilic biomass in the system. Additionally, the attached biomass exhibited a good biological activity measured as the consumption rate of dissolved oxygen, which averaged about 5 </w:t>
      </w:r>
      <w:proofErr w:type="spellStart"/>
      <w:r w:rsidRPr="001904C1">
        <w:rPr>
          <w:bCs/>
          <w:szCs w:val="18"/>
          <w:lang w:val="en-GB"/>
        </w:rPr>
        <w:t>mgO</w:t>
      </w:r>
      <w:proofErr w:type="spellEnd"/>
      <w:r w:rsidRPr="001904C1">
        <w:rPr>
          <w:rFonts w:ascii="Cambria Math" w:hAnsi="Cambria Math" w:cs="Cambria Math"/>
          <w:bCs/>
          <w:szCs w:val="18"/>
          <w:lang w:val="en-GB"/>
        </w:rPr>
        <w:t>₂</w:t>
      </w:r>
      <w:r w:rsidRPr="001904C1">
        <w:rPr>
          <w:bCs/>
          <w:szCs w:val="18"/>
          <w:lang w:val="en-GB"/>
        </w:rPr>
        <w:t xml:space="preserve"> L</w:t>
      </w:r>
      <w:r w:rsidRPr="001904C1">
        <w:rPr>
          <w:bCs/>
          <w:szCs w:val="18"/>
          <w:vertAlign w:val="superscript"/>
          <w:lang w:val="en-GB"/>
        </w:rPr>
        <w:t>-1</w:t>
      </w:r>
      <w:r w:rsidRPr="001904C1">
        <w:rPr>
          <w:rFonts w:cs="Arial"/>
          <w:bCs/>
          <w:szCs w:val="18"/>
          <w:lang w:val="en-GB"/>
        </w:rPr>
        <w:t>∙</w:t>
      </w:r>
      <w:r w:rsidRPr="001904C1">
        <w:rPr>
          <w:bCs/>
          <w:szCs w:val="18"/>
          <w:lang w:val="en-GB"/>
        </w:rPr>
        <w:t>h</w:t>
      </w:r>
      <w:r w:rsidRPr="001904C1">
        <w:rPr>
          <w:bCs/>
          <w:szCs w:val="18"/>
          <w:vertAlign w:val="superscript"/>
          <w:lang w:val="en-GB"/>
        </w:rPr>
        <w:t>-1</w:t>
      </w:r>
      <w:r w:rsidRPr="001904C1">
        <w:rPr>
          <w:bCs/>
          <w:szCs w:val="18"/>
          <w:lang w:val="en-GB"/>
        </w:rPr>
        <w:t xml:space="preserve">. In contrast, the concentration of suspended biomass was quite modest, averaging around 400-500 </w:t>
      </w:r>
      <w:proofErr w:type="spellStart"/>
      <w:r w:rsidRPr="001904C1">
        <w:rPr>
          <w:bCs/>
          <w:szCs w:val="18"/>
          <w:lang w:val="en-GB"/>
        </w:rPr>
        <w:t>mgTSS</w:t>
      </w:r>
      <w:proofErr w:type="spellEnd"/>
      <w:r w:rsidRPr="001904C1">
        <w:rPr>
          <w:bCs/>
          <w:szCs w:val="18"/>
          <w:lang w:val="en-GB"/>
        </w:rPr>
        <w:t xml:space="preserve"> L</w:t>
      </w:r>
      <w:r w:rsidRPr="001904C1">
        <w:rPr>
          <w:bCs/>
          <w:szCs w:val="18"/>
          <w:vertAlign w:val="superscript"/>
          <w:lang w:val="en-GB"/>
        </w:rPr>
        <w:t>-1</w:t>
      </w:r>
      <w:r w:rsidRPr="001904C1">
        <w:rPr>
          <w:bCs/>
          <w:szCs w:val="18"/>
          <w:lang w:val="en-GB"/>
        </w:rPr>
        <w:t>.</w:t>
      </w:r>
    </w:p>
    <w:p w14:paraId="6858F2D8" w14:textId="1C9A34EF" w:rsidR="004E63A0" w:rsidRPr="001904C1" w:rsidRDefault="004E63A0" w:rsidP="00921275">
      <w:pPr>
        <w:pStyle w:val="CETBodytext"/>
        <w:rPr>
          <w:bCs/>
          <w:szCs w:val="18"/>
        </w:rPr>
      </w:pPr>
    </w:p>
    <w:p w14:paraId="69F7690A" w14:textId="53858C7C" w:rsidR="002E0B18" w:rsidRPr="001904C1" w:rsidRDefault="002E0B18" w:rsidP="00921275">
      <w:pPr>
        <w:pStyle w:val="CETBodytext"/>
        <w:rPr>
          <w:bCs/>
          <w:szCs w:val="18"/>
        </w:rPr>
      </w:pPr>
      <w:r w:rsidRPr="001904C1">
        <w:rPr>
          <w:noProof/>
          <w:lang w:val="en-GB" w:eastAsia="en-GB"/>
        </w:rPr>
        <w:drawing>
          <wp:inline distT="0" distB="0" distL="0" distR="0" wp14:anchorId="456B4172" wp14:editId="755B91D2">
            <wp:extent cx="5173980" cy="1264920"/>
            <wp:effectExtent l="0" t="0" r="7620" b="11430"/>
            <wp:docPr id="20" name="Grafico 20">
              <a:extLst xmlns:a="http://schemas.openxmlformats.org/drawingml/2006/main">
                <a:ext uri="{FF2B5EF4-FFF2-40B4-BE49-F238E27FC236}">
                  <a16:creationId xmlns:a16="http://schemas.microsoft.com/office/drawing/2014/main" id="{89969F0E-4E0D-4849-A21E-7FCDA6F440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A3AD64D" w14:textId="10AEEFD9" w:rsidR="004E63A0" w:rsidRPr="001904C1" w:rsidRDefault="00EB0BF3" w:rsidP="00921275">
      <w:pPr>
        <w:pStyle w:val="CETBodytext"/>
        <w:rPr>
          <w:bCs/>
          <w:szCs w:val="18"/>
        </w:rPr>
      </w:pPr>
      <w:r w:rsidRPr="001904C1">
        <w:rPr>
          <w:bCs/>
          <w:i/>
          <w:iCs/>
          <w:noProof/>
          <w:szCs w:val="18"/>
          <w:lang w:val="en-GB"/>
        </w:rPr>
        <mc:AlternateContent>
          <mc:Choice Requires="wps">
            <w:drawing>
              <wp:anchor distT="45720" distB="45720" distL="114300" distR="114300" simplePos="0" relativeHeight="251665408" behindDoc="0" locked="0" layoutInCell="1" allowOverlap="1" wp14:anchorId="2234035E" wp14:editId="56585092">
                <wp:simplePos x="0" y="0"/>
                <wp:positionH relativeFrom="column">
                  <wp:posOffset>342900</wp:posOffset>
                </wp:positionH>
                <wp:positionV relativeFrom="paragraph">
                  <wp:posOffset>167640</wp:posOffset>
                </wp:positionV>
                <wp:extent cx="434340" cy="304800"/>
                <wp:effectExtent l="0" t="0" r="0" b="0"/>
                <wp:wrapNone/>
                <wp:docPr id="110891589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04800"/>
                        </a:xfrm>
                        <a:prstGeom prst="rect">
                          <a:avLst/>
                        </a:prstGeom>
                        <a:noFill/>
                        <a:ln w="9525">
                          <a:noFill/>
                          <a:miter lim="800000"/>
                          <a:headEnd/>
                          <a:tailEnd/>
                        </a:ln>
                      </wps:spPr>
                      <wps:txbx>
                        <w:txbxContent>
                          <w:p w14:paraId="0C4FED64" w14:textId="4F4D0EB3" w:rsidR="00EB0BF3" w:rsidRPr="00703876" w:rsidRDefault="00EB0BF3" w:rsidP="00EB0BF3">
                            <w:pPr>
                              <w:rPr>
                                <w:lang w:val="it-IT"/>
                              </w:rPr>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4035E" id="_x0000_s1029" type="#_x0000_t202" style="position:absolute;left:0;text-align:left;margin-left:27pt;margin-top:13.2pt;width:34.2pt;height: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" filled="f" stroked="f">
                <v:textbox>
                  <w:txbxContent>
                    <w:p w14:paraId="0C4FED64" w14:textId="4F4D0EB3" w:rsidR="00EB0BF3" w:rsidRPr="00703876" w:rsidRDefault="00EB0BF3" w:rsidP="00EB0BF3">
                      <w:pPr>
                        <w:rPr>
                          <w:lang w:val="it-IT"/>
                        </w:rPr>
                      </w:pPr>
                      <w:r>
                        <w:t>(b)</w:t>
                      </w:r>
                    </w:p>
                  </w:txbxContent>
                </v:textbox>
              </v:shape>
            </w:pict>
          </mc:Fallback>
        </mc:AlternateContent>
      </w:r>
      <w:r w:rsidR="007742C3" w:rsidRPr="001904C1">
        <w:rPr>
          <w:noProof/>
          <w:lang w:val="en-GB" w:eastAsia="en-GB"/>
        </w:rPr>
        <w:drawing>
          <wp:inline distT="0" distB="0" distL="0" distR="0" wp14:anchorId="297472CA" wp14:editId="31FC0A24">
            <wp:extent cx="3113952" cy="2141220"/>
            <wp:effectExtent l="0" t="0" r="0"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3952" cy="2141220"/>
                    </a:xfrm>
                    <a:prstGeom prst="rect">
                      <a:avLst/>
                    </a:prstGeom>
                    <a:noFill/>
                    <a:ln>
                      <a:noFill/>
                    </a:ln>
                  </pic:spPr>
                </pic:pic>
              </a:graphicData>
            </a:graphic>
          </wp:inline>
        </w:drawing>
      </w:r>
    </w:p>
    <w:p w14:paraId="30D6CF03" w14:textId="169EEB1F" w:rsidR="004E63A0" w:rsidRPr="001904C1" w:rsidRDefault="004E63A0" w:rsidP="004E63A0">
      <w:pPr>
        <w:pStyle w:val="CETBodytext"/>
        <w:rPr>
          <w:bCs/>
          <w:i/>
          <w:iCs/>
          <w:szCs w:val="18"/>
          <w:lang w:val="en-GB"/>
        </w:rPr>
      </w:pPr>
      <w:r w:rsidRPr="001904C1">
        <w:rPr>
          <w:bCs/>
          <w:i/>
          <w:iCs/>
          <w:szCs w:val="18"/>
          <w:lang w:val="en-GB"/>
        </w:rPr>
        <w:t xml:space="preserve">Figure </w:t>
      </w:r>
      <w:r w:rsidR="00425446" w:rsidRPr="001904C1">
        <w:rPr>
          <w:bCs/>
          <w:i/>
          <w:iCs/>
          <w:szCs w:val="18"/>
          <w:lang w:val="en-GB"/>
        </w:rPr>
        <w:t>6</w:t>
      </w:r>
      <w:r w:rsidR="00E718D8" w:rsidRPr="001904C1">
        <w:rPr>
          <w:bCs/>
          <w:i/>
          <w:iCs/>
          <w:szCs w:val="18"/>
          <w:lang w:val="en-GB"/>
        </w:rPr>
        <w:t>: Stability of the operating units: ARED (a) and SBMBBR (b)</w:t>
      </w:r>
    </w:p>
    <w:p w14:paraId="76955F2A" w14:textId="77777777" w:rsidR="006B7E39" w:rsidRPr="001904C1" w:rsidRDefault="006B7E39" w:rsidP="006B7E39">
      <w:pPr>
        <w:pStyle w:val="CETBodytext"/>
        <w:rPr>
          <w:bCs/>
          <w:szCs w:val="18"/>
        </w:rPr>
      </w:pPr>
      <w:r w:rsidRPr="001904C1">
        <w:rPr>
          <w:bCs/>
          <w:szCs w:val="18"/>
        </w:rPr>
        <w:lastRenderedPageBreak/>
        <w:t xml:space="preserve">Several tests were </w:t>
      </w:r>
      <w:proofErr w:type="gramStart"/>
      <w:r w:rsidRPr="001904C1">
        <w:rPr>
          <w:bCs/>
          <w:szCs w:val="18"/>
        </w:rPr>
        <w:t>performed</w:t>
      </w:r>
      <w:proofErr w:type="gramEnd"/>
      <w:r w:rsidRPr="001904C1">
        <w:rPr>
          <w:bCs/>
          <w:szCs w:val="18"/>
        </w:rPr>
        <w:t xml:space="preserve"> and the main parameters were monitored to assess the stability of the operating units. In particular, ARED was tested for 180 days </w:t>
      </w:r>
      <w:proofErr w:type="gramStart"/>
      <w:r w:rsidRPr="001904C1">
        <w:rPr>
          <w:bCs/>
          <w:szCs w:val="18"/>
        </w:rPr>
        <w:t>and,</w:t>
      </w:r>
      <w:proofErr w:type="gramEnd"/>
      <w:r w:rsidRPr="001904C1">
        <w:rPr>
          <w:bCs/>
          <w:szCs w:val="18"/>
        </w:rPr>
        <w:t xml:space="preserve"> as shown in Figure 6a, the result of salinity reduction to 20 gL</w:t>
      </w:r>
      <w:r w:rsidRPr="001904C1">
        <w:rPr>
          <w:bCs/>
          <w:szCs w:val="18"/>
          <w:vertAlign w:val="superscript"/>
        </w:rPr>
        <w:t>-1</w:t>
      </w:r>
      <w:r w:rsidRPr="001904C1">
        <w:rPr>
          <w:bCs/>
          <w:szCs w:val="18"/>
        </w:rPr>
        <w:t xml:space="preserve"> was almost always reached in 24 h. </w:t>
      </w:r>
    </w:p>
    <w:p w14:paraId="5B70BE20" w14:textId="77777777" w:rsidR="006B7E39" w:rsidRPr="001904C1" w:rsidRDefault="006B7E39" w:rsidP="006B7E39">
      <w:pPr>
        <w:pStyle w:val="CETBodytext"/>
        <w:rPr>
          <w:bCs/>
          <w:szCs w:val="18"/>
          <w:lang w:val="en-GB"/>
        </w:rPr>
      </w:pPr>
      <w:r w:rsidRPr="001904C1">
        <w:rPr>
          <w:bCs/>
          <w:szCs w:val="18"/>
          <w:lang w:val="en-GB"/>
        </w:rPr>
        <w:t>For what concerns the biological step, the SBMBR operated for more than 275 days, maintaining an average performance related to a TOC abatement of 70 % (see Figure 6b).</w:t>
      </w:r>
    </w:p>
    <w:p w14:paraId="66B987A3" w14:textId="77777777" w:rsidR="006B7E39" w:rsidRPr="001904C1" w:rsidRDefault="006B7E39" w:rsidP="004E63A0">
      <w:pPr>
        <w:pStyle w:val="CETBodytext"/>
        <w:rPr>
          <w:bCs/>
          <w:i/>
          <w:iCs/>
          <w:szCs w:val="18"/>
          <w:lang w:val="en-GB"/>
        </w:rPr>
      </w:pPr>
    </w:p>
    <w:p w14:paraId="68D26B83" w14:textId="44E6C858" w:rsidR="00600535" w:rsidRPr="001904C1" w:rsidRDefault="00600535" w:rsidP="00600535">
      <w:pPr>
        <w:pStyle w:val="CETHeading1"/>
        <w:rPr>
          <w:lang w:val="en-GB"/>
        </w:rPr>
      </w:pPr>
      <w:r w:rsidRPr="001904C1">
        <w:rPr>
          <w:lang w:val="en-GB"/>
        </w:rPr>
        <w:t>Conclusions</w:t>
      </w:r>
    </w:p>
    <w:p w14:paraId="23E56254" w14:textId="77777777" w:rsidR="008E0290" w:rsidRPr="001904C1" w:rsidRDefault="00C52E7F" w:rsidP="008144AD">
      <w:pPr>
        <w:pStyle w:val="CETnumberingbullets"/>
        <w:numPr>
          <w:ilvl w:val="0"/>
          <w:numId w:val="0"/>
        </w:numPr>
        <w:jc w:val="both"/>
      </w:pPr>
      <w:r w:rsidRPr="001904C1">
        <w:t>A novel treatment chain was developed and tested with real PW</w:t>
      </w:r>
      <w:r w:rsidR="008E0290" w:rsidRPr="001904C1">
        <w:t xml:space="preserve">s, by coupling ARED and biological treatment. Due to the requirement of low salinity for biological remediation, </w:t>
      </w:r>
      <w:r w:rsidRPr="001904C1">
        <w:t xml:space="preserve">a preliminary desalination </w:t>
      </w:r>
      <w:r w:rsidR="008E0290" w:rsidRPr="001904C1">
        <w:t xml:space="preserve">of the stream is </w:t>
      </w:r>
      <w:proofErr w:type="gramStart"/>
      <w:r w:rsidR="008E0290" w:rsidRPr="001904C1">
        <w:t>necessary</w:t>
      </w:r>
      <w:proofErr w:type="gramEnd"/>
      <w:r w:rsidR="008E0290" w:rsidRPr="001904C1">
        <w:t xml:space="preserve"> and this role </w:t>
      </w:r>
      <w:r w:rsidRPr="001904C1">
        <w:t>was effectively addressed using an ARED unit</w:t>
      </w:r>
      <w:r w:rsidR="008E0290" w:rsidRPr="001904C1">
        <w:t xml:space="preserve">. Indeed, it was </w:t>
      </w:r>
      <w:r w:rsidRPr="001904C1">
        <w:t>able to reduce the salinity down to the concentration target of 20 g L</w:t>
      </w:r>
      <w:r w:rsidRPr="001904C1">
        <w:rPr>
          <w:vertAlign w:val="superscript"/>
        </w:rPr>
        <w:t>-1</w:t>
      </w:r>
      <w:r w:rsidRPr="001904C1">
        <w:t>, established as a minimum requirement for the bacteria growth</w:t>
      </w:r>
      <w:r w:rsidR="008E0290" w:rsidRPr="001904C1">
        <w:t xml:space="preserve"> in the next step</w:t>
      </w:r>
      <w:r w:rsidRPr="001904C1">
        <w:t xml:space="preserve">. </w:t>
      </w:r>
    </w:p>
    <w:p w14:paraId="34ED9BBC" w14:textId="3101AD61" w:rsidR="008E0290" w:rsidRPr="001904C1" w:rsidRDefault="008E0290" w:rsidP="008144AD">
      <w:pPr>
        <w:pStyle w:val="CETnumberingbullets"/>
        <w:numPr>
          <w:ilvl w:val="0"/>
          <w:numId w:val="0"/>
        </w:numPr>
        <w:jc w:val="both"/>
      </w:pPr>
      <w:r w:rsidRPr="001904C1">
        <w:t>For what concerns the biological step, t</w:t>
      </w:r>
      <w:r w:rsidR="00C52E7F" w:rsidRPr="001904C1">
        <w:t xml:space="preserve">he </w:t>
      </w:r>
      <w:r w:rsidR="008144AD" w:rsidRPr="001904C1">
        <w:rPr>
          <w:bCs/>
        </w:rPr>
        <w:t>use of a</w:t>
      </w:r>
      <w:r w:rsidR="008144AD" w:rsidRPr="001904C1">
        <w:rPr>
          <w:b/>
        </w:rPr>
        <w:t xml:space="preserve"> </w:t>
      </w:r>
      <w:r w:rsidR="00C52E7F" w:rsidRPr="001904C1">
        <w:t xml:space="preserve">SBMBBR was identified as one of the most promising biological </w:t>
      </w:r>
      <w:proofErr w:type="gramStart"/>
      <w:r w:rsidR="00C52E7F" w:rsidRPr="001904C1">
        <w:t>treatment</w:t>
      </w:r>
      <w:proofErr w:type="gramEnd"/>
      <w:r w:rsidR="00C52E7F" w:rsidRPr="001904C1">
        <w:t xml:space="preserve"> for dealing with PWs, for which a TOC reduction of 80 % was observed. At the same time, also a reduction up to the 40 % of the TPH concentration was detected. </w:t>
      </w:r>
      <w:r w:rsidR="00425446" w:rsidRPr="001904C1">
        <w:t xml:space="preserve">The biological system stably operated for </w:t>
      </w:r>
      <w:r w:rsidR="00425446" w:rsidRPr="001904C1">
        <w:rPr>
          <w:bCs/>
          <w:szCs w:val="18"/>
        </w:rPr>
        <w:t xml:space="preserve">more than 275 days, maintaining an average performance </w:t>
      </w:r>
      <w:r w:rsidR="005C2946" w:rsidRPr="001904C1">
        <w:rPr>
          <w:bCs/>
          <w:szCs w:val="18"/>
        </w:rPr>
        <w:t xml:space="preserve">related to a TOC abatement </w:t>
      </w:r>
      <w:r w:rsidR="00425446" w:rsidRPr="001904C1">
        <w:rPr>
          <w:bCs/>
          <w:szCs w:val="18"/>
        </w:rPr>
        <w:t>of 70 %.</w:t>
      </w:r>
    </w:p>
    <w:p w14:paraId="7B665ABD" w14:textId="59DC1663" w:rsidR="008144AD" w:rsidRPr="001904C1" w:rsidRDefault="00C52E7F" w:rsidP="008144AD">
      <w:pPr>
        <w:pStyle w:val="CETnumberingbullets"/>
        <w:numPr>
          <w:ilvl w:val="0"/>
          <w:numId w:val="0"/>
        </w:numPr>
        <w:jc w:val="both"/>
      </w:pPr>
      <w:r w:rsidRPr="001904C1">
        <w:t xml:space="preserve">These preliminary results on the coupling of ARED with SBMBRR show that the integrated proposed treatment is effective and </w:t>
      </w:r>
      <w:proofErr w:type="gramStart"/>
      <w:r w:rsidRPr="001904C1">
        <w:t>efficient</w:t>
      </w:r>
      <w:proofErr w:type="gramEnd"/>
      <w:r w:rsidRPr="001904C1">
        <w:t xml:space="preserve"> and </w:t>
      </w:r>
      <w:r w:rsidR="00272D22" w:rsidRPr="001904C1">
        <w:t xml:space="preserve">it could be </w:t>
      </w:r>
      <w:r w:rsidRPr="001904C1">
        <w:t>a promising option for the future</w:t>
      </w:r>
      <w:r w:rsidR="00272D22" w:rsidRPr="001904C1">
        <w:t xml:space="preserve">. More specifically, </w:t>
      </w:r>
      <w:r w:rsidR="008144AD" w:rsidRPr="001904C1">
        <w:t xml:space="preserve">the ARED </w:t>
      </w:r>
      <w:r w:rsidR="005D3D1D" w:rsidRPr="001904C1">
        <w:t xml:space="preserve">could </w:t>
      </w:r>
      <w:r w:rsidR="008144AD" w:rsidRPr="001904C1">
        <w:t>represent an appealing way to economically manage this kind of wastewaters.</w:t>
      </w:r>
    </w:p>
    <w:p w14:paraId="1F0DFBA8" w14:textId="1EB8ABA1" w:rsidR="00011B39" w:rsidRPr="001904C1" w:rsidRDefault="00011B39" w:rsidP="008144AD">
      <w:pPr>
        <w:pStyle w:val="CETnumberingbullets"/>
        <w:numPr>
          <w:ilvl w:val="0"/>
          <w:numId w:val="0"/>
        </w:numPr>
        <w:jc w:val="both"/>
      </w:pPr>
      <w:r w:rsidRPr="001904C1">
        <w:t xml:space="preserve">Of notes, even if the outgoing effluent is currently proposed to be disposed, </w:t>
      </w:r>
      <w:r w:rsidR="00CC1110" w:rsidRPr="001904C1">
        <w:t xml:space="preserve">in the view of a circular economy approach, </w:t>
      </w:r>
      <w:r w:rsidRPr="001904C1">
        <w:t xml:space="preserve">an additional valorisation section </w:t>
      </w:r>
      <w:r w:rsidR="00EE1B75" w:rsidRPr="001904C1">
        <w:t xml:space="preserve">was proposed by some of co-authors </w:t>
      </w:r>
      <w:r w:rsidR="00480431" w:rsidRPr="001904C1">
        <w:t xml:space="preserve">elsewhere </w:t>
      </w:r>
      <w:r w:rsidRPr="001904C1">
        <w:t>for a subsequent recovery of the high-value minerals present in the PWs</w:t>
      </w:r>
      <w:r w:rsidR="00CC1110" w:rsidRPr="001904C1">
        <w:t xml:space="preserve">, while for the diluted stream it was proposed </w:t>
      </w:r>
      <w:r w:rsidR="00DB26C8" w:rsidRPr="001904C1">
        <w:t xml:space="preserve">a recirculation to the ARED unit after </w:t>
      </w:r>
      <w:r w:rsidR="0031331E" w:rsidRPr="001904C1">
        <w:t xml:space="preserve">regeneration </w:t>
      </w:r>
      <w:r w:rsidR="003F0DF9" w:rsidRPr="001904C1">
        <w:t xml:space="preserve">by </w:t>
      </w:r>
      <w:r w:rsidR="00DB26C8" w:rsidRPr="001904C1">
        <w:t>RO</w:t>
      </w:r>
      <w:r w:rsidR="0031331E" w:rsidRPr="001904C1">
        <w:t xml:space="preserve"> (Campisi et al., 2023)</w:t>
      </w:r>
      <w:r w:rsidRPr="001904C1">
        <w:t>.</w:t>
      </w:r>
    </w:p>
    <w:p w14:paraId="03507984" w14:textId="1971DBC0" w:rsidR="00600535" w:rsidRPr="001904C1" w:rsidRDefault="00600535" w:rsidP="005D5931">
      <w:pPr>
        <w:pStyle w:val="CETReference"/>
      </w:pPr>
      <w:r w:rsidRPr="001904C1">
        <w:t>References</w:t>
      </w:r>
    </w:p>
    <w:p w14:paraId="6C3669E8" w14:textId="77777777" w:rsidR="004D326E" w:rsidRPr="001904C1" w:rsidRDefault="004D326E" w:rsidP="004D326E">
      <w:pPr>
        <w:pStyle w:val="Bibliografia"/>
        <w:ind w:left="284" w:hanging="284"/>
        <w:rPr>
          <w:rFonts w:cs="Arial"/>
          <w:szCs w:val="18"/>
        </w:rPr>
      </w:pPr>
      <w:r w:rsidRPr="001904C1">
        <w:rPr>
          <w:rFonts w:cs="Arial"/>
          <w:szCs w:val="18"/>
        </w:rPr>
        <w:t>Al-</w:t>
      </w:r>
      <w:proofErr w:type="spellStart"/>
      <w:r w:rsidRPr="001904C1">
        <w:rPr>
          <w:rFonts w:cs="Arial"/>
          <w:szCs w:val="18"/>
        </w:rPr>
        <w:t>Ghouti</w:t>
      </w:r>
      <w:proofErr w:type="spellEnd"/>
      <w:r w:rsidRPr="001904C1">
        <w:rPr>
          <w:rFonts w:cs="Arial"/>
          <w:szCs w:val="18"/>
        </w:rPr>
        <w:t xml:space="preserve"> M. A., Al-</w:t>
      </w:r>
      <w:proofErr w:type="spellStart"/>
      <w:r w:rsidRPr="001904C1">
        <w:rPr>
          <w:rFonts w:cs="Arial"/>
          <w:szCs w:val="18"/>
        </w:rPr>
        <w:t>Kaabi</w:t>
      </w:r>
      <w:proofErr w:type="spellEnd"/>
      <w:r w:rsidRPr="001904C1">
        <w:rPr>
          <w:rFonts w:cs="Arial"/>
          <w:szCs w:val="18"/>
        </w:rPr>
        <w:t xml:space="preserve"> M. A., Ashfaq M. Y., </w:t>
      </w:r>
      <w:proofErr w:type="spellStart"/>
      <w:r w:rsidRPr="001904C1">
        <w:rPr>
          <w:rFonts w:cs="Arial"/>
          <w:szCs w:val="18"/>
        </w:rPr>
        <w:t>Da’na</w:t>
      </w:r>
      <w:proofErr w:type="spellEnd"/>
      <w:r w:rsidRPr="001904C1">
        <w:rPr>
          <w:rFonts w:cs="Arial"/>
          <w:szCs w:val="18"/>
        </w:rPr>
        <w:t xml:space="preserve"> D. A., 2019, Produced water characteristics, treatment and reuse: A review, Journal of Water Process Engineering, 28, 222–239.</w:t>
      </w:r>
    </w:p>
    <w:p w14:paraId="7BBCA165" w14:textId="58243A37" w:rsidR="003F0DF9" w:rsidRPr="001904C1" w:rsidRDefault="009D2D2A" w:rsidP="002D74DC">
      <w:pPr>
        <w:pStyle w:val="Bibliografia"/>
        <w:ind w:left="284" w:hanging="284"/>
        <w:rPr>
          <w:rFonts w:cs="Arial"/>
          <w:szCs w:val="18"/>
        </w:rPr>
      </w:pPr>
      <w:r w:rsidRPr="001904C1">
        <w:rPr>
          <w:rFonts w:cs="Arial"/>
          <w:szCs w:val="18"/>
        </w:rPr>
        <w:t xml:space="preserve">Campisi G., Cosenza A., Randazzo S., Tamburini A., Micale G., </w:t>
      </w:r>
      <w:r w:rsidR="002D74DC" w:rsidRPr="001904C1">
        <w:rPr>
          <w:rFonts w:cs="Arial"/>
          <w:szCs w:val="18"/>
        </w:rPr>
        <w:t>2023, Economic Analysis of an Innovative Scheme for the Treatment of Produced Waters</w:t>
      </w:r>
      <w:r w:rsidRPr="001904C1">
        <w:rPr>
          <w:rFonts w:cs="Arial"/>
          <w:szCs w:val="18"/>
        </w:rPr>
        <w:t>, Chem</w:t>
      </w:r>
      <w:r w:rsidR="002D74DC" w:rsidRPr="001904C1">
        <w:rPr>
          <w:rFonts w:cs="Arial"/>
          <w:szCs w:val="18"/>
        </w:rPr>
        <w:t>ical</w:t>
      </w:r>
      <w:r w:rsidRPr="001904C1">
        <w:rPr>
          <w:rFonts w:cs="Arial"/>
          <w:szCs w:val="18"/>
        </w:rPr>
        <w:t xml:space="preserve"> Eng</w:t>
      </w:r>
      <w:r w:rsidR="002D74DC" w:rsidRPr="001904C1">
        <w:rPr>
          <w:rFonts w:cs="Arial"/>
          <w:szCs w:val="18"/>
        </w:rPr>
        <w:t>ineering</w:t>
      </w:r>
      <w:r w:rsidRPr="001904C1">
        <w:rPr>
          <w:rFonts w:cs="Arial"/>
          <w:szCs w:val="18"/>
        </w:rPr>
        <w:t xml:space="preserve"> Trans</w:t>
      </w:r>
      <w:r w:rsidR="002D74DC" w:rsidRPr="001904C1">
        <w:rPr>
          <w:rFonts w:cs="Arial"/>
          <w:szCs w:val="18"/>
        </w:rPr>
        <w:t xml:space="preserve">actions, 105, </w:t>
      </w:r>
      <w:r w:rsidR="008E786A" w:rsidRPr="001904C1">
        <w:rPr>
          <w:rFonts w:cs="Arial"/>
          <w:szCs w:val="18"/>
        </w:rPr>
        <w:t>367</w:t>
      </w:r>
      <w:r w:rsidRPr="001904C1">
        <w:rPr>
          <w:rFonts w:cs="Arial"/>
          <w:szCs w:val="18"/>
        </w:rPr>
        <w:t>–</w:t>
      </w:r>
      <w:r w:rsidR="008E786A" w:rsidRPr="001904C1">
        <w:rPr>
          <w:rFonts w:cs="Arial"/>
          <w:szCs w:val="18"/>
        </w:rPr>
        <w:t>373</w:t>
      </w:r>
      <w:r w:rsidRPr="001904C1">
        <w:rPr>
          <w:rFonts w:cs="Arial"/>
          <w:szCs w:val="18"/>
        </w:rPr>
        <w:t>.</w:t>
      </w:r>
    </w:p>
    <w:p w14:paraId="2BC07A36" w14:textId="2D9D0459" w:rsidR="009165BE" w:rsidRPr="001904C1" w:rsidRDefault="00263689" w:rsidP="004D326E">
      <w:pPr>
        <w:pStyle w:val="Bibliografia"/>
        <w:ind w:left="284" w:hanging="284"/>
        <w:rPr>
          <w:rFonts w:cs="Arial"/>
          <w:szCs w:val="18"/>
        </w:rPr>
      </w:pPr>
      <w:r w:rsidRPr="001904C1">
        <w:rPr>
          <w:rFonts w:cs="Arial"/>
          <w:szCs w:val="18"/>
        </w:rPr>
        <w:t>Campo R., Di Prima N., Giustra M.G., Freni G., Di Bella G.,2016, Performance of a moving bed-membrane bioreactor treating saline wastewater contaminated by hydrocarbons from washing of oil tankers, Desalination Water Treat</w:t>
      </w:r>
      <w:r w:rsidR="009165BE" w:rsidRPr="001904C1">
        <w:rPr>
          <w:rFonts w:cs="Arial"/>
          <w:szCs w:val="18"/>
        </w:rPr>
        <w:t>ment,</w:t>
      </w:r>
      <w:r w:rsidRPr="001904C1">
        <w:rPr>
          <w:rFonts w:cs="Arial"/>
          <w:szCs w:val="18"/>
        </w:rPr>
        <w:t xml:space="preserve"> 57</w:t>
      </w:r>
      <w:r w:rsidR="009165BE" w:rsidRPr="001904C1">
        <w:rPr>
          <w:rFonts w:cs="Arial"/>
          <w:szCs w:val="18"/>
        </w:rPr>
        <w:t xml:space="preserve">, </w:t>
      </w:r>
      <w:r w:rsidRPr="001904C1">
        <w:rPr>
          <w:rFonts w:cs="Arial"/>
          <w:szCs w:val="18"/>
        </w:rPr>
        <w:t>22943–22952.</w:t>
      </w:r>
    </w:p>
    <w:p w14:paraId="7E89E4FC" w14:textId="6300AB82" w:rsidR="004D326E" w:rsidRPr="001904C1" w:rsidRDefault="004D326E" w:rsidP="004D326E">
      <w:pPr>
        <w:pStyle w:val="Bibliografia"/>
        <w:ind w:left="284" w:hanging="284"/>
        <w:rPr>
          <w:rFonts w:cs="Arial"/>
          <w:szCs w:val="18"/>
        </w:rPr>
      </w:pPr>
      <w:r w:rsidRPr="001904C1">
        <w:rPr>
          <w:rFonts w:cs="Arial"/>
          <w:szCs w:val="18"/>
        </w:rPr>
        <w:t>Duarte César S., De Jager D., Njoya M., 2024, Environmental trade-offs in energy production: A review of the produced water life cycle and environmental footprint, Marine Pollution Bulletin, 203, 116480-116494.</w:t>
      </w:r>
    </w:p>
    <w:p w14:paraId="6B9419A7" w14:textId="21F9CFEC" w:rsidR="00703876" w:rsidRPr="001904C1" w:rsidRDefault="00703876" w:rsidP="00452577">
      <w:pPr>
        <w:pStyle w:val="Bibliografia"/>
        <w:ind w:left="284" w:hanging="284"/>
        <w:rPr>
          <w:rFonts w:cs="Arial"/>
          <w:szCs w:val="18"/>
        </w:rPr>
      </w:pPr>
      <w:r w:rsidRPr="001904C1">
        <w:rPr>
          <w:rFonts w:cs="Arial"/>
          <w:szCs w:val="18"/>
        </w:rPr>
        <w:t xml:space="preserve">Filingeri A., </w:t>
      </w:r>
      <w:r w:rsidR="00452577" w:rsidRPr="001904C1">
        <w:rPr>
          <w:rFonts w:cs="Arial"/>
          <w:szCs w:val="18"/>
        </w:rPr>
        <w:t xml:space="preserve">Philibert M., </w:t>
      </w:r>
      <w:proofErr w:type="spellStart"/>
      <w:r w:rsidR="00452577" w:rsidRPr="001904C1">
        <w:rPr>
          <w:rFonts w:cs="Arial"/>
          <w:szCs w:val="18"/>
        </w:rPr>
        <w:t>Filloux</w:t>
      </w:r>
      <w:proofErr w:type="spellEnd"/>
      <w:r w:rsidR="00452577" w:rsidRPr="001904C1">
        <w:rPr>
          <w:rFonts w:cs="Arial"/>
          <w:szCs w:val="18"/>
        </w:rPr>
        <w:t xml:space="preserve"> E., Brehant A., Tamburini A., Cipollina A., Micale G., Assisted-Reverse Electrodialysis for permeate remineralization from surface water RO brines: Experimental investigation with multi-ionic solutions, Journal of Water Process Engineering, 67, 10615-10630.</w:t>
      </w:r>
    </w:p>
    <w:p w14:paraId="0B22938F" w14:textId="591090E9" w:rsidR="004D326E" w:rsidRPr="001904C1" w:rsidRDefault="004D326E" w:rsidP="004D326E">
      <w:pPr>
        <w:pStyle w:val="Bibliografia"/>
        <w:ind w:left="284" w:hanging="284"/>
        <w:rPr>
          <w:rFonts w:cs="Arial"/>
          <w:szCs w:val="18"/>
        </w:rPr>
      </w:pPr>
      <w:r w:rsidRPr="001904C1">
        <w:rPr>
          <w:rFonts w:cs="Arial"/>
          <w:szCs w:val="18"/>
        </w:rPr>
        <w:t>Ji Z., Liang H., Wang J., Yan Z., Liu B., Liu Z., Chang H., 2024, Integrated oxidation and membrane processes for produced water treatment: An overview and challenges, Separation and Purification Technology, 351, 128124-128147</w:t>
      </w:r>
    </w:p>
    <w:p w14:paraId="488379BD" w14:textId="77777777" w:rsidR="004D326E" w:rsidRPr="001904C1" w:rsidRDefault="004D326E" w:rsidP="004D326E">
      <w:pPr>
        <w:pStyle w:val="Bibliografia"/>
        <w:ind w:left="284" w:hanging="284"/>
        <w:rPr>
          <w:rFonts w:cs="Arial"/>
          <w:szCs w:val="18"/>
        </w:rPr>
      </w:pPr>
      <w:r w:rsidRPr="001904C1">
        <w:rPr>
          <w:rFonts w:cs="Arial"/>
          <w:szCs w:val="18"/>
        </w:rPr>
        <w:t>Jiménez</w:t>
      </w:r>
      <w:r w:rsidRPr="001904C1">
        <w:rPr>
          <w:rFonts w:eastAsia="Arial" w:cs="Arial"/>
          <w:szCs w:val="18"/>
        </w:rPr>
        <w:t xml:space="preserve"> </w:t>
      </w:r>
      <w:r w:rsidRPr="001904C1">
        <w:rPr>
          <w:rFonts w:eastAsia="Arial" w:cs="Arial"/>
          <w:szCs w:val="18"/>
        </w:rPr>
        <w:fldChar w:fldCharType="begin"/>
      </w:r>
      <w:r w:rsidRPr="001904C1">
        <w:rPr>
          <w:rFonts w:eastAsia="Arial" w:cs="Arial"/>
          <w:szCs w:val="18"/>
        </w:rPr>
        <w:instrText xml:space="preserve"> ADDIN ZOTERO_BIBL {"uncited":[],"omitted":[],"custom":[]} CSL_BIBLIOGRAPHY </w:instrText>
      </w:r>
      <w:r w:rsidRPr="001904C1">
        <w:rPr>
          <w:rFonts w:eastAsia="Arial" w:cs="Arial"/>
          <w:szCs w:val="18"/>
        </w:rPr>
        <w:fldChar w:fldCharType="separate"/>
      </w:r>
      <w:r w:rsidRPr="001904C1">
        <w:rPr>
          <w:rFonts w:cs="Arial"/>
          <w:szCs w:val="18"/>
        </w:rPr>
        <w:t>S., Micó, M. M., Arnaldos M., Medina F., Contreras S., 2018, State of the art of produced water treatment, Chemosphere, 192, 186–208.</w:t>
      </w:r>
    </w:p>
    <w:p w14:paraId="5D3D10E2" w14:textId="77777777" w:rsidR="004D326E" w:rsidRPr="001904C1" w:rsidRDefault="004D326E" w:rsidP="004D326E">
      <w:pPr>
        <w:pStyle w:val="Bibliografia"/>
        <w:ind w:left="284" w:hanging="284"/>
        <w:rPr>
          <w:rFonts w:cs="Arial"/>
          <w:szCs w:val="18"/>
        </w:rPr>
      </w:pPr>
      <w:r w:rsidRPr="001904C1">
        <w:rPr>
          <w:rFonts w:cs="Arial"/>
          <w:szCs w:val="18"/>
        </w:rPr>
        <w:t>Mansour M.S.M., Abdel-shafy H.I., Ibrahim A.M., 2024, Petroleum wastewater: Environmental protection, treatment, and safe reuse: An overview, Journal of Environmental Management, 351, 119827-119840.</w:t>
      </w:r>
    </w:p>
    <w:p w14:paraId="0B35EC16" w14:textId="7A8DD3B4" w:rsidR="00EB602B" w:rsidRPr="001904C1" w:rsidRDefault="004D326E" w:rsidP="00C766DC">
      <w:pPr>
        <w:pStyle w:val="Bibliografia"/>
        <w:ind w:left="284" w:hanging="284"/>
        <w:rPr>
          <w:rFonts w:cs="Arial"/>
          <w:szCs w:val="18"/>
        </w:rPr>
      </w:pPr>
      <w:r w:rsidRPr="001904C1">
        <w:rPr>
          <w:rFonts w:cs="Arial"/>
          <w:szCs w:val="18"/>
        </w:rPr>
        <w:t>Nie J., Chen Y., Cohen S., Carter B. D., Boehm R. F., 2009, Numerical and experimental study of three-dimensional fluid flow in the bipolar plate of a PEM electrolysis cell, International Journal of Thermal Sciences, 48, 10, 1914–1922.</w:t>
      </w:r>
    </w:p>
    <w:p w14:paraId="0DB6B8C4" w14:textId="7376B209" w:rsidR="00703876" w:rsidRPr="001904C1" w:rsidRDefault="00703876" w:rsidP="00452577">
      <w:pPr>
        <w:pStyle w:val="Bibliografia"/>
        <w:ind w:left="284" w:hanging="284"/>
        <w:rPr>
          <w:rFonts w:cs="Arial"/>
          <w:szCs w:val="18"/>
        </w:rPr>
      </w:pPr>
      <w:r w:rsidRPr="001904C1">
        <w:rPr>
          <w:rFonts w:cs="Arial"/>
          <w:szCs w:val="18"/>
        </w:rPr>
        <w:t xml:space="preserve">Pellegrino A., </w:t>
      </w:r>
      <w:r w:rsidR="00452577" w:rsidRPr="001904C1">
        <w:rPr>
          <w:rFonts w:cs="Arial"/>
          <w:szCs w:val="18"/>
        </w:rPr>
        <w:t>Campisi G., Proietto F., Tamburini A., Cipollina A., Galia A., Micale G., Scialdone O., Green hydrogen production via reverse electrodialysis and assisted reverse electrodialysis electrolyser: Experimental analysis and preliminary economic assessment, International Journal of Hydrogen Energy, 76, 1–15.</w:t>
      </w:r>
    </w:p>
    <w:p w14:paraId="6F706702" w14:textId="1A1AE3F7" w:rsidR="00263689" w:rsidRPr="001904C1" w:rsidRDefault="004D326E" w:rsidP="00286946">
      <w:pPr>
        <w:pStyle w:val="Bibliografia"/>
        <w:ind w:left="284" w:hanging="284"/>
        <w:rPr>
          <w:rFonts w:cs="Arial"/>
          <w:szCs w:val="18"/>
        </w:rPr>
      </w:pPr>
      <w:r w:rsidRPr="001904C1">
        <w:rPr>
          <w:rFonts w:cs="Arial"/>
          <w:szCs w:val="18"/>
        </w:rPr>
        <w:t>Wenzlick M. and Siefert N., 2020, Techno-economic analysis of converting oil &amp; gas produced water into valuable resources, Desalination, 481, 114381-114393.</w:t>
      </w:r>
    </w:p>
    <w:p w14:paraId="19C4FC68" w14:textId="1DF473F1" w:rsidR="004628D2" w:rsidRPr="00F93E19" w:rsidRDefault="004D326E" w:rsidP="004D326E">
      <w:pPr>
        <w:pStyle w:val="Bibliografia"/>
        <w:ind w:left="284" w:hanging="284"/>
        <w:rPr>
          <w:rFonts w:eastAsia="Arial" w:cs="Arial"/>
          <w:sz w:val="20"/>
        </w:rPr>
      </w:pPr>
      <w:r w:rsidRPr="001904C1">
        <w:rPr>
          <w:rFonts w:eastAsia="Arial" w:cs="Arial"/>
          <w:szCs w:val="18"/>
        </w:rPr>
        <w:fldChar w:fldCharType="end"/>
      </w:r>
    </w:p>
    <w:sectPr w:rsidR="004628D2" w:rsidRPr="00F93E19"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EB9BA" w14:textId="77777777" w:rsidR="00922AAA" w:rsidRDefault="00922AAA" w:rsidP="004F5E36">
      <w:r>
        <w:separator/>
      </w:r>
    </w:p>
  </w:endnote>
  <w:endnote w:type="continuationSeparator" w:id="0">
    <w:p w14:paraId="2F22B1DC" w14:textId="77777777" w:rsidR="00922AAA" w:rsidRDefault="00922AA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FA521" w14:textId="77777777" w:rsidR="00922AAA" w:rsidRDefault="00922AAA" w:rsidP="004F5E36">
      <w:r>
        <w:separator/>
      </w:r>
    </w:p>
  </w:footnote>
  <w:footnote w:type="continuationSeparator" w:id="0">
    <w:p w14:paraId="480E8BBE" w14:textId="77777777" w:rsidR="00922AAA" w:rsidRDefault="00922AA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19F412B"/>
    <w:multiLevelType w:val="hybridMultilevel"/>
    <w:tmpl w:val="C1C88620"/>
    <w:lvl w:ilvl="0" w:tplc="11EE44CC">
      <w:start w:val="1"/>
      <w:numFmt w:val="lowerLetter"/>
      <w:lvlText w:val="(%1)"/>
      <w:lvlJc w:val="left"/>
      <w:pPr>
        <w:ind w:left="6816" w:hanging="4320"/>
      </w:pPr>
      <w:rPr>
        <w:rFonts w:hint="default"/>
      </w:rPr>
    </w:lvl>
    <w:lvl w:ilvl="1" w:tplc="04100019" w:tentative="1">
      <w:start w:val="1"/>
      <w:numFmt w:val="lowerLetter"/>
      <w:lvlText w:val="%2."/>
      <w:lvlJc w:val="left"/>
      <w:pPr>
        <w:ind w:left="3576" w:hanging="360"/>
      </w:pPr>
    </w:lvl>
    <w:lvl w:ilvl="2" w:tplc="0410001B" w:tentative="1">
      <w:start w:val="1"/>
      <w:numFmt w:val="lowerRoman"/>
      <w:lvlText w:val="%3."/>
      <w:lvlJc w:val="right"/>
      <w:pPr>
        <w:ind w:left="4296" w:hanging="180"/>
      </w:pPr>
    </w:lvl>
    <w:lvl w:ilvl="3" w:tplc="0410000F" w:tentative="1">
      <w:start w:val="1"/>
      <w:numFmt w:val="decimal"/>
      <w:lvlText w:val="%4."/>
      <w:lvlJc w:val="left"/>
      <w:pPr>
        <w:ind w:left="5016" w:hanging="360"/>
      </w:pPr>
    </w:lvl>
    <w:lvl w:ilvl="4" w:tplc="04100019" w:tentative="1">
      <w:start w:val="1"/>
      <w:numFmt w:val="lowerLetter"/>
      <w:lvlText w:val="%5."/>
      <w:lvlJc w:val="left"/>
      <w:pPr>
        <w:ind w:left="5736" w:hanging="360"/>
      </w:pPr>
    </w:lvl>
    <w:lvl w:ilvl="5" w:tplc="0410001B" w:tentative="1">
      <w:start w:val="1"/>
      <w:numFmt w:val="lowerRoman"/>
      <w:lvlText w:val="%6."/>
      <w:lvlJc w:val="right"/>
      <w:pPr>
        <w:ind w:left="6456" w:hanging="180"/>
      </w:pPr>
    </w:lvl>
    <w:lvl w:ilvl="6" w:tplc="0410000F" w:tentative="1">
      <w:start w:val="1"/>
      <w:numFmt w:val="decimal"/>
      <w:lvlText w:val="%7."/>
      <w:lvlJc w:val="left"/>
      <w:pPr>
        <w:ind w:left="7176" w:hanging="360"/>
      </w:pPr>
    </w:lvl>
    <w:lvl w:ilvl="7" w:tplc="04100019" w:tentative="1">
      <w:start w:val="1"/>
      <w:numFmt w:val="lowerLetter"/>
      <w:lvlText w:val="%8."/>
      <w:lvlJc w:val="left"/>
      <w:pPr>
        <w:ind w:left="7896" w:hanging="360"/>
      </w:pPr>
    </w:lvl>
    <w:lvl w:ilvl="8" w:tplc="0410001B" w:tentative="1">
      <w:start w:val="1"/>
      <w:numFmt w:val="lowerRoman"/>
      <w:lvlText w:val="%9."/>
      <w:lvlJc w:val="right"/>
      <w:pPr>
        <w:ind w:left="8616" w:hanging="180"/>
      </w:pPr>
    </w:lvl>
  </w:abstractNum>
  <w:abstractNum w:abstractNumId="11"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7FD1262"/>
    <w:multiLevelType w:val="hybridMultilevel"/>
    <w:tmpl w:val="4012842C"/>
    <w:lvl w:ilvl="0" w:tplc="BBECC208">
      <w:start w:val="1"/>
      <w:numFmt w:val="lowerLetter"/>
      <w:lvlText w:val="(%1)"/>
      <w:lvlJc w:val="left"/>
      <w:pPr>
        <w:ind w:left="3108" w:hanging="360"/>
      </w:pPr>
      <w:rPr>
        <w:rFonts w:hint="default"/>
      </w:rPr>
    </w:lvl>
    <w:lvl w:ilvl="1" w:tplc="04100019" w:tentative="1">
      <w:start w:val="1"/>
      <w:numFmt w:val="lowerLetter"/>
      <w:lvlText w:val="%2."/>
      <w:lvlJc w:val="left"/>
      <w:pPr>
        <w:ind w:left="3828" w:hanging="360"/>
      </w:pPr>
    </w:lvl>
    <w:lvl w:ilvl="2" w:tplc="0410001B" w:tentative="1">
      <w:start w:val="1"/>
      <w:numFmt w:val="lowerRoman"/>
      <w:lvlText w:val="%3."/>
      <w:lvlJc w:val="right"/>
      <w:pPr>
        <w:ind w:left="4548" w:hanging="180"/>
      </w:pPr>
    </w:lvl>
    <w:lvl w:ilvl="3" w:tplc="0410000F" w:tentative="1">
      <w:start w:val="1"/>
      <w:numFmt w:val="decimal"/>
      <w:lvlText w:val="%4."/>
      <w:lvlJc w:val="left"/>
      <w:pPr>
        <w:ind w:left="5268" w:hanging="360"/>
      </w:pPr>
    </w:lvl>
    <w:lvl w:ilvl="4" w:tplc="04100019" w:tentative="1">
      <w:start w:val="1"/>
      <w:numFmt w:val="lowerLetter"/>
      <w:lvlText w:val="%5."/>
      <w:lvlJc w:val="left"/>
      <w:pPr>
        <w:ind w:left="5988" w:hanging="360"/>
      </w:pPr>
    </w:lvl>
    <w:lvl w:ilvl="5" w:tplc="0410001B" w:tentative="1">
      <w:start w:val="1"/>
      <w:numFmt w:val="lowerRoman"/>
      <w:lvlText w:val="%6."/>
      <w:lvlJc w:val="right"/>
      <w:pPr>
        <w:ind w:left="6708" w:hanging="180"/>
      </w:pPr>
    </w:lvl>
    <w:lvl w:ilvl="6" w:tplc="0410000F" w:tentative="1">
      <w:start w:val="1"/>
      <w:numFmt w:val="decimal"/>
      <w:lvlText w:val="%7."/>
      <w:lvlJc w:val="left"/>
      <w:pPr>
        <w:ind w:left="7428" w:hanging="360"/>
      </w:pPr>
    </w:lvl>
    <w:lvl w:ilvl="7" w:tplc="04100019" w:tentative="1">
      <w:start w:val="1"/>
      <w:numFmt w:val="lowerLetter"/>
      <w:lvlText w:val="%8."/>
      <w:lvlJc w:val="left"/>
      <w:pPr>
        <w:ind w:left="8148" w:hanging="360"/>
      </w:pPr>
    </w:lvl>
    <w:lvl w:ilvl="8" w:tplc="0410001B" w:tentative="1">
      <w:start w:val="1"/>
      <w:numFmt w:val="lowerRoman"/>
      <w:lvlText w:val="%9."/>
      <w:lvlJc w:val="right"/>
      <w:pPr>
        <w:ind w:left="8868" w:hanging="180"/>
      </w:p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8AB77B5"/>
    <w:multiLevelType w:val="hybridMultilevel"/>
    <w:tmpl w:val="C1C88620"/>
    <w:lvl w:ilvl="0" w:tplc="FFFFFFFF">
      <w:start w:val="1"/>
      <w:numFmt w:val="lowerLetter"/>
      <w:lvlText w:val="(%1)"/>
      <w:lvlJc w:val="left"/>
      <w:pPr>
        <w:ind w:left="6816" w:hanging="4320"/>
      </w:pPr>
      <w:rPr>
        <w:rFonts w:hint="default"/>
      </w:rPr>
    </w:lvl>
    <w:lvl w:ilvl="1" w:tplc="FFFFFFFF" w:tentative="1">
      <w:start w:val="1"/>
      <w:numFmt w:val="lowerLetter"/>
      <w:lvlText w:val="%2."/>
      <w:lvlJc w:val="left"/>
      <w:pPr>
        <w:ind w:left="3576" w:hanging="360"/>
      </w:pPr>
    </w:lvl>
    <w:lvl w:ilvl="2" w:tplc="FFFFFFFF" w:tentative="1">
      <w:start w:val="1"/>
      <w:numFmt w:val="lowerRoman"/>
      <w:lvlText w:val="%3."/>
      <w:lvlJc w:val="right"/>
      <w:pPr>
        <w:ind w:left="4296" w:hanging="180"/>
      </w:pPr>
    </w:lvl>
    <w:lvl w:ilvl="3" w:tplc="FFFFFFFF" w:tentative="1">
      <w:start w:val="1"/>
      <w:numFmt w:val="decimal"/>
      <w:lvlText w:val="%4."/>
      <w:lvlJc w:val="left"/>
      <w:pPr>
        <w:ind w:left="5016" w:hanging="360"/>
      </w:pPr>
    </w:lvl>
    <w:lvl w:ilvl="4" w:tplc="FFFFFFFF" w:tentative="1">
      <w:start w:val="1"/>
      <w:numFmt w:val="lowerLetter"/>
      <w:lvlText w:val="%5."/>
      <w:lvlJc w:val="left"/>
      <w:pPr>
        <w:ind w:left="5736" w:hanging="360"/>
      </w:pPr>
    </w:lvl>
    <w:lvl w:ilvl="5" w:tplc="FFFFFFFF" w:tentative="1">
      <w:start w:val="1"/>
      <w:numFmt w:val="lowerRoman"/>
      <w:lvlText w:val="%6."/>
      <w:lvlJc w:val="right"/>
      <w:pPr>
        <w:ind w:left="6456" w:hanging="180"/>
      </w:pPr>
    </w:lvl>
    <w:lvl w:ilvl="6" w:tplc="FFFFFFFF" w:tentative="1">
      <w:start w:val="1"/>
      <w:numFmt w:val="decimal"/>
      <w:lvlText w:val="%7."/>
      <w:lvlJc w:val="left"/>
      <w:pPr>
        <w:ind w:left="7176" w:hanging="360"/>
      </w:pPr>
    </w:lvl>
    <w:lvl w:ilvl="7" w:tplc="FFFFFFFF" w:tentative="1">
      <w:start w:val="1"/>
      <w:numFmt w:val="lowerLetter"/>
      <w:lvlText w:val="%8."/>
      <w:lvlJc w:val="left"/>
      <w:pPr>
        <w:ind w:left="7896" w:hanging="360"/>
      </w:pPr>
    </w:lvl>
    <w:lvl w:ilvl="8" w:tplc="FFFFFFFF" w:tentative="1">
      <w:start w:val="1"/>
      <w:numFmt w:val="lowerRoman"/>
      <w:lvlText w:val="%9."/>
      <w:lvlJc w:val="right"/>
      <w:pPr>
        <w:ind w:left="8616" w:hanging="180"/>
      </w:pPr>
    </w:lvl>
  </w:abstractNum>
  <w:num w:numId="1" w16cid:durableId="1316882765">
    <w:abstractNumId w:val="12"/>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9"/>
  </w:num>
  <w:num w:numId="13" w16cid:durableId="695733619">
    <w:abstractNumId w:val="14"/>
  </w:num>
  <w:num w:numId="14" w16cid:durableId="145903400">
    <w:abstractNumId w:val="20"/>
  </w:num>
  <w:num w:numId="15" w16cid:durableId="19162326">
    <w:abstractNumId w:val="23"/>
  </w:num>
  <w:num w:numId="16" w16cid:durableId="1977102699">
    <w:abstractNumId w:val="21"/>
  </w:num>
  <w:num w:numId="17" w16cid:durableId="860774865">
    <w:abstractNumId w:val="13"/>
  </w:num>
  <w:num w:numId="18" w16cid:durableId="313221457">
    <w:abstractNumId w:val="14"/>
    <w:lvlOverride w:ilvl="0">
      <w:startOverride w:val="1"/>
    </w:lvlOverride>
  </w:num>
  <w:num w:numId="19" w16cid:durableId="534971577">
    <w:abstractNumId w:val="18"/>
  </w:num>
  <w:num w:numId="20" w16cid:durableId="1150947773">
    <w:abstractNumId w:val="17"/>
  </w:num>
  <w:num w:numId="21" w16cid:durableId="124660497">
    <w:abstractNumId w:val="16"/>
  </w:num>
  <w:num w:numId="22" w16cid:durableId="2099861471">
    <w:abstractNumId w:val="15"/>
  </w:num>
  <w:num w:numId="23" w16cid:durableId="84351335">
    <w:abstractNumId w:val="11"/>
  </w:num>
  <w:num w:numId="24" w16cid:durableId="1077174130">
    <w:abstractNumId w:val="22"/>
  </w:num>
  <w:num w:numId="25" w16cid:durableId="510337332">
    <w:abstractNumId w:val="10"/>
  </w:num>
  <w:num w:numId="26" w16cid:durableId="562250920">
    <w:abstractNumId w:val="24"/>
  </w:num>
  <w:num w:numId="27" w16cid:durableId="209750860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0673B"/>
    <w:rsid w:val="000117CB"/>
    <w:rsid w:val="00011B39"/>
    <w:rsid w:val="00015817"/>
    <w:rsid w:val="0002003E"/>
    <w:rsid w:val="0003148D"/>
    <w:rsid w:val="00031EEC"/>
    <w:rsid w:val="000346DC"/>
    <w:rsid w:val="0004074D"/>
    <w:rsid w:val="00051566"/>
    <w:rsid w:val="00054938"/>
    <w:rsid w:val="000562A9"/>
    <w:rsid w:val="00062A9A"/>
    <w:rsid w:val="00065058"/>
    <w:rsid w:val="00075871"/>
    <w:rsid w:val="0008097C"/>
    <w:rsid w:val="00084FD4"/>
    <w:rsid w:val="00086C39"/>
    <w:rsid w:val="0009400F"/>
    <w:rsid w:val="000A03B2"/>
    <w:rsid w:val="000B4680"/>
    <w:rsid w:val="000C310B"/>
    <w:rsid w:val="000C6002"/>
    <w:rsid w:val="000D0268"/>
    <w:rsid w:val="000D34BE"/>
    <w:rsid w:val="000E0B3C"/>
    <w:rsid w:val="000E102F"/>
    <w:rsid w:val="000E336E"/>
    <w:rsid w:val="000E36F1"/>
    <w:rsid w:val="000E3A73"/>
    <w:rsid w:val="000E3BE2"/>
    <w:rsid w:val="000E414A"/>
    <w:rsid w:val="000E64F8"/>
    <w:rsid w:val="000E71A8"/>
    <w:rsid w:val="000E75FD"/>
    <w:rsid w:val="000F0046"/>
    <w:rsid w:val="000F093C"/>
    <w:rsid w:val="000F2CE0"/>
    <w:rsid w:val="000F787B"/>
    <w:rsid w:val="0012091F"/>
    <w:rsid w:val="00122E6D"/>
    <w:rsid w:val="00126BC2"/>
    <w:rsid w:val="001308B6"/>
    <w:rsid w:val="00130F17"/>
    <w:rsid w:val="0013121F"/>
    <w:rsid w:val="00131FE6"/>
    <w:rsid w:val="0013263F"/>
    <w:rsid w:val="001331DF"/>
    <w:rsid w:val="00134DE4"/>
    <w:rsid w:val="0014034D"/>
    <w:rsid w:val="00140FE3"/>
    <w:rsid w:val="00144D16"/>
    <w:rsid w:val="00146AC8"/>
    <w:rsid w:val="00150E59"/>
    <w:rsid w:val="00152DE3"/>
    <w:rsid w:val="00164CF9"/>
    <w:rsid w:val="0016668E"/>
    <w:rsid w:val="001667A6"/>
    <w:rsid w:val="001722E0"/>
    <w:rsid w:val="0018171E"/>
    <w:rsid w:val="00184AD6"/>
    <w:rsid w:val="001904C1"/>
    <w:rsid w:val="00197FA3"/>
    <w:rsid w:val="001A4AF7"/>
    <w:rsid w:val="001B0349"/>
    <w:rsid w:val="001B1E93"/>
    <w:rsid w:val="001B65C1"/>
    <w:rsid w:val="001C260F"/>
    <w:rsid w:val="001C5C3A"/>
    <w:rsid w:val="001C684B"/>
    <w:rsid w:val="001D0CFB"/>
    <w:rsid w:val="001D0FC8"/>
    <w:rsid w:val="001D21AF"/>
    <w:rsid w:val="001D272C"/>
    <w:rsid w:val="001D3D32"/>
    <w:rsid w:val="001D3DE3"/>
    <w:rsid w:val="001D53FC"/>
    <w:rsid w:val="001F42A5"/>
    <w:rsid w:val="001F7B9D"/>
    <w:rsid w:val="001F7E8F"/>
    <w:rsid w:val="00201C93"/>
    <w:rsid w:val="002224B4"/>
    <w:rsid w:val="00223BE9"/>
    <w:rsid w:val="00227AD8"/>
    <w:rsid w:val="00227CB8"/>
    <w:rsid w:val="00231C6F"/>
    <w:rsid w:val="00233C48"/>
    <w:rsid w:val="00235836"/>
    <w:rsid w:val="002447EF"/>
    <w:rsid w:val="00251550"/>
    <w:rsid w:val="00263689"/>
    <w:rsid w:val="00263B05"/>
    <w:rsid w:val="002651B6"/>
    <w:rsid w:val="0027221A"/>
    <w:rsid w:val="00272D22"/>
    <w:rsid w:val="00273B49"/>
    <w:rsid w:val="002756AF"/>
    <w:rsid w:val="00275B61"/>
    <w:rsid w:val="00280FAF"/>
    <w:rsid w:val="00282656"/>
    <w:rsid w:val="00286946"/>
    <w:rsid w:val="00296B83"/>
    <w:rsid w:val="002B4015"/>
    <w:rsid w:val="002B67F2"/>
    <w:rsid w:val="002B78CE"/>
    <w:rsid w:val="002C2FB6"/>
    <w:rsid w:val="002D74DC"/>
    <w:rsid w:val="002E0B18"/>
    <w:rsid w:val="002E1B48"/>
    <w:rsid w:val="002E5FA7"/>
    <w:rsid w:val="002F3309"/>
    <w:rsid w:val="002F4A02"/>
    <w:rsid w:val="003008CE"/>
    <w:rsid w:val="003009B7"/>
    <w:rsid w:val="00300E56"/>
    <w:rsid w:val="0030152C"/>
    <w:rsid w:val="00303B4D"/>
    <w:rsid w:val="0030469C"/>
    <w:rsid w:val="00304CE8"/>
    <w:rsid w:val="00306EB9"/>
    <w:rsid w:val="0031331E"/>
    <w:rsid w:val="0032048E"/>
    <w:rsid w:val="00321CA6"/>
    <w:rsid w:val="003230D5"/>
    <w:rsid w:val="00323763"/>
    <w:rsid w:val="00323C5F"/>
    <w:rsid w:val="003257DA"/>
    <w:rsid w:val="00325861"/>
    <w:rsid w:val="00334C09"/>
    <w:rsid w:val="00353051"/>
    <w:rsid w:val="00356010"/>
    <w:rsid w:val="003723D4"/>
    <w:rsid w:val="00376126"/>
    <w:rsid w:val="00377309"/>
    <w:rsid w:val="00381905"/>
    <w:rsid w:val="00384CC8"/>
    <w:rsid w:val="003871FD"/>
    <w:rsid w:val="00391C10"/>
    <w:rsid w:val="00392C29"/>
    <w:rsid w:val="0039417B"/>
    <w:rsid w:val="003A1E30"/>
    <w:rsid w:val="003A2829"/>
    <w:rsid w:val="003A2FAC"/>
    <w:rsid w:val="003A7D1C"/>
    <w:rsid w:val="003B304B"/>
    <w:rsid w:val="003B3146"/>
    <w:rsid w:val="003B49CD"/>
    <w:rsid w:val="003C0F0C"/>
    <w:rsid w:val="003D1E02"/>
    <w:rsid w:val="003F015E"/>
    <w:rsid w:val="003F0DF9"/>
    <w:rsid w:val="00400414"/>
    <w:rsid w:val="004050F0"/>
    <w:rsid w:val="00407005"/>
    <w:rsid w:val="0041446B"/>
    <w:rsid w:val="00425446"/>
    <w:rsid w:val="0043434D"/>
    <w:rsid w:val="0043778F"/>
    <w:rsid w:val="00437AF0"/>
    <w:rsid w:val="00437EC6"/>
    <w:rsid w:val="0044071E"/>
    <w:rsid w:val="004425C1"/>
    <w:rsid w:val="0044329C"/>
    <w:rsid w:val="00450958"/>
    <w:rsid w:val="00452577"/>
    <w:rsid w:val="00453653"/>
    <w:rsid w:val="00453E24"/>
    <w:rsid w:val="00455CA2"/>
    <w:rsid w:val="0045713D"/>
    <w:rsid w:val="00457456"/>
    <w:rsid w:val="004577FE"/>
    <w:rsid w:val="00457B9C"/>
    <w:rsid w:val="0046164A"/>
    <w:rsid w:val="004626AE"/>
    <w:rsid w:val="004628D2"/>
    <w:rsid w:val="00462DCD"/>
    <w:rsid w:val="004648AD"/>
    <w:rsid w:val="004703A9"/>
    <w:rsid w:val="004711A1"/>
    <w:rsid w:val="004746F6"/>
    <w:rsid w:val="004760DE"/>
    <w:rsid w:val="004763D7"/>
    <w:rsid w:val="00480431"/>
    <w:rsid w:val="00484A4C"/>
    <w:rsid w:val="004A004E"/>
    <w:rsid w:val="004A24CF"/>
    <w:rsid w:val="004A6E91"/>
    <w:rsid w:val="004B283F"/>
    <w:rsid w:val="004B2E2E"/>
    <w:rsid w:val="004C3D1D"/>
    <w:rsid w:val="004C3D84"/>
    <w:rsid w:val="004C7913"/>
    <w:rsid w:val="004D1851"/>
    <w:rsid w:val="004D326E"/>
    <w:rsid w:val="004D6F5D"/>
    <w:rsid w:val="004D773A"/>
    <w:rsid w:val="004D7C00"/>
    <w:rsid w:val="004E4DD6"/>
    <w:rsid w:val="004E63A0"/>
    <w:rsid w:val="004E683C"/>
    <w:rsid w:val="004F3EF2"/>
    <w:rsid w:val="004F5E36"/>
    <w:rsid w:val="005003A9"/>
    <w:rsid w:val="00507B47"/>
    <w:rsid w:val="00507BEF"/>
    <w:rsid w:val="00507CC9"/>
    <w:rsid w:val="005119A5"/>
    <w:rsid w:val="00512ED9"/>
    <w:rsid w:val="005278B7"/>
    <w:rsid w:val="00532016"/>
    <w:rsid w:val="005346C8"/>
    <w:rsid w:val="00543E7D"/>
    <w:rsid w:val="00547A68"/>
    <w:rsid w:val="005531C9"/>
    <w:rsid w:val="00554879"/>
    <w:rsid w:val="00556466"/>
    <w:rsid w:val="00564698"/>
    <w:rsid w:val="00570C43"/>
    <w:rsid w:val="00577192"/>
    <w:rsid w:val="00581912"/>
    <w:rsid w:val="00592274"/>
    <w:rsid w:val="00593E84"/>
    <w:rsid w:val="005A1609"/>
    <w:rsid w:val="005A19FF"/>
    <w:rsid w:val="005B2110"/>
    <w:rsid w:val="005B350B"/>
    <w:rsid w:val="005B61E6"/>
    <w:rsid w:val="005C2946"/>
    <w:rsid w:val="005C3BBA"/>
    <w:rsid w:val="005C4C50"/>
    <w:rsid w:val="005C4FF3"/>
    <w:rsid w:val="005C77E1"/>
    <w:rsid w:val="005D3D1D"/>
    <w:rsid w:val="005D5931"/>
    <w:rsid w:val="005D668A"/>
    <w:rsid w:val="005D68CF"/>
    <w:rsid w:val="005D6A2F"/>
    <w:rsid w:val="005E0592"/>
    <w:rsid w:val="005E1A82"/>
    <w:rsid w:val="005E57F2"/>
    <w:rsid w:val="005E794C"/>
    <w:rsid w:val="005F095D"/>
    <w:rsid w:val="005F0A28"/>
    <w:rsid w:val="005F0E5E"/>
    <w:rsid w:val="005F7B8A"/>
    <w:rsid w:val="00600535"/>
    <w:rsid w:val="00610CD6"/>
    <w:rsid w:val="00610E62"/>
    <w:rsid w:val="00620DEE"/>
    <w:rsid w:val="00621F92"/>
    <w:rsid w:val="0062280A"/>
    <w:rsid w:val="00622ADB"/>
    <w:rsid w:val="00622EB4"/>
    <w:rsid w:val="006231E1"/>
    <w:rsid w:val="00625639"/>
    <w:rsid w:val="00626342"/>
    <w:rsid w:val="006302CA"/>
    <w:rsid w:val="00631B33"/>
    <w:rsid w:val="00633F72"/>
    <w:rsid w:val="006415D9"/>
    <w:rsid w:val="0064184D"/>
    <w:rsid w:val="006422CC"/>
    <w:rsid w:val="00651D18"/>
    <w:rsid w:val="00655B71"/>
    <w:rsid w:val="00660E3E"/>
    <w:rsid w:val="00662E74"/>
    <w:rsid w:val="00676A9E"/>
    <w:rsid w:val="00680C23"/>
    <w:rsid w:val="00683E23"/>
    <w:rsid w:val="0068733B"/>
    <w:rsid w:val="00687BB7"/>
    <w:rsid w:val="006910FA"/>
    <w:rsid w:val="00693766"/>
    <w:rsid w:val="0069484A"/>
    <w:rsid w:val="006A3281"/>
    <w:rsid w:val="006A6DE5"/>
    <w:rsid w:val="006B4888"/>
    <w:rsid w:val="006B7E39"/>
    <w:rsid w:val="006C2E45"/>
    <w:rsid w:val="006C359C"/>
    <w:rsid w:val="006C5579"/>
    <w:rsid w:val="006D6E8B"/>
    <w:rsid w:val="006D7209"/>
    <w:rsid w:val="006E251D"/>
    <w:rsid w:val="006E737D"/>
    <w:rsid w:val="006E7F5D"/>
    <w:rsid w:val="007017BD"/>
    <w:rsid w:val="00703876"/>
    <w:rsid w:val="00706B07"/>
    <w:rsid w:val="00706B33"/>
    <w:rsid w:val="00707DD1"/>
    <w:rsid w:val="00713973"/>
    <w:rsid w:val="00720A24"/>
    <w:rsid w:val="00727D64"/>
    <w:rsid w:val="00732386"/>
    <w:rsid w:val="0073514D"/>
    <w:rsid w:val="007447F3"/>
    <w:rsid w:val="0075499F"/>
    <w:rsid w:val="007661C8"/>
    <w:rsid w:val="00770064"/>
    <w:rsid w:val="0077098D"/>
    <w:rsid w:val="007742C3"/>
    <w:rsid w:val="007811F8"/>
    <w:rsid w:val="00781E26"/>
    <w:rsid w:val="00785BF9"/>
    <w:rsid w:val="007931FA"/>
    <w:rsid w:val="007A4861"/>
    <w:rsid w:val="007A697D"/>
    <w:rsid w:val="007A7BBA"/>
    <w:rsid w:val="007B0C50"/>
    <w:rsid w:val="007B158D"/>
    <w:rsid w:val="007B3B85"/>
    <w:rsid w:val="007B48F9"/>
    <w:rsid w:val="007B7779"/>
    <w:rsid w:val="007C1A43"/>
    <w:rsid w:val="007D0951"/>
    <w:rsid w:val="007D0CC4"/>
    <w:rsid w:val="007D447A"/>
    <w:rsid w:val="007D610D"/>
    <w:rsid w:val="007D6E0B"/>
    <w:rsid w:val="007E28BA"/>
    <w:rsid w:val="0080013E"/>
    <w:rsid w:val="00801759"/>
    <w:rsid w:val="00810EA8"/>
    <w:rsid w:val="00813288"/>
    <w:rsid w:val="008144AD"/>
    <w:rsid w:val="008168FC"/>
    <w:rsid w:val="00827ACF"/>
    <w:rsid w:val="00830996"/>
    <w:rsid w:val="00832451"/>
    <w:rsid w:val="008345F1"/>
    <w:rsid w:val="00834DA9"/>
    <w:rsid w:val="00844DE9"/>
    <w:rsid w:val="0084649A"/>
    <w:rsid w:val="00860D53"/>
    <w:rsid w:val="00865B07"/>
    <w:rsid w:val="008667EA"/>
    <w:rsid w:val="0087404B"/>
    <w:rsid w:val="0087637F"/>
    <w:rsid w:val="00885C37"/>
    <w:rsid w:val="008914EC"/>
    <w:rsid w:val="00892AD5"/>
    <w:rsid w:val="008A034C"/>
    <w:rsid w:val="008A1512"/>
    <w:rsid w:val="008B3895"/>
    <w:rsid w:val="008B3C94"/>
    <w:rsid w:val="008D1CD5"/>
    <w:rsid w:val="008D32B9"/>
    <w:rsid w:val="008D433B"/>
    <w:rsid w:val="008D4A16"/>
    <w:rsid w:val="008E0290"/>
    <w:rsid w:val="008E5401"/>
    <w:rsid w:val="008E566E"/>
    <w:rsid w:val="008E786A"/>
    <w:rsid w:val="0090161A"/>
    <w:rsid w:val="00901EB6"/>
    <w:rsid w:val="009041F8"/>
    <w:rsid w:val="00904C62"/>
    <w:rsid w:val="009165BE"/>
    <w:rsid w:val="009169F2"/>
    <w:rsid w:val="00921275"/>
    <w:rsid w:val="00922AAA"/>
    <w:rsid w:val="00922BA8"/>
    <w:rsid w:val="00924DAC"/>
    <w:rsid w:val="00926660"/>
    <w:rsid w:val="00927058"/>
    <w:rsid w:val="0093064E"/>
    <w:rsid w:val="00942750"/>
    <w:rsid w:val="009450CE"/>
    <w:rsid w:val="0094597F"/>
    <w:rsid w:val="009459BB"/>
    <w:rsid w:val="00947179"/>
    <w:rsid w:val="0095164B"/>
    <w:rsid w:val="00952643"/>
    <w:rsid w:val="00954090"/>
    <w:rsid w:val="00956FBA"/>
    <w:rsid w:val="009573E7"/>
    <w:rsid w:val="00963E05"/>
    <w:rsid w:val="00964A45"/>
    <w:rsid w:val="00967843"/>
    <w:rsid w:val="00967D54"/>
    <w:rsid w:val="00971028"/>
    <w:rsid w:val="00976FFB"/>
    <w:rsid w:val="009912B8"/>
    <w:rsid w:val="00993B84"/>
    <w:rsid w:val="0099486C"/>
    <w:rsid w:val="00994C6A"/>
    <w:rsid w:val="00996483"/>
    <w:rsid w:val="00996F5A"/>
    <w:rsid w:val="009B041A"/>
    <w:rsid w:val="009B2541"/>
    <w:rsid w:val="009B6E57"/>
    <w:rsid w:val="009C37C3"/>
    <w:rsid w:val="009C7C86"/>
    <w:rsid w:val="009D2D2A"/>
    <w:rsid w:val="009D2FF7"/>
    <w:rsid w:val="009D4EAF"/>
    <w:rsid w:val="009D6432"/>
    <w:rsid w:val="009E7884"/>
    <w:rsid w:val="009E788A"/>
    <w:rsid w:val="009F0E08"/>
    <w:rsid w:val="00A07097"/>
    <w:rsid w:val="00A079AE"/>
    <w:rsid w:val="00A07C74"/>
    <w:rsid w:val="00A15842"/>
    <w:rsid w:val="00A15DFA"/>
    <w:rsid w:val="00A1763D"/>
    <w:rsid w:val="00A17CEC"/>
    <w:rsid w:val="00A27EF0"/>
    <w:rsid w:val="00A42361"/>
    <w:rsid w:val="00A440CF"/>
    <w:rsid w:val="00A50310"/>
    <w:rsid w:val="00A50B20"/>
    <w:rsid w:val="00A51390"/>
    <w:rsid w:val="00A563AC"/>
    <w:rsid w:val="00A56945"/>
    <w:rsid w:val="00A60D13"/>
    <w:rsid w:val="00A618DA"/>
    <w:rsid w:val="00A70B44"/>
    <w:rsid w:val="00A7223D"/>
    <w:rsid w:val="00A72745"/>
    <w:rsid w:val="00A7296E"/>
    <w:rsid w:val="00A76EFC"/>
    <w:rsid w:val="00A846CA"/>
    <w:rsid w:val="00A87D50"/>
    <w:rsid w:val="00A91010"/>
    <w:rsid w:val="00A9108F"/>
    <w:rsid w:val="00A92ACA"/>
    <w:rsid w:val="00A95951"/>
    <w:rsid w:val="00A97F29"/>
    <w:rsid w:val="00AA6B62"/>
    <w:rsid w:val="00AA702E"/>
    <w:rsid w:val="00AA7D26"/>
    <w:rsid w:val="00AB0964"/>
    <w:rsid w:val="00AB5011"/>
    <w:rsid w:val="00AC7050"/>
    <w:rsid w:val="00AC7368"/>
    <w:rsid w:val="00AD16B9"/>
    <w:rsid w:val="00AD2BF0"/>
    <w:rsid w:val="00AD7ECC"/>
    <w:rsid w:val="00AE377D"/>
    <w:rsid w:val="00AF0DB8"/>
    <w:rsid w:val="00AF0EBA"/>
    <w:rsid w:val="00AF2463"/>
    <w:rsid w:val="00AF751D"/>
    <w:rsid w:val="00B02C8A"/>
    <w:rsid w:val="00B16C96"/>
    <w:rsid w:val="00B17FBD"/>
    <w:rsid w:val="00B315A6"/>
    <w:rsid w:val="00B31813"/>
    <w:rsid w:val="00B32D6E"/>
    <w:rsid w:val="00B33365"/>
    <w:rsid w:val="00B36A53"/>
    <w:rsid w:val="00B54344"/>
    <w:rsid w:val="00B57B36"/>
    <w:rsid w:val="00B57E6F"/>
    <w:rsid w:val="00B60454"/>
    <w:rsid w:val="00B6494A"/>
    <w:rsid w:val="00B64C22"/>
    <w:rsid w:val="00B65244"/>
    <w:rsid w:val="00B76E25"/>
    <w:rsid w:val="00B85D4B"/>
    <w:rsid w:val="00B8686D"/>
    <w:rsid w:val="00B9165B"/>
    <w:rsid w:val="00B91F16"/>
    <w:rsid w:val="00B93F69"/>
    <w:rsid w:val="00BA548E"/>
    <w:rsid w:val="00BB1DDC"/>
    <w:rsid w:val="00BC30C9"/>
    <w:rsid w:val="00BD077D"/>
    <w:rsid w:val="00BE170D"/>
    <w:rsid w:val="00BE2E3B"/>
    <w:rsid w:val="00BE3E58"/>
    <w:rsid w:val="00BE55AA"/>
    <w:rsid w:val="00BF13CE"/>
    <w:rsid w:val="00C01616"/>
    <w:rsid w:val="00C0162B"/>
    <w:rsid w:val="00C068ED"/>
    <w:rsid w:val="00C22E0C"/>
    <w:rsid w:val="00C32BDB"/>
    <w:rsid w:val="00C345B1"/>
    <w:rsid w:val="00C36952"/>
    <w:rsid w:val="00C40142"/>
    <w:rsid w:val="00C4303C"/>
    <w:rsid w:val="00C4631E"/>
    <w:rsid w:val="00C528FD"/>
    <w:rsid w:val="00C52C3C"/>
    <w:rsid w:val="00C52E7F"/>
    <w:rsid w:val="00C56D2D"/>
    <w:rsid w:val="00C57182"/>
    <w:rsid w:val="00C57863"/>
    <w:rsid w:val="00C640AF"/>
    <w:rsid w:val="00C655FD"/>
    <w:rsid w:val="00C75407"/>
    <w:rsid w:val="00C766DC"/>
    <w:rsid w:val="00C806D6"/>
    <w:rsid w:val="00C841C6"/>
    <w:rsid w:val="00C870A8"/>
    <w:rsid w:val="00C87206"/>
    <w:rsid w:val="00C94434"/>
    <w:rsid w:val="00CA0D75"/>
    <w:rsid w:val="00CA1C95"/>
    <w:rsid w:val="00CA5A9C"/>
    <w:rsid w:val="00CA64B1"/>
    <w:rsid w:val="00CA7622"/>
    <w:rsid w:val="00CC1110"/>
    <w:rsid w:val="00CC2234"/>
    <w:rsid w:val="00CC4C20"/>
    <w:rsid w:val="00CD3517"/>
    <w:rsid w:val="00CD46B5"/>
    <w:rsid w:val="00CD5FE2"/>
    <w:rsid w:val="00CE7C68"/>
    <w:rsid w:val="00CF16D8"/>
    <w:rsid w:val="00D00063"/>
    <w:rsid w:val="00D01126"/>
    <w:rsid w:val="00D02B4C"/>
    <w:rsid w:val="00D0315A"/>
    <w:rsid w:val="00D040C4"/>
    <w:rsid w:val="00D11402"/>
    <w:rsid w:val="00D143F9"/>
    <w:rsid w:val="00D20AD1"/>
    <w:rsid w:val="00D2582C"/>
    <w:rsid w:val="00D3673C"/>
    <w:rsid w:val="00D4594E"/>
    <w:rsid w:val="00D463F9"/>
    <w:rsid w:val="00D46B7E"/>
    <w:rsid w:val="00D4706E"/>
    <w:rsid w:val="00D57C84"/>
    <w:rsid w:val="00D6057D"/>
    <w:rsid w:val="00D61E60"/>
    <w:rsid w:val="00D71640"/>
    <w:rsid w:val="00D71CD4"/>
    <w:rsid w:val="00D82A2A"/>
    <w:rsid w:val="00D8363F"/>
    <w:rsid w:val="00D836C5"/>
    <w:rsid w:val="00D83957"/>
    <w:rsid w:val="00D84576"/>
    <w:rsid w:val="00DA1399"/>
    <w:rsid w:val="00DA1B4A"/>
    <w:rsid w:val="00DA24C6"/>
    <w:rsid w:val="00DA4D7B"/>
    <w:rsid w:val="00DB26C8"/>
    <w:rsid w:val="00DB624E"/>
    <w:rsid w:val="00DC2840"/>
    <w:rsid w:val="00DC6335"/>
    <w:rsid w:val="00DC73EE"/>
    <w:rsid w:val="00DD271C"/>
    <w:rsid w:val="00DD7A19"/>
    <w:rsid w:val="00DE264A"/>
    <w:rsid w:val="00DE5975"/>
    <w:rsid w:val="00DF4277"/>
    <w:rsid w:val="00DF5072"/>
    <w:rsid w:val="00E02D18"/>
    <w:rsid w:val="00E041E7"/>
    <w:rsid w:val="00E06379"/>
    <w:rsid w:val="00E10EFA"/>
    <w:rsid w:val="00E11EDD"/>
    <w:rsid w:val="00E23CA1"/>
    <w:rsid w:val="00E30925"/>
    <w:rsid w:val="00E409A8"/>
    <w:rsid w:val="00E50C12"/>
    <w:rsid w:val="00E51AC5"/>
    <w:rsid w:val="00E65B91"/>
    <w:rsid w:val="00E67A6C"/>
    <w:rsid w:val="00E718D8"/>
    <w:rsid w:val="00E7209D"/>
    <w:rsid w:val="00E723E0"/>
    <w:rsid w:val="00E72EAD"/>
    <w:rsid w:val="00E7580F"/>
    <w:rsid w:val="00E77223"/>
    <w:rsid w:val="00E8254D"/>
    <w:rsid w:val="00E8528B"/>
    <w:rsid w:val="00E85B94"/>
    <w:rsid w:val="00E978D0"/>
    <w:rsid w:val="00EA4613"/>
    <w:rsid w:val="00EA7F91"/>
    <w:rsid w:val="00EB0BF3"/>
    <w:rsid w:val="00EB1523"/>
    <w:rsid w:val="00EB2EE3"/>
    <w:rsid w:val="00EB602B"/>
    <w:rsid w:val="00EB70AD"/>
    <w:rsid w:val="00EB7D17"/>
    <w:rsid w:val="00EC0331"/>
    <w:rsid w:val="00EC0E49"/>
    <w:rsid w:val="00EC101F"/>
    <w:rsid w:val="00EC1D9F"/>
    <w:rsid w:val="00EC7843"/>
    <w:rsid w:val="00EE0131"/>
    <w:rsid w:val="00EE17B0"/>
    <w:rsid w:val="00EE1B75"/>
    <w:rsid w:val="00EE57D7"/>
    <w:rsid w:val="00EE6A69"/>
    <w:rsid w:val="00EF06D9"/>
    <w:rsid w:val="00EF1B9B"/>
    <w:rsid w:val="00EF43BD"/>
    <w:rsid w:val="00EF78EE"/>
    <w:rsid w:val="00F04BE3"/>
    <w:rsid w:val="00F067B3"/>
    <w:rsid w:val="00F3049E"/>
    <w:rsid w:val="00F30C64"/>
    <w:rsid w:val="00F32BA2"/>
    <w:rsid w:val="00F32CDB"/>
    <w:rsid w:val="00F41EE4"/>
    <w:rsid w:val="00F51F68"/>
    <w:rsid w:val="00F5213D"/>
    <w:rsid w:val="00F565FE"/>
    <w:rsid w:val="00F618D0"/>
    <w:rsid w:val="00F63A70"/>
    <w:rsid w:val="00F63D8C"/>
    <w:rsid w:val="00F7534E"/>
    <w:rsid w:val="00F8601B"/>
    <w:rsid w:val="00F91D72"/>
    <w:rsid w:val="00F93E19"/>
    <w:rsid w:val="00F93EDF"/>
    <w:rsid w:val="00FA1802"/>
    <w:rsid w:val="00FA1F28"/>
    <w:rsid w:val="00FA21D0"/>
    <w:rsid w:val="00FA5F5F"/>
    <w:rsid w:val="00FA6BC6"/>
    <w:rsid w:val="00FA73BB"/>
    <w:rsid w:val="00FB4199"/>
    <w:rsid w:val="00FB531E"/>
    <w:rsid w:val="00FB730C"/>
    <w:rsid w:val="00FC2695"/>
    <w:rsid w:val="00FC3E03"/>
    <w:rsid w:val="00FC3FC1"/>
    <w:rsid w:val="00FD4251"/>
    <w:rsid w:val="00FE24AE"/>
    <w:rsid w:val="00FE2815"/>
    <w:rsid w:val="00FF6F8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Menzionenonrisolta">
    <w:name w:val="Unresolved Mention"/>
    <w:basedOn w:val="Carpredefinitoparagrafo"/>
    <w:uiPriority w:val="99"/>
    <w:semiHidden/>
    <w:unhideWhenUsed/>
    <w:rsid w:val="002636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charts/_rels/chart1.xml.rels><?xml version="1.0" encoding="UTF-8" standalone="yes"?>
<Relationships xmlns="http://schemas.openxmlformats.org/package/2006/relationships"><Relationship Id="rId3" Type="http://schemas.openxmlformats.org/officeDocument/2006/relationships/oleObject" Target="Cartel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12390261562132"/>
          <c:y val="0.10699588477366255"/>
          <c:w val="0.85014888673227895"/>
          <c:h val="0.60218669955412196"/>
        </c:manualLayout>
      </c:layout>
      <c:scatterChart>
        <c:scatterStyle val="lineMarker"/>
        <c:varyColors val="0"/>
        <c:ser>
          <c:idx val="0"/>
          <c:order val="0"/>
          <c:tx>
            <c:strRef>
              <c:f>Foglio1!$P$1</c:f>
              <c:strCache>
                <c:ptCount val="1"/>
                <c:pt idx="0">
                  <c:v>σHin [mS/cm]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Foglio1!$F$2:$F$113</c:f>
              <c:numCache>
                <c:formatCode>0.00</c:formatCode>
                <c:ptCount val="112"/>
                <c:pt idx="0">
                  <c:v>0</c:v>
                </c:pt>
                <c:pt idx="1">
                  <c:v>0.95347222222222228</c:v>
                </c:pt>
                <c:pt idx="3">
                  <c:v>1.0138888888888888</c:v>
                </c:pt>
                <c:pt idx="4">
                  <c:v>2.0659722222222223</c:v>
                </c:pt>
                <c:pt idx="6">
                  <c:v>2.1937500000000001</c:v>
                </c:pt>
                <c:pt idx="7">
                  <c:v>2.9201388888888888</c:v>
                </c:pt>
                <c:pt idx="8">
                  <c:v>3.052083333333333</c:v>
                </c:pt>
                <c:pt idx="10">
                  <c:v>8.2347222222222225</c:v>
                </c:pt>
                <c:pt idx="11">
                  <c:v>9.1527777777777786</c:v>
                </c:pt>
                <c:pt idx="13">
                  <c:v>9.1756944444444439</c:v>
                </c:pt>
                <c:pt idx="14">
                  <c:v>10.111111111111111</c:v>
                </c:pt>
                <c:pt idx="16">
                  <c:v>13.983333333333334</c:v>
                </c:pt>
                <c:pt idx="17">
                  <c:v>14.970138888888888</c:v>
                </c:pt>
                <c:pt idx="19">
                  <c:v>16.057638888888889</c:v>
                </c:pt>
                <c:pt idx="20">
                  <c:v>17.058333333333334</c:v>
                </c:pt>
                <c:pt idx="22">
                  <c:v>27.006944444444443</c:v>
                </c:pt>
                <c:pt idx="23">
                  <c:v>27.984027777777779</c:v>
                </c:pt>
                <c:pt idx="25">
                  <c:v>28.033333333333331</c:v>
                </c:pt>
                <c:pt idx="26">
                  <c:v>29.037500000000001</c:v>
                </c:pt>
                <c:pt idx="28">
                  <c:v>29.071527777777778</c:v>
                </c:pt>
                <c:pt idx="29">
                  <c:v>30</c:v>
                </c:pt>
                <c:pt idx="31">
                  <c:v>30.020833333333332</c:v>
                </c:pt>
                <c:pt idx="32">
                  <c:v>30.9375</c:v>
                </c:pt>
                <c:pt idx="34">
                  <c:v>34.049999999999997</c:v>
                </c:pt>
                <c:pt idx="35">
                  <c:v>35.00416666666667</c:v>
                </c:pt>
                <c:pt idx="36">
                  <c:v>35.147916666666667</c:v>
                </c:pt>
                <c:pt idx="38">
                  <c:v>35.999305555555559</c:v>
                </c:pt>
                <c:pt idx="39">
                  <c:v>36.96597222222222</c:v>
                </c:pt>
                <c:pt idx="41">
                  <c:v>36.980555555555554</c:v>
                </c:pt>
                <c:pt idx="42">
                  <c:v>38.020833333333336</c:v>
                </c:pt>
                <c:pt idx="44">
                  <c:v>97</c:v>
                </c:pt>
                <c:pt idx="45">
                  <c:v>97.941666666666663</c:v>
                </c:pt>
                <c:pt idx="47">
                  <c:v>97.997916666666669</c:v>
                </c:pt>
                <c:pt idx="48">
                  <c:v>99.033333333333331</c:v>
                </c:pt>
                <c:pt idx="50">
                  <c:v>99.06527777777778</c:v>
                </c:pt>
                <c:pt idx="51">
                  <c:v>99.987499999999997</c:v>
                </c:pt>
                <c:pt idx="53">
                  <c:v>100.00972222222222</c:v>
                </c:pt>
                <c:pt idx="54">
                  <c:v>100.9375</c:v>
                </c:pt>
                <c:pt idx="56">
                  <c:v>104.97638888888889</c:v>
                </c:pt>
                <c:pt idx="57">
                  <c:v>105.91736111111112</c:v>
                </c:pt>
                <c:pt idx="59">
                  <c:v>106.03333333333335</c:v>
                </c:pt>
                <c:pt idx="60">
                  <c:v>106.99375000000001</c:v>
                </c:pt>
                <c:pt idx="62">
                  <c:v>107.04027777777779</c:v>
                </c:pt>
                <c:pt idx="63">
                  <c:v>107.99166666666667</c:v>
                </c:pt>
                <c:pt idx="65">
                  <c:v>117.99166666666667</c:v>
                </c:pt>
                <c:pt idx="66">
                  <c:v>118.93958333333335</c:v>
                </c:pt>
                <c:pt idx="68" formatCode="General">
                  <c:v>139</c:v>
                </c:pt>
                <c:pt idx="69">
                  <c:v>139.92361111111111</c:v>
                </c:pt>
                <c:pt idx="71" formatCode="General">
                  <c:v>146.95138888888889</c:v>
                </c:pt>
                <c:pt idx="72" formatCode="General">
                  <c:v>147.92083333333332</c:v>
                </c:pt>
                <c:pt idx="74" formatCode="General">
                  <c:v>155.05833333333331</c:v>
                </c:pt>
                <c:pt idx="75" formatCode="General">
                  <c:v>155.92361111111109</c:v>
                </c:pt>
                <c:pt idx="77" formatCode="General">
                  <c:v>155.96527777777774</c:v>
                </c:pt>
                <c:pt idx="78" formatCode="General">
                  <c:v>156.92916666666665</c:v>
                </c:pt>
                <c:pt idx="80" formatCode="General">
                  <c:v>160.95347222222219</c:v>
                </c:pt>
                <c:pt idx="81" formatCode="General">
                  <c:v>161.92291666666662</c:v>
                </c:pt>
                <c:pt idx="83" formatCode="General">
                  <c:v>161.96597222222218</c:v>
                </c:pt>
                <c:pt idx="84" formatCode="General">
                  <c:v>162.93333333333328</c:v>
                </c:pt>
                <c:pt idx="86" formatCode="General">
                  <c:v>162.9791666666666</c:v>
                </c:pt>
                <c:pt idx="87" formatCode="General">
                  <c:v>163.92222222222216</c:v>
                </c:pt>
                <c:pt idx="89" formatCode="General">
                  <c:v>166.95416666666659</c:v>
                </c:pt>
                <c:pt idx="90" formatCode="General">
                  <c:v>167.93055555555549</c:v>
                </c:pt>
                <c:pt idx="92" formatCode="General">
                  <c:v>169.94444444444437</c:v>
                </c:pt>
                <c:pt idx="93" formatCode="General">
                  <c:v>170.92569444444436</c:v>
                </c:pt>
                <c:pt idx="95" formatCode="General">
                  <c:v>173.95486111111103</c:v>
                </c:pt>
                <c:pt idx="96" formatCode="General">
                  <c:v>174.91805555555547</c:v>
                </c:pt>
                <c:pt idx="98" formatCode="General">
                  <c:v>174.96249999999992</c:v>
                </c:pt>
                <c:pt idx="99" formatCode="General">
                  <c:v>175.93402777777769</c:v>
                </c:pt>
                <c:pt idx="101" formatCode="General">
                  <c:v>175.99236111111102</c:v>
                </c:pt>
                <c:pt idx="102" formatCode="General">
                  <c:v>176.92430555555546</c:v>
                </c:pt>
                <c:pt idx="104" formatCode="General">
                  <c:v>176.96388888888879</c:v>
                </c:pt>
                <c:pt idx="105" formatCode="General">
                  <c:v>177.96388888888879</c:v>
                </c:pt>
                <c:pt idx="107" formatCode="General">
                  <c:v>178.21527777777769</c:v>
                </c:pt>
                <c:pt idx="108" formatCode="General">
                  <c:v>180.87569444444435</c:v>
                </c:pt>
                <c:pt idx="110" formatCode="General">
                  <c:v>180.92152777777767</c:v>
                </c:pt>
                <c:pt idx="111" formatCode="General">
                  <c:v>181.93333333333322</c:v>
                </c:pt>
              </c:numCache>
            </c:numRef>
          </c:xVal>
          <c:yVal>
            <c:numRef>
              <c:f>Foglio1!$P$2:$P$113</c:f>
              <c:numCache>
                <c:formatCode>General</c:formatCode>
                <c:ptCount val="112"/>
                <c:pt idx="0">
                  <c:v>95.1</c:v>
                </c:pt>
                <c:pt idx="1">
                  <c:v>32.9</c:v>
                </c:pt>
                <c:pt idx="3">
                  <c:v>95.2</c:v>
                </c:pt>
                <c:pt idx="4">
                  <c:v>31.2</c:v>
                </c:pt>
                <c:pt idx="6">
                  <c:v>94.7</c:v>
                </c:pt>
                <c:pt idx="7">
                  <c:v>47.1</c:v>
                </c:pt>
                <c:pt idx="8">
                  <c:v>39.4</c:v>
                </c:pt>
                <c:pt idx="10">
                  <c:v>95.2</c:v>
                </c:pt>
                <c:pt idx="11">
                  <c:v>29.9</c:v>
                </c:pt>
                <c:pt idx="13">
                  <c:v>95.1</c:v>
                </c:pt>
                <c:pt idx="14">
                  <c:v>33.1</c:v>
                </c:pt>
                <c:pt idx="16">
                  <c:v>94.8</c:v>
                </c:pt>
                <c:pt idx="17">
                  <c:v>33.1</c:v>
                </c:pt>
                <c:pt idx="19">
                  <c:v>95.4</c:v>
                </c:pt>
                <c:pt idx="20">
                  <c:v>37</c:v>
                </c:pt>
                <c:pt idx="22">
                  <c:v>94.6</c:v>
                </c:pt>
                <c:pt idx="23">
                  <c:v>31.8</c:v>
                </c:pt>
                <c:pt idx="25">
                  <c:v>95.9</c:v>
                </c:pt>
                <c:pt idx="26">
                  <c:v>35</c:v>
                </c:pt>
                <c:pt idx="28">
                  <c:v>95.4</c:v>
                </c:pt>
                <c:pt idx="29">
                  <c:v>33.4</c:v>
                </c:pt>
                <c:pt idx="31">
                  <c:v>94.5</c:v>
                </c:pt>
                <c:pt idx="32">
                  <c:v>32.799999999999997</c:v>
                </c:pt>
                <c:pt idx="34">
                  <c:v>95.3</c:v>
                </c:pt>
                <c:pt idx="35">
                  <c:v>43.5</c:v>
                </c:pt>
                <c:pt idx="36">
                  <c:v>32.4</c:v>
                </c:pt>
                <c:pt idx="38">
                  <c:v>95.2</c:v>
                </c:pt>
                <c:pt idx="39">
                  <c:v>32.799999999999997</c:v>
                </c:pt>
                <c:pt idx="41">
                  <c:v>95.3</c:v>
                </c:pt>
                <c:pt idx="42">
                  <c:v>32.6</c:v>
                </c:pt>
                <c:pt idx="44">
                  <c:v>95.5</c:v>
                </c:pt>
                <c:pt idx="45">
                  <c:v>31</c:v>
                </c:pt>
                <c:pt idx="47">
                  <c:v>95.3</c:v>
                </c:pt>
                <c:pt idx="48">
                  <c:v>33</c:v>
                </c:pt>
                <c:pt idx="50">
                  <c:v>95.7</c:v>
                </c:pt>
                <c:pt idx="51">
                  <c:v>32.799999999999997</c:v>
                </c:pt>
                <c:pt idx="53">
                  <c:v>95.3</c:v>
                </c:pt>
                <c:pt idx="54">
                  <c:v>31.9</c:v>
                </c:pt>
                <c:pt idx="56">
                  <c:v>95.3</c:v>
                </c:pt>
                <c:pt idx="57">
                  <c:v>32.799999999999997</c:v>
                </c:pt>
                <c:pt idx="59">
                  <c:v>95.6</c:v>
                </c:pt>
                <c:pt idx="60">
                  <c:v>33.200000000000003</c:v>
                </c:pt>
                <c:pt idx="62">
                  <c:v>95.6</c:v>
                </c:pt>
                <c:pt idx="63">
                  <c:v>33.799999999999997</c:v>
                </c:pt>
                <c:pt idx="65">
                  <c:v>95.5</c:v>
                </c:pt>
                <c:pt idx="66">
                  <c:v>32.6</c:v>
                </c:pt>
                <c:pt idx="68">
                  <c:v>95.7</c:v>
                </c:pt>
                <c:pt idx="69">
                  <c:v>30.8</c:v>
                </c:pt>
                <c:pt idx="71">
                  <c:v>95.7</c:v>
                </c:pt>
                <c:pt idx="72">
                  <c:v>32.200000000000003</c:v>
                </c:pt>
                <c:pt idx="74">
                  <c:v>95.6</c:v>
                </c:pt>
                <c:pt idx="75">
                  <c:v>31.8</c:v>
                </c:pt>
                <c:pt idx="77">
                  <c:v>95.8</c:v>
                </c:pt>
                <c:pt idx="78">
                  <c:v>31.4</c:v>
                </c:pt>
                <c:pt idx="80">
                  <c:v>96.5</c:v>
                </c:pt>
                <c:pt idx="81">
                  <c:v>31</c:v>
                </c:pt>
                <c:pt idx="83">
                  <c:v>96.2</c:v>
                </c:pt>
                <c:pt idx="84">
                  <c:v>32.200000000000003</c:v>
                </c:pt>
                <c:pt idx="86">
                  <c:v>96.3</c:v>
                </c:pt>
                <c:pt idx="87">
                  <c:v>32.799999999999997</c:v>
                </c:pt>
                <c:pt idx="89">
                  <c:v>96</c:v>
                </c:pt>
                <c:pt idx="90">
                  <c:v>31.8</c:v>
                </c:pt>
                <c:pt idx="92">
                  <c:v>95.9</c:v>
                </c:pt>
                <c:pt idx="93">
                  <c:v>32.700000000000003</c:v>
                </c:pt>
                <c:pt idx="95">
                  <c:v>96.4</c:v>
                </c:pt>
                <c:pt idx="96">
                  <c:v>32.700000000000003</c:v>
                </c:pt>
                <c:pt idx="98">
                  <c:v>96.4</c:v>
                </c:pt>
                <c:pt idx="99">
                  <c:v>34.1</c:v>
                </c:pt>
                <c:pt idx="101">
                  <c:v>96.3</c:v>
                </c:pt>
                <c:pt idx="102">
                  <c:v>32.799999999999997</c:v>
                </c:pt>
                <c:pt idx="104">
                  <c:v>95.9</c:v>
                </c:pt>
                <c:pt idx="105">
                  <c:v>33.5</c:v>
                </c:pt>
                <c:pt idx="107">
                  <c:v>90.7</c:v>
                </c:pt>
                <c:pt idx="108">
                  <c:v>29.9</c:v>
                </c:pt>
                <c:pt idx="110">
                  <c:v>90.7</c:v>
                </c:pt>
                <c:pt idx="111">
                  <c:v>32.799999999999997</c:v>
                </c:pt>
              </c:numCache>
            </c:numRef>
          </c:yVal>
          <c:smooth val="0"/>
          <c:extLst>
            <c:ext xmlns:c16="http://schemas.microsoft.com/office/drawing/2014/chart" uri="{C3380CC4-5D6E-409C-BE32-E72D297353CC}">
              <c16:uniqueId val="{00000000-37FE-4918-BB8E-5469A50A57E2}"/>
            </c:ext>
          </c:extLst>
        </c:ser>
        <c:ser>
          <c:idx val="1"/>
          <c:order val="1"/>
          <c:tx>
            <c:strRef>
              <c:f>Foglio1!$Y$1</c:f>
              <c:strCache>
                <c:ptCount val="1"/>
                <c:pt idx="0">
                  <c:v>Cgoal</c:v>
                </c:pt>
              </c:strCache>
            </c:strRef>
          </c:tx>
          <c:spPr>
            <a:ln w="19050" cap="rnd">
              <a:solidFill>
                <a:schemeClr val="tx1"/>
              </a:solidFill>
              <a:prstDash val="dashDot"/>
              <a:round/>
            </a:ln>
            <a:effectLst/>
          </c:spPr>
          <c:marker>
            <c:symbol val="circle"/>
            <c:size val="5"/>
            <c:spPr>
              <a:solidFill>
                <a:schemeClr val="accent2"/>
              </a:solidFill>
              <a:ln w="9525">
                <a:solidFill>
                  <a:schemeClr val="accent2"/>
                </a:solidFill>
              </a:ln>
              <a:effectLst/>
            </c:spPr>
          </c:marker>
          <c:xVal>
            <c:numRef>
              <c:f>Foglio1!$Y$2:$Y$3</c:f>
              <c:numCache>
                <c:formatCode>General</c:formatCode>
                <c:ptCount val="2"/>
                <c:pt idx="0">
                  <c:v>-1</c:v>
                </c:pt>
                <c:pt idx="1">
                  <c:v>200</c:v>
                </c:pt>
              </c:numCache>
            </c:numRef>
          </c:xVal>
          <c:yVal>
            <c:numRef>
              <c:f>Foglio1!$Z$2:$Z$3</c:f>
              <c:numCache>
                <c:formatCode>General</c:formatCode>
                <c:ptCount val="2"/>
                <c:pt idx="0">
                  <c:v>32.799999999999997</c:v>
                </c:pt>
                <c:pt idx="1">
                  <c:v>32.799999999999997</c:v>
                </c:pt>
              </c:numCache>
            </c:numRef>
          </c:yVal>
          <c:smooth val="0"/>
          <c:extLst>
            <c:ext xmlns:c16="http://schemas.microsoft.com/office/drawing/2014/chart" uri="{C3380CC4-5D6E-409C-BE32-E72D297353CC}">
              <c16:uniqueId val="{00000001-37FE-4918-BB8E-5469A50A57E2}"/>
            </c:ext>
          </c:extLst>
        </c:ser>
        <c:dLbls>
          <c:showLegendKey val="0"/>
          <c:showVal val="0"/>
          <c:showCatName val="0"/>
          <c:showSerName val="0"/>
          <c:showPercent val="0"/>
          <c:showBubbleSize val="0"/>
        </c:dLbls>
        <c:axId val="-582470880"/>
        <c:axId val="-582468704"/>
      </c:scatterChart>
      <c:valAx>
        <c:axId val="-582470880"/>
        <c:scaling>
          <c:orientation val="minMax"/>
          <c:max val="185"/>
          <c:min val="0"/>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time [days]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t-IT"/>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t-IT"/>
          </a:p>
        </c:txPr>
        <c:crossAx val="-582468704"/>
        <c:crosses val="autoZero"/>
        <c:crossBetween val="midCat"/>
      </c:valAx>
      <c:valAx>
        <c:axId val="-582468704"/>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Conducibilità [mS/cm]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t-I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t-IT"/>
          </a:p>
        </c:txPr>
        <c:crossAx val="-5824708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chemeClr val="tx1"/>
          </a:solidFill>
          <a:latin typeface="Times New Roman" panose="02020603050405020304" pitchFamily="18" charset="0"/>
          <a:cs typeface="Times New Roman" panose="02020603050405020304" pitchFamily="18" charset="0"/>
        </a:defRPr>
      </a:pPr>
      <a:endParaRPr lang="it-IT"/>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0.9352</cdr:x>
      <cdr:y>0</cdr:y>
    </cdr:from>
    <cdr:to>
      <cdr:x>1</cdr:x>
      <cdr:y>0.24096</cdr:y>
    </cdr:to>
    <cdr:sp macro="" textlink="">
      <cdr:nvSpPr>
        <cdr:cNvPr id="2" name="Casella di testo 2"/>
        <cdr:cNvSpPr txBox="1">
          <a:spLocks xmlns:a="http://schemas.openxmlformats.org/drawingml/2006/main" noChangeArrowheads="1"/>
        </cdr:cNvSpPr>
      </cdr:nvSpPr>
      <cdr:spPr bwMode="auto">
        <a:xfrm xmlns:a="http://schemas.openxmlformats.org/drawingml/2006/main">
          <a:off x="4838700" y="0"/>
          <a:ext cx="335280" cy="3048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just">
            <a:lnSpc>
              <a:spcPct val="110000"/>
            </a:lnSpc>
            <a:tabLst>
              <a:tab pos="4508500" algn="r"/>
            </a:tabLst>
          </a:pPr>
          <a:r>
            <a:rPr lang="en-GB" sz="900">
              <a:effectLst/>
              <a:latin typeface="Arial" panose="020B0604020202020204" pitchFamily="34" charset="0"/>
              <a:ea typeface="Times New Roman" panose="02020603050405020304" pitchFamily="18" charset="0"/>
              <a:cs typeface="Times New Roman" panose="02020603050405020304" pitchFamily="18" charset="0"/>
            </a:rPr>
            <a:t>(a)</a:t>
          </a:r>
          <a:endParaRPr lang="it-IT" sz="9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3020</Words>
  <Characters>17220</Characters>
  <Application>Microsoft Office Word</Application>
  <DocSecurity>0</DocSecurity>
  <Lines>143</Lines>
  <Paragraphs>40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SERENA RANDAZZO</cp:lastModifiedBy>
  <cp:revision>6</cp:revision>
  <cp:lastPrinted>2015-05-12T18:31:00Z</cp:lastPrinted>
  <dcterms:created xsi:type="dcterms:W3CDTF">2025-03-04T21:32:00Z</dcterms:created>
  <dcterms:modified xsi:type="dcterms:W3CDTF">2025-03-04T22:15:00Z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