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D756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D756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D7564">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4BEEFC85" w:rsidR="00E978D0" w:rsidRPr="00B57B36" w:rsidRDefault="008D7564" w:rsidP="008D7564">
      <w:pPr>
        <w:pStyle w:val="CETTitle"/>
      </w:pPr>
      <w:r>
        <w:t>Impact of Battery Degradation on Thermal Runaway Risks in Lithium-Ion Batteries: A Statistical and Modelling Approach</w:t>
      </w:r>
    </w:p>
    <w:p w14:paraId="0488FED2" w14:textId="53EECE8E" w:rsidR="00B57E6F" w:rsidRPr="008D7564" w:rsidRDefault="008D7564" w:rsidP="008D7564">
      <w:pPr>
        <w:pStyle w:val="CETAuthors"/>
      </w:pPr>
      <w:r w:rsidRPr="008D7564">
        <w:t>Milad Tulabi*, Roberto Bubbico</w:t>
      </w:r>
    </w:p>
    <w:p w14:paraId="3D72B0B0" w14:textId="21190E6B" w:rsidR="00B57E6F" w:rsidRPr="008D7564" w:rsidRDefault="008D7564" w:rsidP="008D7564">
      <w:pPr>
        <w:pStyle w:val="CETAddress"/>
      </w:pPr>
      <w:r w:rsidRPr="008D7564">
        <w:t>Department of Chemical Material and Environmental Engineering, “Sapienza” Rome University, Via Eudossiana 18, 00184, Rome, Italy</w:t>
      </w:r>
      <w:r w:rsidR="00B57E6F" w:rsidRPr="008D7564">
        <w:t xml:space="preserve"> </w:t>
      </w:r>
    </w:p>
    <w:p w14:paraId="73F1267A" w14:textId="34EA2A20" w:rsidR="00B57E6F" w:rsidRPr="00B57B36" w:rsidRDefault="008D7564" w:rsidP="00B57E6F">
      <w:pPr>
        <w:pStyle w:val="CETemail"/>
      </w:pPr>
      <w:r>
        <w:t>*milad.tulabi@uniroma1.it</w:t>
      </w:r>
    </w:p>
    <w:p w14:paraId="38F76186" w14:textId="00B7CFCC" w:rsidR="006A6DE5" w:rsidRPr="008D7564" w:rsidRDefault="008D7564" w:rsidP="008D7564">
      <w:pPr>
        <w:pStyle w:val="CETBodytext"/>
        <w:rPr>
          <w:lang w:val="en-GB"/>
        </w:rPr>
      </w:pPr>
      <w:r w:rsidRPr="008D7564">
        <w:rPr>
          <w:lang w:val="en-GB"/>
        </w:rPr>
        <w:t>Li-ion batteries are commonly used in an increasing number of applications</w:t>
      </w:r>
      <w:r>
        <w:rPr>
          <w:lang w:val="en-GB"/>
        </w:rPr>
        <w:t xml:space="preserve">, </w:t>
      </w:r>
      <w:r w:rsidRPr="008D7564">
        <w:rPr>
          <w:lang w:val="en-GB"/>
        </w:rPr>
        <w:t xml:space="preserve">but they are characterized by different safety problems connected with their operating temperature. In fact, depending on the balance between the heat internally produced during operation and that dissipated towards the external environment, a thermal runaway can occur beyond certain values of the internal temperature, with possible dangerous events, such as fires and explosions. While most existing research investigates TR in new or minimally cycled batteries, real-world TR incidents predominantly occur in aged batteries, underscoring the need for a targeted investigation into the aging effects. This study will examine the effect of battery degradation on the likelihood of thermal runaway (TR) events, with a focus on the main degradation parameters that impact thermal behavior in lithium-ion batteries (LIBs), such as internal resistance, the charge/discharge current, and the cell capacity. A mathematical model was developed and validated against established literature, allowing for a detailed statistical analysis of each parameter's influence on TR. Preliminary results indicate that charge/discharge current is the most significant contributor, showing the lowest p-value with confident level of 95% in relation to temperature increases at a state of charge (SOC) of </w:t>
      </w:r>
      <w:r w:rsidR="00CD26AB">
        <w:rPr>
          <w:lang w:val="en-GB"/>
        </w:rPr>
        <w:t>50</w:t>
      </w:r>
      <w:r w:rsidRPr="008D7564">
        <w:rPr>
          <w:lang w:val="en-GB"/>
        </w:rPr>
        <w:t>%. The findings of this study will enhance understanding of TR risks in aged LIBs and provide a foundation for improved battery management strategies to mitigate safety hazards in degraded batteries.</w:t>
      </w:r>
      <w:r w:rsidR="006A6DE5" w:rsidRPr="00B60AE4">
        <w:t xml:space="preserve"> </w:t>
      </w:r>
    </w:p>
    <w:p w14:paraId="476B2F2E" w14:textId="52B36035" w:rsidR="00600535" w:rsidRPr="00B57B36" w:rsidRDefault="00600535" w:rsidP="00600535">
      <w:pPr>
        <w:pStyle w:val="CETHeading1"/>
        <w:rPr>
          <w:lang w:val="en-GB"/>
        </w:rPr>
      </w:pPr>
      <w:r w:rsidRPr="00B57B36">
        <w:rPr>
          <w:lang w:val="en-GB"/>
        </w:rPr>
        <w:t>Introduction</w:t>
      </w:r>
    </w:p>
    <w:p w14:paraId="04B39996" w14:textId="4EFD34C4" w:rsidR="00366A1D" w:rsidRDefault="00366A1D" w:rsidP="00366A1D">
      <w:pPr>
        <w:pStyle w:val="CETBodytext"/>
      </w:pPr>
      <w:r w:rsidRPr="00366A1D">
        <w:t>Energy production, particularly from fossil fuels, is the primary source of global greenhouse gas emissions and air pollution</w:t>
      </w:r>
      <w:r>
        <w:t xml:space="preserve"> </w:t>
      </w:r>
      <w:r w:rsidR="00FB4523">
        <w:t>(Wan</w:t>
      </w:r>
      <w:r w:rsidR="0056128B">
        <w:t>g</w:t>
      </w:r>
      <w:r w:rsidR="00FB4523">
        <w:t xml:space="preserve"> and Azam, 2024)</w:t>
      </w:r>
      <w:r w:rsidRPr="00366A1D">
        <w:t>, contributing to millions of deaths each year. The current reliance on fossil fuels is increasingly problematic due to rising demand, depletion of resources, and geopolitical instability. To address climate change and cut CO</w:t>
      </w:r>
      <w:r w:rsidRPr="00366A1D">
        <w:rPr>
          <w:rFonts w:ascii="Cambria Math" w:hAnsi="Cambria Math" w:cs="Cambria Math"/>
        </w:rPr>
        <w:t>₂</w:t>
      </w:r>
      <w:r w:rsidRPr="00366A1D">
        <w:t xml:space="preserve"> emissions, a transition to low-carbon energy sources like wind and solar power is crucial. Effective energy storage solutions, such as batteries and supercapacitors, are needed to manage the variability of renewable energy and maintain a consistent power supply. Additionally, adopting electric and hybrid vehicles can play a significant role in reducing emissions in the transportation sector.</w:t>
      </w:r>
      <w:r>
        <w:t xml:space="preserve"> </w:t>
      </w:r>
      <w:r w:rsidRPr="00366A1D">
        <w:t>Lithium-ion batteries are a type of secondary battery that is usually used for portable electronic devices and electric cars, and every day they are getting more popular for use in various industries.</w:t>
      </w:r>
    </w:p>
    <w:p w14:paraId="26E7344A" w14:textId="4D2EB15F" w:rsidR="00366A1D" w:rsidRDefault="007045FD" w:rsidP="00366A1D">
      <w:pPr>
        <w:pStyle w:val="CETBodytext"/>
      </w:pPr>
      <w:r>
        <w:t>T</w:t>
      </w:r>
      <w:r w:rsidR="00366A1D" w:rsidRPr="00366A1D">
        <w:t xml:space="preserve">he safety of lithium-ion batteries is heavily influenced by the failure of individual components, or the integrity of the battery system. These vulnerabilities become pronounced under various abusive conditions, including but not limited to overcharging, which can lead to </w:t>
      </w:r>
      <w:r w:rsidR="000F3E3E">
        <w:t>T</w:t>
      </w:r>
      <w:r w:rsidR="00366A1D" w:rsidRPr="00366A1D">
        <w:t xml:space="preserve">hermal </w:t>
      </w:r>
      <w:r w:rsidR="000F3E3E">
        <w:t>R</w:t>
      </w:r>
      <w:r w:rsidR="00366A1D" w:rsidRPr="00366A1D">
        <w:t xml:space="preserve">unaway </w:t>
      </w:r>
      <w:r w:rsidR="000F3E3E" w:rsidRPr="00366A1D">
        <w:t xml:space="preserve">(TR) </w:t>
      </w:r>
      <w:r w:rsidR="00366A1D" w:rsidRPr="00366A1D">
        <w:t>and subsequent catastrophic failure, dendritic lithium growth within the cell, causing internal short circuits, dissolution of current collectors compromising electrical conductivity, and the evolution of gas, potentially leading to pressure build-up and rupture</w:t>
      </w:r>
      <w:r w:rsidR="00282435">
        <w:t xml:space="preserve"> (Bubbico et al., 2018)</w:t>
      </w:r>
      <w:r w:rsidR="00366A1D" w:rsidRPr="00366A1D">
        <w:t xml:space="preserve">. These factors collectively contribute to the intricate safety challenges inherent in lithium-ion battery technology </w:t>
      </w:r>
      <w:r w:rsidR="0056128B">
        <w:t>(Wen et al., 2012)</w:t>
      </w:r>
      <w:r>
        <w:t>.</w:t>
      </w:r>
      <w:r w:rsidR="000F3E3E">
        <w:t xml:space="preserve"> </w:t>
      </w:r>
      <w:r w:rsidR="00366A1D" w:rsidRPr="00366A1D">
        <w:t xml:space="preserve">Thermal </w:t>
      </w:r>
      <w:r w:rsidR="000F3E3E">
        <w:t>r</w:t>
      </w:r>
      <w:r w:rsidR="00366A1D" w:rsidRPr="00366A1D">
        <w:t xml:space="preserve">unaway involves a chain reaction mechanism triggered by abnormal temperature increases in Li-ion cells under abusive conditions. This process is fueled by the Heat-Temperature-Reaction (HTR) loop. Initially, abnormal heat generation raises the cell's temperature, initiating side reactions like the decomposition of the solid electrolyte interface (SEI). These reactions release additional heat, perpetuating the HTR loop until the cell undergoes Thermal Runaway </w:t>
      </w:r>
      <w:r w:rsidR="0056128B">
        <w:t>(Feng et al. 2018)</w:t>
      </w:r>
      <w:r w:rsidR="00B003A6">
        <w:t>.</w:t>
      </w:r>
      <w:r w:rsidR="00366A1D">
        <w:t xml:space="preserve"> </w:t>
      </w:r>
      <w:r w:rsidR="00366A1D">
        <w:lastRenderedPageBreak/>
        <w:t>R</w:t>
      </w:r>
      <w:r w:rsidR="00366A1D" w:rsidRPr="00366A1D">
        <w:t>eactions leading to thermal runaway</w:t>
      </w:r>
      <w:r w:rsidR="00B003A6">
        <w:t xml:space="preserve"> can be</w:t>
      </w:r>
      <w:r w:rsidR="00366A1D">
        <w:t xml:space="preserve"> </w:t>
      </w:r>
      <w:r w:rsidR="00366A1D" w:rsidRPr="00366A1D">
        <w:t>categorize</w:t>
      </w:r>
      <w:r w:rsidR="00B003A6">
        <w:t>d</w:t>
      </w:r>
      <w:r w:rsidR="00366A1D" w:rsidRPr="00366A1D">
        <w:t xml:space="preserve"> based on the area </w:t>
      </w:r>
      <w:r w:rsidR="00B003A6">
        <w:t xml:space="preserve">where </w:t>
      </w:r>
      <w:r w:rsidR="00366A1D" w:rsidRPr="00366A1D">
        <w:t xml:space="preserve">they </w:t>
      </w:r>
      <w:r w:rsidR="00AD0869" w:rsidRPr="00366A1D">
        <w:t>happen</w:t>
      </w:r>
      <w:r w:rsidR="00B003A6">
        <w:t>:</w:t>
      </w:r>
      <w:r w:rsidR="00366A1D">
        <w:t xml:space="preserve"> a</w:t>
      </w:r>
      <w:r w:rsidR="00366A1D" w:rsidRPr="00366A1D">
        <w:t xml:space="preserve">node </w:t>
      </w:r>
      <w:r w:rsidR="00366A1D">
        <w:t>r</w:t>
      </w:r>
      <w:r w:rsidR="00366A1D" w:rsidRPr="00366A1D">
        <w:t>eactions</w:t>
      </w:r>
      <w:r w:rsidR="00366A1D">
        <w:t>, cathode reactions and e</w:t>
      </w:r>
      <w:r w:rsidR="00366A1D" w:rsidRPr="00366A1D">
        <w:t>lectrolyte decompositions</w:t>
      </w:r>
      <w:r w:rsidR="00366A1D">
        <w:t>.</w:t>
      </w:r>
    </w:p>
    <w:p w14:paraId="21060FF1" w14:textId="74282253" w:rsidR="0020369E" w:rsidRDefault="0020369E" w:rsidP="0020369E">
      <w:pPr>
        <w:pStyle w:val="CETBodytext"/>
      </w:pPr>
      <w:r>
        <w:t xml:space="preserve">Battery models developed over the years. Doyle and Newman </w:t>
      </w:r>
      <w:r w:rsidR="0056128B">
        <w:t>(Doyle et al., 1993, Doyle et al., 1996)</w:t>
      </w:r>
      <w:r>
        <w:t xml:space="preserve"> studied modeling of Li-ion batteries and their work is the basis of many afterward studies. </w:t>
      </w:r>
      <w:r w:rsidR="0056128B">
        <w:t>Doyle</w:t>
      </w:r>
      <w:r>
        <w:t xml:space="preserve"> et al. </w:t>
      </w:r>
      <w:r w:rsidR="0056128B">
        <w:t>(1996)</w:t>
      </w:r>
      <w:r>
        <w:t xml:space="preserve"> </w:t>
      </w:r>
      <w:r w:rsidR="003F2AD7">
        <w:t>compares</w:t>
      </w:r>
      <w:r>
        <w:t xml:space="preserve"> modeling predictions with experimental data from plastic lithium-ion cells, focusing on discharge curves, resistance profiles, and parameter optimizations. They discuss the impact of electrode thickness, film resistance, and diffusion limitations on battery performance and highlight the importance of accurate parameter values and design optimization for enhancing specific energy and power capabilities in lithium-ion batteries. These models typically function in a one-dimensional manner across the battery cell layers, adding an additional dimension to represent solid lithium diffusion within the electrode particles. This is known as a "pseudo-2D" (P2D) approach. However, setting up such a model generally requires around 40 parameters, making it impractical for engineering applications where detailed knowledge of the internal battery chemistry might be limited. For low to moderate currents, and to improve computational efficiency without sacrificing accuracy, the Newman model can be simplified using a single-particle (SP) approach. The SP model simplifies the process by ignoring the detailed distribution of local concentration and potential in the solution phase, instead using a lumped solution resistance term. Additionally, it assumes that local reaction currents across the porous electrode are constant, treating the porous electrode as a collection of single particles all under the same conditions. These assumptions are valid for low applied current densities, thin electrodes, and highly conductive electrodes, where overpotential is primarily influenced by solid-state diffusion. At high current densities, concentration gradients in the electrolyte become significant. The SP model does not account for these concentration gradients and is therefore limited to low to moderate current densities </w:t>
      </w:r>
      <w:r w:rsidR="0056128B">
        <w:t>(Guo et al, 2012)</w:t>
      </w:r>
      <w:r w:rsidR="00B003A6">
        <w:t>.</w:t>
      </w:r>
    </w:p>
    <w:p w14:paraId="553238D8" w14:textId="440F8A53" w:rsidR="0020369E" w:rsidRDefault="00BD0C5E" w:rsidP="0020369E">
      <w:pPr>
        <w:pStyle w:val="CETBodytext"/>
      </w:pPr>
      <w:r w:rsidRPr="00BD0C5E">
        <w:t>Modeling thermal runaway in lithium-ion batteries is a critical area of research aimed at understanding and mitigating safety risks associated with battery operation</w:t>
      </w:r>
      <w:r w:rsidR="00282435">
        <w:t xml:space="preserve"> (Cianciullo et al., 2022)</w:t>
      </w:r>
      <w:r w:rsidRPr="00BD0C5E">
        <w:t>. Another significant aspect is the incorporation of thermal abuse models, which simulate extreme conditions such as overcharging or external heating to predict how these conditions can trigger thermal runaway.</w:t>
      </w:r>
      <w:r w:rsidR="003F2AD7">
        <w:t xml:space="preserve"> </w:t>
      </w:r>
      <w:r w:rsidR="009C6350">
        <w:t>In the wake of a previous study (Menale et al., 20</w:t>
      </w:r>
      <w:r w:rsidR="00F9714F">
        <w:t>19</w:t>
      </w:r>
      <w:r w:rsidR="009C6350">
        <w:t>), t</w:t>
      </w:r>
      <w:r w:rsidR="003F2AD7">
        <w:t>h</w:t>
      </w:r>
      <w:r w:rsidR="009C6350">
        <w:t>e</w:t>
      </w:r>
      <w:r w:rsidR="003F2AD7">
        <w:t xml:space="preserve"> </w:t>
      </w:r>
      <w:r w:rsidR="009C6350">
        <w:t>present analysis</w:t>
      </w:r>
      <w:r w:rsidR="003F2AD7">
        <w:t xml:space="preserve"> is focused on the main influential factors on temperature of a cell in an aged cell.</w:t>
      </w:r>
    </w:p>
    <w:p w14:paraId="61A9B77A" w14:textId="522D5B68" w:rsidR="00600535" w:rsidRDefault="00AD0869" w:rsidP="007372EF">
      <w:pPr>
        <w:pStyle w:val="CETHeading1"/>
      </w:pPr>
      <w:r>
        <w:t>Methodology</w:t>
      </w:r>
    </w:p>
    <w:p w14:paraId="5BD355D7" w14:textId="46F47001" w:rsidR="003F2AD7" w:rsidRPr="003F2AD7" w:rsidRDefault="003F2AD7" w:rsidP="003F2AD7">
      <w:pPr>
        <w:pStyle w:val="CETBodytext"/>
      </w:pPr>
      <w:r>
        <w:t xml:space="preserve">The main </w:t>
      </w:r>
      <w:r w:rsidR="00B003A6">
        <w:t xml:space="preserve">aim </w:t>
      </w:r>
      <w:r>
        <w:t>of th</w:t>
      </w:r>
      <w:r w:rsidR="00B003A6">
        <w:t>is</w:t>
      </w:r>
      <w:r>
        <w:t xml:space="preserve"> study is to develop an electrochemical-thermal model which predict the behavior of an aged cell. In the following section, the energy and mass balance</w:t>
      </w:r>
      <w:r w:rsidR="00B003A6">
        <w:t>s</w:t>
      </w:r>
      <w:r>
        <w:t xml:space="preserve"> governing this model </w:t>
      </w:r>
      <w:r w:rsidR="00B003A6">
        <w:t>are</w:t>
      </w:r>
      <w:r>
        <w:t xml:space="preserve"> discussed.</w:t>
      </w:r>
    </w:p>
    <w:p w14:paraId="7764FD16" w14:textId="77777777" w:rsidR="007372EF" w:rsidRPr="00B546D6" w:rsidRDefault="007372EF" w:rsidP="007372EF">
      <w:pPr>
        <w:pStyle w:val="CETheadingx"/>
        <w:rPr>
          <w:lang w:bidi="fa-IR"/>
        </w:rPr>
      </w:pPr>
      <w:r w:rsidRPr="00B546D6">
        <w:rPr>
          <w:lang w:bidi="fa-IR"/>
        </w:rPr>
        <w:t>Energy Balance</w:t>
      </w:r>
    </w:p>
    <w:p w14:paraId="11DF8497" w14:textId="1A4122DE" w:rsidR="007372EF" w:rsidRPr="00CD26AB" w:rsidRDefault="007372EF" w:rsidP="00CD26AB">
      <w:pPr>
        <w:pStyle w:val="CETBodytext"/>
        <w:rPr>
          <w:lang w:bidi="fa-IR"/>
        </w:rPr>
      </w:pPr>
      <w:r w:rsidRPr="007F3C3A">
        <w:rPr>
          <w:lang w:bidi="fa-IR"/>
        </w:rPr>
        <w:t>The following is the energy balance equation used in the system</w:t>
      </w:r>
      <w:r w:rsidR="00B003A6">
        <w:rPr>
          <w:lang w:bidi="fa-IR"/>
        </w:rPr>
        <w:t>:</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3"/>
        <w:gridCol w:w="804"/>
      </w:tblGrid>
      <w:tr w:rsidR="00CD26AB" w:rsidRPr="00CD26AB" w14:paraId="301F446E" w14:textId="77777777" w:rsidTr="00CD26AB">
        <w:tc>
          <w:tcPr>
            <w:tcW w:w="8188" w:type="dxa"/>
          </w:tcPr>
          <w:p w14:paraId="7D67A2C8" w14:textId="1B89023C" w:rsidR="00CD26AB" w:rsidRPr="00CD26AB" w:rsidRDefault="008C2C62" w:rsidP="00D60AE4">
            <w:pPr>
              <w:pStyle w:val="CETEquation"/>
              <w:rPr>
                <w:lang w:bidi="fa-IR"/>
              </w:rPr>
            </w:pPr>
            <m:oMathPara>
              <m:oMathParaPr>
                <m:jc m:val="left"/>
              </m:oMathParaPr>
              <m:oMath>
                <m:f>
                  <m:fPr>
                    <m:ctrlPr>
                      <w:rPr>
                        <w:rFonts w:ascii="Cambria Math" w:hAnsi="Cambria Math"/>
                        <w:lang w:bidi="fa-IR"/>
                      </w:rPr>
                    </m:ctrlPr>
                  </m:fPr>
                  <m:num>
                    <m:r>
                      <w:rPr>
                        <w:rFonts w:ascii="Cambria Math" w:hAnsi="Cambria Math"/>
                        <w:lang w:bidi="fa-IR"/>
                      </w:rPr>
                      <m:t>∂</m:t>
                    </m:r>
                    <m:r>
                      <m:rPr>
                        <m:sty m:val="p"/>
                      </m:rPr>
                      <w:rPr>
                        <w:rFonts w:ascii="Cambria Math" w:hAnsi="Cambria Math"/>
                        <w:lang w:bidi="fa-IR"/>
                      </w:rPr>
                      <m:t>(</m:t>
                    </m:r>
                    <m:r>
                      <w:rPr>
                        <w:rFonts w:ascii="Cambria Math" w:hAnsi="Cambria Math"/>
                        <w:lang w:bidi="fa-IR"/>
                      </w:rPr>
                      <m:t>ρ</m:t>
                    </m:r>
                    <m:sSub>
                      <m:sSubPr>
                        <m:ctrlPr>
                          <w:rPr>
                            <w:rFonts w:ascii="Cambria Math" w:hAnsi="Cambria Math"/>
                            <w:lang w:bidi="fa-IR"/>
                          </w:rPr>
                        </m:ctrlPr>
                      </m:sSubPr>
                      <m:e>
                        <m:r>
                          <w:rPr>
                            <w:rFonts w:ascii="Cambria Math" w:hAnsi="Cambria Math"/>
                            <w:lang w:bidi="fa-IR"/>
                          </w:rPr>
                          <m:t>c</m:t>
                        </m:r>
                      </m:e>
                      <m:sub>
                        <m:r>
                          <w:rPr>
                            <w:rFonts w:ascii="Cambria Math" w:hAnsi="Cambria Math"/>
                            <w:lang w:bidi="fa-IR"/>
                          </w:rPr>
                          <m:t>p</m:t>
                        </m:r>
                      </m:sub>
                    </m:sSub>
                    <m:r>
                      <w:rPr>
                        <w:rFonts w:ascii="Cambria Math" w:hAnsi="Cambria Math"/>
                        <w:lang w:bidi="fa-IR"/>
                      </w:rPr>
                      <m:t>T</m:t>
                    </m:r>
                    <m:r>
                      <m:rPr>
                        <m:sty m:val="p"/>
                      </m:rPr>
                      <w:rPr>
                        <w:rFonts w:ascii="Cambria Math" w:hAnsi="Cambria Math"/>
                        <w:lang w:bidi="fa-IR"/>
                      </w:rPr>
                      <m:t>)</m:t>
                    </m:r>
                  </m:num>
                  <m:den>
                    <m:r>
                      <w:rPr>
                        <w:rFonts w:ascii="Cambria Math" w:hAnsi="Cambria Math"/>
                        <w:lang w:bidi="fa-IR"/>
                      </w:rPr>
                      <m:t>∂t</m:t>
                    </m:r>
                  </m:den>
                </m:f>
                <m:r>
                  <m:rPr>
                    <m:sty m:val="p"/>
                  </m:rPr>
                  <w:rPr>
                    <w:rFonts w:ascii="Cambria Math" w:hAnsi="Cambria Math"/>
                    <w:lang w:bidi="fa-IR"/>
                  </w:rPr>
                  <m:t>= -∇</m:t>
                </m:r>
                <m:d>
                  <m:dPr>
                    <m:ctrlPr>
                      <w:rPr>
                        <w:rFonts w:ascii="Cambria Math" w:hAnsi="Cambria Math"/>
                        <w:lang w:bidi="fa-IR"/>
                      </w:rPr>
                    </m:ctrlPr>
                  </m:dPr>
                  <m:e>
                    <m:r>
                      <w:rPr>
                        <w:rFonts w:ascii="Cambria Math" w:hAnsi="Cambria Math"/>
                        <w:lang w:bidi="fa-IR"/>
                      </w:rPr>
                      <m:t>k</m:t>
                    </m:r>
                    <m:r>
                      <m:rPr>
                        <m:sty m:val="p"/>
                      </m:rPr>
                      <w:rPr>
                        <w:rFonts w:ascii="Cambria Math" w:hAnsi="Cambria Math"/>
                        <w:lang w:bidi="fa-IR"/>
                      </w:rPr>
                      <m:t>∇</m:t>
                    </m:r>
                    <m:r>
                      <w:rPr>
                        <w:rFonts w:ascii="Cambria Math" w:hAnsi="Cambria Math"/>
                        <w:lang w:bidi="fa-IR"/>
                      </w:rPr>
                      <m:t>T</m:t>
                    </m:r>
                  </m:e>
                </m:d>
                <m:r>
                  <m:rPr>
                    <m:sty m:val="p"/>
                  </m:rPr>
                  <w:rPr>
                    <w:rFonts w:ascii="Cambria Math" w:hAnsi="Cambria Math"/>
                    <w:lang w:bidi="fa-IR"/>
                  </w:rPr>
                  <m:t>+</m:t>
                </m:r>
                <m:r>
                  <w:rPr>
                    <w:rFonts w:ascii="Cambria Math" w:hAnsi="Cambria Math"/>
                    <w:lang w:bidi="fa-IR"/>
                  </w:rPr>
                  <m:t>S</m:t>
                </m:r>
              </m:oMath>
            </m:oMathPara>
          </w:p>
        </w:tc>
        <w:tc>
          <w:tcPr>
            <w:tcW w:w="815" w:type="dxa"/>
          </w:tcPr>
          <w:p w14:paraId="0BDCC932" w14:textId="4723F1F5" w:rsidR="00CD26AB" w:rsidRPr="00CD26AB" w:rsidRDefault="00CD26AB" w:rsidP="00CD26AB">
            <w:pPr>
              <w:rPr>
                <w:rFonts w:asciiTheme="minorHAnsi" w:hAnsiTheme="minorHAnsi" w:cs="Calibri"/>
                <w:sz w:val="20"/>
                <w:lang w:bidi="fa-IR"/>
              </w:rPr>
            </w:pPr>
            <w:r w:rsidRPr="00CD26AB">
              <w:rPr>
                <w:rFonts w:asciiTheme="minorHAnsi" w:hAnsiTheme="minorHAnsi" w:cs="Calibri"/>
                <w:sz w:val="20"/>
                <w:lang w:bidi="fa-IR"/>
              </w:rPr>
              <w:t>(</w:t>
            </w:r>
            <w:r>
              <w:rPr>
                <w:rFonts w:asciiTheme="minorHAnsi" w:hAnsiTheme="minorHAnsi" w:cs="Calibri"/>
                <w:sz w:val="20"/>
                <w:lang w:bidi="fa-IR"/>
              </w:rPr>
              <w:t>1</w:t>
            </w:r>
            <w:r w:rsidRPr="00CD26AB">
              <w:rPr>
                <w:rFonts w:asciiTheme="minorHAnsi" w:hAnsiTheme="minorHAnsi" w:cs="Calibri"/>
                <w:sz w:val="20"/>
                <w:lang w:bidi="fa-IR"/>
              </w:rPr>
              <w:t>)</w:t>
            </w:r>
          </w:p>
        </w:tc>
      </w:tr>
    </w:tbl>
    <w:p w14:paraId="46EE4B41" w14:textId="3AB7DF21" w:rsidR="007372EF" w:rsidRPr="007F3C3A" w:rsidRDefault="007372EF" w:rsidP="007372EF">
      <w:pPr>
        <w:pStyle w:val="CETBodytext"/>
        <w:rPr>
          <w:lang w:bidi="fa-IR"/>
        </w:rPr>
      </w:pPr>
      <w:r w:rsidRPr="007F3C3A">
        <w:rPr>
          <w:lang w:bidi="fa-IR"/>
        </w:rPr>
        <w:t xml:space="preserve">When Temperature is increasing, side reactions will happen. </w:t>
      </w:r>
      <w:r w:rsidR="00CD26AB">
        <w:rPr>
          <w:lang w:bidi="fa-IR"/>
        </w:rPr>
        <w:t>Four</w:t>
      </w:r>
      <w:r w:rsidRPr="007F3C3A">
        <w:rPr>
          <w:lang w:bidi="fa-IR"/>
        </w:rPr>
        <w:t xml:space="preserve"> side reactions are: the SEI decomposition reaction (SEID), negative electrode-electrolyte reaction (NE), </w:t>
      </w:r>
      <w:r w:rsidR="003A03DA">
        <w:rPr>
          <w:lang w:bidi="fa-IR"/>
        </w:rPr>
        <w:t xml:space="preserve">two </w:t>
      </w:r>
      <w:r w:rsidRPr="007F3C3A">
        <w:rPr>
          <w:lang w:bidi="fa-IR"/>
        </w:rPr>
        <w:t>positive electrode-electrolyte reaction</w:t>
      </w:r>
      <w:r w:rsidR="003A03DA">
        <w:rPr>
          <w:lang w:bidi="fa-IR"/>
        </w:rPr>
        <w:t>s</w:t>
      </w:r>
      <w:r w:rsidRPr="007F3C3A">
        <w:rPr>
          <w:lang w:bidi="fa-IR"/>
        </w:rPr>
        <w:t xml:space="preserve"> (PE) </w:t>
      </w:r>
      <w:r w:rsidR="0056128B">
        <w:rPr>
          <w:lang w:bidi="fa-IR"/>
        </w:rPr>
        <w:t>(Kim et al., 2007)</w:t>
      </w:r>
      <w:r w:rsidR="00B003A6">
        <w:rPr>
          <w:lang w:bidi="fa-IR"/>
        </w:rPr>
        <w:t>.</w:t>
      </w:r>
      <w:r w:rsidRPr="007F3C3A">
        <w:rPr>
          <w:lang w:bidi="fa-IR"/>
        </w:rPr>
        <w:t xml:space="preserve"> Heat source terms related to the above reactions are shown in Eq </w:t>
      </w:r>
      <w:r w:rsidR="00CD26AB">
        <w:rPr>
          <w:lang w:bidi="fa-IR"/>
        </w:rPr>
        <w:t>(2)</w:t>
      </w:r>
      <w:r w:rsidRPr="007F3C3A">
        <w:rPr>
          <w:lang w:bidi="fa-IR"/>
        </w:rPr>
        <w:t>, where S</w:t>
      </w:r>
      <w:r w:rsidRPr="00CD26AB">
        <w:rPr>
          <w:vertAlign w:val="subscript"/>
          <w:lang w:bidi="fa-IR"/>
        </w:rPr>
        <w:t>SEI</w:t>
      </w:r>
      <w:r w:rsidRPr="007F3C3A">
        <w:rPr>
          <w:lang w:bidi="fa-IR"/>
        </w:rPr>
        <w:t xml:space="preserve"> is the heat source for SEI decomposition, S</w:t>
      </w:r>
      <w:r w:rsidRPr="00CD26AB">
        <w:rPr>
          <w:vertAlign w:val="subscript"/>
          <w:lang w:bidi="fa-IR"/>
        </w:rPr>
        <w:t>ne</w:t>
      </w:r>
      <w:r w:rsidRPr="007F3C3A">
        <w:rPr>
          <w:lang w:bidi="fa-IR"/>
        </w:rPr>
        <w:t xml:space="preserve"> is the heat source for NE, S</w:t>
      </w:r>
      <w:r w:rsidRPr="00CD26AB">
        <w:rPr>
          <w:vertAlign w:val="subscript"/>
          <w:lang w:bidi="fa-IR"/>
        </w:rPr>
        <w:t>pe</w:t>
      </w:r>
      <w:r w:rsidRPr="007F3C3A">
        <w:rPr>
          <w:lang w:bidi="fa-IR"/>
        </w:rPr>
        <w:t xml:space="preserve"> is the heat source for PE</w:t>
      </w:r>
      <w:r w:rsidR="00B003A6">
        <w:rPr>
          <w:lang w:bidi="fa-IR"/>
        </w:rPr>
        <w:t>:</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CD26AB" w:rsidRPr="00CD26AB" w14:paraId="386A7D5C" w14:textId="77777777" w:rsidTr="00CD26AB">
        <w:tc>
          <w:tcPr>
            <w:tcW w:w="7973" w:type="dxa"/>
          </w:tcPr>
          <w:p w14:paraId="42452F8F" w14:textId="5AD08B3D" w:rsidR="00CD26AB" w:rsidRPr="003F2AD7" w:rsidRDefault="00CD26AB" w:rsidP="003F2AD7">
            <w:pPr>
              <w:pStyle w:val="CETEquation"/>
              <w:rPr>
                <w:lang w:bidi="fa-IR"/>
              </w:rPr>
            </w:pPr>
            <m:oMathPara>
              <m:oMathParaPr>
                <m:jc m:val="left"/>
              </m:oMathParaPr>
              <m:oMath>
                <m:r>
                  <w:rPr>
                    <w:rFonts w:ascii="Cambria Math" w:hAnsi="Cambria Math"/>
                  </w:rPr>
                  <m:t>S</m:t>
                </m:r>
                <m:r>
                  <m:rPr>
                    <m:sty m:val="p"/>
                  </m:rPr>
                  <w:rPr>
                    <w:rFonts w:ascii="Cambria Math" w:hAnsi="Cambria Math"/>
                  </w:rPr>
                  <m:t>=</m:t>
                </m:r>
                <m:sSub>
                  <m:sSubPr>
                    <m:ctrlPr>
                      <w:rPr>
                        <w:rFonts w:ascii="Cambria Math" w:hAnsi="Cambria Math"/>
                        <w:lang w:bidi="fa-IR"/>
                      </w:rPr>
                    </m:ctrlPr>
                  </m:sSubPr>
                  <m:e>
                    <m:r>
                      <w:rPr>
                        <w:rFonts w:ascii="Cambria Math" w:hAnsi="Cambria Math"/>
                      </w:rPr>
                      <m:t>S</m:t>
                    </m:r>
                  </m:e>
                  <m:sub>
                    <m:r>
                      <w:rPr>
                        <w:rFonts w:ascii="Cambria Math" w:hAnsi="Cambria Math"/>
                      </w:rPr>
                      <m:t>SEI</m:t>
                    </m:r>
                  </m:sub>
                </m:sSub>
                <m:r>
                  <m:rPr>
                    <m:sty m:val="p"/>
                  </m:rPr>
                  <w:rPr>
                    <w:rFonts w:ascii="Cambria Math" w:hAnsi="Cambria Math"/>
                  </w:rPr>
                  <m:t>+</m:t>
                </m:r>
                <m:sSub>
                  <m:sSubPr>
                    <m:ctrlPr>
                      <w:rPr>
                        <w:rFonts w:ascii="Cambria Math" w:hAnsi="Cambria Math"/>
                        <w:lang w:bidi="fa-IR"/>
                      </w:rPr>
                    </m:ctrlPr>
                  </m:sSubPr>
                  <m:e>
                    <m:r>
                      <w:rPr>
                        <w:rFonts w:ascii="Cambria Math" w:hAnsi="Cambria Math"/>
                      </w:rPr>
                      <m:t>S</m:t>
                    </m:r>
                  </m:e>
                  <m:sub>
                    <m:r>
                      <w:rPr>
                        <w:rFonts w:ascii="Cambria Math" w:hAnsi="Cambria Math"/>
                      </w:rPr>
                      <m:t>ne</m:t>
                    </m:r>
                  </m:sub>
                </m:sSub>
                <m:r>
                  <m:rPr>
                    <m:sty m:val="p"/>
                  </m:rPr>
                  <w:rPr>
                    <w:rFonts w:ascii="Cambria Math" w:hAnsi="Cambria Math"/>
                  </w:rPr>
                  <m:t>+</m:t>
                </m:r>
                <m:sSub>
                  <m:sSubPr>
                    <m:ctrlPr>
                      <w:rPr>
                        <w:rFonts w:ascii="Cambria Math" w:hAnsi="Cambria Math"/>
                        <w:lang w:bidi="fa-IR"/>
                      </w:rPr>
                    </m:ctrlPr>
                  </m:sSubPr>
                  <m:e>
                    <m:r>
                      <w:rPr>
                        <w:rFonts w:ascii="Cambria Math" w:hAnsi="Cambria Math"/>
                      </w:rPr>
                      <m:t>S</m:t>
                    </m:r>
                  </m:e>
                  <m:sub>
                    <m:r>
                      <w:rPr>
                        <w:rFonts w:ascii="Cambria Math" w:hAnsi="Cambria Math"/>
                      </w:rPr>
                      <m:t>pe</m:t>
                    </m:r>
                  </m:sub>
                </m:sSub>
              </m:oMath>
            </m:oMathPara>
          </w:p>
        </w:tc>
        <w:tc>
          <w:tcPr>
            <w:tcW w:w="804" w:type="dxa"/>
          </w:tcPr>
          <w:p w14:paraId="733E4F06" w14:textId="77EC6195" w:rsidR="00CD26AB" w:rsidRPr="00CD26AB" w:rsidRDefault="00CD26AB" w:rsidP="009458E9">
            <w:pPr>
              <w:rPr>
                <w:rFonts w:asciiTheme="minorHAnsi" w:hAnsiTheme="minorHAnsi" w:cs="Calibri"/>
                <w:sz w:val="20"/>
                <w:lang w:bidi="fa-IR"/>
              </w:rPr>
            </w:pPr>
            <w:r w:rsidRPr="00CD26AB">
              <w:rPr>
                <w:rFonts w:asciiTheme="minorHAnsi" w:hAnsiTheme="minorHAnsi" w:cs="Calibri"/>
                <w:sz w:val="20"/>
                <w:lang w:bidi="fa-IR"/>
              </w:rPr>
              <w:t>(</w:t>
            </w:r>
            <w:r>
              <w:rPr>
                <w:rFonts w:asciiTheme="minorHAnsi" w:hAnsiTheme="minorHAnsi" w:cs="Calibri"/>
                <w:sz w:val="20"/>
                <w:lang w:bidi="fa-IR"/>
              </w:rPr>
              <w:t>2</w:t>
            </w:r>
            <w:r w:rsidRPr="00CD26AB">
              <w:rPr>
                <w:rFonts w:asciiTheme="minorHAnsi" w:hAnsiTheme="minorHAnsi" w:cs="Calibri"/>
                <w:sz w:val="20"/>
                <w:lang w:bidi="fa-IR"/>
              </w:rPr>
              <w:t>)</w:t>
            </w:r>
          </w:p>
        </w:tc>
      </w:tr>
    </w:tbl>
    <w:p w14:paraId="7C06452A" w14:textId="2A287F1F" w:rsidR="007372EF" w:rsidRDefault="007372EF" w:rsidP="007372EF">
      <w:pPr>
        <w:pStyle w:val="CETBodytext"/>
        <w:rPr>
          <w:lang w:bidi="fa-IR"/>
        </w:rPr>
      </w:pPr>
      <w:r w:rsidRPr="007F3C3A">
        <w:rPr>
          <w:lang w:bidi="fa-IR"/>
        </w:rPr>
        <w:t xml:space="preserve">For simplicity, a 2D geometry with axial symmetry feature will be investigated. The Li-ion battery in this study is modeled after a commercial 18650 </w:t>
      </w:r>
      <w:r w:rsidR="003F2AD7">
        <w:rPr>
          <w:lang w:bidi="fa-IR"/>
        </w:rPr>
        <w:t>NCM</w:t>
      </w:r>
      <w:r w:rsidRPr="007F3C3A">
        <w:rPr>
          <w:lang w:bidi="fa-IR"/>
        </w:rPr>
        <w:t>/graphite battery which has a length of 65 mm, a radius of 9 mm, a container thickness of 0.25 mm, and a mandrel thickness of 2 mm.</w:t>
      </w:r>
    </w:p>
    <w:p w14:paraId="09E67964" w14:textId="21EC9E3E" w:rsidR="007372EF" w:rsidRPr="007372EF" w:rsidRDefault="00CD26AB" w:rsidP="003F2AD7">
      <w:pPr>
        <w:pStyle w:val="CETBodytext"/>
      </w:pPr>
      <w:r w:rsidRPr="007372EF">
        <w:t xml:space="preserve">For solving the energy balance, </w:t>
      </w:r>
      <w:r w:rsidR="003F2AD7">
        <w:t>these assumptions were made: a</w:t>
      </w:r>
      <w:r w:rsidRPr="007372EF">
        <w:t xml:space="preserve">t t=0 (beginning of the study), the battery and surrounding area are at steady state and </w:t>
      </w:r>
      <w:r w:rsidR="00B003A6">
        <w:t>the t</w:t>
      </w:r>
      <w:r w:rsidRPr="007372EF">
        <w:t>emperature equals 298.15 K</w:t>
      </w:r>
      <w:r w:rsidR="00B003A6">
        <w:t>;</w:t>
      </w:r>
      <w:r w:rsidR="003F2AD7">
        <w:t xml:space="preserve"> a</w:t>
      </w:r>
      <w:r w:rsidRPr="007372EF">
        <w:t xml:space="preserve">t r=R (the maximum point with respect to radius), at z=0, and z=L, heat transfers to ambient, meaning heat conducted will be released to ambient with natural convection </w:t>
      </w:r>
      <w:r w:rsidR="00B003A6">
        <w:t xml:space="preserve">with a </w:t>
      </w:r>
      <w:r w:rsidRPr="007372EF">
        <w:t xml:space="preserve">heat transfer coefficient </w:t>
      </w:r>
      <w:r w:rsidR="00B003A6">
        <w:t xml:space="preserve">of </w:t>
      </w:r>
      <w:r w:rsidRPr="007372EF">
        <w:t>10 W/m</w:t>
      </w:r>
      <w:r w:rsidRPr="007372EF">
        <w:rPr>
          <w:vertAlign w:val="superscript"/>
        </w:rPr>
        <w:t>2</w:t>
      </w:r>
      <w:r w:rsidRPr="007372EF">
        <w:t>K.</w:t>
      </w:r>
    </w:p>
    <w:p w14:paraId="52E88BB3" w14:textId="30DDA597" w:rsidR="007372EF" w:rsidRDefault="007372EF" w:rsidP="007372EF">
      <w:pPr>
        <w:pStyle w:val="CETBodytext"/>
      </w:pPr>
      <w:r w:rsidRPr="007372EF">
        <w:t xml:space="preserve">Due to differences in active material with respect to battery parts and lumped assumption of the battery itself, thermal properties of global active material should be calculated. </w:t>
      </w:r>
      <w:r w:rsidR="00B003A6">
        <w:t>This f</w:t>
      </w:r>
      <w:r w:rsidRPr="007372EF">
        <w:t xml:space="preserve">ormulation is shown </w:t>
      </w:r>
      <w:r w:rsidR="00B003A6">
        <w:t xml:space="preserve">in </w:t>
      </w:r>
      <w:r w:rsidRPr="007372EF">
        <w:t>Eq</w:t>
      </w:r>
      <w:r w:rsidR="00CD26AB">
        <w:t xml:space="preserve"> (3)</w:t>
      </w:r>
      <w:r w:rsidRPr="007372EF">
        <w:t xml:space="preserve"> and </w:t>
      </w:r>
      <w:r w:rsidR="00CD26AB" w:rsidRPr="007372EF">
        <w:t>Eq</w:t>
      </w:r>
      <w:r w:rsidR="00CD26AB">
        <w:t xml:space="preserve"> (4)</w:t>
      </w:r>
      <w:r w:rsidR="00B003A6">
        <w:t>:</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D60AE4" w:rsidRPr="00CD26AB" w14:paraId="2D07B52C" w14:textId="77777777" w:rsidTr="00D60AE4">
        <w:tc>
          <w:tcPr>
            <w:tcW w:w="7973" w:type="dxa"/>
          </w:tcPr>
          <w:p w14:paraId="75FE448F" w14:textId="44312450" w:rsidR="00CD26AB" w:rsidRPr="00CD26AB" w:rsidRDefault="008C2C62" w:rsidP="00D60AE4">
            <w:pPr>
              <w:pStyle w:val="CETEquation"/>
              <w:rPr>
                <w:lang w:bidi="fa-IR"/>
              </w:rPr>
            </w:pPr>
            <m:oMathPara>
              <m:oMathParaPr>
                <m:jc m:val="left"/>
              </m:oMathParaPr>
              <m:oMath>
                <m:sSub>
                  <m:sSubPr>
                    <m:ctrlPr>
                      <w:rPr>
                        <w:rFonts w:ascii="Cambria Math" w:hAnsi="Cambria Math"/>
                        <w:lang w:bidi="fa-IR"/>
                      </w:rPr>
                    </m:ctrlPr>
                  </m:sSubPr>
                  <m:e>
                    <m:r>
                      <w:rPr>
                        <w:rFonts w:ascii="Cambria Math" w:hAnsi="Cambria Math"/>
                        <w:lang w:bidi="fa-IR"/>
                      </w:rPr>
                      <m:t>k</m:t>
                    </m:r>
                  </m:e>
                  <m:sub>
                    <m:r>
                      <w:rPr>
                        <w:rFonts w:ascii="Cambria Math" w:hAnsi="Cambria Math"/>
                        <w:lang w:bidi="fa-IR"/>
                      </w:rPr>
                      <m:t>T</m:t>
                    </m:r>
                    <m:r>
                      <m:rPr>
                        <m:sty m:val="p"/>
                      </m:rPr>
                      <w:rPr>
                        <w:rFonts w:ascii="Cambria Math" w:hAnsi="Cambria Math"/>
                        <w:lang w:bidi="fa-IR"/>
                      </w:rPr>
                      <m:t>,</m:t>
                    </m:r>
                    <m:r>
                      <w:rPr>
                        <w:rFonts w:ascii="Cambria Math" w:hAnsi="Cambria Math"/>
                        <w:lang w:bidi="fa-IR"/>
                      </w:rPr>
                      <m:t>r</m:t>
                    </m:r>
                  </m:sub>
                </m:sSub>
                <m:r>
                  <m:rPr>
                    <m:sty m:val="p"/>
                  </m:rPr>
                  <w:rPr>
                    <w:rFonts w:ascii="Cambria Math" w:hAnsi="Cambria Math"/>
                    <w:lang w:bidi="fa-IR"/>
                  </w:rPr>
                  <m:t>=</m:t>
                </m:r>
                <m:f>
                  <m:fPr>
                    <m:ctrlPr>
                      <w:rPr>
                        <w:rFonts w:ascii="Cambria Math" w:hAnsi="Cambria Math"/>
                        <w:lang w:bidi="fa-IR"/>
                      </w:rPr>
                    </m:ctrlPr>
                  </m:fPr>
                  <m:num>
                    <m:nary>
                      <m:naryPr>
                        <m:chr m:val="∑"/>
                        <m:limLoc m:val="undOvr"/>
                        <m:subHide m:val="1"/>
                        <m:supHide m:val="1"/>
                        <m:ctrlPr>
                          <w:rPr>
                            <w:rFonts w:ascii="Cambria Math" w:hAnsi="Cambria Math"/>
                            <w:lang w:bidi="fa-IR"/>
                          </w:rPr>
                        </m:ctrlPr>
                      </m:naryPr>
                      <m:sub/>
                      <m:sup/>
                      <m:e>
                        <m:sSub>
                          <m:sSubPr>
                            <m:ctrlPr>
                              <w:rPr>
                                <w:rFonts w:ascii="Cambria Math" w:hAnsi="Cambria Math"/>
                                <w:lang w:bidi="fa-IR"/>
                              </w:rPr>
                            </m:ctrlPr>
                          </m:sSubPr>
                          <m:e>
                            <m:r>
                              <w:rPr>
                                <w:rFonts w:ascii="Cambria Math" w:hAnsi="Cambria Math"/>
                                <w:lang w:bidi="fa-IR"/>
                              </w:rPr>
                              <m:t>L</m:t>
                            </m:r>
                          </m:e>
                          <m:sub>
                            <m:r>
                              <w:rPr>
                                <w:rFonts w:ascii="Cambria Math" w:hAnsi="Cambria Math"/>
                                <w:lang w:bidi="fa-IR"/>
                              </w:rPr>
                              <m:t>i</m:t>
                            </m:r>
                          </m:sub>
                        </m:sSub>
                      </m:e>
                    </m:nary>
                  </m:num>
                  <m:den>
                    <m:nary>
                      <m:naryPr>
                        <m:chr m:val="∑"/>
                        <m:limLoc m:val="undOvr"/>
                        <m:subHide m:val="1"/>
                        <m:supHide m:val="1"/>
                        <m:ctrlPr>
                          <w:rPr>
                            <w:rFonts w:ascii="Cambria Math" w:hAnsi="Cambria Math"/>
                            <w:lang w:bidi="fa-IR"/>
                          </w:rPr>
                        </m:ctrlPr>
                      </m:naryPr>
                      <m:sub/>
                      <m:sup/>
                      <m:e>
                        <m:f>
                          <m:fPr>
                            <m:type m:val="skw"/>
                            <m:ctrlPr>
                              <w:rPr>
                                <w:rFonts w:ascii="Cambria Math" w:hAnsi="Cambria Math"/>
                                <w:lang w:bidi="fa-IR"/>
                              </w:rPr>
                            </m:ctrlPr>
                          </m:fPr>
                          <m:num>
                            <m:sSub>
                              <m:sSubPr>
                                <m:ctrlPr>
                                  <w:rPr>
                                    <w:rFonts w:ascii="Cambria Math" w:hAnsi="Cambria Math"/>
                                    <w:lang w:bidi="fa-IR"/>
                                  </w:rPr>
                                </m:ctrlPr>
                              </m:sSubPr>
                              <m:e>
                                <m:r>
                                  <w:rPr>
                                    <w:rFonts w:ascii="Cambria Math" w:hAnsi="Cambria Math"/>
                                    <w:lang w:bidi="fa-IR"/>
                                  </w:rPr>
                                  <m:t>L</m:t>
                                </m:r>
                              </m:e>
                              <m:sub>
                                <m:r>
                                  <w:rPr>
                                    <w:rFonts w:ascii="Cambria Math" w:hAnsi="Cambria Math"/>
                                    <w:lang w:bidi="fa-IR"/>
                                  </w:rPr>
                                  <m:t>i</m:t>
                                </m:r>
                              </m:sub>
                            </m:sSub>
                          </m:num>
                          <m:den>
                            <m:sSub>
                              <m:sSubPr>
                                <m:ctrlPr>
                                  <w:rPr>
                                    <w:rFonts w:ascii="Cambria Math" w:hAnsi="Cambria Math"/>
                                    <w:lang w:bidi="fa-IR"/>
                                  </w:rPr>
                                </m:ctrlPr>
                              </m:sSubPr>
                              <m:e>
                                <m:r>
                                  <w:rPr>
                                    <w:rFonts w:ascii="Cambria Math" w:hAnsi="Cambria Math"/>
                                    <w:lang w:bidi="fa-IR"/>
                                  </w:rPr>
                                  <m:t>k</m:t>
                                </m:r>
                              </m:e>
                              <m:sub>
                                <m:r>
                                  <w:rPr>
                                    <w:rFonts w:ascii="Cambria Math" w:hAnsi="Cambria Math"/>
                                    <w:lang w:bidi="fa-IR"/>
                                  </w:rPr>
                                  <m:t>T</m:t>
                                </m:r>
                                <m:r>
                                  <m:rPr>
                                    <m:sty m:val="p"/>
                                  </m:rPr>
                                  <w:rPr>
                                    <w:rFonts w:ascii="Cambria Math" w:hAnsi="Cambria Math"/>
                                    <w:lang w:bidi="fa-IR"/>
                                  </w:rPr>
                                  <m:t>,</m:t>
                                </m:r>
                                <m:r>
                                  <w:rPr>
                                    <w:rFonts w:ascii="Cambria Math" w:hAnsi="Cambria Math"/>
                                    <w:lang w:bidi="fa-IR"/>
                                  </w:rPr>
                                  <m:t>i</m:t>
                                </m:r>
                              </m:sub>
                            </m:sSub>
                          </m:den>
                        </m:f>
                      </m:e>
                    </m:nary>
                  </m:den>
                </m:f>
              </m:oMath>
            </m:oMathPara>
          </w:p>
        </w:tc>
        <w:tc>
          <w:tcPr>
            <w:tcW w:w="804" w:type="dxa"/>
          </w:tcPr>
          <w:p w14:paraId="36992AB2" w14:textId="6AF9AC41" w:rsidR="00CD26AB" w:rsidRPr="00CD26AB" w:rsidRDefault="00CD26AB" w:rsidP="009458E9">
            <w:pPr>
              <w:rPr>
                <w:rFonts w:asciiTheme="minorHAnsi" w:hAnsiTheme="minorHAnsi" w:cs="Calibri"/>
                <w:sz w:val="20"/>
                <w:lang w:bidi="fa-IR"/>
              </w:rPr>
            </w:pPr>
            <w:r w:rsidRPr="00CD26AB">
              <w:rPr>
                <w:rFonts w:asciiTheme="minorHAnsi" w:hAnsiTheme="minorHAnsi" w:cs="Calibri"/>
                <w:sz w:val="20"/>
                <w:lang w:bidi="fa-IR"/>
              </w:rPr>
              <w:t>(</w:t>
            </w:r>
            <w:r>
              <w:rPr>
                <w:rFonts w:asciiTheme="minorHAnsi" w:hAnsiTheme="minorHAnsi" w:cs="Calibri"/>
                <w:sz w:val="20"/>
                <w:lang w:bidi="fa-IR"/>
              </w:rPr>
              <w:t>3</w:t>
            </w:r>
            <w:r w:rsidRPr="00CD26AB">
              <w:rPr>
                <w:rFonts w:asciiTheme="minorHAnsi" w:hAnsiTheme="minorHAnsi" w:cs="Calibri"/>
                <w:sz w:val="20"/>
                <w:lang w:bidi="fa-IR"/>
              </w:rPr>
              <w:t>)</w:t>
            </w:r>
          </w:p>
        </w:tc>
      </w:tr>
      <w:tr w:rsidR="00D60AE4" w:rsidRPr="00CD26AB" w14:paraId="708CA2D1" w14:textId="77777777" w:rsidTr="00D60AE4">
        <w:tc>
          <w:tcPr>
            <w:tcW w:w="7973" w:type="dxa"/>
          </w:tcPr>
          <w:p w14:paraId="07523027" w14:textId="6587F616" w:rsidR="00CD26AB" w:rsidRPr="00CD26AB" w:rsidRDefault="008C2C62" w:rsidP="00D60AE4">
            <w:pPr>
              <w:pStyle w:val="CETEquation"/>
              <w:rPr>
                <w:lang w:bidi="fa-IR"/>
              </w:rPr>
            </w:pPr>
            <m:oMathPara>
              <m:oMathParaPr>
                <m:jc m:val="left"/>
              </m:oMathParaPr>
              <m:oMath>
                <m:sSub>
                  <m:sSubPr>
                    <m:ctrlPr>
                      <w:rPr>
                        <w:rFonts w:ascii="Cambria Math" w:hAnsi="Cambria Math"/>
                        <w:lang w:bidi="fa-IR"/>
                      </w:rPr>
                    </m:ctrlPr>
                  </m:sSubPr>
                  <m:e>
                    <m:r>
                      <w:rPr>
                        <w:rFonts w:ascii="Cambria Math" w:hAnsi="Cambria Math"/>
                        <w:lang w:bidi="fa-IR"/>
                      </w:rPr>
                      <m:t>k</m:t>
                    </m:r>
                  </m:e>
                  <m:sub>
                    <m:r>
                      <w:rPr>
                        <w:rFonts w:ascii="Cambria Math" w:hAnsi="Cambria Math"/>
                        <w:lang w:bidi="fa-IR"/>
                      </w:rPr>
                      <m:t>T</m:t>
                    </m:r>
                    <m:r>
                      <m:rPr>
                        <m:sty m:val="p"/>
                      </m:rPr>
                      <w:rPr>
                        <w:rFonts w:ascii="Cambria Math" w:hAnsi="Cambria Math"/>
                        <w:lang w:bidi="fa-IR"/>
                      </w:rPr>
                      <m:t>,</m:t>
                    </m:r>
                    <m:r>
                      <w:rPr>
                        <w:rFonts w:ascii="Cambria Math" w:hAnsi="Cambria Math"/>
                        <w:lang w:bidi="fa-IR"/>
                      </w:rPr>
                      <m:t>ang</m:t>
                    </m:r>
                  </m:sub>
                </m:sSub>
                <m:r>
                  <m:rPr>
                    <m:sty m:val="p"/>
                  </m:rPr>
                  <w:rPr>
                    <w:rFonts w:ascii="Cambria Math" w:hAnsi="Cambria Math"/>
                    <w:lang w:bidi="fa-IR"/>
                  </w:rPr>
                  <m:t>=</m:t>
                </m:r>
                <m:f>
                  <m:fPr>
                    <m:ctrlPr>
                      <w:rPr>
                        <w:rFonts w:ascii="Cambria Math" w:hAnsi="Cambria Math"/>
                        <w:lang w:bidi="fa-IR"/>
                      </w:rPr>
                    </m:ctrlPr>
                  </m:fPr>
                  <m:num>
                    <m:nary>
                      <m:naryPr>
                        <m:chr m:val="∑"/>
                        <m:limLoc m:val="undOvr"/>
                        <m:subHide m:val="1"/>
                        <m:supHide m:val="1"/>
                        <m:ctrlPr>
                          <w:rPr>
                            <w:rFonts w:ascii="Cambria Math" w:hAnsi="Cambria Math"/>
                            <w:lang w:bidi="fa-IR"/>
                          </w:rPr>
                        </m:ctrlPr>
                      </m:naryPr>
                      <m:sub/>
                      <m:sup/>
                      <m:e>
                        <m:sSub>
                          <m:sSubPr>
                            <m:ctrlPr>
                              <w:rPr>
                                <w:rFonts w:ascii="Cambria Math" w:hAnsi="Cambria Math"/>
                                <w:lang w:bidi="fa-IR"/>
                              </w:rPr>
                            </m:ctrlPr>
                          </m:sSubPr>
                          <m:e>
                            <m:r>
                              <w:rPr>
                                <w:rFonts w:ascii="Cambria Math" w:hAnsi="Cambria Math"/>
                                <w:lang w:bidi="fa-IR"/>
                              </w:rPr>
                              <m:t>L</m:t>
                            </m:r>
                          </m:e>
                          <m:sub>
                            <m:r>
                              <w:rPr>
                                <w:rFonts w:ascii="Cambria Math" w:hAnsi="Cambria Math"/>
                                <w:lang w:bidi="fa-IR"/>
                              </w:rPr>
                              <m:t>i</m:t>
                            </m:r>
                          </m:sub>
                        </m:sSub>
                        <m:sSub>
                          <m:sSubPr>
                            <m:ctrlPr>
                              <w:rPr>
                                <w:rFonts w:ascii="Cambria Math" w:hAnsi="Cambria Math"/>
                                <w:lang w:bidi="fa-IR"/>
                              </w:rPr>
                            </m:ctrlPr>
                          </m:sSubPr>
                          <m:e>
                            <m:r>
                              <w:rPr>
                                <w:rFonts w:ascii="Cambria Math" w:hAnsi="Cambria Math"/>
                                <w:lang w:bidi="fa-IR"/>
                              </w:rPr>
                              <m:t>k</m:t>
                            </m:r>
                          </m:e>
                          <m:sub>
                            <m:r>
                              <w:rPr>
                                <w:rFonts w:ascii="Cambria Math" w:hAnsi="Cambria Math"/>
                                <w:lang w:bidi="fa-IR"/>
                              </w:rPr>
                              <m:t>T</m:t>
                            </m:r>
                            <m:r>
                              <m:rPr>
                                <m:sty m:val="p"/>
                              </m:rPr>
                              <w:rPr>
                                <w:rFonts w:ascii="Cambria Math" w:hAnsi="Cambria Math"/>
                                <w:lang w:bidi="fa-IR"/>
                              </w:rPr>
                              <m:t>,</m:t>
                            </m:r>
                            <m:r>
                              <w:rPr>
                                <w:rFonts w:ascii="Cambria Math" w:hAnsi="Cambria Math"/>
                                <w:lang w:bidi="fa-IR"/>
                              </w:rPr>
                              <m:t>i</m:t>
                            </m:r>
                          </m:sub>
                        </m:sSub>
                      </m:e>
                    </m:nary>
                  </m:num>
                  <m:den>
                    <m:nary>
                      <m:naryPr>
                        <m:chr m:val="∑"/>
                        <m:limLoc m:val="undOvr"/>
                        <m:subHide m:val="1"/>
                        <m:supHide m:val="1"/>
                        <m:ctrlPr>
                          <w:rPr>
                            <w:rFonts w:ascii="Cambria Math" w:hAnsi="Cambria Math"/>
                            <w:lang w:bidi="fa-IR"/>
                          </w:rPr>
                        </m:ctrlPr>
                      </m:naryPr>
                      <m:sub/>
                      <m:sup/>
                      <m:e>
                        <m:sSub>
                          <m:sSubPr>
                            <m:ctrlPr>
                              <w:rPr>
                                <w:rFonts w:ascii="Cambria Math" w:hAnsi="Cambria Math"/>
                                <w:lang w:bidi="fa-IR"/>
                              </w:rPr>
                            </m:ctrlPr>
                          </m:sSubPr>
                          <m:e>
                            <m:r>
                              <w:rPr>
                                <w:rFonts w:ascii="Cambria Math" w:hAnsi="Cambria Math"/>
                                <w:lang w:bidi="fa-IR"/>
                              </w:rPr>
                              <m:t>L</m:t>
                            </m:r>
                          </m:e>
                          <m:sub>
                            <m:r>
                              <w:rPr>
                                <w:rFonts w:ascii="Cambria Math" w:hAnsi="Cambria Math"/>
                                <w:lang w:bidi="fa-IR"/>
                              </w:rPr>
                              <m:t>i</m:t>
                            </m:r>
                          </m:sub>
                        </m:sSub>
                      </m:e>
                    </m:nary>
                  </m:den>
                </m:f>
              </m:oMath>
            </m:oMathPara>
          </w:p>
        </w:tc>
        <w:tc>
          <w:tcPr>
            <w:tcW w:w="804" w:type="dxa"/>
          </w:tcPr>
          <w:p w14:paraId="770E096D" w14:textId="7614FD80" w:rsidR="00CD26AB" w:rsidRPr="00CD26AB" w:rsidRDefault="00CD26AB" w:rsidP="009458E9">
            <w:pPr>
              <w:rPr>
                <w:rFonts w:asciiTheme="minorHAnsi" w:hAnsiTheme="minorHAnsi" w:cs="Calibri"/>
                <w:sz w:val="20"/>
                <w:lang w:bidi="fa-IR"/>
              </w:rPr>
            </w:pPr>
            <w:r w:rsidRPr="00CD26AB">
              <w:rPr>
                <w:rFonts w:asciiTheme="minorHAnsi" w:hAnsiTheme="minorHAnsi" w:cs="Calibri"/>
                <w:sz w:val="20"/>
                <w:lang w:bidi="fa-IR"/>
              </w:rPr>
              <w:t>(</w:t>
            </w:r>
            <w:r>
              <w:rPr>
                <w:rFonts w:asciiTheme="minorHAnsi" w:hAnsiTheme="minorHAnsi" w:cs="Calibri"/>
                <w:sz w:val="20"/>
                <w:lang w:bidi="fa-IR"/>
              </w:rPr>
              <w:t>4</w:t>
            </w:r>
            <w:r w:rsidRPr="00CD26AB">
              <w:rPr>
                <w:rFonts w:asciiTheme="minorHAnsi" w:hAnsiTheme="minorHAnsi" w:cs="Calibri"/>
                <w:sz w:val="20"/>
                <w:lang w:bidi="fa-IR"/>
              </w:rPr>
              <w:t>)</w:t>
            </w:r>
          </w:p>
        </w:tc>
      </w:tr>
    </w:tbl>
    <w:p w14:paraId="7783F4C1" w14:textId="3604C524" w:rsidR="007372EF" w:rsidRDefault="007372EF" w:rsidP="007372EF">
      <w:pPr>
        <w:pStyle w:val="CETBodytext"/>
      </w:pPr>
      <w:r w:rsidRPr="007372EF">
        <w:t>For other thermal properties, the same equations can be used.</w:t>
      </w:r>
      <w:r w:rsidR="00CD26AB">
        <w:t xml:space="preserve"> </w:t>
      </w:r>
      <w:r w:rsidRPr="007372EF">
        <w:t>As mentioned before</w:t>
      </w:r>
      <w:r w:rsidR="00B003A6">
        <w:t>,</w:t>
      </w:r>
      <w:r w:rsidRPr="007372EF">
        <w:t xml:space="preserve"> when </w:t>
      </w:r>
      <w:r w:rsidR="00B003A6">
        <w:t xml:space="preserve">the </w:t>
      </w:r>
      <w:r w:rsidRPr="007372EF">
        <w:t xml:space="preserve">temperature is rising, </w:t>
      </w:r>
      <w:r w:rsidR="000F3E3E" w:rsidRPr="007372EF">
        <w:t xml:space="preserve">exothermic </w:t>
      </w:r>
      <w:r w:rsidRPr="007372EF">
        <w:t>side reactions will happen</w:t>
      </w:r>
      <w:r w:rsidR="000F3E3E">
        <w:t>:</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D60AE4" w:rsidRPr="00CD26AB" w14:paraId="5BDD5AE5" w14:textId="77777777" w:rsidTr="00D60AE4">
        <w:tc>
          <w:tcPr>
            <w:tcW w:w="7982" w:type="dxa"/>
          </w:tcPr>
          <w:p w14:paraId="6BDE2D4C" w14:textId="213A8EED" w:rsidR="00D60AE4" w:rsidRPr="00D60AE4" w:rsidRDefault="008C2C62" w:rsidP="00D60AE4">
            <w:pPr>
              <w:pStyle w:val="CETEquation"/>
              <w:rPr>
                <w:lang w:bidi="fa-IR"/>
              </w:rPr>
            </w:pPr>
            <m:oMathPara>
              <m:oMathParaPr>
                <m:jc m:val="left"/>
              </m:oMathParaPr>
              <m:oMath>
                <m:sSub>
                  <m:sSubPr>
                    <m:ctrlPr>
                      <w:rPr>
                        <w:rFonts w:ascii="Cambria Math" w:hAnsi="Cambria Math"/>
                        <w:lang w:bidi="fa-IR"/>
                      </w:rPr>
                    </m:ctrlPr>
                  </m:sSubPr>
                  <m:e>
                    <m:r>
                      <w:rPr>
                        <w:rFonts w:ascii="Cambria Math" w:hAnsi="Cambria Math"/>
                      </w:rPr>
                      <m:t>R</m:t>
                    </m:r>
                  </m:e>
                  <m:sub>
                    <m:r>
                      <w:rPr>
                        <w:rFonts w:ascii="Cambria Math" w:hAnsi="Cambria Math"/>
                      </w:rPr>
                      <m:t>i</m:t>
                    </m:r>
                  </m:sub>
                </m:sSub>
                <m:r>
                  <m:rPr>
                    <m:sty m:val="p"/>
                  </m:rPr>
                  <w:rPr>
                    <w:rFonts w:ascii="Cambria Math" w:hAnsi="Cambria Math"/>
                  </w:rPr>
                  <m:t>=</m:t>
                </m:r>
                <m:sSub>
                  <m:sSubPr>
                    <m:ctrlPr>
                      <w:rPr>
                        <w:rFonts w:ascii="Cambria Math" w:hAnsi="Cambria Math"/>
                        <w:lang w:bidi="fa-IR"/>
                      </w:rPr>
                    </m:ctrlPr>
                  </m:sSubPr>
                  <m:e>
                    <m:r>
                      <w:rPr>
                        <w:rFonts w:ascii="Cambria Math" w:hAnsi="Cambria Math"/>
                      </w:rPr>
                      <m:t>A</m:t>
                    </m:r>
                  </m:e>
                  <m:sub>
                    <m:r>
                      <w:rPr>
                        <w:rFonts w:ascii="Cambria Math" w:hAnsi="Cambria Math"/>
                      </w:rPr>
                      <m:t>i</m:t>
                    </m:r>
                  </m:sub>
                </m:sSub>
                <m:r>
                  <w:rPr>
                    <w:rFonts w:ascii="Cambria Math" w:hAnsi="Cambria Math"/>
                  </w:rPr>
                  <m:t>exp</m:t>
                </m:r>
                <m:d>
                  <m:dPr>
                    <m:ctrlPr>
                      <w:rPr>
                        <w:rFonts w:ascii="Cambria Math" w:hAnsi="Cambria Math"/>
                        <w:lang w:bidi="fa-IR"/>
                      </w:rPr>
                    </m:ctrlPr>
                  </m:dPr>
                  <m:e>
                    <m:r>
                      <m:rPr>
                        <m:sty m:val="p"/>
                      </m:rPr>
                      <w:rPr>
                        <w:rFonts w:ascii="Cambria Math" w:hAnsi="Cambria Math"/>
                      </w:rPr>
                      <m:t>-</m:t>
                    </m:r>
                    <m:f>
                      <m:fPr>
                        <m:ctrlPr>
                          <w:rPr>
                            <w:rFonts w:ascii="Cambria Math" w:hAnsi="Cambria Math"/>
                            <w:lang w:bidi="fa-IR"/>
                          </w:rPr>
                        </m:ctrlPr>
                      </m:fPr>
                      <m:num>
                        <m:sSub>
                          <m:sSubPr>
                            <m:ctrlPr>
                              <w:rPr>
                                <w:rFonts w:ascii="Cambria Math" w:hAnsi="Cambria Math"/>
                                <w:lang w:bidi="fa-IR"/>
                              </w:rPr>
                            </m:ctrlPr>
                          </m:sSubPr>
                          <m:e>
                            <m:r>
                              <w:rPr>
                                <w:rFonts w:ascii="Cambria Math" w:hAnsi="Cambria Math"/>
                              </w:rPr>
                              <m:t>E</m:t>
                            </m:r>
                          </m:e>
                          <m:sub>
                            <m:r>
                              <w:rPr>
                                <w:rFonts w:ascii="Cambria Math" w:hAnsi="Cambria Math"/>
                              </w:rPr>
                              <m:t>a</m:t>
                            </m:r>
                            <m:r>
                              <m:rPr>
                                <m:sty m:val="p"/>
                              </m:rPr>
                              <w:rPr>
                                <w:rFonts w:ascii="Cambria Math" w:hAnsi="Cambria Math"/>
                              </w:rPr>
                              <m:t>,</m:t>
                            </m:r>
                            <m:r>
                              <w:rPr>
                                <w:rFonts w:ascii="Cambria Math" w:hAnsi="Cambria Math"/>
                              </w:rPr>
                              <m:t>i</m:t>
                            </m:r>
                          </m:sub>
                        </m:sSub>
                      </m:num>
                      <m:den>
                        <m:r>
                          <w:rPr>
                            <w:rFonts w:ascii="Cambria Math" w:hAnsi="Cambria Math"/>
                          </w:rPr>
                          <m:t>RT</m:t>
                        </m:r>
                      </m:den>
                    </m:f>
                  </m:e>
                </m:d>
                <m:sSubSup>
                  <m:sSubSupPr>
                    <m:ctrlPr>
                      <w:rPr>
                        <w:rFonts w:ascii="Cambria Math" w:hAnsi="Cambria Math"/>
                        <w:lang w:bidi="fa-IR"/>
                      </w:rPr>
                    </m:ctrlPr>
                  </m:sSubSupPr>
                  <m:e>
                    <m:r>
                      <w:rPr>
                        <w:rFonts w:ascii="Cambria Math" w:hAnsi="Cambria Math"/>
                      </w:rPr>
                      <m:t>c</m:t>
                    </m:r>
                  </m:e>
                  <m:sub>
                    <m:r>
                      <w:rPr>
                        <w:rFonts w:ascii="Cambria Math" w:hAnsi="Cambria Math"/>
                      </w:rPr>
                      <m:t>i</m:t>
                    </m:r>
                  </m:sub>
                  <m:sup>
                    <m:r>
                      <w:rPr>
                        <w:rFonts w:ascii="Cambria Math" w:hAnsi="Cambria Math"/>
                      </w:rPr>
                      <m:t>ni</m:t>
                    </m:r>
                    <m:r>
                      <m:rPr>
                        <m:sty m:val="p"/>
                      </m:rPr>
                      <w:rPr>
                        <w:rFonts w:ascii="Cambria Math" w:hAnsi="Cambria Math"/>
                      </w:rPr>
                      <m:t>,1</m:t>
                    </m:r>
                  </m:sup>
                </m:sSubSup>
                <m:sSup>
                  <m:sSupPr>
                    <m:ctrlPr>
                      <w:rPr>
                        <w:rFonts w:ascii="Cambria Math" w:hAnsi="Cambria Math"/>
                        <w:lang w:bidi="fa-IR"/>
                      </w:rPr>
                    </m:ctrlPr>
                  </m:sSupPr>
                  <m:e>
                    <m:r>
                      <m:rPr>
                        <m:sty m:val="p"/>
                      </m:rPr>
                      <w:rPr>
                        <w:rFonts w:ascii="Cambria Math" w:hAnsi="Cambria Math"/>
                      </w:rPr>
                      <m:t>(1-</m:t>
                    </m:r>
                    <m:sSub>
                      <m:sSubPr>
                        <m:ctrlPr>
                          <w:rPr>
                            <w:rFonts w:ascii="Cambria Math" w:hAnsi="Cambria Math"/>
                            <w:lang w:bidi="fa-IR"/>
                          </w:rPr>
                        </m:ctrlPr>
                      </m:sSubPr>
                      <m:e>
                        <m:r>
                          <w:rPr>
                            <w:rFonts w:ascii="Cambria Math" w:hAnsi="Cambria Math"/>
                          </w:rPr>
                          <m:t>c</m:t>
                        </m:r>
                      </m:e>
                      <m:sub>
                        <m:r>
                          <w:rPr>
                            <w:rFonts w:ascii="Cambria Math" w:hAnsi="Cambria Math"/>
                          </w:rPr>
                          <m:t>i</m:t>
                        </m:r>
                      </m:sub>
                    </m:sSub>
                    <m:r>
                      <m:rPr>
                        <m:sty m:val="p"/>
                      </m:rPr>
                      <w:rPr>
                        <w:rFonts w:ascii="Cambria Math" w:hAnsi="Cambria Math"/>
                      </w:rPr>
                      <m:t>)</m:t>
                    </m:r>
                  </m:e>
                  <m:sup>
                    <m:r>
                      <w:rPr>
                        <w:rFonts w:ascii="Cambria Math" w:hAnsi="Cambria Math"/>
                      </w:rPr>
                      <m:t>ni</m:t>
                    </m:r>
                    <m:r>
                      <m:rPr>
                        <m:sty m:val="p"/>
                      </m:rPr>
                      <w:rPr>
                        <w:rFonts w:ascii="Cambria Math" w:hAnsi="Cambria Math"/>
                      </w:rPr>
                      <m:t>,2</m:t>
                    </m:r>
                  </m:sup>
                </m:sSup>
              </m:oMath>
            </m:oMathPara>
          </w:p>
        </w:tc>
        <w:tc>
          <w:tcPr>
            <w:tcW w:w="805" w:type="dxa"/>
          </w:tcPr>
          <w:p w14:paraId="457CB29F" w14:textId="6EE8C148" w:rsidR="00D60AE4" w:rsidRPr="00CD26AB" w:rsidRDefault="00D60AE4" w:rsidP="007675AE">
            <w:pPr>
              <w:rPr>
                <w:rFonts w:asciiTheme="minorHAnsi" w:hAnsiTheme="minorHAnsi" w:cs="Calibri"/>
                <w:sz w:val="20"/>
                <w:lang w:bidi="fa-IR"/>
              </w:rPr>
            </w:pPr>
            <w:r w:rsidRPr="00CD26AB">
              <w:rPr>
                <w:rFonts w:asciiTheme="minorHAnsi" w:hAnsiTheme="minorHAnsi" w:cs="Calibri"/>
                <w:sz w:val="20"/>
                <w:lang w:bidi="fa-IR"/>
              </w:rPr>
              <w:t>(</w:t>
            </w:r>
            <w:r>
              <w:rPr>
                <w:rFonts w:asciiTheme="minorHAnsi" w:hAnsiTheme="minorHAnsi" w:cs="Calibri"/>
                <w:sz w:val="20"/>
                <w:lang w:bidi="fa-IR"/>
              </w:rPr>
              <w:t>5</w:t>
            </w:r>
            <w:r w:rsidRPr="00CD26AB">
              <w:rPr>
                <w:rFonts w:asciiTheme="minorHAnsi" w:hAnsiTheme="minorHAnsi" w:cs="Calibri"/>
                <w:sz w:val="20"/>
                <w:lang w:bidi="fa-IR"/>
              </w:rPr>
              <w:t>)</w:t>
            </w:r>
          </w:p>
        </w:tc>
      </w:tr>
      <w:tr w:rsidR="00D60AE4" w:rsidRPr="00CD26AB" w14:paraId="0AFC0A89" w14:textId="77777777" w:rsidTr="00D60AE4">
        <w:tc>
          <w:tcPr>
            <w:tcW w:w="7982" w:type="dxa"/>
          </w:tcPr>
          <w:p w14:paraId="55F4FAED" w14:textId="3953DA6F" w:rsidR="00D60AE4" w:rsidRPr="00D60AE4" w:rsidRDefault="008C2C62" w:rsidP="00D60AE4">
            <w:pPr>
              <w:pStyle w:val="CETEquation"/>
              <w:rPr>
                <w:lang w:bidi="fa-IR"/>
              </w:rPr>
            </w:pPr>
            <m:oMathPara>
              <m:oMathParaPr>
                <m:jc m:val="left"/>
              </m:oMathParaPr>
              <m:oMath>
                <m:sSub>
                  <m:sSubPr>
                    <m:ctrlPr>
                      <w:rPr>
                        <w:rFonts w:ascii="Cambria Math" w:hAnsi="Cambria Math"/>
                        <w:lang w:bidi="fa-IR"/>
                      </w:rPr>
                    </m:ctrlPr>
                  </m:sSubPr>
                  <m:e>
                    <m:r>
                      <m:rPr>
                        <m:sty m:val="p"/>
                      </m:rPr>
                      <w:rPr>
                        <w:rFonts w:ascii="Cambria Math" w:hAnsi="Cambria Math"/>
                      </w:rPr>
                      <m:t>S</m:t>
                    </m:r>
                  </m:e>
                  <m:sub>
                    <m:r>
                      <w:rPr>
                        <w:rFonts w:ascii="Cambria Math" w:hAnsi="Cambria Math"/>
                      </w:rPr>
                      <m:t>i</m:t>
                    </m:r>
                  </m:sub>
                </m:sSub>
                <m:r>
                  <m:rPr>
                    <m:sty m:val="p"/>
                  </m:rPr>
                  <w:rPr>
                    <w:rFonts w:ascii="Cambria Math" w:hAnsi="Cambria Math"/>
                  </w:rPr>
                  <m:t>=</m:t>
                </m:r>
                <m:sSub>
                  <m:sSubPr>
                    <m:ctrlPr>
                      <w:rPr>
                        <w:rFonts w:ascii="Cambria Math" w:hAnsi="Cambria Math"/>
                        <w:lang w:bidi="fa-IR"/>
                      </w:rPr>
                    </m:ctrlPr>
                  </m:sSubPr>
                  <m:e>
                    <m:r>
                      <w:rPr>
                        <w:rFonts w:ascii="Cambria Math" w:hAnsi="Cambria Math"/>
                      </w:rPr>
                      <m:t>H</m:t>
                    </m:r>
                  </m:e>
                  <m:sub>
                    <m:r>
                      <w:rPr>
                        <w:rFonts w:ascii="Cambria Math" w:hAnsi="Cambria Math"/>
                      </w:rPr>
                      <m:t>i</m:t>
                    </m:r>
                  </m:sub>
                </m:sSub>
                <m:sSub>
                  <m:sSubPr>
                    <m:ctrlPr>
                      <w:rPr>
                        <w:rFonts w:ascii="Cambria Math" w:hAnsi="Cambria Math"/>
                        <w:lang w:bidi="fa-IR"/>
                      </w:rPr>
                    </m:ctrlPr>
                  </m:sSubPr>
                  <m:e>
                    <m:r>
                      <w:rPr>
                        <w:rFonts w:ascii="Cambria Math" w:hAnsi="Cambria Math"/>
                      </w:rPr>
                      <m:t>W</m:t>
                    </m:r>
                  </m:e>
                  <m:sub>
                    <m:r>
                      <w:rPr>
                        <w:rFonts w:ascii="Cambria Math" w:hAnsi="Cambria Math"/>
                      </w:rPr>
                      <m:t>i</m:t>
                    </m:r>
                  </m:sub>
                </m:sSub>
                <m:sSub>
                  <m:sSubPr>
                    <m:ctrlPr>
                      <w:rPr>
                        <w:rFonts w:ascii="Cambria Math" w:hAnsi="Cambria Math"/>
                        <w:lang w:bidi="fa-IR"/>
                      </w:rPr>
                    </m:ctrlPr>
                  </m:sSubPr>
                  <m:e>
                    <m:r>
                      <w:rPr>
                        <w:rFonts w:ascii="Cambria Math" w:hAnsi="Cambria Math"/>
                      </w:rPr>
                      <m:t>R</m:t>
                    </m:r>
                  </m:e>
                  <m:sub>
                    <m:r>
                      <w:rPr>
                        <w:rFonts w:ascii="Cambria Math" w:hAnsi="Cambria Math"/>
                      </w:rPr>
                      <m:t>i</m:t>
                    </m:r>
                  </m:sub>
                </m:sSub>
              </m:oMath>
            </m:oMathPara>
          </w:p>
        </w:tc>
        <w:tc>
          <w:tcPr>
            <w:tcW w:w="805" w:type="dxa"/>
          </w:tcPr>
          <w:p w14:paraId="324B39FA" w14:textId="6254047C" w:rsidR="00D60AE4" w:rsidRPr="00CD26AB" w:rsidRDefault="00D60AE4" w:rsidP="007675AE">
            <w:pPr>
              <w:rPr>
                <w:rFonts w:asciiTheme="minorHAnsi" w:hAnsiTheme="minorHAnsi" w:cs="Calibri"/>
                <w:sz w:val="20"/>
                <w:lang w:bidi="fa-IR"/>
              </w:rPr>
            </w:pPr>
            <w:r w:rsidRPr="00CD26AB">
              <w:rPr>
                <w:rFonts w:asciiTheme="minorHAnsi" w:hAnsiTheme="minorHAnsi" w:cs="Calibri"/>
                <w:sz w:val="20"/>
                <w:lang w:bidi="fa-IR"/>
              </w:rPr>
              <w:t>(</w:t>
            </w:r>
            <w:r>
              <w:rPr>
                <w:rFonts w:asciiTheme="minorHAnsi" w:hAnsiTheme="minorHAnsi" w:cs="Calibri"/>
                <w:sz w:val="20"/>
                <w:lang w:bidi="fa-IR"/>
              </w:rPr>
              <w:t>6</w:t>
            </w:r>
            <w:r w:rsidRPr="00CD26AB">
              <w:rPr>
                <w:rFonts w:asciiTheme="minorHAnsi" w:hAnsiTheme="minorHAnsi" w:cs="Calibri"/>
                <w:sz w:val="20"/>
                <w:lang w:bidi="fa-IR"/>
              </w:rPr>
              <w:t>)</w:t>
            </w:r>
          </w:p>
        </w:tc>
      </w:tr>
      <w:tr w:rsidR="00D60AE4" w:rsidRPr="00CD26AB" w14:paraId="73B1D30D" w14:textId="77777777" w:rsidTr="00D60AE4">
        <w:tc>
          <w:tcPr>
            <w:tcW w:w="7982" w:type="dxa"/>
          </w:tcPr>
          <w:p w14:paraId="3EBC29D8" w14:textId="1CE64B60" w:rsidR="00D60AE4" w:rsidRPr="00D60AE4" w:rsidRDefault="008C2C62" w:rsidP="00D60AE4">
            <w:pPr>
              <w:pStyle w:val="CETEquation"/>
            </w:pPr>
            <m:oMathPara>
              <m:oMathParaPr>
                <m:jc m:val="left"/>
              </m:oMathParaPr>
              <m:oMath>
                <m:f>
                  <m:fPr>
                    <m:ctrlPr>
                      <w:rPr>
                        <w:rFonts w:ascii="Cambria Math" w:hAnsi="Cambria Math"/>
                        <w:lang w:bidi="fa-IR"/>
                      </w:rPr>
                    </m:ctrlPr>
                  </m:fPr>
                  <m:num>
                    <m:r>
                      <w:rPr>
                        <w:rFonts w:ascii="Cambria Math" w:hAnsi="Cambria Math"/>
                      </w:rPr>
                      <m:t>d</m:t>
                    </m:r>
                    <m:sSub>
                      <m:sSubPr>
                        <m:ctrlPr>
                          <w:rPr>
                            <w:rFonts w:ascii="Cambria Math" w:hAnsi="Cambria Math"/>
                            <w:lang w:bidi="fa-IR"/>
                          </w:rPr>
                        </m:ctrlPr>
                      </m:sSubPr>
                      <m:e>
                        <m:r>
                          <w:rPr>
                            <w:rFonts w:ascii="Cambria Math" w:hAnsi="Cambria Math"/>
                          </w:rPr>
                          <m:t>c</m:t>
                        </m:r>
                      </m:e>
                      <m:sub>
                        <m:r>
                          <w:rPr>
                            <w:rFonts w:ascii="Cambria Math" w:hAnsi="Cambria Math"/>
                          </w:rPr>
                          <m:t>i</m:t>
                        </m:r>
                      </m:sub>
                    </m:sSub>
                  </m:num>
                  <m:den>
                    <m:r>
                      <w:rPr>
                        <w:rFonts w:ascii="Cambria Math" w:hAnsi="Cambria Math"/>
                      </w:rPr>
                      <m:t>dt</m:t>
                    </m:r>
                  </m:den>
                </m:f>
                <m:r>
                  <m:rPr>
                    <m:sty m:val="p"/>
                  </m:rPr>
                  <w:rPr>
                    <w:rFonts w:ascii="Cambria Math" w:hAnsi="Cambria Math"/>
                  </w:rPr>
                  <m:t>=</m:t>
                </m:r>
                <m:d>
                  <m:dPr>
                    <m:begChr m:val="{"/>
                    <m:endChr m:val=""/>
                    <m:ctrlPr>
                      <w:rPr>
                        <w:rFonts w:ascii="Cambria Math" w:hAnsi="Cambria Math"/>
                        <w:lang w:bidi="fa-IR"/>
                      </w:rPr>
                    </m:ctrlPr>
                  </m:dPr>
                  <m:e>
                    <m:eqArr>
                      <m:eqArrPr>
                        <m:ctrlPr>
                          <w:rPr>
                            <w:rFonts w:ascii="Cambria Math" w:hAnsi="Cambria Math"/>
                            <w:lang w:bidi="fa-IR"/>
                          </w:rPr>
                        </m:ctrlPr>
                      </m:eqArrPr>
                      <m:e>
                        <m:sSub>
                          <m:sSubPr>
                            <m:ctrlPr>
                              <w:rPr>
                                <w:rFonts w:ascii="Cambria Math" w:hAnsi="Cambria Math"/>
                                <w:lang w:bidi="fa-IR"/>
                              </w:rPr>
                            </m:ctrlPr>
                          </m:sSubPr>
                          <m:e>
                            <m:r>
                              <w:rPr>
                                <w:rFonts w:ascii="Cambria Math" w:hAnsi="Cambria Math"/>
                              </w:rPr>
                              <m:t>R</m:t>
                            </m:r>
                          </m:e>
                          <m:sub>
                            <m:r>
                              <w:rPr>
                                <w:rFonts w:ascii="Cambria Math" w:hAnsi="Cambria Math"/>
                              </w:rPr>
                              <m:t>i</m:t>
                            </m:r>
                          </m:sub>
                        </m:sSub>
                        <m:r>
                          <m:rPr>
                            <m:sty m:val="p"/>
                          </m:rPr>
                          <w:rPr>
                            <w:rFonts w:ascii="Cambria Math" w:hAnsi="Cambria Math"/>
                          </w:rPr>
                          <m:t xml:space="preserve">,             </m:t>
                        </m:r>
                        <m:r>
                          <w:rPr>
                            <w:rFonts w:ascii="Cambria Math" w:hAnsi="Cambria Math"/>
                          </w:rPr>
                          <m:t>for</m:t>
                        </m:r>
                        <m:r>
                          <m:rPr>
                            <m:sty m:val="p"/>
                          </m:rPr>
                          <w:rPr>
                            <w:rFonts w:ascii="Cambria Math" w:hAnsi="Cambria Math"/>
                          </w:rPr>
                          <m:t xml:space="preserve"> </m:t>
                        </m:r>
                        <m:r>
                          <w:rPr>
                            <w:rFonts w:ascii="Cambria Math" w:hAnsi="Cambria Math"/>
                          </w:rPr>
                          <m:t>PE</m:t>
                        </m:r>
                      </m:e>
                      <m:e>
                        <m:r>
                          <m:rPr>
                            <m:sty m:val="p"/>
                          </m:rPr>
                          <w:rPr>
                            <w:rFonts w:ascii="Cambria Math" w:hAnsi="Cambria Math"/>
                          </w:rPr>
                          <m:t>-</m:t>
                        </m:r>
                        <m:sSub>
                          <m:sSubPr>
                            <m:ctrlPr>
                              <w:rPr>
                                <w:rFonts w:ascii="Cambria Math" w:hAnsi="Cambria Math"/>
                                <w:lang w:bidi="fa-IR"/>
                              </w:rPr>
                            </m:ctrlPr>
                          </m:sSubPr>
                          <m:e>
                            <m:r>
                              <w:rPr>
                                <w:rFonts w:ascii="Cambria Math" w:hAnsi="Cambria Math"/>
                              </w:rPr>
                              <m:t>R</m:t>
                            </m:r>
                          </m:e>
                          <m:sub>
                            <m:r>
                              <w:rPr>
                                <w:rFonts w:ascii="Cambria Math" w:hAnsi="Cambria Math"/>
                              </w:rPr>
                              <m:t>i</m:t>
                            </m:r>
                          </m:sub>
                        </m:sSub>
                        <m:r>
                          <m:rPr>
                            <m:sty m:val="p"/>
                          </m:rPr>
                          <w:rPr>
                            <w:rFonts w:ascii="Cambria Math" w:hAnsi="Cambria Math"/>
                          </w:rPr>
                          <m:t xml:space="preserve">,    </m:t>
                        </m:r>
                        <m:r>
                          <w:rPr>
                            <w:rFonts w:ascii="Cambria Math" w:hAnsi="Cambria Math"/>
                          </w:rPr>
                          <m:t>for</m:t>
                        </m:r>
                        <m:r>
                          <m:rPr>
                            <m:sty m:val="p"/>
                          </m:rPr>
                          <w:rPr>
                            <w:rFonts w:ascii="Cambria Math" w:hAnsi="Cambria Math"/>
                          </w:rPr>
                          <m:t xml:space="preserve"> </m:t>
                        </m:r>
                        <m:r>
                          <w:rPr>
                            <w:rFonts w:ascii="Cambria Math" w:hAnsi="Cambria Math"/>
                          </w:rPr>
                          <m:t>others</m:t>
                        </m:r>
                      </m:e>
                    </m:eqArr>
                  </m:e>
                </m:d>
              </m:oMath>
            </m:oMathPara>
          </w:p>
        </w:tc>
        <w:tc>
          <w:tcPr>
            <w:tcW w:w="805" w:type="dxa"/>
          </w:tcPr>
          <w:p w14:paraId="539E1C55" w14:textId="32AC6ED2" w:rsidR="00D60AE4" w:rsidRPr="00CD26AB" w:rsidRDefault="00D60AE4" w:rsidP="00D60AE4">
            <w:pPr>
              <w:rPr>
                <w:rFonts w:asciiTheme="minorHAnsi" w:hAnsiTheme="minorHAnsi" w:cs="Calibri"/>
                <w:sz w:val="20"/>
                <w:lang w:bidi="fa-IR"/>
              </w:rPr>
            </w:pPr>
            <w:r w:rsidRPr="00CD26AB">
              <w:rPr>
                <w:rFonts w:asciiTheme="minorHAnsi" w:hAnsiTheme="minorHAnsi" w:cs="Calibri"/>
                <w:sz w:val="20"/>
                <w:lang w:bidi="fa-IR"/>
              </w:rPr>
              <w:t>(</w:t>
            </w:r>
            <w:r>
              <w:rPr>
                <w:rFonts w:asciiTheme="minorHAnsi" w:hAnsiTheme="minorHAnsi" w:cs="Calibri"/>
                <w:sz w:val="20"/>
                <w:lang w:bidi="fa-IR"/>
              </w:rPr>
              <w:t>7</w:t>
            </w:r>
            <w:r w:rsidRPr="00CD26AB">
              <w:rPr>
                <w:rFonts w:asciiTheme="minorHAnsi" w:hAnsiTheme="minorHAnsi" w:cs="Calibri"/>
                <w:sz w:val="20"/>
                <w:lang w:bidi="fa-IR"/>
              </w:rPr>
              <w:t>)</w:t>
            </w:r>
          </w:p>
        </w:tc>
      </w:tr>
    </w:tbl>
    <w:p w14:paraId="74AB54B9" w14:textId="77777777" w:rsidR="00D60AE4" w:rsidRPr="007372EF" w:rsidRDefault="00D60AE4" w:rsidP="007372EF">
      <w:pPr>
        <w:pStyle w:val="CETBodytext"/>
      </w:pPr>
    </w:p>
    <w:p w14:paraId="465EBCCE" w14:textId="7421ADE2" w:rsidR="007372EF" w:rsidRPr="007372EF" w:rsidRDefault="005D43B2" w:rsidP="007372EF">
      <w:pPr>
        <w:pStyle w:val="CETBodytext"/>
      </w:pPr>
      <w:r w:rsidRPr="007372EF">
        <w:t xml:space="preserve">The parameters for solving the energy balance </w:t>
      </w:r>
      <w:r>
        <w:t xml:space="preserve">and </w:t>
      </w:r>
      <w:r w:rsidRPr="007372EF">
        <w:t xml:space="preserve">for calculating the heat generated by these reactions are </w:t>
      </w:r>
      <w:r>
        <w:t>extracted from reference</w:t>
      </w:r>
      <w:r w:rsidR="003F2AD7">
        <w:t xml:space="preserve"> study of</w:t>
      </w:r>
      <w:r>
        <w:t xml:space="preserve"> </w:t>
      </w:r>
      <w:r w:rsidR="00302CB1">
        <w:t>Guo et al. (2023)</w:t>
      </w:r>
      <w:r w:rsidRPr="007372EF">
        <w:t>.</w:t>
      </w:r>
    </w:p>
    <w:p w14:paraId="060032E8" w14:textId="77777777" w:rsidR="007372EF" w:rsidRPr="007372EF" w:rsidRDefault="007372EF" w:rsidP="0096170C">
      <w:pPr>
        <w:pStyle w:val="CETheadingx"/>
      </w:pPr>
      <w:r w:rsidRPr="007372EF">
        <w:t>Mass Balance and Electrochemical Reactions</w:t>
      </w:r>
    </w:p>
    <w:p w14:paraId="50ADB157" w14:textId="21F9343D" w:rsidR="007372EF" w:rsidRDefault="007372EF" w:rsidP="007372EF">
      <w:pPr>
        <w:pStyle w:val="CETBodytext"/>
      </w:pPr>
      <w:r w:rsidRPr="007372EF">
        <w:t xml:space="preserve">To simplify and expedite the thermal management calculations for Li-ion batteries, the assumption of a lumped battery model will be used. In the Single-Particle (SP) model, electrodes are represented by spherical intercalation particles of uniform size, assuming a uniform current distribution across the thickness of the porous electrode. Also, at high current densities, concentration gradients in the electrolyte become significant. This model does not account for these concentration </w:t>
      </w:r>
      <w:r w:rsidR="0096170C" w:rsidRPr="007372EF">
        <w:t>gradients;</w:t>
      </w:r>
      <w:r w:rsidRPr="007372EF">
        <w:t xml:space="preserve"> </w:t>
      </w:r>
      <w:r w:rsidR="0096170C" w:rsidRPr="007372EF">
        <w:t>thus,</w:t>
      </w:r>
      <w:r w:rsidRPr="007372EF">
        <w:t xml:space="preserve"> it is suitable only for low to moderate current densities </w:t>
      </w:r>
      <w:r w:rsidR="00302CB1">
        <w:t>(Guo et al., 2010)</w:t>
      </w:r>
      <w:r w:rsidR="00956AC7">
        <w:t>.</w:t>
      </w:r>
      <w:r w:rsidRPr="007372EF">
        <w:t xml:space="preserve"> Mass balance is presented in </w:t>
      </w:r>
      <w:r w:rsidR="0096170C">
        <w:t>E</w:t>
      </w:r>
      <w:r w:rsidRPr="007372EF">
        <w:t>q</w:t>
      </w:r>
      <w:r w:rsidR="0096170C">
        <w:t xml:space="preserve"> (8)</w:t>
      </w:r>
      <w:r w:rsidRPr="007372EF">
        <w:t xml:space="preserve"> with initial condition</w:t>
      </w:r>
      <w:r w:rsidR="00956AC7">
        <w:t>s</w:t>
      </w:r>
      <w:r w:rsidRPr="007372EF">
        <w:t xml:space="preserve"> of </w:t>
      </w:r>
      <w:r w:rsidR="0096170C">
        <w:t>Eq</w:t>
      </w:r>
      <w:r w:rsidRPr="007372EF">
        <w:t xml:space="preserve"> </w:t>
      </w:r>
      <w:r w:rsidR="0096170C">
        <w:t>(9)</w:t>
      </w:r>
      <w:r w:rsidRPr="007372EF">
        <w:t xml:space="preserve">.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96170C" w:rsidRPr="00CD26AB" w14:paraId="1151EBA7" w14:textId="77777777" w:rsidTr="007675AE">
        <w:tc>
          <w:tcPr>
            <w:tcW w:w="7982" w:type="dxa"/>
          </w:tcPr>
          <w:p w14:paraId="0AB1D275" w14:textId="7673866E" w:rsidR="0096170C" w:rsidRPr="0096170C" w:rsidRDefault="008C2C62" w:rsidP="0096170C">
            <w:pPr>
              <w:pStyle w:val="CETEquation"/>
              <w:rPr>
                <w:lang w:bidi="fa-IR"/>
              </w:rPr>
            </w:pPr>
            <m:oMathPara>
              <m:oMathParaPr>
                <m:jc m:val="left"/>
              </m:oMathParaPr>
              <m:oMath>
                <m:f>
                  <m:fPr>
                    <m:ctrlPr>
                      <w:rPr>
                        <w:rFonts w:ascii="Cambria Math" w:hAnsi="Cambria Math"/>
                        <w:lang w:bidi="fa-IR"/>
                      </w:rPr>
                    </m:ctrlPr>
                  </m:fPr>
                  <m:num>
                    <m:r>
                      <w:rPr>
                        <w:rFonts w:ascii="Cambria Math" w:hAnsi="Cambria Math"/>
                        <w:lang w:bidi="fa-IR"/>
                      </w:rPr>
                      <m:t>∂</m:t>
                    </m:r>
                    <m:sSub>
                      <m:sSubPr>
                        <m:ctrlPr>
                          <w:rPr>
                            <w:rFonts w:ascii="Cambria Math" w:hAnsi="Cambria Math"/>
                            <w:lang w:bidi="fa-IR"/>
                          </w:rPr>
                        </m:ctrlPr>
                      </m:sSubPr>
                      <m:e>
                        <m:r>
                          <w:rPr>
                            <w:rFonts w:ascii="Cambria Math" w:hAnsi="Cambria Math"/>
                            <w:lang w:bidi="fa-IR"/>
                          </w:rPr>
                          <m:t>c</m:t>
                        </m:r>
                      </m:e>
                      <m:sub>
                        <m:r>
                          <w:rPr>
                            <w:rFonts w:ascii="Cambria Math" w:hAnsi="Cambria Math"/>
                            <w:lang w:bidi="fa-IR"/>
                          </w:rPr>
                          <m:t>a</m:t>
                        </m:r>
                        <m:r>
                          <m:rPr>
                            <m:sty m:val="p"/>
                          </m:rPr>
                          <w:rPr>
                            <w:rFonts w:ascii="Cambria Math" w:hAnsi="Cambria Math"/>
                            <w:lang w:bidi="fa-IR"/>
                          </w:rPr>
                          <m:t>,</m:t>
                        </m:r>
                        <m:r>
                          <w:rPr>
                            <w:rFonts w:ascii="Cambria Math" w:hAnsi="Cambria Math"/>
                            <w:lang w:bidi="fa-IR"/>
                          </w:rPr>
                          <m:t>j</m:t>
                        </m:r>
                      </m:sub>
                    </m:sSub>
                  </m:num>
                  <m:den>
                    <m:r>
                      <w:rPr>
                        <w:rFonts w:ascii="Cambria Math" w:hAnsi="Cambria Math"/>
                        <w:lang w:bidi="fa-IR"/>
                      </w:rPr>
                      <m:t>∂t</m:t>
                    </m:r>
                  </m:den>
                </m:f>
                <m:r>
                  <m:rPr>
                    <m:sty m:val="p"/>
                  </m:rPr>
                  <w:rPr>
                    <w:rFonts w:ascii="Cambria Math" w:hAnsi="Cambria Math"/>
                    <w:lang w:bidi="fa-IR"/>
                  </w:rPr>
                  <m:t>+</m:t>
                </m:r>
                <m:f>
                  <m:fPr>
                    <m:ctrlPr>
                      <w:rPr>
                        <w:rFonts w:ascii="Cambria Math" w:hAnsi="Cambria Math"/>
                        <w:lang w:bidi="fa-IR"/>
                      </w:rPr>
                    </m:ctrlPr>
                  </m:fPr>
                  <m:num>
                    <m:r>
                      <m:rPr>
                        <m:sty m:val="p"/>
                      </m:rPr>
                      <w:rPr>
                        <w:rFonts w:ascii="Cambria Math" w:hAnsi="Cambria Math"/>
                        <w:lang w:bidi="fa-IR"/>
                      </w:rPr>
                      <m:t>15</m:t>
                    </m:r>
                    <m:sSub>
                      <m:sSubPr>
                        <m:ctrlPr>
                          <w:rPr>
                            <w:rFonts w:ascii="Cambria Math" w:hAnsi="Cambria Math"/>
                            <w:lang w:bidi="fa-IR"/>
                          </w:rPr>
                        </m:ctrlPr>
                      </m:sSubPr>
                      <m:e>
                        <m:r>
                          <w:rPr>
                            <w:rFonts w:ascii="Cambria Math" w:hAnsi="Cambria Math"/>
                            <w:lang w:bidi="fa-IR"/>
                          </w:rPr>
                          <m:t>D</m:t>
                        </m:r>
                      </m:e>
                      <m:sub>
                        <m:r>
                          <m:rPr>
                            <m:sty m:val="p"/>
                          </m:rPr>
                          <w:rPr>
                            <w:rFonts w:ascii="Cambria Math" w:hAnsi="Cambria Math"/>
                            <w:lang w:bidi="fa-IR"/>
                          </w:rPr>
                          <m:t>1,</m:t>
                        </m:r>
                        <m:r>
                          <w:rPr>
                            <w:rFonts w:ascii="Cambria Math" w:hAnsi="Cambria Math"/>
                            <w:lang w:bidi="fa-IR"/>
                          </w:rPr>
                          <m:t>j</m:t>
                        </m:r>
                      </m:sub>
                    </m:sSub>
                  </m:num>
                  <m:den>
                    <m:sSubSup>
                      <m:sSubSupPr>
                        <m:ctrlPr>
                          <w:rPr>
                            <w:rFonts w:ascii="Cambria Math" w:hAnsi="Cambria Math"/>
                            <w:lang w:bidi="fa-IR"/>
                          </w:rPr>
                        </m:ctrlPr>
                      </m:sSubSupPr>
                      <m:e>
                        <m:r>
                          <w:rPr>
                            <w:rFonts w:ascii="Cambria Math" w:hAnsi="Cambria Math"/>
                            <w:lang w:bidi="fa-IR"/>
                          </w:rPr>
                          <m:t>R</m:t>
                        </m:r>
                      </m:e>
                      <m:sub>
                        <m:r>
                          <w:rPr>
                            <w:rFonts w:ascii="Cambria Math" w:hAnsi="Cambria Math"/>
                            <w:lang w:bidi="fa-IR"/>
                          </w:rPr>
                          <m:t>j</m:t>
                        </m:r>
                      </m:sub>
                      <m:sup>
                        <m:r>
                          <m:rPr>
                            <m:sty m:val="p"/>
                          </m:rPr>
                          <w:rPr>
                            <w:rFonts w:ascii="Cambria Math" w:hAnsi="Cambria Math"/>
                            <w:lang w:bidi="fa-IR"/>
                          </w:rPr>
                          <m:t>2</m:t>
                        </m:r>
                      </m:sup>
                    </m:sSubSup>
                  </m:den>
                </m:f>
                <m:d>
                  <m:dPr>
                    <m:ctrlPr>
                      <w:rPr>
                        <w:rFonts w:ascii="Cambria Math" w:hAnsi="Cambria Math"/>
                        <w:lang w:bidi="fa-IR"/>
                      </w:rPr>
                    </m:ctrlPr>
                  </m:dPr>
                  <m:e>
                    <m:sSub>
                      <m:sSubPr>
                        <m:ctrlPr>
                          <w:rPr>
                            <w:rFonts w:ascii="Cambria Math" w:hAnsi="Cambria Math"/>
                            <w:lang w:bidi="fa-IR"/>
                          </w:rPr>
                        </m:ctrlPr>
                      </m:sSubPr>
                      <m:e>
                        <m:r>
                          <w:rPr>
                            <w:rFonts w:ascii="Cambria Math" w:hAnsi="Cambria Math"/>
                            <w:lang w:bidi="fa-IR"/>
                          </w:rPr>
                          <m:t>c</m:t>
                        </m:r>
                      </m:e>
                      <m:sub>
                        <m:r>
                          <w:rPr>
                            <w:rFonts w:ascii="Cambria Math" w:hAnsi="Cambria Math"/>
                            <w:lang w:bidi="fa-IR"/>
                          </w:rPr>
                          <m:t>s</m:t>
                        </m:r>
                        <m:r>
                          <m:rPr>
                            <m:sty m:val="p"/>
                          </m:rPr>
                          <w:rPr>
                            <w:rFonts w:ascii="Cambria Math" w:hAnsi="Cambria Math"/>
                            <w:lang w:bidi="fa-IR"/>
                          </w:rPr>
                          <m:t>,</m:t>
                        </m:r>
                        <m:r>
                          <w:rPr>
                            <w:rFonts w:ascii="Cambria Math" w:hAnsi="Cambria Math"/>
                            <w:lang w:bidi="fa-IR"/>
                          </w:rPr>
                          <m:t>j</m:t>
                        </m:r>
                      </m:sub>
                    </m:sSub>
                    <m:r>
                      <m:rPr>
                        <m:sty m:val="p"/>
                      </m:rPr>
                      <w:rPr>
                        <w:rFonts w:ascii="Cambria Math" w:hAnsi="Cambria Math"/>
                        <w:lang w:bidi="fa-IR"/>
                      </w:rPr>
                      <m:t>-</m:t>
                    </m:r>
                    <m:sSub>
                      <m:sSubPr>
                        <m:ctrlPr>
                          <w:rPr>
                            <w:rFonts w:ascii="Cambria Math" w:hAnsi="Cambria Math"/>
                            <w:lang w:bidi="fa-IR"/>
                          </w:rPr>
                        </m:ctrlPr>
                      </m:sSubPr>
                      <m:e>
                        <m:acc>
                          <m:accPr>
                            <m:chr m:val="̅"/>
                            <m:ctrlPr>
                              <w:rPr>
                                <w:rFonts w:ascii="Cambria Math" w:hAnsi="Cambria Math"/>
                                <w:lang w:bidi="fa-IR"/>
                              </w:rPr>
                            </m:ctrlPr>
                          </m:accPr>
                          <m:e>
                            <m:r>
                              <w:rPr>
                                <w:rFonts w:ascii="Cambria Math" w:hAnsi="Cambria Math"/>
                                <w:lang w:bidi="fa-IR"/>
                              </w:rPr>
                              <m:t>c</m:t>
                            </m:r>
                          </m:e>
                        </m:acc>
                      </m:e>
                      <m:sub>
                        <m:r>
                          <m:rPr>
                            <m:sty m:val="p"/>
                          </m:rPr>
                          <w:rPr>
                            <w:rFonts w:ascii="Cambria Math" w:hAnsi="Cambria Math"/>
                            <w:lang w:bidi="fa-IR"/>
                          </w:rPr>
                          <m:t>1,</m:t>
                        </m:r>
                        <m:r>
                          <w:rPr>
                            <w:rFonts w:ascii="Cambria Math" w:hAnsi="Cambria Math"/>
                            <w:lang w:bidi="fa-IR"/>
                          </w:rPr>
                          <m:t>j</m:t>
                        </m:r>
                      </m:sub>
                    </m:sSub>
                  </m:e>
                </m:d>
                <m:r>
                  <m:rPr>
                    <m:sty m:val="p"/>
                  </m:rPr>
                  <w:rPr>
                    <w:rFonts w:ascii="Cambria Math" w:hAnsi="Cambria Math"/>
                    <w:lang w:bidi="fa-IR"/>
                  </w:rPr>
                  <m:t>=0</m:t>
                </m:r>
              </m:oMath>
            </m:oMathPara>
          </w:p>
          <w:p w14:paraId="7FD85F79" w14:textId="00536EFF" w:rsidR="0096170C" w:rsidRPr="0096170C" w:rsidRDefault="008C2C62" w:rsidP="0096170C">
            <w:pPr>
              <w:pStyle w:val="CETEquation"/>
              <w:rPr>
                <w:lang w:bidi="fa-IR"/>
              </w:rPr>
            </w:pPr>
            <m:oMathPara>
              <m:oMathParaPr>
                <m:jc m:val="left"/>
              </m:oMathParaPr>
              <m:oMath>
                <m:f>
                  <m:fPr>
                    <m:ctrlPr>
                      <w:rPr>
                        <w:rFonts w:ascii="Cambria Math" w:hAnsi="Cambria Math"/>
                        <w:lang w:bidi="fa-IR"/>
                      </w:rPr>
                    </m:ctrlPr>
                  </m:fPr>
                  <m:num>
                    <m:r>
                      <m:rPr>
                        <m:sty m:val="p"/>
                      </m:rPr>
                      <w:rPr>
                        <w:rFonts w:ascii="Cambria Math" w:hAnsi="Cambria Math"/>
                        <w:lang w:bidi="fa-IR"/>
                      </w:rPr>
                      <m:t>15</m:t>
                    </m:r>
                    <m:sSub>
                      <m:sSubPr>
                        <m:ctrlPr>
                          <w:rPr>
                            <w:rFonts w:ascii="Cambria Math" w:hAnsi="Cambria Math"/>
                            <w:lang w:bidi="fa-IR"/>
                          </w:rPr>
                        </m:ctrlPr>
                      </m:sSubPr>
                      <m:e>
                        <m:r>
                          <w:rPr>
                            <w:rFonts w:ascii="Cambria Math" w:hAnsi="Cambria Math"/>
                            <w:lang w:bidi="fa-IR"/>
                          </w:rPr>
                          <m:t>D</m:t>
                        </m:r>
                      </m:e>
                      <m:sub>
                        <m:r>
                          <m:rPr>
                            <m:sty m:val="p"/>
                          </m:rPr>
                          <w:rPr>
                            <w:rFonts w:ascii="Cambria Math" w:hAnsi="Cambria Math"/>
                            <w:lang w:bidi="fa-IR"/>
                          </w:rPr>
                          <m:t>1,</m:t>
                        </m:r>
                        <m:r>
                          <w:rPr>
                            <w:rFonts w:ascii="Cambria Math" w:hAnsi="Cambria Math"/>
                            <w:lang w:bidi="fa-IR"/>
                          </w:rPr>
                          <m:t>j</m:t>
                        </m:r>
                      </m:sub>
                    </m:sSub>
                  </m:num>
                  <m:den>
                    <m:sSub>
                      <m:sSubPr>
                        <m:ctrlPr>
                          <w:rPr>
                            <w:rFonts w:ascii="Cambria Math" w:hAnsi="Cambria Math"/>
                            <w:lang w:bidi="fa-IR"/>
                          </w:rPr>
                        </m:ctrlPr>
                      </m:sSubPr>
                      <m:e>
                        <m:r>
                          <w:rPr>
                            <w:rFonts w:ascii="Cambria Math" w:hAnsi="Cambria Math"/>
                            <w:lang w:bidi="fa-IR"/>
                          </w:rPr>
                          <m:t>R</m:t>
                        </m:r>
                      </m:e>
                      <m:sub>
                        <m:r>
                          <w:rPr>
                            <w:rFonts w:ascii="Cambria Math" w:hAnsi="Cambria Math"/>
                            <w:lang w:bidi="fa-IR"/>
                          </w:rPr>
                          <m:t>j</m:t>
                        </m:r>
                      </m:sub>
                    </m:sSub>
                  </m:den>
                </m:f>
                <m:d>
                  <m:dPr>
                    <m:ctrlPr>
                      <w:rPr>
                        <w:rFonts w:ascii="Cambria Math" w:hAnsi="Cambria Math"/>
                        <w:lang w:bidi="fa-IR"/>
                      </w:rPr>
                    </m:ctrlPr>
                  </m:dPr>
                  <m:e>
                    <m:sSub>
                      <m:sSubPr>
                        <m:ctrlPr>
                          <w:rPr>
                            <w:rFonts w:ascii="Cambria Math" w:hAnsi="Cambria Math"/>
                            <w:lang w:bidi="fa-IR"/>
                          </w:rPr>
                        </m:ctrlPr>
                      </m:sSubPr>
                      <m:e>
                        <m:acc>
                          <m:accPr>
                            <m:chr m:val="̅"/>
                            <m:ctrlPr>
                              <w:rPr>
                                <w:rFonts w:ascii="Cambria Math" w:hAnsi="Cambria Math"/>
                                <w:lang w:bidi="fa-IR"/>
                              </w:rPr>
                            </m:ctrlPr>
                          </m:accPr>
                          <m:e>
                            <m:r>
                              <w:rPr>
                                <w:rFonts w:ascii="Cambria Math" w:hAnsi="Cambria Math"/>
                                <w:lang w:bidi="fa-IR"/>
                              </w:rPr>
                              <m:t>c</m:t>
                            </m:r>
                          </m:e>
                        </m:acc>
                      </m:e>
                      <m:sub>
                        <m:r>
                          <m:rPr>
                            <m:sty m:val="p"/>
                          </m:rPr>
                          <w:rPr>
                            <w:rFonts w:ascii="Cambria Math" w:hAnsi="Cambria Math"/>
                            <w:lang w:bidi="fa-IR"/>
                          </w:rPr>
                          <m:t>1,</m:t>
                        </m:r>
                        <m:r>
                          <w:rPr>
                            <w:rFonts w:ascii="Cambria Math" w:hAnsi="Cambria Math"/>
                            <w:lang w:bidi="fa-IR"/>
                          </w:rPr>
                          <m:t>j</m:t>
                        </m:r>
                      </m:sub>
                    </m:sSub>
                    <m:r>
                      <m:rPr>
                        <m:sty m:val="p"/>
                      </m:rPr>
                      <w:rPr>
                        <w:rFonts w:ascii="Cambria Math" w:hAnsi="Cambria Math"/>
                        <w:lang w:bidi="fa-IR"/>
                      </w:rPr>
                      <m:t>-</m:t>
                    </m:r>
                    <m:sSub>
                      <m:sSubPr>
                        <m:ctrlPr>
                          <w:rPr>
                            <w:rFonts w:ascii="Cambria Math" w:hAnsi="Cambria Math"/>
                            <w:lang w:bidi="fa-IR"/>
                          </w:rPr>
                        </m:ctrlPr>
                      </m:sSubPr>
                      <m:e>
                        <m:r>
                          <w:rPr>
                            <w:rFonts w:ascii="Cambria Math" w:hAnsi="Cambria Math"/>
                            <w:lang w:bidi="fa-IR"/>
                          </w:rPr>
                          <m:t>c</m:t>
                        </m:r>
                      </m:e>
                      <m:sub>
                        <m:r>
                          <w:rPr>
                            <w:rFonts w:ascii="Cambria Math" w:hAnsi="Cambria Math"/>
                            <w:lang w:bidi="fa-IR"/>
                          </w:rPr>
                          <m:t>s</m:t>
                        </m:r>
                        <m:r>
                          <m:rPr>
                            <m:sty m:val="p"/>
                          </m:rPr>
                          <w:rPr>
                            <w:rFonts w:ascii="Cambria Math" w:hAnsi="Cambria Math"/>
                            <w:lang w:bidi="fa-IR"/>
                          </w:rPr>
                          <m:t>,</m:t>
                        </m:r>
                        <m:r>
                          <w:rPr>
                            <w:rFonts w:ascii="Cambria Math" w:hAnsi="Cambria Math"/>
                            <w:lang w:bidi="fa-IR"/>
                          </w:rPr>
                          <m:t>j</m:t>
                        </m:r>
                      </m:sub>
                    </m:sSub>
                  </m:e>
                </m:d>
                <m:r>
                  <m:rPr>
                    <m:sty m:val="p"/>
                  </m:rPr>
                  <w:rPr>
                    <w:rFonts w:ascii="Cambria Math" w:hAnsi="Cambria Math"/>
                    <w:lang w:bidi="fa-IR"/>
                  </w:rPr>
                  <m:t xml:space="preserve"> + </m:t>
                </m:r>
                <m:f>
                  <m:fPr>
                    <m:ctrlPr>
                      <w:rPr>
                        <w:rFonts w:ascii="Cambria Math" w:hAnsi="Cambria Math"/>
                        <w:lang w:val="en-US" w:bidi="fa-IR"/>
                      </w:rPr>
                    </m:ctrlPr>
                  </m:fPr>
                  <m:num>
                    <m:sSub>
                      <m:sSubPr>
                        <m:ctrlPr>
                          <w:rPr>
                            <w:rFonts w:ascii="Cambria Math" w:hAnsi="Cambria Math"/>
                            <w:lang w:val="en-US" w:bidi="fa-IR"/>
                          </w:rPr>
                        </m:ctrlPr>
                      </m:sSubPr>
                      <m:e>
                        <m:r>
                          <w:rPr>
                            <w:rFonts w:ascii="Cambria Math" w:hAnsi="Cambria Math"/>
                            <w:lang w:bidi="fa-IR"/>
                          </w:rPr>
                          <m:t>J</m:t>
                        </m:r>
                      </m:e>
                      <m:sub>
                        <m:r>
                          <w:rPr>
                            <w:rFonts w:ascii="Cambria Math" w:hAnsi="Cambria Math"/>
                            <w:lang w:bidi="fa-IR"/>
                          </w:rPr>
                          <m:t>j</m:t>
                        </m:r>
                      </m:sub>
                    </m:sSub>
                  </m:num>
                  <m:den>
                    <m:sSub>
                      <m:sSubPr>
                        <m:ctrlPr>
                          <w:rPr>
                            <w:rFonts w:ascii="Cambria Math" w:hAnsi="Cambria Math"/>
                            <w:lang w:val="en-US" w:bidi="fa-IR"/>
                          </w:rPr>
                        </m:ctrlPr>
                      </m:sSubPr>
                      <m:e>
                        <m:r>
                          <w:rPr>
                            <w:rFonts w:ascii="Cambria Math" w:hAnsi="Cambria Math"/>
                            <w:lang w:bidi="fa-IR"/>
                          </w:rPr>
                          <m:t>A</m:t>
                        </m:r>
                      </m:e>
                      <m:sub>
                        <m:r>
                          <w:rPr>
                            <w:rFonts w:ascii="Cambria Math" w:hAnsi="Cambria Math"/>
                            <w:lang w:bidi="fa-IR"/>
                          </w:rPr>
                          <m:t>j</m:t>
                        </m:r>
                      </m:sub>
                    </m:sSub>
                    <m:r>
                      <w:rPr>
                        <w:rFonts w:ascii="Cambria Math" w:hAnsi="Cambria Math"/>
                        <w:lang w:bidi="fa-IR"/>
                      </w:rPr>
                      <m:t>F</m:t>
                    </m:r>
                  </m:den>
                </m:f>
                <m:r>
                  <m:rPr>
                    <m:sty m:val="p"/>
                  </m:rPr>
                  <w:rPr>
                    <w:rFonts w:ascii="Cambria Math" w:hAnsi="Cambria Math"/>
                    <w:lang w:bidi="fa-IR"/>
                  </w:rPr>
                  <m:t>=0</m:t>
                </m:r>
              </m:oMath>
            </m:oMathPara>
          </w:p>
        </w:tc>
        <w:tc>
          <w:tcPr>
            <w:tcW w:w="805" w:type="dxa"/>
          </w:tcPr>
          <w:p w14:paraId="2AD39042" w14:textId="415E7A57" w:rsidR="0096170C" w:rsidRPr="00CD26AB" w:rsidRDefault="0096170C" w:rsidP="007675AE">
            <w:pPr>
              <w:rPr>
                <w:rFonts w:asciiTheme="minorHAnsi" w:hAnsiTheme="minorHAnsi" w:cs="Calibri"/>
                <w:sz w:val="20"/>
                <w:lang w:bidi="fa-IR"/>
              </w:rPr>
            </w:pPr>
            <w:r w:rsidRPr="00CD26AB">
              <w:rPr>
                <w:rFonts w:asciiTheme="minorHAnsi" w:hAnsiTheme="minorHAnsi" w:cs="Calibri"/>
                <w:sz w:val="20"/>
                <w:lang w:bidi="fa-IR"/>
              </w:rPr>
              <w:t>(</w:t>
            </w:r>
            <w:r>
              <w:rPr>
                <w:rFonts w:asciiTheme="minorHAnsi" w:hAnsiTheme="minorHAnsi" w:cs="Calibri"/>
                <w:sz w:val="20"/>
                <w:lang w:bidi="fa-IR"/>
              </w:rPr>
              <w:t>8</w:t>
            </w:r>
            <w:r w:rsidRPr="00CD26AB">
              <w:rPr>
                <w:rFonts w:asciiTheme="minorHAnsi" w:hAnsiTheme="minorHAnsi" w:cs="Calibri"/>
                <w:sz w:val="20"/>
                <w:lang w:bidi="fa-IR"/>
              </w:rPr>
              <w:t>)</w:t>
            </w:r>
          </w:p>
        </w:tc>
      </w:tr>
      <w:tr w:rsidR="0096170C" w:rsidRPr="00CD26AB" w14:paraId="16E6EC39" w14:textId="77777777" w:rsidTr="007675AE">
        <w:tc>
          <w:tcPr>
            <w:tcW w:w="7982" w:type="dxa"/>
          </w:tcPr>
          <w:p w14:paraId="0ECA1793" w14:textId="729F418C" w:rsidR="0096170C" w:rsidRPr="0096170C" w:rsidRDefault="008C2C62" w:rsidP="0096170C">
            <w:pPr>
              <w:pStyle w:val="CETEquation"/>
              <w:rPr>
                <w:lang w:bidi="fa-IR"/>
              </w:rPr>
            </w:pPr>
            <m:oMathPara>
              <m:oMathParaPr>
                <m:jc m:val="left"/>
              </m:oMathParaPr>
              <m:oMath>
                <m:sSub>
                  <m:sSubPr>
                    <m:ctrlPr>
                      <w:rPr>
                        <w:rFonts w:ascii="Cambria Math" w:hAnsi="Cambria Math"/>
                        <w:lang w:bidi="fa-IR"/>
                      </w:rPr>
                    </m:ctrlPr>
                  </m:sSubPr>
                  <m:e>
                    <m:d>
                      <m:dPr>
                        <m:begChr m:val=""/>
                        <m:endChr m:val="|"/>
                        <m:ctrlPr>
                          <w:rPr>
                            <w:rFonts w:ascii="Cambria Math" w:hAnsi="Cambria Math"/>
                            <w:lang w:bidi="fa-IR"/>
                          </w:rPr>
                        </m:ctrlPr>
                      </m:dPr>
                      <m:e>
                        <m:sSub>
                          <m:sSubPr>
                            <m:ctrlPr>
                              <w:rPr>
                                <w:rFonts w:ascii="Cambria Math" w:hAnsi="Cambria Math"/>
                                <w:lang w:bidi="fa-IR"/>
                              </w:rPr>
                            </m:ctrlPr>
                          </m:sSubPr>
                          <m:e>
                            <m:r>
                              <w:rPr>
                                <w:rFonts w:ascii="Cambria Math" w:hAnsi="Cambria Math"/>
                              </w:rPr>
                              <m:t>c</m:t>
                            </m:r>
                          </m:e>
                          <m:sub>
                            <m:r>
                              <w:rPr>
                                <w:rFonts w:ascii="Cambria Math" w:hAnsi="Cambria Math"/>
                              </w:rPr>
                              <m:t>s</m:t>
                            </m:r>
                            <m:r>
                              <m:rPr>
                                <m:sty m:val="p"/>
                              </m:rPr>
                              <w:rPr>
                                <w:rFonts w:ascii="Cambria Math" w:hAnsi="Cambria Math"/>
                              </w:rPr>
                              <m:t>,</m:t>
                            </m:r>
                            <m:r>
                              <w:rPr>
                                <w:rFonts w:ascii="Cambria Math" w:hAnsi="Cambria Math"/>
                              </w:rPr>
                              <m:t>j</m:t>
                            </m:r>
                          </m:sub>
                        </m:sSub>
                      </m:e>
                    </m:d>
                  </m:e>
                  <m:sub>
                    <m:r>
                      <w:rPr>
                        <w:rFonts w:ascii="Cambria Math" w:hAnsi="Cambria Math"/>
                      </w:rPr>
                      <m:t>t</m:t>
                    </m:r>
                    <m:r>
                      <m:rPr>
                        <m:sty m:val="p"/>
                      </m:rPr>
                      <w:rPr>
                        <w:rFonts w:ascii="Cambria Math" w:hAnsi="Cambria Math"/>
                      </w:rPr>
                      <m:t>=0</m:t>
                    </m:r>
                  </m:sub>
                </m:sSub>
                <m:r>
                  <m:rPr>
                    <m:sty m:val="p"/>
                  </m:rPr>
                  <w:rPr>
                    <w:rFonts w:ascii="Cambria Math" w:hAnsi="Cambria Math"/>
                  </w:rPr>
                  <m:t>=</m:t>
                </m:r>
                <m:sSub>
                  <m:sSubPr>
                    <m:ctrlPr>
                      <w:rPr>
                        <w:rFonts w:ascii="Cambria Math" w:hAnsi="Cambria Math"/>
                        <w:lang w:bidi="fa-IR"/>
                      </w:rPr>
                    </m:ctrlPr>
                  </m:sSubPr>
                  <m:e>
                    <m:r>
                      <w:rPr>
                        <w:rFonts w:ascii="Cambria Math" w:hAnsi="Cambria Math"/>
                      </w:rPr>
                      <m:t>c</m:t>
                    </m:r>
                  </m:e>
                  <m:sub>
                    <m:r>
                      <m:rPr>
                        <m:sty m:val="p"/>
                      </m:rPr>
                      <w:rPr>
                        <w:rFonts w:ascii="Cambria Math" w:hAnsi="Cambria Math"/>
                      </w:rPr>
                      <m:t>1,</m:t>
                    </m:r>
                    <m:r>
                      <w:rPr>
                        <w:rFonts w:ascii="Cambria Math" w:hAnsi="Cambria Math"/>
                      </w:rPr>
                      <m:t>j</m:t>
                    </m:r>
                    <m:r>
                      <m:rPr>
                        <m:sty m:val="p"/>
                      </m:rPr>
                      <w:rPr>
                        <w:rFonts w:ascii="Cambria Math" w:hAnsi="Cambria Math"/>
                      </w:rPr>
                      <m:t>,0</m:t>
                    </m:r>
                  </m:sub>
                </m:sSub>
              </m:oMath>
            </m:oMathPara>
          </w:p>
        </w:tc>
        <w:tc>
          <w:tcPr>
            <w:tcW w:w="805" w:type="dxa"/>
          </w:tcPr>
          <w:p w14:paraId="79F714D3" w14:textId="62608024" w:rsidR="0096170C" w:rsidRPr="00CD26AB" w:rsidRDefault="0096170C" w:rsidP="007675AE">
            <w:pPr>
              <w:rPr>
                <w:rFonts w:asciiTheme="minorHAnsi" w:hAnsiTheme="minorHAnsi" w:cs="Calibri"/>
                <w:sz w:val="20"/>
                <w:lang w:bidi="fa-IR"/>
              </w:rPr>
            </w:pPr>
            <w:r w:rsidRPr="00CD26AB">
              <w:rPr>
                <w:rFonts w:asciiTheme="minorHAnsi" w:hAnsiTheme="minorHAnsi" w:cs="Calibri"/>
                <w:sz w:val="20"/>
                <w:lang w:bidi="fa-IR"/>
              </w:rPr>
              <w:t>(</w:t>
            </w:r>
            <w:r>
              <w:rPr>
                <w:rFonts w:asciiTheme="minorHAnsi" w:hAnsiTheme="minorHAnsi" w:cs="Calibri"/>
                <w:sz w:val="20"/>
                <w:lang w:bidi="fa-IR"/>
              </w:rPr>
              <w:t>9</w:t>
            </w:r>
            <w:r w:rsidRPr="00CD26AB">
              <w:rPr>
                <w:rFonts w:asciiTheme="minorHAnsi" w:hAnsiTheme="minorHAnsi" w:cs="Calibri"/>
                <w:sz w:val="20"/>
                <w:lang w:bidi="fa-IR"/>
              </w:rPr>
              <w:t>)</w:t>
            </w:r>
          </w:p>
        </w:tc>
      </w:tr>
    </w:tbl>
    <w:p w14:paraId="42DB9451" w14:textId="00F85FE4" w:rsidR="007372EF" w:rsidRPr="007372EF" w:rsidRDefault="007372EF" w:rsidP="007372EF">
      <w:pPr>
        <w:pStyle w:val="CETBodytext"/>
      </w:pPr>
      <w:r w:rsidRPr="007372EF">
        <w:t>The battery cell voltage </w:t>
      </w:r>
      <w:r w:rsidRPr="007372EF">
        <w:rPr>
          <w:i/>
          <w:iCs/>
        </w:rPr>
        <w:t>E</w:t>
      </w:r>
      <w:r w:rsidRPr="007372EF">
        <w:rPr>
          <w:vertAlign w:val="subscript"/>
        </w:rPr>
        <w:t>cell </w:t>
      </w:r>
      <w:r w:rsidRPr="007372EF">
        <w:t xml:space="preserve">is defined as </w:t>
      </w:r>
      <w:r w:rsidR="00956AC7">
        <w:t xml:space="preserve">in </w:t>
      </w:r>
      <w:r w:rsidR="00741C4F">
        <w:t>Eq</w:t>
      </w:r>
      <w:r w:rsidRPr="007372EF">
        <w:t xml:space="preserve"> </w:t>
      </w:r>
      <w:r w:rsidR="00741C4F">
        <w:t>(10)</w:t>
      </w:r>
      <w:r w:rsidRPr="007372EF">
        <w:t xml:space="preserve"> </w:t>
      </w:r>
      <w:r w:rsidR="00302CB1">
        <w:t>(</w:t>
      </w:r>
      <w:r w:rsidR="00302CB1" w:rsidRPr="00302CB1">
        <w:t>Ekström</w:t>
      </w:r>
      <w:r w:rsidR="00302CB1">
        <w:t xml:space="preserve"> et al., 2018)</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741C4F" w:rsidRPr="00CD26AB" w14:paraId="66FB2742" w14:textId="77777777" w:rsidTr="007675AE">
        <w:tc>
          <w:tcPr>
            <w:tcW w:w="7982" w:type="dxa"/>
          </w:tcPr>
          <w:bookmarkStart w:id="1" w:name="605013"/>
          <w:bookmarkEnd w:id="1"/>
          <w:p w14:paraId="62118BC4" w14:textId="3F203100" w:rsidR="00741C4F" w:rsidRPr="00741C4F" w:rsidRDefault="008C2C62" w:rsidP="00741C4F">
            <w:pPr>
              <w:pStyle w:val="CETEquation"/>
              <w:rPr>
                <w:lang w:bidi="fa-IR"/>
              </w:rPr>
            </w:pPr>
            <m:oMathPara>
              <m:oMathParaPr>
                <m:jc m:val="left"/>
              </m:oMathParaPr>
              <m:oMath>
                <m:sSub>
                  <m:sSubPr>
                    <m:ctrlPr>
                      <w:rPr>
                        <w:rFonts w:ascii="Cambria Math" w:hAnsi="Cambria Math"/>
                        <w:lang w:bidi="fa-IR"/>
                      </w:rPr>
                    </m:ctrlPr>
                  </m:sSubPr>
                  <m:e>
                    <m:r>
                      <m:rPr>
                        <m:sty m:val="p"/>
                      </m:rPr>
                      <w:rPr>
                        <w:rFonts w:ascii="Cambria Math" w:hAnsi="Cambria Math"/>
                      </w:rPr>
                      <m:t>E</m:t>
                    </m:r>
                  </m:e>
                  <m:sub>
                    <m:r>
                      <w:rPr>
                        <w:rFonts w:ascii="Cambria Math" w:hAnsi="Cambria Math"/>
                      </w:rPr>
                      <m:t>cell</m:t>
                    </m:r>
                  </m:sub>
                </m:sSub>
                <m:r>
                  <m:rPr>
                    <m:sty m:val="p"/>
                  </m:rPr>
                  <w:rPr>
                    <w:rFonts w:ascii="Cambria Math" w:hAnsi="Cambria Math"/>
                  </w:rPr>
                  <m:t>=</m:t>
                </m:r>
                <m:sSub>
                  <m:sSubPr>
                    <m:ctrlPr>
                      <w:rPr>
                        <w:rFonts w:ascii="Cambria Math" w:hAnsi="Cambria Math"/>
                        <w:lang w:bidi="fa-IR"/>
                      </w:rPr>
                    </m:ctrlPr>
                  </m:sSubPr>
                  <m:e>
                    <m:r>
                      <m:rPr>
                        <m:sty m:val="p"/>
                      </m:rPr>
                      <w:rPr>
                        <w:rFonts w:ascii="Cambria Math" w:hAnsi="Cambria Math"/>
                      </w:rPr>
                      <m:t>E</m:t>
                    </m:r>
                  </m:e>
                  <m:sub>
                    <m:r>
                      <w:rPr>
                        <w:rFonts w:ascii="Cambria Math" w:hAnsi="Cambria Math"/>
                      </w:rPr>
                      <m:t>OCV</m:t>
                    </m:r>
                  </m:sub>
                </m:sSub>
                <m:d>
                  <m:dPr>
                    <m:ctrlPr>
                      <w:rPr>
                        <w:rFonts w:ascii="Cambria Math" w:hAnsi="Cambria Math"/>
                      </w:rPr>
                    </m:ctrlPr>
                  </m:dPr>
                  <m:e>
                    <m:sSub>
                      <m:sSubPr>
                        <m:ctrlPr>
                          <w:rPr>
                            <w:rFonts w:ascii="Cambria Math" w:hAnsi="Cambria Math"/>
                            <w:lang w:bidi="fa-IR"/>
                          </w:rPr>
                        </m:ctrlPr>
                      </m:sSubPr>
                      <m:e>
                        <m:r>
                          <w:rPr>
                            <w:rFonts w:ascii="Cambria Math" w:hAnsi="Cambria Math"/>
                          </w:rPr>
                          <m:t>SOC</m:t>
                        </m:r>
                      </m:e>
                      <m:sub>
                        <m:r>
                          <w:rPr>
                            <w:rFonts w:ascii="Cambria Math" w:hAnsi="Cambria Math"/>
                          </w:rPr>
                          <m:t>average</m:t>
                        </m:r>
                      </m:sub>
                    </m:sSub>
                  </m:e>
                </m:d>
                <m:r>
                  <m:rPr>
                    <m:sty m:val="p"/>
                  </m:rPr>
                  <w:rPr>
                    <w:rFonts w:ascii="Cambria Math" w:hAnsi="Cambria Math"/>
                  </w:rPr>
                  <m:t>+</m:t>
                </m:r>
                <m:sSub>
                  <m:sSubPr>
                    <m:ctrlPr>
                      <w:rPr>
                        <w:rFonts w:ascii="Cambria Math" w:hAnsi="Cambria Math"/>
                        <w:lang w:bidi="fa-IR"/>
                      </w:rPr>
                    </m:ctrlPr>
                  </m:sSubPr>
                  <m:e>
                    <m:r>
                      <w:rPr>
                        <w:rFonts w:ascii="Cambria Math" w:hAnsi="Cambria Math"/>
                      </w:rPr>
                      <m:t>η</m:t>
                    </m:r>
                  </m:e>
                  <m:sub>
                    <m:r>
                      <w:rPr>
                        <w:rFonts w:ascii="Cambria Math" w:hAnsi="Cambria Math"/>
                      </w:rPr>
                      <m:t>IR</m:t>
                    </m:r>
                  </m:sub>
                </m:sSub>
                <m:r>
                  <m:rPr>
                    <m:sty m:val="p"/>
                  </m:rPr>
                  <w:rPr>
                    <w:rFonts w:ascii="Cambria Math" w:hAnsi="Cambria Math"/>
                  </w:rPr>
                  <m:t>+</m:t>
                </m:r>
                <m:sSub>
                  <m:sSubPr>
                    <m:ctrlPr>
                      <w:rPr>
                        <w:rFonts w:ascii="Cambria Math" w:hAnsi="Cambria Math"/>
                        <w:lang w:bidi="fa-IR"/>
                      </w:rPr>
                    </m:ctrlPr>
                  </m:sSubPr>
                  <m:e>
                    <m:r>
                      <w:rPr>
                        <w:rFonts w:ascii="Cambria Math" w:hAnsi="Cambria Math"/>
                      </w:rPr>
                      <m:t>η</m:t>
                    </m:r>
                  </m:e>
                  <m:sub>
                    <m:r>
                      <w:rPr>
                        <w:rFonts w:ascii="Cambria Math" w:hAnsi="Cambria Math"/>
                      </w:rPr>
                      <m:t>act</m:t>
                    </m:r>
                  </m:sub>
                </m:sSub>
                <m:r>
                  <m:rPr>
                    <m:sty m:val="p"/>
                  </m:rPr>
                  <w:rPr>
                    <w:rFonts w:ascii="Cambria Math" w:hAnsi="Cambria Math"/>
                  </w:rPr>
                  <m:t>+</m:t>
                </m:r>
                <m:sSub>
                  <m:sSubPr>
                    <m:ctrlPr>
                      <w:rPr>
                        <w:rFonts w:ascii="Cambria Math" w:hAnsi="Cambria Math"/>
                        <w:lang w:bidi="fa-IR"/>
                      </w:rPr>
                    </m:ctrlPr>
                  </m:sSubPr>
                  <m:e>
                    <m:r>
                      <w:rPr>
                        <w:rFonts w:ascii="Cambria Math" w:hAnsi="Cambria Math"/>
                      </w:rPr>
                      <m:t>η</m:t>
                    </m:r>
                  </m:e>
                  <m:sub>
                    <m:r>
                      <w:rPr>
                        <w:rFonts w:ascii="Cambria Math" w:hAnsi="Cambria Math"/>
                      </w:rPr>
                      <m:t>conc</m:t>
                    </m:r>
                  </m:sub>
                </m:sSub>
              </m:oMath>
            </m:oMathPara>
          </w:p>
        </w:tc>
        <w:tc>
          <w:tcPr>
            <w:tcW w:w="805" w:type="dxa"/>
          </w:tcPr>
          <w:p w14:paraId="562BBCE9" w14:textId="4E3ECA27" w:rsidR="00741C4F" w:rsidRPr="00CD26AB" w:rsidRDefault="00741C4F" w:rsidP="007675AE">
            <w:pPr>
              <w:rPr>
                <w:rFonts w:asciiTheme="minorHAnsi" w:hAnsiTheme="minorHAnsi" w:cs="Calibri"/>
                <w:sz w:val="20"/>
                <w:lang w:bidi="fa-IR"/>
              </w:rPr>
            </w:pPr>
            <w:r w:rsidRPr="00CD26AB">
              <w:rPr>
                <w:rFonts w:asciiTheme="minorHAnsi" w:hAnsiTheme="minorHAnsi" w:cs="Calibri"/>
                <w:sz w:val="20"/>
                <w:lang w:bidi="fa-IR"/>
              </w:rPr>
              <w:t>(</w:t>
            </w:r>
            <w:r>
              <w:rPr>
                <w:rFonts w:asciiTheme="minorHAnsi" w:hAnsiTheme="minorHAnsi" w:cs="Calibri"/>
                <w:sz w:val="20"/>
                <w:lang w:bidi="fa-IR"/>
              </w:rPr>
              <w:t>10</w:t>
            </w:r>
            <w:r w:rsidRPr="00CD26AB">
              <w:rPr>
                <w:rFonts w:asciiTheme="minorHAnsi" w:hAnsiTheme="minorHAnsi" w:cs="Calibri"/>
                <w:sz w:val="20"/>
                <w:lang w:bidi="fa-IR"/>
              </w:rPr>
              <w:t>)</w:t>
            </w:r>
          </w:p>
        </w:tc>
      </w:tr>
    </w:tbl>
    <w:p w14:paraId="5750FA8E" w14:textId="708F5226" w:rsidR="007372EF" w:rsidRPr="007372EF" w:rsidRDefault="007372EF" w:rsidP="007372EF">
      <w:pPr>
        <w:pStyle w:val="CETBodytext"/>
      </w:pPr>
      <w:r w:rsidRPr="007372EF">
        <w:t xml:space="preserve">Fickian diffusion of a dimensionless SOC variable is solved for in a 1D pseudo extra dimension corresponding to the particle dimension of length 1 with X as the dimensionless spatial variable, using spherical symmetry (for spherical particles), according to </w:t>
      </w:r>
      <w:r w:rsidR="00741C4F">
        <w:t>Eq (11)</w:t>
      </w:r>
      <w:r w:rsidR="00956AC7">
        <w:t>:</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741C4F" w:rsidRPr="00741C4F" w14:paraId="20F63CBD" w14:textId="77777777" w:rsidTr="00741C4F">
        <w:tc>
          <w:tcPr>
            <w:tcW w:w="7982" w:type="dxa"/>
            <w:hideMark/>
          </w:tcPr>
          <w:p w14:paraId="1A8BE167" w14:textId="7B73CFCB" w:rsidR="00741C4F" w:rsidRPr="00741C4F" w:rsidRDefault="00741C4F" w:rsidP="00741C4F">
            <w:pPr>
              <w:pStyle w:val="CETEquation"/>
            </w:pPr>
            <m:oMathPara>
              <m:oMathParaPr>
                <m:jc m:val="left"/>
              </m:oMathParaPr>
              <m:oMath>
                <m:r>
                  <m:rPr>
                    <m:sty m:val="p"/>
                  </m:rPr>
                  <w:rPr>
                    <w:rFonts w:ascii="Cambria Math" w:hAnsi="Cambria Math"/>
                  </w:rPr>
                  <m:t>τ</m:t>
                </m:r>
                <m:f>
                  <m:fPr>
                    <m:ctrlPr>
                      <w:rPr>
                        <w:rFonts w:ascii="Cambria Math" w:hAnsi="Cambria Math"/>
                      </w:rPr>
                    </m:ctrlPr>
                  </m:fPr>
                  <m:num>
                    <m:r>
                      <w:rPr>
                        <w:rFonts w:ascii="Cambria Math" w:hAnsi="Cambria Math"/>
                      </w:rPr>
                      <m:t>∂SOC</m:t>
                    </m:r>
                  </m:num>
                  <m:den>
                    <m:r>
                      <w:rPr>
                        <w:rFonts w:ascii="Cambria Math" w:hAnsi="Cambria Math"/>
                      </w:rPr>
                      <m:t>∂t</m:t>
                    </m:r>
                  </m:den>
                </m:f>
                <m:r>
                  <m:rPr>
                    <m:sty m:val="p"/>
                  </m:rPr>
                  <w:rPr>
                    <w:rFonts w:ascii="Cambria Math" w:hAnsi="Cambria Math"/>
                  </w:rPr>
                  <m:t>= -∇.(-∇</m:t>
                </m:r>
                <m:r>
                  <w:rPr>
                    <w:rFonts w:ascii="Cambria Math" w:hAnsi="Cambria Math"/>
                  </w:rPr>
                  <m:t>SOC</m:t>
                </m:r>
                <m:r>
                  <m:rPr>
                    <m:sty m:val="p"/>
                  </m:rPr>
                  <w:rPr>
                    <w:rFonts w:ascii="Cambria Math" w:hAnsi="Cambria Math"/>
                  </w:rPr>
                  <m:t>)</m:t>
                </m:r>
              </m:oMath>
            </m:oMathPara>
          </w:p>
        </w:tc>
        <w:tc>
          <w:tcPr>
            <w:tcW w:w="805" w:type="dxa"/>
            <w:hideMark/>
          </w:tcPr>
          <w:p w14:paraId="0352F7BA" w14:textId="0382DD88" w:rsidR="00741C4F" w:rsidRPr="00741C4F" w:rsidRDefault="00741C4F" w:rsidP="00741C4F">
            <w:pPr>
              <w:pStyle w:val="CETBodytext"/>
              <w:rPr>
                <w:lang w:val="it-IT"/>
              </w:rPr>
            </w:pPr>
            <w:r w:rsidRPr="00741C4F">
              <w:rPr>
                <w:lang w:val="it-IT"/>
              </w:rPr>
              <w:t>(</w:t>
            </w:r>
            <w:r>
              <w:rPr>
                <w:lang w:val="it-IT"/>
              </w:rPr>
              <w:t>11</w:t>
            </w:r>
            <w:r w:rsidRPr="00741C4F">
              <w:rPr>
                <w:lang w:val="it-IT"/>
              </w:rPr>
              <w:t>)</w:t>
            </w:r>
          </w:p>
        </w:tc>
      </w:tr>
    </w:tbl>
    <w:p w14:paraId="4BF9DE4D" w14:textId="297E0704" w:rsidR="007372EF" w:rsidRDefault="007372EF" w:rsidP="007372EF">
      <w:pPr>
        <w:pStyle w:val="CETBodytext"/>
      </w:pPr>
      <w:r w:rsidRPr="007372EF">
        <w:t>The interval represents an average particle of the electrode governing the battery, where X = 0 and X = 1 represent the center and surface of the particle, respectively. The boundary conditions are as follows:</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741C4F" w:rsidRPr="00741C4F" w14:paraId="28118560" w14:textId="77777777" w:rsidTr="00741C4F">
        <w:tc>
          <w:tcPr>
            <w:tcW w:w="7982" w:type="dxa"/>
            <w:hideMark/>
          </w:tcPr>
          <w:p w14:paraId="1C291656" w14:textId="77777777" w:rsidR="00741C4F" w:rsidRPr="00741C4F" w:rsidRDefault="00741C4F" w:rsidP="00741C4F">
            <w:pPr>
              <w:pStyle w:val="CETEquation"/>
              <w:rPr>
                <w:lang w:val="it-IT"/>
              </w:rPr>
            </w:pPr>
            <m:oMathPara>
              <m:oMathParaPr>
                <m:jc m:val="left"/>
              </m:oMathParaPr>
              <m:oMath>
                <m:r>
                  <m:rPr>
                    <m:sty m:val="p"/>
                  </m:rPr>
                  <w:rPr>
                    <w:rFonts w:ascii="Cambria Math" w:hAnsi="Cambria Math"/>
                    <w:lang w:val="it-IT"/>
                  </w:rPr>
                  <m:t>∇SOC=</m:t>
                </m:r>
                <m:sSub>
                  <m:sSubPr>
                    <m:ctrlPr>
                      <w:rPr>
                        <w:rFonts w:ascii="Cambria Math" w:hAnsi="Cambria Math"/>
                        <w:lang w:val="it-IT"/>
                      </w:rPr>
                    </m:ctrlPr>
                  </m:sSubPr>
                  <m:e>
                    <m:d>
                      <m:dPr>
                        <m:begChr m:val=""/>
                        <m:endChr m:val="|"/>
                        <m:ctrlPr>
                          <w:rPr>
                            <w:rFonts w:ascii="Cambria Math" w:hAnsi="Cambria Math"/>
                            <w:lang w:val="it-IT"/>
                          </w:rPr>
                        </m:ctrlPr>
                      </m:dPr>
                      <m:e>
                        <m:r>
                          <m:rPr>
                            <m:sty m:val="p"/>
                          </m:rPr>
                          <w:rPr>
                            <w:rFonts w:ascii="Cambria Math" w:hAnsi="Cambria Math"/>
                            <w:lang w:val="it-IT"/>
                          </w:rPr>
                          <m:t>0</m:t>
                        </m:r>
                      </m:e>
                    </m:d>
                  </m:e>
                  <m:sub>
                    <m:r>
                      <w:rPr>
                        <w:rFonts w:ascii="Cambria Math" w:hAnsi="Cambria Math"/>
                        <w:lang w:val="it-IT"/>
                      </w:rPr>
                      <m:t>X = 0</m:t>
                    </m:r>
                  </m:sub>
                </m:sSub>
              </m:oMath>
            </m:oMathPara>
          </w:p>
          <w:p w14:paraId="3C3DADF1" w14:textId="05E14BB6" w:rsidR="00741C4F" w:rsidRPr="00741C4F" w:rsidRDefault="00741C4F" w:rsidP="00741C4F">
            <w:pPr>
              <w:pStyle w:val="CETEquation"/>
              <w:rPr>
                <w:lang w:val="it-IT"/>
              </w:rPr>
            </w:pPr>
            <m:oMathPara>
              <m:oMathParaPr>
                <m:jc m:val="left"/>
              </m:oMathParaPr>
              <m:oMath>
                <m:r>
                  <m:rPr>
                    <m:sty m:val="p"/>
                  </m:rPr>
                  <w:rPr>
                    <w:rFonts w:ascii="Cambria Math" w:hAnsi="Cambria Math"/>
                    <w:lang w:val="it-IT"/>
                  </w:rPr>
                  <m:t>∇SOC=</m:t>
                </m:r>
                <m:sSub>
                  <m:sSubPr>
                    <m:ctrlPr>
                      <w:rPr>
                        <w:rFonts w:ascii="Cambria Math" w:hAnsi="Cambria Math"/>
                        <w:lang w:val="it-IT"/>
                      </w:rPr>
                    </m:ctrlPr>
                  </m:sSubPr>
                  <m:e>
                    <m:d>
                      <m:dPr>
                        <m:begChr m:val=""/>
                        <m:endChr m:val="|"/>
                        <m:ctrlPr>
                          <w:rPr>
                            <w:rFonts w:ascii="Cambria Math" w:hAnsi="Cambria Math"/>
                            <w:lang w:val="it-IT"/>
                          </w:rPr>
                        </m:ctrlPr>
                      </m:dPr>
                      <m:e>
                        <m:f>
                          <m:fPr>
                            <m:ctrlPr>
                              <w:rPr>
                                <w:rFonts w:ascii="Cambria Math" w:hAnsi="Cambria Math"/>
                                <w:lang w:val="it-IT"/>
                              </w:rPr>
                            </m:ctrlPr>
                          </m:fPr>
                          <m:num>
                            <m:r>
                              <w:rPr>
                                <w:rFonts w:ascii="Cambria Math" w:hAnsi="Cambria Math"/>
                              </w:rPr>
                              <m:t>τ</m:t>
                            </m:r>
                            <m:sSub>
                              <m:sSubPr>
                                <m:ctrlPr>
                                  <w:rPr>
                                    <w:rFonts w:ascii="Cambria Math" w:hAnsi="Cambria Math"/>
                                    <w:i/>
                                  </w:rPr>
                                </m:ctrlPr>
                              </m:sSubPr>
                              <m:e>
                                <m:r>
                                  <w:rPr>
                                    <w:rFonts w:ascii="Cambria Math" w:hAnsi="Cambria Math"/>
                                  </w:rPr>
                                  <m:t>I</m:t>
                                </m:r>
                              </m:e>
                              <m:sub>
                                <m:r>
                                  <w:rPr>
                                    <w:rFonts w:ascii="Cambria Math" w:hAnsi="Cambria Math"/>
                                  </w:rPr>
                                  <m:t>cell</m:t>
                                </m:r>
                              </m:sub>
                            </m:sSub>
                          </m:num>
                          <m:den>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shape</m:t>
                                </m:r>
                              </m:sub>
                            </m:sSub>
                            <m:sSub>
                              <m:sSubPr>
                                <m:ctrlPr>
                                  <w:rPr>
                                    <w:rFonts w:ascii="Cambria Math" w:hAnsi="Cambria Math"/>
                                    <w:i/>
                                    <w:lang w:val="it-IT"/>
                                  </w:rPr>
                                </m:ctrlPr>
                              </m:sSubPr>
                              <m:e>
                                <m:r>
                                  <w:rPr>
                                    <w:rFonts w:ascii="Cambria Math" w:hAnsi="Cambria Math"/>
                                    <w:lang w:val="it-IT"/>
                                  </w:rPr>
                                  <m:t>Q</m:t>
                                </m:r>
                              </m:e>
                              <m:sub>
                                <m:r>
                                  <w:rPr>
                                    <w:rFonts w:ascii="Cambria Math" w:hAnsi="Cambria Math"/>
                                    <w:lang w:val="it-IT"/>
                                  </w:rPr>
                                  <m:t>cell,0</m:t>
                                </m:r>
                              </m:sub>
                            </m:sSub>
                          </m:den>
                        </m:f>
                      </m:e>
                    </m:d>
                  </m:e>
                  <m:sub>
                    <m:r>
                      <w:rPr>
                        <w:rFonts w:ascii="Cambria Math" w:hAnsi="Cambria Math"/>
                        <w:lang w:val="it-IT"/>
                      </w:rPr>
                      <m:t>X=1</m:t>
                    </m:r>
                  </m:sub>
                </m:sSub>
              </m:oMath>
            </m:oMathPara>
          </w:p>
        </w:tc>
        <w:tc>
          <w:tcPr>
            <w:tcW w:w="805" w:type="dxa"/>
            <w:hideMark/>
          </w:tcPr>
          <w:p w14:paraId="2546CC1F" w14:textId="2EC4CE74" w:rsidR="00741C4F" w:rsidRPr="00741C4F" w:rsidRDefault="00741C4F" w:rsidP="00741C4F">
            <w:pPr>
              <w:pStyle w:val="CETBodytext"/>
              <w:rPr>
                <w:lang w:val="it-IT"/>
              </w:rPr>
            </w:pPr>
            <w:r w:rsidRPr="00741C4F">
              <w:rPr>
                <w:lang w:val="it-IT"/>
              </w:rPr>
              <w:t>(</w:t>
            </w:r>
            <w:r>
              <w:rPr>
                <w:lang w:val="it-IT"/>
              </w:rPr>
              <w:t>12</w:t>
            </w:r>
            <w:r w:rsidRPr="00741C4F">
              <w:rPr>
                <w:lang w:val="it-IT"/>
              </w:rPr>
              <w:t>)</w:t>
            </w:r>
          </w:p>
        </w:tc>
      </w:tr>
    </w:tbl>
    <w:p w14:paraId="64CD4B5C" w14:textId="27C05B89" w:rsidR="007372EF" w:rsidRDefault="008C2C62" w:rsidP="007372EF">
      <w:pPr>
        <w:pStyle w:val="CETBodytext"/>
      </w:pPr>
      <w:r>
        <w:rPr>
          <w:lang w:val="en-GB"/>
        </w:rPr>
        <w:t>W</w:t>
      </w:r>
      <w:r w:rsidR="007372EF" w:rsidRPr="007372EF">
        <w:t>here N</w:t>
      </w:r>
      <w:r w:rsidR="007372EF" w:rsidRPr="007372EF">
        <w:rPr>
          <w:vertAlign w:val="subscript"/>
        </w:rPr>
        <w:t>shape</w:t>
      </w:r>
      <w:r w:rsidR="007372EF" w:rsidRPr="007372EF">
        <w:t xml:space="preserve"> is 3 for spherical particles. The surface state-of-charge, SOC</w:t>
      </w:r>
      <w:r w:rsidR="007372EF" w:rsidRPr="007372EF">
        <w:rPr>
          <w:vertAlign w:val="subscript"/>
        </w:rPr>
        <w:t>surface</w:t>
      </w:r>
      <w:r w:rsidR="007372EF" w:rsidRPr="007372EF">
        <w:t>, is defined at the surface of the particle (X = 1). The average state-of-charge, SOC</w:t>
      </w:r>
      <w:r w:rsidR="007372EF" w:rsidRPr="007372EF">
        <w:rPr>
          <w:vertAlign w:val="subscript"/>
        </w:rPr>
        <w:t>average</w:t>
      </w:r>
      <w:r w:rsidR="007372EF" w:rsidRPr="007372EF">
        <w:t xml:space="preserve">, is defined by integrating over the volume of the particle, appropriately considering spherical coordinates, and defined </w:t>
      </w:r>
      <w:r w:rsidR="00956AC7">
        <w:t>by</w:t>
      </w:r>
      <w:r w:rsidR="007372EF" w:rsidRPr="007372EF">
        <w:t xml:space="preserve"> </w:t>
      </w:r>
      <w:r w:rsidR="00741C4F">
        <w:t>Eq (13)</w:t>
      </w:r>
      <w:r w:rsidR="00956AC7">
        <w:t>:</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741C4F" w:rsidRPr="00741C4F" w14:paraId="2BA175D9" w14:textId="77777777" w:rsidTr="00741C4F">
        <w:tc>
          <w:tcPr>
            <w:tcW w:w="7982" w:type="dxa"/>
            <w:hideMark/>
          </w:tcPr>
          <w:p w14:paraId="740716CB" w14:textId="16AF0597" w:rsidR="00741C4F" w:rsidRPr="00741C4F" w:rsidRDefault="008C2C62" w:rsidP="00741C4F">
            <w:pPr>
              <w:pStyle w:val="CETEquation"/>
              <w:rPr>
                <w:lang w:val="it-IT"/>
              </w:rPr>
            </w:pPr>
            <m:oMathPara>
              <m:oMathParaPr>
                <m:jc m:val="left"/>
              </m:oMathParaPr>
              <m:oMath>
                <m:sSub>
                  <m:sSubPr>
                    <m:ctrlPr>
                      <w:rPr>
                        <w:rFonts w:ascii="Cambria Math" w:hAnsi="Cambria Math"/>
                        <w:lang w:val="it-IT"/>
                      </w:rPr>
                    </m:ctrlPr>
                  </m:sSubPr>
                  <m:e>
                    <m:r>
                      <m:rPr>
                        <m:sty m:val="p"/>
                      </m:rPr>
                      <w:rPr>
                        <w:rFonts w:ascii="Cambria Math" w:hAnsi="Cambria Math"/>
                        <w:lang w:val="it-IT"/>
                      </w:rPr>
                      <m:t>SOC</m:t>
                    </m:r>
                  </m:e>
                  <m:sub>
                    <m:r>
                      <w:rPr>
                        <w:rFonts w:ascii="Cambria Math" w:hAnsi="Cambria Math"/>
                        <w:lang w:val="it-IT"/>
                      </w:rPr>
                      <m:t>average</m:t>
                    </m:r>
                  </m:sub>
                </m:sSub>
                <m:r>
                  <m:rPr>
                    <m:sty m:val="p"/>
                  </m:rPr>
                  <w:rPr>
                    <w:rFonts w:ascii="Cambria Math" w:hAnsi="Cambria Math"/>
                    <w:lang w:val="it-IT"/>
                  </w:rPr>
                  <m:t>=</m:t>
                </m:r>
                <m:f>
                  <m:fPr>
                    <m:ctrlPr>
                      <w:rPr>
                        <w:rFonts w:ascii="Cambria Math" w:hAnsi="Cambria Math"/>
                        <w:lang w:val="it-IT"/>
                      </w:rPr>
                    </m:ctrlPr>
                  </m:fPr>
                  <m:num>
                    <m:nary>
                      <m:naryPr>
                        <m:limLoc m:val="undOvr"/>
                        <m:ctrlPr>
                          <w:rPr>
                            <w:rFonts w:ascii="Cambria Math" w:hAnsi="Cambria Math"/>
                            <w:lang w:val="it-IT"/>
                          </w:rPr>
                        </m:ctrlPr>
                      </m:naryPr>
                      <m:sub>
                        <m:r>
                          <m:rPr>
                            <m:sty m:val="p"/>
                          </m:rPr>
                          <w:rPr>
                            <w:rFonts w:ascii="Cambria Math" w:hAnsi="Cambria Math"/>
                            <w:lang w:val="it-IT"/>
                          </w:rPr>
                          <m:t>0</m:t>
                        </m:r>
                      </m:sub>
                      <m:sup>
                        <m:r>
                          <m:rPr>
                            <m:sty m:val="p"/>
                          </m:rPr>
                          <w:rPr>
                            <w:rFonts w:ascii="Cambria Math" w:hAnsi="Cambria Math"/>
                            <w:lang w:val="it-IT"/>
                          </w:rPr>
                          <m:t>1</m:t>
                        </m:r>
                      </m:sup>
                      <m:e>
                        <m:r>
                          <w:rPr>
                            <w:rFonts w:ascii="Cambria Math" w:hAnsi="Cambria Math"/>
                            <w:lang w:val="it-IT"/>
                          </w:rPr>
                          <m:t>SOC</m:t>
                        </m:r>
                        <m:r>
                          <m:rPr>
                            <m:sty m:val="p"/>
                          </m:rPr>
                          <w:rPr>
                            <w:rFonts w:ascii="Cambria Math" w:hAnsi="Cambria Math"/>
                            <w:lang w:val="it-IT"/>
                          </w:rPr>
                          <m:t>4</m:t>
                        </m:r>
                        <m:r>
                          <w:rPr>
                            <w:rFonts w:ascii="Cambria Math" w:hAnsi="Cambria Math"/>
                            <w:lang w:val="it-IT"/>
                          </w:rPr>
                          <m:t>π</m:t>
                        </m:r>
                        <m:sSup>
                          <m:sSupPr>
                            <m:ctrlPr>
                              <w:rPr>
                                <w:rFonts w:ascii="Cambria Math" w:hAnsi="Cambria Math"/>
                                <w:lang w:val="it-IT"/>
                              </w:rPr>
                            </m:ctrlPr>
                          </m:sSupPr>
                          <m:e>
                            <m:r>
                              <w:rPr>
                                <w:rFonts w:ascii="Cambria Math" w:hAnsi="Cambria Math"/>
                                <w:lang w:val="it-IT"/>
                              </w:rPr>
                              <m:t>X</m:t>
                            </m:r>
                          </m:e>
                          <m:sup>
                            <m:r>
                              <m:rPr>
                                <m:sty m:val="p"/>
                              </m:rPr>
                              <w:rPr>
                                <w:rFonts w:ascii="Cambria Math" w:hAnsi="Cambria Math"/>
                                <w:lang w:val="it-IT"/>
                              </w:rPr>
                              <m:t>2</m:t>
                            </m:r>
                          </m:sup>
                        </m:sSup>
                        <m:r>
                          <w:rPr>
                            <w:rFonts w:ascii="Cambria Math" w:hAnsi="Cambria Math"/>
                            <w:lang w:val="it-IT"/>
                          </w:rPr>
                          <m:t>dX</m:t>
                        </m:r>
                      </m:e>
                    </m:nary>
                  </m:num>
                  <m:den>
                    <m:nary>
                      <m:naryPr>
                        <m:limLoc m:val="undOvr"/>
                        <m:ctrlPr>
                          <w:rPr>
                            <w:rFonts w:ascii="Cambria Math" w:hAnsi="Cambria Math"/>
                            <w:lang w:val="it-IT"/>
                          </w:rPr>
                        </m:ctrlPr>
                      </m:naryPr>
                      <m:sub>
                        <m:r>
                          <m:rPr>
                            <m:sty m:val="p"/>
                          </m:rPr>
                          <w:rPr>
                            <w:rFonts w:ascii="Cambria Math" w:hAnsi="Cambria Math"/>
                            <w:lang w:val="it-IT"/>
                          </w:rPr>
                          <m:t>0</m:t>
                        </m:r>
                      </m:sub>
                      <m:sup>
                        <m:r>
                          <m:rPr>
                            <m:sty m:val="p"/>
                          </m:rPr>
                          <w:rPr>
                            <w:rFonts w:ascii="Cambria Math" w:hAnsi="Cambria Math"/>
                            <w:lang w:val="it-IT"/>
                          </w:rPr>
                          <m:t>1</m:t>
                        </m:r>
                      </m:sup>
                      <m:e>
                        <m:r>
                          <m:rPr>
                            <m:sty m:val="p"/>
                          </m:rPr>
                          <w:rPr>
                            <w:rFonts w:ascii="Cambria Math" w:hAnsi="Cambria Math"/>
                            <w:lang w:val="it-IT"/>
                          </w:rPr>
                          <m:t>4</m:t>
                        </m:r>
                        <m:r>
                          <w:rPr>
                            <w:rFonts w:ascii="Cambria Math" w:hAnsi="Cambria Math"/>
                            <w:lang w:val="it-IT"/>
                          </w:rPr>
                          <m:t>π</m:t>
                        </m:r>
                        <m:sSup>
                          <m:sSupPr>
                            <m:ctrlPr>
                              <w:rPr>
                                <w:rFonts w:ascii="Cambria Math" w:hAnsi="Cambria Math"/>
                                <w:lang w:val="it-IT"/>
                              </w:rPr>
                            </m:ctrlPr>
                          </m:sSupPr>
                          <m:e>
                            <m:r>
                              <w:rPr>
                                <w:rFonts w:ascii="Cambria Math" w:hAnsi="Cambria Math"/>
                                <w:lang w:val="it-IT"/>
                              </w:rPr>
                              <m:t>X</m:t>
                            </m:r>
                          </m:e>
                          <m:sup>
                            <m:r>
                              <m:rPr>
                                <m:sty m:val="p"/>
                              </m:rPr>
                              <w:rPr>
                                <w:rFonts w:ascii="Cambria Math" w:hAnsi="Cambria Math"/>
                                <w:lang w:val="it-IT"/>
                              </w:rPr>
                              <m:t>2</m:t>
                            </m:r>
                          </m:sup>
                        </m:sSup>
                        <m:r>
                          <w:rPr>
                            <w:rFonts w:ascii="Cambria Math" w:hAnsi="Cambria Math"/>
                            <w:lang w:val="it-IT"/>
                          </w:rPr>
                          <m:t>dX</m:t>
                        </m:r>
                      </m:e>
                    </m:nary>
                  </m:den>
                </m:f>
                <m:r>
                  <m:rPr>
                    <m:sty m:val="p"/>
                  </m:rPr>
                  <w:rPr>
                    <w:rFonts w:ascii="Cambria Math" w:hAnsi="Cambria Math"/>
                    <w:lang w:val="it-IT"/>
                  </w:rPr>
                  <m:t>= 3</m:t>
                </m:r>
                <m:nary>
                  <m:naryPr>
                    <m:limLoc m:val="undOvr"/>
                    <m:ctrlPr>
                      <w:rPr>
                        <w:rFonts w:ascii="Cambria Math" w:hAnsi="Cambria Math"/>
                        <w:lang w:val="it-IT"/>
                      </w:rPr>
                    </m:ctrlPr>
                  </m:naryPr>
                  <m:sub>
                    <m:r>
                      <m:rPr>
                        <m:sty m:val="p"/>
                      </m:rPr>
                      <w:rPr>
                        <w:rFonts w:ascii="Cambria Math" w:hAnsi="Cambria Math"/>
                        <w:lang w:val="it-IT"/>
                      </w:rPr>
                      <m:t>0</m:t>
                    </m:r>
                  </m:sub>
                  <m:sup>
                    <m:r>
                      <m:rPr>
                        <m:sty m:val="p"/>
                      </m:rPr>
                      <w:rPr>
                        <w:rFonts w:ascii="Cambria Math" w:hAnsi="Cambria Math"/>
                        <w:lang w:val="it-IT"/>
                      </w:rPr>
                      <m:t>1</m:t>
                    </m:r>
                  </m:sup>
                  <m:e>
                    <m:r>
                      <w:rPr>
                        <w:rFonts w:ascii="Cambria Math" w:hAnsi="Cambria Math"/>
                        <w:lang w:val="it-IT"/>
                      </w:rPr>
                      <m:t>SOC</m:t>
                    </m:r>
                    <m:sSup>
                      <m:sSupPr>
                        <m:ctrlPr>
                          <w:rPr>
                            <w:rFonts w:ascii="Cambria Math" w:hAnsi="Cambria Math"/>
                            <w:lang w:val="it-IT"/>
                          </w:rPr>
                        </m:ctrlPr>
                      </m:sSupPr>
                      <m:e>
                        <m:r>
                          <w:rPr>
                            <w:rFonts w:ascii="Cambria Math" w:hAnsi="Cambria Math"/>
                            <w:lang w:val="it-IT"/>
                          </w:rPr>
                          <m:t>X</m:t>
                        </m:r>
                      </m:e>
                      <m:sup>
                        <m:r>
                          <m:rPr>
                            <m:sty m:val="p"/>
                          </m:rPr>
                          <w:rPr>
                            <w:rFonts w:ascii="Cambria Math" w:hAnsi="Cambria Math"/>
                            <w:lang w:val="it-IT"/>
                          </w:rPr>
                          <m:t>2</m:t>
                        </m:r>
                      </m:sup>
                    </m:sSup>
                    <m:r>
                      <w:rPr>
                        <w:rFonts w:ascii="Cambria Math" w:hAnsi="Cambria Math"/>
                        <w:lang w:val="it-IT"/>
                      </w:rPr>
                      <m:t>dX</m:t>
                    </m:r>
                  </m:e>
                </m:nary>
              </m:oMath>
            </m:oMathPara>
          </w:p>
        </w:tc>
        <w:tc>
          <w:tcPr>
            <w:tcW w:w="805" w:type="dxa"/>
            <w:hideMark/>
          </w:tcPr>
          <w:p w14:paraId="4F027077" w14:textId="1454F3C4" w:rsidR="00741C4F" w:rsidRPr="00741C4F" w:rsidRDefault="00741C4F" w:rsidP="00741C4F">
            <w:pPr>
              <w:pStyle w:val="CETBodytext"/>
              <w:rPr>
                <w:lang w:val="it-IT"/>
              </w:rPr>
            </w:pPr>
            <w:r w:rsidRPr="00741C4F">
              <w:rPr>
                <w:lang w:val="it-IT"/>
              </w:rPr>
              <w:t>(</w:t>
            </w:r>
            <w:r>
              <w:rPr>
                <w:lang w:val="it-IT"/>
              </w:rPr>
              <w:t>13</w:t>
            </w:r>
            <w:r w:rsidRPr="00741C4F">
              <w:rPr>
                <w:lang w:val="it-IT"/>
              </w:rPr>
              <w:t>)</w:t>
            </w:r>
          </w:p>
        </w:tc>
      </w:tr>
    </w:tbl>
    <w:p w14:paraId="2F5EF04B" w14:textId="09630ADB" w:rsidR="007372EF" w:rsidRPr="007372EF" w:rsidRDefault="000213B4" w:rsidP="000213B4">
      <w:pPr>
        <w:pStyle w:val="CETBodytext"/>
      </w:pPr>
      <w:r w:rsidRPr="000213B4">
        <w:t>I</w:t>
      </w:r>
      <w:r w:rsidRPr="000213B4">
        <w:rPr>
          <w:vertAlign w:val="subscript"/>
        </w:rPr>
        <w:t>1C</w:t>
      </w:r>
      <w:r w:rsidR="00424CF7">
        <w:t xml:space="preserve">, the </w:t>
      </w:r>
      <w:r>
        <w:t xml:space="preserve">current </w:t>
      </w:r>
      <w:r w:rsidR="00424CF7">
        <w:t xml:space="preserve">at </w:t>
      </w:r>
      <w:r>
        <w:t>1C rate can be calculated by Eq (14):</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741C4F" w:rsidRPr="00741C4F" w14:paraId="72D0C5C2" w14:textId="77777777" w:rsidTr="00741C4F">
        <w:tc>
          <w:tcPr>
            <w:tcW w:w="7982" w:type="dxa"/>
            <w:hideMark/>
          </w:tcPr>
          <w:p w14:paraId="49FCE941" w14:textId="53C2B240" w:rsidR="009533C7" w:rsidRPr="009D3F6C" w:rsidRDefault="008C2C62" w:rsidP="009D3F6C">
            <w:pPr>
              <w:pStyle w:val="CETEquation"/>
            </w:pPr>
            <m:oMathPara>
              <m:oMathParaPr>
                <m:jc m:val="left"/>
              </m:oMathParaPr>
              <m:oMath>
                <m:sSub>
                  <m:sSubPr>
                    <m:ctrlPr>
                      <w:rPr>
                        <w:rFonts w:ascii="Cambria Math" w:hAnsi="Cambria Math"/>
                        <w:lang w:val="it-IT"/>
                      </w:rPr>
                    </m:ctrlPr>
                  </m:sSubPr>
                  <m:e>
                    <m:r>
                      <m:rPr>
                        <m:sty m:val="p"/>
                      </m:rPr>
                      <w:rPr>
                        <w:rFonts w:ascii="Cambria Math" w:hAnsi="Cambria Math"/>
                        <w:lang w:val="it-IT"/>
                      </w:rPr>
                      <m:t>I</m:t>
                    </m:r>
                  </m:e>
                  <m:sub>
                    <m:r>
                      <m:rPr>
                        <m:sty m:val="p"/>
                      </m:rPr>
                      <w:rPr>
                        <w:rFonts w:ascii="Cambria Math" w:hAnsi="Cambria Math"/>
                        <w:lang w:val="it-IT"/>
                      </w:rPr>
                      <m:t>1</m:t>
                    </m:r>
                    <m:r>
                      <w:rPr>
                        <w:rFonts w:ascii="Cambria Math" w:hAnsi="Cambria Math"/>
                        <w:lang w:val="it-IT"/>
                      </w:rPr>
                      <m:t>C</m:t>
                    </m:r>
                  </m:sub>
                </m:sSub>
                <m:r>
                  <m:rPr>
                    <m:sty m:val="p"/>
                  </m:rPr>
                  <w:rPr>
                    <w:rFonts w:ascii="Cambria Math" w:hAnsi="Cambria Math"/>
                    <w:lang w:val="it-IT"/>
                  </w:rPr>
                  <m:t>=</m:t>
                </m:r>
                <m:f>
                  <m:fPr>
                    <m:ctrlPr>
                      <w:rPr>
                        <w:rFonts w:ascii="Cambria Math" w:hAnsi="Cambria Math"/>
                        <w:lang w:val="it-IT"/>
                      </w:rPr>
                    </m:ctrlPr>
                  </m:fPr>
                  <m:num>
                    <m:sSub>
                      <m:sSubPr>
                        <m:ctrlPr>
                          <w:rPr>
                            <w:rFonts w:ascii="Cambria Math" w:hAnsi="Cambria Math"/>
                            <w:lang w:val="it-IT"/>
                          </w:rPr>
                        </m:ctrlPr>
                      </m:sSubPr>
                      <m:e>
                        <m:r>
                          <w:rPr>
                            <w:rFonts w:ascii="Cambria Math" w:hAnsi="Cambria Math"/>
                            <w:lang w:val="it-IT"/>
                          </w:rPr>
                          <m:t>Q</m:t>
                        </m:r>
                      </m:e>
                      <m:sub>
                        <m:r>
                          <w:rPr>
                            <w:rFonts w:ascii="Cambria Math" w:hAnsi="Cambria Math"/>
                            <w:lang w:val="it-IT"/>
                          </w:rPr>
                          <m:t>cell</m:t>
                        </m:r>
                        <m:r>
                          <m:rPr>
                            <m:sty m:val="p"/>
                          </m:rPr>
                          <w:rPr>
                            <w:rFonts w:ascii="Cambria Math" w:hAnsi="Cambria Math"/>
                            <w:lang w:val="it-IT"/>
                          </w:rPr>
                          <m:t>,0</m:t>
                        </m:r>
                      </m:sub>
                    </m:sSub>
                  </m:num>
                  <m:den>
                    <m:r>
                      <m:rPr>
                        <m:sty m:val="p"/>
                      </m:rPr>
                      <w:rPr>
                        <w:rFonts w:ascii="Cambria Math" w:hAnsi="Cambria Math"/>
                        <w:lang w:val="it-IT"/>
                      </w:rPr>
                      <m:t>3600</m:t>
                    </m:r>
                  </m:den>
                </m:f>
              </m:oMath>
            </m:oMathPara>
          </w:p>
        </w:tc>
        <w:tc>
          <w:tcPr>
            <w:tcW w:w="805" w:type="dxa"/>
            <w:hideMark/>
          </w:tcPr>
          <w:p w14:paraId="068D3902" w14:textId="3D847D6F" w:rsidR="00741C4F" w:rsidRPr="00741C4F" w:rsidRDefault="00741C4F" w:rsidP="00741C4F">
            <w:pPr>
              <w:pStyle w:val="CETBodytext"/>
              <w:rPr>
                <w:lang w:val="it-IT"/>
              </w:rPr>
            </w:pPr>
            <w:r w:rsidRPr="00741C4F">
              <w:rPr>
                <w:lang w:val="it-IT"/>
              </w:rPr>
              <w:t>(</w:t>
            </w:r>
            <w:r w:rsidR="009533C7">
              <w:rPr>
                <w:lang w:val="it-IT"/>
              </w:rPr>
              <w:t>14</w:t>
            </w:r>
            <w:r w:rsidRPr="00741C4F">
              <w:rPr>
                <w:lang w:val="it-IT"/>
              </w:rPr>
              <w:t>)</w:t>
            </w:r>
          </w:p>
        </w:tc>
      </w:tr>
    </w:tbl>
    <w:p w14:paraId="5CDD06EE" w14:textId="69FBE73F" w:rsidR="000213B4" w:rsidRDefault="007372EF" w:rsidP="000213B4">
      <w:pPr>
        <w:pStyle w:val="CETBodytext"/>
      </w:pPr>
      <w:r w:rsidRPr="007372EF">
        <w:t>R</w:t>
      </w:r>
      <w:r w:rsidRPr="007372EF">
        <w:rPr>
          <w:vertAlign w:val="subscript"/>
        </w:rPr>
        <w:t xml:space="preserve">ohm </w:t>
      </w:r>
      <w:r w:rsidRPr="007372EF">
        <w:t>(ohmic resistance) is a specific type of resistance that obeys Ohm’s Law and excludes any reactive components. It is generally constant across frequencies and provides a purely resistive behavior.</w:t>
      </w:r>
      <w:r w:rsidR="000213B4">
        <w:t xml:space="preserve"> </w:t>
      </w:r>
      <w:r w:rsidR="000213B4" w:rsidRPr="007372EF">
        <w:t xml:space="preserve">The lumped voltage loss associated with ohmic process in the electrolyte and electrodes is given </w:t>
      </w:r>
      <w:r w:rsidR="000213B4">
        <w:t>by</w:t>
      </w:r>
      <w:r w:rsidR="000213B4" w:rsidRPr="007372EF">
        <w:t xml:space="preserve"> Eq</w:t>
      </w:r>
      <w:r w:rsidR="000213B4">
        <w:t xml:space="preserve"> (15):</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9533C7" w:rsidRPr="009533C7" w14:paraId="514A527C" w14:textId="77777777" w:rsidTr="009533C7">
        <w:tc>
          <w:tcPr>
            <w:tcW w:w="7982" w:type="dxa"/>
            <w:hideMark/>
          </w:tcPr>
          <w:p w14:paraId="00119B24" w14:textId="44C9F546" w:rsidR="009533C7" w:rsidRPr="009533C7" w:rsidRDefault="008C2C62" w:rsidP="009533C7">
            <w:pPr>
              <w:pStyle w:val="CETEquation"/>
              <w:rPr>
                <w:lang w:val="it-IT"/>
              </w:rPr>
            </w:pPr>
            <m:oMathPara>
              <m:oMathParaPr>
                <m:jc m:val="left"/>
              </m:oMathParaPr>
              <m:oMath>
                <m:sSub>
                  <m:sSubPr>
                    <m:ctrlPr>
                      <w:rPr>
                        <w:rFonts w:ascii="Cambria Math" w:hAnsi="Cambria Math"/>
                      </w:rPr>
                    </m:ctrlPr>
                  </m:sSubPr>
                  <m:e>
                    <m:r>
                      <w:rPr>
                        <w:rFonts w:ascii="Cambria Math" w:hAnsi="Cambria Math"/>
                      </w:rPr>
                      <m:t>η</m:t>
                    </m:r>
                  </m:e>
                  <m:sub>
                    <m:r>
                      <w:rPr>
                        <w:rFonts w:ascii="Cambria Math" w:hAnsi="Cambria Math"/>
                      </w:rPr>
                      <m:t>IR</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IR</m:t>
                    </m:r>
                    <m:r>
                      <m:rPr>
                        <m:sty m:val="p"/>
                      </m:rPr>
                      <w:rPr>
                        <w:rFonts w:ascii="Cambria Math" w:hAnsi="Cambria Math"/>
                      </w:rPr>
                      <m:t>,1</m:t>
                    </m:r>
                    <m:r>
                      <w:rPr>
                        <w:rFonts w:ascii="Cambria Math" w:hAnsi="Cambria Math"/>
                      </w:rPr>
                      <m:t>c</m:t>
                    </m:r>
                  </m:sub>
                </m:sSub>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cell</m:t>
                        </m:r>
                      </m:sub>
                    </m:sSub>
                  </m:num>
                  <m:den>
                    <m:sSub>
                      <m:sSubPr>
                        <m:ctrlPr>
                          <w:rPr>
                            <w:rFonts w:ascii="Cambria Math" w:hAnsi="Cambria Math"/>
                          </w:rPr>
                        </m:ctrlPr>
                      </m:sSubPr>
                      <m:e>
                        <m:r>
                          <w:rPr>
                            <w:rFonts w:ascii="Cambria Math" w:hAnsi="Cambria Math"/>
                          </w:rPr>
                          <m:t>I</m:t>
                        </m:r>
                      </m:e>
                      <m:sub>
                        <m:r>
                          <m:rPr>
                            <m:sty m:val="p"/>
                          </m:rPr>
                          <w:rPr>
                            <w:rFonts w:ascii="Cambria Math" w:hAnsi="Cambria Math"/>
                          </w:rPr>
                          <m:t>1</m:t>
                        </m:r>
                        <m:r>
                          <w:rPr>
                            <w:rFonts w:ascii="Cambria Math" w:hAnsi="Cambria Math"/>
                          </w:rPr>
                          <m:t>C</m:t>
                        </m:r>
                      </m:sub>
                    </m:sSub>
                  </m:den>
                </m:f>
                <m:sSub>
                  <m:sSubPr>
                    <m:ctrlPr>
                      <w:rPr>
                        <w:rFonts w:ascii="Cambria Math" w:hAnsi="Cambria Math"/>
                      </w:rPr>
                    </m:ctrlPr>
                  </m:sSubPr>
                  <m:e>
                    <m:r>
                      <m:rPr>
                        <m:sty m:val="p"/>
                      </m:rPr>
                      <w:rPr>
                        <w:rFonts w:ascii="Cambria Math" w:hAnsi="Cambria Math"/>
                      </w:rPr>
                      <m:t xml:space="preserve">= </m:t>
                    </m:r>
                    <m:r>
                      <w:rPr>
                        <w:rFonts w:ascii="Cambria Math" w:hAnsi="Cambria Math"/>
                      </w:rPr>
                      <m:t>R</m:t>
                    </m:r>
                  </m:e>
                  <m:sub>
                    <m:r>
                      <w:rPr>
                        <w:rFonts w:ascii="Cambria Math" w:hAnsi="Cambria Math"/>
                      </w:rPr>
                      <m:t>ohm</m:t>
                    </m:r>
                  </m:sub>
                </m:sSub>
                <m:sSub>
                  <m:sSubPr>
                    <m:ctrlPr>
                      <w:rPr>
                        <w:rFonts w:ascii="Cambria Math" w:hAnsi="Cambria Math"/>
                      </w:rPr>
                    </m:ctrlPr>
                  </m:sSubPr>
                  <m:e>
                    <m:r>
                      <w:rPr>
                        <w:rFonts w:ascii="Cambria Math" w:hAnsi="Cambria Math"/>
                      </w:rPr>
                      <m:t>I</m:t>
                    </m:r>
                  </m:e>
                  <m:sub>
                    <m:r>
                      <w:rPr>
                        <w:rFonts w:ascii="Cambria Math" w:hAnsi="Cambria Math"/>
                      </w:rPr>
                      <m:t>cell</m:t>
                    </m:r>
                  </m:sub>
                </m:sSub>
              </m:oMath>
            </m:oMathPara>
          </w:p>
        </w:tc>
        <w:tc>
          <w:tcPr>
            <w:tcW w:w="805" w:type="dxa"/>
            <w:hideMark/>
          </w:tcPr>
          <w:p w14:paraId="3E795F50" w14:textId="78757FAE" w:rsidR="009533C7" w:rsidRPr="009533C7" w:rsidRDefault="009533C7" w:rsidP="009533C7">
            <w:pPr>
              <w:pStyle w:val="CETBodytext"/>
              <w:rPr>
                <w:lang w:val="it-IT"/>
              </w:rPr>
            </w:pPr>
            <w:r w:rsidRPr="009533C7">
              <w:rPr>
                <w:lang w:val="it-IT"/>
              </w:rPr>
              <w:t>(</w:t>
            </w:r>
            <w:r>
              <w:rPr>
                <w:lang w:val="it-IT"/>
              </w:rPr>
              <w:t>15</w:t>
            </w:r>
            <w:r w:rsidRPr="009533C7">
              <w:rPr>
                <w:lang w:val="it-IT"/>
              </w:rPr>
              <w:t>)</w:t>
            </w:r>
          </w:p>
        </w:tc>
      </w:tr>
    </w:tbl>
    <w:p w14:paraId="1037AA62" w14:textId="263D701A" w:rsidR="007372EF" w:rsidRPr="007372EF" w:rsidRDefault="007372EF" w:rsidP="007372EF">
      <w:pPr>
        <w:pStyle w:val="CETBodytext"/>
      </w:pPr>
      <w:r w:rsidRPr="007372EF">
        <w:t>The dimensionless charge exchange current J</w:t>
      </w:r>
      <w:r w:rsidRPr="007372EF">
        <w:rPr>
          <w:vertAlign w:val="subscript"/>
        </w:rPr>
        <w:t>0</w:t>
      </w:r>
      <w:r w:rsidRPr="007372EF">
        <w:t xml:space="preserve"> is used to define the lumped voltage loss associated with the charge transfer reactions (activation overpotential) on both the positive and negative electrode surfaces</w:t>
      </w:r>
      <w:r w:rsidR="00956AC7">
        <w:t>:</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C9637A" w:rsidRPr="00C9637A" w14:paraId="0B8CE378" w14:textId="77777777" w:rsidTr="00C9637A">
        <w:tc>
          <w:tcPr>
            <w:tcW w:w="7982" w:type="dxa"/>
            <w:hideMark/>
          </w:tcPr>
          <w:p w14:paraId="371F78FC" w14:textId="55411AF3" w:rsidR="00C9637A" w:rsidRPr="00EB15B9" w:rsidRDefault="008C2C62" w:rsidP="00EB15B9">
            <w:pPr>
              <w:pStyle w:val="CETEquation"/>
              <w:rPr>
                <w:lang w:val="it-IT"/>
              </w:rPr>
            </w:pPr>
            <m:oMathPara>
              <m:oMathParaPr>
                <m:jc m:val="left"/>
              </m:oMathParaPr>
              <m:oMath>
                <m:sSub>
                  <m:sSubPr>
                    <m:ctrlPr>
                      <w:rPr>
                        <w:rFonts w:ascii="Cambria Math" w:hAnsi="Cambria Math"/>
                        <w:lang w:val="en-US"/>
                      </w:rPr>
                    </m:ctrlPr>
                  </m:sSubPr>
                  <m:e>
                    <m:r>
                      <w:rPr>
                        <w:rFonts w:ascii="Cambria Math" w:hAnsi="Cambria Math"/>
                      </w:rPr>
                      <m:t>η</m:t>
                    </m:r>
                  </m:e>
                  <m:sub>
                    <m:r>
                      <w:rPr>
                        <w:rFonts w:ascii="Cambria Math" w:hAnsi="Cambria Math"/>
                      </w:rPr>
                      <m:t>act</m:t>
                    </m:r>
                  </m:sub>
                </m:sSub>
                <m:r>
                  <m:rPr>
                    <m:sty m:val="p"/>
                  </m:rPr>
                  <w:rPr>
                    <w:rFonts w:ascii="Cambria Math" w:hAnsi="Cambria Math"/>
                  </w:rPr>
                  <m:t>=</m:t>
                </m:r>
                <m:f>
                  <m:fPr>
                    <m:ctrlPr>
                      <w:rPr>
                        <w:rFonts w:ascii="Cambria Math" w:hAnsi="Cambria Math"/>
                        <w:lang w:val="en-US"/>
                      </w:rPr>
                    </m:ctrlPr>
                  </m:fPr>
                  <m:num>
                    <m:r>
                      <m:rPr>
                        <m:sty m:val="p"/>
                      </m:rPr>
                      <w:rPr>
                        <w:rFonts w:ascii="Cambria Math" w:hAnsi="Cambria Math"/>
                      </w:rPr>
                      <m:t>2</m:t>
                    </m:r>
                    <m:r>
                      <w:rPr>
                        <w:rFonts w:ascii="Cambria Math" w:hAnsi="Cambria Math"/>
                      </w:rPr>
                      <m:t>RT</m:t>
                    </m:r>
                  </m:num>
                  <m:den>
                    <m:r>
                      <w:rPr>
                        <w:rFonts w:ascii="Cambria Math" w:hAnsi="Cambria Math"/>
                      </w:rPr>
                      <m:t>F</m:t>
                    </m:r>
                  </m:den>
                </m:f>
                <m:func>
                  <m:funcPr>
                    <m:ctrlPr>
                      <w:rPr>
                        <w:rFonts w:ascii="Cambria Math" w:hAnsi="Cambria Math"/>
                        <w:lang w:val="en-US"/>
                      </w:rPr>
                    </m:ctrlPr>
                  </m:funcPr>
                  <m:fName>
                    <m:sSup>
                      <m:sSupPr>
                        <m:ctrlPr>
                          <w:rPr>
                            <w:rFonts w:ascii="Cambria Math" w:hAnsi="Cambria Math"/>
                            <w:lang w:val="en-US"/>
                          </w:rPr>
                        </m:ctrlPr>
                      </m:sSupPr>
                      <m:e>
                        <m:r>
                          <m:rPr>
                            <m:sty m:val="p"/>
                          </m:rPr>
                          <w:rPr>
                            <w:rFonts w:ascii="Cambria Math" w:hAnsi="Cambria Math"/>
                            <w:lang w:val="en-US"/>
                          </w:rPr>
                          <m:t>sinh</m:t>
                        </m:r>
                      </m:e>
                      <m:sup>
                        <m:r>
                          <m:rPr>
                            <m:sty m:val="p"/>
                          </m:rPr>
                          <w:rPr>
                            <w:rFonts w:ascii="Cambria Math" w:hAnsi="Cambria Math"/>
                            <w:lang w:val="en-US"/>
                          </w:rPr>
                          <m:t>-1</m:t>
                        </m:r>
                      </m:sup>
                    </m:sSup>
                  </m:fName>
                  <m:e>
                    <m:r>
                      <m:rPr>
                        <m:sty m:val="p"/>
                      </m:rPr>
                      <w:rPr>
                        <w:rFonts w:ascii="Cambria Math" w:hAnsi="Cambria Math"/>
                      </w:rPr>
                      <m:t>(</m:t>
                    </m:r>
                    <m:f>
                      <m:fPr>
                        <m:ctrlPr>
                          <w:rPr>
                            <w:rFonts w:ascii="Cambria Math" w:hAnsi="Cambria Math"/>
                            <w:lang w:val="en-US"/>
                          </w:rPr>
                        </m:ctrlPr>
                      </m:fPr>
                      <m:num>
                        <m:sSub>
                          <m:sSubPr>
                            <m:ctrlPr>
                              <w:rPr>
                                <w:rFonts w:ascii="Cambria Math" w:hAnsi="Cambria Math"/>
                                <w:lang w:val="en-US"/>
                              </w:rPr>
                            </m:ctrlPr>
                          </m:sSubPr>
                          <m:e>
                            <m:r>
                              <w:rPr>
                                <w:rFonts w:ascii="Cambria Math" w:hAnsi="Cambria Math"/>
                              </w:rPr>
                              <m:t>I</m:t>
                            </m:r>
                          </m:e>
                          <m:sub>
                            <m:r>
                              <w:rPr>
                                <w:rFonts w:ascii="Cambria Math" w:hAnsi="Cambria Math"/>
                              </w:rPr>
                              <m:t>cell</m:t>
                            </m:r>
                          </m:sub>
                        </m:sSub>
                      </m:num>
                      <m:den>
                        <m:r>
                          <m:rPr>
                            <m:sty m:val="p"/>
                          </m:rPr>
                          <w:rPr>
                            <w:rFonts w:ascii="Cambria Math" w:hAnsi="Cambria Math"/>
                          </w:rPr>
                          <m:t>2</m:t>
                        </m:r>
                        <m:sSub>
                          <m:sSubPr>
                            <m:ctrlPr>
                              <w:rPr>
                                <w:rFonts w:ascii="Cambria Math" w:hAnsi="Cambria Math"/>
                                <w:lang w:val="en-US"/>
                              </w:rPr>
                            </m:ctrlPr>
                          </m:sSubPr>
                          <m:e>
                            <m:r>
                              <w:rPr>
                                <w:rFonts w:ascii="Cambria Math" w:hAnsi="Cambria Math"/>
                              </w:rPr>
                              <m:t>J</m:t>
                            </m:r>
                          </m:e>
                          <m:sub>
                            <m:r>
                              <m:rPr>
                                <m:sty m:val="p"/>
                              </m:rPr>
                              <w:rPr>
                                <w:rFonts w:ascii="Cambria Math" w:hAnsi="Cambria Math"/>
                              </w:rPr>
                              <m:t>0</m:t>
                            </m:r>
                          </m:sub>
                        </m:sSub>
                        <m:sSub>
                          <m:sSubPr>
                            <m:ctrlPr>
                              <w:rPr>
                                <w:rFonts w:ascii="Cambria Math" w:hAnsi="Cambria Math"/>
                                <w:lang w:val="en-US"/>
                              </w:rPr>
                            </m:ctrlPr>
                          </m:sSubPr>
                          <m:e>
                            <m:r>
                              <w:rPr>
                                <w:rFonts w:ascii="Cambria Math" w:hAnsi="Cambria Math"/>
                              </w:rPr>
                              <m:t>I</m:t>
                            </m:r>
                          </m:e>
                          <m:sub>
                            <m:r>
                              <m:rPr>
                                <m:sty m:val="p"/>
                              </m:rPr>
                              <w:rPr>
                                <w:rFonts w:ascii="Cambria Math" w:hAnsi="Cambria Math"/>
                              </w:rPr>
                              <m:t>1</m:t>
                            </m:r>
                            <m:r>
                              <w:rPr>
                                <w:rFonts w:ascii="Cambria Math" w:hAnsi="Cambria Math"/>
                              </w:rPr>
                              <m:t>c</m:t>
                            </m:r>
                          </m:sub>
                        </m:sSub>
                      </m:den>
                    </m:f>
                    <m:r>
                      <m:rPr>
                        <m:sty m:val="p"/>
                      </m:rPr>
                      <w:rPr>
                        <w:rFonts w:ascii="Cambria Math" w:hAnsi="Cambria Math"/>
                      </w:rPr>
                      <m:t>)</m:t>
                    </m:r>
                  </m:e>
                </m:func>
              </m:oMath>
            </m:oMathPara>
          </w:p>
        </w:tc>
        <w:tc>
          <w:tcPr>
            <w:tcW w:w="805" w:type="dxa"/>
            <w:hideMark/>
          </w:tcPr>
          <w:p w14:paraId="4D713862" w14:textId="4D6FC627" w:rsidR="00C9637A" w:rsidRPr="00C9637A" w:rsidRDefault="00C9637A" w:rsidP="00C9637A">
            <w:pPr>
              <w:pStyle w:val="CETBodytext"/>
              <w:rPr>
                <w:lang w:val="it-IT"/>
              </w:rPr>
            </w:pPr>
            <w:r w:rsidRPr="00C9637A">
              <w:rPr>
                <w:lang w:val="it-IT"/>
              </w:rPr>
              <w:t>(</w:t>
            </w:r>
            <w:r>
              <w:rPr>
                <w:lang w:val="it-IT"/>
              </w:rPr>
              <w:t>16</w:t>
            </w:r>
            <w:r w:rsidRPr="00C9637A">
              <w:rPr>
                <w:lang w:val="it-IT"/>
              </w:rPr>
              <w:t>)</w:t>
            </w:r>
          </w:p>
        </w:tc>
      </w:tr>
    </w:tbl>
    <w:p w14:paraId="7FBE6372" w14:textId="139BA622" w:rsidR="007372EF" w:rsidRDefault="00E54C3E" w:rsidP="007372EF">
      <w:pPr>
        <w:pStyle w:val="CETBodytext"/>
      </w:pPr>
      <w:r>
        <w:t>a</w:t>
      </w:r>
      <w:r w:rsidR="007372EF" w:rsidRPr="007372EF">
        <w:t>nd the lumped voltage loss associated with concentration overpotential is defined as</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C9637A" w:rsidRPr="00C9637A" w14:paraId="26EB6694" w14:textId="77777777" w:rsidTr="00C9637A">
        <w:tc>
          <w:tcPr>
            <w:tcW w:w="7982" w:type="dxa"/>
            <w:hideMark/>
          </w:tcPr>
          <w:p w14:paraId="6DF25149" w14:textId="3EBA5AF8" w:rsidR="00C9637A" w:rsidRPr="007C26FD" w:rsidRDefault="008C2C62" w:rsidP="007C26FD">
            <w:pPr>
              <w:pStyle w:val="CETEquation"/>
            </w:pPr>
            <m:oMathPara>
              <m:oMathParaPr>
                <m:jc m:val="left"/>
              </m:oMathParaPr>
              <m:oMath>
                <m:sSub>
                  <m:sSubPr>
                    <m:ctrlPr>
                      <w:rPr>
                        <w:rFonts w:ascii="Cambria Math" w:hAnsi="Cambria Math"/>
                      </w:rPr>
                    </m:ctrlPr>
                  </m:sSubPr>
                  <m:e>
                    <m:r>
                      <w:rPr>
                        <w:rFonts w:ascii="Cambria Math" w:hAnsi="Cambria Math"/>
                      </w:rPr>
                      <m:t>η</m:t>
                    </m:r>
                  </m:e>
                  <m:sub>
                    <m:r>
                      <w:rPr>
                        <w:rFonts w:ascii="Cambria Math" w:hAnsi="Cambria Math"/>
                      </w:rPr>
                      <m:t>conc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OCV</m:t>
                    </m:r>
                  </m:sub>
                </m:sSub>
                <m:d>
                  <m:dPr>
                    <m:ctrlPr>
                      <w:rPr>
                        <w:rFonts w:ascii="Cambria Math" w:hAnsi="Cambria Math"/>
                      </w:rPr>
                    </m:ctrlPr>
                  </m:dPr>
                  <m:e>
                    <m:sSub>
                      <m:sSubPr>
                        <m:ctrlPr>
                          <w:rPr>
                            <w:rFonts w:ascii="Cambria Math" w:hAnsi="Cambria Math"/>
                          </w:rPr>
                        </m:ctrlPr>
                      </m:sSubPr>
                      <m:e>
                        <m:r>
                          <w:rPr>
                            <w:rFonts w:ascii="Cambria Math" w:hAnsi="Cambria Math"/>
                          </w:rPr>
                          <m:t>SOC</m:t>
                        </m:r>
                      </m:e>
                      <m:sub>
                        <m:r>
                          <w:rPr>
                            <w:rFonts w:ascii="Cambria Math" w:hAnsi="Cambria Math"/>
                          </w:rPr>
                          <m:t>surface</m:t>
                        </m:r>
                      </m:sub>
                    </m:sSub>
                  </m:e>
                </m:d>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OCV</m:t>
                    </m:r>
                  </m:sub>
                </m:sSub>
                <m:d>
                  <m:dPr>
                    <m:ctrlPr>
                      <w:rPr>
                        <w:rFonts w:ascii="Cambria Math" w:hAnsi="Cambria Math"/>
                      </w:rPr>
                    </m:ctrlPr>
                  </m:dPr>
                  <m:e>
                    <m:sSub>
                      <m:sSubPr>
                        <m:ctrlPr>
                          <w:rPr>
                            <w:rFonts w:ascii="Cambria Math" w:hAnsi="Cambria Math"/>
                          </w:rPr>
                        </m:ctrlPr>
                      </m:sSubPr>
                      <m:e>
                        <m:r>
                          <w:rPr>
                            <w:rFonts w:ascii="Cambria Math" w:hAnsi="Cambria Math"/>
                          </w:rPr>
                          <m:t>SOC</m:t>
                        </m:r>
                      </m:e>
                      <m:sub>
                        <m:r>
                          <w:rPr>
                            <w:rFonts w:ascii="Cambria Math" w:hAnsi="Cambria Math"/>
                          </w:rPr>
                          <m:t>average</m:t>
                        </m:r>
                      </m:sub>
                    </m:sSub>
                  </m:e>
                </m:d>
              </m:oMath>
            </m:oMathPara>
          </w:p>
        </w:tc>
        <w:tc>
          <w:tcPr>
            <w:tcW w:w="805" w:type="dxa"/>
            <w:hideMark/>
          </w:tcPr>
          <w:p w14:paraId="042552F0" w14:textId="1E942C5C" w:rsidR="00C9637A" w:rsidRPr="00C9637A" w:rsidRDefault="00C9637A" w:rsidP="00C9637A">
            <w:pPr>
              <w:pStyle w:val="CETBodytext"/>
              <w:rPr>
                <w:lang w:val="it-IT"/>
              </w:rPr>
            </w:pPr>
            <w:r w:rsidRPr="00C9637A">
              <w:rPr>
                <w:lang w:val="it-IT"/>
              </w:rPr>
              <w:t>(</w:t>
            </w:r>
            <w:r>
              <w:rPr>
                <w:lang w:val="it-IT"/>
              </w:rPr>
              <w:t>17</w:t>
            </w:r>
            <w:r w:rsidRPr="00C9637A">
              <w:rPr>
                <w:lang w:val="it-IT"/>
              </w:rPr>
              <w:t>)</w:t>
            </w:r>
          </w:p>
        </w:tc>
      </w:tr>
    </w:tbl>
    <w:p w14:paraId="5B10CE33" w14:textId="18C41B6D" w:rsidR="007372EF" w:rsidRPr="007372EF" w:rsidRDefault="007372EF" w:rsidP="00A02353">
      <w:pPr>
        <w:pStyle w:val="CETBodytext"/>
      </w:pPr>
      <w:r w:rsidRPr="007372EF">
        <w:t xml:space="preserve">According to literature </w:t>
      </w:r>
      <w:r w:rsidR="00CD5881">
        <w:t>(Vetter et al., 2005)</w:t>
      </w:r>
      <w:r w:rsidRPr="007372EF">
        <w:t xml:space="preserve">, </w:t>
      </w:r>
      <w:r w:rsidR="00424CF7">
        <w:t>a</w:t>
      </w:r>
      <w:r w:rsidR="00A02353" w:rsidRPr="00A02353">
        <w:t xml:space="preserve">fter undergoing many charge-discharge cycles, batteries experience degradation, which manifests </w:t>
      </w:r>
      <w:r w:rsidR="00424CF7">
        <w:t xml:space="preserve">itself </w:t>
      </w:r>
      <w:r w:rsidR="00A02353" w:rsidRPr="00A02353">
        <w:t>as a decrease in capacity and an increase in internal resistance.</w:t>
      </w:r>
      <w:r w:rsidRPr="007372EF">
        <w:t xml:space="preserve"> From </w:t>
      </w:r>
      <w:r w:rsidR="00C9637A">
        <w:t>Eq</w:t>
      </w:r>
      <w:r w:rsidRPr="007372EF">
        <w:t xml:space="preserve"> </w:t>
      </w:r>
      <w:r w:rsidR="00C9637A">
        <w:t>(</w:t>
      </w:r>
      <w:r w:rsidRPr="007372EF">
        <w:t>1</w:t>
      </w:r>
      <w:r w:rsidR="00C9637A">
        <w:t>4) and Eq (15)</w:t>
      </w:r>
      <w:r w:rsidRPr="007372EF">
        <w:t xml:space="preserve">, </w:t>
      </w:r>
      <w:r w:rsidR="00C9637A">
        <w:t>Eq</w:t>
      </w:r>
      <w:r w:rsidRPr="007372EF">
        <w:t xml:space="preserve"> </w:t>
      </w:r>
      <w:r w:rsidR="00C9637A">
        <w:t>(18)</w:t>
      </w:r>
      <w:r w:rsidRPr="007372EF">
        <w:t xml:space="preserve"> can be </w:t>
      </w:r>
      <w:r w:rsidR="00C9637A">
        <w:t>derived</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2"/>
        <w:gridCol w:w="805"/>
      </w:tblGrid>
      <w:tr w:rsidR="00C9637A" w:rsidRPr="00C9637A" w14:paraId="5303B430" w14:textId="77777777" w:rsidTr="00C9637A">
        <w:tc>
          <w:tcPr>
            <w:tcW w:w="7982" w:type="dxa"/>
            <w:hideMark/>
          </w:tcPr>
          <w:p w14:paraId="590A6718" w14:textId="3DB3C9BF" w:rsidR="00C9637A" w:rsidRPr="00EB15B9" w:rsidRDefault="008C2C62" w:rsidP="00EB15B9">
            <w:pPr>
              <w:pStyle w:val="CETEquation"/>
              <w:rPr>
                <w:lang w:val="it-IT"/>
              </w:rPr>
            </w:pPr>
            <m:oMathPara>
              <m:oMathParaPr>
                <m:jc m:val="left"/>
              </m:oMathParaPr>
              <m:oMath>
                <m:sSub>
                  <m:sSubPr>
                    <m:ctrlPr>
                      <w:rPr>
                        <w:rFonts w:ascii="Cambria Math" w:hAnsi="Cambria Math"/>
                        <w:lang w:val="en-US"/>
                      </w:rPr>
                    </m:ctrlPr>
                  </m:sSubPr>
                  <m:e>
                    <m:r>
                      <w:rPr>
                        <w:rFonts w:ascii="Cambria Math" w:hAnsi="Cambria Math"/>
                      </w:rPr>
                      <m:t>η</m:t>
                    </m:r>
                  </m:e>
                  <m:sub>
                    <m:r>
                      <w:rPr>
                        <w:rFonts w:ascii="Cambria Math" w:hAnsi="Cambria Math"/>
                      </w:rPr>
                      <m:t>IR</m:t>
                    </m:r>
                    <m:r>
                      <m:rPr>
                        <m:sty m:val="p"/>
                      </m:rPr>
                      <w:rPr>
                        <w:rFonts w:ascii="Cambria Math" w:hAnsi="Cambria Math"/>
                      </w:rPr>
                      <m:t>,1</m:t>
                    </m:r>
                    <m:r>
                      <w:rPr>
                        <w:rFonts w:ascii="Cambria Math" w:hAnsi="Cambria Math"/>
                      </w:rPr>
                      <m:t>c</m:t>
                    </m:r>
                  </m:sub>
                </m:sSub>
                <m:r>
                  <m:rPr>
                    <m:sty m:val="p"/>
                  </m:rPr>
                  <w:rPr>
                    <w:rFonts w:ascii="Cambria Math" w:hAnsi="Cambria Math"/>
                  </w:rPr>
                  <m:t>=</m:t>
                </m:r>
                <m:sSub>
                  <m:sSubPr>
                    <m:ctrlPr>
                      <w:rPr>
                        <w:rFonts w:ascii="Cambria Math" w:hAnsi="Cambria Math"/>
                        <w:lang w:val="en-US"/>
                      </w:rPr>
                    </m:ctrlPr>
                  </m:sSubPr>
                  <m:e>
                    <m:r>
                      <w:rPr>
                        <w:rFonts w:ascii="Cambria Math" w:hAnsi="Cambria Math"/>
                      </w:rPr>
                      <m:t>R</m:t>
                    </m:r>
                  </m:e>
                  <m:sub>
                    <m:r>
                      <w:rPr>
                        <w:rFonts w:ascii="Cambria Math" w:hAnsi="Cambria Math"/>
                      </w:rPr>
                      <m:t>ohm</m:t>
                    </m:r>
                  </m:sub>
                </m:sSub>
                <m:f>
                  <m:fPr>
                    <m:ctrlPr>
                      <w:rPr>
                        <w:rFonts w:ascii="Cambria Math" w:hAnsi="Cambria Math"/>
                        <w:lang w:val="it-IT"/>
                      </w:rPr>
                    </m:ctrlPr>
                  </m:fPr>
                  <m:num>
                    <m:sSub>
                      <m:sSubPr>
                        <m:ctrlPr>
                          <w:rPr>
                            <w:rFonts w:ascii="Cambria Math" w:hAnsi="Cambria Math"/>
                            <w:lang w:val="it-IT"/>
                          </w:rPr>
                        </m:ctrlPr>
                      </m:sSubPr>
                      <m:e>
                        <m:r>
                          <w:rPr>
                            <w:rFonts w:ascii="Cambria Math" w:hAnsi="Cambria Math"/>
                            <w:lang w:val="it-IT"/>
                          </w:rPr>
                          <m:t>Q</m:t>
                        </m:r>
                      </m:e>
                      <m:sub>
                        <m:r>
                          <w:rPr>
                            <w:rFonts w:ascii="Cambria Math" w:hAnsi="Cambria Math"/>
                            <w:lang w:val="it-IT"/>
                          </w:rPr>
                          <m:t>cell</m:t>
                        </m:r>
                        <m:r>
                          <m:rPr>
                            <m:sty m:val="p"/>
                          </m:rPr>
                          <w:rPr>
                            <w:rFonts w:ascii="Cambria Math" w:hAnsi="Cambria Math"/>
                            <w:lang w:val="it-IT"/>
                          </w:rPr>
                          <m:t>,0</m:t>
                        </m:r>
                      </m:sub>
                    </m:sSub>
                  </m:num>
                  <m:den>
                    <m:r>
                      <m:rPr>
                        <m:sty m:val="p"/>
                      </m:rPr>
                      <w:rPr>
                        <w:rFonts w:ascii="Cambria Math" w:hAnsi="Cambria Math"/>
                        <w:lang w:val="it-IT"/>
                      </w:rPr>
                      <m:t>3600</m:t>
                    </m:r>
                  </m:den>
                </m:f>
              </m:oMath>
            </m:oMathPara>
          </w:p>
        </w:tc>
        <w:tc>
          <w:tcPr>
            <w:tcW w:w="805" w:type="dxa"/>
            <w:hideMark/>
          </w:tcPr>
          <w:p w14:paraId="7F21E965" w14:textId="27ACB7A3" w:rsidR="00C9637A" w:rsidRPr="00C9637A" w:rsidRDefault="00C9637A" w:rsidP="00C9637A">
            <w:pPr>
              <w:pStyle w:val="CETBodytext"/>
              <w:rPr>
                <w:lang w:val="it-IT"/>
              </w:rPr>
            </w:pPr>
            <w:r w:rsidRPr="00C9637A">
              <w:rPr>
                <w:lang w:val="it-IT"/>
              </w:rPr>
              <w:t>(</w:t>
            </w:r>
            <w:r w:rsidR="007C26FD">
              <w:rPr>
                <w:lang w:val="it-IT"/>
              </w:rPr>
              <w:t>18</w:t>
            </w:r>
            <w:r w:rsidRPr="00C9637A">
              <w:rPr>
                <w:lang w:val="it-IT"/>
              </w:rPr>
              <w:t>)</w:t>
            </w:r>
          </w:p>
        </w:tc>
      </w:tr>
    </w:tbl>
    <w:p w14:paraId="1151FB35" w14:textId="14F29F67" w:rsidR="007372EF" w:rsidRDefault="007372EF" w:rsidP="00A02353">
      <w:pPr>
        <w:pStyle w:val="CETBodytext"/>
      </w:pPr>
      <w:r w:rsidRPr="007372EF">
        <w:rPr>
          <w:lang w:val="en-GB"/>
        </w:rPr>
        <w:t>For investigation of degradation leading to increment of impedance, R</w:t>
      </w:r>
      <w:r w:rsidRPr="007372EF">
        <w:rPr>
          <w:vertAlign w:val="subscript"/>
          <w:lang w:val="en-GB"/>
        </w:rPr>
        <w:t xml:space="preserve">ohm </w:t>
      </w:r>
      <w:r w:rsidRPr="007372EF">
        <w:rPr>
          <w:lang w:val="en-GB"/>
        </w:rPr>
        <w:t xml:space="preserve">can be used. Therefore, for this study, response surface methodology with three 2-level factors and one central point on capacity, ohmic resistance and charging rate will be </w:t>
      </w:r>
      <w:r w:rsidR="003F2AD7">
        <w:rPr>
          <w:lang w:val="en-GB"/>
        </w:rPr>
        <w:t>tested</w:t>
      </w:r>
      <w:r w:rsidR="00900409">
        <w:rPr>
          <w:lang w:val="en-GB"/>
        </w:rPr>
        <w:t>.</w:t>
      </w:r>
      <w:r w:rsidRPr="007372EF">
        <w:rPr>
          <w:lang w:val="en-GB"/>
        </w:rPr>
        <w:t xml:space="preserve"> </w:t>
      </w:r>
      <w:r w:rsidR="00A02353" w:rsidRPr="00A02353">
        <w:rPr>
          <w:lang w:val="en-GB"/>
        </w:rPr>
        <w:t>Charging rates included a base rate</w:t>
      </w:r>
      <w:r w:rsidR="00A02353">
        <w:rPr>
          <w:lang w:val="en-GB"/>
        </w:rPr>
        <w:t xml:space="preserve"> of 1C</w:t>
      </w:r>
      <w:r w:rsidR="00A02353" w:rsidRPr="00A02353">
        <w:rPr>
          <w:lang w:val="en-GB"/>
        </w:rPr>
        <w:t xml:space="preserve"> and a high rate of 8C, with capacities of 3 Ah and 0.5 Ah, respectively. Additionally, resistances of 30 micro-ohms and 5 micro-ohms were selected.</w:t>
      </w:r>
      <w:r w:rsidRPr="007372EF">
        <w:rPr>
          <w:lang w:val="en-GB"/>
        </w:rPr>
        <w:t xml:space="preserve"> For </w:t>
      </w:r>
      <w:r w:rsidR="00424CF7">
        <w:rPr>
          <w:lang w:val="en-GB"/>
        </w:rPr>
        <w:t>assessing</w:t>
      </w:r>
      <w:r w:rsidRPr="007372EF">
        <w:rPr>
          <w:lang w:val="en-GB"/>
        </w:rPr>
        <w:t xml:space="preserve"> the behavior</w:t>
      </w:r>
      <w:r w:rsidR="00424CF7">
        <w:rPr>
          <w:lang w:val="en-GB"/>
        </w:rPr>
        <w:t xml:space="preserve"> of the cell</w:t>
      </w:r>
      <w:r w:rsidRPr="007372EF">
        <w:rPr>
          <w:lang w:val="en-GB"/>
        </w:rPr>
        <w:t xml:space="preserve">, </w:t>
      </w:r>
      <w:r w:rsidR="00424CF7">
        <w:rPr>
          <w:lang w:val="en-GB"/>
        </w:rPr>
        <w:t xml:space="preserve">the </w:t>
      </w:r>
      <w:r w:rsidRPr="007372EF">
        <w:rPr>
          <w:lang w:val="en-GB"/>
        </w:rPr>
        <w:t>mean temperature of the cell in a 50% charged battery</w:t>
      </w:r>
      <w:r w:rsidR="00C9637A">
        <w:rPr>
          <w:lang w:val="en-GB"/>
        </w:rPr>
        <w:t xml:space="preserve"> is selected</w:t>
      </w:r>
      <w:r w:rsidRPr="007372EF">
        <w:rPr>
          <w:lang w:val="en-GB"/>
        </w:rPr>
        <w:t>.</w:t>
      </w:r>
      <w:r w:rsidR="003F2AD7">
        <w:rPr>
          <w:lang w:val="en-GB"/>
        </w:rPr>
        <w:t xml:space="preserve"> </w:t>
      </w:r>
      <w:r w:rsidRPr="007372EF">
        <w:t>The results from this design of experiments investigate the influence of the independent parameters using p-score.</w:t>
      </w:r>
      <w:r w:rsidR="003F2AD7">
        <w:t xml:space="preserve"> The model is simulated in Comsol Multiphysics and statistical analysis in Python.</w:t>
      </w:r>
    </w:p>
    <w:p w14:paraId="4EA5EECB" w14:textId="5D983AAB" w:rsidR="007372EF" w:rsidRDefault="007372EF" w:rsidP="007372EF">
      <w:pPr>
        <w:pStyle w:val="CETHeading1"/>
      </w:pPr>
      <w:r>
        <w:t>Results and discussions</w:t>
      </w:r>
    </w:p>
    <w:p w14:paraId="42B33173" w14:textId="3C03BFC6" w:rsidR="002B6BE6" w:rsidRDefault="000F3E3E" w:rsidP="00A02353">
      <w:pPr>
        <w:pStyle w:val="CETBodytext"/>
        <w:rPr>
          <w:lang w:bidi="fa-IR"/>
        </w:rPr>
      </w:pPr>
      <w:r>
        <w:t>T</w:t>
      </w:r>
      <w:r w:rsidRPr="007372EF">
        <w:t xml:space="preserve">he proposed model </w:t>
      </w:r>
      <w:r>
        <w:t>has been f</w:t>
      </w:r>
      <w:r w:rsidRPr="007372EF">
        <w:t>irst test</w:t>
      </w:r>
      <w:r>
        <w:t>ed</w:t>
      </w:r>
      <w:r w:rsidRPr="007372EF">
        <w:t xml:space="preserve"> against experimental data from </w:t>
      </w:r>
      <w:r>
        <w:t xml:space="preserve">the </w:t>
      </w:r>
      <w:r w:rsidRPr="007372EF">
        <w:t xml:space="preserve">literature </w:t>
      </w:r>
      <w:r>
        <w:t>(</w:t>
      </w:r>
      <w:r w:rsidRPr="00900409">
        <w:t>Dong et al.</w:t>
      </w:r>
      <w:r>
        <w:t>,</w:t>
      </w:r>
      <w:r w:rsidRPr="00900409">
        <w:t xml:space="preserve"> </w:t>
      </w:r>
      <w:r>
        <w:t>2018) providing values of the</w:t>
      </w:r>
      <w:r w:rsidRPr="00900409">
        <w:t xml:space="preserve"> temperature </w:t>
      </w:r>
      <w:r>
        <w:t>u</w:t>
      </w:r>
      <w:r w:rsidRPr="00900409">
        <w:t>n</w:t>
      </w:r>
      <w:r>
        <w:t>der</w:t>
      </w:r>
      <w:r w:rsidRPr="00900409">
        <w:t xml:space="preserve"> different charging/discharging rates</w:t>
      </w:r>
      <w:r>
        <w:t xml:space="preserve">. </w:t>
      </w:r>
      <w:r w:rsidRPr="00900409">
        <w:t>In the experiments the temperature monitoring point is set at the center of the cell cathode outer surface and in the simulation, outer surface temperature at the center is recorded.</w:t>
      </w:r>
      <w:r>
        <w:t xml:space="preserve"> </w:t>
      </w:r>
      <w:r w:rsidR="002B6BE6" w:rsidRPr="002B6BE6">
        <w:rPr>
          <w:lang w:bidi="fa-IR"/>
        </w:rPr>
        <w:t xml:space="preserve">Figure </w:t>
      </w:r>
      <w:r w:rsidR="00D812BF">
        <w:rPr>
          <w:lang w:bidi="fa-IR"/>
        </w:rPr>
        <w:t>1</w:t>
      </w:r>
      <w:r w:rsidR="002B6BE6" w:rsidRPr="002B6BE6">
        <w:rPr>
          <w:lang w:bidi="fa-IR"/>
        </w:rPr>
        <w:t xml:space="preserve"> presents a comparison between simulated and experimental cell temperatures during the 1C and 8C charging processes with initial SOC of nearly zero (0.01)</w:t>
      </w:r>
      <w:r>
        <w:rPr>
          <w:lang w:bidi="fa-IR"/>
        </w:rPr>
        <w:t>:</w:t>
      </w:r>
      <w:r w:rsidR="002B6BE6" w:rsidRPr="002B6BE6">
        <w:rPr>
          <w:lang w:bidi="fa-IR"/>
        </w:rPr>
        <w:t xml:space="preserve"> at a </w:t>
      </w:r>
      <w:r w:rsidR="00424CF7">
        <w:rPr>
          <w:lang w:bidi="fa-IR"/>
        </w:rPr>
        <w:t>given</w:t>
      </w:r>
      <w:r w:rsidR="002B6BE6" w:rsidRPr="002B6BE6">
        <w:rPr>
          <w:lang w:bidi="fa-IR"/>
        </w:rPr>
        <w:t xml:space="preserve"> SOC, the temperature of the cell with higher charging rate is higher and increasing the charge rate results in a greater rise in cell temperature, </w:t>
      </w:r>
      <w:r w:rsidR="00424CF7">
        <w:rPr>
          <w:lang w:bidi="fa-IR"/>
        </w:rPr>
        <w:t>i</w:t>
      </w:r>
      <w:r w:rsidR="00A02353">
        <w:rPr>
          <w:lang w:bidi="fa-IR"/>
        </w:rPr>
        <w:t xml:space="preserve">ndicating a greater variation in temperature over time. </w:t>
      </w:r>
      <w:r w:rsidR="002B6BE6" w:rsidRPr="002B6BE6">
        <w:rPr>
          <w:lang w:bidi="fa-IR"/>
        </w:rPr>
        <w:t>The data indicates a strong correlation between the simulation results and the experimental measurements, demonstrating good alignment between the two.</w:t>
      </w:r>
      <w:r w:rsidR="00EB15B9">
        <w:rPr>
          <w:lang w:bidi="fa-IR"/>
        </w:rPr>
        <w:t xml:space="preserve"> </w:t>
      </w:r>
    </w:p>
    <w:p w14:paraId="3610C344" w14:textId="0DA003F4" w:rsidR="003F2AD7" w:rsidRDefault="003F2AD7" w:rsidP="00A02353">
      <w:pPr>
        <w:pStyle w:val="CETBodytext"/>
      </w:pPr>
      <w:r w:rsidRPr="002B6BE6">
        <w:t xml:space="preserve">Figure </w:t>
      </w:r>
      <w:r>
        <w:t>2</w:t>
      </w:r>
      <w:r w:rsidRPr="002B6BE6">
        <w:t xml:space="preserve"> shows the results of </w:t>
      </w:r>
      <w:r w:rsidR="00D2082D">
        <w:t xml:space="preserve">the </w:t>
      </w:r>
      <w:r w:rsidRPr="002B6BE6">
        <w:t xml:space="preserve">first simulation. As discussed, the initial charge of the cell was near zero and it was charged using </w:t>
      </w:r>
      <w:r w:rsidR="00D2082D">
        <w:t xml:space="preserve">a </w:t>
      </w:r>
      <w:r w:rsidRPr="002B6BE6">
        <w:t>4.5</w:t>
      </w:r>
      <w:r w:rsidR="00D2082D">
        <w:t xml:space="preserve"> </w:t>
      </w:r>
      <w:r w:rsidRPr="002B6BE6">
        <w:t xml:space="preserve">C current to fully charged state, as can be seen in </w:t>
      </w:r>
      <w:r w:rsidR="00D2082D">
        <w:t>F</w:t>
      </w:r>
      <w:r w:rsidRPr="002B6BE6">
        <w:t xml:space="preserve">igure </w:t>
      </w:r>
      <w:r>
        <w:t>2</w:t>
      </w:r>
      <w:r w:rsidRPr="002B6BE6">
        <w:t xml:space="preserve">a. As the cell is charging, </w:t>
      </w:r>
      <w:r w:rsidR="00D2082D">
        <w:t xml:space="preserve">its </w:t>
      </w:r>
      <w:r w:rsidRPr="002B6BE6">
        <w:t>temperature increas</w:t>
      </w:r>
      <w:r w:rsidR="00D2082D">
        <w:t>es</w:t>
      </w:r>
      <w:r w:rsidRPr="002B6BE6">
        <w:t xml:space="preserve"> due to electrochemical reaction</w:t>
      </w:r>
      <w:r w:rsidR="00D2082D">
        <w:t>s</w:t>
      </w:r>
      <w:r w:rsidRPr="002B6BE6">
        <w:t xml:space="preserve">. Therefore, due to low capacity and impedance, temperature difference is also low. There is a small </w:t>
      </w:r>
      <w:r w:rsidR="00D2082D">
        <w:t xml:space="preserve">difference </w:t>
      </w:r>
      <w:r w:rsidRPr="002B6BE6">
        <w:t xml:space="preserve">in </w:t>
      </w:r>
      <w:r w:rsidR="00D2082D">
        <w:t xml:space="preserve">the </w:t>
      </w:r>
      <w:r w:rsidRPr="002B6BE6">
        <w:t xml:space="preserve">temperature trend in </w:t>
      </w:r>
      <w:r w:rsidR="00D2082D">
        <w:t>F</w:t>
      </w:r>
      <w:r w:rsidRPr="002B6BE6">
        <w:t xml:space="preserve">igure </w:t>
      </w:r>
      <w:r>
        <w:t>2</w:t>
      </w:r>
      <w:r w:rsidRPr="002B6BE6">
        <w:t>b</w:t>
      </w:r>
      <w:r w:rsidR="00D2082D">
        <w:t>,</w:t>
      </w:r>
      <w:r w:rsidRPr="002B6BE6">
        <w:t xml:space="preserve"> that can be related to heat dissipation of the cell to the ambient </w:t>
      </w:r>
      <w:r w:rsidR="00424CF7">
        <w:t xml:space="preserve">conditions </w:t>
      </w:r>
      <w:r w:rsidRPr="002B6BE6">
        <w:t xml:space="preserve">and </w:t>
      </w:r>
      <w:r w:rsidR="00A02353">
        <w:t xml:space="preserve">thermal </w:t>
      </w:r>
      <w:r w:rsidRPr="002B6BE6">
        <w:t>characteristic</w:t>
      </w:r>
      <w:r w:rsidR="00877401">
        <w:t>s</w:t>
      </w:r>
      <w:r w:rsidRPr="002B6BE6">
        <w:t xml:space="preserve"> of the cell</w:t>
      </w:r>
      <w:r w:rsidR="00A02353">
        <w:rPr>
          <w:b/>
          <w:bCs/>
          <w:color w:val="FF0000"/>
        </w:rPr>
        <w:t xml:space="preserve">. </w:t>
      </w:r>
      <w:r w:rsidRPr="002B6BE6">
        <w:t xml:space="preserve">Also, as can be seen in </w:t>
      </w:r>
      <w:r w:rsidR="00D2082D">
        <w:t>F</w:t>
      </w:r>
      <w:r w:rsidRPr="002B6BE6">
        <w:t xml:space="preserve">igure </w:t>
      </w:r>
      <w:r>
        <w:t>2</w:t>
      </w:r>
      <w:r w:rsidRPr="002B6BE6">
        <w:t xml:space="preserve">c, </w:t>
      </w:r>
      <w:r w:rsidR="00A02353">
        <w:t>t</w:t>
      </w:r>
      <w:r w:rsidR="00A02353" w:rsidRPr="00A02353">
        <w:t>he temperature at the center of the cell's core is higher, which is influenced by the geometry of the system.</w:t>
      </w:r>
    </w:p>
    <w:p w14:paraId="02A18EBA" w14:textId="79031C95" w:rsidR="009D3F6C" w:rsidRDefault="008C2C62" w:rsidP="00A02353">
      <w:pPr>
        <w:pStyle w:val="CETBodytext"/>
      </w:pPr>
      <w:r>
        <w:t>To</w:t>
      </w:r>
      <w:r w:rsidR="009D3F6C" w:rsidRPr="002B6BE6">
        <w:t xml:space="preserve"> find the most influential parameters on temperature and temperature deviation over time, a linear regression method was applied. After feature selection using p-value test with 5% confident range, presented in </w:t>
      </w:r>
      <w:r w:rsidR="009D3F6C">
        <w:t>T</w:t>
      </w:r>
      <w:r w:rsidR="009D3F6C" w:rsidRPr="002B6BE6">
        <w:t xml:space="preserve">able </w:t>
      </w:r>
      <w:r w:rsidR="009D3F6C">
        <w:t>1</w:t>
      </w:r>
      <w:r w:rsidR="009D3F6C" w:rsidRPr="002B6BE6">
        <w:t>, five parameters were identified as the effective factors affecting temperature at 50% SOC: capacity, current, ohmic resistance and two two-way interactions of capacity with current and ohmic resistance.</w:t>
      </w:r>
      <w:r w:rsidR="0069310B">
        <w:t xml:space="preserve"> </w:t>
      </w:r>
      <w:r w:rsidR="0069310B" w:rsidRPr="002B6BE6">
        <w:t xml:space="preserve">R-squared of the fitted model is 96.55% which shows a very good agreement between predicted and measured values. </w:t>
      </w:r>
      <w:r w:rsidR="00A02353" w:rsidRPr="00A02353">
        <w:t>Based on the reported p-values, a relationship between temperature and parameters such as capacity, current, and ohmic resistance can be established. These factors directly influence the cell's temperature, with higher values of these parameters leading to increased cell temperature.</w:t>
      </w:r>
      <w:r w:rsidR="0069310B" w:rsidRPr="002B6BE6">
        <w:t xml:space="preserve"> </w:t>
      </w:r>
    </w:p>
    <w:p w14:paraId="71F23AA3" w14:textId="77777777" w:rsidR="0069310B" w:rsidRPr="002B6BE6" w:rsidRDefault="0069310B" w:rsidP="002B6BE6">
      <w:pPr>
        <w:pStyle w:val="CETBodytext"/>
      </w:pPr>
    </w:p>
    <w:p w14:paraId="6F7CEBE8" w14:textId="7BEDB8B7" w:rsidR="002B6BE6" w:rsidRPr="002B6BE6" w:rsidRDefault="000D16DE" w:rsidP="00C9637A">
      <w:pPr>
        <w:jc w:val="left"/>
        <w:rPr>
          <w:rFonts w:asciiTheme="minorHAnsi" w:hAnsiTheme="minorHAnsi" w:cs="Calibri"/>
          <w:sz w:val="20"/>
          <w:lang w:bidi="fa-IR"/>
        </w:rPr>
      </w:pPr>
      <w:r>
        <w:rPr>
          <w:noProof/>
        </w:rPr>
        <w:lastRenderedPageBreak/>
        <w:drawing>
          <wp:inline distT="0" distB="0" distL="0" distR="0" wp14:anchorId="509AA4CA" wp14:editId="47469578">
            <wp:extent cx="2570480" cy="1282535"/>
            <wp:effectExtent l="0" t="0" r="1270" b="13335"/>
            <wp:docPr id="1393525317"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730909" w14:textId="63ED89C5" w:rsidR="002B6BE6" w:rsidRPr="002B6BE6" w:rsidRDefault="002B6BE6" w:rsidP="00C9637A">
      <w:pPr>
        <w:pStyle w:val="CETCaption"/>
        <w:rPr>
          <w:lang w:bidi="fa-IR"/>
        </w:rPr>
      </w:pPr>
      <w:r w:rsidRPr="002B6BE6">
        <w:rPr>
          <w:lang w:bidi="fa-IR"/>
        </w:rPr>
        <w:t xml:space="preserve">Figure </w:t>
      </w:r>
      <w:r w:rsidR="00D812BF">
        <w:rPr>
          <w:lang w:bidi="fa-IR"/>
        </w:rPr>
        <w:t>1</w:t>
      </w:r>
      <w:r w:rsidR="00C9637A">
        <w:rPr>
          <w:lang w:bidi="fa-IR"/>
        </w:rPr>
        <w:t>:</w:t>
      </w:r>
      <w:r w:rsidRPr="002B6BE6">
        <w:rPr>
          <w:lang w:bidi="fa-IR"/>
        </w:rPr>
        <w:t xml:space="preserve"> Temperature vs SOC in Charging test for 1C and 8C simulation vs experiment </w:t>
      </w:r>
      <w:r w:rsidR="00CD5881">
        <w:rPr>
          <w:lang w:bidi="fa-IR"/>
        </w:rPr>
        <w:t>(Dong et al., 2018)</w:t>
      </w:r>
      <w:r w:rsidRPr="002B6BE6">
        <w:rPr>
          <w:lang w:bidi="fa-I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4452"/>
      </w:tblGrid>
      <w:tr w:rsidR="00C9637A" w14:paraId="1041644D" w14:textId="77777777" w:rsidTr="00EB15B9">
        <w:tc>
          <w:tcPr>
            <w:tcW w:w="4335" w:type="dxa"/>
          </w:tcPr>
          <w:p w14:paraId="15D555D0" w14:textId="367C6D76" w:rsidR="00C9637A" w:rsidRDefault="00C9637A" w:rsidP="002B6BE6">
            <w:pPr>
              <w:pStyle w:val="CETBodytext"/>
            </w:pPr>
            <w:r w:rsidRPr="002B6BE6">
              <w:t>a)</w:t>
            </w:r>
          </w:p>
        </w:tc>
        <w:tc>
          <w:tcPr>
            <w:tcW w:w="4452" w:type="dxa"/>
          </w:tcPr>
          <w:p w14:paraId="3449DA1D" w14:textId="55F9EF3E" w:rsidR="00C9637A" w:rsidRDefault="00C9637A" w:rsidP="002B6BE6">
            <w:pPr>
              <w:pStyle w:val="CETBodytext"/>
            </w:pPr>
            <w:r w:rsidRPr="002B6BE6">
              <w:t>b)</w:t>
            </w:r>
          </w:p>
        </w:tc>
      </w:tr>
      <w:tr w:rsidR="00C9637A" w14:paraId="75B2E145" w14:textId="77777777" w:rsidTr="00EB15B9">
        <w:tc>
          <w:tcPr>
            <w:tcW w:w="4335" w:type="dxa"/>
          </w:tcPr>
          <w:p w14:paraId="37B1A8AD" w14:textId="621A9BA2" w:rsidR="00C9637A" w:rsidRDefault="00C9637A" w:rsidP="002B6BE6">
            <w:pPr>
              <w:pStyle w:val="CETBodytext"/>
            </w:pPr>
            <w:r w:rsidRPr="002B6BE6">
              <w:rPr>
                <w:noProof/>
              </w:rPr>
              <w:drawing>
                <wp:inline distT="0" distB="0" distL="0" distR="0" wp14:anchorId="31D17649" wp14:editId="28684F59">
                  <wp:extent cx="2588821" cy="1232772"/>
                  <wp:effectExtent l="0" t="0" r="2540" b="5715"/>
                  <wp:docPr id="1180945714" name="Picture 53"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945714" name="Picture 53" descr="A graph with a line&#10;&#10;Description automatically generated"/>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0000"/>
                                    </a14:imgEffect>
                                  </a14:imgLayer>
                                </a14:imgProps>
                              </a:ext>
                              <a:ext uri="{28A0092B-C50C-407E-A947-70E740481C1C}">
                                <a14:useLocalDpi xmlns:a14="http://schemas.microsoft.com/office/drawing/2010/main" val="0"/>
                              </a:ext>
                            </a:extLst>
                          </a:blip>
                          <a:srcRect/>
                          <a:stretch>
                            <a:fillRect/>
                          </a:stretch>
                        </pic:blipFill>
                        <pic:spPr bwMode="auto">
                          <a:xfrm>
                            <a:off x="0" y="0"/>
                            <a:ext cx="2588822" cy="1232772"/>
                          </a:xfrm>
                          <a:prstGeom prst="rect">
                            <a:avLst/>
                          </a:prstGeom>
                          <a:noFill/>
                          <a:ln>
                            <a:noFill/>
                          </a:ln>
                        </pic:spPr>
                      </pic:pic>
                    </a:graphicData>
                  </a:graphic>
                </wp:inline>
              </w:drawing>
            </w:r>
          </w:p>
        </w:tc>
        <w:tc>
          <w:tcPr>
            <w:tcW w:w="4452" w:type="dxa"/>
          </w:tcPr>
          <w:p w14:paraId="35A0D25C" w14:textId="3625AF5B" w:rsidR="00C9637A" w:rsidRDefault="00C9637A" w:rsidP="002B6BE6">
            <w:pPr>
              <w:pStyle w:val="CETBodytext"/>
            </w:pPr>
            <w:r w:rsidRPr="002B6BE6">
              <w:rPr>
                <w:noProof/>
              </w:rPr>
              <w:drawing>
                <wp:inline distT="0" distB="0" distL="0" distR="0" wp14:anchorId="5EC50076" wp14:editId="34F4B429">
                  <wp:extent cx="2642260" cy="1258219"/>
                  <wp:effectExtent l="0" t="0" r="5715" b="0"/>
                  <wp:docPr id="317148158" name="Picture 52"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48158" name="Picture 52" descr="A graph with a line going up&#10;&#10;Description automatically generated"/>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21000"/>
                                    </a14:imgEffect>
                                  </a14:imgLayer>
                                </a14:imgProps>
                              </a:ext>
                              <a:ext uri="{28A0092B-C50C-407E-A947-70E740481C1C}">
                                <a14:useLocalDpi xmlns:a14="http://schemas.microsoft.com/office/drawing/2010/main" val="0"/>
                              </a:ext>
                            </a:extLst>
                          </a:blip>
                          <a:srcRect/>
                          <a:stretch>
                            <a:fillRect/>
                          </a:stretch>
                        </pic:blipFill>
                        <pic:spPr bwMode="auto">
                          <a:xfrm>
                            <a:off x="0" y="0"/>
                            <a:ext cx="2642567" cy="1258365"/>
                          </a:xfrm>
                          <a:prstGeom prst="rect">
                            <a:avLst/>
                          </a:prstGeom>
                          <a:noFill/>
                          <a:ln>
                            <a:noFill/>
                          </a:ln>
                        </pic:spPr>
                      </pic:pic>
                    </a:graphicData>
                  </a:graphic>
                </wp:inline>
              </w:drawing>
            </w:r>
          </w:p>
        </w:tc>
      </w:tr>
      <w:tr w:rsidR="00C9637A" w14:paraId="14F173AA" w14:textId="77777777" w:rsidTr="00EB15B9">
        <w:tc>
          <w:tcPr>
            <w:tcW w:w="4335" w:type="dxa"/>
          </w:tcPr>
          <w:p w14:paraId="320C18FA" w14:textId="0392A8E1" w:rsidR="00C9637A" w:rsidRPr="002B6BE6" w:rsidRDefault="00C9637A" w:rsidP="002B6BE6">
            <w:pPr>
              <w:pStyle w:val="CETBodytext"/>
            </w:pPr>
            <w:r w:rsidRPr="002B6BE6">
              <w:t>c)</w:t>
            </w:r>
          </w:p>
        </w:tc>
        <w:tc>
          <w:tcPr>
            <w:tcW w:w="4452" w:type="dxa"/>
          </w:tcPr>
          <w:p w14:paraId="152704D7" w14:textId="77777777" w:rsidR="00C9637A" w:rsidRPr="002B6BE6" w:rsidRDefault="00C9637A" w:rsidP="002B6BE6">
            <w:pPr>
              <w:pStyle w:val="CETBodytext"/>
            </w:pPr>
          </w:p>
        </w:tc>
      </w:tr>
      <w:tr w:rsidR="00C9637A" w14:paraId="43916B78" w14:textId="77777777" w:rsidTr="00EB15B9">
        <w:tc>
          <w:tcPr>
            <w:tcW w:w="8787" w:type="dxa"/>
            <w:gridSpan w:val="2"/>
          </w:tcPr>
          <w:p w14:paraId="2AD1896A" w14:textId="40FB1AFC" w:rsidR="00C9637A" w:rsidRPr="002B6BE6" w:rsidRDefault="00C9637A" w:rsidP="002B6BE6">
            <w:pPr>
              <w:pStyle w:val="CETBodytext"/>
            </w:pPr>
            <w:r w:rsidRPr="002B6BE6">
              <w:rPr>
                <w:noProof/>
              </w:rPr>
              <w:drawing>
                <wp:inline distT="0" distB="0" distL="0" distR="0" wp14:anchorId="7C470CD6" wp14:editId="2D049BE3">
                  <wp:extent cx="2291137" cy="1090098"/>
                  <wp:effectExtent l="0" t="0" r="0" b="0"/>
                  <wp:docPr id="193897061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70611" name="Picture 51"/>
                          <pic:cNvPicPr>
                            <a:picLocks noChangeAspect="1" noChangeArrowheads="1"/>
                          </pic:cNvPicPr>
                        </pic:nvPicPr>
                        <pic:blipFill>
                          <a:blip r:embed="rId15"/>
                          <a:stretch>
                            <a:fillRect/>
                          </a:stretch>
                        </pic:blipFill>
                        <pic:spPr bwMode="auto">
                          <a:xfrm>
                            <a:off x="0" y="0"/>
                            <a:ext cx="2291137" cy="1090098"/>
                          </a:xfrm>
                          <a:prstGeom prst="rect">
                            <a:avLst/>
                          </a:prstGeom>
                          <a:noFill/>
                          <a:ln>
                            <a:noFill/>
                          </a:ln>
                        </pic:spPr>
                      </pic:pic>
                    </a:graphicData>
                  </a:graphic>
                </wp:inline>
              </w:drawing>
            </w:r>
          </w:p>
        </w:tc>
      </w:tr>
    </w:tbl>
    <w:p w14:paraId="680AD25C" w14:textId="0DB7B5A8" w:rsidR="002B6BE6" w:rsidRPr="002B6BE6" w:rsidRDefault="002B6BE6" w:rsidP="00C9637A">
      <w:pPr>
        <w:pStyle w:val="CETCaption"/>
      </w:pPr>
      <w:r w:rsidRPr="002B6BE6">
        <w:t xml:space="preserve">Figure </w:t>
      </w:r>
      <w:r w:rsidR="00D812BF">
        <w:t>2</w:t>
      </w:r>
      <w:r w:rsidRPr="002B6BE6">
        <w:t xml:space="preserve"> – Simulation of the cell number 1 – 0.5</w:t>
      </w:r>
      <w:r w:rsidR="007C26FD">
        <w:t xml:space="preserve"> </w:t>
      </w:r>
      <w:r w:rsidRPr="002B6BE6">
        <w:t>Ah, 4.5C and 5</w:t>
      </w:r>
      <w:r w:rsidR="007C26FD">
        <w:t xml:space="preserve"> </w:t>
      </w:r>
      <w:r w:rsidR="008C2C62">
        <w:rPr>
          <w:rFonts w:cs="Arial"/>
        </w:rPr>
        <w:t>µΩ</w:t>
      </w:r>
      <w:r w:rsidRPr="002B6BE6">
        <w:t xml:space="preserve"> – a) state-of-charge vs time, b) mean temperature deviation of cell vs time and c) Temperature distribution in the cell</w:t>
      </w:r>
      <w:r w:rsidR="000D16DE">
        <w:t xml:space="preserve"> at 800s</w:t>
      </w:r>
    </w:p>
    <w:p w14:paraId="7FC8866A" w14:textId="5FC2B2AD" w:rsidR="002B6BE6" w:rsidRDefault="002B6BE6" w:rsidP="005D43B2">
      <w:pPr>
        <w:pStyle w:val="CETTabletitle"/>
      </w:pPr>
      <w:r w:rsidRPr="002B6BE6">
        <w:t xml:space="preserve">Table </w:t>
      </w:r>
      <w:r w:rsidR="005D43B2">
        <w:t>1:</w:t>
      </w:r>
      <w:r w:rsidRPr="002B6BE6">
        <w:t xml:space="preserve"> P-values for mean temperature at 50</w:t>
      </w:r>
      <w:r w:rsidR="009D3F6C">
        <w:t xml:space="preserve"> </w:t>
      </w:r>
      <w:r w:rsidRPr="002B6BE6">
        <w:t>% charge</w:t>
      </w:r>
    </w:p>
    <w:tbl>
      <w:tblPr>
        <w:tblW w:w="5000" w:type="pct"/>
        <w:tblBorders>
          <w:top w:val="single" w:sz="12" w:space="0" w:color="008000"/>
          <w:bottom w:val="single" w:sz="12" w:space="0" w:color="008000"/>
        </w:tblBorders>
        <w:tblCellMar>
          <w:left w:w="0" w:type="dxa"/>
          <w:right w:w="0" w:type="dxa"/>
        </w:tblCellMar>
        <w:tblLook w:val="00A0" w:firstRow="1" w:lastRow="0" w:firstColumn="1" w:lastColumn="0" w:noHBand="0" w:noVBand="0"/>
      </w:tblPr>
      <w:tblGrid>
        <w:gridCol w:w="3311"/>
        <w:gridCol w:w="2738"/>
        <w:gridCol w:w="2738"/>
      </w:tblGrid>
      <w:tr w:rsidR="007C26FD" w:rsidRPr="007C26FD" w14:paraId="081947AF" w14:textId="77777777" w:rsidTr="007C26FD">
        <w:tc>
          <w:tcPr>
            <w:tcW w:w="1884" w:type="pct"/>
            <w:tcBorders>
              <w:top w:val="single" w:sz="12" w:space="0" w:color="008000"/>
              <w:bottom w:val="single" w:sz="6" w:space="0" w:color="008000"/>
            </w:tcBorders>
            <w:shd w:val="clear" w:color="auto" w:fill="FFFFFF"/>
          </w:tcPr>
          <w:p w14:paraId="412B9ECF" w14:textId="4D5139C9" w:rsidR="007C26FD" w:rsidRPr="007C26FD" w:rsidRDefault="007C26FD" w:rsidP="007C26FD">
            <w:pPr>
              <w:pStyle w:val="CETBodytext"/>
              <w:rPr>
                <w:lang w:val="en-GB"/>
              </w:rPr>
            </w:pPr>
            <w:r w:rsidRPr="002B6BE6">
              <w:rPr>
                <w:b/>
                <w:bCs/>
              </w:rPr>
              <w:t>Source</w:t>
            </w:r>
          </w:p>
        </w:tc>
        <w:tc>
          <w:tcPr>
            <w:tcW w:w="1558" w:type="pct"/>
            <w:tcBorders>
              <w:top w:val="single" w:sz="12" w:space="0" w:color="008000"/>
              <w:bottom w:val="single" w:sz="6" w:space="0" w:color="008000"/>
            </w:tcBorders>
            <w:shd w:val="clear" w:color="auto" w:fill="FFFFFF"/>
          </w:tcPr>
          <w:p w14:paraId="41783AD9" w14:textId="109F3E21" w:rsidR="007C26FD" w:rsidRPr="007C26FD" w:rsidRDefault="007C26FD" w:rsidP="007C26FD">
            <w:pPr>
              <w:pStyle w:val="CETBodytext"/>
              <w:rPr>
                <w:lang w:val="en-GB"/>
              </w:rPr>
            </w:pPr>
            <w:r w:rsidRPr="002B6BE6">
              <w:rPr>
                <w:b/>
                <w:bCs/>
              </w:rPr>
              <w:t>DF</w:t>
            </w:r>
          </w:p>
        </w:tc>
        <w:tc>
          <w:tcPr>
            <w:tcW w:w="1558" w:type="pct"/>
            <w:tcBorders>
              <w:top w:val="single" w:sz="12" w:space="0" w:color="008000"/>
              <w:bottom w:val="single" w:sz="6" w:space="0" w:color="008000"/>
            </w:tcBorders>
            <w:shd w:val="clear" w:color="auto" w:fill="FFFFFF"/>
          </w:tcPr>
          <w:p w14:paraId="3C7673E5" w14:textId="6D12DA13" w:rsidR="007C26FD" w:rsidRPr="007C26FD" w:rsidRDefault="007C26FD" w:rsidP="007C26FD">
            <w:pPr>
              <w:pStyle w:val="CETBodytext"/>
              <w:rPr>
                <w:lang w:val="en-GB"/>
              </w:rPr>
            </w:pPr>
            <w:r w:rsidRPr="002B6BE6">
              <w:rPr>
                <w:b/>
                <w:bCs/>
              </w:rPr>
              <w:t>P-Value</w:t>
            </w:r>
          </w:p>
        </w:tc>
      </w:tr>
      <w:tr w:rsidR="007C26FD" w:rsidRPr="007C26FD" w14:paraId="3128D11B" w14:textId="77777777" w:rsidTr="007C26FD">
        <w:tc>
          <w:tcPr>
            <w:tcW w:w="1884" w:type="pct"/>
            <w:shd w:val="clear" w:color="auto" w:fill="FFFFFF"/>
          </w:tcPr>
          <w:p w14:paraId="4CDFABFC" w14:textId="1E973A71" w:rsidR="007C26FD" w:rsidRPr="007C26FD" w:rsidRDefault="0069310B" w:rsidP="007C26FD">
            <w:pPr>
              <w:pStyle w:val="CETBodytext"/>
              <w:rPr>
                <w:lang w:val="en-GB"/>
              </w:rPr>
            </w:pPr>
            <w:r>
              <w:rPr>
                <w:lang w:val="en-GB"/>
              </w:rPr>
              <w:t>Model</w:t>
            </w:r>
          </w:p>
        </w:tc>
        <w:tc>
          <w:tcPr>
            <w:tcW w:w="1558" w:type="pct"/>
            <w:shd w:val="clear" w:color="auto" w:fill="FFFFFF"/>
          </w:tcPr>
          <w:p w14:paraId="3BD5D137" w14:textId="57728FD7" w:rsidR="007C26FD" w:rsidRPr="007C26FD" w:rsidRDefault="0069310B" w:rsidP="007C26FD">
            <w:pPr>
              <w:pStyle w:val="CETBodytext"/>
              <w:rPr>
                <w:lang w:val="en-GB"/>
              </w:rPr>
            </w:pPr>
            <w:r>
              <w:rPr>
                <w:lang w:val="en-GB"/>
              </w:rPr>
              <w:t>5</w:t>
            </w:r>
          </w:p>
        </w:tc>
        <w:tc>
          <w:tcPr>
            <w:tcW w:w="1558" w:type="pct"/>
            <w:shd w:val="clear" w:color="auto" w:fill="FFFFFF"/>
          </w:tcPr>
          <w:p w14:paraId="14C80FB0" w14:textId="1B9DE6EE" w:rsidR="007C26FD" w:rsidRPr="007C26FD" w:rsidRDefault="0069310B" w:rsidP="007C26FD">
            <w:pPr>
              <w:pStyle w:val="CETBodytext"/>
              <w:rPr>
                <w:lang w:val="en-GB"/>
              </w:rPr>
            </w:pPr>
            <w:r w:rsidRPr="002B6BE6">
              <w:t>0.000</w:t>
            </w:r>
          </w:p>
        </w:tc>
      </w:tr>
      <w:tr w:rsidR="0069310B" w:rsidRPr="007C26FD" w14:paraId="1D0EAA39" w14:textId="77777777" w:rsidTr="007C26FD">
        <w:tc>
          <w:tcPr>
            <w:tcW w:w="1884" w:type="pct"/>
            <w:shd w:val="clear" w:color="auto" w:fill="FFFFFF"/>
          </w:tcPr>
          <w:p w14:paraId="111E89ED" w14:textId="1F0DCFBA" w:rsidR="0069310B" w:rsidRPr="007C26FD" w:rsidRDefault="0069310B" w:rsidP="0069310B">
            <w:pPr>
              <w:pStyle w:val="CETBodytext"/>
              <w:rPr>
                <w:lang w:val="en-GB"/>
              </w:rPr>
            </w:pPr>
            <w:r w:rsidRPr="002B6BE6">
              <w:t>Capacity</w:t>
            </w:r>
          </w:p>
        </w:tc>
        <w:tc>
          <w:tcPr>
            <w:tcW w:w="1558" w:type="pct"/>
            <w:shd w:val="clear" w:color="auto" w:fill="FFFFFF"/>
          </w:tcPr>
          <w:p w14:paraId="5B9E0C62" w14:textId="6FE6E3A4" w:rsidR="0069310B" w:rsidRPr="007C26FD" w:rsidRDefault="0069310B" w:rsidP="0069310B">
            <w:pPr>
              <w:pStyle w:val="CETBodytext"/>
              <w:rPr>
                <w:lang w:val="en-GB"/>
              </w:rPr>
            </w:pPr>
            <w:r w:rsidRPr="002B6BE6">
              <w:t>1</w:t>
            </w:r>
          </w:p>
        </w:tc>
        <w:tc>
          <w:tcPr>
            <w:tcW w:w="1558" w:type="pct"/>
            <w:shd w:val="clear" w:color="auto" w:fill="FFFFFF"/>
          </w:tcPr>
          <w:p w14:paraId="594DE9C9" w14:textId="07B7F8F4" w:rsidR="0069310B" w:rsidRPr="007C26FD" w:rsidRDefault="0069310B" w:rsidP="0069310B">
            <w:pPr>
              <w:pStyle w:val="CETBodytext"/>
              <w:rPr>
                <w:lang w:val="en-GB"/>
              </w:rPr>
            </w:pPr>
            <w:r w:rsidRPr="002B6BE6">
              <w:t>0.000</w:t>
            </w:r>
          </w:p>
        </w:tc>
      </w:tr>
      <w:tr w:rsidR="0069310B" w:rsidRPr="007C26FD" w14:paraId="54E5EFB4" w14:textId="77777777" w:rsidTr="007C26FD">
        <w:tc>
          <w:tcPr>
            <w:tcW w:w="1884" w:type="pct"/>
            <w:shd w:val="clear" w:color="auto" w:fill="FFFFFF"/>
          </w:tcPr>
          <w:p w14:paraId="1AC55D80" w14:textId="37D64B2F" w:rsidR="0069310B" w:rsidRPr="007C26FD" w:rsidRDefault="0069310B" w:rsidP="0069310B">
            <w:pPr>
              <w:pStyle w:val="CETBodytext"/>
              <w:rPr>
                <w:lang w:val="en-GB"/>
              </w:rPr>
            </w:pPr>
            <w:r w:rsidRPr="002B6BE6">
              <w:t>Current</w:t>
            </w:r>
          </w:p>
        </w:tc>
        <w:tc>
          <w:tcPr>
            <w:tcW w:w="1558" w:type="pct"/>
            <w:shd w:val="clear" w:color="auto" w:fill="FFFFFF"/>
          </w:tcPr>
          <w:p w14:paraId="20A0C1E8" w14:textId="330F19CD" w:rsidR="0069310B" w:rsidRPr="007C26FD" w:rsidRDefault="0069310B" w:rsidP="0069310B">
            <w:pPr>
              <w:pStyle w:val="CETBodytext"/>
              <w:rPr>
                <w:lang w:val="en-GB"/>
              </w:rPr>
            </w:pPr>
            <w:r w:rsidRPr="002B6BE6">
              <w:t>1</w:t>
            </w:r>
          </w:p>
        </w:tc>
        <w:tc>
          <w:tcPr>
            <w:tcW w:w="1558" w:type="pct"/>
            <w:shd w:val="clear" w:color="auto" w:fill="FFFFFF"/>
          </w:tcPr>
          <w:p w14:paraId="523BA2EB" w14:textId="655D8B23" w:rsidR="0069310B" w:rsidRPr="007C26FD" w:rsidRDefault="0069310B" w:rsidP="0069310B">
            <w:pPr>
              <w:pStyle w:val="CETBodytext"/>
              <w:rPr>
                <w:lang w:val="en-GB"/>
              </w:rPr>
            </w:pPr>
            <w:r w:rsidRPr="002B6BE6">
              <w:t>0.000</w:t>
            </w:r>
          </w:p>
        </w:tc>
      </w:tr>
      <w:tr w:rsidR="0069310B" w:rsidRPr="007C26FD" w14:paraId="76F644BE" w14:textId="77777777" w:rsidTr="007C26FD">
        <w:tc>
          <w:tcPr>
            <w:tcW w:w="1884" w:type="pct"/>
            <w:shd w:val="clear" w:color="auto" w:fill="FFFFFF"/>
          </w:tcPr>
          <w:p w14:paraId="25E1B0FD" w14:textId="50AFAA5C" w:rsidR="0069310B" w:rsidRPr="007C26FD" w:rsidRDefault="0069310B" w:rsidP="0069310B">
            <w:pPr>
              <w:pStyle w:val="CETBodytext"/>
              <w:rPr>
                <w:lang w:val="en-GB"/>
              </w:rPr>
            </w:pPr>
            <w:r w:rsidRPr="002B6BE6">
              <w:t>Impedance</w:t>
            </w:r>
          </w:p>
        </w:tc>
        <w:tc>
          <w:tcPr>
            <w:tcW w:w="1558" w:type="pct"/>
            <w:shd w:val="clear" w:color="auto" w:fill="FFFFFF"/>
          </w:tcPr>
          <w:p w14:paraId="5E4FAF8D" w14:textId="7E2773CB" w:rsidR="0069310B" w:rsidRPr="007C26FD" w:rsidRDefault="0069310B" w:rsidP="0069310B">
            <w:pPr>
              <w:pStyle w:val="CETBodytext"/>
              <w:rPr>
                <w:lang w:val="en-GB"/>
              </w:rPr>
            </w:pPr>
            <w:r w:rsidRPr="002B6BE6">
              <w:t>1</w:t>
            </w:r>
          </w:p>
        </w:tc>
        <w:tc>
          <w:tcPr>
            <w:tcW w:w="1558" w:type="pct"/>
            <w:shd w:val="clear" w:color="auto" w:fill="FFFFFF"/>
          </w:tcPr>
          <w:p w14:paraId="320EA5AA" w14:textId="4A9233EC" w:rsidR="0069310B" w:rsidRPr="007C26FD" w:rsidRDefault="0069310B" w:rsidP="0069310B">
            <w:pPr>
              <w:pStyle w:val="CETBodytext"/>
              <w:rPr>
                <w:lang w:val="en-GB"/>
              </w:rPr>
            </w:pPr>
            <w:r w:rsidRPr="002B6BE6">
              <w:t>0.010</w:t>
            </w:r>
          </w:p>
        </w:tc>
      </w:tr>
      <w:tr w:rsidR="0069310B" w:rsidRPr="007C26FD" w14:paraId="2C3F5980" w14:textId="77777777" w:rsidTr="007C26FD">
        <w:tc>
          <w:tcPr>
            <w:tcW w:w="1884" w:type="pct"/>
            <w:shd w:val="clear" w:color="auto" w:fill="FFFFFF"/>
          </w:tcPr>
          <w:p w14:paraId="3D750F76" w14:textId="65DEC444" w:rsidR="0069310B" w:rsidRPr="002B6BE6" w:rsidRDefault="0069310B" w:rsidP="0069310B">
            <w:pPr>
              <w:pStyle w:val="CETBodytext"/>
            </w:pPr>
            <w:r w:rsidRPr="002B6BE6">
              <w:t>Capacity*Current</w:t>
            </w:r>
          </w:p>
        </w:tc>
        <w:tc>
          <w:tcPr>
            <w:tcW w:w="1558" w:type="pct"/>
            <w:shd w:val="clear" w:color="auto" w:fill="FFFFFF"/>
          </w:tcPr>
          <w:p w14:paraId="4EDEF064" w14:textId="2E1C553F" w:rsidR="0069310B" w:rsidRPr="002B6BE6" w:rsidRDefault="0069310B" w:rsidP="0069310B">
            <w:pPr>
              <w:pStyle w:val="CETBodytext"/>
            </w:pPr>
            <w:r w:rsidRPr="002B6BE6">
              <w:t>1</w:t>
            </w:r>
          </w:p>
        </w:tc>
        <w:tc>
          <w:tcPr>
            <w:tcW w:w="1558" w:type="pct"/>
            <w:shd w:val="clear" w:color="auto" w:fill="FFFFFF"/>
          </w:tcPr>
          <w:p w14:paraId="59B913F4" w14:textId="0FFF24FC" w:rsidR="0069310B" w:rsidRPr="002B6BE6" w:rsidRDefault="0069310B" w:rsidP="0069310B">
            <w:pPr>
              <w:pStyle w:val="CETBodytext"/>
            </w:pPr>
            <w:r w:rsidRPr="002B6BE6">
              <w:t>0.001</w:t>
            </w:r>
          </w:p>
        </w:tc>
      </w:tr>
      <w:tr w:rsidR="0069310B" w:rsidRPr="007C26FD" w14:paraId="5E9CD0B7" w14:textId="77777777" w:rsidTr="007C26FD">
        <w:tc>
          <w:tcPr>
            <w:tcW w:w="1884" w:type="pct"/>
            <w:shd w:val="clear" w:color="auto" w:fill="FFFFFF"/>
          </w:tcPr>
          <w:p w14:paraId="2EE6E799" w14:textId="09C002A7" w:rsidR="0069310B" w:rsidRPr="002B6BE6" w:rsidRDefault="0069310B" w:rsidP="0069310B">
            <w:pPr>
              <w:pStyle w:val="CETBodytext"/>
            </w:pPr>
            <w:r w:rsidRPr="002B6BE6">
              <w:t>Capacity*Imp</w:t>
            </w:r>
            <w:r w:rsidR="008C2C62">
              <w:t>edance</w:t>
            </w:r>
          </w:p>
        </w:tc>
        <w:tc>
          <w:tcPr>
            <w:tcW w:w="1558" w:type="pct"/>
            <w:shd w:val="clear" w:color="auto" w:fill="FFFFFF"/>
          </w:tcPr>
          <w:p w14:paraId="6B4F94F9" w14:textId="5A0D643D" w:rsidR="0069310B" w:rsidRPr="002B6BE6" w:rsidRDefault="0069310B" w:rsidP="0069310B">
            <w:pPr>
              <w:pStyle w:val="CETBodytext"/>
            </w:pPr>
            <w:r w:rsidRPr="002B6BE6">
              <w:t>1</w:t>
            </w:r>
          </w:p>
        </w:tc>
        <w:tc>
          <w:tcPr>
            <w:tcW w:w="1558" w:type="pct"/>
            <w:shd w:val="clear" w:color="auto" w:fill="FFFFFF"/>
          </w:tcPr>
          <w:p w14:paraId="6712FDBB" w14:textId="4ECB6747" w:rsidR="0069310B" w:rsidRPr="002B6BE6" w:rsidRDefault="0069310B" w:rsidP="0069310B">
            <w:pPr>
              <w:pStyle w:val="CETBodytext"/>
            </w:pPr>
            <w:r w:rsidRPr="002B6BE6">
              <w:t>0.027</w:t>
            </w:r>
          </w:p>
        </w:tc>
      </w:tr>
      <w:tr w:rsidR="0069310B" w:rsidRPr="007C26FD" w14:paraId="614A67C0" w14:textId="77777777" w:rsidTr="007C26FD">
        <w:tc>
          <w:tcPr>
            <w:tcW w:w="1884" w:type="pct"/>
            <w:shd w:val="clear" w:color="auto" w:fill="FFFFFF"/>
          </w:tcPr>
          <w:p w14:paraId="297BF7F4" w14:textId="6C45F6F1" w:rsidR="0069310B" w:rsidRPr="007C26FD" w:rsidRDefault="0069310B" w:rsidP="0069310B">
            <w:pPr>
              <w:pStyle w:val="CETBodytext"/>
              <w:rPr>
                <w:lang w:val="en-GB"/>
              </w:rPr>
            </w:pPr>
            <w:r w:rsidRPr="002B6BE6">
              <w:t>Error</w:t>
            </w:r>
          </w:p>
        </w:tc>
        <w:tc>
          <w:tcPr>
            <w:tcW w:w="1558" w:type="pct"/>
            <w:shd w:val="clear" w:color="auto" w:fill="FFFFFF"/>
          </w:tcPr>
          <w:p w14:paraId="13E41633" w14:textId="531F67D2" w:rsidR="0069310B" w:rsidRPr="007C26FD" w:rsidRDefault="0069310B" w:rsidP="0069310B">
            <w:pPr>
              <w:pStyle w:val="CETBodytext"/>
              <w:rPr>
                <w:lang w:val="en-GB"/>
              </w:rPr>
            </w:pPr>
            <w:r w:rsidRPr="002B6BE6">
              <w:t>7</w:t>
            </w:r>
          </w:p>
        </w:tc>
        <w:tc>
          <w:tcPr>
            <w:tcW w:w="1558" w:type="pct"/>
            <w:shd w:val="clear" w:color="auto" w:fill="FFFFFF"/>
          </w:tcPr>
          <w:p w14:paraId="30344BBD" w14:textId="5DEE0329" w:rsidR="0069310B" w:rsidRPr="007C26FD" w:rsidRDefault="0069310B" w:rsidP="0069310B">
            <w:pPr>
              <w:pStyle w:val="CETBodytext"/>
              <w:rPr>
                <w:lang w:val="en-GB"/>
              </w:rPr>
            </w:pPr>
          </w:p>
        </w:tc>
      </w:tr>
      <w:tr w:rsidR="0069310B" w:rsidRPr="007C26FD" w14:paraId="4310730E" w14:textId="77777777" w:rsidTr="007C26FD">
        <w:tc>
          <w:tcPr>
            <w:tcW w:w="1884" w:type="pct"/>
            <w:tcBorders>
              <w:bottom w:val="single" w:sz="12" w:space="0" w:color="008000"/>
            </w:tcBorders>
            <w:shd w:val="clear" w:color="auto" w:fill="FFFFFF"/>
          </w:tcPr>
          <w:p w14:paraId="05EAB8BA" w14:textId="5AF094EF" w:rsidR="0069310B" w:rsidRPr="007C26FD" w:rsidRDefault="0069310B" w:rsidP="0069310B">
            <w:pPr>
              <w:pStyle w:val="CETBodytext"/>
            </w:pPr>
            <w:r>
              <w:t>Total</w:t>
            </w:r>
          </w:p>
        </w:tc>
        <w:tc>
          <w:tcPr>
            <w:tcW w:w="1558" w:type="pct"/>
            <w:tcBorders>
              <w:bottom w:val="single" w:sz="12" w:space="0" w:color="008000"/>
            </w:tcBorders>
            <w:shd w:val="clear" w:color="auto" w:fill="FFFFFF"/>
          </w:tcPr>
          <w:p w14:paraId="18BD68BA" w14:textId="7AE0ABCD" w:rsidR="0069310B" w:rsidRPr="007C26FD" w:rsidRDefault="0069310B" w:rsidP="0069310B">
            <w:pPr>
              <w:pStyle w:val="CETBodytext"/>
              <w:rPr>
                <w:lang w:val="en-GB"/>
              </w:rPr>
            </w:pPr>
            <w:r>
              <w:rPr>
                <w:lang w:val="en-GB"/>
              </w:rPr>
              <w:t>12</w:t>
            </w:r>
          </w:p>
        </w:tc>
        <w:tc>
          <w:tcPr>
            <w:tcW w:w="1558" w:type="pct"/>
            <w:tcBorders>
              <w:bottom w:val="single" w:sz="12" w:space="0" w:color="008000"/>
            </w:tcBorders>
            <w:shd w:val="clear" w:color="auto" w:fill="FFFFFF"/>
          </w:tcPr>
          <w:p w14:paraId="3567610B" w14:textId="1749D715" w:rsidR="0069310B" w:rsidRPr="007C26FD" w:rsidRDefault="0069310B" w:rsidP="0069310B">
            <w:pPr>
              <w:pStyle w:val="CETBodytext"/>
              <w:rPr>
                <w:lang w:val="en-GB"/>
              </w:rPr>
            </w:pPr>
          </w:p>
        </w:tc>
      </w:tr>
    </w:tbl>
    <w:p w14:paraId="68D26B83" w14:textId="123C4BCD" w:rsidR="00600535" w:rsidRPr="00B57B36" w:rsidRDefault="00600535" w:rsidP="002B6BE6">
      <w:pPr>
        <w:pStyle w:val="CETHeading1"/>
      </w:pPr>
      <w:r w:rsidRPr="00B57B36">
        <w:t>Conclusions</w:t>
      </w:r>
    </w:p>
    <w:p w14:paraId="2B16B884" w14:textId="42A09FD5" w:rsidR="00606FEA" w:rsidRDefault="007C26FD" w:rsidP="00A02353">
      <w:pPr>
        <w:pStyle w:val="CETBodytext"/>
        <w:rPr>
          <w:lang w:val="en-GB"/>
        </w:rPr>
      </w:pPr>
      <w:r>
        <w:rPr>
          <w:lang w:val="en-GB"/>
        </w:rPr>
        <w:t xml:space="preserve">One of the major safety issues in </w:t>
      </w:r>
      <w:r w:rsidR="00922B84">
        <w:rPr>
          <w:lang w:val="en-GB"/>
        </w:rPr>
        <w:t>L</w:t>
      </w:r>
      <w:r>
        <w:rPr>
          <w:lang w:val="en-GB"/>
        </w:rPr>
        <w:t>i-ion cell</w:t>
      </w:r>
      <w:r w:rsidR="00922B84">
        <w:rPr>
          <w:lang w:val="en-GB"/>
        </w:rPr>
        <w:t>s</w:t>
      </w:r>
      <w:r w:rsidR="00877401">
        <w:rPr>
          <w:lang w:val="en-GB"/>
        </w:rPr>
        <w:t xml:space="preserve"> usage</w:t>
      </w:r>
      <w:r>
        <w:rPr>
          <w:lang w:val="en-GB"/>
        </w:rPr>
        <w:t xml:space="preserve"> is </w:t>
      </w:r>
      <w:r w:rsidR="00877401">
        <w:rPr>
          <w:lang w:val="en-GB"/>
        </w:rPr>
        <w:t xml:space="preserve">the </w:t>
      </w:r>
      <w:r>
        <w:rPr>
          <w:lang w:val="en-GB"/>
        </w:rPr>
        <w:t xml:space="preserve">thermal runaway which is </w:t>
      </w:r>
      <w:r w:rsidR="00922B84">
        <w:rPr>
          <w:lang w:val="en-GB"/>
        </w:rPr>
        <w:t xml:space="preserve">a </w:t>
      </w:r>
      <w:r>
        <w:rPr>
          <w:lang w:val="en-GB"/>
        </w:rPr>
        <w:t xml:space="preserve">catastrophic heat release, </w:t>
      </w:r>
      <w:r w:rsidR="00922B84">
        <w:rPr>
          <w:lang w:val="en-GB"/>
        </w:rPr>
        <w:t xml:space="preserve">with possible </w:t>
      </w:r>
      <w:r>
        <w:rPr>
          <w:lang w:val="en-GB"/>
        </w:rPr>
        <w:t>ignition and explosion.</w:t>
      </w:r>
      <w:r w:rsidR="00877401">
        <w:rPr>
          <w:lang w:val="en-GB"/>
        </w:rPr>
        <w:t xml:space="preserve"> M</w:t>
      </w:r>
      <w:r>
        <w:rPr>
          <w:lang w:val="en-GB"/>
        </w:rPr>
        <w:t xml:space="preserve">ost of the studies </w:t>
      </w:r>
      <w:r w:rsidR="00877401">
        <w:rPr>
          <w:lang w:val="en-GB"/>
        </w:rPr>
        <w:t xml:space="preserve">devoted to understanding the behavior of the cell during a thermal runaway </w:t>
      </w:r>
      <w:r>
        <w:rPr>
          <w:lang w:val="en-GB"/>
        </w:rPr>
        <w:t xml:space="preserve">are focused on </w:t>
      </w:r>
      <w:r w:rsidR="00877401">
        <w:rPr>
          <w:lang w:val="en-GB"/>
        </w:rPr>
        <w:t xml:space="preserve">a </w:t>
      </w:r>
      <w:r>
        <w:rPr>
          <w:lang w:val="en-GB"/>
        </w:rPr>
        <w:t>fresh and uncycled battery</w:t>
      </w:r>
      <w:r w:rsidR="00877401">
        <w:rPr>
          <w:lang w:val="en-GB"/>
        </w:rPr>
        <w:t>,</w:t>
      </w:r>
      <w:r>
        <w:rPr>
          <w:lang w:val="en-GB"/>
        </w:rPr>
        <w:t xml:space="preserve"> which ha</w:t>
      </w:r>
      <w:r w:rsidR="00877401">
        <w:rPr>
          <w:lang w:val="en-GB"/>
        </w:rPr>
        <w:t>s</w:t>
      </w:r>
      <w:r>
        <w:rPr>
          <w:lang w:val="en-GB"/>
        </w:rPr>
        <w:t xml:space="preserve"> a much better resilience </w:t>
      </w:r>
      <w:r w:rsidR="00877401">
        <w:rPr>
          <w:lang w:val="en-GB"/>
        </w:rPr>
        <w:t xml:space="preserve">to </w:t>
      </w:r>
      <w:r>
        <w:rPr>
          <w:lang w:val="en-GB"/>
        </w:rPr>
        <w:t>thermal stress</w:t>
      </w:r>
      <w:r w:rsidR="00877401">
        <w:rPr>
          <w:lang w:val="en-GB"/>
        </w:rPr>
        <w:t>;</w:t>
      </w:r>
      <w:r w:rsidR="000C2B7C">
        <w:rPr>
          <w:lang w:val="en-GB"/>
        </w:rPr>
        <w:t xml:space="preserve"> </w:t>
      </w:r>
      <w:r w:rsidR="00877401">
        <w:rPr>
          <w:lang w:val="en-GB"/>
        </w:rPr>
        <w:t>a</w:t>
      </w:r>
      <w:r w:rsidR="000C2B7C">
        <w:rPr>
          <w:lang w:val="en-GB"/>
        </w:rPr>
        <w:t xml:space="preserve">s </w:t>
      </w:r>
      <w:r w:rsidR="00922B84">
        <w:rPr>
          <w:lang w:val="en-GB"/>
        </w:rPr>
        <w:t xml:space="preserve">already reported in the </w:t>
      </w:r>
      <w:r w:rsidR="000C2B7C">
        <w:rPr>
          <w:lang w:val="en-GB"/>
        </w:rPr>
        <w:t>literature, the capacity and internal resistance of a cycled cell is different from th</w:t>
      </w:r>
      <w:r w:rsidR="00922B84">
        <w:rPr>
          <w:lang w:val="en-GB"/>
        </w:rPr>
        <w:t>os</w:t>
      </w:r>
      <w:r w:rsidR="000C2B7C">
        <w:rPr>
          <w:lang w:val="en-GB"/>
        </w:rPr>
        <w:t xml:space="preserve">e </w:t>
      </w:r>
      <w:r w:rsidR="00922B84">
        <w:rPr>
          <w:lang w:val="en-GB"/>
        </w:rPr>
        <w:t xml:space="preserve">of a </w:t>
      </w:r>
      <w:r w:rsidR="00877401">
        <w:rPr>
          <w:lang w:val="en-GB"/>
        </w:rPr>
        <w:t>new</w:t>
      </w:r>
      <w:r w:rsidR="000C2B7C">
        <w:rPr>
          <w:lang w:val="en-GB"/>
        </w:rPr>
        <w:t xml:space="preserve"> one. In this study, </w:t>
      </w:r>
      <w:r w:rsidR="00922B84">
        <w:rPr>
          <w:lang w:val="en-GB"/>
        </w:rPr>
        <w:t xml:space="preserve">the </w:t>
      </w:r>
      <w:r w:rsidR="000C2B7C">
        <w:rPr>
          <w:lang w:val="en-GB"/>
        </w:rPr>
        <w:t>influence of these factors was investigated</w:t>
      </w:r>
      <w:r w:rsidR="00922B84">
        <w:rPr>
          <w:lang w:val="en-GB"/>
        </w:rPr>
        <w:t>, with specific reference to</w:t>
      </w:r>
      <w:r w:rsidR="000C2B7C">
        <w:rPr>
          <w:lang w:val="en-GB"/>
        </w:rPr>
        <w:t xml:space="preserve"> </w:t>
      </w:r>
      <w:r w:rsidR="002267E6">
        <w:rPr>
          <w:lang w:val="en-GB"/>
        </w:rPr>
        <w:t xml:space="preserve">Ohmic resistance and capacity of the cell and </w:t>
      </w:r>
      <w:r w:rsidR="00877401">
        <w:rPr>
          <w:lang w:val="en-GB"/>
        </w:rPr>
        <w:t xml:space="preserve">to </w:t>
      </w:r>
      <w:r w:rsidR="002267E6">
        <w:rPr>
          <w:lang w:val="en-GB"/>
        </w:rPr>
        <w:t xml:space="preserve">charging current. </w:t>
      </w:r>
      <w:r w:rsidR="000C2B7C">
        <w:rPr>
          <w:lang w:val="en-GB"/>
        </w:rPr>
        <w:t>The statistical analysis of the results shows a very good agreement between the fitted and measured values, showing a strong relationship between these factors and the temperature of the cell.</w:t>
      </w:r>
      <w:r w:rsidR="002267E6">
        <w:rPr>
          <w:lang w:val="en-GB"/>
        </w:rPr>
        <w:t xml:space="preserve"> As </w:t>
      </w:r>
      <w:r w:rsidR="002267E6" w:rsidRPr="007232A4">
        <w:rPr>
          <w:lang w:val="en-GB"/>
        </w:rPr>
        <w:t xml:space="preserve">can be concluded from the results of the simulation, a faded capacity battery </w:t>
      </w:r>
      <w:r w:rsidR="00922B84" w:rsidRPr="007232A4">
        <w:rPr>
          <w:lang w:val="en-GB"/>
        </w:rPr>
        <w:t xml:space="preserve">is </w:t>
      </w:r>
      <w:r w:rsidR="002267E6" w:rsidRPr="007232A4">
        <w:rPr>
          <w:lang w:val="en-GB"/>
        </w:rPr>
        <w:t xml:space="preserve">less </w:t>
      </w:r>
      <w:r w:rsidR="00922B84" w:rsidRPr="007232A4">
        <w:rPr>
          <w:lang w:val="en-GB"/>
        </w:rPr>
        <w:t xml:space="preserve">prone </w:t>
      </w:r>
      <w:r w:rsidR="002267E6" w:rsidRPr="007232A4">
        <w:rPr>
          <w:lang w:val="en-GB"/>
        </w:rPr>
        <w:t>to go beyond the designed temperature.</w:t>
      </w:r>
      <w:r w:rsidR="008C2C62">
        <w:rPr>
          <w:lang w:val="en-GB"/>
        </w:rPr>
        <w:t xml:space="preserve"> However, in real-world scenario, an aged cell with faded capacity has a lower life span and battery performance.</w:t>
      </w:r>
      <w:r w:rsidR="002267E6" w:rsidRPr="007232A4">
        <w:rPr>
          <w:lang w:val="en-GB"/>
        </w:rPr>
        <w:t xml:space="preserve"> </w:t>
      </w:r>
      <w:r w:rsidR="007232A4" w:rsidRPr="007232A4">
        <w:rPr>
          <w:lang w:val="en-GB"/>
        </w:rPr>
        <w:t>Furthermore</w:t>
      </w:r>
      <w:r w:rsidR="002267E6" w:rsidRPr="007232A4">
        <w:rPr>
          <w:lang w:val="en-GB"/>
        </w:rPr>
        <w:t>, as battery degrades</w:t>
      </w:r>
      <w:r w:rsidR="007232A4" w:rsidRPr="007232A4">
        <w:rPr>
          <w:lang w:val="en-GB"/>
        </w:rPr>
        <w:t>,</w:t>
      </w:r>
      <w:r w:rsidR="002267E6" w:rsidRPr="007232A4">
        <w:rPr>
          <w:lang w:val="en-GB"/>
        </w:rPr>
        <w:t xml:space="preserve"> the internal resistance </w:t>
      </w:r>
      <w:r w:rsidR="007232A4" w:rsidRPr="007232A4">
        <w:rPr>
          <w:lang w:val="en-GB"/>
        </w:rPr>
        <w:t xml:space="preserve">will </w:t>
      </w:r>
      <w:r w:rsidR="002267E6" w:rsidRPr="007232A4">
        <w:rPr>
          <w:lang w:val="en-GB"/>
        </w:rPr>
        <w:t>increas</w:t>
      </w:r>
      <w:r w:rsidR="007232A4" w:rsidRPr="007232A4">
        <w:rPr>
          <w:lang w:val="en-GB"/>
        </w:rPr>
        <w:t>e</w:t>
      </w:r>
      <w:r w:rsidR="002267E6" w:rsidRPr="007232A4">
        <w:rPr>
          <w:lang w:val="en-GB"/>
        </w:rPr>
        <w:t>, leading to more s</w:t>
      </w:r>
      <w:r w:rsidR="007232A4" w:rsidRPr="007232A4">
        <w:rPr>
          <w:lang w:val="en-GB"/>
        </w:rPr>
        <w:t>ignificant</w:t>
      </w:r>
      <w:r w:rsidR="002267E6" w:rsidRPr="007232A4">
        <w:rPr>
          <w:lang w:val="en-GB"/>
        </w:rPr>
        <w:t xml:space="preserve"> </w:t>
      </w:r>
      <w:r w:rsidR="00922B84" w:rsidRPr="007232A4">
        <w:rPr>
          <w:lang w:val="en-GB"/>
        </w:rPr>
        <w:t>effect</w:t>
      </w:r>
      <w:r w:rsidR="002267E6" w:rsidRPr="007232A4">
        <w:rPr>
          <w:lang w:val="en-GB"/>
        </w:rPr>
        <w:t xml:space="preserve"> on </w:t>
      </w:r>
      <w:r w:rsidR="007232A4" w:rsidRPr="007232A4">
        <w:rPr>
          <w:lang w:val="en-GB"/>
        </w:rPr>
        <w:t xml:space="preserve">the </w:t>
      </w:r>
      <w:r w:rsidR="002267E6" w:rsidRPr="007232A4">
        <w:rPr>
          <w:lang w:val="en-GB"/>
        </w:rPr>
        <w:t xml:space="preserve">temperature. </w:t>
      </w:r>
      <w:r w:rsidR="00A02353" w:rsidRPr="007232A4">
        <w:rPr>
          <w:lang w:val="en-GB"/>
        </w:rPr>
        <w:t>Under</w:t>
      </w:r>
      <w:r w:rsidR="00A02353" w:rsidRPr="00A02353">
        <w:rPr>
          <w:lang w:val="en-GB"/>
        </w:rPr>
        <w:t xml:space="preserve"> the same conditions, a cell </w:t>
      </w:r>
      <w:r w:rsidR="00A02353" w:rsidRPr="00A02353">
        <w:rPr>
          <w:lang w:val="en-GB"/>
        </w:rPr>
        <w:lastRenderedPageBreak/>
        <w:t>with higher ohmic resistance tends to reach a higher temperature due to increased heat generation</w:t>
      </w:r>
      <w:r w:rsidR="00A02353">
        <w:rPr>
          <w:lang w:val="en-GB"/>
        </w:rPr>
        <w:t>.</w:t>
      </w:r>
      <w:r w:rsidR="002267E6">
        <w:rPr>
          <w:lang w:val="en-GB"/>
        </w:rPr>
        <w:t xml:space="preserve"> As discussed, these two factors can cancel each other out and the objective of the study was set to understand the </w:t>
      </w:r>
      <w:r w:rsidR="00922B84">
        <w:rPr>
          <w:lang w:val="en-GB"/>
        </w:rPr>
        <w:t xml:space="preserve">predominant </w:t>
      </w:r>
      <w:r w:rsidR="002267E6">
        <w:rPr>
          <w:lang w:val="en-GB"/>
        </w:rPr>
        <w:t>factor. The statistical analysis show</w:t>
      </w:r>
      <w:r w:rsidR="00922B84">
        <w:rPr>
          <w:lang w:val="en-GB"/>
        </w:rPr>
        <w:t>ed</w:t>
      </w:r>
      <w:r w:rsidR="002267E6">
        <w:rPr>
          <w:lang w:val="en-GB"/>
        </w:rPr>
        <w:t xml:space="preserve"> that the capacity is </w:t>
      </w:r>
      <w:r w:rsidR="00922B84">
        <w:rPr>
          <w:lang w:val="en-GB"/>
        </w:rPr>
        <w:t xml:space="preserve">a </w:t>
      </w:r>
      <w:r w:rsidR="002267E6">
        <w:rPr>
          <w:lang w:val="en-GB"/>
        </w:rPr>
        <w:t xml:space="preserve">more </w:t>
      </w:r>
      <w:r w:rsidR="00A02353">
        <w:rPr>
          <w:lang w:val="en-GB"/>
        </w:rPr>
        <w:t>influencing</w:t>
      </w:r>
      <w:r w:rsidR="002267E6">
        <w:rPr>
          <w:lang w:val="en-GB"/>
        </w:rPr>
        <w:t xml:space="preserve"> factor. </w:t>
      </w:r>
      <w:r w:rsidR="008C2C62">
        <w:rPr>
          <w:lang w:val="en-GB"/>
        </w:rPr>
        <w:t>The study insights could guide predictive maintenance schedules, enabling timely interventions and informing actionable strategies to enhance the safety and reliability of energy storage systems in real-world applications.</w:t>
      </w:r>
    </w:p>
    <w:p w14:paraId="07A6D20F" w14:textId="0ECF229E"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25D52BD8" w14:textId="3CE0F3D5" w:rsidR="00280FAF" w:rsidRPr="00280FAF" w:rsidRDefault="00D812BF" w:rsidP="00280FAF">
      <w:pPr>
        <w:pStyle w:val="CETBodytext"/>
        <w:jc w:val="left"/>
        <w:rPr>
          <w:rFonts w:eastAsia="SimSun"/>
        </w:rPr>
      </w:pPr>
      <m:oMath>
        <m:r>
          <w:rPr>
            <w:rFonts w:ascii="Cambria Math" w:hAnsi="Cambria Math"/>
            <w:lang w:bidi="fa-IR"/>
          </w:rPr>
          <m:t>ρ</m:t>
        </m:r>
      </m:oMath>
      <w:r w:rsidR="00280FAF" w:rsidRPr="00280FAF">
        <w:rPr>
          <w:rFonts w:eastAsia="SimSun"/>
        </w:rPr>
        <w:t xml:space="preserve"> – </w:t>
      </w:r>
      <w:r>
        <w:rPr>
          <w:rFonts w:eastAsia="SimSun"/>
        </w:rPr>
        <w:t>density</w:t>
      </w:r>
      <w:r w:rsidR="00280FAF" w:rsidRPr="00280FAF">
        <w:rPr>
          <w:rFonts w:eastAsia="SimSun"/>
        </w:rPr>
        <w:t xml:space="preserve">, </w:t>
      </w:r>
      <w:r>
        <w:rPr>
          <w:rFonts w:eastAsia="SimSun"/>
        </w:rPr>
        <w:t>kg/m</w:t>
      </w:r>
      <w:r w:rsidRPr="00D812BF">
        <w:rPr>
          <w:rFonts w:eastAsia="SimSun"/>
          <w:vertAlign w:val="superscript"/>
        </w:rPr>
        <w:t>3</w:t>
      </w:r>
    </w:p>
    <w:p w14:paraId="7DFFBF41" w14:textId="77777777" w:rsidR="00280FAF" w:rsidRPr="00280FAF" w:rsidRDefault="00280FAF" w:rsidP="00280FAF">
      <w:pPr>
        <w:pStyle w:val="CETBodytext"/>
        <w:jc w:val="left"/>
        <w:rPr>
          <w:rFonts w:eastAsia="SimSun"/>
        </w:rPr>
        <w:sectPr w:rsidR="00280FAF" w:rsidRPr="00280FAF" w:rsidSect="00DC73EE">
          <w:type w:val="continuous"/>
          <w:pgSz w:w="11906" w:h="16838" w:code="9"/>
          <w:pgMar w:top="1701" w:right="1418" w:bottom="1701" w:left="1701" w:header="1701" w:footer="0" w:gutter="0"/>
          <w:cols w:space="708"/>
          <w:formProt w:val="0"/>
          <w:titlePg/>
          <w:docGrid w:linePitch="360"/>
        </w:sectPr>
      </w:pPr>
    </w:p>
    <w:p w14:paraId="57590CE2" w14:textId="78BDBC63" w:rsidR="00280FAF" w:rsidRPr="00280FAF" w:rsidRDefault="008C2C62" w:rsidP="00280FAF">
      <w:pPr>
        <w:pStyle w:val="CETBodytext"/>
        <w:jc w:val="left"/>
        <w:rPr>
          <w:rFonts w:eastAsia="SimSun"/>
        </w:rPr>
      </w:pPr>
      <m:oMath>
        <m:sSub>
          <m:sSubPr>
            <m:ctrlPr>
              <w:rPr>
                <w:rFonts w:ascii="Cambria Math" w:hAnsi="Cambria Math"/>
                <w:lang w:bidi="fa-IR"/>
              </w:rPr>
            </m:ctrlPr>
          </m:sSubPr>
          <m:e>
            <m:r>
              <w:rPr>
                <w:rFonts w:ascii="Cambria Math" w:hAnsi="Cambria Math"/>
                <w:lang w:bidi="fa-IR"/>
              </w:rPr>
              <m:t>c</m:t>
            </m:r>
          </m:e>
          <m:sub>
            <m:r>
              <w:rPr>
                <w:rFonts w:ascii="Cambria Math" w:hAnsi="Cambria Math"/>
                <w:lang w:bidi="fa-IR"/>
              </w:rPr>
              <m:t>p</m:t>
            </m:r>
          </m:sub>
        </m:sSub>
      </m:oMath>
      <w:r w:rsidR="00280FAF" w:rsidRPr="00280FAF">
        <w:rPr>
          <w:rFonts w:eastAsia="SimSun"/>
        </w:rPr>
        <w:t xml:space="preserve"> – </w:t>
      </w:r>
      <w:r w:rsidR="00D812BF">
        <w:rPr>
          <w:rFonts w:eastAsia="SimSun"/>
        </w:rPr>
        <w:t xml:space="preserve">specific heat capacity, </w:t>
      </w:r>
      <w:r w:rsidR="009853EC" w:rsidRPr="009853EC">
        <w:rPr>
          <w:rFonts w:eastAsia="SimSun"/>
        </w:rPr>
        <w:t>J/kg*K</w:t>
      </w:r>
    </w:p>
    <w:p w14:paraId="0E502614" w14:textId="00674D28" w:rsidR="00280FAF" w:rsidRPr="00280FAF" w:rsidRDefault="00D812BF" w:rsidP="00280FAF">
      <w:pPr>
        <w:pStyle w:val="CETBodytext"/>
        <w:jc w:val="left"/>
        <w:rPr>
          <w:rFonts w:eastAsia="SimSun"/>
        </w:rPr>
      </w:pPr>
      <m:oMath>
        <m:r>
          <w:rPr>
            <w:rFonts w:ascii="Cambria Math" w:hAnsi="Cambria Math"/>
            <w:lang w:bidi="fa-IR"/>
          </w:rPr>
          <m:t>T</m:t>
        </m:r>
      </m:oMath>
      <w:r w:rsidR="00280FAF" w:rsidRPr="00280FAF">
        <w:rPr>
          <w:rFonts w:eastAsia="SimSun"/>
        </w:rPr>
        <w:t xml:space="preserve"> – </w:t>
      </w:r>
      <w:r w:rsidR="009853EC">
        <w:rPr>
          <w:rFonts w:eastAsia="SimSun"/>
        </w:rPr>
        <w:t>temperature</w:t>
      </w:r>
      <w:r w:rsidR="00280FAF" w:rsidRPr="00280FAF">
        <w:rPr>
          <w:rFonts w:eastAsia="SimSun"/>
        </w:rPr>
        <w:t xml:space="preserve">, </w:t>
      </w:r>
      <w:r w:rsidR="009853EC">
        <w:rPr>
          <w:rFonts w:eastAsia="SimSun"/>
        </w:rPr>
        <w:t xml:space="preserve">K or </w:t>
      </w:r>
      <w:r w:rsidR="009853EC">
        <w:rPr>
          <w:rFonts w:eastAsia="SimSun" w:cs="Arial"/>
        </w:rPr>
        <w:t>⁰</w:t>
      </w:r>
      <w:r w:rsidR="009853EC">
        <w:rPr>
          <w:rFonts w:eastAsia="SimSun"/>
        </w:rPr>
        <w:t>C</w:t>
      </w:r>
    </w:p>
    <w:p w14:paraId="33D176ED" w14:textId="00B52143" w:rsidR="00280FAF" w:rsidRPr="00280FAF" w:rsidRDefault="009853EC" w:rsidP="00280FAF">
      <w:pPr>
        <w:pStyle w:val="CETBodytext"/>
        <w:jc w:val="left"/>
        <w:rPr>
          <w:rFonts w:eastAsia="SimSun"/>
        </w:rPr>
      </w:pPr>
      <w:r>
        <w:rPr>
          <w:rFonts w:eastAsia="SimSun"/>
        </w:rPr>
        <w:t>k</w:t>
      </w:r>
      <w:r w:rsidR="00280FAF" w:rsidRPr="00280FAF">
        <w:rPr>
          <w:rFonts w:eastAsia="SimSun"/>
        </w:rPr>
        <w:t xml:space="preserve"> – </w:t>
      </w:r>
      <w:r w:rsidRPr="009853EC">
        <w:rPr>
          <w:rFonts w:eastAsia="SimSun"/>
          <w:lang w:val="en-GB"/>
        </w:rPr>
        <w:t>Thermal conductivity</w:t>
      </w:r>
      <w:r>
        <w:rPr>
          <w:rFonts w:eastAsia="SimSun"/>
          <w:lang w:val="en-GB"/>
        </w:rPr>
        <w:t xml:space="preserve">, </w:t>
      </w:r>
      <w:r w:rsidRPr="009853EC">
        <w:rPr>
          <w:rFonts w:eastAsia="SimSun"/>
          <w:lang w:val="en-GB"/>
        </w:rPr>
        <w:t>W/m*K</w:t>
      </w:r>
    </w:p>
    <w:p w14:paraId="05CC3BA4" w14:textId="0674E34D" w:rsidR="00280FAF" w:rsidRPr="00280FAF" w:rsidRDefault="009853EC" w:rsidP="00280FAF">
      <w:pPr>
        <w:pStyle w:val="CETBodytext"/>
        <w:jc w:val="left"/>
        <w:rPr>
          <w:rFonts w:eastAsia="SimSun"/>
        </w:rPr>
      </w:pPr>
      <w:r>
        <w:rPr>
          <w:rFonts w:eastAsia="SimSun"/>
        </w:rPr>
        <w:t>t</w:t>
      </w:r>
      <w:r w:rsidR="00280FAF" w:rsidRPr="00280FAF">
        <w:rPr>
          <w:rFonts w:eastAsia="SimSun"/>
        </w:rPr>
        <w:t xml:space="preserve"> – </w:t>
      </w:r>
      <w:r>
        <w:rPr>
          <w:rFonts w:eastAsia="SimSun"/>
        </w:rPr>
        <w:t>time</w:t>
      </w:r>
      <w:r w:rsidR="00280FAF" w:rsidRPr="00280FAF">
        <w:rPr>
          <w:rFonts w:eastAsia="SimSun"/>
        </w:rPr>
        <w:t xml:space="preserve">, </w:t>
      </w:r>
      <w:r>
        <w:rPr>
          <w:rFonts w:eastAsia="SimSun"/>
        </w:rPr>
        <w:t>s</w:t>
      </w:r>
    </w:p>
    <w:p w14:paraId="0718B861" w14:textId="43477836" w:rsidR="00280FAF" w:rsidRPr="00280FAF" w:rsidRDefault="009853EC" w:rsidP="00280FAF">
      <w:pPr>
        <w:pStyle w:val="CETBodytext"/>
        <w:jc w:val="left"/>
        <w:rPr>
          <w:rFonts w:eastAsia="SimSun"/>
        </w:rPr>
      </w:pPr>
      <w:r>
        <w:rPr>
          <w:rFonts w:eastAsia="SimSun"/>
        </w:rPr>
        <w:t>S</w:t>
      </w:r>
      <w:r w:rsidRPr="009853EC">
        <w:rPr>
          <w:rFonts w:eastAsia="SimSun"/>
          <w:vertAlign w:val="subscript"/>
        </w:rPr>
        <w:t>i</w:t>
      </w:r>
      <w:r w:rsidR="00280FAF" w:rsidRPr="00280FAF">
        <w:rPr>
          <w:rFonts w:eastAsia="SimSun"/>
        </w:rPr>
        <w:t xml:space="preserve"> – </w:t>
      </w:r>
      <w:r>
        <w:rPr>
          <w:rFonts w:eastAsia="SimSun"/>
        </w:rPr>
        <w:t>heat generated by ith side reaction</w:t>
      </w:r>
      <w:r w:rsidR="00280FAF" w:rsidRPr="00280FAF">
        <w:rPr>
          <w:rFonts w:eastAsia="SimSun"/>
        </w:rPr>
        <w:t xml:space="preserve">, </w:t>
      </w:r>
      <w:r w:rsidRPr="009853EC">
        <w:rPr>
          <w:rFonts w:eastAsia="SimSun"/>
          <w:lang w:val="en-GB"/>
        </w:rPr>
        <w:t>W/m</w:t>
      </w:r>
      <w:r w:rsidRPr="009853EC">
        <w:rPr>
          <w:rFonts w:eastAsia="SimSun"/>
          <w:vertAlign w:val="superscript"/>
          <w:lang w:val="en-GB"/>
        </w:rPr>
        <w:t>3</w:t>
      </w:r>
    </w:p>
    <w:p w14:paraId="5A6624BF" w14:textId="5F2973A5" w:rsidR="00280FAF" w:rsidRPr="00280FAF" w:rsidRDefault="009853EC" w:rsidP="00280FAF">
      <w:pPr>
        <w:pStyle w:val="CETBodytext"/>
        <w:jc w:val="left"/>
        <w:rPr>
          <w:rFonts w:eastAsia="SimSun"/>
        </w:rPr>
      </w:pPr>
      <w:r>
        <w:rPr>
          <w:rFonts w:eastAsia="SimSun"/>
        </w:rPr>
        <w:t>L</w:t>
      </w:r>
      <w:r w:rsidR="00A9477C" w:rsidRPr="00A9477C">
        <w:rPr>
          <w:rFonts w:eastAsia="SimSun"/>
          <w:vertAlign w:val="subscript"/>
        </w:rPr>
        <w:t>i</w:t>
      </w:r>
      <w:r w:rsidR="00280FAF" w:rsidRPr="00280FAF">
        <w:rPr>
          <w:rFonts w:eastAsia="SimSun"/>
        </w:rPr>
        <w:t xml:space="preserve"> – </w:t>
      </w:r>
      <w:r>
        <w:rPr>
          <w:rFonts w:eastAsia="SimSun"/>
        </w:rPr>
        <w:t>thickness</w:t>
      </w:r>
      <w:r w:rsidR="00A9477C">
        <w:rPr>
          <w:rFonts w:eastAsia="SimSun"/>
        </w:rPr>
        <w:t xml:space="preserve"> of ith part</w:t>
      </w:r>
      <w:r w:rsidR="00280FAF" w:rsidRPr="00280FAF">
        <w:rPr>
          <w:rFonts w:eastAsia="SimSun"/>
        </w:rPr>
        <w:t>, m</w:t>
      </w:r>
    </w:p>
    <w:p w14:paraId="74B17A62" w14:textId="7D82DFF6" w:rsidR="009853EC" w:rsidRDefault="009853EC" w:rsidP="00280FAF">
      <w:pPr>
        <w:pStyle w:val="CETBodytext"/>
        <w:jc w:val="left"/>
        <w:rPr>
          <w:rFonts w:eastAsia="SimSun"/>
          <w:lang w:val="en-GB"/>
        </w:rPr>
      </w:pPr>
      <w:r>
        <w:rPr>
          <w:rFonts w:eastAsia="SimSun"/>
          <w:lang w:val="en-GB"/>
        </w:rPr>
        <w:t>c</w:t>
      </w:r>
      <w:r w:rsidRPr="009853EC">
        <w:rPr>
          <w:rFonts w:eastAsia="SimSun"/>
          <w:vertAlign w:val="subscript"/>
          <w:lang w:val="en-GB"/>
        </w:rPr>
        <w:t>i</w:t>
      </w:r>
      <w:r>
        <w:rPr>
          <w:rFonts w:eastAsia="SimSun"/>
          <w:lang w:val="en-GB"/>
        </w:rPr>
        <w:t xml:space="preserve"> - d</w:t>
      </w:r>
      <w:r w:rsidRPr="009853EC">
        <w:rPr>
          <w:rFonts w:eastAsia="SimSun"/>
          <w:lang w:val="en-GB"/>
        </w:rPr>
        <w:t xml:space="preserve">imensionless concentration </w:t>
      </w:r>
    </w:p>
    <w:p w14:paraId="63AB7028" w14:textId="2AE219FE" w:rsidR="00280FAF" w:rsidRPr="00280FAF" w:rsidRDefault="009853EC" w:rsidP="00280FAF">
      <w:pPr>
        <w:pStyle w:val="CETBodytext"/>
        <w:jc w:val="left"/>
        <w:rPr>
          <w:rFonts w:eastAsia="SimSun"/>
        </w:rPr>
      </w:pPr>
      <w:r w:rsidRPr="009853EC">
        <w:rPr>
          <w:rFonts w:eastAsia="SimSun"/>
          <w:lang w:val="en-GB"/>
        </w:rPr>
        <w:t>R</w:t>
      </w:r>
      <w:r w:rsidRPr="009853EC">
        <w:rPr>
          <w:rFonts w:eastAsia="SimSun"/>
          <w:vertAlign w:val="subscript"/>
          <w:lang w:val="en-GB"/>
        </w:rPr>
        <w:t>i</w:t>
      </w:r>
      <w:r>
        <w:rPr>
          <w:rFonts w:eastAsia="SimSun"/>
          <w:lang w:val="en-GB"/>
        </w:rPr>
        <w:t xml:space="preserve"> - </w:t>
      </w:r>
      <w:r w:rsidRPr="009853EC">
        <w:rPr>
          <w:rFonts w:eastAsia="SimSun"/>
          <w:lang w:val="en-GB"/>
        </w:rPr>
        <w:t>reaction rate for the ith side reaction, s</w:t>
      </w:r>
      <w:r w:rsidRPr="009853EC">
        <w:rPr>
          <w:rFonts w:eastAsia="SimSun"/>
          <w:vertAlign w:val="superscript"/>
          <w:lang w:val="en-GB"/>
        </w:rPr>
        <w:t>-1</w:t>
      </w:r>
    </w:p>
    <w:p w14:paraId="42FAA691" w14:textId="0D59EDD2" w:rsidR="00280FAF" w:rsidRPr="00280FAF" w:rsidRDefault="009853EC" w:rsidP="00280FAF">
      <w:pPr>
        <w:pStyle w:val="CETBodytext"/>
        <w:jc w:val="left"/>
        <w:rPr>
          <w:rFonts w:eastAsia="SimSun"/>
        </w:rPr>
      </w:pPr>
      <w:r w:rsidRPr="009853EC">
        <w:rPr>
          <w:rFonts w:eastAsia="SimSun"/>
          <w:lang w:val="en-GB"/>
        </w:rPr>
        <w:t>W</w:t>
      </w:r>
      <w:r w:rsidRPr="009853EC">
        <w:rPr>
          <w:rFonts w:eastAsia="SimSun"/>
          <w:vertAlign w:val="subscript"/>
          <w:lang w:val="en-GB"/>
        </w:rPr>
        <w:t>i</w:t>
      </w:r>
      <w:r>
        <w:rPr>
          <w:rFonts w:eastAsia="SimSun"/>
          <w:lang w:val="en-GB"/>
        </w:rPr>
        <w:t xml:space="preserve"> - </w:t>
      </w:r>
      <w:r w:rsidRPr="009853EC">
        <w:rPr>
          <w:rFonts w:eastAsia="SimSun"/>
          <w:lang w:val="en-GB"/>
        </w:rPr>
        <w:t>specific active substance content of the ith side reaction, kg/m</w:t>
      </w:r>
      <w:r w:rsidRPr="009853EC">
        <w:rPr>
          <w:rFonts w:eastAsia="SimSun"/>
          <w:vertAlign w:val="superscript"/>
          <w:lang w:val="en-GB"/>
        </w:rPr>
        <w:t>3</w:t>
      </w:r>
    </w:p>
    <w:p w14:paraId="24D4E211" w14:textId="144A71DC" w:rsidR="00280FAF" w:rsidRPr="00280FAF" w:rsidRDefault="009853EC" w:rsidP="00280FAF">
      <w:pPr>
        <w:pStyle w:val="CETBodytext"/>
        <w:jc w:val="left"/>
        <w:rPr>
          <w:rFonts w:eastAsia="SimSun"/>
        </w:rPr>
      </w:pPr>
      <w:r w:rsidRPr="009853EC">
        <w:rPr>
          <w:rFonts w:eastAsia="SimSun"/>
          <w:lang w:val="en-GB"/>
        </w:rPr>
        <w:t>A</w:t>
      </w:r>
      <w:r w:rsidRPr="009853EC">
        <w:rPr>
          <w:rFonts w:eastAsia="SimSun"/>
          <w:vertAlign w:val="subscript"/>
          <w:lang w:val="en-GB"/>
        </w:rPr>
        <w:t>i</w:t>
      </w:r>
      <w:r w:rsidRPr="009853EC">
        <w:rPr>
          <w:rFonts w:eastAsia="SimSun"/>
          <w:lang w:val="en-GB"/>
        </w:rPr>
        <w:t xml:space="preserve"> </w:t>
      </w:r>
      <w:r>
        <w:rPr>
          <w:rFonts w:eastAsia="SimSun"/>
          <w:lang w:val="en-GB"/>
        </w:rPr>
        <w:t xml:space="preserve">– rate coefficient of ith side reaction, </w:t>
      </w:r>
      <w:r w:rsidRPr="009853EC">
        <w:rPr>
          <w:rFonts w:eastAsia="SimSun"/>
          <w:lang w:val="en-GB"/>
        </w:rPr>
        <w:t>s</w:t>
      </w:r>
      <w:r w:rsidRPr="009853EC">
        <w:rPr>
          <w:rFonts w:eastAsia="SimSun"/>
          <w:vertAlign w:val="superscript"/>
          <w:lang w:val="en-GB"/>
        </w:rPr>
        <w:t>−1</w:t>
      </w:r>
      <w:r w:rsidRPr="009853EC">
        <w:rPr>
          <w:rFonts w:eastAsia="SimSun"/>
          <w:lang w:val="en-GB"/>
        </w:rPr>
        <w:t> </w:t>
      </w:r>
    </w:p>
    <w:p w14:paraId="490050EF" w14:textId="28748733" w:rsidR="009853EC" w:rsidRDefault="009853EC" w:rsidP="00280FAF">
      <w:pPr>
        <w:pStyle w:val="CETBodytext"/>
        <w:jc w:val="left"/>
        <w:rPr>
          <w:rFonts w:eastAsia="SimSun"/>
          <w:lang w:val="en-GB"/>
        </w:rPr>
      </w:pPr>
      <w:r w:rsidRPr="009853EC">
        <w:rPr>
          <w:rFonts w:eastAsia="SimSun"/>
          <w:lang w:val="en-GB"/>
        </w:rPr>
        <w:t>H</w:t>
      </w:r>
      <w:r w:rsidRPr="009853EC">
        <w:rPr>
          <w:rFonts w:eastAsia="SimSun"/>
          <w:vertAlign w:val="subscript"/>
          <w:lang w:val="en-GB"/>
        </w:rPr>
        <w:t>i</w:t>
      </w:r>
      <w:r>
        <w:rPr>
          <w:rFonts w:eastAsia="SimSun"/>
          <w:lang w:val="en-GB"/>
        </w:rPr>
        <w:t xml:space="preserve"> - </w:t>
      </w:r>
      <w:r w:rsidRPr="009853EC">
        <w:rPr>
          <w:rFonts w:eastAsia="SimSun"/>
          <w:lang w:val="en-GB"/>
        </w:rPr>
        <w:t xml:space="preserve">the reaction heat for the ith side reaction, J/kg </w:t>
      </w:r>
    </w:p>
    <w:p w14:paraId="6B0B5F2B" w14:textId="03447E62" w:rsidR="00280FAF" w:rsidRPr="00280FAF" w:rsidRDefault="009853EC" w:rsidP="00280FAF">
      <w:pPr>
        <w:pStyle w:val="CETBodytext"/>
        <w:jc w:val="left"/>
        <w:rPr>
          <w:rFonts w:eastAsia="SimSun"/>
        </w:rPr>
      </w:pPr>
      <w:r w:rsidRPr="009853EC">
        <w:rPr>
          <w:rFonts w:eastAsia="SimSun"/>
          <w:lang w:val="en-GB"/>
        </w:rPr>
        <w:t>E</w:t>
      </w:r>
      <w:r w:rsidRPr="009853EC">
        <w:rPr>
          <w:rFonts w:eastAsia="SimSun"/>
          <w:vertAlign w:val="subscript"/>
          <w:lang w:val="en-GB"/>
        </w:rPr>
        <w:t>a,i</w:t>
      </w:r>
      <w:r w:rsidRPr="009853EC">
        <w:rPr>
          <w:rFonts w:eastAsia="SimSun"/>
          <w:lang w:val="en-GB"/>
        </w:rPr>
        <w:t xml:space="preserve"> </w:t>
      </w:r>
      <w:r>
        <w:rPr>
          <w:rFonts w:eastAsia="SimSun"/>
          <w:lang w:val="en-GB"/>
        </w:rPr>
        <w:t xml:space="preserve">– activation energy of ith side reaction, </w:t>
      </w:r>
      <w:r w:rsidRPr="009853EC">
        <w:rPr>
          <w:rFonts w:eastAsia="SimSun"/>
          <w:lang w:val="en-GB"/>
        </w:rPr>
        <w:t>J/mol </w:t>
      </w:r>
    </w:p>
    <w:p w14:paraId="2E4EE6F7" w14:textId="15FD5D99" w:rsidR="00280FAF" w:rsidRPr="00280FAF" w:rsidRDefault="009853EC" w:rsidP="00280FAF">
      <w:pPr>
        <w:pStyle w:val="CETBodytext"/>
        <w:jc w:val="left"/>
        <w:rPr>
          <w:rFonts w:eastAsia="SimSun"/>
        </w:rPr>
      </w:pPr>
      <w:r w:rsidRPr="009853EC">
        <w:rPr>
          <w:rFonts w:eastAsia="SimSun"/>
          <w:lang w:val="en-GB"/>
        </w:rPr>
        <w:t xml:space="preserve">τ </w:t>
      </w:r>
      <w:r>
        <w:rPr>
          <w:rFonts w:eastAsia="SimSun"/>
          <w:lang w:val="en-GB"/>
        </w:rPr>
        <w:t xml:space="preserve">- </w:t>
      </w:r>
      <w:r w:rsidRPr="009853EC">
        <w:rPr>
          <w:rFonts w:eastAsia="SimSun"/>
          <w:lang w:val="en-GB"/>
        </w:rPr>
        <w:t>the diffusion time constant</w:t>
      </w:r>
      <w:r>
        <w:rPr>
          <w:rFonts w:eastAsia="SimSun"/>
          <w:lang w:val="en-GB"/>
        </w:rPr>
        <w:t xml:space="preserve">, </w:t>
      </w:r>
      <w:r w:rsidRPr="009853EC">
        <w:rPr>
          <w:rFonts w:eastAsia="SimSun"/>
          <w:lang w:val="en-GB"/>
        </w:rPr>
        <w:t>s</w:t>
      </w:r>
    </w:p>
    <w:p w14:paraId="23FF4C40" w14:textId="11155C73" w:rsidR="00280FAF" w:rsidRPr="00280FAF" w:rsidRDefault="009853EC" w:rsidP="00280FAF">
      <w:pPr>
        <w:pStyle w:val="CETBodytext"/>
        <w:jc w:val="left"/>
        <w:rPr>
          <w:rFonts w:eastAsia="SimSun"/>
        </w:rPr>
      </w:pPr>
      <w:r>
        <w:rPr>
          <w:rFonts w:eastAsia="SimSun" w:cs="Arial"/>
        </w:rPr>
        <w:t>I</w:t>
      </w:r>
      <w:r w:rsidR="00280FAF" w:rsidRPr="00280FAF">
        <w:rPr>
          <w:rFonts w:eastAsia="SimSun"/>
          <w:lang w:val="el-GR"/>
        </w:rPr>
        <w:t xml:space="preserve"> – </w:t>
      </w:r>
      <w:r>
        <w:rPr>
          <w:rFonts w:eastAsia="SimSun"/>
        </w:rPr>
        <w:t>current</w:t>
      </w:r>
      <w:r w:rsidR="00280FAF" w:rsidRPr="00280FAF">
        <w:rPr>
          <w:rFonts w:eastAsia="SimSun"/>
        </w:rPr>
        <w:t xml:space="preserve">, </w:t>
      </w:r>
      <w:r>
        <w:rPr>
          <w:rFonts w:eastAsia="SimSun"/>
        </w:rPr>
        <w:t>A</w:t>
      </w:r>
    </w:p>
    <w:p w14:paraId="141D07C6" w14:textId="7F2B4AF0" w:rsidR="00280FAF" w:rsidRPr="00280FAF" w:rsidRDefault="009853EC" w:rsidP="00280FAF">
      <w:pPr>
        <w:pStyle w:val="CETBodytext"/>
        <w:jc w:val="left"/>
        <w:rPr>
          <w:rFonts w:eastAsia="SimSun"/>
        </w:rPr>
      </w:pPr>
      <w:r>
        <w:rPr>
          <w:rFonts w:eastAsia="SimSun"/>
        </w:rPr>
        <w:t>Q</w:t>
      </w:r>
      <w:r w:rsidR="00280FAF" w:rsidRPr="00280FAF">
        <w:rPr>
          <w:rFonts w:eastAsia="SimSun"/>
          <w:lang w:val="el-GR"/>
        </w:rPr>
        <w:t xml:space="preserve"> </w:t>
      </w:r>
      <w:r w:rsidR="00280FAF" w:rsidRPr="00280FAF">
        <w:rPr>
          <w:rFonts w:eastAsia="SimSun"/>
        </w:rPr>
        <w:t xml:space="preserve">– </w:t>
      </w:r>
      <w:r>
        <w:rPr>
          <w:rFonts w:eastAsia="SimSun"/>
        </w:rPr>
        <w:t>cell capacity, Ah</w:t>
      </w:r>
    </w:p>
    <w:p w14:paraId="2DB97606" w14:textId="77777777" w:rsidR="009853EC" w:rsidRDefault="009853EC" w:rsidP="00280FAF">
      <w:pPr>
        <w:pStyle w:val="CETBodytext"/>
        <w:jc w:val="left"/>
        <w:rPr>
          <w:rFonts w:eastAsia="SimSun"/>
          <w:lang w:val="en-GB"/>
        </w:rPr>
      </w:pPr>
      <w:r>
        <w:rPr>
          <w:rFonts w:eastAsia="SimSun"/>
          <w:lang w:val="en-GB"/>
        </w:rPr>
        <w:t>J</w:t>
      </w:r>
      <w:r>
        <w:rPr>
          <w:rFonts w:eastAsia="SimSun"/>
          <w:vertAlign w:val="subscript"/>
          <w:lang w:val="en-GB"/>
        </w:rPr>
        <w:t xml:space="preserve"> - </w:t>
      </w:r>
      <w:r w:rsidRPr="009853EC">
        <w:rPr>
          <w:rFonts w:eastAsia="SimSun"/>
          <w:lang w:val="en-GB"/>
        </w:rPr>
        <w:t xml:space="preserve">dimensionless charge exchange current </w:t>
      </w:r>
    </w:p>
    <w:p w14:paraId="3E607CAC" w14:textId="77777777" w:rsidR="009853EC" w:rsidRDefault="009853EC" w:rsidP="00280FAF">
      <w:pPr>
        <w:pStyle w:val="CETBodytext"/>
        <w:jc w:val="left"/>
        <w:rPr>
          <w:rFonts w:eastAsia="SimSun" w:cs="Arial"/>
          <w:lang w:val="en-GB"/>
        </w:rPr>
      </w:pPr>
      <w:r w:rsidRPr="009853EC">
        <w:rPr>
          <w:rFonts w:eastAsia="SimSun"/>
          <w:lang w:val="en-GB"/>
        </w:rPr>
        <w:t>R</w:t>
      </w:r>
      <w:r w:rsidRPr="009853EC">
        <w:rPr>
          <w:rFonts w:eastAsia="SimSun"/>
          <w:vertAlign w:val="subscript"/>
          <w:lang w:val="en-GB"/>
        </w:rPr>
        <w:t xml:space="preserve">ohm </w:t>
      </w:r>
      <w:r>
        <w:rPr>
          <w:rFonts w:eastAsia="SimSun"/>
          <w:lang w:val="en-GB"/>
        </w:rPr>
        <w:t xml:space="preserve">- </w:t>
      </w:r>
      <w:r w:rsidRPr="009853EC">
        <w:rPr>
          <w:rFonts w:eastAsia="SimSun"/>
          <w:lang w:val="en-GB"/>
        </w:rPr>
        <w:t>ohmic resistance</w:t>
      </w:r>
      <w:r>
        <w:rPr>
          <w:rFonts w:eastAsia="SimSun"/>
          <w:lang w:val="en-GB"/>
        </w:rPr>
        <w:t>, m</w:t>
      </w:r>
      <w:r>
        <w:rPr>
          <w:rFonts w:eastAsia="SimSun" w:cs="Arial"/>
          <w:lang w:val="en-GB"/>
        </w:rPr>
        <w:t>Ω</w:t>
      </w:r>
    </w:p>
    <w:p w14:paraId="13235B09" w14:textId="77777777" w:rsidR="009853EC" w:rsidRDefault="009853EC" w:rsidP="00280FAF">
      <w:pPr>
        <w:pStyle w:val="CETBodytext"/>
        <w:jc w:val="left"/>
        <w:rPr>
          <w:rFonts w:eastAsia="SimSun" w:cs="Arial"/>
          <w:lang w:val="en-GB"/>
        </w:rPr>
      </w:pPr>
      <w:r>
        <w:rPr>
          <w:rFonts w:eastAsia="SimSun" w:cs="Arial"/>
          <w:lang w:val="en-GB"/>
        </w:rPr>
        <w:t>SOC – state-of-charge of the cell</w:t>
      </w:r>
    </w:p>
    <w:p w14:paraId="38BFE636" w14:textId="726D7713" w:rsidR="00977F7C" w:rsidRDefault="00977F7C" w:rsidP="00280FAF">
      <w:pPr>
        <w:pStyle w:val="CETBodytext"/>
        <w:jc w:val="left"/>
        <w:rPr>
          <w:rFonts w:eastAsia="SimSun" w:cs="Arial"/>
          <w:lang w:val="en-GB"/>
        </w:rPr>
      </w:pPr>
      <w:r>
        <w:rPr>
          <w:rFonts w:eastAsia="SimSun" w:cs="Arial"/>
          <w:lang w:val="en-GB"/>
        </w:rPr>
        <w:t>F – Faraday constant</w:t>
      </w:r>
    </w:p>
    <w:p w14:paraId="6C7E03B1" w14:textId="39348FA0" w:rsidR="000213B4" w:rsidRDefault="00A9477C" w:rsidP="00A9477C">
      <w:pPr>
        <w:pStyle w:val="CETBodytext"/>
        <w:jc w:val="left"/>
      </w:pPr>
      <w:r>
        <w:rPr>
          <w:rFonts w:cs="Arial"/>
        </w:rPr>
        <w:t xml:space="preserve">η </w:t>
      </w:r>
      <w:r w:rsidR="000213B4">
        <w:t xml:space="preserve">- </w:t>
      </w:r>
      <w:r>
        <w:t>O</w:t>
      </w:r>
      <w:r w:rsidR="000213B4" w:rsidRPr="007372EF">
        <w:t>verpotential</w:t>
      </w:r>
      <w:r w:rsidR="000213B4">
        <w:t>, V</w:t>
      </w:r>
    </w:p>
    <w:p w14:paraId="2A93F6A4" w14:textId="58C71760" w:rsidR="00A9477C" w:rsidRDefault="00A9477C" w:rsidP="00A9477C">
      <w:pPr>
        <w:pStyle w:val="CETBodytext"/>
        <w:jc w:val="left"/>
      </w:pPr>
      <w:r>
        <w:t>D</w:t>
      </w:r>
      <w:r w:rsidRPr="00A9477C">
        <w:t xml:space="preserve"> </w:t>
      </w:r>
      <w:r>
        <w:t>–</w:t>
      </w:r>
      <w:r w:rsidRPr="00A9477C">
        <w:t xml:space="preserve"> </w:t>
      </w:r>
      <w:r>
        <w:t>Diffusivity coefficient, m/s</w:t>
      </w:r>
    </w:p>
    <w:p w14:paraId="53E44C64" w14:textId="583E3948" w:rsidR="00A9477C" w:rsidRDefault="00A9477C" w:rsidP="00A9477C">
      <w:pPr>
        <w:pStyle w:val="CETBodytext"/>
        <w:jc w:val="left"/>
      </w:pPr>
      <w:r>
        <w:t>E</w:t>
      </w:r>
      <w:r w:rsidRPr="00A9477C">
        <w:rPr>
          <w:vertAlign w:val="subscript"/>
        </w:rPr>
        <w:t>cell</w:t>
      </w:r>
      <w:r>
        <w:t xml:space="preserve"> – Voltage of the cell, V</w:t>
      </w:r>
    </w:p>
    <w:p w14:paraId="4591C1B3" w14:textId="03C0D2B6" w:rsidR="00A9477C" w:rsidRPr="002B0421" w:rsidRDefault="00A9477C" w:rsidP="000213B4">
      <w:pPr>
        <w:pStyle w:val="CETBodytext"/>
        <w:jc w:val="left"/>
        <w:rPr>
          <w:rFonts w:eastAsia="SimSun" w:cs="Arial"/>
          <w:lang w:val="en-GB"/>
        </w:rPr>
        <w:sectPr w:rsidR="00A9477C" w:rsidRPr="002B0421" w:rsidSect="00DC73EE">
          <w:type w:val="continuous"/>
          <w:pgSz w:w="11906" w:h="16838" w:code="9"/>
          <w:pgMar w:top="1701" w:right="1418" w:bottom="1701" w:left="1701" w:header="1701" w:footer="0" w:gutter="0"/>
          <w:cols w:num="2" w:space="708"/>
          <w:formProt w:val="0"/>
          <w:titlePg/>
          <w:docGrid w:linePitch="360"/>
        </w:sectPr>
      </w:pPr>
    </w:p>
    <w:p w14:paraId="17841A00" w14:textId="77777777" w:rsidR="00EB15B9" w:rsidRPr="00B57B36" w:rsidRDefault="00EB15B9" w:rsidP="00EB15B9">
      <w:pPr>
        <w:pStyle w:val="CETAcknowledgementstitle"/>
      </w:pPr>
      <w:r w:rsidRPr="00B57B36">
        <w:t>Acknowledgments</w:t>
      </w:r>
    </w:p>
    <w:p w14:paraId="41E621BB" w14:textId="3F3DAC32" w:rsidR="00EB15B9" w:rsidRPr="00B57B36" w:rsidRDefault="00EB15B9" w:rsidP="00EB15B9">
      <w:pPr>
        <w:pStyle w:val="CETBodytext"/>
        <w:rPr>
          <w:lang w:val="en-GB"/>
        </w:rPr>
      </w:pPr>
      <w:r w:rsidRPr="004D4457">
        <w:rPr>
          <w:lang w:val="en-GB"/>
        </w:rPr>
        <w:t xml:space="preserve">The results of this work have been obtained </w:t>
      </w:r>
      <w:r>
        <w:rPr>
          <w:lang w:val="en-GB"/>
        </w:rPr>
        <w:t>with</w:t>
      </w:r>
      <w:r w:rsidRPr="004D4457">
        <w:rPr>
          <w:lang w:val="en-GB"/>
        </w:rPr>
        <w:t xml:space="preserve"> the financial support of the National Recovery and Resilience Plan (PNRR), Mission 4 Component 2 Investment 1.3, funded </w:t>
      </w:r>
      <w:r>
        <w:rPr>
          <w:lang w:val="en-GB"/>
        </w:rPr>
        <w:t>by</w:t>
      </w:r>
      <w:r w:rsidRPr="004D4457">
        <w:rPr>
          <w:lang w:val="en-GB"/>
        </w:rPr>
        <w:t xml:space="preserve"> the European Union - NextGenerationEU, Spoke 6 "Energy Storage" of the Extended Partnership (PE2) NEST - Network 4 Energy Sustainable Transition</w:t>
      </w:r>
      <w:r w:rsidRPr="00B57B36">
        <w:rPr>
          <w:lang w:val="en-GB"/>
        </w:rPr>
        <w:t>.</w:t>
      </w:r>
    </w:p>
    <w:p w14:paraId="4F1327F8" w14:textId="59CCEC5A" w:rsidR="00600535" w:rsidRPr="00B57B36" w:rsidRDefault="00600535" w:rsidP="00600535">
      <w:pPr>
        <w:pStyle w:val="CETReference"/>
      </w:pPr>
      <w:r w:rsidRPr="00B57B36">
        <w:t>References</w:t>
      </w:r>
    </w:p>
    <w:p w14:paraId="12882BD2" w14:textId="77777777" w:rsidR="00282435" w:rsidRDefault="00282435" w:rsidP="0069310B">
      <w:pPr>
        <w:pStyle w:val="CETReferencetext"/>
        <w:rPr>
          <w:lang w:val="en-US"/>
        </w:rPr>
      </w:pPr>
      <w:r w:rsidRPr="00E03DD7">
        <w:rPr>
          <w:lang w:val="en-US"/>
        </w:rPr>
        <w:t>Bubbico, R.; Greco, V.; Menale, C, 2018, Hazardous scenarios identification for Li-ion secondary batteries. Saf. Sci., 108, 72–88</w:t>
      </w:r>
      <w:r>
        <w:rPr>
          <w:lang w:val="en-US"/>
        </w:rPr>
        <w:t>.</w:t>
      </w:r>
    </w:p>
    <w:p w14:paraId="4B2465FE" w14:textId="77777777" w:rsidR="009C6350" w:rsidRPr="00E03DD7" w:rsidRDefault="009C6350" w:rsidP="009C6350">
      <w:pPr>
        <w:pStyle w:val="CETReferencetext"/>
      </w:pPr>
      <w:r w:rsidRPr="00E03DD7">
        <w:t>Cianciullo M., Vilardi G., Mazzarotta B., Bubbico R., 2022, Simulation of the Thermal Runaway Onset in Li-Ion Cells—Influence of Cathode Materials and Operating Conditions, Energies, 15, 4169.</w:t>
      </w:r>
    </w:p>
    <w:p w14:paraId="0971CA63" w14:textId="55720720" w:rsidR="00CD5881" w:rsidRPr="0069310B" w:rsidRDefault="00CD5881" w:rsidP="0069310B">
      <w:pPr>
        <w:pStyle w:val="CETReferencetext"/>
      </w:pPr>
      <w:r w:rsidRPr="0069310B">
        <w:t>Dong, T., Peng, P., &amp; Jiang, F., 2018, Numerical modeling and analysis of the thermal behavior of NCM lithium-ion batteries subjected to very high C-rate discharge/charge operations. International journal of heat and mass transfer, 117, 261-272.</w:t>
      </w:r>
    </w:p>
    <w:p w14:paraId="5F078C45" w14:textId="77777777" w:rsidR="00CD5881" w:rsidRPr="0069310B" w:rsidRDefault="00CD5881" w:rsidP="0069310B">
      <w:pPr>
        <w:pStyle w:val="CETReferencetext"/>
      </w:pPr>
      <w:r w:rsidRPr="0069310B">
        <w:t>Doyle, M., Fuller, T. F., &amp; Newman, J., 1993, Modeling of galvanostatic charge and discharge of the lithium/polymer/insertion cell. Journal of the Electrochemical society, 140(6), 1526.</w:t>
      </w:r>
    </w:p>
    <w:p w14:paraId="3F9D2735" w14:textId="4F2DB34D" w:rsidR="00CD5881" w:rsidRPr="0069310B" w:rsidRDefault="00CD5881" w:rsidP="0069310B">
      <w:pPr>
        <w:pStyle w:val="CETReferencetext"/>
      </w:pPr>
      <w:r w:rsidRPr="0069310B">
        <w:t>Doyle, M., Newman, J., Gozdz, A. S., Schmutz, C. N., &amp; Tarascon, J. M., 1996, Comparison of modeling predictions with experimental data from plastic lithium ion cells. Journal of the Electrochemical Society, 143(6), 1890.</w:t>
      </w:r>
    </w:p>
    <w:p w14:paraId="28E8379D" w14:textId="734CB840" w:rsidR="00C52C3C" w:rsidRPr="0069310B" w:rsidRDefault="00CD5881" w:rsidP="0069310B">
      <w:pPr>
        <w:pStyle w:val="CETReferencetext"/>
      </w:pPr>
      <w:r w:rsidRPr="0069310B">
        <w:t>Ekström, H., Fridholm, B., &amp; Lindbergh, G., 2018, Comparison of lumped diffusion models for voltage prediction of a lithium-ion battery cell during dynamic loads. Journal of Power Sources, 402, 296-300.</w:t>
      </w:r>
    </w:p>
    <w:p w14:paraId="6FAA4342" w14:textId="4CBC5C8F" w:rsidR="00C52C3C" w:rsidRPr="0069310B" w:rsidRDefault="00CD5881" w:rsidP="0069310B">
      <w:pPr>
        <w:pStyle w:val="CETReferencetext"/>
      </w:pPr>
      <w:r w:rsidRPr="0069310B">
        <w:t>Feng, X., Ouyang, M., Liu, X., Lu, L., Xia, Y., &amp; He, X. (2018). Thermal runaway mechanism of lithium ion battery for electric vehicles: A review. Energy storage materials, 10, 246-267.</w:t>
      </w:r>
    </w:p>
    <w:p w14:paraId="54EB08F4" w14:textId="0C8A2301" w:rsidR="00CD5881" w:rsidRPr="0069310B" w:rsidRDefault="00CD5881" w:rsidP="0069310B">
      <w:pPr>
        <w:pStyle w:val="CETReferencetext"/>
      </w:pPr>
      <w:r w:rsidRPr="0069310B">
        <w:t>Guo, M., Sikha, G., &amp; White, R. E., 2010, Single-particle model for a lithium-ion cell: Thermal behavior. Journal of The Electrochemical Society, 158(2), A122.</w:t>
      </w:r>
    </w:p>
    <w:p w14:paraId="49882788" w14:textId="5C51332D" w:rsidR="00CD5881" w:rsidRPr="0069310B" w:rsidRDefault="00CD5881" w:rsidP="0069310B">
      <w:pPr>
        <w:pStyle w:val="CETReferencetext"/>
      </w:pPr>
      <w:r w:rsidRPr="0069310B">
        <w:t>Guo, Q., Zhang, J., Zhou, C., Huang, Z., &amp; Han, D., 2023, Thermal runaway behaviors and kinetics of NCM lithium-ion batteries at different heat dissipation conditions. Journal of The Electrochemical Society, 170(8), 080507.</w:t>
      </w:r>
    </w:p>
    <w:p w14:paraId="71F809B0" w14:textId="3AC44A90" w:rsidR="00CD5881" w:rsidRPr="0069310B" w:rsidRDefault="00CD5881" w:rsidP="0069310B">
      <w:pPr>
        <w:pStyle w:val="CETReferencetext"/>
      </w:pPr>
      <w:r w:rsidRPr="0069310B">
        <w:t>Kim, G. H., Pesaran, A., &amp; Spotnitz, R. (2007). A three-dimensional thermal abuse model for lithium-ion cells. Journal of power sources, 170(2), 476-489.</w:t>
      </w:r>
    </w:p>
    <w:p w14:paraId="79B60161" w14:textId="77777777" w:rsidR="00F9714F" w:rsidRPr="00E03DD7" w:rsidRDefault="00F9714F" w:rsidP="00F9714F">
      <w:pPr>
        <w:pStyle w:val="CETReferencetext"/>
        <w:rPr>
          <w:lang w:val="en-US"/>
        </w:rPr>
      </w:pPr>
      <w:r w:rsidRPr="00E03DD7">
        <w:rPr>
          <w:lang w:val="en-US"/>
        </w:rPr>
        <w:t>Menale, C., D'Annibale, F., Mazzarotta, B., Bubbico, R. 2019, "Thermal management of lithium-ion batteries: An experimental investigation", Energy, vol. 182, pp. 57-71.</w:t>
      </w:r>
    </w:p>
    <w:p w14:paraId="214003D1" w14:textId="77777777" w:rsidR="00CD5881" w:rsidRPr="0069310B" w:rsidRDefault="00CD5881" w:rsidP="0069310B">
      <w:pPr>
        <w:pStyle w:val="CETReferencetext"/>
      </w:pPr>
      <w:r w:rsidRPr="0069310B">
        <w:t>Vetter, J., Novák, P., Wagner, M. R., Veit, C., Möller, K. C., Besenhard, J. O., ... &amp; Hammouche, A. (2005). Ageing mechanisms in lithium-ion batteries. Journal of power sources, 147(1-2), 269-281.</w:t>
      </w:r>
    </w:p>
    <w:p w14:paraId="079AFBD0" w14:textId="4412D346" w:rsidR="00CD5881" w:rsidRPr="0069310B" w:rsidRDefault="00CD5881" w:rsidP="0069310B">
      <w:pPr>
        <w:pStyle w:val="CETReferencetext"/>
      </w:pPr>
      <w:r w:rsidRPr="0069310B">
        <w:t>Wang, J., &amp; Azam, W., 2024, Natural resource scarcity, fossil fuel energy consumption, and total greenhouse gas emissions in top emitting countries. Geoscience Frontiers, 15(2), 101757.</w:t>
      </w:r>
    </w:p>
    <w:p w14:paraId="6E50F38A" w14:textId="329BDF1F" w:rsidR="002314B1" w:rsidRPr="0069310B" w:rsidRDefault="00CD5881" w:rsidP="0069310B">
      <w:pPr>
        <w:pStyle w:val="CETReferencetext"/>
      </w:pPr>
      <w:r w:rsidRPr="0069310B">
        <w:t>Wen, J., Yu, Y., &amp; Chen, C., 2012, A review on lithium-ion batteries safety issues: existing problems and possible solutions. Materials express, 2(3), 197-212.</w:t>
      </w:r>
    </w:p>
    <w:sectPr w:rsidR="002314B1" w:rsidRPr="0069310B"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B2E0A" w14:textId="77777777" w:rsidR="00D55FA5" w:rsidRDefault="00D55FA5" w:rsidP="004F5E36">
      <w:r>
        <w:separator/>
      </w:r>
    </w:p>
  </w:endnote>
  <w:endnote w:type="continuationSeparator" w:id="0">
    <w:p w14:paraId="78C86079" w14:textId="77777777" w:rsidR="00D55FA5" w:rsidRDefault="00D55FA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62C6" w14:textId="77777777" w:rsidR="00D55FA5" w:rsidRDefault="00D55FA5" w:rsidP="004F5E36">
      <w:r>
        <w:separator/>
      </w:r>
    </w:p>
  </w:footnote>
  <w:footnote w:type="continuationSeparator" w:id="0">
    <w:p w14:paraId="65D78EB0" w14:textId="77777777" w:rsidR="00D55FA5" w:rsidRDefault="00D55FA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E857EF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7C17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216346">
    <w:abstractNumId w:val="11"/>
  </w:num>
  <w:num w:numId="2" w16cid:durableId="611742195">
    <w:abstractNumId w:val="8"/>
  </w:num>
  <w:num w:numId="3" w16cid:durableId="1850951107">
    <w:abstractNumId w:val="3"/>
  </w:num>
  <w:num w:numId="4" w16cid:durableId="1359741387">
    <w:abstractNumId w:val="2"/>
  </w:num>
  <w:num w:numId="5" w16cid:durableId="169028876">
    <w:abstractNumId w:val="1"/>
  </w:num>
  <w:num w:numId="6" w16cid:durableId="1653563759">
    <w:abstractNumId w:val="0"/>
  </w:num>
  <w:num w:numId="7" w16cid:durableId="1231115004">
    <w:abstractNumId w:val="9"/>
  </w:num>
  <w:num w:numId="8" w16cid:durableId="1603302472">
    <w:abstractNumId w:val="7"/>
  </w:num>
  <w:num w:numId="9" w16cid:durableId="907109812">
    <w:abstractNumId w:val="6"/>
  </w:num>
  <w:num w:numId="10" w16cid:durableId="1046414374">
    <w:abstractNumId w:val="5"/>
  </w:num>
  <w:num w:numId="11" w16cid:durableId="2110007154">
    <w:abstractNumId w:val="4"/>
  </w:num>
  <w:num w:numId="12" w16cid:durableId="781456078">
    <w:abstractNumId w:val="19"/>
  </w:num>
  <w:num w:numId="13" w16cid:durableId="2023821704">
    <w:abstractNumId w:val="13"/>
  </w:num>
  <w:num w:numId="14" w16cid:durableId="1109082251">
    <w:abstractNumId w:val="20"/>
  </w:num>
  <w:num w:numId="15" w16cid:durableId="192429534">
    <w:abstractNumId w:val="22"/>
  </w:num>
  <w:num w:numId="16" w16cid:durableId="1612325006">
    <w:abstractNumId w:val="21"/>
  </w:num>
  <w:num w:numId="17" w16cid:durableId="1960183591">
    <w:abstractNumId w:val="12"/>
  </w:num>
  <w:num w:numId="18" w16cid:durableId="277759885">
    <w:abstractNumId w:val="13"/>
    <w:lvlOverride w:ilvl="0">
      <w:startOverride w:val="1"/>
    </w:lvlOverride>
  </w:num>
  <w:num w:numId="19" w16cid:durableId="1855149841">
    <w:abstractNumId w:val="18"/>
  </w:num>
  <w:num w:numId="20" w16cid:durableId="1211922679">
    <w:abstractNumId w:val="17"/>
  </w:num>
  <w:num w:numId="21" w16cid:durableId="1379432367">
    <w:abstractNumId w:val="15"/>
  </w:num>
  <w:num w:numId="22" w16cid:durableId="137429546">
    <w:abstractNumId w:val="14"/>
  </w:num>
  <w:num w:numId="23" w16cid:durableId="1487631359">
    <w:abstractNumId w:val="10"/>
  </w:num>
  <w:num w:numId="24" w16cid:durableId="1497645290">
    <w:abstractNumId w:val="23"/>
  </w:num>
  <w:num w:numId="25" w16cid:durableId="8652169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13B4"/>
    <w:rsid w:val="0003148D"/>
    <w:rsid w:val="00031EEC"/>
    <w:rsid w:val="00051566"/>
    <w:rsid w:val="000562A9"/>
    <w:rsid w:val="00062A9A"/>
    <w:rsid w:val="00065058"/>
    <w:rsid w:val="00086C39"/>
    <w:rsid w:val="000A03B2"/>
    <w:rsid w:val="000C2B7C"/>
    <w:rsid w:val="000D0268"/>
    <w:rsid w:val="000D16DE"/>
    <w:rsid w:val="000D34BE"/>
    <w:rsid w:val="000E0B3C"/>
    <w:rsid w:val="000E102F"/>
    <w:rsid w:val="000E36F1"/>
    <w:rsid w:val="000E3A73"/>
    <w:rsid w:val="000E414A"/>
    <w:rsid w:val="000E75FD"/>
    <w:rsid w:val="000F093C"/>
    <w:rsid w:val="000F3E3E"/>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55D54"/>
    <w:rsid w:val="00164CF9"/>
    <w:rsid w:val="0016668E"/>
    <w:rsid w:val="001667A6"/>
    <w:rsid w:val="0018171E"/>
    <w:rsid w:val="00184AD6"/>
    <w:rsid w:val="00185A5D"/>
    <w:rsid w:val="001A4AF7"/>
    <w:rsid w:val="001B0349"/>
    <w:rsid w:val="001B1E93"/>
    <w:rsid w:val="001B65C1"/>
    <w:rsid w:val="001C260F"/>
    <w:rsid w:val="001C5C3A"/>
    <w:rsid w:val="001C684B"/>
    <w:rsid w:val="001D0CFB"/>
    <w:rsid w:val="001D21AF"/>
    <w:rsid w:val="001D3D32"/>
    <w:rsid w:val="001D53FC"/>
    <w:rsid w:val="001F42A5"/>
    <w:rsid w:val="001F7B9D"/>
    <w:rsid w:val="00201C93"/>
    <w:rsid w:val="0020369E"/>
    <w:rsid w:val="002224B4"/>
    <w:rsid w:val="002267E6"/>
    <w:rsid w:val="002314B1"/>
    <w:rsid w:val="002447EF"/>
    <w:rsid w:val="00251550"/>
    <w:rsid w:val="00263B05"/>
    <w:rsid w:val="0027221A"/>
    <w:rsid w:val="00275B61"/>
    <w:rsid w:val="00280FAF"/>
    <w:rsid w:val="00282435"/>
    <w:rsid w:val="00282656"/>
    <w:rsid w:val="00296B83"/>
    <w:rsid w:val="002B0421"/>
    <w:rsid w:val="002B4015"/>
    <w:rsid w:val="002B6BE6"/>
    <w:rsid w:val="002B78CE"/>
    <w:rsid w:val="002C2FB6"/>
    <w:rsid w:val="002E5FA7"/>
    <w:rsid w:val="002F3309"/>
    <w:rsid w:val="003008CE"/>
    <w:rsid w:val="003009B7"/>
    <w:rsid w:val="00300E56"/>
    <w:rsid w:val="0030152C"/>
    <w:rsid w:val="00302CB1"/>
    <w:rsid w:val="0030469C"/>
    <w:rsid w:val="00304CE8"/>
    <w:rsid w:val="00321CA6"/>
    <w:rsid w:val="00323763"/>
    <w:rsid w:val="00323C5F"/>
    <w:rsid w:val="00334C09"/>
    <w:rsid w:val="00366A1D"/>
    <w:rsid w:val="003723D4"/>
    <w:rsid w:val="00381905"/>
    <w:rsid w:val="00384CC8"/>
    <w:rsid w:val="003871FD"/>
    <w:rsid w:val="003A03DA"/>
    <w:rsid w:val="003A1E30"/>
    <w:rsid w:val="003A2829"/>
    <w:rsid w:val="003A7D1C"/>
    <w:rsid w:val="003B304B"/>
    <w:rsid w:val="003B3146"/>
    <w:rsid w:val="003B49CD"/>
    <w:rsid w:val="003C29F6"/>
    <w:rsid w:val="003C72F0"/>
    <w:rsid w:val="003D1E02"/>
    <w:rsid w:val="003F015E"/>
    <w:rsid w:val="003F2AD7"/>
    <w:rsid w:val="00400414"/>
    <w:rsid w:val="0041446B"/>
    <w:rsid w:val="00424CF7"/>
    <w:rsid w:val="0044071E"/>
    <w:rsid w:val="0044329C"/>
    <w:rsid w:val="00453E24"/>
    <w:rsid w:val="00457456"/>
    <w:rsid w:val="004577FE"/>
    <w:rsid w:val="00457B9C"/>
    <w:rsid w:val="00461160"/>
    <w:rsid w:val="0046164A"/>
    <w:rsid w:val="004628D2"/>
    <w:rsid w:val="00462DCD"/>
    <w:rsid w:val="004648AD"/>
    <w:rsid w:val="004703A9"/>
    <w:rsid w:val="004760DE"/>
    <w:rsid w:val="004763D7"/>
    <w:rsid w:val="004A004E"/>
    <w:rsid w:val="004A24CF"/>
    <w:rsid w:val="004B10CB"/>
    <w:rsid w:val="004C3D1D"/>
    <w:rsid w:val="004C3D84"/>
    <w:rsid w:val="004C7913"/>
    <w:rsid w:val="004E4DD6"/>
    <w:rsid w:val="004F5E36"/>
    <w:rsid w:val="00507B47"/>
    <w:rsid w:val="00507BEF"/>
    <w:rsid w:val="00507CC9"/>
    <w:rsid w:val="005119A5"/>
    <w:rsid w:val="005278B7"/>
    <w:rsid w:val="005310EC"/>
    <w:rsid w:val="00532016"/>
    <w:rsid w:val="005346C8"/>
    <w:rsid w:val="00543E7D"/>
    <w:rsid w:val="00547A68"/>
    <w:rsid w:val="005531C9"/>
    <w:rsid w:val="00554879"/>
    <w:rsid w:val="0056128B"/>
    <w:rsid w:val="00570C43"/>
    <w:rsid w:val="005841ED"/>
    <w:rsid w:val="00592274"/>
    <w:rsid w:val="005B2110"/>
    <w:rsid w:val="005B350B"/>
    <w:rsid w:val="005B61E6"/>
    <w:rsid w:val="005C77E1"/>
    <w:rsid w:val="005D43B2"/>
    <w:rsid w:val="005D668A"/>
    <w:rsid w:val="005D6A2F"/>
    <w:rsid w:val="005E0592"/>
    <w:rsid w:val="005E1A82"/>
    <w:rsid w:val="005E794C"/>
    <w:rsid w:val="005F0A28"/>
    <w:rsid w:val="005F0E5E"/>
    <w:rsid w:val="00600535"/>
    <w:rsid w:val="00606FEA"/>
    <w:rsid w:val="00610CD6"/>
    <w:rsid w:val="00612DFF"/>
    <w:rsid w:val="0061601D"/>
    <w:rsid w:val="00620DEE"/>
    <w:rsid w:val="00621F92"/>
    <w:rsid w:val="0062280A"/>
    <w:rsid w:val="006231E1"/>
    <w:rsid w:val="00625639"/>
    <w:rsid w:val="00626342"/>
    <w:rsid w:val="00631B33"/>
    <w:rsid w:val="0064184D"/>
    <w:rsid w:val="006422CC"/>
    <w:rsid w:val="00651D18"/>
    <w:rsid w:val="00660E3E"/>
    <w:rsid w:val="00662E74"/>
    <w:rsid w:val="00680C23"/>
    <w:rsid w:val="00683E23"/>
    <w:rsid w:val="00685FE4"/>
    <w:rsid w:val="0069310B"/>
    <w:rsid w:val="00693766"/>
    <w:rsid w:val="00694B46"/>
    <w:rsid w:val="006A3281"/>
    <w:rsid w:val="006A6DE5"/>
    <w:rsid w:val="006B4888"/>
    <w:rsid w:val="006C2E45"/>
    <w:rsid w:val="006C359C"/>
    <w:rsid w:val="006C5579"/>
    <w:rsid w:val="006D6E8B"/>
    <w:rsid w:val="006D7209"/>
    <w:rsid w:val="006E737D"/>
    <w:rsid w:val="007045FD"/>
    <w:rsid w:val="00707DD1"/>
    <w:rsid w:val="00713973"/>
    <w:rsid w:val="00720A24"/>
    <w:rsid w:val="007232A4"/>
    <w:rsid w:val="00732386"/>
    <w:rsid w:val="00734C3D"/>
    <w:rsid w:val="0073514D"/>
    <w:rsid w:val="007372EF"/>
    <w:rsid w:val="00741C4F"/>
    <w:rsid w:val="007447F3"/>
    <w:rsid w:val="0075499F"/>
    <w:rsid w:val="007661C8"/>
    <w:rsid w:val="0077098D"/>
    <w:rsid w:val="00785BF9"/>
    <w:rsid w:val="007931FA"/>
    <w:rsid w:val="007A4861"/>
    <w:rsid w:val="007A7BBA"/>
    <w:rsid w:val="007B0C50"/>
    <w:rsid w:val="007B0FCB"/>
    <w:rsid w:val="007B48F9"/>
    <w:rsid w:val="007C1A43"/>
    <w:rsid w:val="007C26FD"/>
    <w:rsid w:val="007D0951"/>
    <w:rsid w:val="007D610D"/>
    <w:rsid w:val="0080013E"/>
    <w:rsid w:val="00801759"/>
    <w:rsid w:val="0080605D"/>
    <w:rsid w:val="00813288"/>
    <w:rsid w:val="008168FC"/>
    <w:rsid w:val="00830996"/>
    <w:rsid w:val="008345F1"/>
    <w:rsid w:val="00840124"/>
    <w:rsid w:val="00843D42"/>
    <w:rsid w:val="00865B07"/>
    <w:rsid w:val="008667EA"/>
    <w:rsid w:val="0087637F"/>
    <w:rsid w:val="00877401"/>
    <w:rsid w:val="00892AD5"/>
    <w:rsid w:val="008A1512"/>
    <w:rsid w:val="008C2C62"/>
    <w:rsid w:val="008D32B9"/>
    <w:rsid w:val="008D433B"/>
    <w:rsid w:val="008D4A16"/>
    <w:rsid w:val="008D7564"/>
    <w:rsid w:val="008E5401"/>
    <w:rsid w:val="008E566E"/>
    <w:rsid w:val="00900409"/>
    <w:rsid w:val="0090161A"/>
    <w:rsid w:val="00901EB6"/>
    <w:rsid w:val="009041F8"/>
    <w:rsid w:val="00904C62"/>
    <w:rsid w:val="00922B84"/>
    <w:rsid w:val="00922BA8"/>
    <w:rsid w:val="00924DAC"/>
    <w:rsid w:val="00927058"/>
    <w:rsid w:val="00942750"/>
    <w:rsid w:val="009450CE"/>
    <w:rsid w:val="009459BB"/>
    <w:rsid w:val="00947179"/>
    <w:rsid w:val="0095164B"/>
    <w:rsid w:val="009533C7"/>
    <w:rsid w:val="00954090"/>
    <w:rsid w:val="00956AC7"/>
    <w:rsid w:val="009573E7"/>
    <w:rsid w:val="0096170C"/>
    <w:rsid w:val="00963E05"/>
    <w:rsid w:val="00964A45"/>
    <w:rsid w:val="00967843"/>
    <w:rsid w:val="00967D54"/>
    <w:rsid w:val="00971028"/>
    <w:rsid w:val="00977F7C"/>
    <w:rsid w:val="009853EC"/>
    <w:rsid w:val="00993B84"/>
    <w:rsid w:val="00994C6A"/>
    <w:rsid w:val="00996483"/>
    <w:rsid w:val="00996F5A"/>
    <w:rsid w:val="009B041A"/>
    <w:rsid w:val="009B6E57"/>
    <w:rsid w:val="009C37C3"/>
    <w:rsid w:val="009C6350"/>
    <w:rsid w:val="009C7C86"/>
    <w:rsid w:val="009D2FF7"/>
    <w:rsid w:val="009D3F6C"/>
    <w:rsid w:val="009D6B8E"/>
    <w:rsid w:val="009E7884"/>
    <w:rsid w:val="009E788A"/>
    <w:rsid w:val="009F0E08"/>
    <w:rsid w:val="00A02353"/>
    <w:rsid w:val="00A079AE"/>
    <w:rsid w:val="00A1763D"/>
    <w:rsid w:val="00A17CEC"/>
    <w:rsid w:val="00A27EF0"/>
    <w:rsid w:val="00A42361"/>
    <w:rsid w:val="00A50B20"/>
    <w:rsid w:val="00A51390"/>
    <w:rsid w:val="00A60D13"/>
    <w:rsid w:val="00A7223D"/>
    <w:rsid w:val="00A72745"/>
    <w:rsid w:val="00A76EFC"/>
    <w:rsid w:val="00A830C3"/>
    <w:rsid w:val="00A87D50"/>
    <w:rsid w:val="00A91010"/>
    <w:rsid w:val="00A9477C"/>
    <w:rsid w:val="00A959D1"/>
    <w:rsid w:val="00A97F29"/>
    <w:rsid w:val="00AA702E"/>
    <w:rsid w:val="00AA7D26"/>
    <w:rsid w:val="00AB0964"/>
    <w:rsid w:val="00AB5011"/>
    <w:rsid w:val="00AC7368"/>
    <w:rsid w:val="00AD0869"/>
    <w:rsid w:val="00AD16B9"/>
    <w:rsid w:val="00AE377D"/>
    <w:rsid w:val="00AF0E52"/>
    <w:rsid w:val="00AF0EBA"/>
    <w:rsid w:val="00AF2463"/>
    <w:rsid w:val="00AF6608"/>
    <w:rsid w:val="00B003A6"/>
    <w:rsid w:val="00B02C8A"/>
    <w:rsid w:val="00B17FBD"/>
    <w:rsid w:val="00B315A6"/>
    <w:rsid w:val="00B31813"/>
    <w:rsid w:val="00B33365"/>
    <w:rsid w:val="00B57B36"/>
    <w:rsid w:val="00B57E6F"/>
    <w:rsid w:val="00B8686D"/>
    <w:rsid w:val="00B93F69"/>
    <w:rsid w:val="00BA7767"/>
    <w:rsid w:val="00BB1DDC"/>
    <w:rsid w:val="00BC30C9"/>
    <w:rsid w:val="00BD077D"/>
    <w:rsid w:val="00BD0C5E"/>
    <w:rsid w:val="00BE3E58"/>
    <w:rsid w:val="00BF13CE"/>
    <w:rsid w:val="00C01616"/>
    <w:rsid w:val="00C0162B"/>
    <w:rsid w:val="00C068ED"/>
    <w:rsid w:val="00C22E0C"/>
    <w:rsid w:val="00C31A83"/>
    <w:rsid w:val="00C345B1"/>
    <w:rsid w:val="00C40142"/>
    <w:rsid w:val="00C52C3C"/>
    <w:rsid w:val="00C57182"/>
    <w:rsid w:val="00C57863"/>
    <w:rsid w:val="00C640AF"/>
    <w:rsid w:val="00C655FD"/>
    <w:rsid w:val="00C75407"/>
    <w:rsid w:val="00C841C6"/>
    <w:rsid w:val="00C870A8"/>
    <w:rsid w:val="00C94434"/>
    <w:rsid w:val="00C9637A"/>
    <w:rsid w:val="00CA0D75"/>
    <w:rsid w:val="00CA1C95"/>
    <w:rsid w:val="00CA5A9C"/>
    <w:rsid w:val="00CC4C20"/>
    <w:rsid w:val="00CD26AB"/>
    <w:rsid w:val="00CD3517"/>
    <w:rsid w:val="00CD5881"/>
    <w:rsid w:val="00CD5FE2"/>
    <w:rsid w:val="00CE7C68"/>
    <w:rsid w:val="00D02B4C"/>
    <w:rsid w:val="00D040C4"/>
    <w:rsid w:val="00D2082D"/>
    <w:rsid w:val="00D20AD1"/>
    <w:rsid w:val="00D2582C"/>
    <w:rsid w:val="00D46B7E"/>
    <w:rsid w:val="00D55FA5"/>
    <w:rsid w:val="00D57C84"/>
    <w:rsid w:val="00D6057D"/>
    <w:rsid w:val="00D60AE4"/>
    <w:rsid w:val="00D71640"/>
    <w:rsid w:val="00D812BF"/>
    <w:rsid w:val="00D836C5"/>
    <w:rsid w:val="00D84576"/>
    <w:rsid w:val="00D9110C"/>
    <w:rsid w:val="00DA1399"/>
    <w:rsid w:val="00DA24C6"/>
    <w:rsid w:val="00DA4D7B"/>
    <w:rsid w:val="00DB46E0"/>
    <w:rsid w:val="00DC2840"/>
    <w:rsid w:val="00DC73EE"/>
    <w:rsid w:val="00DD271C"/>
    <w:rsid w:val="00DE264A"/>
    <w:rsid w:val="00DF5072"/>
    <w:rsid w:val="00E02D18"/>
    <w:rsid w:val="00E041E7"/>
    <w:rsid w:val="00E23CA1"/>
    <w:rsid w:val="00E409A8"/>
    <w:rsid w:val="00E50C12"/>
    <w:rsid w:val="00E54C3E"/>
    <w:rsid w:val="00E65B91"/>
    <w:rsid w:val="00E7209D"/>
    <w:rsid w:val="00E72EAD"/>
    <w:rsid w:val="00E77223"/>
    <w:rsid w:val="00E8528B"/>
    <w:rsid w:val="00E85B94"/>
    <w:rsid w:val="00E978D0"/>
    <w:rsid w:val="00EA4613"/>
    <w:rsid w:val="00EA7F91"/>
    <w:rsid w:val="00EB1523"/>
    <w:rsid w:val="00EB15B9"/>
    <w:rsid w:val="00EC0E49"/>
    <w:rsid w:val="00EC101F"/>
    <w:rsid w:val="00EC1D9F"/>
    <w:rsid w:val="00EE0131"/>
    <w:rsid w:val="00EE17B0"/>
    <w:rsid w:val="00EF06D9"/>
    <w:rsid w:val="00EF075D"/>
    <w:rsid w:val="00F025D6"/>
    <w:rsid w:val="00F3049E"/>
    <w:rsid w:val="00F30C64"/>
    <w:rsid w:val="00F32BA2"/>
    <w:rsid w:val="00F32CDB"/>
    <w:rsid w:val="00F41EE4"/>
    <w:rsid w:val="00F565FE"/>
    <w:rsid w:val="00F63A70"/>
    <w:rsid w:val="00F63D8C"/>
    <w:rsid w:val="00F7534E"/>
    <w:rsid w:val="00F87B2E"/>
    <w:rsid w:val="00F93EDF"/>
    <w:rsid w:val="00F9714F"/>
    <w:rsid w:val="00FA1802"/>
    <w:rsid w:val="00FA21D0"/>
    <w:rsid w:val="00FA5F5F"/>
    <w:rsid w:val="00FB4523"/>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741C4F"/>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table" w:styleId="PlainTable5">
    <w:name w:val="Plain Table 5"/>
    <w:basedOn w:val="TableNormal"/>
    <w:uiPriority w:val="45"/>
    <w:rsid w:val="002B6BE6"/>
    <w:pPr>
      <w:spacing w:after="0" w:line="240" w:lineRule="auto"/>
    </w:pPr>
    <w:rPr>
      <w:rFonts w:eastAsia="Times New Roman" w:cs="Times New Roman"/>
      <w:lang w:val="en-US"/>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TableGridLight">
    <w:name w:val="Grid Table Light"/>
    <w:basedOn w:val="TableNormal"/>
    <w:uiPriority w:val="40"/>
    <w:rsid w:val="00CD26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CD26A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5773">
      <w:bodyDiv w:val="1"/>
      <w:marLeft w:val="0"/>
      <w:marRight w:val="0"/>
      <w:marTop w:val="0"/>
      <w:marBottom w:val="0"/>
      <w:divBdr>
        <w:top w:val="none" w:sz="0" w:space="0" w:color="auto"/>
        <w:left w:val="none" w:sz="0" w:space="0" w:color="auto"/>
        <w:bottom w:val="none" w:sz="0" w:space="0" w:color="auto"/>
        <w:right w:val="none" w:sz="0" w:space="0" w:color="auto"/>
      </w:divBdr>
    </w:div>
    <w:div w:id="308635875">
      <w:bodyDiv w:val="1"/>
      <w:marLeft w:val="0"/>
      <w:marRight w:val="0"/>
      <w:marTop w:val="0"/>
      <w:marBottom w:val="0"/>
      <w:divBdr>
        <w:top w:val="none" w:sz="0" w:space="0" w:color="auto"/>
        <w:left w:val="none" w:sz="0" w:space="0" w:color="auto"/>
        <w:bottom w:val="none" w:sz="0" w:space="0" w:color="auto"/>
        <w:right w:val="none" w:sz="0" w:space="0" w:color="auto"/>
      </w:divBdr>
    </w:div>
    <w:div w:id="374085030">
      <w:bodyDiv w:val="1"/>
      <w:marLeft w:val="0"/>
      <w:marRight w:val="0"/>
      <w:marTop w:val="0"/>
      <w:marBottom w:val="0"/>
      <w:divBdr>
        <w:top w:val="none" w:sz="0" w:space="0" w:color="auto"/>
        <w:left w:val="none" w:sz="0" w:space="0" w:color="auto"/>
        <w:bottom w:val="none" w:sz="0" w:space="0" w:color="auto"/>
        <w:right w:val="none" w:sz="0" w:space="0" w:color="auto"/>
      </w:divBdr>
    </w:div>
    <w:div w:id="46150454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6205">
      <w:bodyDiv w:val="1"/>
      <w:marLeft w:val="0"/>
      <w:marRight w:val="0"/>
      <w:marTop w:val="0"/>
      <w:marBottom w:val="0"/>
      <w:divBdr>
        <w:top w:val="none" w:sz="0" w:space="0" w:color="auto"/>
        <w:left w:val="none" w:sz="0" w:space="0" w:color="auto"/>
        <w:bottom w:val="none" w:sz="0" w:space="0" w:color="auto"/>
        <w:right w:val="none" w:sz="0" w:space="0" w:color="auto"/>
      </w:divBdr>
    </w:div>
    <w:div w:id="80073299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3033">
      <w:bodyDiv w:val="1"/>
      <w:marLeft w:val="0"/>
      <w:marRight w:val="0"/>
      <w:marTop w:val="0"/>
      <w:marBottom w:val="0"/>
      <w:divBdr>
        <w:top w:val="none" w:sz="0" w:space="0" w:color="auto"/>
        <w:left w:val="none" w:sz="0" w:space="0" w:color="auto"/>
        <w:bottom w:val="none" w:sz="0" w:space="0" w:color="auto"/>
        <w:right w:val="none" w:sz="0" w:space="0" w:color="auto"/>
      </w:divBdr>
    </w:div>
    <w:div w:id="1055666476">
      <w:bodyDiv w:val="1"/>
      <w:marLeft w:val="0"/>
      <w:marRight w:val="0"/>
      <w:marTop w:val="0"/>
      <w:marBottom w:val="0"/>
      <w:divBdr>
        <w:top w:val="none" w:sz="0" w:space="0" w:color="auto"/>
        <w:left w:val="none" w:sz="0" w:space="0" w:color="auto"/>
        <w:bottom w:val="none" w:sz="0" w:space="0" w:color="auto"/>
        <w:right w:val="none" w:sz="0" w:space="0" w:color="auto"/>
      </w:divBdr>
    </w:div>
    <w:div w:id="1087967150">
      <w:bodyDiv w:val="1"/>
      <w:marLeft w:val="0"/>
      <w:marRight w:val="0"/>
      <w:marTop w:val="0"/>
      <w:marBottom w:val="0"/>
      <w:divBdr>
        <w:top w:val="none" w:sz="0" w:space="0" w:color="auto"/>
        <w:left w:val="none" w:sz="0" w:space="0" w:color="auto"/>
        <w:bottom w:val="none" w:sz="0" w:space="0" w:color="auto"/>
        <w:right w:val="none" w:sz="0" w:space="0" w:color="auto"/>
      </w:divBdr>
    </w:div>
    <w:div w:id="131965340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06150298">
      <w:bodyDiv w:val="1"/>
      <w:marLeft w:val="0"/>
      <w:marRight w:val="0"/>
      <w:marTop w:val="0"/>
      <w:marBottom w:val="0"/>
      <w:divBdr>
        <w:top w:val="none" w:sz="0" w:space="0" w:color="auto"/>
        <w:left w:val="none" w:sz="0" w:space="0" w:color="auto"/>
        <w:bottom w:val="none" w:sz="0" w:space="0" w:color="auto"/>
        <w:right w:val="none" w:sz="0" w:space="0" w:color="auto"/>
      </w:divBdr>
    </w:div>
    <w:div w:id="140779809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8473126">
      <w:bodyDiv w:val="1"/>
      <w:marLeft w:val="0"/>
      <w:marRight w:val="0"/>
      <w:marTop w:val="0"/>
      <w:marBottom w:val="0"/>
      <w:divBdr>
        <w:top w:val="none" w:sz="0" w:space="0" w:color="auto"/>
        <w:left w:val="none" w:sz="0" w:space="0" w:color="auto"/>
        <w:bottom w:val="none" w:sz="0" w:space="0" w:color="auto"/>
        <w:right w:val="none" w:sz="0" w:space="0" w:color="auto"/>
      </w:divBdr>
    </w:div>
    <w:div w:id="1573808341">
      <w:bodyDiv w:val="1"/>
      <w:marLeft w:val="0"/>
      <w:marRight w:val="0"/>
      <w:marTop w:val="0"/>
      <w:marBottom w:val="0"/>
      <w:divBdr>
        <w:top w:val="none" w:sz="0" w:space="0" w:color="auto"/>
        <w:left w:val="none" w:sz="0" w:space="0" w:color="auto"/>
        <w:bottom w:val="none" w:sz="0" w:space="0" w:color="auto"/>
        <w:right w:val="none" w:sz="0" w:space="0" w:color="auto"/>
      </w:divBdr>
    </w:div>
    <w:div w:id="158186532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73011977">
      <w:bodyDiv w:val="1"/>
      <w:marLeft w:val="0"/>
      <w:marRight w:val="0"/>
      <w:marTop w:val="0"/>
      <w:marBottom w:val="0"/>
      <w:divBdr>
        <w:top w:val="none" w:sz="0" w:space="0" w:color="auto"/>
        <w:left w:val="none" w:sz="0" w:space="0" w:color="auto"/>
        <w:bottom w:val="none" w:sz="0" w:space="0" w:color="auto"/>
        <w:right w:val="none" w:sz="0" w:space="0" w:color="auto"/>
      </w:divBdr>
    </w:div>
    <w:div w:id="1811509769">
      <w:bodyDiv w:val="1"/>
      <w:marLeft w:val="0"/>
      <w:marRight w:val="0"/>
      <w:marTop w:val="0"/>
      <w:marBottom w:val="0"/>
      <w:divBdr>
        <w:top w:val="none" w:sz="0" w:space="0" w:color="auto"/>
        <w:left w:val="none" w:sz="0" w:space="0" w:color="auto"/>
        <w:bottom w:val="none" w:sz="0" w:space="0" w:color="auto"/>
        <w:right w:val="none" w:sz="0" w:space="0" w:color="auto"/>
      </w:divBdr>
    </w:div>
    <w:div w:id="1865626785">
      <w:bodyDiv w:val="1"/>
      <w:marLeft w:val="0"/>
      <w:marRight w:val="0"/>
      <w:marTop w:val="0"/>
      <w:marBottom w:val="0"/>
      <w:divBdr>
        <w:top w:val="none" w:sz="0" w:space="0" w:color="auto"/>
        <w:left w:val="none" w:sz="0" w:space="0" w:color="auto"/>
        <w:bottom w:val="none" w:sz="0" w:space="0" w:color="auto"/>
        <w:right w:val="none" w:sz="0" w:space="0" w:color="auto"/>
      </w:divBdr>
    </w:div>
    <w:div w:id="1901549178">
      <w:bodyDiv w:val="1"/>
      <w:marLeft w:val="0"/>
      <w:marRight w:val="0"/>
      <w:marTop w:val="0"/>
      <w:marBottom w:val="0"/>
      <w:divBdr>
        <w:top w:val="none" w:sz="0" w:space="0" w:color="auto"/>
        <w:left w:val="none" w:sz="0" w:space="0" w:color="auto"/>
        <w:bottom w:val="none" w:sz="0" w:space="0" w:color="auto"/>
        <w:right w:val="none" w:sz="0" w:space="0" w:color="auto"/>
      </w:divBdr>
    </w:div>
    <w:div w:id="1982076096">
      <w:bodyDiv w:val="1"/>
      <w:marLeft w:val="0"/>
      <w:marRight w:val="0"/>
      <w:marTop w:val="0"/>
      <w:marBottom w:val="0"/>
      <w:divBdr>
        <w:top w:val="none" w:sz="0" w:space="0" w:color="auto"/>
        <w:left w:val="none" w:sz="0" w:space="0" w:color="auto"/>
        <w:bottom w:val="none" w:sz="0" w:space="0" w:color="auto"/>
        <w:right w:val="none" w:sz="0" w:space="0" w:color="auto"/>
      </w:divBdr>
    </w:div>
    <w:div w:id="207981549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s>
</file>

<file path=word/charts/_rels/chart1.xml.rels><?xml version="1.0" encoding="UTF-8" standalone="yes"?>
<Relationships xmlns="http://schemas.openxmlformats.org/package/2006/relationships"><Relationship Id="rId3" Type="http://schemas.openxmlformats.org/officeDocument/2006/relationships/oleObject" Target="file:///C:\Users\Milad\Desktop\Milad\Aging\Charge%20Temp%20Validation\8c.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10506273421026"/>
          <c:y val="3.5416662969508461E-2"/>
          <c:w val="0.81122692033438004"/>
          <c:h val="0.72759886755728564"/>
        </c:manualLayout>
      </c:layout>
      <c:scatterChart>
        <c:scatterStyle val="smoothMarker"/>
        <c:varyColors val="0"/>
        <c:ser>
          <c:idx val="2"/>
          <c:order val="0"/>
          <c:tx>
            <c:v>1C Simulation</c:v>
          </c:tx>
          <c:spPr>
            <a:ln w="15875" cap="rnd">
              <a:solidFill>
                <a:schemeClr val="accent4"/>
              </a:solidFill>
              <a:round/>
            </a:ln>
            <a:effectLst/>
          </c:spPr>
          <c:marker>
            <c:symbol val="circle"/>
            <c:size val="3"/>
            <c:spPr>
              <a:solidFill>
                <a:schemeClr val="accent4"/>
              </a:solidFill>
              <a:ln w="0">
                <a:solidFill>
                  <a:schemeClr val="accent4"/>
                </a:solidFill>
              </a:ln>
              <a:effectLst/>
            </c:spPr>
          </c:marker>
          <c:xVal>
            <c:numRef>
              <c:f>'[8c.xlsx]temp 8c'!$U$2:$U$73</c:f>
              <c:numCache>
                <c:formatCode>General</c:formatCode>
                <c:ptCount val="72"/>
                <c:pt idx="0">
                  <c:v>5.5066940207582717E-2</c:v>
                </c:pt>
                <c:pt idx="1">
                  <c:v>5.7900299595446465E-2</c:v>
                </c:pt>
                <c:pt idx="2">
                  <c:v>6.0733658983310228E-2</c:v>
                </c:pt>
                <c:pt idx="3">
                  <c:v>6.3567018371173997E-2</c:v>
                </c:pt>
                <c:pt idx="4">
                  <c:v>6.6400377759037732E-2</c:v>
                </c:pt>
                <c:pt idx="5">
                  <c:v>6.9233737146901481E-2</c:v>
                </c:pt>
                <c:pt idx="6">
                  <c:v>7.2067096534765243E-2</c:v>
                </c:pt>
                <c:pt idx="7">
                  <c:v>7.4900455922629047E-2</c:v>
                </c:pt>
                <c:pt idx="8">
                  <c:v>7.7733815310492782E-2</c:v>
                </c:pt>
                <c:pt idx="9">
                  <c:v>8.0567174698356531E-2</c:v>
                </c:pt>
                <c:pt idx="10">
                  <c:v>8.3400534086220238E-2</c:v>
                </c:pt>
                <c:pt idx="11">
                  <c:v>8.6233893474083945E-2</c:v>
                </c:pt>
                <c:pt idx="12">
                  <c:v>8.9067252861947943E-2</c:v>
                </c:pt>
                <c:pt idx="13">
                  <c:v>9.1900612249811373E-2</c:v>
                </c:pt>
                <c:pt idx="14">
                  <c:v>9.4733971637675357E-2</c:v>
                </c:pt>
                <c:pt idx="15">
                  <c:v>9.7567331025539078E-2</c:v>
                </c:pt>
                <c:pt idx="16">
                  <c:v>0.10181737010733465</c:v>
                </c:pt>
                <c:pt idx="17">
                  <c:v>0.10606740918913021</c:v>
                </c:pt>
                <c:pt idx="18">
                  <c:v>0.11031744827092607</c:v>
                </c:pt>
                <c:pt idx="19">
                  <c:v>0.11598416704665349</c:v>
                </c:pt>
                <c:pt idx="20">
                  <c:v>0.12165088582238091</c:v>
                </c:pt>
                <c:pt idx="21">
                  <c:v>0.12731760459810834</c:v>
                </c:pt>
                <c:pt idx="22">
                  <c:v>0.13298432337383603</c:v>
                </c:pt>
                <c:pt idx="23">
                  <c:v>0.13865104214956347</c:v>
                </c:pt>
                <c:pt idx="24">
                  <c:v>0.14431776092529117</c:v>
                </c:pt>
                <c:pt idx="25">
                  <c:v>0.14998447970101858</c:v>
                </c:pt>
                <c:pt idx="26">
                  <c:v>0.15565119847674602</c:v>
                </c:pt>
                <c:pt idx="27">
                  <c:v>0.17010133135485128</c:v>
                </c:pt>
                <c:pt idx="28">
                  <c:v>0.20604451901803722</c:v>
                </c:pt>
                <c:pt idx="29">
                  <c:v>0.22506850347940807</c:v>
                </c:pt>
                <c:pt idx="30">
                  <c:v>0.23781862072479507</c:v>
                </c:pt>
                <c:pt idx="31">
                  <c:v>0.25198541766411364</c:v>
                </c:pt>
                <c:pt idx="32">
                  <c:v>0.26331885521556875</c:v>
                </c:pt>
                <c:pt idx="33">
                  <c:v>0.27465229276702385</c:v>
                </c:pt>
                <c:pt idx="34">
                  <c:v>0.28598573031847874</c:v>
                </c:pt>
                <c:pt idx="35">
                  <c:v>0.29731916786993384</c:v>
                </c:pt>
                <c:pt idx="36">
                  <c:v>0.308652605421389</c:v>
                </c:pt>
                <c:pt idx="37">
                  <c:v>0.31998604297284411</c:v>
                </c:pt>
                <c:pt idx="38">
                  <c:v>0.33273616021823027</c:v>
                </c:pt>
                <c:pt idx="39">
                  <c:v>0.34831963685148098</c:v>
                </c:pt>
                <c:pt idx="40">
                  <c:v>0.36531979317866381</c:v>
                </c:pt>
                <c:pt idx="41">
                  <c:v>0.37948659011798236</c:v>
                </c:pt>
                <c:pt idx="42">
                  <c:v>0.39932010583302946</c:v>
                </c:pt>
                <c:pt idx="43">
                  <c:v>0.41632026216021228</c:v>
                </c:pt>
                <c:pt idx="44">
                  <c:v>0.43332041848739511</c:v>
                </c:pt>
                <c:pt idx="45">
                  <c:v>0.45032057481457793</c:v>
                </c:pt>
                <c:pt idx="46">
                  <c:v>0.47015409052962226</c:v>
                </c:pt>
                <c:pt idx="47">
                  <c:v>0.50698776257185219</c:v>
                </c:pt>
                <c:pt idx="48">
                  <c:v>0.54402381742749861</c:v>
                </c:pt>
                <c:pt idx="49">
                  <c:v>0.57404393475129356</c:v>
                </c:pt>
                <c:pt idx="50">
                  <c:v>0.61323873961674291</c:v>
                </c:pt>
                <c:pt idx="51">
                  <c:v>0.64723905227110845</c:v>
                </c:pt>
                <c:pt idx="52">
                  <c:v>0.68067269304790012</c:v>
                </c:pt>
                <c:pt idx="53">
                  <c:v>0.71571190414448194</c:v>
                </c:pt>
                <c:pt idx="54">
                  <c:v>0.74923999023420262</c:v>
                </c:pt>
                <c:pt idx="55">
                  <c:v>0.78607366227643261</c:v>
                </c:pt>
                <c:pt idx="56">
                  <c:v>0.82744070933924307</c:v>
                </c:pt>
                <c:pt idx="57">
                  <c:v>0.86304659231339609</c:v>
                </c:pt>
                <c:pt idx="58">
                  <c:v>0.90224139717884544</c:v>
                </c:pt>
              </c:numCache>
            </c:numRef>
          </c:xVal>
          <c:yVal>
            <c:numRef>
              <c:f>'[8c.xlsx]temp 8c'!$V$2:$V$73</c:f>
              <c:numCache>
                <c:formatCode>General</c:formatCode>
                <c:ptCount val="72"/>
                <c:pt idx="0">
                  <c:v>25.040834775086498</c:v>
                </c:pt>
                <c:pt idx="1">
                  <c:v>25.105272491349499</c:v>
                </c:pt>
                <c:pt idx="2">
                  <c:v>25.172188581314899</c:v>
                </c:pt>
                <c:pt idx="3">
                  <c:v>25.236626297577899</c:v>
                </c:pt>
                <c:pt idx="4">
                  <c:v>25.303542387543299</c:v>
                </c:pt>
                <c:pt idx="5">
                  <c:v>25.3679801038062</c:v>
                </c:pt>
                <c:pt idx="6">
                  <c:v>25.432417820069201</c:v>
                </c:pt>
                <c:pt idx="7">
                  <c:v>25.496855536332198</c:v>
                </c:pt>
                <c:pt idx="8">
                  <c:v>25.558814878892701</c:v>
                </c:pt>
                <c:pt idx="9">
                  <c:v>25.620774221453299</c:v>
                </c:pt>
                <c:pt idx="10">
                  <c:v>25.682733564013802</c:v>
                </c:pt>
                <c:pt idx="11">
                  <c:v>25.742214532872001</c:v>
                </c:pt>
                <c:pt idx="12">
                  <c:v>25.801695501730102</c:v>
                </c:pt>
                <c:pt idx="13">
                  <c:v>25.856219723183401</c:v>
                </c:pt>
                <c:pt idx="14">
                  <c:v>25.9107439446367</c:v>
                </c:pt>
                <c:pt idx="15">
                  <c:v>25.9627897923875</c:v>
                </c:pt>
                <c:pt idx="16">
                  <c:v>26.039619377162602</c:v>
                </c:pt>
                <c:pt idx="17">
                  <c:v>26.113970588235301</c:v>
                </c:pt>
                <c:pt idx="18">
                  <c:v>26.188321799308</c:v>
                </c:pt>
                <c:pt idx="19">
                  <c:v>26.277543252595201</c:v>
                </c:pt>
                <c:pt idx="20">
                  <c:v>26.3630471453287</c:v>
                </c:pt>
                <c:pt idx="21">
                  <c:v>26.4460726643599</c:v>
                </c:pt>
                <c:pt idx="22">
                  <c:v>26.522902249134901</c:v>
                </c:pt>
                <c:pt idx="23">
                  <c:v>26.592296712802799</c:v>
                </c:pt>
                <c:pt idx="24">
                  <c:v>26.654256055363302</c:v>
                </c:pt>
                <c:pt idx="25">
                  <c:v>26.710019463667798</c:v>
                </c:pt>
                <c:pt idx="26">
                  <c:v>26.765782871972299</c:v>
                </c:pt>
                <c:pt idx="27">
                  <c:v>26.825263840830502</c:v>
                </c:pt>
                <c:pt idx="28">
                  <c:v>26.8291584280771</c:v>
                </c:pt>
                <c:pt idx="29">
                  <c:v>26.767765570934301</c:v>
                </c:pt>
                <c:pt idx="30">
                  <c:v>26.718693771626299</c:v>
                </c:pt>
                <c:pt idx="31">
                  <c:v>26.653636461937701</c:v>
                </c:pt>
                <c:pt idx="32">
                  <c:v>26.592296712802799</c:v>
                </c:pt>
                <c:pt idx="33">
                  <c:v>26.531576557093398</c:v>
                </c:pt>
                <c:pt idx="34">
                  <c:v>26.469617214532899</c:v>
                </c:pt>
                <c:pt idx="35">
                  <c:v>26.408897058823499</c:v>
                </c:pt>
                <c:pt idx="36">
                  <c:v>26.3475573096886</c:v>
                </c:pt>
                <c:pt idx="37">
                  <c:v>26.284978373702401</c:v>
                </c:pt>
                <c:pt idx="38">
                  <c:v>26.224010380622801</c:v>
                </c:pt>
                <c:pt idx="39">
                  <c:v>26.1684948096886</c:v>
                </c:pt>
                <c:pt idx="40">
                  <c:v>26.109013840830499</c:v>
                </c:pt>
                <c:pt idx="41">
                  <c:v>26.059446366782002</c:v>
                </c:pt>
                <c:pt idx="42">
                  <c:v>25.985095155709299</c:v>
                </c:pt>
                <c:pt idx="43">
                  <c:v>25.925614186851199</c:v>
                </c:pt>
                <c:pt idx="44">
                  <c:v>25.866133217993099</c:v>
                </c:pt>
                <c:pt idx="45">
                  <c:v>25.806652249134999</c:v>
                </c:pt>
                <c:pt idx="46">
                  <c:v>25.754606401384098</c:v>
                </c:pt>
                <c:pt idx="47">
                  <c:v>25.7645198961938</c:v>
                </c:pt>
                <c:pt idx="48">
                  <c:v>25.785409045971299</c:v>
                </c:pt>
                <c:pt idx="49">
                  <c:v>25.802521626297601</c:v>
                </c:pt>
                <c:pt idx="50">
                  <c:v>25.829783737024201</c:v>
                </c:pt>
                <c:pt idx="51">
                  <c:v>25.8710899653979</c:v>
                </c:pt>
                <c:pt idx="52">
                  <c:v>25.912726643598599</c:v>
                </c:pt>
                <c:pt idx="53">
                  <c:v>25.9561807958478</c:v>
                </c:pt>
                <c:pt idx="54">
                  <c:v>25.993025951557101</c:v>
                </c:pt>
                <c:pt idx="55">
                  <c:v>26.0098788927336</c:v>
                </c:pt>
                <c:pt idx="56">
                  <c:v>26.0257404844291</c:v>
                </c:pt>
                <c:pt idx="57">
                  <c:v>26.039619377162602</c:v>
                </c:pt>
                <c:pt idx="58">
                  <c:v>26.059446366782002</c:v>
                </c:pt>
              </c:numCache>
            </c:numRef>
          </c:yVal>
          <c:smooth val="1"/>
          <c:extLst>
            <c:ext xmlns:c16="http://schemas.microsoft.com/office/drawing/2014/chart" uri="{C3380CC4-5D6E-409C-BE32-E72D297353CC}">
              <c16:uniqueId val="{00000000-C5FA-4BE3-9B47-4C8FE7D6CF11}"/>
            </c:ext>
          </c:extLst>
        </c:ser>
        <c:ser>
          <c:idx val="3"/>
          <c:order val="1"/>
          <c:tx>
            <c:v>1C Experiment</c:v>
          </c:tx>
          <c:spPr>
            <a:ln w="15875" cap="rnd">
              <a:solidFill>
                <a:schemeClr val="accent6">
                  <a:lumMod val="60000"/>
                </a:schemeClr>
              </a:solidFill>
              <a:round/>
            </a:ln>
            <a:effectLst/>
          </c:spPr>
          <c:marker>
            <c:symbol val="circle"/>
            <c:size val="3"/>
            <c:spPr>
              <a:solidFill>
                <a:schemeClr val="accent6">
                  <a:lumMod val="60000"/>
                </a:schemeClr>
              </a:solidFill>
              <a:ln w="0" cmpd="sng">
                <a:solidFill>
                  <a:schemeClr val="accent6">
                    <a:lumMod val="60000"/>
                  </a:schemeClr>
                </a:solidFill>
              </a:ln>
              <a:effectLst/>
            </c:spPr>
          </c:marker>
          <c:xVal>
            <c:numRef>
              <c:f>'[8c.xlsx]temp 8c'!$Z$2:$Z$33</c:f>
              <c:numCache>
                <c:formatCode>General</c:formatCode>
                <c:ptCount val="32"/>
                <c:pt idx="0">
                  <c:v>5.545927209705373E-2</c:v>
                </c:pt>
                <c:pt idx="1">
                  <c:v>8.3188908145580664E-2</c:v>
                </c:pt>
                <c:pt idx="2">
                  <c:v>0.10976314269208533</c:v>
                </c:pt>
                <c:pt idx="3">
                  <c:v>0.137492778740612</c:v>
                </c:pt>
                <c:pt idx="4">
                  <c:v>0.16522241478913932</c:v>
                </c:pt>
                <c:pt idx="5">
                  <c:v>0.19295205083766601</c:v>
                </c:pt>
                <c:pt idx="6">
                  <c:v>0.22068168688619269</c:v>
                </c:pt>
                <c:pt idx="7">
                  <c:v>0.24841132293471935</c:v>
                </c:pt>
                <c:pt idx="8">
                  <c:v>0.2761409589832467</c:v>
                </c:pt>
                <c:pt idx="9">
                  <c:v>0.30387059503177333</c:v>
                </c:pt>
                <c:pt idx="10">
                  <c:v>0.33160023108030068</c:v>
                </c:pt>
                <c:pt idx="11">
                  <c:v>0.35932986712882736</c:v>
                </c:pt>
                <c:pt idx="12">
                  <c:v>0.38705950317735399</c:v>
                </c:pt>
                <c:pt idx="13">
                  <c:v>0.41478913922588068</c:v>
                </c:pt>
                <c:pt idx="14">
                  <c:v>0.44136337377238605</c:v>
                </c:pt>
                <c:pt idx="15">
                  <c:v>0.46909300982091268</c:v>
                </c:pt>
                <c:pt idx="16">
                  <c:v>0.49682264586943936</c:v>
                </c:pt>
                <c:pt idx="17">
                  <c:v>0.52455228191796666</c:v>
                </c:pt>
                <c:pt idx="18">
                  <c:v>0.5522819179664934</c:v>
                </c:pt>
                <c:pt idx="19">
                  <c:v>0.58001155401502003</c:v>
                </c:pt>
                <c:pt idx="20">
                  <c:v>0.60774119006354665</c:v>
                </c:pt>
                <c:pt idx="21">
                  <c:v>0.63431542461005197</c:v>
                </c:pt>
                <c:pt idx="22">
                  <c:v>0.66204506065857871</c:v>
                </c:pt>
                <c:pt idx="23">
                  <c:v>0.68977469670710667</c:v>
                </c:pt>
                <c:pt idx="24">
                  <c:v>0.7175043327556333</c:v>
                </c:pt>
                <c:pt idx="25">
                  <c:v>0.74523396880415993</c:v>
                </c:pt>
                <c:pt idx="26">
                  <c:v>0.77296360485268656</c:v>
                </c:pt>
                <c:pt idx="27">
                  <c:v>0.80069324090121341</c:v>
                </c:pt>
                <c:pt idx="28">
                  <c:v>0.82842287694974004</c:v>
                </c:pt>
                <c:pt idx="29">
                  <c:v>0.85615251299826667</c:v>
                </c:pt>
                <c:pt idx="30">
                  <c:v>0.88272674754477343</c:v>
                </c:pt>
                <c:pt idx="31">
                  <c:v>0.90121317157712</c:v>
                </c:pt>
              </c:numCache>
            </c:numRef>
          </c:xVal>
          <c:yVal>
            <c:numRef>
              <c:f>'[8c.xlsx]temp 8c'!$Y$2:$Y$33</c:f>
              <c:numCache>
                <c:formatCode>General</c:formatCode>
                <c:ptCount val="32"/>
                <c:pt idx="0">
                  <c:v>25.003951967132799</c:v>
                </c:pt>
                <c:pt idx="1">
                  <c:v>25.243457641910599</c:v>
                </c:pt>
                <c:pt idx="2">
                  <c:v>25.720410675251198</c:v>
                </c:pt>
                <c:pt idx="3">
                  <c:v>26.054928226513599</c:v>
                </c:pt>
                <c:pt idx="4">
                  <c:v>26.246927963049099</c:v>
                </c:pt>
                <c:pt idx="5">
                  <c:v>25.963868317161801</c:v>
                </c:pt>
                <c:pt idx="6">
                  <c:v>26.2033739919396</c:v>
                </c:pt>
                <c:pt idx="7">
                  <c:v>26.252855913748299</c:v>
                </c:pt>
                <c:pt idx="8">
                  <c:v>26.254831897314698</c:v>
                </c:pt>
                <c:pt idx="9">
                  <c:v>26.256807880881102</c:v>
                </c:pt>
                <c:pt idx="10">
                  <c:v>26.448807617416598</c:v>
                </c:pt>
                <c:pt idx="11">
                  <c:v>26.688313292194401</c:v>
                </c:pt>
                <c:pt idx="12">
                  <c:v>26.832807090487702</c:v>
                </c:pt>
                <c:pt idx="13">
                  <c:v>26.977300888780899</c:v>
                </c:pt>
                <c:pt idx="14">
                  <c:v>27.1217123544256</c:v>
                </c:pt>
                <c:pt idx="15">
                  <c:v>27.3612180292034</c:v>
                </c:pt>
                <c:pt idx="16">
                  <c:v>27.5532177657389</c:v>
                </c:pt>
                <c:pt idx="17">
                  <c:v>27.507687811063001</c:v>
                </c:pt>
                <c:pt idx="18">
                  <c:v>27.5096637946294</c:v>
                </c:pt>
                <c:pt idx="19">
                  <c:v>27.5116397781958</c:v>
                </c:pt>
                <c:pt idx="20">
                  <c:v>27.5136157617622</c:v>
                </c:pt>
                <c:pt idx="21">
                  <c:v>27.610521289164598</c:v>
                </c:pt>
                <c:pt idx="22">
                  <c:v>27.612497272731002</c:v>
                </c:pt>
                <c:pt idx="23">
                  <c:v>27.566967318055099</c:v>
                </c:pt>
                <c:pt idx="24">
                  <c:v>27.521437363379299</c:v>
                </c:pt>
                <c:pt idx="25">
                  <c:v>27.523413346945699</c:v>
                </c:pt>
                <c:pt idx="26">
                  <c:v>27.572895268754301</c:v>
                </c:pt>
                <c:pt idx="27">
                  <c:v>27.527365314078502</c:v>
                </c:pt>
                <c:pt idx="28">
                  <c:v>27.5768472358872</c:v>
                </c:pt>
                <c:pt idx="29">
                  <c:v>27.531317281211301</c:v>
                </c:pt>
                <c:pt idx="30">
                  <c:v>27.533210932129101</c:v>
                </c:pt>
                <c:pt idx="31">
                  <c:v>27.5820341927489</c:v>
                </c:pt>
              </c:numCache>
            </c:numRef>
          </c:yVal>
          <c:smooth val="1"/>
          <c:extLst>
            <c:ext xmlns:c16="http://schemas.microsoft.com/office/drawing/2014/chart" uri="{C3380CC4-5D6E-409C-BE32-E72D297353CC}">
              <c16:uniqueId val="{00000001-C5FA-4BE3-9B47-4C8FE7D6CF11}"/>
            </c:ext>
          </c:extLst>
        </c:ser>
        <c:ser>
          <c:idx val="5"/>
          <c:order val="2"/>
          <c:tx>
            <c:v>8C Simulation</c:v>
          </c:tx>
          <c:spPr>
            <a:ln w="19050" cap="rnd">
              <a:solidFill>
                <a:schemeClr val="accent4">
                  <a:lumMod val="60000"/>
                </a:schemeClr>
              </a:solidFill>
              <a:round/>
            </a:ln>
            <a:effectLst/>
          </c:spPr>
          <c:marker>
            <c:symbol val="circle"/>
            <c:size val="3"/>
            <c:spPr>
              <a:solidFill>
                <a:schemeClr val="accent4">
                  <a:lumMod val="60000"/>
                </a:schemeClr>
              </a:solidFill>
              <a:ln w="0">
                <a:solidFill>
                  <a:schemeClr val="accent4">
                    <a:lumMod val="60000"/>
                  </a:schemeClr>
                </a:solidFill>
              </a:ln>
              <a:effectLst/>
            </c:spPr>
          </c:marker>
          <c:xVal>
            <c:numRef>
              <c:f>'[8c.xlsx]temp 8c'!$AF$2:$AF$52</c:f>
              <c:numCache>
                <c:formatCode>General</c:formatCode>
                <c:ptCount val="51"/>
                <c:pt idx="0">
                  <c:v>5.7461999999999999E-2</c:v>
                </c:pt>
                <c:pt idx="1">
                  <c:v>5.7604738500000002E-2</c:v>
                </c:pt>
                <c:pt idx="2">
                  <c:v>5.7743050999999997E-2</c:v>
                </c:pt>
                <c:pt idx="3">
                  <c:v>5.7881363499999998E-2</c:v>
                </c:pt>
                <c:pt idx="4">
                  <c:v>5.8019675999999999E-2</c:v>
                </c:pt>
                <c:pt idx="5">
                  <c:v>5.81579885E-2</c:v>
                </c:pt>
                <c:pt idx="6">
                  <c:v>5.8434613499999996E-2</c:v>
                </c:pt>
                <c:pt idx="7">
                  <c:v>5.8711238499999999E-2</c:v>
                </c:pt>
                <c:pt idx="8">
                  <c:v>5.8987863500000001E-2</c:v>
                </c:pt>
                <c:pt idx="9">
                  <c:v>5.9541113499999999E-2</c:v>
                </c:pt>
                <c:pt idx="10">
                  <c:v>6.0094363499999998E-2</c:v>
                </c:pt>
                <c:pt idx="11">
                  <c:v>6.0647613500000003E-2</c:v>
                </c:pt>
                <c:pt idx="12">
                  <c:v>6.1754113499999999E-2</c:v>
                </c:pt>
                <c:pt idx="13">
                  <c:v>6.2860613499999995E-2</c:v>
                </c:pt>
                <c:pt idx="14">
                  <c:v>6.3967113500000006E-2</c:v>
                </c:pt>
                <c:pt idx="15">
                  <c:v>6.5073613500000002E-2</c:v>
                </c:pt>
                <c:pt idx="16">
                  <c:v>6.7286613499999995E-2</c:v>
                </c:pt>
                <c:pt idx="17">
                  <c:v>6.9499613500000001E-2</c:v>
                </c:pt>
                <c:pt idx="18">
                  <c:v>7.1712613499999994E-2</c:v>
                </c:pt>
                <c:pt idx="19">
                  <c:v>7.3925613500000001E-2</c:v>
                </c:pt>
                <c:pt idx="20">
                  <c:v>7.83516135E-2</c:v>
                </c:pt>
                <c:pt idx="21">
                  <c:v>8.2776506999999999E-2</c:v>
                </c:pt>
                <c:pt idx="22">
                  <c:v>8.7202506999999999E-2</c:v>
                </c:pt>
                <c:pt idx="23">
                  <c:v>9.1628506999999998E-2</c:v>
                </c:pt>
                <c:pt idx="24">
                  <c:v>0.10048272</c:v>
                </c:pt>
                <c:pt idx="25">
                  <c:v>0.10933472</c:v>
                </c:pt>
                <c:pt idx="26">
                  <c:v>0.11818672</c:v>
                </c:pt>
                <c:pt idx="27">
                  <c:v>0.12703871999999999</c:v>
                </c:pt>
                <c:pt idx="28">
                  <c:v>0.13588850699999999</c:v>
                </c:pt>
                <c:pt idx="29">
                  <c:v>0.14474050700000002</c:v>
                </c:pt>
                <c:pt idx="30">
                  <c:v>0.15359250699999999</c:v>
                </c:pt>
                <c:pt idx="31">
                  <c:v>0.17129650699999999</c:v>
                </c:pt>
                <c:pt idx="32">
                  <c:v>0.18900050699999998</c:v>
                </c:pt>
                <c:pt idx="33">
                  <c:v>0.20670672000000001</c:v>
                </c:pt>
                <c:pt idx="34">
                  <c:v>0.22441072000000001</c:v>
                </c:pt>
                <c:pt idx="35">
                  <c:v>0.24211472000000001</c:v>
                </c:pt>
                <c:pt idx="36">
                  <c:v>0.27752272</c:v>
                </c:pt>
                <c:pt idx="37">
                  <c:v>0.30938992000000004</c:v>
                </c:pt>
                <c:pt idx="38">
                  <c:v>0.34125712000000002</c:v>
                </c:pt>
                <c:pt idx="39">
                  <c:v>0.37312432000000001</c:v>
                </c:pt>
                <c:pt idx="40">
                  <c:v>0.40499151999999999</c:v>
                </c:pt>
                <c:pt idx="41">
                  <c:v>0.43685872000000003</c:v>
                </c:pt>
                <c:pt idx="42">
                  <c:v>0.46872592000000002</c:v>
                </c:pt>
                <c:pt idx="43">
                  <c:v>0.53246031999999999</c:v>
                </c:pt>
                <c:pt idx="44">
                  <c:v>0.59619472000000007</c:v>
                </c:pt>
              </c:numCache>
            </c:numRef>
          </c:xVal>
          <c:yVal>
            <c:numRef>
              <c:f>'[8c.xlsx]temp 8c'!$AG$2:$AG$52</c:f>
              <c:numCache>
                <c:formatCode>General</c:formatCode>
                <c:ptCount val="51"/>
                <c:pt idx="0">
                  <c:v>25.000020064000001</c:v>
                </c:pt>
                <c:pt idx="1">
                  <c:v>25.001427700000001</c:v>
                </c:pt>
                <c:pt idx="2">
                  <c:v>25.0033274</c:v>
                </c:pt>
                <c:pt idx="3">
                  <c:v>25.005574599999999</c:v>
                </c:pt>
                <c:pt idx="4">
                  <c:v>25.008015</c:v>
                </c:pt>
                <c:pt idx="5">
                  <c:v>25.010679</c:v>
                </c:pt>
                <c:pt idx="6">
                  <c:v>25.016591999999999</c:v>
                </c:pt>
                <c:pt idx="7">
                  <c:v>25.023161000000002</c:v>
                </c:pt>
                <c:pt idx="8">
                  <c:v>25.030260999999999</c:v>
                </c:pt>
                <c:pt idx="9">
                  <c:v>25.045666000000001</c:v>
                </c:pt>
                <c:pt idx="10">
                  <c:v>25.062449999999998</c:v>
                </c:pt>
                <c:pt idx="11">
                  <c:v>25.080355000000001</c:v>
                </c:pt>
                <c:pt idx="12">
                  <c:v>25.118770000000001</c:v>
                </c:pt>
                <c:pt idx="13">
                  <c:v>25.160219999999999</c:v>
                </c:pt>
                <c:pt idx="14">
                  <c:v>25.204190000000001</c:v>
                </c:pt>
                <c:pt idx="15">
                  <c:v>25.250330000000002</c:v>
                </c:pt>
                <c:pt idx="16">
                  <c:v>25.347930000000002</c:v>
                </c:pt>
                <c:pt idx="17">
                  <c:v>25.451920000000001</c:v>
                </c:pt>
                <c:pt idx="18">
                  <c:v>25.56183</c:v>
                </c:pt>
                <c:pt idx="19">
                  <c:v>25.672630000000002</c:v>
                </c:pt>
                <c:pt idx="20">
                  <c:v>25.907820000000001</c:v>
                </c:pt>
                <c:pt idx="21">
                  <c:v>26.159800000000001</c:v>
                </c:pt>
                <c:pt idx="22">
                  <c:v>26.4268</c:v>
                </c:pt>
                <c:pt idx="23">
                  <c:v>26.7073</c:v>
                </c:pt>
                <c:pt idx="24">
                  <c:v>27.2852</c:v>
                </c:pt>
                <c:pt idx="25">
                  <c:v>27.880099999999999</c:v>
                </c:pt>
                <c:pt idx="26">
                  <c:v>28.486799999999999</c:v>
                </c:pt>
                <c:pt idx="27">
                  <c:v>29.099</c:v>
                </c:pt>
                <c:pt idx="28">
                  <c:v>29.704499999999999</c:v>
                </c:pt>
                <c:pt idx="29">
                  <c:v>30.282</c:v>
                </c:pt>
                <c:pt idx="30">
                  <c:v>30.835899999999999</c:v>
                </c:pt>
                <c:pt idx="31">
                  <c:v>31.894400000000001</c:v>
                </c:pt>
                <c:pt idx="32">
                  <c:v>32.890999999999998</c:v>
                </c:pt>
                <c:pt idx="33">
                  <c:v>33.854700000000001</c:v>
                </c:pt>
                <c:pt idx="34">
                  <c:v>34.789200000000001</c:v>
                </c:pt>
                <c:pt idx="35">
                  <c:v>35.671999999999997</c:v>
                </c:pt>
                <c:pt idx="36">
                  <c:v>37.31</c:v>
                </c:pt>
                <c:pt idx="37">
                  <c:v>38.64</c:v>
                </c:pt>
                <c:pt idx="38">
                  <c:v>39.850999999999999</c:v>
                </c:pt>
                <c:pt idx="39">
                  <c:v>40.984000000000002</c:v>
                </c:pt>
                <c:pt idx="40">
                  <c:v>42.069000000000003</c:v>
                </c:pt>
                <c:pt idx="41">
                  <c:v>43.128</c:v>
                </c:pt>
                <c:pt idx="42">
                  <c:v>44.177999999999997</c:v>
                </c:pt>
                <c:pt idx="43">
                  <c:v>46.28</c:v>
                </c:pt>
                <c:pt idx="44">
                  <c:v>48.414000000000001</c:v>
                </c:pt>
              </c:numCache>
            </c:numRef>
          </c:yVal>
          <c:smooth val="1"/>
          <c:extLst>
            <c:ext xmlns:c16="http://schemas.microsoft.com/office/drawing/2014/chart" uri="{C3380CC4-5D6E-409C-BE32-E72D297353CC}">
              <c16:uniqueId val="{00000002-C5FA-4BE3-9B47-4C8FE7D6CF11}"/>
            </c:ext>
          </c:extLst>
        </c:ser>
        <c:ser>
          <c:idx val="1"/>
          <c:order val="3"/>
          <c:tx>
            <c:v>8C Experiment</c:v>
          </c:tx>
          <c:spPr>
            <a:ln w="19050" cap="rnd">
              <a:solidFill>
                <a:schemeClr val="accent5"/>
              </a:solidFill>
              <a:round/>
            </a:ln>
            <a:effectLst/>
          </c:spPr>
          <c:marker>
            <c:symbol val="circle"/>
            <c:size val="3"/>
            <c:spPr>
              <a:solidFill>
                <a:schemeClr val="accent5"/>
              </a:solidFill>
              <a:ln w="0">
                <a:solidFill>
                  <a:schemeClr val="accent5"/>
                </a:solidFill>
              </a:ln>
              <a:effectLst/>
            </c:spPr>
          </c:marker>
          <c:xVal>
            <c:numRef>
              <c:f>'[8c.xlsx]temp 8c'!$N$2:$N$25</c:f>
              <c:numCache>
                <c:formatCode>General</c:formatCode>
                <c:ptCount val="24"/>
                <c:pt idx="0">
                  <c:v>4.9682264586944268E-2</c:v>
                </c:pt>
                <c:pt idx="1">
                  <c:v>7.3945696129405339E-2</c:v>
                </c:pt>
                <c:pt idx="2">
                  <c:v>9.8209127671866001E-2</c:v>
                </c:pt>
                <c:pt idx="3">
                  <c:v>0.12247255921432666</c:v>
                </c:pt>
                <c:pt idx="4">
                  <c:v>0.146735990756788</c:v>
                </c:pt>
                <c:pt idx="5">
                  <c:v>0.16984402079722735</c:v>
                </c:pt>
                <c:pt idx="6">
                  <c:v>0.19410745233968799</c:v>
                </c:pt>
                <c:pt idx="7">
                  <c:v>0.21837088388214868</c:v>
                </c:pt>
                <c:pt idx="8">
                  <c:v>0.24263431542461</c:v>
                </c:pt>
                <c:pt idx="9">
                  <c:v>0.26689774696707064</c:v>
                </c:pt>
                <c:pt idx="10">
                  <c:v>0.29000577700751001</c:v>
                </c:pt>
                <c:pt idx="11">
                  <c:v>0.3142692085499707</c:v>
                </c:pt>
                <c:pt idx="12">
                  <c:v>0.338532640092432</c:v>
                </c:pt>
                <c:pt idx="13">
                  <c:v>0.36279607163489264</c:v>
                </c:pt>
                <c:pt idx="14">
                  <c:v>0.38705950317735399</c:v>
                </c:pt>
                <c:pt idx="15">
                  <c:v>0.41016753321779337</c:v>
                </c:pt>
                <c:pt idx="16">
                  <c:v>0.434430964760254</c:v>
                </c:pt>
                <c:pt idx="17">
                  <c:v>0.4586943963027153</c:v>
                </c:pt>
                <c:pt idx="18">
                  <c:v>0.48295782784517599</c:v>
                </c:pt>
                <c:pt idx="19">
                  <c:v>0.50606585788561531</c:v>
                </c:pt>
                <c:pt idx="20">
                  <c:v>0.530329289428076</c:v>
                </c:pt>
                <c:pt idx="21">
                  <c:v>0.55459272097053669</c:v>
                </c:pt>
                <c:pt idx="22">
                  <c:v>0.57885615251299793</c:v>
                </c:pt>
                <c:pt idx="23">
                  <c:v>0.58925476603119531</c:v>
                </c:pt>
              </c:numCache>
            </c:numRef>
          </c:xVal>
          <c:yVal>
            <c:numRef>
              <c:f>'[8c.xlsx]temp 8c'!$M$2:$M$25</c:f>
              <c:numCache>
                <c:formatCode>General</c:formatCode>
                <c:ptCount val="24"/>
                <c:pt idx="0">
                  <c:v>26.286200636431399</c:v>
                </c:pt>
                <c:pt idx="1">
                  <c:v>26.905506819201602</c:v>
                </c:pt>
                <c:pt idx="2">
                  <c:v>27.904860507910101</c:v>
                </c:pt>
                <c:pt idx="3">
                  <c:v>28.7141904436495</c:v>
                </c:pt>
                <c:pt idx="4">
                  <c:v>29.761050070600199</c:v>
                </c:pt>
                <c:pt idx="5">
                  <c:v>30.807827364902401</c:v>
                </c:pt>
                <c:pt idx="6">
                  <c:v>31.664663238884099</c:v>
                </c:pt>
                <c:pt idx="7">
                  <c:v>32.473993174623402</c:v>
                </c:pt>
                <c:pt idx="8">
                  <c:v>33.5208528015742</c:v>
                </c:pt>
                <c:pt idx="9">
                  <c:v>34.567712428524999</c:v>
                </c:pt>
                <c:pt idx="10">
                  <c:v>35.7095015993117</c:v>
                </c:pt>
                <c:pt idx="11">
                  <c:v>36.328807782081903</c:v>
                </c:pt>
                <c:pt idx="12">
                  <c:v>37.423173347274997</c:v>
                </c:pt>
                <c:pt idx="13">
                  <c:v>38.612550788952603</c:v>
                </c:pt>
                <c:pt idx="14">
                  <c:v>39.564398539418796</c:v>
                </c:pt>
                <c:pt idx="15">
                  <c:v>40.326140204267297</c:v>
                </c:pt>
                <c:pt idx="16">
                  <c:v>41.182976078248899</c:v>
                </c:pt>
                <c:pt idx="17">
                  <c:v>41.992306013988298</c:v>
                </c:pt>
                <c:pt idx="18">
                  <c:v>43.181683455665897</c:v>
                </c:pt>
                <c:pt idx="19">
                  <c:v>44.133448873483502</c:v>
                </c:pt>
                <c:pt idx="20">
                  <c:v>44.467719426800102</c:v>
                </c:pt>
                <c:pt idx="21">
                  <c:v>45.182037486054902</c:v>
                </c:pt>
                <c:pt idx="22">
                  <c:v>46.181391174763398</c:v>
                </c:pt>
                <c:pt idx="23">
                  <c:v>46.752203427508199</c:v>
                </c:pt>
              </c:numCache>
            </c:numRef>
          </c:yVal>
          <c:smooth val="1"/>
          <c:extLst>
            <c:ext xmlns:c16="http://schemas.microsoft.com/office/drawing/2014/chart" uri="{C3380CC4-5D6E-409C-BE32-E72D297353CC}">
              <c16:uniqueId val="{00000003-C5FA-4BE3-9B47-4C8FE7D6CF11}"/>
            </c:ext>
          </c:extLst>
        </c:ser>
        <c:dLbls>
          <c:showLegendKey val="0"/>
          <c:showVal val="0"/>
          <c:showCatName val="0"/>
          <c:showSerName val="0"/>
          <c:showPercent val="0"/>
          <c:showBubbleSize val="0"/>
        </c:dLbls>
        <c:axId val="43043983"/>
        <c:axId val="43042735"/>
      </c:scatterChart>
      <c:valAx>
        <c:axId val="4304398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a:t>State-of-Charge</a:t>
                </a:r>
              </a:p>
            </c:rich>
          </c:tx>
          <c:layout>
            <c:manualLayout>
              <c:xMode val="edge"/>
              <c:yMode val="edge"/>
              <c:x val="0.43630619149484917"/>
              <c:y val="0.8919003804299743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3042735"/>
        <c:crosses val="autoZero"/>
        <c:crossBetween val="midCat"/>
        <c:majorUnit val="0.1"/>
      </c:valAx>
      <c:valAx>
        <c:axId val="43042735"/>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700"/>
                  <a:t>Temperature (</a:t>
                </a:r>
                <a:r>
                  <a:rPr lang="en-US" sz="700">
                    <a:latin typeface="Times New Roman" panose="02020603050405020304" pitchFamily="18" charset="0"/>
                    <a:cs typeface="Times New Roman" panose="02020603050405020304" pitchFamily="18" charset="0"/>
                  </a:rPr>
                  <a:t>º</a:t>
                </a:r>
                <a:r>
                  <a:rPr lang="en-US" sz="700"/>
                  <a:t>C)</a:t>
                </a:r>
              </a:p>
            </c:rich>
          </c:tx>
          <c:layout>
            <c:manualLayout>
              <c:xMode val="edge"/>
              <c:yMode val="edge"/>
              <c:x val="1.3097188718462216E-2"/>
              <c:y val="0.2171186115780471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3043983"/>
        <c:crosses val="autoZero"/>
        <c:crossBetween val="midCat"/>
      </c:valAx>
      <c:spPr>
        <a:noFill/>
        <a:ln>
          <a:noFill/>
        </a:ln>
        <a:effectLst/>
      </c:spPr>
    </c:plotArea>
    <c:legend>
      <c:legendPos val="r"/>
      <c:layout>
        <c:manualLayout>
          <c:xMode val="edge"/>
          <c:yMode val="edge"/>
          <c:x val="0.70953046875927839"/>
          <c:y val="0.15361183196177836"/>
          <c:w val="0.24701260253695442"/>
          <c:h val="0.34234682845744457"/>
        </c:manualLayout>
      </c:layout>
      <c:overlay val="0"/>
      <c:spPr>
        <a:noFill/>
        <a:ln>
          <a:noFill/>
        </a:ln>
        <a:effectLst/>
      </c:spPr>
      <c:txPr>
        <a:bodyPr rot="0" spcFirstLastPara="1" vertOverflow="ellipsis" vert="horz" wrap="square" anchor="ctr" anchorCtr="1"/>
        <a:lstStyle/>
        <a:p>
          <a:pPr>
            <a:defRPr sz="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C9E6A-4595-4B68-B1EE-A7E177C2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3308</Words>
  <Characters>18860</Characters>
  <Application>Microsoft Office Word</Application>
  <DocSecurity>0</DocSecurity>
  <Lines>157</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Milad</cp:lastModifiedBy>
  <cp:revision>5</cp:revision>
  <cp:lastPrinted>2015-05-12T18:31:00Z</cp:lastPrinted>
  <dcterms:created xsi:type="dcterms:W3CDTF">2024-12-03T15:33:00Z</dcterms:created>
  <dcterms:modified xsi:type="dcterms:W3CDTF">2025-01-21T10:18:00Z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