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4B5266">
        <w:trPr>
          <w:trHeight w:val="852"/>
          <w:jc w:val="center"/>
        </w:trPr>
        <w:tc>
          <w:tcPr>
            <w:tcW w:w="6940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bookmarkStart w:id="0" w:name="_Hlk145068772"/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47EF826C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785B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xxx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</w:t>
            </w:r>
            <w:r w:rsidR="00994C6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4B5266">
        <w:trPr>
          <w:trHeight w:val="567"/>
          <w:jc w:val="center"/>
        </w:trPr>
        <w:tc>
          <w:tcPr>
            <w:tcW w:w="6940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4B5266">
        <w:trPr>
          <w:trHeight w:val="68"/>
          <w:jc w:val="center"/>
        </w:trPr>
        <w:tc>
          <w:tcPr>
            <w:tcW w:w="8782" w:type="dxa"/>
            <w:gridSpan w:val="2"/>
          </w:tcPr>
          <w:p w14:paraId="1D8DD3C9" w14:textId="025D7B18" w:rsidR="00AA7D26" w:rsidRPr="007D610D" w:rsidRDefault="00AA7D26" w:rsidP="007D610D">
            <w:pPr>
              <w:ind w:left="-107"/>
              <w:outlineLvl w:val="2"/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</w:pPr>
            <w:r w:rsidRPr="007D610D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7D610D" w:rsidRPr="007D610D">
              <w:rPr>
                <w:rFonts w:ascii="Aptos" w:eastAsiaTheme="minorHAnsi" w:hAnsi="Aptos" w:cs="Aptos"/>
                <w:sz w:val="22"/>
                <w:szCs w:val="22"/>
                <w:lang w:val="it-IT"/>
                <w14:ligatures w14:val="standardContextual"/>
              </w:rPr>
              <w:t xml:space="preserve"> </w:t>
            </w:r>
            <w:r w:rsidR="007D610D" w:rsidRPr="007D610D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Fabrizio Bezzo, </w:t>
            </w:r>
            <w:r w:rsidR="001D3D3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Flavio Manenti</w:t>
            </w:r>
            <w:r w:rsidR="00304CE8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,</w:t>
            </w:r>
            <w:r w:rsidR="001D3D32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7D610D" w:rsidRPr="007D610D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Gabriele Pannocchia, Almerinda di Benedetto</w:t>
            </w:r>
          </w:p>
          <w:p w14:paraId="1B0F1814" w14:textId="7C54DC3A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</w:t>
            </w:r>
            <w:r w:rsidR="00994C6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5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3B49CD">
              <w:rPr>
                <w:rFonts w:ascii="Tahoma" w:hAnsi="Tahoma" w:cs="Tahoma"/>
                <w:sz w:val="14"/>
                <w:szCs w:val="14"/>
              </w:rPr>
              <w:t>9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12</w:t>
            </w:r>
            <w:r w:rsidR="003B49CD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3B49CD">
              <w:rPr>
                <w:rFonts w:ascii="Tahoma" w:hAnsi="Tahoma" w:cs="Tahoma"/>
                <w:sz w:val="14"/>
                <w:szCs w:val="14"/>
              </w:rPr>
              <w:t>81206-1</w:t>
            </w:r>
            <w:r w:rsidR="00994C6A">
              <w:rPr>
                <w:rFonts w:ascii="Tahoma" w:hAnsi="Tahoma" w:cs="Tahoma"/>
                <w:sz w:val="14"/>
                <w:szCs w:val="14"/>
              </w:rPr>
              <w:t>7</w:t>
            </w:r>
            <w:r w:rsidR="003B49CD">
              <w:rPr>
                <w:rFonts w:ascii="Tahoma" w:hAnsi="Tahoma" w:cs="Tahoma"/>
                <w:sz w:val="14"/>
                <w:szCs w:val="14"/>
              </w:rPr>
              <w:t>-</w:t>
            </w:r>
            <w:r w:rsidR="00994C6A">
              <w:rPr>
                <w:rFonts w:ascii="Tahoma" w:hAnsi="Tahoma" w:cs="Tahoma"/>
                <w:sz w:val="14"/>
                <w:szCs w:val="14"/>
              </w:rPr>
              <w:t>5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bookmarkEnd w:id="0"/>
    <w:p w14:paraId="2E667253" w14:textId="093639D0" w:rsidR="00E978D0" w:rsidRDefault="004B5266" w:rsidP="005F0F86">
      <w:pPr>
        <w:pStyle w:val="CETTitle"/>
        <w:spacing w:after="240"/>
      </w:pPr>
      <w:r w:rsidRPr="004B5266">
        <w:t xml:space="preserve">Experimental and </w:t>
      </w:r>
      <w:r w:rsidR="00F134C4" w:rsidRPr="004B5266">
        <w:t>modelling</w:t>
      </w:r>
      <w:r w:rsidRPr="004B5266">
        <w:t xml:space="preserve"> investigation on the use of in-situ available resources to produce food and supplements on Mars using microalgae</w:t>
      </w:r>
    </w:p>
    <w:p w14:paraId="33E32454" w14:textId="5DA100C7" w:rsidR="004B5266" w:rsidRPr="004B5266" w:rsidRDefault="004B5266" w:rsidP="00E14D17">
      <w:pPr>
        <w:pStyle w:val="CETAddress"/>
        <w:jc w:val="center"/>
        <w:rPr>
          <w:sz w:val="24"/>
          <w:lang w:val="it-IT"/>
        </w:rPr>
      </w:pPr>
      <w:r w:rsidRPr="004B5266">
        <w:rPr>
          <w:sz w:val="24"/>
          <w:lang w:val="it-IT"/>
        </w:rPr>
        <w:t xml:space="preserve">Emanuela Gamboni </w:t>
      </w:r>
      <w:r w:rsidRPr="004B5266">
        <w:rPr>
          <w:sz w:val="24"/>
          <w:vertAlign w:val="superscript"/>
          <w:lang w:val="it-IT"/>
        </w:rPr>
        <w:t>a</w:t>
      </w:r>
      <w:r w:rsidRPr="004B5266">
        <w:rPr>
          <w:sz w:val="24"/>
          <w:lang w:val="it-IT"/>
        </w:rPr>
        <w:t xml:space="preserve">, Federico Atzori </w:t>
      </w:r>
      <w:r w:rsidRPr="004B5266">
        <w:rPr>
          <w:sz w:val="24"/>
          <w:vertAlign w:val="superscript"/>
          <w:lang w:val="it-IT"/>
        </w:rPr>
        <w:t>b</w:t>
      </w:r>
      <w:r w:rsidRPr="004B5266">
        <w:rPr>
          <w:sz w:val="24"/>
          <w:lang w:val="it-IT"/>
        </w:rPr>
        <w:t>, Mattia Casula</w:t>
      </w:r>
      <w:r>
        <w:rPr>
          <w:sz w:val="24"/>
          <w:lang w:val="it-IT"/>
        </w:rPr>
        <w:t xml:space="preserve"> </w:t>
      </w:r>
      <w:r w:rsidRPr="004B5266">
        <w:rPr>
          <w:sz w:val="24"/>
          <w:vertAlign w:val="superscript"/>
          <w:lang w:val="it-IT"/>
        </w:rPr>
        <w:t>a</w:t>
      </w:r>
      <w:r w:rsidRPr="004B5266">
        <w:rPr>
          <w:sz w:val="24"/>
          <w:lang w:val="it-IT"/>
        </w:rPr>
        <w:t>, Giacomo Fais</w:t>
      </w:r>
      <w:r>
        <w:rPr>
          <w:sz w:val="24"/>
          <w:lang w:val="it-IT"/>
        </w:rPr>
        <w:t xml:space="preserve"> </w:t>
      </w:r>
      <w:r w:rsidRPr="004B5266">
        <w:rPr>
          <w:sz w:val="24"/>
          <w:vertAlign w:val="superscript"/>
          <w:lang w:val="it-IT"/>
        </w:rPr>
        <w:t>a,b</w:t>
      </w:r>
      <w:r w:rsidRPr="004B5266">
        <w:rPr>
          <w:sz w:val="24"/>
          <w:lang w:val="it-IT"/>
        </w:rPr>
        <w:t xml:space="preserve">, </w:t>
      </w:r>
      <w:r w:rsidRPr="00245A41">
        <w:rPr>
          <w:sz w:val="24"/>
          <w:lang w:val="it-IT"/>
        </w:rPr>
        <w:t xml:space="preserve">Alberto Cincotti </w:t>
      </w:r>
      <w:r w:rsidRPr="00245A41">
        <w:rPr>
          <w:sz w:val="24"/>
          <w:vertAlign w:val="superscript"/>
          <w:lang w:val="it-IT"/>
        </w:rPr>
        <w:t>a,b</w:t>
      </w:r>
      <w:r w:rsidRPr="00245A41">
        <w:rPr>
          <w:sz w:val="24"/>
          <w:lang w:val="it-IT"/>
        </w:rPr>
        <w:t xml:space="preserve">, </w:t>
      </w:r>
      <w:r w:rsidR="002C1EF6">
        <w:rPr>
          <w:sz w:val="24"/>
          <w:lang w:val="it-IT"/>
        </w:rPr>
        <w:t xml:space="preserve">Gabriele Traversari </w:t>
      </w:r>
      <w:r w:rsidR="002C1EF6" w:rsidRPr="002C1EF6">
        <w:rPr>
          <w:sz w:val="24"/>
          <w:vertAlign w:val="superscript"/>
          <w:lang w:val="it-IT"/>
        </w:rPr>
        <w:t>b</w:t>
      </w:r>
      <w:r w:rsidR="00AA051F">
        <w:rPr>
          <w:sz w:val="24"/>
          <w:lang w:val="it-IT"/>
        </w:rPr>
        <w:t xml:space="preserve">, </w:t>
      </w:r>
      <w:r w:rsidR="00AA051F" w:rsidRPr="004B5266">
        <w:rPr>
          <w:sz w:val="24"/>
          <w:lang w:val="it-IT"/>
        </w:rPr>
        <w:t>Giacomo Cao</w:t>
      </w:r>
      <w:r w:rsidR="00AA051F">
        <w:rPr>
          <w:sz w:val="24"/>
          <w:lang w:val="it-IT"/>
        </w:rPr>
        <w:t xml:space="preserve"> </w:t>
      </w:r>
      <w:r w:rsidR="00AA051F" w:rsidRPr="004B5266">
        <w:rPr>
          <w:sz w:val="24"/>
          <w:vertAlign w:val="superscript"/>
          <w:lang w:val="it-IT"/>
        </w:rPr>
        <w:t>a,b,c</w:t>
      </w:r>
      <w:r w:rsidR="00AA051F" w:rsidRPr="004B5266">
        <w:rPr>
          <w:sz w:val="24"/>
          <w:lang w:val="it-IT"/>
        </w:rPr>
        <w:t xml:space="preserve"> </w:t>
      </w:r>
      <w:r w:rsidRPr="004B5266">
        <w:rPr>
          <w:sz w:val="24"/>
          <w:lang w:val="it-IT"/>
        </w:rPr>
        <w:t xml:space="preserve">and Alessandro Concas </w:t>
      </w:r>
      <w:r w:rsidRPr="004B5266">
        <w:rPr>
          <w:sz w:val="24"/>
          <w:vertAlign w:val="superscript"/>
          <w:lang w:val="it-IT"/>
        </w:rPr>
        <w:t>a,b,*</w:t>
      </w:r>
    </w:p>
    <w:p w14:paraId="02C7010C" w14:textId="77777777" w:rsidR="004B5266" w:rsidRPr="004B5266" w:rsidRDefault="004B5266" w:rsidP="00B57E6F">
      <w:pPr>
        <w:pStyle w:val="CETAddress"/>
        <w:rPr>
          <w:sz w:val="24"/>
          <w:lang w:val="it-IT"/>
        </w:rPr>
      </w:pPr>
    </w:p>
    <w:p w14:paraId="404F8D0F" w14:textId="3A595B40" w:rsidR="004B5266" w:rsidRDefault="00B57E6F" w:rsidP="004B5266">
      <w:pPr>
        <w:pStyle w:val="CETAddress"/>
      </w:pPr>
      <w:r w:rsidRPr="00B57B36">
        <w:rPr>
          <w:vertAlign w:val="superscript"/>
        </w:rPr>
        <w:t>a</w:t>
      </w:r>
      <w:r w:rsidR="004B5266">
        <w:t>Interdepartmental Centre of Environmental Science and Engineering (CINSA), University of Cagliari, Via San Giorgio 12, 09124 Cagliari, Italy</w:t>
      </w:r>
    </w:p>
    <w:p w14:paraId="46E35F53" w14:textId="77777777" w:rsidR="004B5266" w:rsidRDefault="004B5266" w:rsidP="004B5266">
      <w:pPr>
        <w:pStyle w:val="CETAddress"/>
      </w:pPr>
      <w:r w:rsidRPr="004B5266">
        <w:rPr>
          <w:vertAlign w:val="superscript"/>
        </w:rPr>
        <w:t xml:space="preserve">b </w:t>
      </w:r>
      <w:r>
        <w:t>Department of Mechanical, Chemical and Materials Engineering, University of Cagliari, Via Marengo 2, 09123 Cagliari, Italy.</w:t>
      </w:r>
    </w:p>
    <w:p w14:paraId="6893AF25" w14:textId="7FEAAFF8" w:rsidR="00600535" w:rsidRDefault="004B5266" w:rsidP="004B5266">
      <w:pPr>
        <w:pStyle w:val="CETAddress"/>
      </w:pPr>
      <w:r w:rsidRPr="004B5266">
        <w:rPr>
          <w:vertAlign w:val="superscript"/>
        </w:rPr>
        <w:t>c</w:t>
      </w:r>
      <w:r>
        <w:t xml:space="preserve"> Center for Advanced Studies, Research and Development in Sardinia (CRS4), Loc. Piscina Manna, Building 1, 09050 Pula (CA), Italy.</w:t>
      </w:r>
    </w:p>
    <w:p w14:paraId="0CADF7C3" w14:textId="77777777" w:rsidR="00B30B94" w:rsidRDefault="00B30B94" w:rsidP="004B5266">
      <w:pPr>
        <w:pStyle w:val="CETAddress"/>
      </w:pPr>
    </w:p>
    <w:p w14:paraId="61786723" w14:textId="0F7380A3" w:rsidR="00B30B94" w:rsidRDefault="00B30B94" w:rsidP="004B5266">
      <w:pPr>
        <w:pStyle w:val="CETAddress"/>
      </w:pPr>
      <w:hyperlink r:id="rId10" w:history="1">
        <w:r w:rsidRPr="009C2B41">
          <w:rPr>
            <w:rStyle w:val="Collegamentoipertestuale"/>
          </w:rPr>
          <w:t>alessandro.concas@unica.it</w:t>
        </w:r>
      </w:hyperlink>
    </w:p>
    <w:p w14:paraId="75577863" w14:textId="77777777" w:rsidR="004B5266" w:rsidRDefault="004B5266" w:rsidP="004B5266">
      <w:pPr>
        <w:pStyle w:val="CETAddress"/>
      </w:pPr>
    </w:p>
    <w:p w14:paraId="420E49F2" w14:textId="542D6E5C" w:rsidR="00325D5B" w:rsidRPr="00325D5B" w:rsidRDefault="00325D5B" w:rsidP="005F0F86">
      <w:pPr>
        <w:pStyle w:val="CETBodytext"/>
      </w:pPr>
      <w:r w:rsidRPr="00325D5B">
        <w:t xml:space="preserve">To enhance the prospects of long-term human missions to Mars, it is crucial to investigate the use of locally available resources to cultivate microalgae as a sustainable source of food for astronauts. This research </w:t>
      </w:r>
      <w:r w:rsidR="005D5BBE">
        <w:t>investigates</w:t>
      </w:r>
      <w:r w:rsidRPr="00325D5B">
        <w:t xml:space="preserve"> </w:t>
      </w:r>
      <w:r w:rsidR="005D5BBE">
        <w:t xml:space="preserve">the growth of </w:t>
      </w:r>
      <w:r w:rsidRPr="005D5BBE">
        <w:rPr>
          <w:i/>
          <w:iCs/>
        </w:rPr>
        <w:t>Chlorella vulgaris</w:t>
      </w:r>
      <w:r w:rsidRPr="00325D5B">
        <w:t xml:space="preserve"> </w:t>
      </w:r>
      <w:r w:rsidR="005D5BBE">
        <w:t>in</w:t>
      </w:r>
      <w:r w:rsidRPr="00325D5B">
        <w:t xml:space="preserve"> a </w:t>
      </w:r>
      <w:r w:rsidR="005D5BBE">
        <w:t xml:space="preserve">culture </w:t>
      </w:r>
      <w:r w:rsidRPr="00325D5B">
        <w:t>medium potentially obtainable on Mars using only in-situ available resources, i.e. regoli</w:t>
      </w:r>
      <w:r w:rsidR="005D5BBE">
        <w:t>th</w:t>
      </w:r>
      <w:r w:rsidRPr="00325D5B">
        <w:t>, atmospheric CO</w:t>
      </w:r>
      <w:r w:rsidRPr="0001371C">
        <w:rPr>
          <w:vertAlign w:val="subscript"/>
        </w:rPr>
        <w:t>2</w:t>
      </w:r>
      <w:r w:rsidRPr="00325D5B">
        <w:t xml:space="preserve"> and metabolic wastes of crew. Experiments were performed in this view</w:t>
      </w:r>
      <w:r w:rsidR="005D5BBE">
        <w:t>. T</w:t>
      </w:r>
      <w:r w:rsidRPr="00325D5B">
        <w:t xml:space="preserve">he obtained results were </w:t>
      </w:r>
      <w:r w:rsidR="005D5BBE">
        <w:t xml:space="preserve">then </w:t>
      </w:r>
      <w:r w:rsidRPr="00325D5B">
        <w:t xml:space="preserve">interpreted by a novel mathematical model. </w:t>
      </w:r>
      <w:r w:rsidR="005D5BBE">
        <w:t xml:space="preserve">The </w:t>
      </w:r>
      <w:r w:rsidRPr="00325D5B">
        <w:t xml:space="preserve">nutritional characteristics of </w:t>
      </w:r>
      <w:r w:rsidRPr="005D5BBE">
        <w:rPr>
          <w:i/>
          <w:iCs/>
        </w:rPr>
        <w:t>C. vulga</w:t>
      </w:r>
      <w:r w:rsidR="005D5BBE" w:rsidRPr="005D5BBE">
        <w:rPr>
          <w:i/>
          <w:iCs/>
        </w:rPr>
        <w:t>ri</w:t>
      </w:r>
      <w:r w:rsidRPr="005D5BBE">
        <w:rPr>
          <w:i/>
          <w:iCs/>
        </w:rPr>
        <w:t>s</w:t>
      </w:r>
      <w:r w:rsidRPr="00325D5B">
        <w:t xml:space="preserve"> biomass cultivated in such a “Martian” medium were also </w:t>
      </w:r>
      <w:r w:rsidR="005D5BBE">
        <w:t>investigated</w:t>
      </w:r>
      <w:r w:rsidRPr="00325D5B">
        <w:t>.</w:t>
      </w:r>
    </w:p>
    <w:p w14:paraId="476B2F2E" w14:textId="52B36035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5F6D0B45" w14:textId="77777777" w:rsidR="00DD5270" w:rsidRPr="00DD5270" w:rsidRDefault="00DD5270" w:rsidP="00DD5270">
      <w:pPr>
        <w:pStyle w:val="CETBodytext"/>
        <w:rPr>
          <w:lang w:val="en-GB"/>
        </w:rPr>
      </w:pPr>
      <w:r w:rsidRPr="00DD5270">
        <w:rPr>
          <w:lang w:val="en-GB"/>
        </w:rPr>
        <w:t xml:space="preserve">As humanity faces the depletion of Earth's resources and an escalating climate crisis, the need for alternative methods to produce essential supplies has become increasingly urgent. A long-term solution involves relocating human populations to other planets, where survival would depend on harnessing locally available resources. To achieve this, extended crewed missions beyond Earth must be conducted.  </w:t>
      </w:r>
    </w:p>
    <w:p w14:paraId="07A0BBA3" w14:textId="77777777" w:rsidR="00DD5270" w:rsidRPr="00DD5270" w:rsidRDefault="00DD5270" w:rsidP="00DD5270">
      <w:pPr>
        <w:pStyle w:val="CETBodytext"/>
        <w:rPr>
          <w:lang w:val="en-GB"/>
        </w:rPr>
      </w:pPr>
      <w:r w:rsidRPr="00DD5270">
        <w:rPr>
          <w:lang w:val="en-GB"/>
        </w:rPr>
        <w:t>Mars has emerged as a promising candidate for sustaining human life, offering key resources such as CO</w:t>
      </w:r>
      <w:r w:rsidRPr="00DD5270">
        <w:rPr>
          <w:rFonts w:ascii="Cambria Math" w:hAnsi="Cambria Math" w:cs="Cambria Math"/>
          <w:lang w:val="en-GB"/>
        </w:rPr>
        <w:t>₂</w:t>
      </w:r>
      <w:r w:rsidRPr="00DD5270">
        <w:rPr>
          <w:lang w:val="en-GB"/>
        </w:rPr>
        <w:t xml:space="preserve">, water, and </w:t>
      </w:r>
      <w:proofErr w:type="spellStart"/>
      <w:r w:rsidRPr="00DD5270">
        <w:rPr>
          <w:lang w:val="en-GB"/>
        </w:rPr>
        <w:t>regolith</w:t>
      </w:r>
      <w:proofErr w:type="spellEnd"/>
      <w:r w:rsidRPr="00DD5270">
        <w:rPr>
          <w:lang w:val="en-GB"/>
        </w:rPr>
        <w:t>. Through in-situ processing, these materials could be converted into vital consumables, including oxygen, water, and food (Casula et al., 2024). However, while current in-situ resource utilization (ISRU) technologies on Mars primarily focus on generating oxygen and propellants via physicochemical processes, they remain insufficient for supporting food production</w:t>
      </w:r>
      <w:r w:rsidRPr="00DD5270">
        <w:rPr>
          <w:rFonts w:cs="Arial"/>
          <w:lang w:val="en-GB"/>
        </w:rPr>
        <w:t>—</w:t>
      </w:r>
      <w:r w:rsidRPr="00DD5270">
        <w:rPr>
          <w:lang w:val="en-GB"/>
        </w:rPr>
        <w:t xml:space="preserve">an essential requirement for long-term human missions.  </w:t>
      </w:r>
    </w:p>
    <w:p w14:paraId="26388FE4" w14:textId="77777777" w:rsidR="00DD5270" w:rsidRPr="00DD5270" w:rsidRDefault="00DD5270" w:rsidP="00DD5270">
      <w:pPr>
        <w:pStyle w:val="CETBodytext"/>
        <w:rPr>
          <w:lang w:val="en-GB"/>
        </w:rPr>
      </w:pPr>
      <w:r w:rsidRPr="00DD5270">
        <w:rPr>
          <w:lang w:val="en-GB"/>
        </w:rPr>
        <w:t xml:space="preserve">Microalgae, particularly *Chlorella vulgaris*, have gained attention due to their ability to produce oxygen, edible biomass, and nutritional supplements for Mars crews. Recent advancements suggest that microalgae could be a viable solution for producing essential materials, including food, with minimal reliance on Earth-derived resources (Fais et al., 2022). This approach could significantly reduce the payload required for Mars missions, thereby enhancing their technical and economic feasibility.  </w:t>
      </w:r>
    </w:p>
    <w:p w14:paraId="77AC5D2D" w14:textId="04232B65" w:rsidR="00DD5270" w:rsidRPr="00DD5270" w:rsidRDefault="00DD5270" w:rsidP="00DD5270">
      <w:pPr>
        <w:pStyle w:val="CETBodytext"/>
        <w:rPr>
          <w:lang w:val="en-GB"/>
        </w:rPr>
      </w:pPr>
      <w:r w:rsidRPr="00DD5270">
        <w:rPr>
          <w:lang w:val="en-GB"/>
        </w:rPr>
        <w:t xml:space="preserve">To evaluate the practicality of this method, our study focuses on cultivating *C. vulgaris* in a simulated Martian environment using Martian </w:t>
      </w:r>
      <w:proofErr w:type="spellStart"/>
      <w:r w:rsidRPr="00DD5270">
        <w:rPr>
          <w:lang w:val="en-GB"/>
        </w:rPr>
        <w:t>regolith</w:t>
      </w:r>
      <w:proofErr w:type="spellEnd"/>
      <w:r w:rsidRPr="00DD5270">
        <w:rPr>
          <w:lang w:val="en-GB"/>
        </w:rPr>
        <w:t xml:space="preserve"> leachate, atmospheric CO</w:t>
      </w:r>
      <w:r w:rsidRPr="00DD5270">
        <w:rPr>
          <w:rFonts w:ascii="Cambria Math" w:hAnsi="Cambria Math" w:cs="Cambria Math"/>
          <w:lang w:val="en-GB"/>
        </w:rPr>
        <w:t>₂</w:t>
      </w:r>
      <w:r w:rsidRPr="00DD5270">
        <w:rPr>
          <w:lang w:val="en-GB"/>
        </w:rPr>
        <w:t xml:space="preserve">, and synthetic human urine. Experiments conducted under Mars-like conditions achieved </w:t>
      </w:r>
      <w:proofErr w:type="spellStart"/>
      <w:r w:rsidRPr="00DD5270">
        <w:rPr>
          <w:lang w:val="en-GB"/>
        </w:rPr>
        <w:t>favorable</w:t>
      </w:r>
      <w:proofErr w:type="spellEnd"/>
      <w:r w:rsidRPr="00DD5270">
        <w:rPr>
          <w:lang w:val="en-GB"/>
        </w:rPr>
        <w:t xml:space="preserve"> productivity levels, demonstrating the potential of this cultivation approach. Additionally, we developed a mathematical model to predict biomass growth dynamics under Martian conditions, considering factors such as pH, carbon availability, and limiting nutrient </w:t>
      </w:r>
      <w:r w:rsidRPr="00DD5270">
        <w:rPr>
          <w:lang w:val="en-GB"/>
        </w:rPr>
        <w:lastRenderedPageBreak/>
        <w:t xml:space="preserve">concentrations. This model could help determine optimal conditions for maximizing biomass productivity to meet the nutritional needs of a long-duration Mars mission crew.  </w:t>
      </w:r>
    </w:p>
    <w:p w14:paraId="2A7F896D" w14:textId="77777777" w:rsidR="00DD5270" w:rsidRPr="00DD5270" w:rsidRDefault="00DD5270" w:rsidP="00DD5270">
      <w:pPr>
        <w:pStyle w:val="CETBodytext"/>
        <w:rPr>
          <w:lang w:val="en-GB"/>
        </w:rPr>
      </w:pPr>
      <w:r w:rsidRPr="00DD5270">
        <w:rPr>
          <w:lang w:val="en-GB"/>
        </w:rPr>
        <w:t xml:space="preserve">Ultimately, this study aims to demonstrate that *C. vulgaris* can thrive and generate substantial amounts of algae-based food using only in-situ resources during a crewed Mars mission. This breakthrough would significantly improve mission feasibility by drastically reducing payload requirements and increasing self-sufficiency for long-term human habitation on Mars.  </w:t>
      </w:r>
    </w:p>
    <w:p w14:paraId="5741900F" w14:textId="4C4AAF11" w:rsidR="00453E24" w:rsidRDefault="00335262" w:rsidP="00453E24">
      <w:pPr>
        <w:pStyle w:val="CETHeading1"/>
      </w:pPr>
      <w:r>
        <w:t>Materials and Methods</w:t>
      </w:r>
    </w:p>
    <w:p w14:paraId="0636B784" w14:textId="3BC19F66" w:rsidR="00453E24" w:rsidRDefault="007D6F41" w:rsidP="00453E24">
      <w:pPr>
        <w:pStyle w:val="CETheadingx"/>
      </w:pPr>
      <w:r>
        <w:t>Microalgal strain</w:t>
      </w:r>
    </w:p>
    <w:p w14:paraId="7C2B0064" w14:textId="76DFAF5B" w:rsidR="00453E24" w:rsidRDefault="007D6F41" w:rsidP="00453E24">
      <w:pPr>
        <w:pStyle w:val="CETBodytext"/>
      </w:pPr>
      <w:r w:rsidRPr="007D6F41">
        <w:t>Cells of</w:t>
      </w:r>
      <w:r>
        <w:rPr>
          <w:i/>
          <w:iCs/>
        </w:rPr>
        <w:t xml:space="preserve"> </w:t>
      </w:r>
      <w:r w:rsidRPr="007D6F41">
        <w:rPr>
          <w:i/>
          <w:iCs/>
        </w:rPr>
        <w:t>C. vulgaris</w:t>
      </w:r>
      <w:r w:rsidRPr="007D6F41">
        <w:t xml:space="preserve"> CCALA 269 w</w:t>
      </w:r>
      <w:r>
        <w:t>ere</w:t>
      </w:r>
      <w:r w:rsidRPr="007D6F41">
        <w:t xml:space="preserve"> obtained from the Culture collection of autotrophic organisms (CCALA</w:t>
      </w:r>
      <w:r>
        <w:t>,</w:t>
      </w:r>
      <w:r w:rsidRPr="007D6F41">
        <w:t xml:space="preserve"> Czech Republic</w:t>
      </w:r>
      <w:r>
        <w:t>)</w:t>
      </w:r>
      <w:r w:rsidRPr="007D6F41">
        <w:t xml:space="preserve">. </w:t>
      </w:r>
      <w:r>
        <w:t>The strain</w:t>
      </w:r>
      <w:r w:rsidRPr="007D6F41">
        <w:t xml:space="preserve"> was </w:t>
      </w:r>
      <w:r>
        <w:t xml:space="preserve">maintained </w:t>
      </w:r>
      <w:r w:rsidRPr="007D6F41">
        <w:t>in Bold Basal Medium (BBM</w:t>
      </w:r>
      <w:r>
        <w:t xml:space="preserve">) </w:t>
      </w:r>
      <w:r w:rsidRPr="007D6F41">
        <w:t>at 20 °C in a 5-L laboratory bottle under a light intensity</w:t>
      </w:r>
      <w:r w:rsidR="009A0C30">
        <w:t xml:space="preserve">, measured by a suitable luxmeter, of </w:t>
      </w:r>
      <w:r w:rsidRPr="007D6F41">
        <w:t>40 µ</w:t>
      </w:r>
      <w:proofErr w:type="spellStart"/>
      <w:r w:rsidRPr="007D6F41">
        <w:t>mol</w:t>
      </w:r>
      <w:r w:rsidRPr="007D6F41">
        <w:rPr>
          <w:vertAlign w:val="subscript"/>
        </w:rPr>
        <w:t>ph</w:t>
      </w:r>
      <w:proofErr w:type="spellEnd"/>
      <w:r w:rsidRPr="007D6F41">
        <w:t xml:space="preserve"> m</w:t>
      </w:r>
      <w:r w:rsidRPr="007D6F41">
        <w:rPr>
          <w:vertAlign w:val="superscript"/>
        </w:rPr>
        <w:t>−2</w:t>
      </w:r>
      <w:r>
        <w:t xml:space="preserve"> </w:t>
      </w:r>
      <w:r w:rsidRPr="007D6F41">
        <w:t>s</w:t>
      </w:r>
      <w:r w:rsidRPr="007D6F41">
        <w:rPr>
          <w:vertAlign w:val="superscript"/>
        </w:rPr>
        <w:t>−1</w:t>
      </w:r>
      <w:r w:rsidR="009A0C30">
        <w:t xml:space="preserve">. A </w:t>
      </w:r>
      <w:proofErr w:type="gramStart"/>
      <w:r w:rsidR="00E14D17">
        <w:t>photoperiod</w:t>
      </w:r>
      <w:proofErr w:type="gramEnd"/>
      <w:r w:rsidR="009A0C30">
        <w:t xml:space="preserve"> of </w:t>
      </w:r>
      <w:r w:rsidRPr="007D6F41">
        <w:t xml:space="preserve">12 h/12 h day/night </w:t>
      </w:r>
      <w:r w:rsidR="009A0C30">
        <w:t>was adopted</w:t>
      </w:r>
      <w:r w:rsidRPr="007D6F41">
        <w:t>. Cultures were agitated</w:t>
      </w:r>
      <w:r w:rsidR="009A0C30">
        <w:t xml:space="preserve"> </w:t>
      </w:r>
      <w:r w:rsidR="009A0C30" w:rsidRPr="007D6F41">
        <w:t>at 70 rpm</w:t>
      </w:r>
      <w:r w:rsidRPr="007D6F41">
        <w:t xml:space="preserve"> by using a rotary shaker.</w:t>
      </w:r>
    </w:p>
    <w:p w14:paraId="18BAFA6F" w14:textId="566C3F4F" w:rsidR="00453E24" w:rsidRPr="00B57B36" w:rsidRDefault="00300082" w:rsidP="00453E24">
      <w:pPr>
        <w:pStyle w:val="CETheadingx"/>
      </w:pPr>
      <w:proofErr w:type="gramStart"/>
      <w:r>
        <w:t>Simulant</w:t>
      </w:r>
      <w:proofErr w:type="gramEnd"/>
      <w:r>
        <w:t xml:space="preserve"> of c</w:t>
      </w:r>
      <w:r w:rsidRPr="00300082">
        <w:t xml:space="preserve">ulture medium </w:t>
      </w:r>
      <w:r>
        <w:t xml:space="preserve">obtainable on Mars </w:t>
      </w:r>
    </w:p>
    <w:p w14:paraId="4C9753CD" w14:textId="74A344A1" w:rsidR="00D9742C" w:rsidRDefault="00300082" w:rsidP="00453E24">
      <w:pPr>
        <w:pStyle w:val="CETBodytext"/>
        <w:rPr>
          <w:lang w:val="en-GB"/>
        </w:rPr>
      </w:pPr>
      <w:r>
        <w:rPr>
          <w:lang w:val="en-GB"/>
        </w:rPr>
        <w:t xml:space="preserve">A growth medium potentially </w:t>
      </w:r>
      <w:r w:rsidR="00D9742C">
        <w:rPr>
          <w:lang w:val="en-GB"/>
        </w:rPr>
        <w:t>attainable</w:t>
      </w:r>
      <w:r>
        <w:rPr>
          <w:lang w:val="en-GB"/>
        </w:rPr>
        <w:t xml:space="preserve"> on Mars </w:t>
      </w:r>
      <w:r w:rsidRPr="00300082">
        <w:rPr>
          <w:lang w:val="en-GB"/>
        </w:rPr>
        <w:t>(MM)</w:t>
      </w:r>
      <w:r>
        <w:rPr>
          <w:lang w:val="en-GB"/>
        </w:rPr>
        <w:t xml:space="preserve"> </w:t>
      </w:r>
      <w:r w:rsidR="00D9742C">
        <w:rPr>
          <w:lang w:val="en-GB"/>
        </w:rPr>
        <w:t xml:space="preserve">using in-situ available resources </w:t>
      </w:r>
      <w:r>
        <w:rPr>
          <w:lang w:val="en-GB"/>
        </w:rPr>
        <w:t xml:space="preserve">was </w:t>
      </w:r>
      <w:r w:rsidR="00D9742C">
        <w:rPr>
          <w:lang w:val="en-GB"/>
        </w:rPr>
        <w:t xml:space="preserve">produced </w:t>
      </w:r>
      <w:r>
        <w:rPr>
          <w:lang w:val="en-GB"/>
        </w:rPr>
        <w:t xml:space="preserve">by mixing the </w:t>
      </w:r>
      <w:r w:rsidRPr="00300082">
        <w:rPr>
          <w:lang w:val="en-GB"/>
        </w:rPr>
        <w:t>leachate</w:t>
      </w:r>
      <w:r>
        <w:rPr>
          <w:lang w:val="en-GB"/>
        </w:rPr>
        <w:t xml:space="preserve"> of </w:t>
      </w:r>
      <w:r w:rsidR="00D9742C">
        <w:rPr>
          <w:lang w:val="en-GB"/>
        </w:rPr>
        <w:t xml:space="preserve">a </w:t>
      </w:r>
      <w:proofErr w:type="spellStart"/>
      <w:r>
        <w:rPr>
          <w:lang w:val="en-GB"/>
        </w:rPr>
        <w:t>regolith</w:t>
      </w:r>
      <w:proofErr w:type="spellEnd"/>
      <w:r>
        <w:rPr>
          <w:lang w:val="en-GB"/>
        </w:rPr>
        <w:t xml:space="preserve"> simulant</w:t>
      </w:r>
      <w:r w:rsidRPr="00300082">
        <w:rPr>
          <w:lang w:val="en-GB"/>
        </w:rPr>
        <w:t xml:space="preserve"> (RL)</w:t>
      </w:r>
      <w:r>
        <w:rPr>
          <w:lang w:val="en-GB"/>
        </w:rPr>
        <w:t xml:space="preserve"> with </w:t>
      </w:r>
      <w:r w:rsidR="00D9742C">
        <w:rPr>
          <w:lang w:val="en-GB"/>
        </w:rPr>
        <w:t xml:space="preserve">diluted </w:t>
      </w:r>
      <w:r w:rsidRPr="00300082">
        <w:rPr>
          <w:lang w:val="en-GB"/>
        </w:rPr>
        <w:t>synthetic human urine (</w:t>
      </w:r>
      <w:r>
        <w:rPr>
          <w:lang w:val="en-GB"/>
        </w:rPr>
        <w:t>SU</w:t>
      </w:r>
      <w:r w:rsidRPr="00300082">
        <w:rPr>
          <w:lang w:val="en-GB"/>
        </w:rPr>
        <w:t>)</w:t>
      </w:r>
      <w:r>
        <w:rPr>
          <w:lang w:val="en-GB"/>
        </w:rPr>
        <w:t xml:space="preserve"> as reported by </w:t>
      </w:r>
      <w:r w:rsidRPr="007015B7">
        <w:rPr>
          <w:lang w:val="en-GB"/>
        </w:rPr>
        <w:t>Fais et al. (2022).</w:t>
      </w:r>
      <w:r w:rsidRPr="00300082">
        <w:rPr>
          <w:lang w:val="en-GB"/>
        </w:rPr>
        <w:t xml:space="preserve"> </w:t>
      </w:r>
      <w:r>
        <w:rPr>
          <w:lang w:val="en-GB"/>
        </w:rPr>
        <w:t>T</w:t>
      </w:r>
      <w:r w:rsidRPr="00300082">
        <w:rPr>
          <w:lang w:val="en-GB"/>
        </w:rPr>
        <w:t xml:space="preserve">he </w:t>
      </w:r>
      <w:proofErr w:type="spellStart"/>
      <w:r w:rsidRPr="00300082">
        <w:rPr>
          <w:lang w:val="en-GB"/>
        </w:rPr>
        <w:t>regolith</w:t>
      </w:r>
      <w:proofErr w:type="spellEnd"/>
      <w:r w:rsidRPr="00300082">
        <w:rPr>
          <w:lang w:val="en-GB"/>
        </w:rPr>
        <w:t xml:space="preserve"> leachate (RL) was obtained by </w:t>
      </w:r>
      <w:r>
        <w:rPr>
          <w:lang w:val="en-GB"/>
        </w:rPr>
        <w:t xml:space="preserve">contacting a suitable amount </w:t>
      </w:r>
      <w:r w:rsidRPr="00300082">
        <w:rPr>
          <w:lang w:val="en-GB"/>
        </w:rPr>
        <w:t>of JSC Mars-1</w:t>
      </w:r>
      <w:r>
        <w:rPr>
          <w:lang w:val="en-GB"/>
        </w:rPr>
        <w:t xml:space="preserve"> </w:t>
      </w:r>
      <w:proofErr w:type="spellStart"/>
      <w:r w:rsidRPr="00300082">
        <w:rPr>
          <w:lang w:val="en-GB"/>
        </w:rPr>
        <w:t>regolith</w:t>
      </w:r>
      <w:proofErr w:type="spellEnd"/>
      <w:r w:rsidRPr="00300082">
        <w:rPr>
          <w:lang w:val="en-GB"/>
        </w:rPr>
        <w:t xml:space="preserve"> simulant</w:t>
      </w:r>
      <w:r>
        <w:rPr>
          <w:lang w:val="en-GB"/>
        </w:rPr>
        <w:t xml:space="preserve"> with a given volume of distilled </w:t>
      </w:r>
      <w:r w:rsidRPr="00300082">
        <w:rPr>
          <w:lang w:val="en-GB"/>
        </w:rPr>
        <w:t xml:space="preserve">water </w:t>
      </w:r>
      <w:r w:rsidR="00D9742C">
        <w:rPr>
          <w:lang w:val="en-GB"/>
        </w:rPr>
        <w:t>(</w:t>
      </w:r>
      <w:r>
        <w:rPr>
          <w:lang w:val="en-GB"/>
        </w:rPr>
        <w:t>p</w:t>
      </w:r>
      <w:r w:rsidRPr="00300082">
        <w:rPr>
          <w:lang w:val="en-GB"/>
        </w:rPr>
        <w:t>H 6.80</w:t>
      </w:r>
      <w:r w:rsidR="00D9742C">
        <w:rPr>
          <w:lang w:val="en-GB"/>
        </w:rPr>
        <w:t>)</w:t>
      </w:r>
      <w:r>
        <w:rPr>
          <w:lang w:val="en-GB"/>
        </w:rPr>
        <w:t xml:space="preserve"> and then </w:t>
      </w:r>
      <w:r w:rsidRPr="00300082">
        <w:rPr>
          <w:lang w:val="en-GB"/>
        </w:rPr>
        <w:t xml:space="preserve">stirring the </w:t>
      </w:r>
      <w:r w:rsidR="00D9742C">
        <w:rPr>
          <w:lang w:val="en-GB"/>
        </w:rPr>
        <w:t xml:space="preserve">solid-liquid mixture </w:t>
      </w:r>
      <w:r w:rsidRPr="00300082">
        <w:rPr>
          <w:lang w:val="en-GB"/>
        </w:rPr>
        <w:t xml:space="preserve">for 24 h at 25 °C. </w:t>
      </w:r>
      <w:r>
        <w:rPr>
          <w:lang w:val="en-GB"/>
        </w:rPr>
        <w:t>SU</w:t>
      </w:r>
      <w:r w:rsidRPr="00300082">
        <w:rPr>
          <w:lang w:val="en-GB"/>
        </w:rPr>
        <w:t xml:space="preserve"> was produced according to </w:t>
      </w:r>
      <w:r w:rsidRPr="00E14D17">
        <w:rPr>
          <w:lang w:val="en-GB"/>
        </w:rPr>
        <w:t>Sarigul et al. (2019)</w:t>
      </w:r>
      <w:r w:rsidRPr="00300082">
        <w:rPr>
          <w:lang w:val="en-GB"/>
        </w:rPr>
        <w:t xml:space="preserve"> and diluted with ultrapure water at a ratio of 1:1</w:t>
      </w:r>
      <w:r w:rsidR="00D76AE6">
        <w:rPr>
          <w:lang w:val="en-GB"/>
        </w:rPr>
        <w:t>te-</w:t>
      </w:r>
      <w:r w:rsidRPr="00300082">
        <w:rPr>
          <w:lang w:val="en-GB"/>
        </w:rPr>
        <w:t xml:space="preserve">0 v/v. </w:t>
      </w:r>
      <w:r w:rsidR="00D9742C">
        <w:rPr>
          <w:lang w:val="en-GB"/>
        </w:rPr>
        <w:t>Subsequently</w:t>
      </w:r>
      <w:r w:rsidRPr="00300082">
        <w:rPr>
          <w:lang w:val="en-GB"/>
        </w:rPr>
        <w:t xml:space="preserve">, </w:t>
      </w:r>
      <w:r w:rsidR="00D9742C">
        <w:rPr>
          <w:lang w:val="en-GB"/>
        </w:rPr>
        <w:t>RL</w:t>
      </w:r>
      <w:r w:rsidRPr="00300082">
        <w:rPr>
          <w:lang w:val="en-GB"/>
        </w:rPr>
        <w:t xml:space="preserve"> and diluted </w:t>
      </w:r>
      <w:r w:rsidR="00D9742C">
        <w:rPr>
          <w:lang w:val="en-GB"/>
        </w:rPr>
        <w:t xml:space="preserve">SU </w:t>
      </w:r>
      <w:r w:rsidRPr="00300082">
        <w:rPr>
          <w:lang w:val="en-GB"/>
        </w:rPr>
        <w:t xml:space="preserve">were mixed (1:1 v/v) to </w:t>
      </w:r>
      <w:r w:rsidR="00D9742C">
        <w:rPr>
          <w:lang w:val="en-GB"/>
        </w:rPr>
        <w:t xml:space="preserve">obtain the </w:t>
      </w:r>
      <w:r w:rsidRPr="00300082">
        <w:rPr>
          <w:lang w:val="en-GB"/>
        </w:rPr>
        <w:t xml:space="preserve">MM. </w:t>
      </w:r>
      <w:r w:rsidR="00D9742C">
        <w:rPr>
          <w:lang w:val="en-GB"/>
        </w:rPr>
        <w:t xml:space="preserve">Different dilutions of MM with </w:t>
      </w:r>
      <w:r w:rsidR="00D76AE6">
        <w:rPr>
          <w:lang w:val="en-GB"/>
        </w:rPr>
        <w:t>bicarbonate-</w:t>
      </w:r>
      <w:r w:rsidR="00D9742C">
        <w:rPr>
          <w:lang w:val="en-GB"/>
        </w:rPr>
        <w:t xml:space="preserve">enriched BBM </w:t>
      </w:r>
      <w:r w:rsidRPr="00300082">
        <w:rPr>
          <w:lang w:val="en-GB"/>
        </w:rPr>
        <w:t xml:space="preserve">were </w:t>
      </w:r>
      <w:r w:rsidR="00D9742C">
        <w:rPr>
          <w:lang w:val="en-GB"/>
        </w:rPr>
        <w:t xml:space="preserve">then evaluated during as growth media for </w:t>
      </w:r>
      <w:r w:rsidR="00D9742C" w:rsidRPr="00EF7D78">
        <w:rPr>
          <w:i/>
          <w:iCs/>
          <w:lang w:val="en-GB"/>
        </w:rPr>
        <w:t>C. vulgaris</w:t>
      </w:r>
      <w:r w:rsidR="00D9742C">
        <w:rPr>
          <w:lang w:val="en-GB"/>
        </w:rPr>
        <w:t xml:space="preserve"> cultivation. Specifically, the dilutions are reported in the following table. </w:t>
      </w:r>
    </w:p>
    <w:p w14:paraId="5CBDBBB9" w14:textId="2857F2D6" w:rsidR="00D9742C" w:rsidRDefault="00D9742C" w:rsidP="00D9742C">
      <w:pPr>
        <w:pStyle w:val="CETTabletitle"/>
      </w:pPr>
      <w:r>
        <w:t>Table 1. Volumetric composition of the investigated media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1465"/>
        <w:gridCol w:w="1465"/>
        <w:gridCol w:w="1464"/>
        <w:gridCol w:w="1464"/>
        <w:gridCol w:w="1464"/>
      </w:tblGrid>
      <w:tr w:rsidR="00BB1AD3" w:rsidRPr="00EF7D78" w14:paraId="57B3E32F" w14:textId="77777777" w:rsidTr="00BB1AD3">
        <w:tc>
          <w:tcPr>
            <w:tcW w:w="833" w:type="pct"/>
            <w:tcBorders>
              <w:top w:val="single" w:sz="12" w:space="0" w:color="00B050"/>
              <w:bottom w:val="single" w:sz="4" w:space="0" w:color="00B050"/>
            </w:tcBorders>
          </w:tcPr>
          <w:p w14:paraId="400D3A77" w14:textId="65C37F06" w:rsidR="00BB1AD3" w:rsidRPr="00EF7D78" w:rsidRDefault="00BB1AD3" w:rsidP="00453E24">
            <w:pPr>
              <w:pStyle w:val="CETBodytext"/>
              <w:rPr>
                <w:b/>
                <w:bCs/>
                <w:sz w:val="16"/>
                <w:szCs w:val="16"/>
                <w:lang w:val="en-GB"/>
              </w:rPr>
            </w:pPr>
            <w:r w:rsidRPr="00EF7D78">
              <w:rPr>
                <w:b/>
                <w:bCs/>
                <w:sz w:val="16"/>
                <w:szCs w:val="16"/>
                <w:lang w:val="en-GB"/>
              </w:rPr>
              <w:t>Medium</w:t>
            </w:r>
          </w:p>
        </w:tc>
        <w:tc>
          <w:tcPr>
            <w:tcW w:w="833" w:type="pct"/>
            <w:tcBorders>
              <w:top w:val="single" w:sz="12" w:space="0" w:color="00B050"/>
              <w:bottom w:val="single" w:sz="4" w:space="0" w:color="00B050"/>
            </w:tcBorders>
          </w:tcPr>
          <w:p w14:paraId="5688B1A2" w14:textId="240BE587" w:rsidR="00BB1AD3" w:rsidRPr="00EF7D78" w:rsidRDefault="00BB1AD3" w:rsidP="00EF7D78">
            <w:pPr>
              <w:pStyle w:val="CETBodytext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EF7D78">
              <w:rPr>
                <w:b/>
                <w:bCs/>
                <w:sz w:val="16"/>
                <w:szCs w:val="16"/>
                <w:lang w:val="en-GB"/>
              </w:rPr>
              <w:t>MM0</w:t>
            </w:r>
          </w:p>
        </w:tc>
        <w:tc>
          <w:tcPr>
            <w:tcW w:w="833" w:type="pct"/>
            <w:tcBorders>
              <w:top w:val="single" w:sz="12" w:space="0" w:color="00B050"/>
              <w:bottom w:val="single" w:sz="4" w:space="0" w:color="00B050"/>
            </w:tcBorders>
          </w:tcPr>
          <w:p w14:paraId="55137BDA" w14:textId="33677FDF" w:rsidR="00BB1AD3" w:rsidRPr="00EF7D78" w:rsidRDefault="00BB1AD3" w:rsidP="00EF7D78">
            <w:pPr>
              <w:pStyle w:val="CETBodytext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EF7D78">
              <w:rPr>
                <w:b/>
                <w:bCs/>
                <w:sz w:val="16"/>
                <w:szCs w:val="16"/>
                <w:lang w:val="en-GB"/>
              </w:rPr>
              <w:t>MM20</w:t>
            </w:r>
          </w:p>
        </w:tc>
        <w:tc>
          <w:tcPr>
            <w:tcW w:w="833" w:type="pct"/>
            <w:tcBorders>
              <w:top w:val="single" w:sz="12" w:space="0" w:color="00B050"/>
              <w:bottom w:val="single" w:sz="4" w:space="0" w:color="00B050"/>
            </w:tcBorders>
          </w:tcPr>
          <w:p w14:paraId="67833887" w14:textId="5E173381" w:rsidR="00BB1AD3" w:rsidRPr="00EF7D78" w:rsidRDefault="00BB1AD3" w:rsidP="00EF7D78">
            <w:pPr>
              <w:pStyle w:val="CETBodytext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EF7D78">
              <w:rPr>
                <w:b/>
                <w:bCs/>
                <w:sz w:val="16"/>
                <w:szCs w:val="16"/>
                <w:lang w:val="en-GB"/>
              </w:rPr>
              <w:t>MM40</w:t>
            </w:r>
          </w:p>
        </w:tc>
        <w:tc>
          <w:tcPr>
            <w:tcW w:w="833" w:type="pct"/>
            <w:tcBorders>
              <w:top w:val="single" w:sz="12" w:space="0" w:color="00B050"/>
              <w:bottom w:val="single" w:sz="4" w:space="0" w:color="00B050"/>
            </w:tcBorders>
          </w:tcPr>
          <w:p w14:paraId="301C872F" w14:textId="4B45AC3F" w:rsidR="00BB1AD3" w:rsidRPr="00EF7D78" w:rsidRDefault="00BB1AD3" w:rsidP="00EF7D78">
            <w:pPr>
              <w:pStyle w:val="CETBodytext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EF7D78">
              <w:rPr>
                <w:b/>
                <w:bCs/>
                <w:sz w:val="16"/>
                <w:szCs w:val="16"/>
                <w:lang w:val="en-GB"/>
              </w:rPr>
              <w:t>MM60</w:t>
            </w:r>
          </w:p>
        </w:tc>
        <w:tc>
          <w:tcPr>
            <w:tcW w:w="833" w:type="pct"/>
            <w:tcBorders>
              <w:top w:val="single" w:sz="12" w:space="0" w:color="00B050"/>
              <w:bottom w:val="single" w:sz="4" w:space="0" w:color="00B050"/>
            </w:tcBorders>
          </w:tcPr>
          <w:p w14:paraId="71B213F0" w14:textId="38637FBB" w:rsidR="00BB1AD3" w:rsidRPr="00EF7D78" w:rsidRDefault="00BB1AD3" w:rsidP="00EF7D78">
            <w:pPr>
              <w:pStyle w:val="CETBodytext"/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EF7D78">
              <w:rPr>
                <w:b/>
                <w:bCs/>
                <w:sz w:val="16"/>
                <w:szCs w:val="16"/>
                <w:lang w:val="en-GB"/>
              </w:rPr>
              <w:t>MM100</w:t>
            </w:r>
          </w:p>
        </w:tc>
      </w:tr>
      <w:tr w:rsidR="00BB1AD3" w:rsidRPr="00EF7D78" w14:paraId="2F7BF8AB" w14:textId="77777777" w:rsidTr="00BB1AD3">
        <w:tc>
          <w:tcPr>
            <w:tcW w:w="833" w:type="pct"/>
            <w:tcBorders>
              <w:top w:val="single" w:sz="4" w:space="0" w:color="00B050"/>
            </w:tcBorders>
          </w:tcPr>
          <w:p w14:paraId="2B1F6BCD" w14:textId="6E5C65C4" w:rsidR="00BB1AD3" w:rsidRPr="00EF7D78" w:rsidRDefault="00BB1AD3" w:rsidP="00453E24">
            <w:pPr>
              <w:pStyle w:val="CETBodytext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BBM (vol %)</w:t>
            </w:r>
          </w:p>
        </w:tc>
        <w:tc>
          <w:tcPr>
            <w:tcW w:w="833" w:type="pct"/>
            <w:tcBorders>
              <w:top w:val="single" w:sz="4" w:space="0" w:color="00B050"/>
            </w:tcBorders>
          </w:tcPr>
          <w:p w14:paraId="6F775643" w14:textId="50FA8A27" w:rsidR="00BB1AD3" w:rsidRPr="00EF7D78" w:rsidRDefault="00BB1AD3" w:rsidP="00EF7D78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100</w:t>
            </w:r>
          </w:p>
        </w:tc>
        <w:tc>
          <w:tcPr>
            <w:tcW w:w="833" w:type="pct"/>
            <w:tcBorders>
              <w:top w:val="single" w:sz="4" w:space="0" w:color="00B050"/>
            </w:tcBorders>
          </w:tcPr>
          <w:p w14:paraId="50352A6C" w14:textId="390782F9" w:rsidR="00BB1AD3" w:rsidRPr="00EF7D78" w:rsidRDefault="00BB1AD3" w:rsidP="00EF7D78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80</w:t>
            </w:r>
          </w:p>
        </w:tc>
        <w:tc>
          <w:tcPr>
            <w:tcW w:w="833" w:type="pct"/>
            <w:tcBorders>
              <w:top w:val="single" w:sz="4" w:space="0" w:color="00B050"/>
            </w:tcBorders>
          </w:tcPr>
          <w:p w14:paraId="22A9423C" w14:textId="3CB4BD12" w:rsidR="00BB1AD3" w:rsidRPr="00EF7D78" w:rsidRDefault="00BB1AD3" w:rsidP="00EF7D78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60</w:t>
            </w:r>
          </w:p>
        </w:tc>
        <w:tc>
          <w:tcPr>
            <w:tcW w:w="833" w:type="pct"/>
            <w:tcBorders>
              <w:top w:val="single" w:sz="4" w:space="0" w:color="00B050"/>
            </w:tcBorders>
          </w:tcPr>
          <w:p w14:paraId="525EB8D5" w14:textId="57AD81EE" w:rsidR="00BB1AD3" w:rsidRPr="00EF7D78" w:rsidRDefault="00BB1AD3" w:rsidP="00EF7D78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833" w:type="pct"/>
            <w:tcBorders>
              <w:top w:val="single" w:sz="4" w:space="0" w:color="00B050"/>
            </w:tcBorders>
          </w:tcPr>
          <w:p w14:paraId="059E930C" w14:textId="15889368" w:rsidR="00BB1AD3" w:rsidRPr="00EF7D78" w:rsidRDefault="00BB1AD3" w:rsidP="00EF7D78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0</w:t>
            </w:r>
          </w:p>
        </w:tc>
      </w:tr>
      <w:tr w:rsidR="00BB1AD3" w:rsidRPr="00EF7D78" w14:paraId="29CB7519" w14:textId="77777777" w:rsidTr="00BB1AD3">
        <w:tc>
          <w:tcPr>
            <w:tcW w:w="833" w:type="pct"/>
            <w:tcBorders>
              <w:bottom w:val="single" w:sz="12" w:space="0" w:color="00B050"/>
            </w:tcBorders>
          </w:tcPr>
          <w:p w14:paraId="41FF92A2" w14:textId="2E1A48CF" w:rsidR="00BB1AD3" w:rsidRPr="00EF7D78" w:rsidRDefault="00BB1AD3" w:rsidP="00453E24">
            <w:pPr>
              <w:pStyle w:val="CETBodytext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MM (vol %)</w:t>
            </w:r>
          </w:p>
        </w:tc>
        <w:tc>
          <w:tcPr>
            <w:tcW w:w="833" w:type="pct"/>
            <w:tcBorders>
              <w:bottom w:val="single" w:sz="12" w:space="0" w:color="00B050"/>
            </w:tcBorders>
          </w:tcPr>
          <w:p w14:paraId="04A93AE1" w14:textId="338BC550" w:rsidR="00BB1AD3" w:rsidRPr="00EF7D78" w:rsidRDefault="00BB1AD3" w:rsidP="00EF7D78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833" w:type="pct"/>
            <w:tcBorders>
              <w:bottom w:val="single" w:sz="12" w:space="0" w:color="00B050"/>
            </w:tcBorders>
          </w:tcPr>
          <w:p w14:paraId="6B447E09" w14:textId="462AE5F8" w:rsidR="00BB1AD3" w:rsidRPr="00EF7D78" w:rsidRDefault="00BB1AD3" w:rsidP="00EF7D78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20</w:t>
            </w:r>
          </w:p>
        </w:tc>
        <w:tc>
          <w:tcPr>
            <w:tcW w:w="833" w:type="pct"/>
            <w:tcBorders>
              <w:bottom w:val="single" w:sz="12" w:space="0" w:color="00B050"/>
            </w:tcBorders>
          </w:tcPr>
          <w:p w14:paraId="3DA4173B" w14:textId="09162946" w:rsidR="00BB1AD3" w:rsidRPr="00EF7D78" w:rsidRDefault="00BB1AD3" w:rsidP="00EF7D78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40</w:t>
            </w:r>
          </w:p>
        </w:tc>
        <w:tc>
          <w:tcPr>
            <w:tcW w:w="833" w:type="pct"/>
            <w:tcBorders>
              <w:bottom w:val="single" w:sz="12" w:space="0" w:color="00B050"/>
            </w:tcBorders>
          </w:tcPr>
          <w:p w14:paraId="5B1C04EE" w14:textId="77BDCA17" w:rsidR="00BB1AD3" w:rsidRPr="00EF7D78" w:rsidRDefault="00BB1AD3" w:rsidP="00EF7D78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60</w:t>
            </w:r>
          </w:p>
        </w:tc>
        <w:tc>
          <w:tcPr>
            <w:tcW w:w="833" w:type="pct"/>
            <w:tcBorders>
              <w:bottom w:val="single" w:sz="12" w:space="0" w:color="00B050"/>
            </w:tcBorders>
          </w:tcPr>
          <w:p w14:paraId="632F548C" w14:textId="6220E53E" w:rsidR="00BB1AD3" w:rsidRPr="00EF7D78" w:rsidRDefault="00BB1AD3" w:rsidP="00EF7D78">
            <w:pPr>
              <w:pStyle w:val="CETBodytext"/>
              <w:jc w:val="center"/>
              <w:rPr>
                <w:sz w:val="16"/>
                <w:szCs w:val="16"/>
                <w:lang w:val="en-GB"/>
              </w:rPr>
            </w:pPr>
            <w:r w:rsidRPr="00EF7D78">
              <w:rPr>
                <w:sz w:val="16"/>
                <w:szCs w:val="16"/>
                <w:lang w:val="en-GB"/>
              </w:rPr>
              <w:t>100</w:t>
            </w:r>
          </w:p>
        </w:tc>
      </w:tr>
    </w:tbl>
    <w:p w14:paraId="4DA4EFC0" w14:textId="6F39D7B5" w:rsidR="0008430F" w:rsidRDefault="00D9742C" w:rsidP="0008430F">
      <w:pPr>
        <w:pStyle w:val="CETheadingx"/>
      </w:pPr>
      <w:r>
        <w:rPr>
          <w:lang w:val="en-GB"/>
        </w:rPr>
        <w:t xml:space="preserve"> </w:t>
      </w:r>
      <w:r w:rsidR="0008430F">
        <w:t>Growth experiments</w:t>
      </w:r>
    </w:p>
    <w:p w14:paraId="1114DE75" w14:textId="031560EE" w:rsidR="0028553D" w:rsidRDefault="00551DCD" w:rsidP="00453E24">
      <w:pPr>
        <w:pStyle w:val="CETBodytext"/>
        <w:rPr>
          <w:lang w:val="en-GB"/>
        </w:rPr>
      </w:pPr>
      <w:r w:rsidRPr="00551DCD">
        <w:rPr>
          <w:lang w:val="en-GB"/>
        </w:rPr>
        <w:t>A</w:t>
      </w:r>
      <w:r>
        <w:rPr>
          <w:lang w:val="en-GB"/>
        </w:rPr>
        <w:t>n inoculum</w:t>
      </w:r>
      <w:r w:rsidR="007A067A">
        <w:rPr>
          <w:lang w:val="en-GB"/>
        </w:rPr>
        <w:t xml:space="preserve"> (5 mL)</w:t>
      </w:r>
      <w:r>
        <w:rPr>
          <w:lang w:val="en-GB"/>
        </w:rPr>
        <w:t xml:space="preserve"> </w:t>
      </w:r>
      <w:r w:rsidRPr="00551DCD">
        <w:rPr>
          <w:lang w:val="en-GB"/>
        </w:rPr>
        <w:t xml:space="preserve">of </w:t>
      </w:r>
      <w:r w:rsidRPr="00551DCD">
        <w:rPr>
          <w:i/>
          <w:iCs/>
          <w:lang w:val="en-GB"/>
        </w:rPr>
        <w:t>C. vulgaris</w:t>
      </w:r>
      <w:r w:rsidRPr="00551DCD">
        <w:rPr>
          <w:lang w:val="en-GB"/>
        </w:rPr>
        <w:t xml:space="preserve"> CCALA 269 in exponential phase was </w:t>
      </w:r>
      <w:r>
        <w:rPr>
          <w:lang w:val="en-GB"/>
        </w:rPr>
        <w:t>fed to</w:t>
      </w:r>
      <w:r w:rsidR="00BB1AD3">
        <w:rPr>
          <w:lang w:val="en-GB"/>
        </w:rPr>
        <w:t xml:space="preserve"> 15</w:t>
      </w:r>
      <w:r>
        <w:rPr>
          <w:lang w:val="en-GB"/>
        </w:rPr>
        <w:t xml:space="preserve"> </w:t>
      </w:r>
      <w:r w:rsidRPr="00551DCD">
        <w:rPr>
          <w:lang w:val="en-GB"/>
        </w:rPr>
        <w:t>vented</w:t>
      </w:r>
      <w:r w:rsidR="00BB1AD3">
        <w:rPr>
          <w:lang w:val="en-GB"/>
        </w:rPr>
        <w:t>-</w:t>
      </w:r>
      <w:r w:rsidRPr="00551DCD">
        <w:rPr>
          <w:lang w:val="en-GB"/>
        </w:rPr>
        <w:t>cap</w:t>
      </w:r>
      <w:r>
        <w:rPr>
          <w:lang w:val="en-GB"/>
        </w:rPr>
        <w:t>,</w:t>
      </w:r>
      <w:r w:rsidRPr="00551DCD">
        <w:rPr>
          <w:lang w:val="en-GB"/>
        </w:rPr>
        <w:t xml:space="preserve"> transparent flasks filled with </w:t>
      </w:r>
      <w:r w:rsidR="007A067A">
        <w:rPr>
          <w:lang w:val="en-GB"/>
        </w:rPr>
        <w:t>25</w:t>
      </w:r>
      <w:r w:rsidRPr="00551DCD">
        <w:rPr>
          <w:lang w:val="en-GB"/>
        </w:rPr>
        <w:t xml:space="preserve"> mL each of one among the five experimental growth media described above, in triplicate. The strain was cultivated at 2</w:t>
      </w:r>
      <w:r w:rsidR="007A067A">
        <w:rPr>
          <w:lang w:val="en-GB"/>
        </w:rPr>
        <w:t>5</w:t>
      </w:r>
      <w:r w:rsidRPr="00551DCD">
        <w:rPr>
          <w:lang w:val="en-GB"/>
        </w:rPr>
        <w:t xml:space="preserve"> ± 1 °C </w:t>
      </w:r>
      <w:r w:rsidR="007A067A">
        <w:rPr>
          <w:lang w:val="en-GB"/>
        </w:rPr>
        <w:t xml:space="preserve">under </w:t>
      </w:r>
      <w:r w:rsidR="007A067A" w:rsidRPr="00551DCD">
        <w:rPr>
          <w:lang w:val="en-GB"/>
        </w:rPr>
        <w:t xml:space="preserve">continuous </w:t>
      </w:r>
      <w:r w:rsidR="007A067A">
        <w:rPr>
          <w:lang w:val="en-GB"/>
        </w:rPr>
        <w:t xml:space="preserve">stirring </w:t>
      </w:r>
      <w:r w:rsidR="007A067A" w:rsidRPr="00551DCD">
        <w:rPr>
          <w:lang w:val="en-GB"/>
        </w:rPr>
        <w:t>at 70 rpm</w:t>
      </w:r>
      <w:r w:rsidR="007A067A">
        <w:rPr>
          <w:lang w:val="en-GB"/>
        </w:rPr>
        <w:t xml:space="preserve"> using </w:t>
      </w:r>
      <w:r w:rsidRPr="00551DCD">
        <w:rPr>
          <w:lang w:val="en-GB"/>
        </w:rPr>
        <w:t xml:space="preserve">a white light intensity of </w:t>
      </w:r>
      <w:r w:rsidR="007A067A">
        <w:rPr>
          <w:lang w:val="en-GB"/>
        </w:rPr>
        <w:t>8</w:t>
      </w:r>
      <w:r w:rsidRPr="00551DCD">
        <w:rPr>
          <w:lang w:val="en-GB"/>
        </w:rPr>
        <w:t>0 µ</w:t>
      </w:r>
      <w:proofErr w:type="spellStart"/>
      <w:r w:rsidRPr="00551DCD">
        <w:rPr>
          <w:lang w:val="en-GB"/>
        </w:rPr>
        <w:t>mol</w:t>
      </w:r>
      <w:r w:rsidRPr="001A13B1">
        <w:rPr>
          <w:vertAlign w:val="subscript"/>
          <w:lang w:val="en-GB"/>
        </w:rPr>
        <w:t>ph</w:t>
      </w:r>
      <w:proofErr w:type="spellEnd"/>
      <w:r w:rsidRPr="00551DCD">
        <w:rPr>
          <w:lang w:val="en-GB"/>
        </w:rPr>
        <w:t xml:space="preserve"> m</w:t>
      </w:r>
      <w:r w:rsidRPr="001A13B1">
        <w:rPr>
          <w:vertAlign w:val="superscript"/>
          <w:lang w:val="en-GB"/>
        </w:rPr>
        <w:t>−2</w:t>
      </w:r>
      <w:r w:rsidRPr="00551DCD">
        <w:rPr>
          <w:lang w:val="en-GB"/>
        </w:rPr>
        <w:t>s</w:t>
      </w:r>
      <w:r w:rsidRPr="001A13B1">
        <w:rPr>
          <w:vertAlign w:val="superscript"/>
          <w:lang w:val="en-GB"/>
        </w:rPr>
        <w:t>−1</w:t>
      </w:r>
      <w:r w:rsidRPr="00551DCD">
        <w:rPr>
          <w:lang w:val="en-GB"/>
        </w:rPr>
        <w:t xml:space="preserve"> </w:t>
      </w:r>
      <w:r w:rsidR="007A067A">
        <w:rPr>
          <w:lang w:val="en-GB"/>
        </w:rPr>
        <w:t xml:space="preserve">provided </w:t>
      </w:r>
      <w:r w:rsidRPr="00551DCD">
        <w:rPr>
          <w:lang w:val="en-GB"/>
        </w:rPr>
        <w:t xml:space="preserve">from above. Microalgal growth was </w:t>
      </w:r>
      <w:r w:rsidR="00D87BFC">
        <w:rPr>
          <w:lang w:val="en-GB"/>
        </w:rPr>
        <w:t>monitored</w:t>
      </w:r>
      <w:r w:rsidRPr="00551DCD">
        <w:rPr>
          <w:lang w:val="en-GB"/>
        </w:rPr>
        <w:t xml:space="preserve"> through daily OD measurements. Biomass concentrations were </w:t>
      </w:r>
      <w:r w:rsidR="00FF7850">
        <w:rPr>
          <w:lang w:val="en-GB"/>
        </w:rPr>
        <w:t xml:space="preserve">obtained </w:t>
      </w:r>
      <w:r w:rsidRPr="00551DCD">
        <w:rPr>
          <w:lang w:val="en-GB"/>
        </w:rPr>
        <w:t xml:space="preserve">from OD </w:t>
      </w:r>
      <w:r w:rsidR="00FF7850">
        <w:rPr>
          <w:lang w:val="en-GB"/>
        </w:rPr>
        <w:t xml:space="preserve">via a </w:t>
      </w:r>
      <w:r w:rsidR="00FF7850" w:rsidRPr="00551DCD">
        <w:rPr>
          <w:lang w:val="en-GB"/>
        </w:rPr>
        <w:t>calibration line</w:t>
      </w:r>
      <w:r w:rsidRPr="00551DCD">
        <w:rPr>
          <w:lang w:val="en-GB"/>
        </w:rPr>
        <w:t xml:space="preserve"> </w:t>
      </w:r>
      <w:r w:rsidR="00FF7850">
        <w:rPr>
          <w:lang w:val="en-GB"/>
        </w:rPr>
        <w:t xml:space="preserve">providing </w:t>
      </w:r>
      <w:r w:rsidRPr="00551DCD">
        <w:rPr>
          <w:lang w:val="en-GB"/>
        </w:rPr>
        <w:t>OD</w:t>
      </w:r>
      <w:r w:rsidR="00FF7850">
        <w:rPr>
          <w:lang w:val="en-GB"/>
        </w:rPr>
        <w:t xml:space="preserve"> as function of </w:t>
      </w:r>
      <w:r w:rsidRPr="00551DCD">
        <w:rPr>
          <w:lang w:val="en-GB"/>
        </w:rPr>
        <w:t>biomass.</w:t>
      </w:r>
      <w:r w:rsidR="00FF7850">
        <w:rPr>
          <w:lang w:val="en-GB"/>
        </w:rPr>
        <w:t xml:space="preserve"> pH was also assessed daily.</w:t>
      </w:r>
      <w:r w:rsidR="006B1AD5">
        <w:rPr>
          <w:lang w:val="en-GB"/>
        </w:rPr>
        <w:t xml:space="preserve"> </w:t>
      </w:r>
      <w:r w:rsidR="0028553D">
        <w:rPr>
          <w:lang w:val="en-GB"/>
        </w:rPr>
        <w:t xml:space="preserve">To reproduce the use of Mars atmosphere an apparatus was set up </w:t>
      </w:r>
      <w:r w:rsidR="0028553D" w:rsidRPr="0028553D">
        <w:rPr>
          <w:lang w:val="en-GB"/>
        </w:rPr>
        <w:t>consist</w:t>
      </w:r>
      <w:r w:rsidR="0028553D">
        <w:rPr>
          <w:lang w:val="en-GB"/>
        </w:rPr>
        <w:t xml:space="preserve">ing </w:t>
      </w:r>
      <w:r w:rsidR="0028553D" w:rsidRPr="0028553D">
        <w:rPr>
          <w:lang w:val="en-GB"/>
        </w:rPr>
        <w:t xml:space="preserve">of a transparent </w:t>
      </w:r>
      <w:r w:rsidR="0028553D">
        <w:rPr>
          <w:lang w:val="en-GB"/>
        </w:rPr>
        <w:t xml:space="preserve">insulated </w:t>
      </w:r>
      <w:r w:rsidR="0028553D" w:rsidRPr="0028553D">
        <w:rPr>
          <w:lang w:val="en-GB"/>
        </w:rPr>
        <w:t xml:space="preserve">jar wherein pure CO2 </w:t>
      </w:r>
      <w:r w:rsidR="0028553D">
        <w:rPr>
          <w:lang w:val="en-GB"/>
        </w:rPr>
        <w:t xml:space="preserve">(100% vol) was continuously </w:t>
      </w:r>
      <w:r w:rsidR="0028553D" w:rsidRPr="0028553D">
        <w:rPr>
          <w:lang w:val="en-GB"/>
        </w:rPr>
        <w:t xml:space="preserve">blown in. </w:t>
      </w:r>
      <w:r w:rsidR="0028553D">
        <w:rPr>
          <w:lang w:val="en-GB"/>
        </w:rPr>
        <w:t xml:space="preserve">The transparent flasks were disposed within the mentioned jar to simulate a Martian dome filled with pressurized Martian atmosphere according to the process proposed by Fais et al. (2022). </w:t>
      </w:r>
    </w:p>
    <w:p w14:paraId="7CB4707C" w14:textId="350CB253" w:rsidR="00C63D00" w:rsidRDefault="00C63D00" w:rsidP="00C63D00">
      <w:pPr>
        <w:pStyle w:val="CETheadingx"/>
      </w:pPr>
      <w:r>
        <w:t>Harvesting and biomass characterization</w:t>
      </w:r>
    </w:p>
    <w:p w14:paraId="2D21AD05" w14:textId="66E529E2" w:rsidR="00C63D00" w:rsidRDefault="00C63D00" w:rsidP="00453E24">
      <w:pPr>
        <w:pStyle w:val="CETBodytext"/>
        <w:rPr>
          <w:lang w:val="en-GB"/>
        </w:rPr>
      </w:pPr>
      <w:r>
        <w:rPr>
          <w:lang w:val="en-GB"/>
        </w:rPr>
        <w:t>Af</w:t>
      </w:r>
      <w:r w:rsidRPr="00C63D00">
        <w:rPr>
          <w:lang w:val="en-GB"/>
        </w:rPr>
        <w:t>ter 17 days of cultivation</w:t>
      </w:r>
      <w:r>
        <w:rPr>
          <w:lang w:val="en-GB"/>
        </w:rPr>
        <w:t xml:space="preserve"> time</w:t>
      </w:r>
      <w:r w:rsidRPr="00C63D00">
        <w:rPr>
          <w:lang w:val="en-GB"/>
        </w:rPr>
        <w:t xml:space="preserve">, </w:t>
      </w:r>
      <w:r>
        <w:rPr>
          <w:lang w:val="en-GB"/>
        </w:rPr>
        <w:t xml:space="preserve">microalgal cultures were harvested </w:t>
      </w:r>
      <w:r w:rsidRPr="00C63D00">
        <w:rPr>
          <w:lang w:val="en-GB"/>
        </w:rPr>
        <w:t>and centrifuged. Supernatant</w:t>
      </w:r>
      <w:r>
        <w:rPr>
          <w:lang w:val="en-GB"/>
        </w:rPr>
        <w:t xml:space="preserve"> was then </w:t>
      </w:r>
      <w:r w:rsidR="00D87BFC" w:rsidRPr="00C63D00">
        <w:rPr>
          <w:lang w:val="en-GB"/>
        </w:rPr>
        <w:t>removed,</w:t>
      </w:r>
      <w:r w:rsidRPr="00C63D00">
        <w:rPr>
          <w:lang w:val="en-GB"/>
        </w:rPr>
        <w:t xml:space="preserve"> and pellets were resuspended in </w:t>
      </w:r>
      <w:r>
        <w:rPr>
          <w:lang w:val="en-GB"/>
        </w:rPr>
        <w:t xml:space="preserve">distilled </w:t>
      </w:r>
      <w:r w:rsidRPr="00C63D00">
        <w:rPr>
          <w:lang w:val="en-GB"/>
        </w:rPr>
        <w:t xml:space="preserve">water. The procedure was repeated three times. </w:t>
      </w:r>
      <w:r>
        <w:rPr>
          <w:lang w:val="en-GB"/>
        </w:rPr>
        <w:t>The obtained p</w:t>
      </w:r>
      <w:r w:rsidRPr="00C63D00">
        <w:rPr>
          <w:lang w:val="en-GB"/>
        </w:rPr>
        <w:t>ellets were</w:t>
      </w:r>
      <w:r>
        <w:rPr>
          <w:lang w:val="en-GB"/>
        </w:rPr>
        <w:t xml:space="preserve"> subsequently </w:t>
      </w:r>
      <w:r w:rsidRPr="00C63D00">
        <w:rPr>
          <w:lang w:val="en-GB"/>
        </w:rPr>
        <w:t>frozen at −80 °C,</w:t>
      </w:r>
      <w:r>
        <w:rPr>
          <w:lang w:val="en-GB"/>
        </w:rPr>
        <w:t xml:space="preserve"> then</w:t>
      </w:r>
      <w:r w:rsidRPr="00C63D00">
        <w:rPr>
          <w:lang w:val="en-GB"/>
        </w:rPr>
        <w:t xml:space="preserve"> lyophilized and fin</w:t>
      </w:r>
      <w:r>
        <w:rPr>
          <w:lang w:val="en-GB"/>
        </w:rPr>
        <w:t>al</w:t>
      </w:r>
      <w:r w:rsidRPr="00C63D00">
        <w:rPr>
          <w:lang w:val="en-GB"/>
        </w:rPr>
        <w:t xml:space="preserve">ly </w:t>
      </w:r>
      <w:r>
        <w:rPr>
          <w:lang w:val="en-GB"/>
        </w:rPr>
        <w:t>grinded to powder by</w:t>
      </w:r>
      <w:r w:rsidRPr="00C63D00">
        <w:rPr>
          <w:lang w:val="en-GB"/>
        </w:rPr>
        <w:t xml:space="preserve"> mortar and pestle.</w:t>
      </w:r>
      <w:r>
        <w:rPr>
          <w:lang w:val="en-GB"/>
        </w:rPr>
        <w:t xml:space="preserve"> Different amounts of microalgal powder were then subjected to further different processing depending on the </w:t>
      </w:r>
      <w:r w:rsidR="005A65B1">
        <w:rPr>
          <w:lang w:val="en-GB"/>
        </w:rPr>
        <w:t>biochemical parameter to be</w:t>
      </w:r>
      <w:r w:rsidR="003828ED">
        <w:rPr>
          <w:lang w:val="en-GB"/>
        </w:rPr>
        <w:t xml:space="preserve"> determined</w:t>
      </w:r>
      <w:r w:rsidR="005A65B1">
        <w:rPr>
          <w:lang w:val="en-GB"/>
        </w:rPr>
        <w:t xml:space="preserve">. </w:t>
      </w:r>
      <w:r w:rsidR="003828ED">
        <w:rPr>
          <w:lang w:val="en-GB"/>
        </w:rPr>
        <w:t>Briefly</w:t>
      </w:r>
      <w:r w:rsidR="00255B06">
        <w:rPr>
          <w:lang w:val="en-GB"/>
        </w:rPr>
        <w:t>,</w:t>
      </w:r>
      <w:r w:rsidR="003828ED">
        <w:rPr>
          <w:lang w:val="en-GB"/>
        </w:rPr>
        <w:t xml:space="preserve"> c</w:t>
      </w:r>
      <w:r w:rsidR="003828ED" w:rsidRPr="003828ED">
        <w:rPr>
          <w:lang w:val="en-GB"/>
        </w:rPr>
        <w:t>arbohydrate</w:t>
      </w:r>
      <w:r w:rsidR="003828ED">
        <w:rPr>
          <w:lang w:val="en-GB"/>
        </w:rPr>
        <w:t>s</w:t>
      </w:r>
      <w:r w:rsidR="003828ED" w:rsidRPr="003828ED">
        <w:rPr>
          <w:lang w:val="en-GB"/>
        </w:rPr>
        <w:t xml:space="preserve"> were </w:t>
      </w:r>
      <w:r w:rsidR="003828ED">
        <w:rPr>
          <w:lang w:val="en-GB"/>
        </w:rPr>
        <w:t xml:space="preserve">analysed through </w:t>
      </w:r>
      <w:r w:rsidR="003828ED" w:rsidRPr="003828ED">
        <w:rPr>
          <w:lang w:val="en-GB"/>
        </w:rPr>
        <w:t xml:space="preserve">a slightly modified version of the method by </w:t>
      </w:r>
      <w:r w:rsidR="003828ED" w:rsidRPr="00E55A89">
        <w:rPr>
          <w:lang w:val="en-GB"/>
        </w:rPr>
        <w:t>Dubois et al. (1956)</w:t>
      </w:r>
      <w:r w:rsidR="003828ED">
        <w:rPr>
          <w:lang w:val="en-GB"/>
        </w:rPr>
        <w:t>. The t</w:t>
      </w:r>
      <w:r w:rsidR="003828ED" w:rsidRPr="003828ED">
        <w:rPr>
          <w:lang w:val="en-GB"/>
        </w:rPr>
        <w:t>otal</w:t>
      </w:r>
      <w:r w:rsidR="003828ED">
        <w:rPr>
          <w:lang w:val="en-GB"/>
        </w:rPr>
        <w:t xml:space="preserve"> content of</w:t>
      </w:r>
      <w:r w:rsidR="003828ED" w:rsidRPr="003828ED">
        <w:rPr>
          <w:lang w:val="en-GB"/>
        </w:rPr>
        <w:t xml:space="preserve"> soluble protein </w:t>
      </w:r>
      <w:r w:rsidR="003828ED">
        <w:rPr>
          <w:lang w:val="en-GB"/>
        </w:rPr>
        <w:t xml:space="preserve">was evaluated as </w:t>
      </w:r>
      <w:r w:rsidR="00D52704">
        <w:rPr>
          <w:lang w:val="en-GB"/>
        </w:rPr>
        <w:t xml:space="preserve">reported by </w:t>
      </w:r>
      <w:r w:rsidR="003828ED" w:rsidRPr="00D87BFC">
        <w:rPr>
          <w:lang w:val="en-GB"/>
        </w:rPr>
        <w:t>Lowry et al. (1951)</w:t>
      </w:r>
      <w:r w:rsidR="00D52704">
        <w:rPr>
          <w:lang w:val="en-GB"/>
        </w:rPr>
        <w:t>.</w:t>
      </w:r>
      <w:r w:rsidR="00931282">
        <w:rPr>
          <w:lang w:val="en-GB"/>
        </w:rPr>
        <w:t xml:space="preserve"> After cell disruption the total lipid content were extracted and </w:t>
      </w:r>
      <w:r w:rsidR="007015B7">
        <w:rPr>
          <w:lang w:val="en-GB"/>
        </w:rPr>
        <w:t xml:space="preserve">determined </w:t>
      </w:r>
      <w:r w:rsidR="00931282">
        <w:rPr>
          <w:lang w:val="en-GB"/>
        </w:rPr>
        <w:t xml:space="preserve">according to the procedure by </w:t>
      </w:r>
      <w:r w:rsidR="00931282" w:rsidRPr="00E14D17">
        <w:rPr>
          <w:lang w:val="en-GB"/>
        </w:rPr>
        <w:t xml:space="preserve">Folch </w:t>
      </w:r>
      <w:r w:rsidR="007015B7" w:rsidRPr="00E14D17">
        <w:rPr>
          <w:lang w:val="en-GB"/>
        </w:rPr>
        <w:t>et al., (1957).</w:t>
      </w:r>
      <w:r w:rsidR="007015B7">
        <w:rPr>
          <w:lang w:val="en-GB"/>
        </w:rPr>
        <w:t xml:space="preserve"> Finally, t</w:t>
      </w:r>
      <w:r w:rsidR="007015B7" w:rsidRPr="007015B7">
        <w:rPr>
          <w:lang w:val="en-GB"/>
        </w:rPr>
        <w:t xml:space="preserve">otal carotenoids content </w:t>
      </w:r>
      <w:r w:rsidR="00361EBB" w:rsidRPr="007015B7">
        <w:rPr>
          <w:lang w:val="en-GB"/>
        </w:rPr>
        <w:t>was</w:t>
      </w:r>
      <w:r w:rsidR="007015B7" w:rsidRPr="007015B7">
        <w:rPr>
          <w:lang w:val="en-GB"/>
        </w:rPr>
        <w:t xml:space="preserve"> </w:t>
      </w:r>
      <w:r w:rsidR="007015B7">
        <w:rPr>
          <w:lang w:val="en-GB"/>
        </w:rPr>
        <w:t xml:space="preserve">evaluated through the method by </w:t>
      </w:r>
      <w:proofErr w:type="spellStart"/>
      <w:r w:rsidR="007015B7" w:rsidRPr="00D541D4">
        <w:rPr>
          <w:lang w:val="en-GB"/>
        </w:rPr>
        <w:t>Zavrel</w:t>
      </w:r>
      <w:proofErr w:type="spellEnd"/>
      <w:r w:rsidR="007015B7" w:rsidRPr="00D541D4">
        <w:rPr>
          <w:lang w:val="en-GB"/>
        </w:rPr>
        <w:t xml:space="preserve"> et al. (2015).</w:t>
      </w:r>
      <w:r w:rsidR="00D541D4">
        <w:rPr>
          <w:lang w:val="en-GB"/>
        </w:rPr>
        <w:t xml:space="preserve"> The details on the specific analyses being performed can be found elsewhere </w:t>
      </w:r>
      <w:r w:rsidR="00D541D4" w:rsidRPr="007015B7">
        <w:rPr>
          <w:lang w:val="en-GB"/>
        </w:rPr>
        <w:t>(Casula et al., 2024 b).</w:t>
      </w:r>
    </w:p>
    <w:p w14:paraId="677EBFF0" w14:textId="1F658AD4" w:rsidR="00600535" w:rsidRDefault="006B1AD5" w:rsidP="0060053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>Mathematical Model</w:t>
      </w:r>
    </w:p>
    <w:p w14:paraId="3A422AFA" w14:textId="16840838" w:rsidR="00451CAA" w:rsidRDefault="002C1EF6" w:rsidP="006B1AD5">
      <w:pPr>
        <w:pStyle w:val="CETBodytext"/>
        <w:rPr>
          <w:lang w:val="en-GB"/>
        </w:rPr>
      </w:pPr>
      <w:r>
        <w:rPr>
          <w:lang w:val="en-GB"/>
        </w:rPr>
        <w:t>T</w:t>
      </w:r>
      <w:r w:rsidR="006B1AD5">
        <w:rPr>
          <w:lang w:val="en-GB"/>
        </w:rPr>
        <w:t xml:space="preserve">he </w:t>
      </w:r>
      <w:r w:rsidR="00451CAA">
        <w:rPr>
          <w:lang w:val="en-GB"/>
        </w:rPr>
        <w:t xml:space="preserve">evolution of </w:t>
      </w:r>
      <w:r w:rsidR="006B1AD5">
        <w:rPr>
          <w:lang w:val="en-GB"/>
        </w:rPr>
        <w:t>main</w:t>
      </w:r>
      <w:r w:rsidR="00451CAA">
        <w:rPr>
          <w:lang w:val="en-GB"/>
        </w:rPr>
        <w:t xml:space="preserve"> macro- and micro-nutrients’ concentration during cultivation w</w:t>
      </w:r>
      <w:r w:rsidR="0048192E">
        <w:rPr>
          <w:lang w:val="en-GB"/>
        </w:rPr>
        <w:t>as</w:t>
      </w:r>
      <w:r w:rsidR="00451CAA">
        <w:rPr>
          <w:lang w:val="en-GB"/>
        </w:rPr>
        <w:t xml:space="preserve"> analysed </w:t>
      </w:r>
      <w:r w:rsidR="006B1AD5">
        <w:rPr>
          <w:lang w:val="en-GB"/>
        </w:rPr>
        <w:t xml:space="preserve">to identify the growth limiting </w:t>
      </w:r>
      <w:r w:rsidR="00451CAA">
        <w:rPr>
          <w:lang w:val="en-GB"/>
        </w:rPr>
        <w:t>nutrient (data not shown)</w:t>
      </w:r>
      <w:r w:rsidR="006B1AD5">
        <w:rPr>
          <w:lang w:val="en-GB"/>
        </w:rPr>
        <w:t xml:space="preserve">. </w:t>
      </w:r>
      <w:r w:rsidR="0021678D">
        <w:rPr>
          <w:lang w:val="en-GB"/>
        </w:rPr>
        <w:t>At</w:t>
      </w:r>
      <w:r w:rsidR="006B1AD5">
        <w:rPr>
          <w:lang w:val="en-GB"/>
        </w:rPr>
        <w:t xml:space="preserve"> the</w:t>
      </w:r>
      <w:r w:rsidR="00451CAA">
        <w:rPr>
          <w:lang w:val="en-GB"/>
        </w:rPr>
        <w:t xml:space="preserve"> end of the growth phase</w:t>
      </w:r>
      <w:r>
        <w:rPr>
          <w:lang w:val="en-GB"/>
        </w:rPr>
        <w:t>,</w:t>
      </w:r>
      <w:r w:rsidR="00451CAA">
        <w:rPr>
          <w:lang w:val="en-GB"/>
        </w:rPr>
        <w:t xml:space="preserve"> </w:t>
      </w:r>
      <w:r>
        <w:rPr>
          <w:lang w:val="en-GB"/>
        </w:rPr>
        <w:t xml:space="preserve">when the </w:t>
      </w:r>
      <w:r w:rsidR="00451CAA">
        <w:rPr>
          <w:lang w:val="en-GB"/>
        </w:rPr>
        <w:t xml:space="preserve">stationary </w:t>
      </w:r>
      <w:r w:rsidR="0048192E">
        <w:rPr>
          <w:lang w:val="en-GB"/>
        </w:rPr>
        <w:t xml:space="preserve">one </w:t>
      </w:r>
      <w:r w:rsidR="00451CAA">
        <w:rPr>
          <w:lang w:val="en-GB"/>
        </w:rPr>
        <w:t>took place</w:t>
      </w:r>
      <w:r w:rsidR="0021678D">
        <w:rPr>
          <w:lang w:val="en-GB"/>
        </w:rPr>
        <w:t xml:space="preserve">, </w:t>
      </w:r>
      <w:r w:rsidR="00451CAA">
        <w:rPr>
          <w:lang w:val="en-GB"/>
        </w:rPr>
        <w:t>the intracellular concentration of iron</w:t>
      </w:r>
      <w:r w:rsidR="0021678D">
        <w:rPr>
          <w:lang w:val="en-GB"/>
        </w:rPr>
        <w:t>, evaluated through proper analyses and mass balances (data not shown)</w:t>
      </w:r>
      <w:r w:rsidR="00451CAA">
        <w:rPr>
          <w:lang w:val="en-GB"/>
        </w:rPr>
        <w:t xml:space="preserve"> was lower than the minimum iron cell quota for </w:t>
      </w:r>
      <w:r w:rsidR="00451CAA" w:rsidRPr="00451CAA">
        <w:rPr>
          <w:i/>
          <w:iCs/>
          <w:lang w:val="en-GB"/>
        </w:rPr>
        <w:t>C. vulgaris</w:t>
      </w:r>
      <w:r w:rsidR="00451CAA">
        <w:rPr>
          <w:lang w:val="en-GB"/>
        </w:rPr>
        <w:t xml:space="preserve"> </w:t>
      </w:r>
      <w:r w:rsidR="0021678D">
        <w:rPr>
          <w:lang w:val="en-GB"/>
        </w:rPr>
        <w:t xml:space="preserve">growth </w:t>
      </w:r>
      <w:r w:rsidR="00451CAA">
        <w:rPr>
          <w:lang w:val="en-GB"/>
        </w:rPr>
        <w:t xml:space="preserve">according to the literature (Concas et al., </w:t>
      </w:r>
      <w:r w:rsidR="00451CAA">
        <w:rPr>
          <w:lang w:val="en-GB"/>
        </w:rPr>
        <w:lastRenderedPageBreak/>
        <w:t>2021).</w:t>
      </w:r>
      <w:r w:rsidR="00E238A7">
        <w:rPr>
          <w:lang w:val="en-GB"/>
        </w:rPr>
        <w:t xml:space="preserve"> </w:t>
      </w:r>
      <w:r w:rsidR="0048192E">
        <w:rPr>
          <w:lang w:val="en-GB"/>
        </w:rPr>
        <w:t xml:space="preserve"> Therefore, the following mathematical model was developed considering iron and inorganic carbon concentration along with pH as factors controlling </w:t>
      </w:r>
      <w:r w:rsidR="0048192E" w:rsidRPr="0048192E">
        <w:rPr>
          <w:i/>
          <w:iCs/>
          <w:lang w:val="en-GB"/>
        </w:rPr>
        <w:t>C. vulgaris</w:t>
      </w:r>
      <w:r w:rsidR="0048192E">
        <w:rPr>
          <w:lang w:val="en-GB"/>
        </w:rPr>
        <w:t xml:space="preserve"> growth. </w:t>
      </w:r>
    </w:p>
    <w:p w14:paraId="04963A06" w14:textId="5F2D4ADF" w:rsidR="00600535" w:rsidRDefault="0048192E" w:rsidP="00FA5F5F">
      <w:pPr>
        <w:pStyle w:val="CETheadingx"/>
      </w:pPr>
      <w:r>
        <w:t xml:space="preserve">Model </w:t>
      </w:r>
      <w:r w:rsidR="00600535" w:rsidRPr="00B57B36">
        <w:t>Equations</w:t>
      </w:r>
    </w:p>
    <w:p w14:paraId="0119DBA8" w14:textId="172863A6" w:rsidR="00782467" w:rsidRDefault="008B1FFF" w:rsidP="00A65F8A">
      <w:pPr>
        <w:pStyle w:val="CETBodytext"/>
        <w:spacing w:after="120"/>
      </w:pPr>
      <w:r>
        <w:t xml:space="preserve">The model equations </w:t>
      </w:r>
      <w:r w:rsidR="00A460DE">
        <w:t>are the mass balances for</w:t>
      </w:r>
      <w:r>
        <w:t xml:space="preserve">: (1) total microalgal biomass concentration (b); (2) the limiting substrate (i.e. </w:t>
      </w:r>
      <w:r w:rsidRPr="008B1FFF"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</w:rPr>
        <w:t xml:space="preserve"> </w:t>
      </w:r>
      <w:r w:rsidRPr="008B1FFF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8B1FFF">
        <w:rPr>
          <w:rFonts w:ascii="Times New Roman" w:hAnsi="Times New Roman"/>
        </w:rPr>
        <w:t>[</w:t>
      </w:r>
      <w:r w:rsidRPr="008B1FFF">
        <w:rPr>
          <w:rFonts w:ascii="Times New Roman" w:hAnsi="Times New Roman"/>
          <w:i/>
          <w:iCs/>
        </w:rPr>
        <w:t>Fe</w:t>
      </w:r>
      <w:r w:rsidRPr="008B1FFF">
        <w:rPr>
          <w:rFonts w:ascii="Times New Roman" w:hAnsi="Times New Roman"/>
        </w:rPr>
        <w:t>]</w:t>
      </w:r>
      <w:r>
        <w:t xml:space="preserve">) in the liquid bulk; (3) </w:t>
      </w:r>
      <w:r w:rsidRPr="00A460DE">
        <w:rPr>
          <w:rFonts w:ascii="Times New Roman" w:hAnsi="Times New Roman"/>
          <w:i/>
          <w:iCs/>
        </w:rPr>
        <w:t>Fe</w:t>
      </w:r>
      <w:r>
        <w:t xml:space="preserve"> in the </w:t>
      </w:r>
      <w:r w:rsidR="0021678D">
        <w:t>intra</w:t>
      </w:r>
      <w:r>
        <w:t xml:space="preserve">cellular compartment; (4) </w:t>
      </w:r>
      <w:r w:rsidR="00A460DE" w:rsidRPr="00A460DE">
        <w:rPr>
          <w:rFonts w:ascii="Times New Roman" w:hAnsi="Times New Roman"/>
          <w:i/>
          <w:iCs/>
        </w:rPr>
        <w:t>CO</w:t>
      </w:r>
      <w:r w:rsidR="00A460DE" w:rsidRPr="00A460DE">
        <w:rPr>
          <w:rFonts w:ascii="Times New Roman" w:hAnsi="Times New Roman"/>
          <w:i/>
          <w:iCs/>
          <w:vertAlign w:val="subscript"/>
        </w:rPr>
        <w:t>2</w:t>
      </w:r>
      <w:r>
        <w:t xml:space="preserve"> in the gas phase; (5) the </w:t>
      </w:r>
      <w:r w:rsidR="00A460DE">
        <w:t xml:space="preserve">non-carbonic </w:t>
      </w:r>
      <w:r>
        <w:t xml:space="preserve">alkalinity (Alk);  (6) </w:t>
      </w:r>
      <w:r w:rsidRPr="00A460DE">
        <w:rPr>
          <w:rFonts w:ascii="Times New Roman" w:hAnsi="Times New Roman"/>
        </w:rPr>
        <w:t>[</w:t>
      </w:r>
      <w:r w:rsidRPr="00A460DE">
        <w:rPr>
          <w:rFonts w:ascii="Times New Roman" w:hAnsi="Times New Roman"/>
          <w:i/>
          <w:iCs/>
        </w:rPr>
        <w:t>H</w:t>
      </w:r>
      <w:r w:rsidRPr="00A460DE">
        <w:rPr>
          <w:rFonts w:ascii="Times New Roman" w:hAnsi="Times New Roman"/>
          <w:i/>
          <w:iCs/>
          <w:vertAlign w:val="superscript"/>
        </w:rPr>
        <w:t>+</w:t>
      </w:r>
      <w:r w:rsidRPr="00A460DE">
        <w:rPr>
          <w:rFonts w:ascii="Times New Roman" w:hAnsi="Times New Roman"/>
        </w:rPr>
        <w:t xml:space="preserve">] </w:t>
      </w:r>
      <w:r w:rsidR="00A460DE">
        <w:t xml:space="preserve">in the liquid bulk and </w:t>
      </w:r>
      <w:r>
        <w:t>finally</w:t>
      </w:r>
      <w:r w:rsidR="00A460DE">
        <w:t xml:space="preserve"> (7) </w:t>
      </w:r>
      <w:r w:rsidR="00A460DE">
        <w:rPr>
          <w:rFonts w:ascii="Times New Roman" w:hAnsi="Times New Roman"/>
        </w:rPr>
        <w:t>[</w:t>
      </w:r>
      <w:r w:rsidR="00A460DE" w:rsidRPr="00A460DE">
        <w:rPr>
          <w:rFonts w:ascii="Times New Roman" w:hAnsi="Times New Roman"/>
          <w:i/>
          <w:iCs/>
        </w:rPr>
        <w:t>CO</w:t>
      </w:r>
      <w:r w:rsidR="00A460DE" w:rsidRPr="00A460DE">
        <w:rPr>
          <w:rFonts w:ascii="Times New Roman" w:hAnsi="Times New Roman"/>
          <w:i/>
          <w:iCs/>
          <w:vertAlign w:val="subscript"/>
        </w:rPr>
        <w:t>2</w:t>
      </w:r>
      <w:r w:rsidR="00A460DE" w:rsidRPr="00A460DE">
        <w:rPr>
          <w:rFonts w:ascii="Times New Roman" w:hAnsi="Times New Roman"/>
        </w:rPr>
        <w:t>]</w:t>
      </w:r>
      <w:r w:rsidR="00A460DE">
        <w:t xml:space="preserve"> in the liquid bulk. </w:t>
      </w:r>
      <w:proofErr w:type="spellStart"/>
      <w:r w:rsidR="00A460DE">
        <w:t>Eqs</w:t>
      </w:r>
      <w:proofErr w:type="spellEnd"/>
      <w:r w:rsidR="00A460DE">
        <w:t xml:space="preserve"> (1) to (3) derive from the application of the well-known Droop model to the concerned system (</w:t>
      </w:r>
      <w:r w:rsidR="0021678D">
        <w:t>Concas et al., 2021</w:t>
      </w:r>
      <w:r w:rsidR="00A460DE">
        <w:t xml:space="preserve">) while </w:t>
      </w:r>
      <w:r w:rsidR="00B15889">
        <w:t>E</w:t>
      </w:r>
      <w:r w:rsidR="00A460DE">
        <w:t>q</w:t>
      </w:r>
      <w:r w:rsidR="00B15889">
        <w:t>.</w:t>
      </w:r>
      <w:r w:rsidR="00A460DE">
        <w:t xml:space="preserve"> (7) is </w:t>
      </w:r>
      <w:r w:rsidR="00B15889">
        <w:t>obtained from the application of the electroneutrality principle to the investigated system</w:t>
      </w:r>
      <w:r w:rsidR="002C1EF6">
        <w:t>.</w:t>
      </w:r>
      <w:r w:rsidR="0021678D">
        <w:t xml:space="preserve"> </w:t>
      </w:r>
      <w:proofErr w:type="gramStart"/>
      <w:r w:rsidR="002C1EF6">
        <w:t>F</w:t>
      </w:r>
      <w:r w:rsidR="00B15889">
        <w:t>inally</w:t>
      </w:r>
      <w:proofErr w:type="gramEnd"/>
      <w:r w:rsidR="00B15889">
        <w:t xml:space="preserve"> </w:t>
      </w:r>
      <w:proofErr w:type="spellStart"/>
      <w:r w:rsidR="00B15889">
        <w:t>Eqs</w:t>
      </w:r>
      <w:proofErr w:type="spellEnd"/>
      <w:r w:rsidR="00B15889">
        <w:t>. (4) to (5) and (7) to (8) are obtained considering mass transfer of CO</w:t>
      </w:r>
      <w:r w:rsidR="00B15889" w:rsidRPr="00B15889">
        <w:rPr>
          <w:vertAlign w:val="subscript"/>
        </w:rPr>
        <w:t>2</w:t>
      </w:r>
      <w:r w:rsidR="00B15889">
        <w:t xml:space="preserve"> from gas phase to liquid and its subsequent speciation in a liquid with a given </w:t>
      </w:r>
      <w:proofErr w:type="spellStart"/>
      <w:r w:rsidR="00B15889">
        <w:t>pH.</w:t>
      </w:r>
      <w:proofErr w:type="spellEnd"/>
      <w:r w:rsidR="00B15889">
        <w:t xml:space="preserve"> Eq (5) also considers that inorganic carbon is consumed by microalgae in the liquid phase.</w:t>
      </w:r>
      <w:r w:rsidR="00F33ECE">
        <w:t xml:space="preserve"> </w:t>
      </w:r>
      <w:proofErr w:type="spellStart"/>
      <w:r w:rsidR="00F33ECE">
        <w:t>Eqs</w:t>
      </w:r>
      <w:proofErr w:type="spellEnd"/>
      <w:r w:rsidR="00F33ECE">
        <w:t xml:space="preserve"> (6) and (7) are obtained through the novel approach proposed by </w:t>
      </w:r>
      <w:r w:rsidR="00F33ECE" w:rsidRPr="00D95B38">
        <w:t>Atzori et al. (2023)</w:t>
      </w:r>
      <w:r w:rsidR="00F33ECE">
        <w:t xml:space="preserve"> </w:t>
      </w:r>
      <w:r w:rsidR="00DA50C6">
        <w:t>that</w:t>
      </w:r>
      <w:r w:rsidR="00F33ECE">
        <w:t xml:space="preserve"> allows</w:t>
      </w:r>
      <w:r w:rsidR="00DA50C6">
        <w:t xml:space="preserve"> to</w:t>
      </w:r>
      <w:r w:rsidR="00F33ECE">
        <w:t xml:space="preserve"> </w:t>
      </w:r>
      <w:r w:rsidR="00DA50C6">
        <w:t xml:space="preserve">avoid solving </w:t>
      </w:r>
      <w:r w:rsidR="00F33ECE">
        <w:t>a differential algebraic system of equations.</w:t>
      </w:r>
    </w:p>
    <w:bookmarkStart w:id="1" w:name="_Hlk185760222"/>
    <w:p w14:paraId="26CA9185" w14:textId="5032F2E3" w:rsidR="008B1FFF" w:rsidRDefault="00DD375A" w:rsidP="00DA50C6">
      <w:pPr>
        <w:ind w:left="426"/>
      </w:pPr>
      <w:r w:rsidRPr="005646D1">
        <w:rPr>
          <w:kern w:val="2"/>
          <w:position w:val="-32"/>
          <w14:ligatures w14:val="standardContextual"/>
        </w:rPr>
        <w:object w:dxaOrig="3500" w:dyaOrig="740" w14:anchorId="35C352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.2pt;height:29.4pt" o:ole="">
            <v:imagedata r:id="rId11" o:title=""/>
          </v:shape>
          <o:OLEObject Type="Embed" ProgID="Equation.DSMT4" ShapeID="_x0000_i1025" DrawAspect="Content" ObjectID="_1802705347" r:id="rId12"/>
        </w:object>
      </w:r>
      <w:r w:rsidR="008B1FFF">
        <w:tab/>
      </w:r>
      <w:r w:rsidR="008B1FFF">
        <w:tab/>
        <w:t>(1)</w:t>
      </w:r>
    </w:p>
    <w:p w14:paraId="00D35E9A" w14:textId="77FDBCB5" w:rsidR="008B1FFF" w:rsidRDefault="00DD375A" w:rsidP="00DA50C6">
      <w:pPr>
        <w:ind w:left="426"/>
      </w:pPr>
      <w:r w:rsidRPr="004017C2">
        <w:rPr>
          <w:kern w:val="2"/>
          <w:position w:val="-30"/>
          <w14:ligatures w14:val="standardContextual"/>
        </w:rPr>
        <w:object w:dxaOrig="2580" w:dyaOrig="680" w14:anchorId="214D8CAC">
          <v:shape id="_x0000_i1026" type="#_x0000_t75" style="width:102pt;height:27pt" o:ole="">
            <v:imagedata r:id="rId13" o:title=""/>
          </v:shape>
          <o:OLEObject Type="Embed" ProgID="Equation.DSMT4" ShapeID="_x0000_i1026" DrawAspect="Content" ObjectID="_1802705348" r:id="rId14"/>
        </w:object>
      </w:r>
      <w:r w:rsidR="008B1FFF">
        <w:tab/>
      </w:r>
      <w:r w:rsidR="008B1FFF">
        <w:tab/>
        <w:t>(2)</w:t>
      </w:r>
    </w:p>
    <w:p w14:paraId="47E0E1A8" w14:textId="7AA930BF" w:rsidR="008B1FFF" w:rsidRDefault="00DD375A" w:rsidP="00DA50C6">
      <w:pPr>
        <w:ind w:left="426"/>
      </w:pPr>
      <w:r w:rsidRPr="0037695A">
        <w:rPr>
          <w:kern w:val="2"/>
          <w:position w:val="-30"/>
          <w14:ligatures w14:val="standardContextual"/>
        </w:rPr>
        <w:object w:dxaOrig="3600" w:dyaOrig="720" w14:anchorId="371A6D6A">
          <v:shape id="_x0000_i1027" type="#_x0000_t75" style="width:142.8pt;height:29.4pt" o:ole="">
            <v:imagedata r:id="rId15" o:title=""/>
          </v:shape>
          <o:OLEObject Type="Embed" ProgID="Equation.DSMT4" ShapeID="_x0000_i1027" DrawAspect="Content" ObjectID="_1802705349" r:id="rId16"/>
        </w:object>
      </w:r>
      <w:r w:rsidR="008B1FFF">
        <w:tab/>
      </w:r>
      <w:r w:rsidR="008B1FFF">
        <w:tab/>
        <w:t>(3)</w:t>
      </w:r>
    </w:p>
    <w:p w14:paraId="193DCE37" w14:textId="24C5F0E6" w:rsidR="008B1FFF" w:rsidRDefault="00DD375A" w:rsidP="00DA50C6">
      <w:pPr>
        <w:ind w:left="426"/>
      </w:pPr>
      <w:r w:rsidRPr="00433157">
        <w:rPr>
          <w:kern w:val="2"/>
          <w:position w:val="-30"/>
          <w14:ligatures w14:val="standardContextual"/>
        </w:rPr>
        <w:object w:dxaOrig="4520" w:dyaOrig="720" w14:anchorId="0BE44790">
          <v:shape id="_x0000_i1028" type="#_x0000_t75" style="width:179.4pt;height:29.4pt" o:ole="">
            <v:imagedata r:id="rId17" o:title=""/>
          </v:shape>
          <o:OLEObject Type="Embed" ProgID="Equation.DSMT4" ShapeID="_x0000_i1028" DrawAspect="Content" ObjectID="_1802705350" r:id="rId18"/>
        </w:object>
      </w:r>
      <w:r w:rsidR="008B1FFF">
        <w:tab/>
      </w:r>
      <w:r w:rsidR="008B1FFF">
        <w:tab/>
        <w:t>(4)</w:t>
      </w:r>
    </w:p>
    <w:p w14:paraId="731CCD4C" w14:textId="6CCF4B59" w:rsidR="008B1FFF" w:rsidRDefault="00DD375A" w:rsidP="00DA50C6">
      <w:pPr>
        <w:ind w:left="426"/>
      </w:pPr>
      <w:r w:rsidRPr="00404C01">
        <w:rPr>
          <w:kern w:val="2"/>
          <w:position w:val="-30"/>
          <w14:ligatures w14:val="standardContextual"/>
        </w:rPr>
        <w:object w:dxaOrig="4720" w:dyaOrig="720" w14:anchorId="4F9A20CD">
          <v:shape id="_x0000_i1029" type="#_x0000_t75" style="width:186pt;height:29.4pt;mso-position-vertical:absolute" o:ole="">
            <v:imagedata r:id="rId19" o:title=""/>
          </v:shape>
          <o:OLEObject Type="Embed" ProgID="Equation.DSMT4" ShapeID="_x0000_i1029" DrawAspect="Content" ObjectID="_1802705351" r:id="rId20"/>
        </w:object>
      </w:r>
      <w:r w:rsidR="008B1FFF">
        <w:tab/>
      </w:r>
      <w:r w:rsidR="008B1FFF">
        <w:tab/>
        <w:t>(5)</w:t>
      </w:r>
    </w:p>
    <w:p w14:paraId="32FCDB17" w14:textId="5D8FB140" w:rsidR="008B1FFF" w:rsidRDefault="00DD375A" w:rsidP="00DA50C6">
      <w:pPr>
        <w:ind w:left="426"/>
      </w:pPr>
      <w:r w:rsidRPr="00D7284B">
        <w:rPr>
          <w:kern w:val="2"/>
          <w:position w:val="-24"/>
          <w14:ligatures w14:val="standardContextual"/>
        </w:rPr>
        <w:object w:dxaOrig="1880" w:dyaOrig="660" w14:anchorId="66E928DE">
          <v:shape id="_x0000_i1030" type="#_x0000_t75" style="width:74.4pt;height:25.8pt" o:ole="">
            <v:imagedata r:id="rId21" o:title=""/>
          </v:shape>
          <o:OLEObject Type="Embed" ProgID="Equation.DSMT4" ShapeID="_x0000_i1030" DrawAspect="Content" ObjectID="_1802705352" r:id="rId22"/>
        </w:object>
      </w:r>
      <w:r w:rsidR="008B1FFF">
        <w:tab/>
      </w:r>
      <w:r w:rsidR="008B1FFF">
        <w:tab/>
        <w:t>(6)</w:t>
      </w:r>
    </w:p>
    <w:p w14:paraId="296DCC36" w14:textId="4D48D5CD" w:rsidR="008B1FFF" w:rsidRDefault="00DD375A" w:rsidP="00DA50C6">
      <w:pPr>
        <w:ind w:left="426"/>
      </w:pPr>
      <w:r w:rsidRPr="00D7284B">
        <w:rPr>
          <w:kern w:val="2"/>
          <w:position w:val="-62"/>
          <w14:ligatures w14:val="standardContextual"/>
        </w:rPr>
        <w:object w:dxaOrig="6039" w:dyaOrig="1359" w14:anchorId="19D1C908">
          <v:shape id="_x0000_i1031" type="#_x0000_t75" style="width:239.4pt;height:54pt" o:ole="">
            <v:imagedata r:id="rId23" o:title=""/>
          </v:shape>
          <o:OLEObject Type="Embed" ProgID="Equation.DSMT4" ShapeID="_x0000_i1031" DrawAspect="Content" ObjectID="_1802705353" r:id="rId24"/>
        </w:object>
      </w:r>
      <w:r w:rsidR="008B1FFF">
        <w:tab/>
      </w:r>
      <w:r w:rsidR="008B1FFF">
        <w:tab/>
        <w:t>(7)</w:t>
      </w:r>
    </w:p>
    <w:p w14:paraId="743FF8B3" w14:textId="47497DAC" w:rsidR="008B1FFF" w:rsidRDefault="00DD375A" w:rsidP="00DA50C6">
      <w:pPr>
        <w:ind w:left="426"/>
      </w:pPr>
      <w:r w:rsidRPr="00EC4809">
        <w:rPr>
          <w:position w:val="-102"/>
        </w:rPr>
        <w:object w:dxaOrig="7880" w:dyaOrig="2160" w14:anchorId="2019FF77">
          <v:shape id="_x0000_i1032" type="#_x0000_t75" style="width:314.4pt;height:85.8pt;mso-position-vertical:absolute" o:ole="">
            <v:imagedata r:id="rId25" o:title=""/>
          </v:shape>
          <o:OLEObject Type="Embed" ProgID="Equation.DSMT4" ShapeID="_x0000_i1032" DrawAspect="Content" ObjectID="_1802705354" r:id="rId26"/>
        </w:object>
      </w:r>
      <w:r w:rsidR="008B1FFF">
        <w:tab/>
      </w:r>
      <w:r>
        <w:tab/>
      </w:r>
      <w:r w:rsidR="008B1FFF">
        <w:t>(8)</w:t>
      </w:r>
    </w:p>
    <w:p w14:paraId="1F8EF945" w14:textId="762A13E0" w:rsidR="00335B86" w:rsidRDefault="00DD375A" w:rsidP="00DA50C6">
      <w:pPr>
        <w:ind w:left="426"/>
      </w:pPr>
      <w:r w:rsidRPr="00B21307">
        <w:rPr>
          <w:position w:val="-18"/>
        </w:rPr>
        <w:object w:dxaOrig="5880" w:dyaOrig="520" w14:anchorId="3A7F92CA">
          <v:shape id="_x0000_i1033" type="#_x0000_t75" style="width:230.4pt;height:21pt" o:ole="">
            <v:imagedata r:id="rId27" o:title=""/>
          </v:shape>
          <o:OLEObject Type="Embed" ProgID="Equation.DSMT4" ShapeID="_x0000_i1033" DrawAspect="Content" ObjectID="_1802705355" r:id="rId28"/>
        </w:object>
      </w:r>
      <w:r w:rsidR="009340FB">
        <w:tab/>
      </w:r>
      <w:r w:rsidR="009340FB">
        <w:tab/>
        <w:t>(9)</w:t>
      </w:r>
    </w:p>
    <w:bookmarkEnd w:id="1"/>
    <w:p w14:paraId="159CA71A" w14:textId="77777777" w:rsidR="008B1FFF" w:rsidRDefault="008B1FFF" w:rsidP="00782467">
      <w:pPr>
        <w:pStyle w:val="CETBodytext"/>
      </w:pPr>
    </w:p>
    <w:p w14:paraId="60BEEA03" w14:textId="67598C1E" w:rsidR="00B15889" w:rsidRDefault="0021678D" w:rsidP="00782467">
      <w:pPr>
        <w:pStyle w:val="CETBodytext"/>
      </w:pPr>
      <w:r>
        <w:t>The</w:t>
      </w:r>
      <w:r w:rsidR="009D6004">
        <w:t xml:space="preserve"> detailed symbol significance is reported in the no</w:t>
      </w:r>
      <w:r w:rsidR="009340FB">
        <w:t>menclature</w:t>
      </w:r>
      <w:r w:rsidR="009D6004">
        <w:t xml:space="preserve">. </w:t>
      </w:r>
      <w:r w:rsidR="00B15889">
        <w:t xml:space="preserve">The system of ordinary differential equations (ODEs) is solved </w:t>
      </w:r>
      <w:r w:rsidR="00A7584B">
        <w:t>along</w:t>
      </w:r>
      <w:r w:rsidR="00B15889">
        <w:t xml:space="preserve"> with the</w:t>
      </w:r>
      <w:r w:rsidR="00A7584B">
        <w:t xml:space="preserve"> initial </w:t>
      </w:r>
      <w:r w:rsidR="00B15889">
        <w:t>conditions</w:t>
      </w:r>
      <w:r w:rsidR="00A7584B">
        <w:t xml:space="preserve"> of each </w:t>
      </w:r>
      <w:r w:rsidR="009D6004">
        <w:t xml:space="preserve">variable </w:t>
      </w:r>
      <w:r w:rsidR="00D95B38">
        <w:t xml:space="preserve">via </w:t>
      </w:r>
      <w:r w:rsidR="00A7584B">
        <w:t xml:space="preserve">numerical </w:t>
      </w:r>
      <w:r w:rsidR="00A7584B" w:rsidRPr="00A7584B">
        <w:t xml:space="preserve">routines </w:t>
      </w:r>
      <w:r w:rsidR="009D6004">
        <w:t xml:space="preserve">available </w:t>
      </w:r>
      <w:r w:rsidR="00A7584B" w:rsidRPr="00A7584B">
        <w:t>in MATLAB</w:t>
      </w:r>
      <w:r w:rsidR="00A7584B">
        <w:t xml:space="preserve">. </w:t>
      </w:r>
    </w:p>
    <w:p w14:paraId="0D4A71BA" w14:textId="1EC35D36" w:rsidR="00335B86" w:rsidRDefault="00335B86" w:rsidP="00335B86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>Results and discussion</w:t>
      </w:r>
    </w:p>
    <w:p w14:paraId="111556D5" w14:textId="5C54EEA2" w:rsidR="005D5BBE" w:rsidRDefault="008253D7" w:rsidP="001F735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  <w:rPr>
          <w:rFonts w:cs="Arial"/>
          <w:szCs w:val="18"/>
        </w:rPr>
      </w:pPr>
      <w:r w:rsidRPr="00A7205A">
        <w:rPr>
          <w:rFonts w:cs="Arial"/>
          <w:szCs w:val="18"/>
          <w:lang w:val="en-US"/>
        </w:rPr>
        <w:t>Fig</w:t>
      </w:r>
      <w:r w:rsidR="0021678D">
        <w:rPr>
          <w:rFonts w:cs="Arial"/>
          <w:szCs w:val="18"/>
          <w:lang w:val="en-US"/>
        </w:rPr>
        <w:t xml:space="preserve">. </w:t>
      </w:r>
      <w:r>
        <w:rPr>
          <w:rFonts w:cs="Arial"/>
          <w:szCs w:val="18"/>
          <w:lang w:val="en-US"/>
        </w:rPr>
        <w:t>1</w:t>
      </w:r>
      <w:r w:rsidRPr="00A7205A">
        <w:rPr>
          <w:rFonts w:cs="Arial"/>
          <w:szCs w:val="18"/>
          <w:lang w:val="en-US"/>
        </w:rPr>
        <w:t xml:space="preserve"> shows the comparison between experimental </w:t>
      </w:r>
      <w:r>
        <w:rPr>
          <w:rFonts w:cs="Arial"/>
          <w:szCs w:val="18"/>
          <w:lang w:val="en-US"/>
        </w:rPr>
        <w:t xml:space="preserve">model results obtained when cultivating </w:t>
      </w:r>
      <w:r w:rsidRPr="008253D7">
        <w:rPr>
          <w:rFonts w:cs="Arial"/>
          <w:i/>
          <w:iCs/>
          <w:szCs w:val="18"/>
          <w:lang w:val="en-US"/>
        </w:rPr>
        <w:t>C. vulgaris</w:t>
      </w:r>
      <w:r>
        <w:rPr>
          <w:rFonts w:cs="Arial"/>
          <w:szCs w:val="18"/>
          <w:lang w:val="en-US"/>
        </w:rPr>
        <w:t xml:space="preserve"> in the investigated media (Table 1) under a pure CO</w:t>
      </w:r>
      <w:r w:rsidRPr="00A7205A">
        <w:rPr>
          <w:rFonts w:cs="Arial"/>
          <w:szCs w:val="18"/>
          <w:vertAlign w:val="subscript"/>
          <w:lang w:val="en-US"/>
        </w:rPr>
        <w:t>2</w:t>
      </w:r>
      <w:r>
        <w:rPr>
          <w:rFonts w:cs="Arial"/>
          <w:szCs w:val="18"/>
          <w:lang w:val="en-US"/>
        </w:rPr>
        <w:t xml:space="preserve"> atmosphere. In all cases, t</w:t>
      </w:r>
      <w:r w:rsidRPr="00A7205A">
        <w:rPr>
          <w:rFonts w:cs="Arial"/>
          <w:szCs w:val="18"/>
          <w:lang w:val="en-US"/>
        </w:rPr>
        <w:t>he biomass concentration starts growing without showing a significant lag phase until the growth</w:t>
      </w:r>
      <w:r>
        <w:rPr>
          <w:rFonts w:cs="Arial"/>
          <w:szCs w:val="18"/>
          <w:lang w:val="en-US"/>
        </w:rPr>
        <w:t xml:space="preserve"> stops when the internal cell quota </w:t>
      </w:r>
      <w:r w:rsidR="0021678D">
        <w:rPr>
          <w:rFonts w:cs="Arial"/>
          <w:szCs w:val="18"/>
          <w:lang w:val="en-US"/>
        </w:rPr>
        <w:t xml:space="preserve">of </w:t>
      </w:r>
      <w:r>
        <w:rPr>
          <w:rFonts w:cs="Arial"/>
          <w:szCs w:val="18"/>
          <w:lang w:val="en-US"/>
        </w:rPr>
        <w:t>Fe</w:t>
      </w:r>
      <w:r w:rsidR="0021678D">
        <w:rPr>
          <w:rFonts w:cs="Arial"/>
          <w:szCs w:val="18"/>
          <w:lang w:val="en-US"/>
        </w:rPr>
        <w:t xml:space="preserve"> a</w:t>
      </w:r>
      <w:r>
        <w:rPr>
          <w:rFonts w:cs="Arial"/>
          <w:szCs w:val="18"/>
          <w:lang w:val="en-US"/>
        </w:rPr>
        <w:t xml:space="preserve">chieved the minimum value capable </w:t>
      </w:r>
      <w:proofErr w:type="gramStart"/>
      <w:r>
        <w:rPr>
          <w:rFonts w:cs="Arial"/>
          <w:szCs w:val="18"/>
          <w:lang w:val="en-US"/>
        </w:rPr>
        <w:t>to sustain</w:t>
      </w:r>
      <w:proofErr w:type="gramEnd"/>
      <w:r>
        <w:rPr>
          <w:rFonts w:cs="Arial"/>
          <w:szCs w:val="18"/>
          <w:lang w:val="en-US"/>
        </w:rPr>
        <w:t xml:space="preserve"> growth. From the practical point of view, t</w:t>
      </w:r>
      <w:r w:rsidRPr="008253D7">
        <w:rPr>
          <w:rFonts w:cs="Arial"/>
          <w:szCs w:val="18"/>
          <w:lang w:val="en-US"/>
        </w:rPr>
        <w:t xml:space="preserve">he relevant aspect </w:t>
      </w:r>
      <w:r w:rsidR="00983415">
        <w:rPr>
          <w:rFonts w:cs="Arial"/>
          <w:szCs w:val="18"/>
          <w:lang w:val="en-US"/>
        </w:rPr>
        <w:t>deductible</w:t>
      </w:r>
      <w:r w:rsidRPr="008253D7">
        <w:rPr>
          <w:rFonts w:cs="Arial"/>
          <w:szCs w:val="18"/>
          <w:lang w:val="en-US"/>
        </w:rPr>
        <w:t xml:space="preserve"> from Fig. </w:t>
      </w:r>
      <w:r w:rsidR="00983415">
        <w:rPr>
          <w:rFonts w:cs="Arial"/>
          <w:szCs w:val="18"/>
          <w:lang w:val="en-US"/>
        </w:rPr>
        <w:t>1</w:t>
      </w:r>
      <w:r w:rsidRPr="008253D7">
        <w:rPr>
          <w:rFonts w:cs="Arial"/>
          <w:szCs w:val="18"/>
          <w:lang w:val="en-US"/>
        </w:rPr>
        <w:t xml:space="preserve"> is that the </w:t>
      </w:r>
      <w:r w:rsidR="00983415" w:rsidRPr="00983415">
        <w:rPr>
          <w:rFonts w:cs="Arial"/>
          <w:i/>
          <w:iCs/>
          <w:szCs w:val="18"/>
          <w:lang w:val="en-US"/>
        </w:rPr>
        <w:t>C. vulgaris</w:t>
      </w:r>
      <w:r w:rsidR="00983415">
        <w:rPr>
          <w:rFonts w:cs="Arial"/>
          <w:szCs w:val="18"/>
          <w:lang w:val="en-US"/>
        </w:rPr>
        <w:t xml:space="preserve"> </w:t>
      </w:r>
      <w:r w:rsidRPr="008253D7">
        <w:rPr>
          <w:rFonts w:cs="Arial"/>
          <w:szCs w:val="18"/>
          <w:lang w:val="en-US"/>
        </w:rPr>
        <w:t>cultivated in MM</w:t>
      </w:r>
      <w:r w:rsidR="00983415">
        <w:rPr>
          <w:rFonts w:cs="Arial"/>
          <w:szCs w:val="18"/>
          <w:lang w:val="en-US"/>
        </w:rPr>
        <w:t>10</w:t>
      </w:r>
      <w:r w:rsidRPr="008253D7">
        <w:rPr>
          <w:rFonts w:cs="Arial"/>
          <w:szCs w:val="18"/>
          <w:lang w:val="en-US"/>
        </w:rPr>
        <w:t>0</w:t>
      </w:r>
      <w:r w:rsidR="00983415">
        <w:rPr>
          <w:rFonts w:cs="Arial"/>
          <w:szCs w:val="18"/>
          <w:lang w:val="en-US"/>
        </w:rPr>
        <w:t xml:space="preserve">, i.e. a medium obtainable by exploiting only in-situ available resources on Mars, grew till the end of the experiment at </w:t>
      </w:r>
      <w:r w:rsidR="0021678D">
        <w:rPr>
          <w:rFonts w:cs="Arial"/>
          <w:szCs w:val="18"/>
          <w:lang w:val="en-US"/>
        </w:rPr>
        <w:t xml:space="preserve">a </w:t>
      </w:r>
      <w:r w:rsidR="00983415">
        <w:rPr>
          <w:rFonts w:cs="Arial"/>
          <w:szCs w:val="18"/>
          <w:lang w:val="en-US"/>
        </w:rPr>
        <w:t xml:space="preserve">rate very close to the one observed when using BBM medium. Indeed, the biomass productivities (Fig. 1) evaluated at the end of the experiments were all very close (around </w:t>
      </w:r>
      <w:r w:rsidR="001F735B">
        <w:rPr>
          <w:rFonts w:cs="Arial"/>
          <w:szCs w:val="18"/>
          <w:lang w:val="en-US"/>
        </w:rPr>
        <w:t>0.1 g L</w:t>
      </w:r>
      <w:r w:rsidR="001F735B" w:rsidRPr="001F735B">
        <w:rPr>
          <w:rFonts w:cs="Arial"/>
          <w:szCs w:val="18"/>
          <w:vertAlign w:val="superscript"/>
          <w:lang w:val="en-US"/>
        </w:rPr>
        <w:t>-1</w:t>
      </w:r>
      <w:r w:rsidR="001F735B">
        <w:rPr>
          <w:rFonts w:cs="Arial"/>
          <w:szCs w:val="18"/>
          <w:lang w:val="en-US"/>
        </w:rPr>
        <w:t xml:space="preserve"> day</w:t>
      </w:r>
      <w:r w:rsidR="001F735B" w:rsidRPr="001F735B">
        <w:rPr>
          <w:rFonts w:cs="Arial"/>
          <w:szCs w:val="18"/>
          <w:vertAlign w:val="superscript"/>
          <w:lang w:val="en-US"/>
        </w:rPr>
        <w:t>-1</w:t>
      </w:r>
      <w:r w:rsidR="001F735B">
        <w:rPr>
          <w:rFonts w:cs="Arial"/>
          <w:szCs w:val="18"/>
          <w:lang w:val="en-US"/>
        </w:rPr>
        <w:t xml:space="preserve">) </w:t>
      </w:r>
      <w:r w:rsidR="00983415">
        <w:rPr>
          <w:rFonts w:cs="Arial"/>
          <w:szCs w:val="18"/>
          <w:lang w:val="en-US"/>
        </w:rPr>
        <w:t xml:space="preserve">without a statistically significant difference. </w:t>
      </w:r>
      <w:r w:rsidR="005D5BBE">
        <w:rPr>
          <w:rFonts w:cs="Arial"/>
          <w:szCs w:val="18"/>
        </w:rPr>
        <w:t xml:space="preserve">The capability of </w:t>
      </w:r>
      <w:r w:rsidR="005D5BBE" w:rsidRPr="00983415">
        <w:rPr>
          <w:rFonts w:cs="Arial"/>
          <w:i/>
          <w:iCs/>
          <w:szCs w:val="18"/>
        </w:rPr>
        <w:t>C. vulgaris</w:t>
      </w:r>
      <w:r w:rsidR="005D5BBE">
        <w:rPr>
          <w:rFonts w:cs="Arial"/>
          <w:szCs w:val="18"/>
        </w:rPr>
        <w:t xml:space="preserve"> to grow in medium obtainable </w:t>
      </w:r>
      <w:r w:rsidR="0021678D">
        <w:rPr>
          <w:rFonts w:cs="Arial"/>
          <w:szCs w:val="18"/>
        </w:rPr>
        <w:t>using</w:t>
      </w:r>
      <w:r w:rsidR="005D5BBE">
        <w:rPr>
          <w:rFonts w:cs="Arial"/>
          <w:szCs w:val="18"/>
        </w:rPr>
        <w:t xml:space="preserve"> only in-situ available resources only is very important in view of its </w:t>
      </w:r>
      <w:r w:rsidR="005D5BBE">
        <w:rPr>
          <w:rFonts w:cs="Arial"/>
          <w:szCs w:val="18"/>
        </w:rPr>
        <w:lastRenderedPageBreak/>
        <w:t>application on Mars also because it would reduce dramatically the need of compounds to bring from Earth and, correspondingly, the payload of the mission.</w:t>
      </w:r>
      <w:r w:rsidR="00A65F8A">
        <w:rPr>
          <w:rFonts w:cs="Arial"/>
          <w:szCs w:val="18"/>
        </w:rPr>
        <w:t xml:space="preserve"> </w:t>
      </w:r>
    </w:p>
    <w:p w14:paraId="67105A86" w14:textId="77777777" w:rsidR="00842196" w:rsidRDefault="00842196" w:rsidP="00A65F8A">
      <w:pPr>
        <w:pStyle w:val="CETCaption"/>
        <w:spacing w:before="0" w:after="0"/>
      </w:pPr>
      <w:r w:rsidRPr="000B29D1">
        <w:rPr>
          <w:noProof/>
        </w:rPr>
        <w:drawing>
          <wp:inline distT="0" distB="0" distL="0" distR="0" wp14:anchorId="1BF8D57D" wp14:editId="0C85F745">
            <wp:extent cx="2700000" cy="2124000"/>
            <wp:effectExtent l="0" t="0" r="5715" b="0"/>
            <wp:docPr id="11341792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7"/>
                    <a:stretch/>
                  </pic:blipFill>
                  <pic:spPr bwMode="auto">
                    <a:xfrm>
                      <a:off x="0" y="0"/>
                      <a:ext cx="2700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657E">
        <w:rPr>
          <w:noProof/>
        </w:rPr>
        <w:drawing>
          <wp:inline distT="0" distB="0" distL="0" distR="0" wp14:anchorId="3968284A" wp14:editId="0A6BCB3E">
            <wp:extent cx="2728800" cy="2134800"/>
            <wp:effectExtent l="0" t="0" r="0" b="0"/>
            <wp:docPr id="210732065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7"/>
                    <a:stretch/>
                  </pic:blipFill>
                  <pic:spPr bwMode="auto">
                    <a:xfrm>
                      <a:off x="0" y="0"/>
                      <a:ext cx="2728800" cy="21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6DA53C" w14:textId="77777777" w:rsidR="00842196" w:rsidRDefault="00842196" w:rsidP="00A65F8A">
      <w:pPr>
        <w:pStyle w:val="CETCaption"/>
        <w:spacing w:before="0" w:after="0"/>
      </w:pPr>
      <w:r w:rsidRPr="008D657E">
        <w:rPr>
          <w:noProof/>
        </w:rPr>
        <w:drawing>
          <wp:inline distT="0" distB="0" distL="0" distR="0" wp14:anchorId="4F153689" wp14:editId="6460AD56">
            <wp:extent cx="2696400" cy="2134800"/>
            <wp:effectExtent l="0" t="0" r="8890" b="0"/>
            <wp:docPr id="6745324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5"/>
                    <a:stretch/>
                  </pic:blipFill>
                  <pic:spPr bwMode="auto">
                    <a:xfrm>
                      <a:off x="0" y="0"/>
                      <a:ext cx="2696400" cy="21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657E">
        <w:rPr>
          <w:noProof/>
        </w:rPr>
        <w:drawing>
          <wp:inline distT="0" distB="0" distL="0" distR="0" wp14:anchorId="77074022" wp14:editId="6BE6B5B3">
            <wp:extent cx="2700000" cy="2124000"/>
            <wp:effectExtent l="0" t="0" r="5715" b="0"/>
            <wp:docPr id="106735409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7"/>
                    <a:stretch/>
                  </pic:blipFill>
                  <pic:spPr bwMode="auto">
                    <a:xfrm>
                      <a:off x="0" y="0"/>
                      <a:ext cx="2700000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68F7D6" w14:textId="77777777" w:rsidR="00842196" w:rsidRDefault="00842196" w:rsidP="00A65F8A">
      <w:pPr>
        <w:pStyle w:val="CETCaption"/>
        <w:spacing w:before="0" w:after="0"/>
      </w:pPr>
      <w:r w:rsidRPr="008D657E">
        <w:rPr>
          <w:noProof/>
        </w:rPr>
        <w:drawing>
          <wp:inline distT="0" distB="0" distL="0" distR="0" wp14:anchorId="2B9E3AB8" wp14:editId="0CD57EBB">
            <wp:extent cx="2696400" cy="2134800"/>
            <wp:effectExtent l="0" t="0" r="8890" b="0"/>
            <wp:docPr id="38817058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5"/>
                    <a:stretch/>
                  </pic:blipFill>
                  <pic:spPr bwMode="auto">
                    <a:xfrm>
                      <a:off x="0" y="0"/>
                      <a:ext cx="2696400" cy="21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B2DF9">
        <w:rPr>
          <w:noProof/>
        </w:rPr>
        <w:drawing>
          <wp:inline distT="0" distB="0" distL="0" distR="0" wp14:anchorId="4C50EF40" wp14:editId="756B7238">
            <wp:extent cx="2700000" cy="2228400"/>
            <wp:effectExtent l="0" t="0" r="0" b="0"/>
            <wp:docPr id="9145143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2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3C1F8" w14:textId="61EF140D" w:rsidR="00842196" w:rsidRPr="00120635" w:rsidRDefault="00842196" w:rsidP="00120635">
      <w:pPr>
        <w:pStyle w:val="CETCaption"/>
        <w:rPr>
          <w:rStyle w:val="CETCaptionCarattere"/>
          <w:i/>
        </w:rPr>
      </w:pPr>
      <w:r w:rsidRPr="00120635">
        <w:rPr>
          <w:rStyle w:val="CETCaptionCarattere"/>
          <w:b/>
          <w:bCs/>
          <w:i/>
        </w:rPr>
        <w:t>Figure 1.</w:t>
      </w:r>
      <w:r w:rsidRPr="00120635">
        <w:rPr>
          <w:rStyle w:val="CETCaptionCarattere"/>
          <w:i/>
        </w:rPr>
        <w:t xml:space="preserve"> Microalgae biomass concentration and pH time evolution in the cultures with different percentage of Martian Medium. Last figure summarizes the biomass productivities achieved with the different media. </w:t>
      </w:r>
    </w:p>
    <w:p w14:paraId="668467B5" w14:textId="77777777" w:rsidR="00A65F8A" w:rsidRDefault="00A65F8A" w:rsidP="00A65F8A">
      <w:pPr>
        <w:pStyle w:val="CETBodytext"/>
      </w:pPr>
      <w:r w:rsidRPr="00C35901">
        <w:t xml:space="preserve">The experimental data </w:t>
      </w:r>
      <w:r>
        <w:t xml:space="preserve">in Fig. 1 </w:t>
      </w:r>
      <w:r w:rsidRPr="00C35901">
        <w:t>were</w:t>
      </w:r>
      <w:r>
        <w:t xml:space="preserve"> well simulated </w:t>
      </w:r>
      <w:r w:rsidRPr="00C35901">
        <w:t xml:space="preserve">by the proposed model </w:t>
      </w:r>
      <w:r>
        <w:t xml:space="preserve">when </w:t>
      </w:r>
      <w:r w:rsidRPr="00C35901">
        <w:t>using</w:t>
      </w:r>
      <w:r>
        <w:t xml:space="preserve"> the model parameters in Table 1. It should be noted that most parameters values were taken from the literature since only two of them,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max</m:t>
            </m:r>
          </m:sub>
        </m:sSub>
      </m:oMath>
      <w:r w:rsidRPr="009B20DD"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max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>
        <w:t xml:space="preserve">, </w:t>
      </w:r>
      <w:r w:rsidRPr="009B20DD">
        <w:t>were suitably tun</w:t>
      </w:r>
      <w:r>
        <w:t>ed</w:t>
      </w:r>
      <w:r w:rsidRPr="009B20DD">
        <w:t xml:space="preserve"> by using the function </w:t>
      </w:r>
      <w:proofErr w:type="spellStart"/>
      <w:r w:rsidRPr="009B20DD">
        <w:t>fmincon</w:t>
      </w:r>
      <w:proofErr w:type="spellEnd"/>
      <w:r w:rsidRPr="009B20DD">
        <w:t xml:space="preserve"> in MATLAB.</w:t>
      </w:r>
      <w:r>
        <w:t xml:space="preserve"> It should be noted that the values obtained of the two adjusted parameters are consistent with those reported in the literature for similar systems. </w:t>
      </w:r>
    </w:p>
    <w:p w14:paraId="7C3AD680" w14:textId="008B7E4C" w:rsidR="00270660" w:rsidRDefault="00A65F8A" w:rsidP="00A65F8A">
      <w:pPr>
        <w:pStyle w:val="CETBodytext"/>
      </w:pPr>
      <w:r>
        <w:t xml:space="preserve">It should be noted that fitting was performed using only two series of data, i.e. </w:t>
      </w:r>
      <w:proofErr w:type="spellStart"/>
      <w:r>
        <w:t>ph</w:t>
      </w:r>
      <w:proofErr w:type="spellEnd"/>
      <w:r>
        <w:t xml:space="preserve"> Vs time and X Vs time for MM0, while in the remaining simulations the obtained values of the above parameters were kept constant so </w:t>
      </w:r>
      <w:r>
        <w:lastRenderedPageBreak/>
        <w:t xml:space="preserve">that simulations could be considered predictions. </w:t>
      </w:r>
      <w:r w:rsidR="00CD6C47">
        <w:t>The mean square error</w:t>
      </w:r>
      <w:r w:rsidR="005C0794">
        <w:t>s</w:t>
      </w:r>
      <w:r w:rsidR="008E40BD">
        <w:t xml:space="preserve"> </w:t>
      </w:r>
      <w:r w:rsidR="005C0794">
        <w:t>(MSE) were in the range 0.02</w:t>
      </w:r>
      <w:r w:rsidR="001873DD">
        <w:t xml:space="preserve"> </w:t>
      </w:r>
      <w:r w:rsidR="005C0794">
        <w:t>-</w:t>
      </w:r>
      <w:r w:rsidR="00CD6C47">
        <w:t xml:space="preserve"> </w:t>
      </w:r>
      <w:r w:rsidR="005C0794">
        <w:t>0.12 for the biomass variable and 0.32-0.38 for pH thus demonstrating the good predictive capability of the model</w:t>
      </w:r>
      <w:r w:rsidR="0021678D">
        <w:t>.</w:t>
      </w:r>
    </w:p>
    <w:p w14:paraId="4EE32BFF" w14:textId="77777777" w:rsidR="00D561AC" w:rsidRPr="00D561AC" w:rsidRDefault="00D561AC" w:rsidP="00A65F8A">
      <w:pPr>
        <w:pStyle w:val="CETTabletitle"/>
        <w:spacing w:before="120"/>
      </w:pPr>
      <w:r w:rsidRPr="00D561AC">
        <w:t>Table 2. Model parameters</w:t>
      </w:r>
    </w:p>
    <w:tbl>
      <w:tblPr>
        <w:tblStyle w:val="Grigliatabellachiara"/>
        <w:tblW w:w="5000" w:type="pct"/>
        <w:tblBorders>
          <w:top w:val="single" w:sz="12" w:space="0" w:color="00B050"/>
          <w:left w:val="none" w:sz="0" w:space="0" w:color="auto"/>
          <w:bottom w:val="single" w:sz="12" w:space="0" w:color="00B05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2481"/>
        <w:gridCol w:w="1554"/>
        <w:gridCol w:w="3156"/>
      </w:tblGrid>
      <w:tr w:rsidR="00AF47ED" w:rsidRPr="007C73F5" w14:paraId="4C9EE3D7" w14:textId="77777777" w:rsidTr="009B20DD">
        <w:trPr>
          <w:trHeight w:hRule="exact" w:val="227"/>
        </w:trPr>
        <w:tc>
          <w:tcPr>
            <w:tcW w:w="908" w:type="pct"/>
            <w:tcBorders>
              <w:top w:val="single" w:sz="12" w:space="0" w:color="00B050"/>
              <w:bottom w:val="single" w:sz="4" w:space="0" w:color="00B050"/>
            </w:tcBorders>
          </w:tcPr>
          <w:p w14:paraId="6265EABD" w14:textId="77777777" w:rsidR="00270660" w:rsidRPr="007C73F5" w:rsidRDefault="00270660" w:rsidP="00B142B9">
            <w:pPr>
              <w:spacing w:before="100" w:beforeAutospacing="1" w:after="100" w:afterAutospacing="1" w:line="360" w:lineRule="auto"/>
              <w:jc w:val="center"/>
              <w:rPr>
                <w:rFonts w:cs="Arial"/>
                <w:b/>
                <w:bCs/>
                <w:sz w:val="16"/>
                <w:szCs w:val="16"/>
                <w:lang w:eastAsia="it-IT"/>
              </w:rPr>
            </w:pPr>
            <w:r w:rsidRPr="007C73F5">
              <w:rPr>
                <w:rFonts w:cs="Arial"/>
                <w:b/>
                <w:bCs/>
                <w:sz w:val="16"/>
                <w:szCs w:val="16"/>
                <w:lang w:eastAsia="it-IT"/>
              </w:rPr>
              <w:t>Parameter</w:t>
            </w:r>
          </w:p>
        </w:tc>
        <w:tc>
          <w:tcPr>
            <w:tcW w:w="1412" w:type="pct"/>
            <w:tcBorders>
              <w:top w:val="single" w:sz="12" w:space="0" w:color="00B050"/>
              <w:bottom w:val="single" w:sz="4" w:space="0" w:color="00B050"/>
            </w:tcBorders>
          </w:tcPr>
          <w:p w14:paraId="7AEB2E7F" w14:textId="77777777" w:rsidR="00270660" w:rsidRPr="007C73F5" w:rsidRDefault="00270660" w:rsidP="00B142B9">
            <w:pPr>
              <w:spacing w:before="100" w:beforeAutospacing="1" w:after="100" w:afterAutospacing="1" w:line="360" w:lineRule="auto"/>
              <w:jc w:val="center"/>
              <w:rPr>
                <w:rFonts w:cs="Arial"/>
                <w:b/>
                <w:bCs/>
                <w:sz w:val="16"/>
                <w:szCs w:val="16"/>
                <w:lang w:eastAsia="it-IT"/>
              </w:rPr>
            </w:pPr>
            <w:r w:rsidRPr="007C73F5">
              <w:rPr>
                <w:rFonts w:cs="Arial"/>
                <w:b/>
                <w:bCs/>
                <w:sz w:val="16"/>
                <w:szCs w:val="16"/>
                <w:lang w:eastAsia="it-IT"/>
              </w:rPr>
              <w:t>Value</w:t>
            </w:r>
          </w:p>
        </w:tc>
        <w:tc>
          <w:tcPr>
            <w:tcW w:w="884" w:type="pct"/>
            <w:tcBorders>
              <w:top w:val="single" w:sz="12" w:space="0" w:color="00B050"/>
              <w:bottom w:val="single" w:sz="4" w:space="0" w:color="00B050"/>
            </w:tcBorders>
          </w:tcPr>
          <w:p w14:paraId="2B63B62C" w14:textId="77777777" w:rsidR="00270660" w:rsidRPr="007C73F5" w:rsidRDefault="00270660" w:rsidP="00B142B9">
            <w:pPr>
              <w:spacing w:before="100" w:beforeAutospacing="1" w:after="100" w:afterAutospacing="1" w:line="360" w:lineRule="auto"/>
              <w:jc w:val="center"/>
              <w:rPr>
                <w:rFonts w:cs="Arial"/>
                <w:b/>
                <w:bCs/>
                <w:sz w:val="16"/>
                <w:szCs w:val="16"/>
                <w:lang w:eastAsia="it-IT"/>
              </w:rPr>
            </w:pPr>
            <w:r w:rsidRPr="007C73F5">
              <w:rPr>
                <w:rFonts w:cs="Arial"/>
                <w:b/>
                <w:bCs/>
                <w:sz w:val="16"/>
                <w:szCs w:val="16"/>
                <w:lang w:eastAsia="it-IT"/>
              </w:rPr>
              <w:t>Units</w:t>
            </w:r>
          </w:p>
        </w:tc>
        <w:tc>
          <w:tcPr>
            <w:tcW w:w="1796" w:type="pct"/>
            <w:tcBorders>
              <w:top w:val="single" w:sz="12" w:space="0" w:color="00B050"/>
              <w:bottom w:val="single" w:sz="4" w:space="0" w:color="00B050"/>
            </w:tcBorders>
          </w:tcPr>
          <w:p w14:paraId="2B508F86" w14:textId="77777777" w:rsidR="00270660" w:rsidRPr="007C73F5" w:rsidRDefault="00270660" w:rsidP="00B142B9">
            <w:pPr>
              <w:spacing w:before="100" w:beforeAutospacing="1" w:after="100" w:afterAutospacing="1" w:line="360" w:lineRule="auto"/>
              <w:jc w:val="center"/>
              <w:rPr>
                <w:rFonts w:cs="Arial"/>
                <w:b/>
                <w:bCs/>
                <w:sz w:val="16"/>
                <w:szCs w:val="16"/>
                <w:lang w:eastAsia="it-IT"/>
              </w:rPr>
            </w:pPr>
            <w:r w:rsidRPr="007C73F5">
              <w:rPr>
                <w:rFonts w:cs="Arial"/>
                <w:b/>
                <w:bCs/>
                <w:sz w:val="16"/>
                <w:szCs w:val="16"/>
                <w:lang w:eastAsia="it-IT"/>
              </w:rPr>
              <w:t>Reference</w:t>
            </w:r>
          </w:p>
        </w:tc>
      </w:tr>
      <w:tr w:rsidR="00616B37" w:rsidRPr="007C73F5" w14:paraId="4BD88EC6" w14:textId="77777777" w:rsidTr="009B20DD">
        <w:trPr>
          <w:trHeight w:hRule="exact" w:val="227"/>
        </w:trPr>
        <w:tc>
          <w:tcPr>
            <w:tcW w:w="908" w:type="pct"/>
            <w:tcBorders>
              <w:top w:val="single" w:sz="4" w:space="0" w:color="00B050"/>
            </w:tcBorders>
          </w:tcPr>
          <w:p w14:paraId="069798FC" w14:textId="77777777" w:rsidR="00270660" w:rsidRPr="007C73F5" w:rsidRDefault="00D76AE6" w:rsidP="00B142B9">
            <w:pPr>
              <w:spacing w:line="360" w:lineRule="auto"/>
              <w:jc w:val="center"/>
              <w:rPr>
                <w:rFonts w:eastAsiaTheme="minorEastAsia"/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H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CO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16"/>
                            <w:szCs w:val="16"/>
                          </w:rPr>
                          <m:t>2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1412" w:type="pct"/>
            <w:tcBorders>
              <w:top w:val="single" w:sz="4" w:space="0" w:color="00B050"/>
            </w:tcBorders>
          </w:tcPr>
          <w:p w14:paraId="00D4A1EA" w14:textId="77777777" w:rsidR="00270660" w:rsidRPr="007C73F5" w:rsidRDefault="00270660" w:rsidP="00B142B9">
            <w:pPr>
              <w:spacing w:line="360" w:lineRule="auto"/>
              <w:jc w:val="center"/>
              <w:rPr>
                <w:rFonts w:ascii="Cambria Math" w:eastAsiaTheme="minorEastAsia" w:hAnsi="Cambria Math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3.4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84" w:type="pct"/>
            <w:tcBorders>
              <w:top w:val="single" w:sz="4" w:space="0" w:color="00B050"/>
            </w:tcBorders>
          </w:tcPr>
          <w:p w14:paraId="7854417B" w14:textId="44203444" w:rsidR="00270660" w:rsidRPr="007C73F5" w:rsidRDefault="007C73F5" w:rsidP="00B142B9">
            <w:pPr>
              <w:spacing w:line="360" w:lineRule="auto"/>
              <w:jc w:val="center"/>
              <w:rPr>
                <w:rFonts w:eastAsiaTheme="minorEastAsia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M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Pa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796" w:type="pct"/>
            <w:tcBorders>
              <w:top w:val="single" w:sz="4" w:space="0" w:color="00B050"/>
            </w:tcBorders>
          </w:tcPr>
          <w:p w14:paraId="536103B8" w14:textId="0077A82B" w:rsidR="00270660" w:rsidRPr="007C73F5" w:rsidRDefault="007F1831" w:rsidP="00B142B9">
            <w:pPr>
              <w:spacing w:line="360" w:lineRule="auto"/>
              <w:jc w:val="center"/>
              <w:rPr>
                <w:rFonts w:eastAsiaTheme="minorEastAsia" w:cs="Arial"/>
                <w:iCs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>Atzori et al., 2023</w:t>
            </w:r>
          </w:p>
        </w:tc>
      </w:tr>
      <w:tr w:rsidR="007F1831" w:rsidRPr="007C73F5" w14:paraId="0502D2E5" w14:textId="77777777" w:rsidTr="009B20DD">
        <w:trPr>
          <w:trHeight w:hRule="exact" w:val="227"/>
        </w:trPr>
        <w:tc>
          <w:tcPr>
            <w:tcW w:w="908" w:type="pct"/>
          </w:tcPr>
          <w:p w14:paraId="7916EB99" w14:textId="14C9CDA2" w:rsidR="007F1831" w:rsidRPr="007C73F5" w:rsidRDefault="00D76AE6" w:rsidP="007F1831">
            <w:pPr>
              <w:spacing w:line="360" w:lineRule="auto"/>
              <w:jc w:val="center"/>
              <w:rPr>
                <w:rFonts w:eastAsiaTheme="minorEastAsia"/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a</m:t>
                </m:r>
              </m:oMath>
            </m:oMathPara>
          </w:p>
        </w:tc>
        <w:tc>
          <w:tcPr>
            <w:tcW w:w="1412" w:type="pct"/>
          </w:tcPr>
          <w:p w14:paraId="7F593734" w14:textId="77777777" w:rsidR="007F1831" w:rsidRPr="007C73F5" w:rsidRDefault="007F1831" w:rsidP="007F1831">
            <w:pPr>
              <w:spacing w:line="360" w:lineRule="auto"/>
              <w:jc w:val="center"/>
              <w:rPr>
                <w:rFonts w:ascii="Cambria Math" w:eastAsiaTheme="minorEastAsia" w:hAnsi="Cambria Math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2.93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1CA7B204" w14:textId="2F802877" w:rsidR="007F1831" w:rsidRPr="007C73F5" w:rsidRDefault="00D76AE6" w:rsidP="007F1831">
            <w:pPr>
              <w:spacing w:line="360" w:lineRule="auto"/>
              <w:jc w:val="center"/>
              <w:rPr>
                <w:rFonts w:eastAsiaTheme="minorEastAsi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hr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796" w:type="pct"/>
          </w:tcPr>
          <w:p w14:paraId="6864FB1F" w14:textId="005EAE12" w:rsidR="007F1831" w:rsidRPr="007C73F5" w:rsidRDefault="007F1831" w:rsidP="007F1831">
            <w:pPr>
              <w:spacing w:line="360" w:lineRule="auto"/>
              <w:jc w:val="center"/>
              <w:rPr>
                <w:rFonts w:eastAsiaTheme="minorEastAsia" w:cs="Arial"/>
                <w:iCs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>Klöckner et al. 2013</w:t>
            </w:r>
          </w:p>
        </w:tc>
      </w:tr>
      <w:tr w:rsidR="00616B37" w:rsidRPr="007C73F5" w14:paraId="44808E23" w14:textId="77777777" w:rsidTr="009B20DD">
        <w:trPr>
          <w:trHeight w:hRule="exact" w:val="227"/>
        </w:trPr>
        <w:tc>
          <w:tcPr>
            <w:tcW w:w="908" w:type="pct"/>
          </w:tcPr>
          <w:p w14:paraId="58614D9E" w14:textId="77777777" w:rsidR="007F1831" w:rsidRPr="007C73F5" w:rsidRDefault="00D76AE6" w:rsidP="007F1831">
            <w:pPr>
              <w:spacing w:line="360" w:lineRule="auto"/>
              <w:jc w:val="center"/>
              <w:rPr>
                <w:rFonts w:eastAsiaTheme="minorEastAsia"/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TIC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27EB899B" w14:textId="77777777" w:rsidR="007F1831" w:rsidRPr="007C73F5" w:rsidRDefault="007F1831" w:rsidP="007F1831">
            <w:pPr>
              <w:spacing w:line="360" w:lineRule="auto"/>
              <w:jc w:val="center"/>
              <w:rPr>
                <w:rFonts w:ascii="Cambria Math" w:eastAsiaTheme="minorEastAsia" w:hAnsi="Cambria Math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4.1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120AC5AB" w14:textId="386403A5" w:rsidR="007F1831" w:rsidRPr="007C73F5" w:rsidRDefault="00D76AE6" w:rsidP="007F1831">
            <w:pPr>
              <w:spacing w:line="360" w:lineRule="auto"/>
              <w:jc w:val="center"/>
              <w:rPr>
                <w:rFonts w:eastAsiaTheme="minorEastAsi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mol 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796" w:type="pct"/>
          </w:tcPr>
          <w:p w14:paraId="424DFA1A" w14:textId="43FF4FD0" w:rsidR="007F1831" w:rsidRPr="007C73F5" w:rsidRDefault="00F769D2" w:rsidP="007F1831">
            <w:pPr>
              <w:spacing w:line="360" w:lineRule="auto"/>
              <w:jc w:val="center"/>
              <w:rPr>
                <w:rFonts w:eastAsiaTheme="minorEastAsia" w:cs="Arial"/>
                <w:iCs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>Concas et al., 2021</w:t>
            </w:r>
          </w:p>
        </w:tc>
      </w:tr>
      <w:tr w:rsidR="007F1831" w:rsidRPr="007C73F5" w14:paraId="1AEB1785" w14:textId="77777777" w:rsidTr="009B20DD">
        <w:trPr>
          <w:trHeight w:hRule="exact" w:val="227"/>
        </w:trPr>
        <w:tc>
          <w:tcPr>
            <w:tcW w:w="908" w:type="pct"/>
          </w:tcPr>
          <w:p w14:paraId="12D9B4A0" w14:textId="77777777" w:rsidR="007F1831" w:rsidRPr="007C73F5" w:rsidRDefault="00D76AE6" w:rsidP="007F1831">
            <w:pPr>
              <w:spacing w:line="360" w:lineRule="auto"/>
              <w:jc w:val="center"/>
              <w:rPr>
                <w:rFonts w:eastAsia="Arial"/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Alk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44F324C8" w14:textId="77777777" w:rsidR="007F1831" w:rsidRPr="007C73F5" w:rsidRDefault="007F1831" w:rsidP="007F1831">
            <w:pPr>
              <w:spacing w:line="360" w:lineRule="auto"/>
              <w:jc w:val="center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1.00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3ED6F183" w14:textId="5F1B8143" w:rsidR="007F1831" w:rsidRPr="007C73F5" w:rsidRDefault="00D76AE6" w:rsidP="007F1831">
            <w:pPr>
              <w:spacing w:line="360" w:lineRule="auto"/>
              <w:jc w:val="center"/>
              <w:rPr>
                <w:rFonts w:ascii="Cambria Math" w:hAnsi="Cambria Math"/>
                <w:i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mol g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796" w:type="pct"/>
          </w:tcPr>
          <w:p w14:paraId="56FBF4CC" w14:textId="66BC46A1" w:rsidR="007F1831" w:rsidRPr="007C73F5" w:rsidRDefault="00AF47ED" w:rsidP="007F1831">
            <w:pPr>
              <w:spacing w:line="360" w:lineRule="auto"/>
              <w:jc w:val="center"/>
              <w:rPr>
                <w:rFonts w:eastAsiaTheme="minorEastAsia" w:cs="Arial"/>
                <w:iCs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>Concas et al., 2021</w:t>
            </w:r>
          </w:p>
        </w:tc>
      </w:tr>
      <w:tr w:rsidR="00616B37" w:rsidRPr="007C73F5" w14:paraId="03329286" w14:textId="77777777" w:rsidTr="009B20DD">
        <w:trPr>
          <w:trHeight w:hRule="exact" w:val="227"/>
        </w:trPr>
        <w:tc>
          <w:tcPr>
            <w:tcW w:w="908" w:type="pct"/>
          </w:tcPr>
          <w:p w14:paraId="47F201E3" w14:textId="77777777" w:rsidR="007F1831" w:rsidRPr="007C73F5" w:rsidRDefault="00D76AE6" w:rsidP="007F1831">
            <w:pPr>
              <w:spacing w:line="360" w:lineRule="auto"/>
              <w:jc w:val="center"/>
              <w:rPr>
                <w:rFonts w:eastAsiaTheme="minorEastAsia"/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w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2A3F40A0" w14:textId="77777777" w:rsidR="007F1831" w:rsidRPr="007C73F5" w:rsidRDefault="007F1831" w:rsidP="007F1831">
            <w:pPr>
              <w:spacing w:line="360" w:lineRule="auto"/>
              <w:jc w:val="center"/>
              <w:rPr>
                <w:rFonts w:ascii="Cambria Math" w:eastAsiaTheme="minorEastAsia" w:hAnsi="Cambria Math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1.01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-14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579F07D3" w14:textId="216111EF" w:rsidR="007F1831" w:rsidRPr="007C73F5" w:rsidRDefault="00D76AE6" w:rsidP="007F1831">
            <w:pPr>
              <w:spacing w:line="360" w:lineRule="auto"/>
              <w:jc w:val="center"/>
              <w:rPr>
                <w:rFonts w:eastAsiaTheme="minorEastAsia"/>
                <w:i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96" w:type="pct"/>
          </w:tcPr>
          <w:p w14:paraId="0AFC115B" w14:textId="188C56B0" w:rsidR="007F1831" w:rsidRPr="007C73F5" w:rsidRDefault="005E6590" w:rsidP="007F1831">
            <w:pPr>
              <w:spacing w:line="360" w:lineRule="auto"/>
              <w:jc w:val="center"/>
              <w:rPr>
                <w:rFonts w:eastAsiaTheme="minorEastAsia" w:cs="Arial"/>
                <w:iCs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 xml:space="preserve">Bates and pinching 1949  </w:t>
            </w:r>
            <w:r w:rsidR="007F1831" w:rsidRPr="007C73F5">
              <w:rPr>
                <w:rFonts w:eastAsiaTheme="minorEastAsia" w:cs="Arial"/>
                <w:iCs/>
                <w:sz w:val="16"/>
                <w:szCs w:val="16"/>
              </w:rPr>
              <w:t xml:space="preserve"> </w:t>
            </w:r>
          </w:p>
        </w:tc>
      </w:tr>
      <w:tr w:rsidR="007F1831" w:rsidRPr="007C73F5" w14:paraId="6A2B988E" w14:textId="77777777" w:rsidTr="009B20DD">
        <w:trPr>
          <w:trHeight w:hRule="exact" w:val="227"/>
        </w:trPr>
        <w:tc>
          <w:tcPr>
            <w:tcW w:w="908" w:type="pct"/>
          </w:tcPr>
          <w:p w14:paraId="462BD693" w14:textId="77777777" w:rsidR="007F1831" w:rsidRPr="007C73F5" w:rsidRDefault="00D76AE6" w:rsidP="007F1831">
            <w:pPr>
              <w:spacing w:line="360" w:lineRule="auto"/>
              <w:jc w:val="center"/>
              <w:rPr>
                <w:rFonts w:eastAsia="Arial"/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1AD3B294" w14:textId="77777777" w:rsidR="007F1831" w:rsidRPr="007C73F5" w:rsidRDefault="00D76AE6" w:rsidP="007F1831">
            <w:pPr>
              <w:spacing w:line="360" w:lineRule="auto"/>
              <w:jc w:val="center"/>
              <w:rPr>
                <w:rFonts w:ascii="Cambria Math" w:eastAsiaTheme="minorEastAsia" w:hAnsi="Cambria Math"/>
                <w:i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-2.77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467694D5" w14:textId="502E8F0D" w:rsidR="007F1831" w:rsidRPr="007C73F5" w:rsidRDefault="00616B37" w:rsidP="007F1831">
            <w:pPr>
              <w:spacing w:line="360" w:lineRule="auto"/>
              <w:jc w:val="center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M</m:t>
                </m:r>
              </m:oMath>
            </m:oMathPara>
          </w:p>
        </w:tc>
        <w:tc>
          <w:tcPr>
            <w:tcW w:w="1796" w:type="pct"/>
          </w:tcPr>
          <w:p w14:paraId="4E388AA4" w14:textId="0E1A2D5C" w:rsidR="007F1831" w:rsidRPr="007C73F5" w:rsidRDefault="005E6590" w:rsidP="007F1831">
            <w:pPr>
              <w:spacing w:line="360" w:lineRule="auto"/>
              <w:jc w:val="center"/>
              <w:rPr>
                <w:rFonts w:eastAsiaTheme="minorEastAsia" w:cs="Arial"/>
                <w:iCs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>Atzori et al., 2023</w:t>
            </w:r>
          </w:p>
        </w:tc>
      </w:tr>
      <w:tr w:rsidR="00616B37" w:rsidRPr="007C73F5" w14:paraId="4B784009" w14:textId="77777777" w:rsidTr="009B20DD">
        <w:trPr>
          <w:trHeight w:hRule="exact" w:val="227"/>
        </w:trPr>
        <w:tc>
          <w:tcPr>
            <w:tcW w:w="908" w:type="pct"/>
          </w:tcPr>
          <w:p w14:paraId="25887DC4" w14:textId="77777777" w:rsidR="007F1831" w:rsidRPr="007C73F5" w:rsidRDefault="00D76AE6" w:rsidP="007F1831">
            <w:pPr>
              <w:spacing w:line="360" w:lineRule="auto"/>
              <w:jc w:val="center"/>
              <w:rPr>
                <w:rFonts w:eastAsiaTheme="minorEastAsia"/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004D9D8D" w14:textId="77777777" w:rsidR="007F1831" w:rsidRPr="007C73F5" w:rsidRDefault="00D76AE6" w:rsidP="007F1831">
            <w:pPr>
              <w:spacing w:line="360" w:lineRule="auto"/>
              <w:jc w:val="center"/>
              <w:rPr>
                <w:rFonts w:ascii="Cambria Math" w:eastAsiaTheme="minorEastAsia" w:hAnsi="Cambria Math"/>
                <w:i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-6.1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3CA1D96E" w14:textId="5165578E" w:rsidR="007F1831" w:rsidRPr="007C73F5" w:rsidRDefault="00616B37" w:rsidP="007F1831">
            <w:pPr>
              <w:spacing w:line="360" w:lineRule="auto"/>
              <w:jc w:val="center"/>
              <w:rPr>
                <w:rFonts w:eastAsiaTheme="minorEastAsia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M</m:t>
                </m:r>
              </m:oMath>
            </m:oMathPara>
          </w:p>
        </w:tc>
        <w:tc>
          <w:tcPr>
            <w:tcW w:w="1796" w:type="pct"/>
          </w:tcPr>
          <w:p w14:paraId="281F1513" w14:textId="2875E46E" w:rsidR="007F1831" w:rsidRPr="007C73F5" w:rsidRDefault="005E6590" w:rsidP="007F1831">
            <w:pPr>
              <w:spacing w:line="360" w:lineRule="auto"/>
              <w:jc w:val="center"/>
              <w:rPr>
                <w:rFonts w:eastAsiaTheme="minorEastAsia" w:cs="Arial"/>
                <w:iCs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>Atzori et al., 2023</w:t>
            </w:r>
          </w:p>
        </w:tc>
      </w:tr>
      <w:tr w:rsidR="007F1831" w:rsidRPr="007C73F5" w14:paraId="61564782" w14:textId="77777777" w:rsidTr="009B20DD">
        <w:trPr>
          <w:trHeight w:hRule="exact" w:val="227"/>
        </w:trPr>
        <w:tc>
          <w:tcPr>
            <w:tcW w:w="908" w:type="pct"/>
          </w:tcPr>
          <w:p w14:paraId="5F3D73B5" w14:textId="77777777" w:rsidR="007F1831" w:rsidRPr="007C73F5" w:rsidRDefault="00D76AE6" w:rsidP="007F1831">
            <w:pPr>
              <w:spacing w:line="360" w:lineRule="auto"/>
              <w:jc w:val="center"/>
              <w:rPr>
                <w:rFonts w:eastAsiaTheme="minorEastAsia"/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538CC9CF" w14:textId="77777777" w:rsidR="007F1831" w:rsidRPr="007C73F5" w:rsidRDefault="00D76AE6" w:rsidP="007F1831">
            <w:pPr>
              <w:spacing w:line="360" w:lineRule="auto"/>
              <w:jc w:val="center"/>
              <w:rPr>
                <w:rFonts w:ascii="Cambria Math" w:eastAsiaTheme="minorEastAsia" w:hAnsi="Cambria Math"/>
                <w:i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-9.2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5B26E8FB" w14:textId="2B4C46BA" w:rsidR="007F1831" w:rsidRPr="007C73F5" w:rsidRDefault="00616B37" w:rsidP="007F1831">
            <w:pPr>
              <w:spacing w:line="360" w:lineRule="auto"/>
              <w:jc w:val="center"/>
              <w:rPr>
                <w:rFonts w:eastAsiaTheme="minorEastAsia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M</m:t>
                </m:r>
              </m:oMath>
            </m:oMathPara>
          </w:p>
        </w:tc>
        <w:tc>
          <w:tcPr>
            <w:tcW w:w="1796" w:type="pct"/>
          </w:tcPr>
          <w:p w14:paraId="7EC4DCC4" w14:textId="63AD2A0A" w:rsidR="007F1831" w:rsidRPr="007C73F5" w:rsidRDefault="005E6590" w:rsidP="007F1831">
            <w:pPr>
              <w:spacing w:line="360" w:lineRule="auto"/>
              <w:jc w:val="center"/>
              <w:rPr>
                <w:rFonts w:eastAsiaTheme="minorEastAsia" w:cs="Arial"/>
                <w:iCs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>Atzori et al., 2023</w:t>
            </w:r>
          </w:p>
        </w:tc>
      </w:tr>
      <w:tr w:rsidR="00616B37" w:rsidRPr="007C73F5" w14:paraId="542B6485" w14:textId="77777777" w:rsidTr="009B20DD">
        <w:trPr>
          <w:trHeight w:hRule="exact" w:val="227"/>
        </w:trPr>
        <w:tc>
          <w:tcPr>
            <w:tcW w:w="908" w:type="pct"/>
          </w:tcPr>
          <w:p w14:paraId="46022D41" w14:textId="77777777" w:rsidR="007F1831" w:rsidRPr="007C73F5" w:rsidRDefault="00D76AE6" w:rsidP="007F1831">
            <w:pPr>
              <w:spacing w:line="360" w:lineRule="auto"/>
              <w:jc w:val="center"/>
              <w:rPr>
                <w:rFonts w:eastAsia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b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5C8EE716" w14:textId="77777777" w:rsidR="007F1831" w:rsidRPr="007C73F5" w:rsidRDefault="007F1831" w:rsidP="007F1831">
            <w:pPr>
              <w:spacing w:line="360" w:lineRule="auto"/>
              <w:jc w:val="center"/>
              <w:rPr>
                <w:rFonts w:ascii="Cambria Math" w:eastAsiaTheme="minorEastAsia" w:hAnsi="Cambria Math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1.4-2.2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714413FA" w14:textId="4A5565E1" w:rsidR="007F1831" w:rsidRPr="007C73F5" w:rsidRDefault="00D76AE6" w:rsidP="007F1831">
            <w:pPr>
              <w:spacing w:line="360" w:lineRule="auto"/>
              <w:jc w:val="center"/>
              <w:rPr>
                <w:rFonts w:ascii="Cambria Math" w:hAnsi="Cambria Math"/>
                <w:i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g 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796" w:type="pct"/>
          </w:tcPr>
          <w:p w14:paraId="5BBF479E" w14:textId="52C066C3" w:rsidR="007F1831" w:rsidRPr="007C73F5" w:rsidRDefault="00AF47ED" w:rsidP="007F1831">
            <w:pPr>
              <w:spacing w:line="360" w:lineRule="auto"/>
              <w:jc w:val="center"/>
              <w:rPr>
                <w:rFonts w:eastAsiaTheme="minorEastAsia" w:cs="Arial"/>
                <w:iCs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 xml:space="preserve">Experimental value </w:t>
            </w:r>
          </w:p>
        </w:tc>
      </w:tr>
      <w:tr w:rsidR="007F1831" w:rsidRPr="007C73F5" w14:paraId="7DC9A8A5" w14:textId="77777777" w:rsidTr="009B20DD">
        <w:trPr>
          <w:trHeight w:hRule="exact" w:val="227"/>
        </w:trPr>
        <w:tc>
          <w:tcPr>
            <w:tcW w:w="908" w:type="pct"/>
          </w:tcPr>
          <w:p w14:paraId="1FBC2047" w14:textId="77777777" w:rsidR="007F1831" w:rsidRPr="007C73F5" w:rsidRDefault="00D76AE6" w:rsidP="007F1831">
            <w:pPr>
              <w:spacing w:line="360" w:lineRule="auto"/>
              <w:jc w:val="center"/>
              <w:rPr>
                <w:rFonts w:eastAsiaTheme="minorEastAsia"/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0F2F1518" w14:textId="77777777" w:rsidR="007F1831" w:rsidRPr="007C73F5" w:rsidRDefault="007F1831" w:rsidP="007F1831">
            <w:pPr>
              <w:spacing w:line="360" w:lineRule="auto"/>
              <w:jc w:val="center"/>
              <w:rPr>
                <w:rFonts w:ascii="Cambria Math" w:eastAsiaTheme="minorEastAsia" w:hAnsi="Cambria Math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1.3-1.9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1C48F045" w14:textId="238C9BA7" w:rsidR="007F1831" w:rsidRPr="007C73F5" w:rsidRDefault="00D76AE6" w:rsidP="007F1831">
            <w:pPr>
              <w:spacing w:line="360" w:lineRule="auto"/>
              <w:jc w:val="center"/>
              <w:rPr>
                <w:rFonts w:eastAsiaTheme="minorEastAsia"/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g 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796" w:type="pct"/>
          </w:tcPr>
          <w:p w14:paraId="35364389" w14:textId="7C26D6BD" w:rsidR="007F1831" w:rsidRPr="007C73F5" w:rsidRDefault="00AF47ED" w:rsidP="007F1831">
            <w:pPr>
              <w:spacing w:line="360" w:lineRule="auto"/>
              <w:jc w:val="center"/>
              <w:rPr>
                <w:rFonts w:eastAsiaTheme="minorEastAsia" w:cs="Arial"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>Experimental value</w:t>
            </w:r>
          </w:p>
        </w:tc>
      </w:tr>
      <w:tr w:rsidR="00616B37" w:rsidRPr="007C73F5" w14:paraId="50ED128F" w14:textId="77777777" w:rsidTr="009B20DD">
        <w:trPr>
          <w:trHeight w:hRule="exact" w:val="227"/>
        </w:trPr>
        <w:tc>
          <w:tcPr>
            <w:tcW w:w="908" w:type="pct"/>
          </w:tcPr>
          <w:p w14:paraId="3C57C5E4" w14:textId="77777777" w:rsidR="007F1831" w:rsidRPr="007C73F5" w:rsidRDefault="00D76AE6" w:rsidP="007F1831">
            <w:pPr>
              <w:spacing w:line="360" w:lineRule="auto"/>
              <w:jc w:val="center"/>
              <w:rPr>
                <w:rFonts w:eastAsia="Arial"/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0E4F90BA" w14:textId="77777777" w:rsidR="007F1831" w:rsidRPr="007C73F5" w:rsidRDefault="007F1831" w:rsidP="007F1831">
            <w:pPr>
              <w:spacing w:line="360" w:lineRule="auto"/>
              <w:jc w:val="center"/>
              <w:rPr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5.5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1D6FDB55" w14:textId="77777777" w:rsidR="007F1831" w:rsidRPr="007C73F5" w:rsidRDefault="007F1831" w:rsidP="007F1831">
            <w:pPr>
              <w:spacing w:line="360" w:lineRule="auto"/>
              <w:jc w:val="center"/>
              <w:rPr>
                <w:rFonts w:ascii="Cambria Math" w:hAnsi="Cambria Math"/>
                <w:i/>
                <w:sz w:val="16"/>
                <w:szCs w:val="16"/>
              </w:rPr>
            </w:pPr>
            <w:r w:rsidRPr="007C73F5">
              <w:rPr>
                <w:rFonts w:ascii="Cambria Math" w:hAnsi="Cambria Math"/>
                <w:i/>
                <w:sz w:val="16"/>
                <w:szCs w:val="16"/>
              </w:rPr>
              <w:t>-</w:t>
            </w:r>
          </w:p>
        </w:tc>
        <w:tc>
          <w:tcPr>
            <w:tcW w:w="1796" w:type="pct"/>
          </w:tcPr>
          <w:p w14:paraId="673E025A" w14:textId="4B716A77" w:rsidR="007F1831" w:rsidRPr="007C73F5" w:rsidRDefault="00AF47ED" w:rsidP="007F1831">
            <w:pPr>
              <w:spacing w:line="360" w:lineRule="auto"/>
              <w:jc w:val="center"/>
              <w:rPr>
                <w:rFonts w:eastAsiaTheme="minorEastAsia" w:cs="Arial"/>
                <w:iCs/>
                <w:color w:val="000000"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>Concas et al., 2021</w:t>
            </w:r>
          </w:p>
        </w:tc>
      </w:tr>
      <w:tr w:rsidR="007F1831" w:rsidRPr="007C73F5" w14:paraId="09DFEE50" w14:textId="77777777" w:rsidTr="009B20DD">
        <w:trPr>
          <w:trHeight w:hRule="exact" w:val="227"/>
        </w:trPr>
        <w:tc>
          <w:tcPr>
            <w:tcW w:w="908" w:type="pct"/>
          </w:tcPr>
          <w:p w14:paraId="31EDC5F3" w14:textId="77777777" w:rsidR="007F1831" w:rsidRPr="007C73F5" w:rsidRDefault="00D76AE6" w:rsidP="007F1831">
            <w:pPr>
              <w:spacing w:line="360" w:lineRule="auto"/>
              <w:jc w:val="center"/>
              <w:rPr>
                <w:rFonts w:eastAsia="Arial"/>
                <w:i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S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09CFD87E" w14:textId="60649A9C" w:rsidR="007F1831" w:rsidRPr="007C73F5" w:rsidRDefault="007F1831" w:rsidP="007F1831">
            <w:pPr>
              <w:spacing w:line="360" w:lineRule="auto"/>
              <w:jc w:val="center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9.5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-6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05B10BC1" w14:textId="4AE625B6" w:rsidR="007F1831" w:rsidRPr="007C73F5" w:rsidRDefault="00D76AE6" w:rsidP="007F1831">
            <w:pPr>
              <w:spacing w:line="360" w:lineRule="auto"/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g L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796" w:type="pct"/>
          </w:tcPr>
          <w:p w14:paraId="741CA481" w14:textId="6868591E" w:rsidR="007F1831" w:rsidRPr="007C73F5" w:rsidRDefault="00AF47ED" w:rsidP="007F1831">
            <w:pPr>
              <w:spacing w:line="360" w:lineRule="auto"/>
              <w:jc w:val="center"/>
              <w:rPr>
                <w:rFonts w:eastAsiaTheme="minorEastAsia" w:cs="Arial"/>
                <w:iCs/>
                <w:color w:val="000000"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>Concas et al., 2021</w:t>
            </w:r>
          </w:p>
        </w:tc>
      </w:tr>
      <w:tr w:rsidR="00616B37" w:rsidRPr="007C73F5" w14:paraId="7DF4588F" w14:textId="77777777" w:rsidTr="009B20DD">
        <w:trPr>
          <w:trHeight w:hRule="exact" w:val="227"/>
        </w:trPr>
        <w:tc>
          <w:tcPr>
            <w:tcW w:w="908" w:type="pct"/>
          </w:tcPr>
          <w:p w14:paraId="6EC639DE" w14:textId="77777777" w:rsidR="007F1831" w:rsidRPr="007C73F5" w:rsidRDefault="00D76AE6" w:rsidP="007F1831">
            <w:pPr>
              <w:spacing w:line="360" w:lineRule="auto"/>
              <w:jc w:val="center"/>
              <w:rPr>
                <w:rFonts w:eastAsia="Arial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min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45A6EC70" w14:textId="0E8C43F7" w:rsidR="007F1831" w:rsidRPr="007C73F5" w:rsidRDefault="007F1831" w:rsidP="007F1831">
            <w:pPr>
              <w:spacing w:line="360" w:lineRule="auto"/>
              <w:jc w:val="center"/>
              <w:rPr>
                <w:rFonts w:eastAsia="Arial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4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2FC96905" w14:textId="77777777" w:rsidR="007F1831" w:rsidRPr="007C73F5" w:rsidRDefault="007F1831" w:rsidP="007F1831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C73F5">
              <w:rPr>
                <w:sz w:val="16"/>
                <w:szCs w:val="16"/>
              </w:rPr>
              <w:t>-</w:t>
            </w:r>
          </w:p>
        </w:tc>
        <w:tc>
          <w:tcPr>
            <w:tcW w:w="1796" w:type="pct"/>
          </w:tcPr>
          <w:p w14:paraId="5CCEA09C" w14:textId="206C0D5E" w:rsidR="007F1831" w:rsidRPr="007C73F5" w:rsidRDefault="00AF47ED" w:rsidP="007F1831">
            <w:pPr>
              <w:spacing w:line="360" w:lineRule="auto"/>
              <w:jc w:val="center"/>
              <w:rPr>
                <w:rFonts w:eastAsiaTheme="minorEastAsia" w:cs="Arial"/>
                <w:iCs/>
                <w:color w:val="000000"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sz w:val="16"/>
                <w:szCs w:val="16"/>
              </w:rPr>
              <w:t>Concas et al., 2021</w:t>
            </w:r>
          </w:p>
        </w:tc>
      </w:tr>
      <w:tr w:rsidR="007F1831" w:rsidRPr="007C73F5" w14:paraId="58B328B7" w14:textId="77777777" w:rsidTr="009B20DD">
        <w:trPr>
          <w:trHeight w:hRule="exact" w:val="227"/>
        </w:trPr>
        <w:tc>
          <w:tcPr>
            <w:tcW w:w="908" w:type="pct"/>
          </w:tcPr>
          <w:p w14:paraId="21F668A0" w14:textId="77777777" w:rsidR="007F1831" w:rsidRPr="007C73F5" w:rsidRDefault="00D76AE6" w:rsidP="007F1831">
            <w:pPr>
              <w:spacing w:line="36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05189393" w14:textId="77777777" w:rsidR="007F1831" w:rsidRPr="007C73F5" w:rsidRDefault="007F1831" w:rsidP="007F1831">
            <w:pPr>
              <w:spacing w:line="360" w:lineRule="auto"/>
              <w:jc w:val="center"/>
              <w:rPr>
                <w:rFonts w:eastAsia="Arial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2.73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1AE232E4" w14:textId="6418E6C1" w:rsidR="007F1831" w:rsidRPr="007C73F5" w:rsidRDefault="00D76AE6" w:rsidP="007F1831">
            <w:pPr>
              <w:spacing w:line="360" w:lineRule="auto"/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hr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796" w:type="pct"/>
          </w:tcPr>
          <w:p w14:paraId="72C7090D" w14:textId="656E48D7" w:rsidR="007F1831" w:rsidRPr="007C73F5" w:rsidRDefault="00AF47ED" w:rsidP="007F1831">
            <w:pPr>
              <w:spacing w:line="360" w:lineRule="auto"/>
              <w:jc w:val="center"/>
              <w:rPr>
                <w:rFonts w:eastAsiaTheme="minorEastAsia" w:cs="Arial"/>
                <w:iCs/>
                <w:color w:val="000000"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color w:val="000000"/>
                <w:sz w:val="16"/>
                <w:szCs w:val="16"/>
              </w:rPr>
              <w:t>This work</w:t>
            </w:r>
          </w:p>
        </w:tc>
      </w:tr>
      <w:tr w:rsidR="00616B37" w:rsidRPr="007C73F5" w14:paraId="3BE48D30" w14:textId="77777777" w:rsidTr="009B20DD">
        <w:trPr>
          <w:trHeight w:hRule="exact" w:val="227"/>
        </w:trPr>
        <w:tc>
          <w:tcPr>
            <w:tcW w:w="908" w:type="pct"/>
          </w:tcPr>
          <w:p w14:paraId="6C2DCB05" w14:textId="77777777" w:rsidR="007F1831" w:rsidRPr="007C73F5" w:rsidRDefault="00D76AE6" w:rsidP="007F1831">
            <w:pPr>
              <w:spacing w:line="360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max</m:t>
                    </m:r>
                  </m:sub>
                </m:sSub>
              </m:oMath>
            </m:oMathPara>
          </w:p>
        </w:tc>
        <w:tc>
          <w:tcPr>
            <w:tcW w:w="1412" w:type="pct"/>
          </w:tcPr>
          <w:p w14:paraId="33D27727" w14:textId="77777777" w:rsidR="007F1831" w:rsidRPr="007C73F5" w:rsidRDefault="007F1831" w:rsidP="007F1831">
            <w:pPr>
              <w:spacing w:line="360" w:lineRule="auto"/>
              <w:jc w:val="center"/>
              <w:rPr>
                <w:rFonts w:eastAsia="Arial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 xml:space="preserve">6.49 ×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-7</m:t>
                    </m:r>
                  </m:sup>
                </m:sSup>
              </m:oMath>
            </m:oMathPara>
          </w:p>
        </w:tc>
        <w:tc>
          <w:tcPr>
            <w:tcW w:w="884" w:type="pct"/>
          </w:tcPr>
          <w:p w14:paraId="2C31E238" w14:textId="7B10C514" w:rsidR="007F1831" w:rsidRPr="007C73F5" w:rsidRDefault="00D76AE6" w:rsidP="007F1831">
            <w:pPr>
              <w:spacing w:line="360" w:lineRule="auto"/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hr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796" w:type="pct"/>
          </w:tcPr>
          <w:p w14:paraId="10C04A06" w14:textId="447949DD" w:rsidR="007F1831" w:rsidRPr="007C73F5" w:rsidRDefault="00AF47ED" w:rsidP="007F1831">
            <w:pPr>
              <w:spacing w:line="360" w:lineRule="auto"/>
              <w:jc w:val="center"/>
              <w:rPr>
                <w:rFonts w:eastAsiaTheme="minorEastAsia" w:cs="Arial"/>
                <w:iCs/>
                <w:color w:val="000000"/>
                <w:sz w:val="16"/>
                <w:szCs w:val="16"/>
              </w:rPr>
            </w:pPr>
            <w:r w:rsidRPr="007C73F5">
              <w:rPr>
                <w:rFonts w:eastAsiaTheme="minorEastAsia" w:cs="Arial"/>
                <w:iCs/>
                <w:color w:val="000000"/>
                <w:sz w:val="16"/>
                <w:szCs w:val="16"/>
              </w:rPr>
              <w:t>This work</w:t>
            </w:r>
          </w:p>
        </w:tc>
      </w:tr>
    </w:tbl>
    <w:p w14:paraId="075D1049" w14:textId="77777777" w:rsidR="00270660" w:rsidRDefault="00270660" w:rsidP="009D6004">
      <w:pPr>
        <w:pStyle w:val="CETBodytext"/>
      </w:pPr>
    </w:p>
    <w:p w14:paraId="54E935FF" w14:textId="7829E080" w:rsidR="00270660" w:rsidRDefault="005C0794" w:rsidP="009D6004">
      <w:pPr>
        <w:pStyle w:val="CETBodytext"/>
      </w:pPr>
      <w:r>
        <w:t>In Fig. 2 the content of total carbohydrates, proteins</w:t>
      </w:r>
      <w:r w:rsidR="00446FDE">
        <w:t xml:space="preserve">, </w:t>
      </w:r>
      <w:r>
        <w:t xml:space="preserve">lipids </w:t>
      </w:r>
      <w:r w:rsidR="00446FDE">
        <w:t xml:space="preserve">and carotenoids in the biomass cultivated in the different media is shown. Except for slight and not statistically significant variations, the macro-biochemical composition of the obtained biomass was not </w:t>
      </w:r>
      <w:r w:rsidR="006E316E">
        <w:t xml:space="preserve">affected by the percentage of MM. </w:t>
      </w:r>
    </w:p>
    <w:p w14:paraId="26207DB4" w14:textId="7292720C" w:rsidR="00270660" w:rsidRDefault="00427E7C" w:rsidP="00A65F8A">
      <w:pPr>
        <w:pStyle w:val="CETCaption"/>
        <w:spacing w:before="120"/>
      </w:pPr>
      <w:r w:rsidRPr="00427E7C">
        <w:rPr>
          <w:noProof/>
        </w:rPr>
        <w:drawing>
          <wp:inline distT="0" distB="0" distL="0" distR="0" wp14:anchorId="34776E00" wp14:editId="1C3C27DB">
            <wp:extent cx="4124897" cy="2982686"/>
            <wp:effectExtent l="0" t="0" r="0" b="0"/>
            <wp:docPr id="11115679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" t="3980" r="2290" b="4638"/>
                    <a:stretch/>
                  </pic:blipFill>
                  <pic:spPr bwMode="auto">
                    <a:xfrm>
                      <a:off x="0" y="0"/>
                      <a:ext cx="4140365" cy="299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A8B92" w14:textId="25E0A3F1" w:rsidR="00427E7C" w:rsidRPr="006E316E" w:rsidRDefault="00D95B38" w:rsidP="00DD375A">
      <w:pPr>
        <w:pStyle w:val="CETCaption"/>
        <w:spacing w:before="120"/>
        <w:rPr>
          <w:rStyle w:val="CETCaptionCarattere"/>
          <w:b/>
          <w:bCs/>
        </w:rPr>
      </w:pPr>
      <w:r w:rsidRPr="006E316E">
        <w:rPr>
          <w:rStyle w:val="CETCaptionCarattere"/>
          <w:b/>
          <w:bCs/>
        </w:rPr>
        <w:t xml:space="preserve">Figure 2. </w:t>
      </w:r>
      <w:r w:rsidR="006E316E" w:rsidRPr="006E316E">
        <w:rPr>
          <w:rStyle w:val="CETCaptionCarattere"/>
        </w:rPr>
        <w:t xml:space="preserve">Effect of MM percentage in the growth media on the biochemical composition of the obtained biomass. </w:t>
      </w:r>
    </w:p>
    <w:p w14:paraId="113523BF" w14:textId="08F13213" w:rsidR="00582E11" w:rsidRDefault="006B4241" w:rsidP="009D6004">
      <w:pPr>
        <w:pStyle w:val="CETBodytext"/>
      </w:pPr>
      <w:r>
        <w:t xml:space="preserve">Since the composition of </w:t>
      </w:r>
      <w:proofErr w:type="spellStart"/>
      <w:r w:rsidRPr="006B4241">
        <w:rPr>
          <w:i/>
          <w:iCs/>
        </w:rPr>
        <w:t>C.vulgaris</w:t>
      </w:r>
      <w:proofErr w:type="spellEnd"/>
      <w:r>
        <w:t xml:space="preserve"> biomass obtained using only MM as the growth medium</w:t>
      </w:r>
      <w:r w:rsidR="00522E81">
        <w:t xml:space="preserve"> (MM100)</w:t>
      </w:r>
      <w:r>
        <w:t xml:space="preserve"> was more or less similar to the one obtained using </w:t>
      </w:r>
      <w:r w:rsidR="00522E81">
        <w:t>typical</w:t>
      </w:r>
      <w:r>
        <w:t xml:space="preserve"> growth medium (MM0</w:t>
      </w:r>
      <w:r w:rsidR="00C5015C">
        <w:t xml:space="preserve"> that is BBM</w:t>
      </w:r>
      <w:r>
        <w:t xml:space="preserve">) </w:t>
      </w:r>
      <w:r w:rsidR="00522E81">
        <w:t>and the latter is generally recognized as safe (GRAS)</w:t>
      </w:r>
      <w:r w:rsidR="00582E11">
        <w:t xml:space="preserve"> by the US Food and Drugs Administration (</w:t>
      </w:r>
      <w:r w:rsidR="0001371C">
        <w:t>Gouda et al., 2022</w:t>
      </w:r>
      <w:r w:rsidR="00582E11">
        <w:t>)</w:t>
      </w:r>
      <w:r w:rsidR="00522E81">
        <w:t xml:space="preserve">, it can be deduced an edible biomass capable to feed the </w:t>
      </w:r>
      <w:r w:rsidR="00C5015C">
        <w:t>astronauts</w:t>
      </w:r>
      <w:r w:rsidR="00522E81">
        <w:t xml:space="preserve"> can be potentially </w:t>
      </w:r>
      <w:r w:rsidR="00C5015C">
        <w:t>produced by relying only on in-situ available resources on Mars.</w:t>
      </w:r>
      <w:r w:rsidR="00325D5B">
        <w:t xml:space="preserve"> </w:t>
      </w:r>
    </w:p>
    <w:p w14:paraId="68D26B83" w14:textId="77777777" w:rsidR="00600535" w:rsidRPr="00B57B36" w:rsidRDefault="00600535" w:rsidP="00DD375A">
      <w:pPr>
        <w:pStyle w:val="CETHeading1"/>
        <w:spacing w:before="120"/>
        <w:rPr>
          <w:lang w:val="en-GB"/>
        </w:rPr>
      </w:pPr>
      <w:r w:rsidRPr="00B57B36">
        <w:rPr>
          <w:lang w:val="en-GB"/>
        </w:rPr>
        <w:t>Conclusions</w:t>
      </w:r>
    </w:p>
    <w:p w14:paraId="52DAFDE0" w14:textId="2C753599" w:rsidR="001D0CFB" w:rsidRDefault="00C20117" w:rsidP="00C20117">
      <w:pPr>
        <w:pStyle w:val="CETBodytext"/>
        <w:rPr>
          <w:lang w:val="en-GB"/>
        </w:rPr>
      </w:pPr>
      <w:proofErr w:type="spellStart"/>
      <w:r w:rsidRPr="00254AD3">
        <w:rPr>
          <w:i/>
          <w:iCs/>
          <w:lang w:val="en-GB"/>
        </w:rPr>
        <w:t>C.vulgaris</w:t>
      </w:r>
      <w:proofErr w:type="spellEnd"/>
      <w:r>
        <w:rPr>
          <w:lang w:val="en-GB"/>
        </w:rPr>
        <w:t xml:space="preserve"> was capable to grow in a medium potentially obtainable using only </w:t>
      </w:r>
      <w:r w:rsidRPr="00C20117">
        <w:rPr>
          <w:lang w:val="en-GB"/>
        </w:rPr>
        <w:t>in-situ</w:t>
      </w:r>
      <w:r>
        <w:rPr>
          <w:i/>
          <w:iCs/>
          <w:lang w:val="en-GB"/>
        </w:rPr>
        <w:t xml:space="preserve"> </w:t>
      </w:r>
      <w:r>
        <w:rPr>
          <w:lang w:val="en-GB"/>
        </w:rPr>
        <w:t xml:space="preserve">available resources during a crewed mission (MM100) on Mars without relevant differences respect to the growth in a classical </w:t>
      </w:r>
      <w:r w:rsidR="00254AD3">
        <w:rPr>
          <w:lang w:val="en-GB"/>
        </w:rPr>
        <w:t>growth medium</w:t>
      </w:r>
      <w:r>
        <w:rPr>
          <w:lang w:val="en-GB"/>
        </w:rPr>
        <w:t xml:space="preserve">. Good productivities and nutritional characteristics were obtained at the end of cultivation period thus </w:t>
      </w:r>
      <w:r>
        <w:rPr>
          <w:lang w:val="en-GB"/>
        </w:rPr>
        <w:lastRenderedPageBreak/>
        <w:t xml:space="preserve">demonstrating the feasibility of using C. vulgaris as a source of food for the </w:t>
      </w:r>
      <w:r w:rsidR="00254AD3">
        <w:rPr>
          <w:lang w:val="en-GB"/>
        </w:rPr>
        <w:t>astronauts</w:t>
      </w:r>
      <w:r>
        <w:rPr>
          <w:lang w:val="en-GB"/>
        </w:rPr>
        <w:t xml:space="preserve"> involved in the mission. A suitable mathematical model was capable to well capture the experimental results thus representing a potentially useful tool to design the implementation of this technology on Mars. </w:t>
      </w:r>
    </w:p>
    <w:p w14:paraId="6AD9A27B" w14:textId="709EB85B" w:rsidR="00406ED1" w:rsidRDefault="00280FAF" w:rsidP="00A65F8A">
      <w:pPr>
        <w:pStyle w:val="CETHeadingxx"/>
        <w:rPr>
          <w:rFonts w:eastAsia="SimSun"/>
        </w:rPr>
      </w:pPr>
      <w:r>
        <w:t>Nomenclature</w:t>
      </w:r>
    </w:p>
    <w:p w14:paraId="7DFFBF41" w14:textId="77777777" w:rsidR="00280FAF" w:rsidRPr="00280FAF" w:rsidRDefault="00280FAF" w:rsidP="00280FAF">
      <w:pPr>
        <w:pStyle w:val="CETBodytext"/>
        <w:jc w:val="left"/>
        <w:rPr>
          <w:rFonts w:eastAsia="SimSun"/>
        </w:rPr>
        <w:sectPr w:rsidR="00280FAF" w:rsidRPr="00280FAF" w:rsidSect="00DC73EE">
          <w:type w:val="continuous"/>
          <w:pgSz w:w="11906" w:h="16838" w:code="9"/>
          <w:pgMar w:top="1701" w:right="1418" w:bottom="1701" w:left="1701" w:header="1701" w:footer="0" w:gutter="0"/>
          <w:cols w:space="708"/>
          <w:formProt w:val="0"/>
          <w:titlePg/>
          <w:docGrid w:linePitch="360"/>
        </w:sectPr>
      </w:pPr>
    </w:p>
    <w:p w14:paraId="24AA370D" w14:textId="1DFEB89D" w:rsidR="00E04F63" w:rsidRPr="00E04F63" w:rsidRDefault="00E04F63" w:rsidP="00406ED1">
      <w:pPr>
        <w:pStyle w:val="CETBodytext"/>
        <w:jc w:val="left"/>
        <w:rPr>
          <w:rFonts w:eastAsia="SimSun"/>
        </w:rPr>
      </w:pPr>
      <w:r w:rsidRPr="00E04F63">
        <w:rPr>
          <w:rFonts w:eastAsia="SimSun"/>
        </w:rPr>
        <w:t>a – interfacial are</w:t>
      </w:r>
      <w:r>
        <w:rPr>
          <w:rFonts w:eastAsia="SimSun"/>
        </w:rPr>
        <w:t>a. m</w:t>
      </w:r>
      <w:r w:rsidRPr="00E04F63">
        <w:rPr>
          <w:rFonts w:eastAsia="SimSun"/>
          <w:vertAlign w:val="superscript"/>
        </w:rPr>
        <w:t>2</w:t>
      </w:r>
      <w:r>
        <w:rPr>
          <w:rFonts w:eastAsia="SimSun"/>
        </w:rPr>
        <w:t xml:space="preserve"> m</w:t>
      </w:r>
      <w:r w:rsidRPr="00E04F63">
        <w:rPr>
          <w:rFonts w:eastAsia="SimSun"/>
          <w:vertAlign w:val="superscript"/>
        </w:rPr>
        <w:t>–3</w:t>
      </w:r>
    </w:p>
    <w:p w14:paraId="54CD5DAA" w14:textId="7A442E1E" w:rsidR="00406ED1" w:rsidRPr="00E04F63" w:rsidRDefault="00406ED1" w:rsidP="00406ED1">
      <w:pPr>
        <w:pStyle w:val="CETBodytext"/>
        <w:jc w:val="left"/>
        <w:rPr>
          <w:rFonts w:eastAsia="SimSun"/>
        </w:rPr>
      </w:pPr>
      <w:r w:rsidRPr="00E04F63">
        <w:rPr>
          <w:rFonts w:eastAsia="SimSun"/>
        </w:rPr>
        <w:t>Alk – non carbonic Alkalinity, g L</w:t>
      </w:r>
      <w:r w:rsidRPr="00E04F63">
        <w:rPr>
          <w:rFonts w:eastAsia="SimSun"/>
          <w:vertAlign w:val="superscript"/>
        </w:rPr>
        <w:t>-1</w:t>
      </w:r>
    </w:p>
    <w:p w14:paraId="48AB6D67" w14:textId="217F4CA4" w:rsidR="00316C6B" w:rsidRDefault="00316C6B" w:rsidP="00280FAF">
      <w:pPr>
        <w:pStyle w:val="CETBodytext"/>
        <w:jc w:val="left"/>
        <w:rPr>
          <w:rFonts w:eastAsia="SimSun"/>
        </w:rPr>
      </w:pPr>
      <w:proofErr w:type="spellStart"/>
      <w:r>
        <w:rPr>
          <w:rFonts w:eastAsia="SimSun"/>
        </w:rPr>
        <w:t>C</w:t>
      </w:r>
      <w:r>
        <w:rPr>
          <w:rFonts w:eastAsia="SimSun"/>
          <w:vertAlign w:val="subscript"/>
        </w:rPr>
        <w:t>Fe</w:t>
      </w:r>
      <w:proofErr w:type="spellEnd"/>
      <w:r w:rsidRPr="00280FAF">
        <w:rPr>
          <w:rFonts w:eastAsia="SimSun"/>
        </w:rPr>
        <w:t xml:space="preserve"> – </w:t>
      </w:r>
      <w:r w:rsidR="00411E35">
        <w:rPr>
          <w:rFonts w:eastAsia="SimSun"/>
        </w:rPr>
        <w:t>iron bulk concentration</w:t>
      </w:r>
      <w:r w:rsidRPr="00280FAF">
        <w:rPr>
          <w:rFonts w:eastAsia="SimSun"/>
        </w:rPr>
        <w:t xml:space="preserve">, </w:t>
      </w:r>
      <w:r>
        <w:rPr>
          <w:rFonts w:eastAsia="SimSun"/>
        </w:rPr>
        <w:t>g L</w:t>
      </w:r>
      <w:r w:rsidRPr="00406ED1">
        <w:rPr>
          <w:rFonts w:eastAsia="SimSun"/>
          <w:vertAlign w:val="superscript"/>
        </w:rPr>
        <w:t>-1</w:t>
      </w:r>
    </w:p>
    <w:p w14:paraId="57590CE2" w14:textId="65960E31" w:rsidR="00280FAF" w:rsidRPr="00280FAF" w:rsidRDefault="00406ED1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C</w:t>
      </w:r>
      <w:r>
        <w:rPr>
          <w:rFonts w:eastAsia="SimSun"/>
          <w:vertAlign w:val="subscript"/>
        </w:rPr>
        <w:t>TIC</w:t>
      </w:r>
      <w:r w:rsidR="00280FAF" w:rsidRPr="00280FAF">
        <w:rPr>
          <w:rFonts w:eastAsia="SimSun"/>
        </w:rPr>
        <w:t xml:space="preserve"> – </w:t>
      </w:r>
      <w:r>
        <w:rPr>
          <w:rFonts w:eastAsia="SimSun"/>
        </w:rPr>
        <w:t>total inorganic carbon</w:t>
      </w:r>
      <w:r w:rsidR="00280FAF" w:rsidRPr="00280FAF">
        <w:rPr>
          <w:rFonts w:eastAsia="SimSun"/>
        </w:rPr>
        <w:t xml:space="preserve">, </w:t>
      </w:r>
      <w:r>
        <w:rPr>
          <w:rFonts w:eastAsia="SimSun"/>
        </w:rPr>
        <w:t>g L</w:t>
      </w:r>
      <w:r w:rsidRPr="00406ED1">
        <w:rPr>
          <w:rFonts w:eastAsia="SimSun"/>
          <w:vertAlign w:val="superscript"/>
        </w:rPr>
        <w:t>-1</w:t>
      </w:r>
    </w:p>
    <w:p w14:paraId="2EA82101" w14:textId="75143056" w:rsidR="00E04F63" w:rsidRDefault="00E04F63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H</w:t>
      </w:r>
      <w:r w:rsidRPr="00E04F63">
        <w:rPr>
          <w:rFonts w:eastAsia="SimSun"/>
          <w:vertAlign w:val="subscript"/>
        </w:rPr>
        <w:t>CO2</w:t>
      </w:r>
      <w:r>
        <w:rPr>
          <w:rFonts w:eastAsia="SimSun"/>
        </w:rPr>
        <w:t xml:space="preserve"> </w:t>
      </w:r>
      <w:r w:rsidRPr="00280FAF">
        <w:rPr>
          <w:rFonts w:eastAsia="SimSun"/>
        </w:rPr>
        <w:t>–</w:t>
      </w:r>
      <w:r>
        <w:rPr>
          <w:rFonts w:eastAsia="SimSun"/>
        </w:rPr>
        <w:t xml:space="preserve"> henry constant CO</w:t>
      </w:r>
      <w:r w:rsidRPr="00E04F63">
        <w:rPr>
          <w:rFonts w:eastAsia="SimSun"/>
          <w:vertAlign w:val="subscript"/>
        </w:rPr>
        <w:t>2</w:t>
      </w:r>
      <w:r>
        <w:rPr>
          <w:rFonts w:eastAsia="SimSun"/>
        </w:rPr>
        <w:t>, M atm</w:t>
      </w:r>
      <w:r w:rsidRPr="00E04F63">
        <w:rPr>
          <w:rFonts w:eastAsia="SimSun"/>
          <w:vertAlign w:val="superscript"/>
        </w:rPr>
        <w:t>-1</w:t>
      </w:r>
      <w:r>
        <w:rPr>
          <w:rFonts w:eastAsia="SimSun"/>
        </w:rPr>
        <w:t xml:space="preserve"> </w:t>
      </w:r>
    </w:p>
    <w:p w14:paraId="0E502614" w14:textId="449F4F0B" w:rsidR="00280FAF" w:rsidRPr="00280FAF" w:rsidRDefault="0033245A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K</w:t>
      </w:r>
      <w:r w:rsidR="009039B9" w:rsidRPr="009039B9">
        <w:rPr>
          <w:rFonts w:eastAsia="SimSun"/>
          <w:vertAlign w:val="subscript"/>
        </w:rPr>
        <w:t>1</w:t>
      </w:r>
      <w:r>
        <w:rPr>
          <w:rFonts w:eastAsia="SimSun"/>
          <w:vertAlign w:val="subscript"/>
        </w:rPr>
        <w:t xml:space="preserve">C </w:t>
      </w:r>
      <w:r w:rsidR="00280FAF" w:rsidRPr="00280FAF">
        <w:rPr>
          <w:rFonts w:eastAsia="SimSun"/>
        </w:rPr>
        <w:t xml:space="preserve">– </w:t>
      </w:r>
      <w:r w:rsidR="009039B9">
        <w:rPr>
          <w:rFonts w:eastAsia="SimSun"/>
        </w:rPr>
        <w:t>dissociation constant of H</w:t>
      </w:r>
      <w:r w:rsidR="009039B9" w:rsidRPr="00786506">
        <w:rPr>
          <w:rFonts w:eastAsia="SimSun"/>
          <w:vertAlign w:val="subscript"/>
        </w:rPr>
        <w:t>2</w:t>
      </w:r>
      <w:r w:rsidR="009039B9">
        <w:rPr>
          <w:rFonts w:eastAsia="SimSun"/>
        </w:rPr>
        <w:t>CO</w:t>
      </w:r>
      <w:r w:rsidR="009039B9" w:rsidRPr="00786506">
        <w:rPr>
          <w:rFonts w:eastAsia="SimSun"/>
          <w:vertAlign w:val="subscript"/>
        </w:rPr>
        <w:t>3</w:t>
      </w:r>
      <w:r w:rsidR="009039B9">
        <w:rPr>
          <w:rFonts w:eastAsia="SimSun"/>
        </w:rPr>
        <w:t xml:space="preserve">, M </w:t>
      </w:r>
    </w:p>
    <w:p w14:paraId="5C9F26F9" w14:textId="134E2FD4" w:rsidR="00786506" w:rsidRDefault="00786506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K</w:t>
      </w:r>
      <w:r>
        <w:rPr>
          <w:rFonts w:eastAsia="SimSun"/>
          <w:vertAlign w:val="subscript"/>
        </w:rPr>
        <w:t xml:space="preserve">2C </w:t>
      </w:r>
      <w:r w:rsidRPr="00280FAF">
        <w:rPr>
          <w:rFonts w:eastAsia="SimSun"/>
        </w:rPr>
        <w:t xml:space="preserve">– </w:t>
      </w:r>
      <w:r>
        <w:rPr>
          <w:rFonts w:eastAsia="SimSun"/>
        </w:rPr>
        <w:t>dissociation constant of HCO</w:t>
      </w:r>
      <w:r w:rsidRPr="00786506">
        <w:rPr>
          <w:rFonts w:eastAsia="SimSun"/>
          <w:vertAlign w:val="subscript"/>
        </w:rPr>
        <w:t>3</w:t>
      </w:r>
      <w:r w:rsidRPr="00786506">
        <w:rPr>
          <w:rFonts w:eastAsia="SimSun"/>
          <w:vertAlign w:val="superscript"/>
        </w:rPr>
        <w:t>–</w:t>
      </w:r>
      <w:r>
        <w:rPr>
          <w:rFonts w:eastAsia="SimSun"/>
        </w:rPr>
        <w:t>, M</w:t>
      </w:r>
    </w:p>
    <w:p w14:paraId="33D176ED" w14:textId="5EE9A657" w:rsidR="00280FAF" w:rsidRPr="00280FAF" w:rsidRDefault="00786506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K</w:t>
      </w:r>
      <w:r w:rsidRPr="00786506">
        <w:rPr>
          <w:rFonts w:eastAsia="SimSun"/>
          <w:vertAlign w:val="subscript"/>
        </w:rPr>
        <w:t>l</w:t>
      </w:r>
      <w:r w:rsidR="00E04F63">
        <w:rPr>
          <w:rFonts w:eastAsia="SimSun"/>
          <w:vertAlign w:val="subscript"/>
        </w:rPr>
        <w:t xml:space="preserve"> </w:t>
      </w:r>
      <w:r w:rsidR="00280FAF" w:rsidRPr="00280FAF">
        <w:rPr>
          <w:rFonts w:eastAsia="SimSun"/>
        </w:rPr>
        <w:t xml:space="preserve">– </w:t>
      </w:r>
      <w:r>
        <w:rPr>
          <w:rFonts w:eastAsia="SimSun"/>
        </w:rPr>
        <w:t>mass transfer coefficient</w:t>
      </w:r>
      <w:r w:rsidR="00280FAF" w:rsidRPr="00280FAF">
        <w:rPr>
          <w:rFonts w:eastAsia="SimSun"/>
        </w:rPr>
        <w:t>, m</w:t>
      </w:r>
      <w:r>
        <w:rPr>
          <w:rFonts w:eastAsia="SimSun"/>
        </w:rPr>
        <w:t xml:space="preserve"> s</w:t>
      </w:r>
      <w:r w:rsidRPr="00786506">
        <w:rPr>
          <w:rFonts w:eastAsia="SimSun"/>
          <w:vertAlign w:val="superscript"/>
        </w:rPr>
        <w:t>-1</w:t>
      </w:r>
    </w:p>
    <w:p w14:paraId="79E9E1A1" w14:textId="10ECADF2" w:rsidR="00316C6B" w:rsidRPr="00316C6B" w:rsidRDefault="00316C6B" w:rsidP="00316C6B">
      <w:pPr>
        <w:pStyle w:val="CETBodytext"/>
        <w:jc w:val="left"/>
        <w:rPr>
          <w:rFonts w:eastAsia="SimSun"/>
        </w:rPr>
      </w:pPr>
      <w:r w:rsidRPr="00316C6B">
        <w:rPr>
          <w:rFonts w:eastAsia="SimSun"/>
        </w:rPr>
        <w:t>K</w:t>
      </w:r>
      <w:r w:rsidRPr="00316C6B">
        <w:rPr>
          <w:rFonts w:eastAsia="SimSun"/>
          <w:vertAlign w:val="subscript"/>
        </w:rPr>
        <w:t>TIC</w:t>
      </w:r>
      <w:r w:rsidRPr="00316C6B">
        <w:rPr>
          <w:rFonts w:eastAsia="SimSun"/>
        </w:rPr>
        <w:t xml:space="preserve"> – half saturation of </w:t>
      </w:r>
      <w:r>
        <w:rPr>
          <w:rFonts w:eastAsia="SimSun"/>
        </w:rPr>
        <w:t>C</w:t>
      </w:r>
      <w:r w:rsidRPr="00316C6B">
        <w:rPr>
          <w:rFonts w:eastAsia="SimSun"/>
        </w:rPr>
        <w:t xml:space="preserve">, </w:t>
      </w:r>
      <w:r w:rsidR="00411E35">
        <w:rPr>
          <w:rFonts w:eastAsia="SimSun"/>
        </w:rPr>
        <w:t>mol</w:t>
      </w:r>
      <w:r w:rsidRPr="00316C6B">
        <w:rPr>
          <w:rFonts w:eastAsia="SimSun"/>
        </w:rPr>
        <w:t xml:space="preserve"> </w:t>
      </w:r>
      <w:r w:rsidR="00411E35">
        <w:rPr>
          <w:rFonts w:eastAsia="SimSun"/>
        </w:rPr>
        <w:t>L</w:t>
      </w:r>
      <w:r w:rsidRPr="00316C6B">
        <w:rPr>
          <w:rFonts w:eastAsia="SimSun"/>
          <w:vertAlign w:val="superscript"/>
        </w:rPr>
        <w:t>-1</w:t>
      </w:r>
    </w:p>
    <w:p w14:paraId="79F9CA3F" w14:textId="5ABD2B3F" w:rsidR="00316C6B" w:rsidRPr="00316C6B" w:rsidRDefault="00316C6B" w:rsidP="00316C6B">
      <w:pPr>
        <w:pStyle w:val="CETBodytext"/>
        <w:jc w:val="left"/>
        <w:rPr>
          <w:rFonts w:eastAsia="SimSun"/>
        </w:rPr>
      </w:pPr>
      <w:proofErr w:type="spellStart"/>
      <w:r w:rsidRPr="00316C6B">
        <w:rPr>
          <w:rFonts w:eastAsia="SimSun"/>
        </w:rPr>
        <w:t>K</w:t>
      </w:r>
      <w:r>
        <w:rPr>
          <w:rFonts w:eastAsia="SimSun"/>
          <w:vertAlign w:val="subscript"/>
        </w:rPr>
        <w:t>Fe</w:t>
      </w:r>
      <w:proofErr w:type="spellEnd"/>
      <w:r w:rsidRPr="00316C6B">
        <w:rPr>
          <w:rFonts w:eastAsia="SimSun"/>
        </w:rPr>
        <w:t xml:space="preserve"> – half saturation of </w:t>
      </w:r>
      <w:r>
        <w:rPr>
          <w:rFonts w:eastAsia="SimSun"/>
        </w:rPr>
        <w:t>Fe</w:t>
      </w:r>
      <w:r w:rsidRPr="00316C6B">
        <w:rPr>
          <w:rFonts w:eastAsia="SimSun"/>
        </w:rPr>
        <w:t xml:space="preserve">, g </w:t>
      </w:r>
      <w:r w:rsidR="00411E35">
        <w:rPr>
          <w:rFonts w:eastAsia="SimSun"/>
        </w:rPr>
        <w:t>L</w:t>
      </w:r>
      <w:r w:rsidRPr="00316C6B">
        <w:rPr>
          <w:rFonts w:eastAsia="SimSun"/>
          <w:vertAlign w:val="superscript"/>
        </w:rPr>
        <w:t>-1</w:t>
      </w:r>
    </w:p>
    <w:p w14:paraId="0718B861" w14:textId="65085363" w:rsidR="00280FAF" w:rsidRPr="00280FAF" w:rsidRDefault="00280FAF" w:rsidP="00280FAF">
      <w:pPr>
        <w:pStyle w:val="CETBodytext"/>
        <w:jc w:val="left"/>
        <w:rPr>
          <w:rFonts w:eastAsia="SimSun"/>
        </w:rPr>
      </w:pPr>
      <w:r w:rsidRPr="00280FAF">
        <w:rPr>
          <w:rFonts w:eastAsia="SimSun"/>
        </w:rPr>
        <w:t>P</w:t>
      </w:r>
      <w:r w:rsidR="00E04F63">
        <w:rPr>
          <w:rFonts w:eastAsia="SimSun"/>
          <w:vertAlign w:val="subscript"/>
        </w:rPr>
        <w:t>CO2</w:t>
      </w:r>
      <w:r w:rsidRPr="00280FAF">
        <w:rPr>
          <w:rFonts w:eastAsia="SimSun"/>
        </w:rPr>
        <w:t xml:space="preserve"> –</w:t>
      </w:r>
      <w:r w:rsidR="00E04F63">
        <w:rPr>
          <w:rFonts w:eastAsia="SimSun"/>
        </w:rPr>
        <w:t xml:space="preserve"> pressure of CO</w:t>
      </w:r>
      <w:r w:rsidR="00E04F63" w:rsidRPr="00E04F63">
        <w:rPr>
          <w:rFonts w:eastAsia="SimSun"/>
          <w:vertAlign w:val="subscript"/>
        </w:rPr>
        <w:t>2</w:t>
      </w:r>
      <w:r w:rsidRPr="00280FAF">
        <w:rPr>
          <w:rFonts w:eastAsia="SimSun"/>
        </w:rPr>
        <w:t xml:space="preserve">, </w:t>
      </w:r>
      <w:r w:rsidR="00E04F63">
        <w:rPr>
          <w:rFonts w:eastAsia="SimSun"/>
        </w:rPr>
        <w:t xml:space="preserve">atm </w:t>
      </w:r>
    </w:p>
    <w:p w14:paraId="24079B97" w14:textId="5A872AA2" w:rsidR="00316C6B" w:rsidRPr="00CF0BE2" w:rsidRDefault="00E04F63" w:rsidP="00280FAF">
      <w:pPr>
        <w:pStyle w:val="CETBodytext"/>
        <w:jc w:val="left"/>
        <w:rPr>
          <w:rFonts w:eastAsia="SimSun"/>
        </w:rPr>
      </w:pPr>
      <w:r w:rsidRPr="00CF0BE2">
        <w:rPr>
          <w:rFonts w:eastAsia="SimSun"/>
        </w:rPr>
        <w:t>q</w:t>
      </w:r>
      <w:r w:rsidR="00280FAF" w:rsidRPr="00CF0BE2">
        <w:rPr>
          <w:rFonts w:eastAsia="SimSun"/>
        </w:rPr>
        <w:t xml:space="preserve"> – </w:t>
      </w:r>
      <w:r w:rsidRPr="00CF0BE2">
        <w:rPr>
          <w:rFonts w:eastAsia="SimSun"/>
        </w:rPr>
        <w:t>iron cell quota</w:t>
      </w:r>
      <w:r w:rsidR="00280FAF" w:rsidRPr="00CF0BE2">
        <w:rPr>
          <w:rFonts w:eastAsia="SimSun"/>
        </w:rPr>
        <w:t xml:space="preserve">, </w:t>
      </w:r>
      <w:r w:rsidRPr="00CF0BE2">
        <w:rPr>
          <w:rFonts w:eastAsia="SimSun"/>
        </w:rPr>
        <w:t>g g</w:t>
      </w:r>
      <w:r w:rsidRPr="00CF0BE2">
        <w:rPr>
          <w:rFonts w:eastAsia="SimSun"/>
          <w:vertAlign w:val="superscript"/>
        </w:rPr>
        <w:t>-1</w:t>
      </w:r>
    </w:p>
    <w:p w14:paraId="1B9CA67B" w14:textId="0E7B7F2B" w:rsidR="00280FAF" w:rsidRPr="00280FAF" w:rsidRDefault="00E04F63" w:rsidP="00280FAF">
      <w:pPr>
        <w:pStyle w:val="CETBodytext"/>
        <w:jc w:val="left"/>
        <w:rPr>
          <w:rFonts w:eastAsia="SimSun"/>
        </w:rPr>
      </w:pPr>
      <w:r>
        <w:rPr>
          <w:rFonts w:eastAsia="SimSun"/>
        </w:rPr>
        <w:t>S</w:t>
      </w:r>
      <w:r w:rsidR="00280FAF" w:rsidRPr="00280FAF">
        <w:rPr>
          <w:rFonts w:eastAsia="SimSun"/>
        </w:rPr>
        <w:t xml:space="preserve"> – </w:t>
      </w:r>
      <w:r>
        <w:rPr>
          <w:rFonts w:eastAsia="SimSun"/>
        </w:rPr>
        <w:t>iron bulk concentration</w:t>
      </w:r>
      <w:r w:rsidR="00280FAF" w:rsidRPr="00280FAF">
        <w:rPr>
          <w:rFonts w:eastAsia="SimSun"/>
        </w:rPr>
        <w:t xml:space="preserve">, </w:t>
      </w:r>
      <w:r w:rsidRPr="00E04F63">
        <w:rPr>
          <w:rFonts w:eastAsia="SimSun"/>
        </w:rPr>
        <w:t>g L</w:t>
      </w:r>
      <w:r w:rsidRPr="00E04F63">
        <w:rPr>
          <w:rFonts w:eastAsia="SimSun"/>
          <w:vertAlign w:val="superscript"/>
        </w:rPr>
        <w:t>-1</w:t>
      </w:r>
    </w:p>
    <w:p w14:paraId="63AB7028" w14:textId="0DD1337F" w:rsidR="00280FAF" w:rsidRPr="00CF0BE2" w:rsidRDefault="00280FAF" w:rsidP="00280FAF">
      <w:pPr>
        <w:pStyle w:val="CETBodytext"/>
        <w:jc w:val="left"/>
        <w:rPr>
          <w:rFonts w:eastAsia="SimSun"/>
        </w:rPr>
      </w:pPr>
      <w:r w:rsidRPr="00CF0BE2">
        <w:rPr>
          <w:rFonts w:eastAsia="SimSun"/>
        </w:rPr>
        <w:t>T –</w:t>
      </w:r>
      <w:r w:rsidR="00E04F63" w:rsidRPr="00CF0BE2">
        <w:rPr>
          <w:rFonts w:eastAsia="SimSun"/>
        </w:rPr>
        <w:t xml:space="preserve"> </w:t>
      </w:r>
      <w:r w:rsidRPr="00CF0BE2">
        <w:rPr>
          <w:rFonts w:eastAsia="SimSun"/>
        </w:rPr>
        <w:t>temperature, K</w:t>
      </w:r>
    </w:p>
    <w:p w14:paraId="42FAA691" w14:textId="13BD45AB" w:rsidR="00280FAF" w:rsidRPr="00E04F63" w:rsidRDefault="00E04F63" w:rsidP="00280FAF">
      <w:pPr>
        <w:pStyle w:val="CETBodytext"/>
        <w:jc w:val="left"/>
        <w:rPr>
          <w:rFonts w:eastAsia="SimSun"/>
        </w:rPr>
      </w:pPr>
      <w:r w:rsidRPr="00E04F63">
        <w:rPr>
          <w:rFonts w:eastAsia="SimSun"/>
        </w:rPr>
        <w:t>V</w:t>
      </w:r>
      <w:r w:rsidRPr="00E04F63">
        <w:rPr>
          <w:rFonts w:eastAsia="SimSun"/>
          <w:vertAlign w:val="subscript"/>
        </w:rPr>
        <w:t>F</w:t>
      </w:r>
      <w:r w:rsidR="00280FAF" w:rsidRPr="00E04F63">
        <w:rPr>
          <w:rFonts w:eastAsia="SimSun"/>
        </w:rPr>
        <w:t xml:space="preserve"> – </w:t>
      </w:r>
      <w:r w:rsidRPr="00E04F63">
        <w:rPr>
          <w:rFonts w:eastAsia="SimSun"/>
        </w:rPr>
        <w:t>volume of flasks</w:t>
      </w:r>
      <w:r w:rsidR="00280FAF" w:rsidRPr="00E04F63">
        <w:rPr>
          <w:rFonts w:eastAsia="SimSun"/>
        </w:rPr>
        <w:t xml:space="preserve">, </w:t>
      </w:r>
      <w:r w:rsidRPr="00E04F63">
        <w:rPr>
          <w:rFonts w:eastAsia="SimSun"/>
        </w:rPr>
        <w:t>L</w:t>
      </w:r>
    </w:p>
    <w:p w14:paraId="0F29541C" w14:textId="1A141389" w:rsidR="00E04F63" w:rsidRPr="00E04F63" w:rsidRDefault="00E04F63" w:rsidP="00E04F63">
      <w:pPr>
        <w:pStyle w:val="CETBodytext"/>
        <w:jc w:val="left"/>
        <w:rPr>
          <w:rFonts w:eastAsia="SimSun"/>
        </w:rPr>
      </w:pPr>
      <w:r w:rsidRPr="00E04F63">
        <w:rPr>
          <w:rFonts w:eastAsia="SimSun"/>
        </w:rPr>
        <w:t>V</w:t>
      </w:r>
      <w:r>
        <w:rPr>
          <w:rFonts w:eastAsia="SimSun"/>
          <w:vertAlign w:val="subscript"/>
        </w:rPr>
        <w:t>L</w:t>
      </w:r>
      <w:r w:rsidRPr="00E04F63">
        <w:rPr>
          <w:rFonts w:eastAsia="SimSun"/>
        </w:rPr>
        <w:t xml:space="preserve"> – volume of </w:t>
      </w:r>
      <w:r>
        <w:rPr>
          <w:rFonts w:eastAsia="SimSun"/>
        </w:rPr>
        <w:t>liquid</w:t>
      </w:r>
      <w:r w:rsidRPr="00E04F63">
        <w:rPr>
          <w:rFonts w:eastAsia="SimSun"/>
        </w:rPr>
        <w:t>, L</w:t>
      </w:r>
    </w:p>
    <w:p w14:paraId="5165B72A" w14:textId="372BF2A7" w:rsidR="00316C6B" w:rsidRPr="00280FAF" w:rsidRDefault="00316C6B" w:rsidP="00316C6B">
      <w:pPr>
        <w:pStyle w:val="CETBodytext"/>
        <w:jc w:val="left"/>
        <w:rPr>
          <w:rFonts w:eastAsia="SimSun"/>
        </w:rPr>
      </w:pPr>
      <w:r>
        <w:rPr>
          <w:rFonts w:eastAsia="SimSun"/>
        </w:rPr>
        <w:t>X</w:t>
      </w:r>
      <w:r w:rsidRPr="00280FAF">
        <w:rPr>
          <w:rFonts w:eastAsia="SimSun"/>
        </w:rPr>
        <w:t xml:space="preserve"> – </w:t>
      </w:r>
      <w:r>
        <w:rPr>
          <w:rFonts w:eastAsia="SimSun"/>
        </w:rPr>
        <w:t>biomass concentration</w:t>
      </w:r>
      <w:r w:rsidRPr="00280FAF">
        <w:rPr>
          <w:rFonts w:eastAsia="SimSun"/>
        </w:rPr>
        <w:t xml:space="preserve">, </w:t>
      </w:r>
      <w:bookmarkStart w:id="2" w:name="_Hlk185760294"/>
      <w:r>
        <w:rPr>
          <w:rFonts w:eastAsia="SimSun"/>
        </w:rPr>
        <w:t>g L</w:t>
      </w:r>
      <w:r w:rsidRPr="00406ED1">
        <w:rPr>
          <w:rFonts w:eastAsia="SimSun"/>
          <w:vertAlign w:val="superscript"/>
        </w:rPr>
        <w:t>-1</w:t>
      </w:r>
      <w:bookmarkEnd w:id="2"/>
    </w:p>
    <w:p w14:paraId="15F17467" w14:textId="1EF255D9" w:rsidR="00280FAF" w:rsidRPr="00280FAF" w:rsidRDefault="00E04F63" w:rsidP="00280FAF">
      <w:pPr>
        <w:pStyle w:val="CETBodytext"/>
        <w:jc w:val="left"/>
        <w:rPr>
          <w:rFonts w:eastAsia="SimSun"/>
        </w:rPr>
      </w:pPr>
      <w:proofErr w:type="spellStart"/>
      <w:r>
        <w:rPr>
          <w:rFonts w:eastAsia="SimSun"/>
        </w:rPr>
        <w:t>Y</w:t>
      </w:r>
      <w:r w:rsidRPr="00316C6B">
        <w:rPr>
          <w:rFonts w:eastAsia="SimSun"/>
          <w:vertAlign w:val="subscript"/>
        </w:rPr>
        <w:t>alk</w:t>
      </w:r>
      <w:proofErr w:type="spellEnd"/>
      <w:r w:rsidR="00280FAF" w:rsidRPr="00280FAF">
        <w:rPr>
          <w:rFonts w:eastAsia="SimSun"/>
        </w:rPr>
        <w:t xml:space="preserve"> – </w:t>
      </w:r>
      <w:r>
        <w:rPr>
          <w:rFonts w:eastAsia="SimSun"/>
        </w:rPr>
        <w:t>Alkalinity yield</w:t>
      </w:r>
      <w:r w:rsidR="00280FAF" w:rsidRPr="00280FAF">
        <w:rPr>
          <w:rFonts w:eastAsia="SimSun"/>
        </w:rPr>
        <w:t>, m</w:t>
      </w:r>
      <w:r w:rsidR="00316C6B">
        <w:rPr>
          <w:rFonts w:eastAsia="SimSun"/>
        </w:rPr>
        <w:t>ol g</w:t>
      </w:r>
      <w:r w:rsidR="00316C6B" w:rsidRPr="00406ED1">
        <w:rPr>
          <w:rFonts w:eastAsia="SimSun"/>
          <w:vertAlign w:val="superscript"/>
        </w:rPr>
        <w:t>-1</w:t>
      </w:r>
    </w:p>
    <w:p w14:paraId="525D72BE" w14:textId="77777777" w:rsidR="00316C6B" w:rsidRDefault="00316C6B" w:rsidP="00280FAF">
      <w:pPr>
        <w:pStyle w:val="CETBodytext"/>
        <w:jc w:val="left"/>
        <w:rPr>
          <w:rFonts w:eastAsia="SimSun"/>
          <w:vertAlign w:val="superscript"/>
        </w:rPr>
      </w:pPr>
      <w:proofErr w:type="spellStart"/>
      <w:r>
        <w:rPr>
          <w:rFonts w:eastAsia="SimSun"/>
        </w:rPr>
        <w:t>Y</w:t>
      </w:r>
      <w:r w:rsidRPr="00316C6B">
        <w:rPr>
          <w:rFonts w:eastAsia="SimSun"/>
          <w:vertAlign w:val="subscript"/>
        </w:rPr>
        <w:t>alk</w:t>
      </w:r>
      <w:proofErr w:type="spellEnd"/>
      <w:r w:rsidRPr="00280FAF">
        <w:rPr>
          <w:rFonts w:eastAsia="SimSun"/>
        </w:rPr>
        <w:t xml:space="preserve"> – </w:t>
      </w:r>
      <w:r>
        <w:rPr>
          <w:rFonts w:eastAsia="SimSun"/>
        </w:rPr>
        <w:t>Alkalinity yield</w:t>
      </w:r>
      <w:r w:rsidRPr="00280FAF">
        <w:rPr>
          <w:rFonts w:eastAsia="SimSun"/>
        </w:rPr>
        <w:t>, m</w:t>
      </w:r>
      <w:r>
        <w:rPr>
          <w:rFonts w:eastAsia="SimSun"/>
        </w:rPr>
        <w:t>ol g</w:t>
      </w:r>
      <w:r w:rsidRPr="00406ED1">
        <w:rPr>
          <w:rFonts w:eastAsia="SimSun"/>
          <w:vertAlign w:val="superscript"/>
        </w:rPr>
        <w:t>-1</w:t>
      </w:r>
    </w:p>
    <w:p w14:paraId="2E4EE6F7" w14:textId="7963BB93" w:rsidR="00280FAF" w:rsidRPr="00280FAF" w:rsidRDefault="00411E35" w:rsidP="00280FAF">
      <w:pPr>
        <w:pStyle w:val="CETBodytext"/>
        <w:jc w:val="left"/>
        <w:rPr>
          <w:rFonts w:eastAsia="SimSun"/>
        </w:rPr>
      </w:pPr>
      <w:r w:rsidRPr="00411E35">
        <w:rPr>
          <w:rFonts w:ascii="Symbol" w:eastAsia="SimSun" w:hAnsi="Symbol"/>
        </w:rPr>
        <w:t>m</w:t>
      </w:r>
      <w:r w:rsidRPr="00411E35">
        <w:rPr>
          <w:rFonts w:eastAsia="SimSun" w:cs="Arial"/>
          <w:vertAlign w:val="subscript"/>
        </w:rPr>
        <w:t>max</w:t>
      </w:r>
      <w:r w:rsidR="00280FAF" w:rsidRPr="00280FAF">
        <w:rPr>
          <w:rFonts w:eastAsia="SimSun"/>
          <w:lang w:val="el-GR"/>
        </w:rPr>
        <w:t xml:space="preserve"> </w:t>
      </w:r>
      <w:r>
        <w:rPr>
          <w:rFonts w:eastAsia="SimSun"/>
          <w:lang w:val="el-GR"/>
        </w:rPr>
        <w:t>–</w:t>
      </w:r>
      <w:r w:rsidR="00280FAF" w:rsidRPr="00280FAF">
        <w:rPr>
          <w:rFonts w:eastAsia="SimSun"/>
          <w:lang w:val="el-GR"/>
        </w:rPr>
        <w:t xml:space="preserve"> </w:t>
      </w:r>
      <w:r>
        <w:rPr>
          <w:rFonts w:eastAsia="SimSun"/>
        </w:rPr>
        <w:t>Max specific growth rate</w:t>
      </w:r>
      <w:r w:rsidR="00280FAF" w:rsidRPr="00280FAF">
        <w:rPr>
          <w:rFonts w:eastAsia="SimSun"/>
        </w:rPr>
        <w:t xml:space="preserve">, </w:t>
      </w:r>
      <w:r>
        <w:rPr>
          <w:rFonts w:eastAsia="SimSun"/>
        </w:rPr>
        <w:t>day</w:t>
      </w:r>
      <w:r w:rsidRPr="00406ED1">
        <w:rPr>
          <w:rFonts w:eastAsia="SimSun"/>
          <w:vertAlign w:val="superscript"/>
        </w:rPr>
        <w:t>-1</w:t>
      </w:r>
    </w:p>
    <w:p w14:paraId="38BFE636" w14:textId="4A272B38" w:rsidR="00280FAF" w:rsidRPr="00E377D0" w:rsidRDefault="00411E35" w:rsidP="00280FAF">
      <w:pPr>
        <w:pStyle w:val="CETBodytext"/>
        <w:jc w:val="left"/>
        <w:rPr>
          <w:rFonts w:eastAsia="SimSun"/>
        </w:rPr>
        <w:sectPr w:rsidR="00280FAF" w:rsidRPr="00E377D0" w:rsidSect="00DC73EE">
          <w:type w:val="continuous"/>
          <w:pgSz w:w="11906" w:h="16838" w:code="9"/>
          <w:pgMar w:top="1701" w:right="1418" w:bottom="1701" w:left="1701" w:header="1701" w:footer="0" w:gutter="0"/>
          <w:cols w:num="2" w:space="708"/>
          <w:formProt w:val="0"/>
          <w:titlePg/>
          <w:docGrid w:linePitch="360"/>
        </w:sectPr>
      </w:pPr>
      <w:r>
        <w:rPr>
          <w:rFonts w:ascii="Symbol" w:eastAsia="SimSun" w:hAnsi="Symbol"/>
        </w:rPr>
        <w:t>r</w:t>
      </w:r>
      <w:r w:rsidRPr="00411E35">
        <w:rPr>
          <w:rFonts w:eastAsia="SimSun" w:cs="Arial"/>
          <w:vertAlign w:val="subscript"/>
        </w:rPr>
        <w:t>max</w:t>
      </w:r>
      <w:r w:rsidR="00280FAF" w:rsidRPr="00280FAF">
        <w:rPr>
          <w:rFonts w:eastAsia="SimSun"/>
          <w:lang w:val="el-GR"/>
        </w:rPr>
        <w:t xml:space="preserve"> – </w:t>
      </w:r>
      <w:r w:rsidRPr="00411E35">
        <w:rPr>
          <w:rFonts w:eastAsia="SimSun"/>
        </w:rPr>
        <w:t>Max</w:t>
      </w:r>
      <w:r>
        <w:rPr>
          <w:rFonts w:eastAsia="SimSun"/>
        </w:rPr>
        <w:t xml:space="preserve"> specific </w:t>
      </w:r>
      <w:r w:rsidRPr="00411E35">
        <w:rPr>
          <w:rFonts w:eastAsia="SimSun"/>
        </w:rPr>
        <w:t>absorption rate</w:t>
      </w:r>
      <w:r>
        <w:rPr>
          <w:rFonts w:eastAsia="SimSun"/>
        </w:rPr>
        <w:t xml:space="preserve"> of Fe</w:t>
      </w:r>
      <w:r w:rsidR="00280FAF" w:rsidRPr="00280FAF">
        <w:rPr>
          <w:rFonts w:eastAsia="SimSun"/>
        </w:rPr>
        <w:t xml:space="preserve">, </w:t>
      </w:r>
      <w:r>
        <w:rPr>
          <w:rFonts w:eastAsia="SimSun"/>
        </w:rPr>
        <w:t>day</w:t>
      </w:r>
      <w:r w:rsidRPr="00406ED1">
        <w:rPr>
          <w:rFonts w:eastAsia="SimSun"/>
          <w:vertAlign w:val="superscript"/>
        </w:rPr>
        <w:t>-1</w:t>
      </w:r>
      <w:r w:rsidR="00280FAF" w:rsidRPr="00280FAF">
        <w:rPr>
          <w:rFonts w:eastAsia="SimSun"/>
        </w:rPr>
        <w:t>-</w:t>
      </w:r>
    </w:p>
    <w:p w14:paraId="459D05E6" w14:textId="77777777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33F8138F" w14:textId="1F775720" w:rsidR="00600535" w:rsidRPr="00B57B36" w:rsidRDefault="0001371C" w:rsidP="00600535">
      <w:pPr>
        <w:pStyle w:val="CETBodytext"/>
        <w:rPr>
          <w:lang w:val="en-GB"/>
        </w:rPr>
      </w:pPr>
      <w:r w:rsidRPr="0001371C">
        <w:rPr>
          <w:lang w:val="en-GB"/>
        </w:rPr>
        <w:t xml:space="preserve">This work has been developed within the framework of the project </w:t>
      </w:r>
      <w:proofErr w:type="spellStart"/>
      <w:r w:rsidRPr="0001371C">
        <w:rPr>
          <w:lang w:val="en-GB"/>
        </w:rPr>
        <w:t>eINS</w:t>
      </w:r>
      <w:proofErr w:type="spellEnd"/>
      <w:r w:rsidRPr="0001371C">
        <w:rPr>
          <w:lang w:val="en-GB"/>
        </w:rPr>
        <w:t>- Ecosystem of Innovation for Next Generation Sardinia (cod. ECS 00000038) funded by the Italian Ministry for Research and Education (MUR) under the National Recovery and Resilience Plan (PNRR) - MISSION 4 COMPONENT 2, “From research to business” INVESTMENT 1.5, “Creation and strengthening of Ecosystems of innovation” and construction of “Territorial R&amp;D Leaders”.</w:t>
      </w:r>
      <w:r>
        <w:rPr>
          <w:lang w:val="en-GB"/>
        </w:rPr>
        <w:t xml:space="preserve"> F</w:t>
      </w:r>
      <w:r w:rsidRPr="0001371C">
        <w:rPr>
          <w:lang w:val="en-GB"/>
        </w:rPr>
        <w:t>.</w:t>
      </w:r>
      <w:r>
        <w:rPr>
          <w:lang w:val="en-GB"/>
        </w:rPr>
        <w:t>A</w:t>
      </w:r>
      <w:r w:rsidRPr="0001371C">
        <w:rPr>
          <w:lang w:val="en-GB"/>
        </w:rPr>
        <w:t>. also acknowledge the PhD programme in Innovation Science and Technologies available at the University of Cagliari</w:t>
      </w:r>
    </w:p>
    <w:p w14:paraId="4F1327F8" w14:textId="77777777" w:rsidR="00600535" w:rsidRPr="00B57B36" w:rsidRDefault="00600535" w:rsidP="00600535">
      <w:pPr>
        <w:pStyle w:val="CETReference"/>
      </w:pPr>
      <w:r w:rsidRPr="00B57B36">
        <w:t>References</w:t>
      </w:r>
    </w:p>
    <w:p w14:paraId="0F2342CB" w14:textId="77777777" w:rsidR="00F769D2" w:rsidRDefault="00F769D2" w:rsidP="00F769D2">
      <w:pPr>
        <w:ind w:left="284" w:hanging="284"/>
      </w:pPr>
      <w:r w:rsidRPr="00F769D2">
        <w:t>Atzori F., Barzagli F., Varone A., Cao G., Concas A., 2023, CO</w:t>
      </w:r>
      <w:r w:rsidRPr="00F769D2">
        <w:rPr>
          <w:vertAlign w:val="subscript"/>
        </w:rPr>
        <w:t>2</w:t>
      </w:r>
      <w:r w:rsidRPr="00F769D2">
        <w:t xml:space="preserve"> absorption in aqueous NH</w:t>
      </w:r>
      <w:r w:rsidRPr="000118BD">
        <w:rPr>
          <w:vertAlign w:val="subscript"/>
        </w:rPr>
        <w:t>3</w:t>
      </w:r>
      <w:r w:rsidRPr="00F769D2">
        <w:t xml:space="preserve"> solutions: Novel dynamic </w:t>
      </w:r>
      <w:proofErr w:type="spellStart"/>
      <w:r w:rsidRPr="00F769D2">
        <w:t>modeling</w:t>
      </w:r>
      <w:proofErr w:type="spellEnd"/>
      <w:r w:rsidRPr="00F769D2">
        <w:t xml:space="preserve"> of experimental outcomes, Chemical Engineering Journal, 451, 138999.</w:t>
      </w:r>
    </w:p>
    <w:p w14:paraId="31CBA884" w14:textId="77777777" w:rsidR="005E6590" w:rsidRDefault="005E6590" w:rsidP="005E6590">
      <w:pPr>
        <w:pStyle w:val="CETReferencetext"/>
      </w:pPr>
      <w:r w:rsidRPr="005E6590">
        <w:t>Bates R. G., Pinching</w:t>
      </w:r>
      <w:r>
        <w:t xml:space="preserve"> </w:t>
      </w:r>
      <w:r w:rsidRPr="005E6590">
        <w:t>G. D.</w:t>
      </w:r>
      <w:r>
        <w:t xml:space="preserve">, </w:t>
      </w:r>
      <w:r w:rsidRPr="005E6590">
        <w:t>1949</w:t>
      </w:r>
      <w:r>
        <w:t>,</w:t>
      </w:r>
      <w:r w:rsidRPr="005E6590">
        <w:t xml:space="preserve"> Resolution of the dissociation constants of citric acid at 0 to 50, and determination of certain related thermodynamic functions</w:t>
      </w:r>
      <w:r>
        <w:t>,</w:t>
      </w:r>
      <w:r w:rsidRPr="005E6590">
        <w:t xml:space="preserve"> Journal of the American Chemical Society, 71, 1274-1283.</w:t>
      </w:r>
    </w:p>
    <w:p w14:paraId="7DB444DE" w14:textId="3EE21846" w:rsidR="00335262" w:rsidRDefault="00335262" w:rsidP="00335262">
      <w:pPr>
        <w:ind w:left="284" w:hanging="284"/>
      </w:pPr>
      <w:r w:rsidRPr="00842196">
        <w:rPr>
          <w:lang w:val="it-IT"/>
        </w:rPr>
        <w:t xml:space="preserve">Casula M., Caboni. P., Fais. G., Dessì. </w:t>
      </w:r>
      <w:r w:rsidRPr="00C16747">
        <w:t>D.</w:t>
      </w:r>
      <w:r>
        <w:t xml:space="preserve">, </w:t>
      </w:r>
      <w:r w:rsidRPr="00C16747">
        <w:t>Scano P.</w:t>
      </w:r>
      <w:r>
        <w:t>,</w:t>
      </w:r>
      <w:r w:rsidRPr="00C16747">
        <w:t xml:space="preserve"> Lai N.</w:t>
      </w:r>
      <w:r>
        <w:t>,</w:t>
      </w:r>
      <w:r w:rsidRPr="00C16747">
        <w:t xml:space="preserve"> Cincotti A.</w:t>
      </w:r>
      <w:r>
        <w:t>,</w:t>
      </w:r>
      <w:r w:rsidRPr="00C16747">
        <w:t xml:space="preserve"> Cao G</w:t>
      </w:r>
      <w:r>
        <w:t>.,</w:t>
      </w:r>
      <w:r w:rsidRPr="00C16747">
        <w:t xml:space="preserve"> Concas A.</w:t>
      </w:r>
      <w:r>
        <w:t>, 2024</w:t>
      </w:r>
      <w:r w:rsidR="00AF4DB3">
        <w:t xml:space="preserve"> a</w:t>
      </w:r>
      <w:r>
        <w:t>,</w:t>
      </w:r>
      <w:r w:rsidRPr="00C16747">
        <w:t xml:space="preserve"> In-Situ Resource Utilization to Produce </w:t>
      </w:r>
      <w:proofErr w:type="spellStart"/>
      <w:r w:rsidRPr="00BE5580">
        <w:rPr>
          <w:i/>
          <w:iCs/>
        </w:rPr>
        <w:t>Haematococcus</w:t>
      </w:r>
      <w:proofErr w:type="spellEnd"/>
      <w:r w:rsidRPr="00BE5580">
        <w:rPr>
          <w:i/>
          <w:iCs/>
        </w:rPr>
        <w:t xml:space="preserve"> </w:t>
      </w:r>
      <w:proofErr w:type="spellStart"/>
      <w:r w:rsidRPr="00BE5580">
        <w:rPr>
          <w:i/>
          <w:iCs/>
        </w:rPr>
        <w:t>Pluvialis</w:t>
      </w:r>
      <w:proofErr w:type="spellEnd"/>
      <w:r w:rsidRPr="00C16747">
        <w:t xml:space="preserve"> Biomass in Simulated Martian Environment</w:t>
      </w:r>
      <w:r>
        <w:t>,</w:t>
      </w:r>
      <w:r w:rsidRPr="00C16747">
        <w:t xml:space="preserve"> Algal Res</w:t>
      </w:r>
      <w:r w:rsidR="002C5406">
        <w:t>earch</w:t>
      </w:r>
      <w:r w:rsidRPr="00C16747">
        <w:t xml:space="preserve"> 79</w:t>
      </w:r>
      <w:r>
        <w:t>,</w:t>
      </w:r>
      <w:r w:rsidRPr="00C16747">
        <w:t xml:space="preserve"> 103489.</w:t>
      </w:r>
    </w:p>
    <w:p w14:paraId="11320059" w14:textId="127629DB" w:rsidR="00DA3B8C" w:rsidRDefault="00DA3B8C" w:rsidP="00335262">
      <w:pPr>
        <w:ind w:left="284" w:hanging="284"/>
      </w:pPr>
      <w:r w:rsidRPr="00DA3B8C">
        <w:t>Casula M.</w:t>
      </w:r>
      <w:r>
        <w:t>,</w:t>
      </w:r>
      <w:r w:rsidRPr="00DA3B8C">
        <w:t xml:space="preserve"> Fais G</w:t>
      </w:r>
      <w:r>
        <w:t>.,</w:t>
      </w:r>
      <w:r w:rsidRPr="00DA3B8C">
        <w:t xml:space="preserve"> Manis C.</w:t>
      </w:r>
      <w:r>
        <w:t>,</w:t>
      </w:r>
      <w:r w:rsidRPr="00DA3B8C">
        <w:t xml:space="preserve"> Scano P.</w:t>
      </w:r>
      <w:r>
        <w:t>,</w:t>
      </w:r>
      <w:r w:rsidRPr="00DA3B8C">
        <w:t xml:space="preserve"> Verseux C.</w:t>
      </w:r>
      <w:r>
        <w:t>,</w:t>
      </w:r>
      <w:r w:rsidRPr="00DA3B8C">
        <w:t xml:space="preserve"> Concas A.</w:t>
      </w:r>
      <w:r>
        <w:t>,</w:t>
      </w:r>
      <w:r w:rsidRPr="00DA3B8C">
        <w:t xml:space="preserve"> Cao G.</w:t>
      </w:r>
      <w:r>
        <w:t>,</w:t>
      </w:r>
      <w:r w:rsidRPr="00DA3B8C">
        <w:t xml:space="preserve"> Caboni P.</w:t>
      </w:r>
      <w:r>
        <w:t>, 2024</w:t>
      </w:r>
      <w:r w:rsidR="00AF4DB3">
        <w:t xml:space="preserve"> b</w:t>
      </w:r>
      <w:r>
        <w:t>,</w:t>
      </w:r>
      <w:r w:rsidRPr="00DA3B8C">
        <w:t xml:space="preserve"> Cultivation and Nutritional Characteristics of Chlorella Vulgaris Cultivated Using Martian </w:t>
      </w:r>
      <w:proofErr w:type="spellStart"/>
      <w:r w:rsidRPr="00DA3B8C">
        <w:t>Regolith</w:t>
      </w:r>
      <w:proofErr w:type="spellEnd"/>
      <w:r w:rsidRPr="00DA3B8C">
        <w:t xml:space="preserve"> and Synthetic Urine. Life Sci</w:t>
      </w:r>
      <w:r w:rsidR="002C5406">
        <w:t xml:space="preserve">ence and </w:t>
      </w:r>
      <w:r w:rsidRPr="00DA3B8C">
        <w:t>Sp</w:t>
      </w:r>
      <w:r w:rsidR="002C5406">
        <w:t>ace</w:t>
      </w:r>
      <w:r w:rsidRPr="00DA3B8C">
        <w:t xml:space="preserve"> Res</w:t>
      </w:r>
      <w:r w:rsidR="002C5406">
        <w:t>earch,</w:t>
      </w:r>
      <w:r w:rsidRPr="00DA3B8C">
        <w:t xml:space="preserve"> 42, 108–116.</w:t>
      </w:r>
    </w:p>
    <w:p w14:paraId="21481403" w14:textId="77777777" w:rsidR="00B15889" w:rsidRDefault="00B15889" w:rsidP="00B15889">
      <w:pPr>
        <w:pStyle w:val="CETReferencetext"/>
      </w:pPr>
      <w:r w:rsidRPr="00F52CE7">
        <w:t>Concas A., Steriti A., Pisu M., Cao</w:t>
      </w:r>
      <w:r>
        <w:t xml:space="preserve"> </w:t>
      </w:r>
      <w:r w:rsidRPr="00F52CE7">
        <w:t>G.</w:t>
      </w:r>
      <w:r>
        <w:t>,</w:t>
      </w:r>
      <w:r w:rsidRPr="00F52CE7">
        <w:t xml:space="preserve"> 2021</w:t>
      </w:r>
      <w:r>
        <w:t>a,</w:t>
      </w:r>
      <w:r w:rsidRPr="00F52CE7">
        <w:t xml:space="preserve"> Experimental and theoretical investigation of the effects of iron on growth and lipid synthesis of microalgae in view of their use to produce biofuels</w:t>
      </w:r>
      <w:r>
        <w:t xml:space="preserve">, </w:t>
      </w:r>
      <w:r w:rsidRPr="00F52CE7">
        <w:t>Journal of Environmental Chemical Engineering, 9(4), 105349.</w:t>
      </w:r>
    </w:p>
    <w:p w14:paraId="7D3AC4C2" w14:textId="77777777" w:rsidR="002C5406" w:rsidRDefault="002C5406" w:rsidP="002C5406">
      <w:pPr>
        <w:pStyle w:val="CETReferencetext"/>
      </w:pPr>
      <w:r w:rsidRPr="002C5406">
        <w:t>Dubois M.</w:t>
      </w:r>
      <w:r>
        <w:t>,</w:t>
      </w:r>
      <w:r w:rsidRPr="002C5406">
        <w:t xml:space="preserve"> Gilles K. A.</w:t>
      </w:r>
      <w:r>
        <w:t>,</w:t>
      </w:r>
      <w:r w:rsidRPr="002C5406">
        <w:t xml:space="preserve"> Hamilton J. K.</w:t>
      </w:r>
      <w:r>
        <w:t>,</w:t>
      </w:r>
      <w:r w:rsidRPr="002C5406">
        <w:t xml:space="preserve"> </w:t>
      </w:r>
      <w:proofErr w:type="spellStart"/>
      <w:r w:rsidRPr="002C5406">
        <w:t>Rebers</w:t>
      </w:r>
      <w:proofErr w:type="spellEnd"/>
      <w:r w:rsidRPr="002C5406">
        <w:t xml:space="preserve"> P. A.</w:t>
      </w:r>
      <w:r>
        <w:t>,</w:t>
      </w:r>
      <w:r w:rsidRPr="002C5406">
        <w:t xml:space="preserve"> Smith F.</w:t>
      </w:r>
      <w:r>
        <w:t>, 1956,</w:t>
      </w:r>
      <w:r w:rsidRPr="002C5406">
        <w:t xml:space="preserve"> Colorimetric Method for Determination of Sugars and Related Substances. Analytical Chemistry</w:t>
      </w:r>
      <w:r>
        <w:t xml:space="preserve">, </w:t>
      </w:r>
      <w:r w:rsidRPr="002C5406">
        <w:t>28</w:t>
      </w:r>
      <w:r>
        <w:t xml:space="preserve"> (3), </w:t>
      </w:r>
      <w:r w:rsidRPr="002C5406">
        <w:t>350-356</w:t>
      </w:r>
    </w:p>
    <w:p w14:paraId="4FCBE9F3" w14:textId="40C3A136" w:rsidR="00C16747" w:rsidRDefault="002B2202" w:rsidP="002B2202">
      <w:pPr>
        <w:pStyle w:val="CETReferencetext"/>
      </w:pPr>
      <w:r w:rsidRPr="002B2202">
        <w:t>Fais G., Manca A., Concas A., Pantaleo A.</w:t>
      </w:r>
      <w:proofErr w:type="gramStart"/>
      <w:r w:rsidRPr="002B2202">
        <w:t>,  Cao</w:t>
      </w:r>
      <w:proofErr w:type="gramEnd"/>
      <w:r w:rsidRPr="002B2202">
        <w:t xml:space="preserve"> G., 2022, A novel process to grow edible microalgae on Mars by exploiting in situ-available resources: Experimental investigation, Acta </w:t>
      </w:r>
      <w:proofErr w:type="spellStart"/>
      <w:r w:rsidRPr="002B2202">
        <w:t>Astronautica</w:t>
      </w:r>
      <w:proofErr w:type="spellEnd"/>
      <w:r w:rsidRPr="002B2202">
        <w:t>, 201, 454-463.</w:t>
      </w:r>
    </w:p>
    <w:p w14:paraId="31A0A3EE" w14:textId="77777777" w:rsidR="00274C4A" w:rsidRDefault="00274C4A" w:rsidP="00274C4A">
      <w:pPr>
        <w:pStyle w:val="CETReferencetext"/>
      </w:pPr>
      <w:r>
        <w:t>Folch</w:t>
      </w:r>
      <w:r w:rsidRPr="00274C4A">
        <w:t xml:space="preserve"> </w:t>
      </w:r>
      <w:r>
        <w:t>J., Lees</w:t>
      </w:r>
      <w:r w:rsidRPr="00274C4A">
        <w:t xml:space="preserve"> </w:t>
      </w:r>
      <w:r>
        <w:t>M., Stanley</w:t>
      </w:r>
      <w:r w:rsidRPr="00274C4A">
        <w:t xml:space="preserve"> </w:t>
      </w:r>
      <w:r>
        <w:t xml:space="preserve">G.S., 1957, A simple method for the isolation and purification of total lipides from animal tissues, </w:t>
      </w:r>
      <w:r w:rsidRPr="00274C4A">
        <w:t xml:space="preserve">Journal of </w:t>
      </w:r>
      <w:r>
        <w:t>B</w:t>
      </w:r>
      <w:r w:rsidRPr="00274C4A">
        <w:t xml:space="preserve">iological </w:t>
      </w:r>
      <w:r>
        <w:t>C</w:t>
      </w:r>
      <w:r w:rsidRPr="00274C4A">
        <w:t>hemistry, 226 (1), 497-509</w:t>
      </w:r>
      <w:r>
        <w:t>.</w:t>
      </w:r>
    </w:p>
    <w:p w14:paraId="243922C4" w14:textId="77777777" w:rsidR="00582E11" w:rsidRDefault="00582E11" w:rsidP="00582E11">
      <w:pPr>
        <w:pStyle w:val="CETReferencetext"/>
      </w:pPr>
      <w:r w:rsidRPr="00582E11">
        <w:rPr>
          <w:lang w:val="en-US"/>
        </w:rPr>
        <w:t>Gouda M., Tadda M.A., Zhao Y., Farmanullah F., Chu B., Li X., He Y., 2022</w:t>
      </w:r>
      <w:r>
        <w:rPr>
          <w:lang w:val="en-US"/>
        </w:rPr>
        <w:t xml:space="preserve">, </w:t>
      </w:r>
      <w:r w:rsidRPr="00582E11">
        <w:t>Microalgae bioactive carbohydrates as a novel sustainable and eco-friendly source of prebiotics: emerging health functionality and recent technologies for extraction and detection</w:t>
      </w:r>
      <w:r>
        <w:t xml:space="preserve">, </w:t>
      </w:r>
      <w:r w:rsidRPr="00582E11">
        <w:t>Frontiers in Nutrition 9</w:t>
      </w:r>
      <w:r>
        <w:t>,</w:t>
      </w:r>
      <w:r w:rsidRPr="00582E11">
        <w:t xml:space="preserve"> 806692.</w:t>
      </w:r>
    </w:p>
    <w:p w14:paraId="3BC928DB" w14:textId="06989A52" w:rsidR="00E55A89" w:rsidRDefault="00E55A89" w:rsidP="002B2202">
      <w:pPr>
        <w:pStyle w:val="CETReferencetext"/>
      </w:pPr>
      <w:r w:rsidRPr="00E55A89">
        <w:t>Lowry O. H.</w:t>
      </w:r>
      <w:r>
        <w:t>,</w:t>
      </w:r>
      <w:r w:rsidRPr="00E55A89">
        <w:t xml:space="preserve"> Rosebrough N. J.</w:t>
      </w:r>
      <w:r>
        <w:t>,</w:t>
      </w:r>
      <w:r w:rsidRPr="00E55A89">
        <w:t xml:space="preserve"> Farr A. L.</w:t>
      </w:r>
      <w:r>
        <w:t>,</w:t>
      </w:r>
      <w:r w:rsidRPr="00E55A89">
        <w:t xml:space="preserve"> Randall R. J.</w:t>
      </w:r>
      <w:r>
        <w:t>, 1951,</w:t>
      </w:r>
      <w:r w:rsidRPr="00E55A89">
        <w:t xml:space="preserve"> Protein Measurement with the Folin Phenol Reagent</w:t>
      </w:r>
      <w:r>
        <w:t xml:space="preserve">, </w:t>
      </w:r>
      <w:r w:rsidRPr="00E55A89">
        <w:t xml:space="preserve">The Journal of </w:t>
      </w:r>
      <w:r>
        <w:t>B</w:t>
      </w:r>
      <w:r w:rsidRPr="00E55A89">
        <w:t xml:space="preserve">iological </w:t>
      </w:r>
      <w:r>
        <w:t>C</w:t>
      </w:r>
      <w:r w:rsidRPr="00E55A89">
        <w:t>hemistry 193</w:t>
      </w:r>
      <w:r>
        <w:t xml:space="preserve"> </w:t>
      </w:r>
      <w:r w:rsidRPr="00E55A89">
        <w:t>(1), 265-275.</w:t>
      </w:r>
    </w:p>
    <w:p w14:paraId="5B52CDBC" w14:textId="77777777" w:rsidR="00810B73" w:rsidRDefault="00810B73" w:rsidP="00810B73">
      <w:pPr>
        <w:pStyle w:val="CETReferencetext"/>
      </w:pPr>
      <w:r w:rsidRPr="00D3051A">
        <w:t xml:space="preserve">Klöckner W., Gacem R., Anderlei T., Raven N., </w:t>
      </w:r>
      <w:proofErr w:type="spellStart"/>
      <w:r w:rsidRPr="00D3051A">
        <w:t>Schillberg</w:t>
      </w:r>
      <w:proofErr w:type="spellEnd"/>
      <w:r w:rsidRPr="00D3051A">
        <w:t xml:space="preserve"> S., </w:t>
      </w:r>
      <w:proofErr w:type="spellStart"/>
      <w:r w:rsidRPr="00D3051A">
        <w:t>Lattermann</w:t>
      </w:r>
      <w:proofErr w:type="spellEnd"/>
      <w:r>
        <w:t xml:space="preserve"> </w:t>
      </w:r>
      <w:r w:rsidRPr="00D3051A">
        <w:t xml:space="preserve">C., </w:t>
      </w:r>
      <w:proofErr w:type="spellStart"/>
      <w:r w:rsidRPr="00D3051A">
        <w:t>Büchs</w:t>
      </w:r>
      <w:proofErr w:type="spellEnd"/>
      <w:r w:rsidRPr="00D3051A">
        <w:t>, J.</w:t>
      </w:r>
      <w:r>
        <w:t>,</w:t>
      </w:r>
      <w:r w:rsidRPr="00D3051A">
        <w:t xml:space="preserve"> </w:t>
      </w:r>
      <w:r>
        <w:t xml:space="preserve">2013, Correlation between mass transfer coefficient </w:t>
      </w:r>
      <w:proofErr w:type="spellStart"/>
      <w:r>
        <w:t>kLa</w:t>
      </w:r>
      <w:proofErr w:type="spellEnd"/>
      <w:r>
        <w:t xml:space="preserve"> and relevant operating parameters in cylindrical disposable shaken bioreactors on a bench-to-pilot scale, Journal of Biological Engineering, 7, 1–14.</w:t>
      </w:r>
    </w:p>
    <w:p w14:paraId="7F6DF19F" w14:textId="44AC59AF" w:rsidR="005F2A96" w:rsidRDefault="005F2A96" w:rsidP="00435A6E">
      <w:pPr>
        <w:pStyle w:val="CETReferencetext"/>
      </w:pPr>
      <w:r>
        <w:t>Sarigul</w:t>
      </w:r>
      <w:r w:rsidRPr="005F2A96">
        <w:t xml:space="preserve"> </w:t>
      </w:r>
      <w:r>
        <w:t>N., Korkmaz</w:t>
      </w:r>
      <w:r w:rsidRPr="005F2A96">
        <w:t xml:space="preserve"> </w:t>
      </w:r>
      <w:r>
        <w:t xml:space="preserve">F., </w:t>
      </w:r>
      <w:proofErr w:type="spellStart"/>
      <w:r>
        <w:t>Kurultak</w:t>
      </w:r>
      <w:proofErr w:type="spellEnd"/>
      <w:r w:rsidRPr="005F2A96">
        <w:t xml:space="preserve"> </w:t>
      </w:r>
      <w:r>
        <w:t>İ., 2019, A new artificial urine protocol to better imitate human urine, Scientific Reports 9 (1), 20159.</w:t>
      </w:r>
    </w:p>
    <w:p w14:paraId="788E6ED5" w14:textId="3A8F0C63" w:rsidR="005E6590" w:rsidRDefault="00E14D17" w:rsidP="00E14D17">
      <w:pPr>
        <w:pStyle w:val="CETReferencetext"/>
      </w:pPr>
      <w:proofErr w:type="spellStart"/>
      <w:r w:rsidRPr="00DB3691">
        <w:t>Zavřel</w:t>
      </w:r>
      <w:proofErr w:type="spellEnd"/>
      <w:r w:rsidRPr="00DB3691">
        <w:t xml:space="preserve"> T., </w:t>
      </w:r>
      <w:proofErr w:type="spellStart"/>
      <w:r w:rsidRPr="00DB3691">
        <w:t>Sinetova</w:t>
      </w:r>
      <w:proofErr w:type="spellEnd"/>
      <w:r w:rsidRPr="00DB3691">
        <w:t xml:space="preserve"> M.A., Červený J., 2015, </w:t>
      </w:r>
      <w:r>
        <w:t xml:space="preserve">Measurement of chlorophyll </w:t>
      </w:r>
      <w:proofErr w:type="gramStart"/>
      <w:r>
        <w:t>a and</w:t>
      </w:r>
      <w:proofErr w:type="gramEnd"/>
      <w:r>
        <w:t xml:space="preserve"> carotenoids concentration in cyanobacteria, Bio</w:t>
      </w:r>
      <w:r w:rsidR="00DB3691">
        <w:t>-</w:t>
      </w:r>
      <w:r>
        <w:t>Protoc</w:t>
      </w:r>
      <w:r w:rsidR="00DB3691">
        <w:t>ol</w:t>
      </w:r>
      <w:r>
        <w:t>, 5 (9)</w:t>
      </w:r>
      <w:r w:rsidR="00DB3691">
        <w:t xml:space="preserve">, </w:t>
      </w:r>
      <w:r>
        <w:t>e1467-e1467</w:t>
      </w:r>
      <w:r w:rsidR="00DB3691">
        <w:t>.</w:t>
      </w:r>
    </w:p>
    <w:sectPr w:rsidR="005E6590" w:rsidSect="00DC73EE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35394" w14:textId="77777777" w:rsidR="009B6E57" w:rsidRDefault="009B6E57" w:rsidP="004F5E36">
      <w:r>
        <w:separator/>
      </w:r>
    </w:p>
  </w:endnote>
  <w:endnote w:type="continuationSeparator" w:id="0">
    <w:p w14:paraId="0CBD9BC7" w14:textId="77777777" w:rsidR="009B6E57" w:rsidRDefault="009B6E5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1BDD7" w14:textId="77777777" w:rsidR="009B6E57" w:rsidRDefault="009B6E57" w:rsidP="004F5E36">
      <w:r>
        <w:separator/>
      </w:r>
    </w:p>
  </w:footnote>
  <w:footnote w:type="continuationSeparator" w:id="0">
    <w:p w14:paraId="6A941260" w14:textId="77777777" w:rsidR="009B6E57" w:rsidRDefault="009B6E57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66B64"/>
    <w:multiLevelType w:val="hybridMultilevel"/>
    <w:tmpl w:val="059214A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82765">
    <w:abstractNumId w:val="11"/>
  </w:num>
  <w:num w:numId="2" w16cid:durableId="1954094313">
    <w:abstractNumId w:val="8"/>
  </w:num>
  <w:num w:numId="3" w16cid:durableId="2001083081">
    <w:abstractNumId w:val="3"/>
  </w:num>
  <w:num w:numId="4" w16cid:durableId="665287687">
    <w:abstractNumId w:val="2"/>
  </w:num>
  <w:num w:numId="5" w16cid:durableId="1763211618">
    <w:abstractNumId w:val="1"/>
  </w:num>
  <w:num w:numId="6" w16cid:durableId="733351894">
    <w:abstractNumId w:val="0"/>
  </w:num>
  <w:num w:numId="7" w16cid:durableId="1265187038">
    <w:abstractNumId w:val="9"/>
  </w:num>
  <w:num w:numId="8" w16cid:durableId="458382672">
    <w:abstractNumId w:val="7"/>
  </w:num>
  <w:num w:numId="9" w16cid:durableId="652636510">
    <w:abstractNumId w:val="6"/>
  </w:num>
  <w:num w:numId="10" w16cid:durableId="1972591888">
    <w:abstractNumId w:val="5"/>
  </w:num>
  <w:num w:numId="11" w16cid:durableId="1179278139">
    <w:abstractNumId w:val="4"/>
  </w:num>
  <w:num w:numId="12" w16cid:durableId="1575509198">
    <w:abstractNumId w:val="18"/>
  </w:num>
  <w:num w:numId="13" w16cid:durableId="695733619">
    <w:abstractNumId w:val="13"/>
  </w:num>
  <w:num w:numId="14" w16cid:durableId="145903400">
    <w:abstractNumId w:val="19"/>
  </w:num>
  <w:num w:numId="15" w16cid:durableId="19162326">
    <w:abstractNumId w:val="21"/>
  </w:num>
  <w:num w:numId="16" w16cid:durableId="1977102699">
    <w:abstractNumId w:val="20"/>
  </w:num>
  <w:num w:numId="17" w16cid:durableId="860774865">
    <w:abstractNumId w:val="12"/>
  </w:num>
  <w:num w:numId="18" w16cid:durableId="313221457">
    <w:abstractNumId w:val="13"/>
    <w:lvlOverride w:ilvl="0">
      <w:startOverride w:val="1"/>
    </w:lvlOverride>
  </w:num>
  <w:num w:numId="19" w16cid:durableId="534971577">
    <w:abstractNumId w:val="17"/>
  </w:num>
  <w:num w:numId="20" w16cid:durableId="1150947773">
    <w:abstractNumId w:val="16"/>
  </w:num>
  <w:num w:numId="21" w16cid:durableId="124660497">
    <w:abstractNumId w:val="15"/>
  </w:num>
  <w:num w:numId="22" w16cid:durableId="2099861471">
    <w:abstractNumId w:val="14"/>
  </w:num>
  <w:num w:numId="23" w16cid:durableId="84351335">
    <w:abstractNumId w:val="10"/>
  </w:num>
  <w:num w:numId="24" w16cid:durableId="1225021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4551"/>
    <w:rsid w:val="000052FB"/>
    <w:rsid w:val="00005A19"/>
    <w:rsid w:val="000117CB"/>
    <w:rsid w:val="000118BD"/>
    <w:rsid w:val="0001371C"/>
    <w:rsid w:val="000246E4"/>
    <w:rsid w:val="0003148D"/>
    <w:rsid w:val="00031EEC"/>
    <w:rsid w:val="000321C7"/>
    <w:rsid w:val="00051566"/>
    <w:rsid w:val="000562A9"/>
    <w:rsid w:val="00062A9A"/>
    <w:rsid w:val="0006420D"/>
    <w:rsid w:val="00065058"/>
    <w:rsid w:val="0008430F"/>
    <w:rsid w:val="00086C39"/>
    <w:rsid w:val="000A03B2"/>
    <w:rsid w:val="000A2700"/>
    <w:rsid w:val="000A48A2"/>
    <w:rsid w:val="000D0268"/>
    <w:rsid w:val="000D34BE"/>
    <w:rsid w:val="000E0B3C"/>
    <w:rsid w:val="000E102F"/>
    <w:rsid w:val="000E36F1"/>
    <w:rsid w:val="000E3A73"/>
    <w:rsid w:val="000E414A"/>
    <w:rsid w:val="000E75FD"/>
    <w:rsid w:val="000F093C"/>
    <w:rsid w:val="000F236D"/>
    <w:rsid w:val="000F787B"/>
    <w:rsid w:val="00102BA0"/>
    <w:rsid w:val="00120635"/>
    <w:rsid w:val="0012091F"/>
    <w:rsid w:val="00126BC2"/>
    <w:rsid w:val="001308B6"/>
    <w:rsid w:val="0013121F"/>
    <w:rsid w:val="00131FE6"/>
    <w:rsid w:val="0013263F"/>
    <w:rsid w:val="001331DF"/>
    <w:rsid w:val="00134DE4"/>
    <w:rsid w:val="0014034D"/>
    <w:rsid w:val="00140FE3"/>
    <w:rsid w:val="00144D16"/>
    <w:rsid w:val="00150E59"/>
    <w:rsid w:val="00152DE3"/>
    <w:rsid w:val="00164CF9"/>
    <w:rsid w:val="0016668E"/>
    <w:rsid w:val="001667A6"/>
    <w:rsid w:val="0018171E"/>
    <w:rsid w:val="00183BC8"/>
    <w:rsid w:val="00184AD6"/>
    <w:rsid w:val="001873DD"/>
    <w:rsid w:val="001A13B1"/>
    <w:rsid w:val="001A4AF7"/>
    <w:rsid w:val="001A7302"/>
    <w:rsid w:val="001B0349"/>
    <w:rsid w:val="001B1E93"/>
    <w:rsid w:val="001B65C1"/>
    <w:rsid w:val="001C260F"/>
    <w:rsid w:val="001C5C3A"/>
    <w:rsid w:val="001C684B"/>
    <w:rsid w:val="001D0CFB"/>
    <w:rsid w:val="001D11CA"/>
    <w:rsid w:val="001D21AF"/>
    <w:rsid w:val="001D3D32"/>
    <w:rsid w:val="001D53FC"/>
    <w:rsid w:val="001E726A"/>
    <w:rsid w:val="001F42A5"/>
    <w:rsid w:val="001F735B"/>
    <w:rsid w:val="001F7B9D"/>
    <w:rsid w:val="00201C93"/>
    <w:rsid w:val="0021678D"/>
    <w:rsid w:val="002224B4"/>
    <w:rsid w:val="002447EF"/>
    <w:rsid w:val="00245A41"/>
    <w:rsid w:val="00251550"/>
    <w:rsid w:val="00254AD3"/>
    <w:rsid w:val="00255B06"/>
    <w:rsid w:val="00263B05"/>
    <w:rsid w:val="00270660"/>
    <w:rsid w:val="0027221A"/>
    <w:rsid w:val="00274C4A"/>
    <w:rsid w:val="00275B61"/>
    <w:rsid w:val="00280FAF"/>
    <w:rsid w:val="00282656"/>
    <w:rsid w:val="0028553D"/>
    <w:rsid w:val="00296B83"/>
    <w:rsid w:val="00297C92"/>
    <w:rsid w:val="002A0535"/>
    <w:rsid w:val="002A068A"/>
    <w:rsid w:val="002B2202"/>
    <w:rsid w:val="002B35C8"/>
    <w:rsid w:val="002B4015"/>
    <w:rsid w:val="002B78CE"/>
    <w:rsid w:val="002C1EF6"/>
    <w:rsid w:val="002C2FB6"/>
    <w:rsid w:val="002C5406"/>
    <w:rsid w:val="002E1388"/>
    <w:rsid w:val="002E5FA7"/>
    <w:rsid w:val="002E781E"/>
    <w:rsid w:val="002F3309"/>
    <w:rsid w:val="00300082"/>
    <w:rsid w:val="003008CE"/>
    <w:rsid w:val="003009B7"/>
    <w:rsid w:val="00300E56"/>
    <w:rsid w:val="0030152C"/>
    <w:rsid w:val="0030469C"/>
    <w:rsid w:val="00304CE8"/>
    <w:rsid w:val="00316C6B"/>
    <w:rsid w:val="00321CA6"/>
    <w:rsid w:val="00323763"/>
    <w:rsid w:val="00323C5F"/>
    <w:rsid w:val="00325D5B"/>
    <w:rsid w:val="0033245A"/>
    <w:rsid w:val="00334380"/>
    <w:rsid w:val="00334C09"/>
    <w:rsid w:val="00335262"/>
    <w:rsid w:val="00335B86"/>
    <w:rsid w:val="00354D91"/>
    <w:rsid w:val="00361EBB"/>
    <w:rsid w:val="003723D4"/>
    <w:rsid w:val="00381905"/>
    <w:rsid w:val="003828ED"/>
    <w:rsid w:val="00384CC8"/>
    <w:rsid w:val="003871FD"/>
    <w:rsid w:val="003A1E30"/>
    <w:rsid w:val="003A2829"/>
    <w:rsid w:val="003A7D1C"/>
    <w:rsid w:val="003B304B"/>
    <w:rsid w:val="003B3146"/>
    <w:rsid w:val="003B3A43"/>
    <w:rsid w:val="003B49CD"/>
    <w:rsid w:val="003D1E02"/>
    <w:rsid w:val="003F015E"/>
    <w:rsid w:val="00400414"/>
    <w:rsid w:val="00404C01"/>
    <w:rsid w:val="00406ED1"/>
    <w:rsid w:val="00411E35"/>
    <w:rsid w:val="0041446B"/>
    <w:rsid w:val="00427E7C"/>
    <w:rsid w:val="00433157"/>
    <w:rsid w:val="00435A6E"/>
    <w:rsid w:val="0044071E"/>
    <w:rsid w:val="0044329C"/>
    <w:rsid w:val="00446FDE"/>
    <w:rsid w:val="00451CAA"/>
    <w:rsid w:val="00453E24"/>
    <w:rsid w:val="00457456"/>
    <w:rsid w:val="004577FE"/>
    <w:rsid w:val="00457B9C"/>
    <w:rsid w:val="0046164A"/>
    <w:rsid w:val="004628D2"/>
    <w:rsid w:val="00462DCD"/>
    <w:rsid w:val="004648AD"/>
    <w:rsid w:val="004703A9"/>
    <w:rsid w:val="004760DE"/>
    <w:rsid w:val="004763D7"/>
    <w:rsid w:val="004818C2"/>
    <w:rsid w:val="0048192E"/>
    <w:rsid w:val="004A004E"/>
    <w:rsid w:val="004A24CF"/>
    <w:rsid w:val="004B5266"/>
    <w:rsid w:val="004C3D1D"/>
    <w:rsid w:val="004C3D84"/>
    <w:rsid w:val="004C7913"/>
    <w:rsid w:val="004D1FBC"/>
    <w:rsid w:val="004E4DD6"/>
    <w:rsid w:val="004F5E36"/>
    <w:rsid w:val="00507B47"/>
    <w:rsid w:val="00507BEF"/>
    <w:rsid w:val="00507CC9"/>
    <w:rsid w:val="005119A5"/>
    <w:rsid w:val="00522E81"/>
    <w:rsid w:val="005278B7"/>
    <w:rsid w:val="00532016"/>
    <w:rsid w:val="005346C8"/>
    <w:rsid w:val="00543E7D"/>
    <w:rsid w:val="00547A68"/>
    <w:rsid w:val="00551DCD"/>
    <w:rsid w:val="005531C9"/>
    <w:rsid w:val="00554879"/>
    <w:rsid w:val="0056568A"/>
    <w:rsid w:val="00570C43"/>
    <w:rsid w:val="00582E11"/>
    <w:rsid w:val="00592274"/>
    <w:rsid w:val="005A65B1"/>
    <w:rsid w:val="005B2110"/>
    <w:rsid w:val="005B350B"/>
    <w:rsid w:val="005B61E6"/>
    <w:rsid w:val="005C0794"/>
    <w:rsid w:val="005C77E1"/>
    <w:rsid w:val="005D2A9C"/>
    <w:rsid w:val="005D5390"/>
    <w:rsid w:val="005D5BBE"/>
    <w:rsid w:val="005D668A"/>
    <w:rsid w:val="005D6A2F"/>
    <w:rsid w:val="005E0592"/>
    <w:rsid w:val="005E1A82"/>
    <w:rsid w:val="005E6590"/>
    <w:rsid w:val="005E794C"/>
    <w:rsid w:val="005F0A28"/>
    <w:rsid w:val="005F0E5E"/>
    <w:rsid w:val="005F0F86"/>
    <w:rsid w:val="005F2A96"/>
    <w:rsid w:val="00600535"/>
    <w:rsid w:val="00606EC7"/>
    <w:rsid w:val="00610CD6"/>
    <w:rsid w:val="00616B37"/>
    <w:rsid w:val="00620DEE"/>
    <w:rsid w:val="00621F92"/>
    <w:rsid w:val="0062280A"/>
    <w:rsid w:val="006231E1"/>
    <w:rsid w:val="00625639"/>
    <w:rsid w:val="00626342"/>
    <w:rsid w:val="00631B33"/>
    <w:rsid w:val="0064184D"/>
    <w:rsid w:val="006422CC"/>
    <w:rsid w:val="00651D18"/>
    <w:rsid w:val="00660E3E"/>
    <w:rsid w:val="00662E74"/>
    <w:rsid w:val="00680C23"/>
    <w:rsid w:val="00683E23"/>
    <w:rsid w:val="00693766"/>
    <w:rsid w:val="006A3281"/>
    <w:rsid w:val="006A40EE"/>
    <w:rsid w:val="006A6DE5"/>
    <w:rsid w:val="006B1AD5"/>
    <w:rsid w:val="006B4241"/>
    <w:rsid w:val="006B4888"/>
    <w:rsid w:val="006C2E45"/>
    <w:rsid w:val="006C359C"/>
    <w:rsid w:val="006C5579"/>
    <w:rsid w:val="006D6E8B"/>
    <w:rsid w:val="006D7209"/>
    <w:rsid w:val="006E316E"/>
    <w:rsid w:val="006E737D"/>
    <w:rsid w:val="006F5BBE"/>
    <w:rsid w:val="007015B7"/>
    <w:rsid w:val="00707DD1"/>
    <w:rsid w:val="00713973"/>
    <w:rsid w:val="00720A24"/>
    <w:rsid w:val="00732386"/>
    <w:rsid w:val="0073252E"/>
    <w:rsid w:val="00734953"/>
    <w:rsid w:val="0073514D"/>
    <w:rsid w:val="007447F3"/>
    <w:rsid w:val="0075499F"/>
    <w:rsid w:val="007661C8"/>
    <w:rsid w:val="0077098D"/>
    <w:rsid w:val="00782467"/>
    <w:rsid w:val="00785BF9"/>
    <w:rsid w:val="00786506"/>
    <w:rsid w:val="007931FA"/>
    <w:rsid w:val="007A067A"/>
    <w:rsid w:val="007A4861"/>
    <w:rsid w:val="007A7BBA"/>
    <w:rsid w:val="007B0C50"/>
    <w:rsid w:val="007B48F9"/>
    <w:rsid w:val="007C1A43"/>
    <w:rsid w:val="007C73F5"/>
    <w:rsid w:val="007D0951"/>
    <w:rsid w:val="007D0A56"/>
    <w:rsid w:val="007D610D"/>
    <w:rsid w:val="007D6F41"/>
    <w:rsid w:val="007F1831"/>
    <w:rsid w:val="0080013E"/>
    <w:rsid w:val="00801759"/>
    <w:rsid w:val="00803ED0"/>
    <w:rsid w:val="00810B73"/>
    <w:rsid w:val="00813288"/>
    <w:rsid w:val="008168FC"/>
    <w:rsid w:val="008253D7"/>
    <w:rsid w:val="00830996"/>
    <w:rsid w:val="008345F1"/>
    <w:rsid w:val="00842196"/>
    <w:rsid w:val="00865B07"/>
    <w:rsid w:val="008667EA"/>
    <w:rsid w:val="0087637F"/>
    <w:rsid w:val="00892AD5"/>
    <w:rsid w:val="008A1512"/>
    <w:rsid w:val="008B1FFF"/>
    <w:rsid w:val="008D32B9"/>
    <w:rsid w:val="008D433B"/>
    <w:rsid w:val="008D4A16"/>
    <w:rsid w:val="008E40BD"/>
    <w:rsid w:val="008E5401"/>
    <w:rsid w:val="008E566E"/>
    <w:rsid w:val="0090161A"/>
    <w:rsid w:val="00901EB6"/>
    <w:rsid w:val="009039B9"/>
    <w:rsid w:val="009041F8"/>
    <w:rsid w:val="00904C62"/>
    <w:rsid w:val="00922BA8"/>
    <w:rsid w:val="00924DAC"/>
    <w:rsid w:val="00927058"/>
    <w:rsid w:val="00931282"/>
    <w:rsid w:val="00933434"/>
    <w:rsid w:val="009340FB"/>
    <w:rsid w:val="00942750"/>
    <w:rsid w:val="009450CE"/>
    <w:rsid w:val="009459BB"/>
    <w:rsid w:val="009463E7"/>
    <w:rsid w:val="00947179"/>
    <w:rsid w:val="0095164B"/>
    <w:rsid w:val="00954090"/>
    <w:rsid w:val="009573E7"/>
    <w:rsid w:val="00962DB7"/>
    <w:rsid w:val="00963E05"/>
    <w:rsid w:val="00964A45"/>
    <w:rsid w:val="00967843"/>
    <w:rsid w:val="00967D54"/>
    <w:rsid w:val="00971028"/>
    <w:rsid w:val="00983415"/>
    <w:rsid w:val="00993B84"/>
    <w:rsid w:val="00994C6A"/>
    <w:rsid w:val="00996483"/>
    <w:rsid w:val="00996F5A"/>
    <w:rsid w:val="009A0C30"/>
    <w:rsid w:val="009B041A"/>
    <w:rsid w:val="009B20DD"/>
    <w:rsid w:val="009B6E57"/>
    <w:rsid w:val="009C37C3"/>
    <w:rsid w:val="009C7C86"/>
    <w:rsid w:val="009D2FF7"/>
    <w:rsid w:val="009D6004"/>
    <w:rsid w:val="009E0C18"/>
    <w:rsid w:val="009E7884"/>
    <w:rsid w:val="009E788A"/>
    <w:rsid w:val="009F0E08"/>
    <w:rsid w:val="00A079AE"/>
    <w:rsid w:val="00A1763D"/>
    <w:rsid w:val="00A17CEC"/>
    <w:rsid w:val="00A27EF0"/>
    <w:rsid w:val="00A3152B"/>
    <w:rsid w:val="00A42361"/>
    <w:rsid w:val="00A460DE"/>
    <w:rsid w:val="00A50B20"/>
    <w:rsid w:val="00A51390"/>
    <w:rsid w:val="00A60D13"/>
    <w:rsid w:val="00A65F8A"/>
    <w:rsid w:val="00A7223D"/>
    <w:rsid w:val="00A72745"/>
    <w:rsid w:val="00A7584B"/>
    <w:rsid w:val="00A76EFC"/>
    <w:rsid w:val="00A85054"/>
    <w:rsid w:val="00A87D50"/>
    <w:rsid w:val="00A91010"/>
    <w:rsid w:val="00A97F29"/>
    <w:rsid w:val="00AA051F"/>
    <w:rsid w:val="00AA702E"/>
    <w:rsid w:val="00AA7D26"/>
    <w:rsid w:val="00AB0964"/>
    <w:rsid w:val="00AB5011"/>
    <w:rsid w:val="00AC7368"/>
    <w:rsid w:val="00AD16B9"/>
    <w:rsid w:val="00AE377D"/>
    <w:rsid w:val="00AF0EBA"/>
    <w:rsid w:val="00AF2463"/>
    <w:rsid w:val="00AF47ED"/>
    <w:rsid w:val="00AF4DB3"/>
    <w:rsid w:val="00B02C8A"/>
    <w:rsid w:val="00B15889"/>
    <w:rsid w:val="00B17FBD"/>
    <w:rsid w:val="00B30B94"/>
    <w:rsid w:val="00B315A6"/>
    <w:rsid w:val="00B31813"/>
    <w:rsid w:val="00B33365"/>
    <w:rsid w:val="00B34177"/>
    <w:rsid w:val="00B54CE5"/>
    <w:rsid w:val="00B57B36"/>
    <w:rsid w:val="00B57E6F"/>
    <w:rsid w:val="00B6090B"/>
    <w:rsid w:val="00B61713"/>
    <w:rsid w:val="00B8686D"/>
    <w:rsid w:val="00B93F69"/>
    <w:rsid w:val="00BA74AE"/>
    <w:rsid w:val="00BB1AD3"/>
    <w:rsid w:val="00BB1DDC"/>
    <w:rsid w:val="00BC30C9"/>
    <w:rsid w:val="00BD077D"/>
    <w:rsid w:val="00BE3E58"/>
    <w:rsid w:val="00BE5580"/>
    <w:rsid w:val="00BF13CE"/>
    <w:rsid w:val="00C01616"/>
    <w:rsid w:val="00C0162B"/>
    <w:rsid w:val="00C068ED"/>
    <w:rsid w:val="00C16747"/>
    <w:rsid w:val="00C20117"/>
    <w:rsid w:val="00C227AA"/>
    <w:rsid w:val="00C22E0C"/>
    <w:rsid w:val="00C345B1"/>
    <w:rsid w:val="00C35901"/>
    <w:rsid w:val="00C40142"/>
    <w:rsid w:val="00C4296D"/>
    <w:rsid w:val="00C44FF2"/>
    <w:rsid w:val="00C5015C"/>
    <w:rsid w:val="00C52C3C"/>
    <w:rsid w:val="00C57182"/>
    <w:rsid w:val="00C57863"/>
    <w:rsid w:val="00C63D00"/>
    <w:rsid w:val="00C640AF"/>
    <w:rsid w:val="00C655FD"/>
    <w:rsid w:val="00C75407"/>
    <w:rsid w:val="00C75E88"/>
    <w:rsid w:val="00C841C6"/>
    <w:rsid w:val="00C870A8"/>
    <w:rsid w:val="00C930AD"/>
    <w:rsid w:val="00C94434"/>
    <w:rsid w:val="00CA0D75"/>
    <w:rsid w:val="00CA1C95"/>
    <w:rsid w:val="00CA5A9C"/>
    <w:rsid w:val="00CB1A31"/>
    <w:rsid w:val="00CC4C20"/>
    <w:rsid w:val="00CD259A"/>
    <w:rsid w:val="00CD3517"/>
    <w:rsid w:val="00CD5FE2"/>
    <w:rsid w:val="00CD6C47"/>
    <w:rsid w:val="00CE7C68"/>
    <w:rsid w:val="00CF0BE2"/>
    <w:rsid w:val="00D02B4C"/>
    <w:rsid w:val="00D040C4"/>
    <w:rsid w:val="00D20AD1"/>
    <w:rsid w:val="00D2582C"/>
    <w:rsid w:val="00D46B7E"/>
    <w:rsid w:val="00D52704"/>
    <w:rsid w:val="00D541D4"/>
    <w:rsid w:val="00D561AC"/>
    <w:rsid w:val="00D57C84"/>
    <w:rsid w:val="00D6057D"/>
    <w:rsid w:val="00D71640"/>
    <w:rsid w:val="00D7418A"/>
    <w:rsid w:val="00D76AE6"/>
    <w:rsid w:val="00D810AA"/>
    <w:rsid w:val="00D836C5"/>
    <w:rsid w:val="00D84576"/>
    <w:rsid w:val="00D84927"/>
    <w:rsid w:val="00D87BFC"/>
    <w:rsid w:val="00D95B38"/>
    <w:rsid w:val="00D9742C"/>
    <w:rsid w:val="00DA1399"/>
    <w:rsid w:val="00DA24C6"/>
    <w:rsid w:val="00DA3B8C"/>
    <w:rsid w:val="00DA4D7B"/>
    <w:rsid w:val="00DA50C6"/>
    <w:rsid w:val="00DB3691"/>
    <w:rsid w:val="00DC2840"/>
    <w:rsid w:val="00DC73EE"/>
    <w:rsid w:val="00DD271C"/>
    <w:rsid w:val="00DD375A"/>
    <w:rsid w:val="00DD5270"/>
    <w:rsid w:val="00DE264A"/>
    <w:rsid w:val="00DF0AAE"/>
    <w:rsid w:val="00DF5072"/>
    <w:rsid w:val="00E02D18"/>
    <w:rsid w:val="00E041E7"/>
    <w:rsid w:val="00E04F63"/>
    <w:rsid w:val="00E14D17"/>
    <w:rsid w:val="00E160E3"/>
    <w:rsid w:val="00E237F3"/>
    <w:rsid w:val="00E238A7"/>
    <w:rsid w:val="00E23CA1"/>
    <w:rsid w:val="00E266F5"/>
    <w:rsid w:val="00E409A8"/>
    <w:rsid w:val="00E50C12"/>
    <w:rsid w:val="00E55A89"/>
    <w:rsid w:val="00E65B91"/>
    <w:rsid w:val="00E7209D"/>
    <w:rsid w:val="00E72EAD"/>
    <w:rsid w:val="00E77223"/>
    <w:rsid w:val="00E8528B"/>
    <w:rsid w:val="00E85B94"/>
    <w:rsid w:val="00E978D0"/>
    <w:rsid w:val="00EA4613"/>
    <w:rsid w:val="00EA7F91"/>
    <w:rsid w:val="00EB1523"/>
    <w:rsid w:val="00EC0E49"/>
    <w:rsid w:val="00EC101F"/>
    <w:rsid w:val="00EC1D9F"/>
    <w:rsid w:val="00EC23D6"/>
    <w:rsid w:val="00EE0131"/>
    <w:rsid w:val="00EE17B0"/>
    <w:rsid w:val="00EF06D9"/>
    <w:rsid w:val="00EF562B"/>
    <w:rsid w:val="00EF7D78"/>
    <w:rsid w:val="00F134C4"/>
    <w:rsid w:val="00F3049E"/>
    <w:rsid w:val="00F30C64"/>
    <w:rsid w:val="00F32BA2"/>
    <w:rsid w:val="00F32CDB"/>
    <w:rsid w:val="00F33ECE"/>
    <w:rsid w:val="00F404AB"/>
    <w:rsid w:val="00F41EE4"/>
    <w:rsid w:val="00F565FE"/>
    <w:rsid w:val="00F63A70"/>
    <w:rsid w:val="00F63D8C"/>
    <w:rsid w:val="00F7534E"/>
    <w:rsid w:val="00F769D2"/>
    <w:rsid w:val="00F87CB3"/>
    <w:rsid w:val="00F93EDF"/>
    <w:rsid w:val="00FA1802"/>
    <w:rsid w:val="00FA21D0"/>
    <w:rsid w:val="00FA5F5F"/>
    <w:rsid w:val="00FB730C"/>
    <w:rsid w:val="00FC2695"/>
    <w:rsid w:val="00FC3E03"/>
    <w:rsid w:val="00FC3FC1"/>
    <w:rsid w:val="00FD7F5D"/>
    <w:rsid w:val="00FE76B7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2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customStyle="1" w:styleId="gmail-apple-converted-space">
    <w:name w:val="gmail-apple-converted-space"/>
    <w:basedOn w:val="Carpredefinitoparagrafo"/>
    <w:rsid w:val="00005A19"/>
  </w:style>
  <w:style w:type="character" w:styleId="Menzionenonrisolta">
    <w:name w:val="Unresolved Mention"/>
    <w:basedOn w:val="Carpredefinitoparagrafo"/>
    <w:uiPriority w:val="99"/>
    <w:semiHidden/>
    <w:unhideWhenUsed/>
    <w:rsid w:val="002C540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5406"/>
    <w:rPr>
      <w:color w:val="800080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0A2700"/>
    <w:rPr>
      <w:color w:val="666666"/>
    </w:rPr>
  </w:style>
  <w:style w:type="table" w:styleId="Grigliatabellachiara">
    <w:name w:val="Grid Table Light"/>
    <w:basedOn w:val="Tabellanormale"/>
    <w:uiPriority w:val="40"/>
    <w:rsid w:val="0027066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21" Type="http://schemas.openxmlformats.org/officeDocument/2006/relationships/image" Target="media/image8.wmf"/><Relationship Id="rId34" Type="http://schemas.openxmlformats.org/officeDocument/2006/relationships/image" Target="media/image17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image" Target="media/image1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fontTable" Target="fontTable.xml"/><Relationship Id="rId10" Type="http://schemas.openxmlformats.org/officeDocument/2006/relationships/hyperlink" Target="mailto:alessandro.concas@unica.it" TargetMode="External"/><Relationship Id="rId19" Type="http://schemas.openxmlformats.org/officeDocument/2006/relationships/image" Target="media/image7.wmf"/><Relationship Id="rId31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image" Target="media/image13.emf"/><Relationship Id="rId35" Type="http://schemas.openxmlformats.org/officeDocument/2006/relationships/image" Target="media/image18.emf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2778</Words>
  <Characters>15837</Characters>
  <Application>Microsoft Office Word</Application>
  <DocSecurity>0</DocSecurity>
  <Lines>131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Alessandro Concas</cp:lastModifiedBy>
  <cp:revision>12</cp:revision>
  <cp:lastPrinted>2015-05-12T18:31:00Z</cp:lastPrinted>
  <dcterms:created xsi:type="dcterms:W3CDTF">2024-12-29T09:29:00Z</dcterms:created>
  <dcterms:modified xsi:type="dcterms:W3CDTF">2025-03-05T17:43:00Z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  <property fmtid="{D5CDD505-2E9C-101B-9397-08002B2CF9AE}" pid="4" name="Mendeley Document_1">
    <vt:lpwstr>True</vt:lpwstr>
  </property>
  <property fmtid="{D5CDD505-2E9C-101B-9397-08002B2CF9AE}" pid="5" name="Mendeley Citation Style_1">
    <vt:lpwstr>http://www.zotero.org/styles/acs-sustainable-chemistry-and-engineering</vt:lpwstr>
  </property>
  <property fmtid="{D5CDD505-2E9C-101B-9397-08002B2CF9AE}" pid="6" name="Mendeley Unique User Id_1">
    <vt:lpwstr>77260e60-e041-3686-be8c-c763799c9686</vt:lpwstr>
  </property>
  <property fmtid="{D5CDD505-2E9C-101B-9397-08002B2CF9AE}" pid="7" name="Mendeley Recent Style Id 0_1">
    <vt:lpwstr>http://www.zotero.org/styles/acs-sustainable-chemistry-and-engineering</vt:lpwstr>
  </property>
  <property fmtid="{D5CDD505-2E9C-101B-9397-08002B2CF9AE}" pid="8" name="Mendeley Recent Style Name 0_1">
    <vt:lpwstr>ACS Sustainable Chemistry &amp; Engineering</vt:lpwstr>
  </property>
  <property fmtid="{D5CDD505-2E9C-101B-9397-08002B2CF9AE}" pid="9" name="Mendeley Recent Style Id 1_1">
    <vt:lpwstr>http://www.zotero.org/styles/american-political-science-association</vt:lpwstr>
  </property>
  <property fmtid="{D5CDD505-2E9C-101B-9397-08002B2CF9AE}" pid="10" name="Mendeley Recent Style Name 1_1">
    <vt:lpwstr>American Political Science Association</vt:lpwstr>
  </property>
  <property fmtid="{D5CDD505-2E9C-101B-9397-08002B2CF9AE}" pid="11" name="Mendeley Recent Style Id 2_1">
    <vt:lpwstr>http://www.zotero.org/styles/american-sociological-association</vt:lpwstr>
  </property>
  <property fmtid="{D5CDD505-2E9C-101B-9397-08002B2CF9AE}" pid="12" name="Mendeley Recent Style Name 2_1">
    <vt:lpwstr>American Sociological Association 6th/7th edition</vt:lpwstr>
  </property>
  <property fmtid="{D5CDD505-2E9C-101B-9397-08002B2CF9AE}" pid="13" name="Mendeley Recent Style Id 3_1">
    <vt:lpwstr>http://www.zotero.org/styles/applied-sciences</vt:lpwstr>
  </property>
  <property fmtid="{D5CDD505-2E9C-101B-9397-08002B2CF9AE}" pid="14" name="Mendeley Recent Style Name 3_1">
    <vt:lpwstr>Applied Sciences</vt:lpwstr>
  </property>
  <property fmtid="{D5CDD505-2E9C-101B-9397-08002B2CF9AE}" pid="15" name="Mendeley Recent Style Id 4_1">
    <vt:lpwstr>http://www.zotero.org/styles/chemical-engineering-journal</vt:lpwstr>
  </property>
  <property fmtid="{D5CDD505-2E9C-101B-9397-08002B2CF9AE}" pid="16" name="Mendeley Recent Style Name 4_1">
    <vt:lpwstr>Chemical Engineering Journal</vt:lpwstr>
  </property>
  <property fmtid="{D5CDD505-2E9C-101B-9397-08002B2CF9AE}" pid="17" name="Mendeley Recent Style Id 5_1">
    <vt:lpwstr>http://www.zotero.org/styles/environmental-science-and-pollution-research</vt:lpwstr>
  </property>
  <property fmtid="{D5CDD505-2E9C-101B-9397-08002B2CF9AE}" pid="18" name="Mendeley Recent Style Name 5_1">
    <vt:lpwstr>Environmental Science and Pollution Research</vt:lpwstr>
  </property>
  <property fmtid="{D5CDD505-2E9C-101B-9397-08002B2CF9AE}" pid="19" name="Mendeley Recent Style Id 6_1">
    <vt:lpwstr>http://www.zotero.org/styles/journal-of-hazardous-materials</vt:lpwstr>
  </property>
  <property fmtid="{D5CDD505-2E9C-101B-9397-08002B2CF9AE}" pid="20" name="Mendeley Recent Style Name 6_1">
    <vt:lpwstr>Journal of Hazardous Materials</vt:lpwstr>
  </property>
  <property fmtid="{D5CDD505-2E9C-101B-9397-08002B2CF9AE}" pid="21" name="Mendeley Recent Style Id 7_1">
    <vt:lpwstr>http://www.zotero.org/styles/journal-of-industrial-and-engineering-chemistry</vt:lpwstr>
  </property>
  <property fmtid="{D5CDD505-2E9C-101B-9397-08002B2CF9AE}" pid="22" name="Mendeley Recent Style Name 7_1">
    <vt:lpwstr>Journal of Industrial and Engineering Chemistry</vt:lpwstr>
  </property>
  <property fmtid="{D5CDD505-2E9C-101B-9397-08002B2CF9AE}" pid="23" name="Mendeley Recent Style Id 8_1">
    <vt:lpwstr>http://www.zotero.org/styles/journal-of-water-process-engineering</vt:lpwstr>
  </property>
  <property fmtid="{D5CDD505-2E9C-101B-9397-08002B2CF9AE}" pid="24" name="Mendeley Recent Style Name 8_1">
    <vt:lpwstr>Journal of Water Process Engineering</vt:lpwstr>
  </property>
  <property fmtid="{D5CDD505-2E9C-101B-9397-08002B2CF9AE}" pid="25" name="Mendeley Recent Style Id 9_1">
    <vt:lpwstr>http://www.zotero.org/styles/nature</vt:lpwstr>
  </property>
  <property fmtid="{D5CDD505-2E9C-101B-9397-08002B2CF9AE}" pid="26" name="Mendeley Recent Style Name 9_1">
    <vt:lpwstr>Nature</vt:lpwstr>
  </property>
  <property fmtid="{D5CDD505-2E9C-101B-9397-08002B2CF9AE}" pid="27" name="MTWinEqns">
    <vt:bool>true</vt:bool>
  </property>
</Properties>
</file>