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005DDC24" w:rsidR="00E978D0" w:rsidRPr="00B57B36" w:rsidRDefault="00361724" w:rsidP="00E978D0">
      <w:pPr>
        <w:pStyle w:val="CETTitle"/>
      </w:pPr>
      <w:r w:rsidRPr="00361724">
        <w:t>Assessment of the Techno-Economic Viability to Produce Biohydrogen from Biowaste</w:t>
      </w:r>
    </w:p>
    <w:p w14:paraId="0488FED2" w14:textId="7FD0CA29" w:rsidR="00B57E6F" w:rsidRPr="00361724" w:rsidRDefault="00361724" w:rsidP="00B57E6F">
      <w:pPr>
        <w:pStyle w:val="CETAuthors"/>
        <w:rPr>
          <w:lang w:val="it-IT"/>
        </w:rPr>
      </w:pPr>
      <w:r w:rsidRPr="00361724">
        <w:rPr>
          <w:lang w:val="it-IT"/>
        </w:rPr>
        <w:t>Max J.A. Romero* and Elisabetta Arato</w:t>
      </w:r>
    </w:p>
    <w:p w14:paraId="77D23B83" w14:textId="7A4B7147" w:rsidR="00361724" w:rsidRDefault="00361724" w:rsidP="00361724">
      <w:pPr>
        <w:pStyle w:val="CETAddress"/>
      </w:pPr>
      <w:r>
        <w:t>DICCA, Department of Civil, Chemical and Environmental Engineering, University of Genoa. Via Opera Pia, 15, 16145</w:t>
      </w:r>
    </w:p>
    <w:p w14:paraId="6B2D21B3" w14:textId="2EA2D6A8" w:rsidR="00B57E6F" w:rsidRPr="00B57B36" w:rsidRDefault="00361724" w:rsidP="00361724">
      <w:pPr>
        <w:pStyle w:val="CETAddress"/>
      </w:pPr>
      <w:r>
        <w:t>Genoa, Italy</w:t>
      </w:r>
      <w:r w:rsidR="00B57E6F" w:rsidRPr="00B57B36">
        <w:t xml:space="preserve"> </w:t>
      </w:r>
    </w:p>
    <w:p w14:paraId="73F1267A" w14:textId="38C6F494" w:rsidR="00B57E6F" w:rsidRPr="00B57B36" w:rsidRDefault="00361724" w:rsidP="00B57E6F">
      <w:pPr>
        <w:pStyle w:val="CETemail"/>
      </w:pPr>
      <w:r>
        <w:t>max.romerorivas</w:t>
      </w:r>
      <w:r w:rsidR="00B57E6F" w:rsidRPr="00B57B36">
        <w:t>@</w:t>
      </w:r>
      <w:r>
        <w:t>unige.it</w:t>
      </w:r>
    </w:p>
    <w:p w14:paraId="6893AF25" w14:textId="142CF656" w:rsidR="00600535" w:rsidRPr="00043F87" w:rsidRDefault="00361724" w:rsidP="00600535">
      <w:pPr>
        <w:pStyle w:val="CETBodytext"/>
        <w:rPr>
          <w:lang w:val="en"/>
        </w:rPr>
      </w:pPr>
      <w:r w:rsidRPr="00043F87">
        <w:rPr>
          <w:lang w:val="en"/>
        </w:rPr>
        <w:t>The adoption of effective strategies to reduce the production costs of renewable H</w:t>
      </w:r>
      <w:r w:rsidRPr="00043F87">
        <w:rPr>
          <w:vertAlign w:val="subscript"/>
          <w:lang w:val="en"/>
        </w:rPr>
        <w:t>2</w:t>
      </w:r>
      <w:r w:rsidRPr="00043F87">
        <w:rPr>
          <w:lang w:val="en"/>
        </w:rPr>
        <w:t xml:space="preserve"> and increase its competitive position compared to fossil-based H</w:t>
      </w:r>
      <w:r w:rsidRPr="00043F87">
        <w:rPr>
          <w:vertAlign w:val="subscript"/>
          <w:lang w:val="en"/>
        </w:rPr>
        <w:t>2</w:t>
      </w:r>
      <w:r w:rsidRPr="00043F87">
        <w:rPr>
          <w:lang w:val="en"/>
        </w:rPr>
        <w:t xml:space="preserve"> </w:t>
      </w:r>
      <w:r w:rsidRPr="00043F87">
        <w:rPr>
          <w:lang w:val="en-GB"/>
        </w:rPr>
        <w:t xml:space="preserve">in </w:t>
      </w:r>
      <w:r w:rsidRPr="00043F87">
        <w:rPr>
          <w:rStyle w:val="rynqvb"/>
          <w:lang w:val="en"/>
        </w:rPr>
        <w:t xml:space="preserve">hard-to-abate sectors </w:t>
      </w:r>
      <w:r w:rsidRPr="00043F87">
        <w:rPr>
          <w:lang w:val="en"/>
        </w:rPr>
        <w:t>is a priority of the European Union. One of these strategies</w:t>
      </w:r>
      <w:r w:rsidRPr="00043F87">
        <w:rPr>
          <w:lang w:val="en-GB"/>
        </w:rPr>
        <w:t xml:space="preserve"> can be to </w:t>
      </w:r>
      <w:r w:rsidRPr="00043F87">
        <w:rPr>
          <w:rStyle w:val="rynqvb"/>
          <w:lang w:val="en-GB"/>
        </w:rPr>
        <w:t>diversify the use of renewable electricity by using other renewable resources such as biomass to produce biohydrogen</w:t>
      </w:r>
      <w:r w:rsidRPr="00043F87">
        <w:rPr>
          <w:lang w:val="en"/>
        </w:rPr>
        <w:t xml:space="preserve">.  </w:t>
      </w:r>
      <w:bookmarkStart w:id="1" w:name="_Hlk188613641"/>
      <w:r w:rsidRPr="00043F87">
        <w:rPr>
          <w:lang w:val="en"/>
        </w:rPr>
        <w:t>The aim of this paper was to assess the technical and economic performance of H</w:t>
      </w:r>
      <w:r w:rsidRPr="00043F87">
        <w:rPr>
          <w:vertAlign w:val="subscript"/>
          <w:lang w:val="en"/>
        </w:rPr>
        <w:t>2</w:t>
      </w:r>
      <w:r w:rsidRPr="00043F87">
        <w:rPr>
          <w:lang w:val="en"/>
        </w:rPr>
        <w:t xml:space="preserve"> production by steam reforming (SR) of natural gas as well as three biohydrogen production systems using the levelized cost of H</w:t>
      </w:r>
      <w:r w:rsidRPr="00043F87">
        <w:rPr>
          <w:vertAlign w:val="subscript"/>
          <w:lang w:val="en"/>
        </w:rPr>
        <w:t>2</w:t>
      </w:r>
      <w:r w:rsidRPr="00043F87">
        <w:rPr>
          <w:lang w:val="en"/>
        </w:rPr>
        <w:t xml:space="preserve"> (LCOH) as a methodology. </w:t>
      </w:r>
      <w:bookmarkEnd w:id="1"/>
      <w:r w:rsidRPr="00043F87">
        <w:rPr>
          <w:bCs/>
        </w:rPr>
        <w:t>Based on a 2,700 Kg H</w:t>
      </w:r>
      <w:r w:rsidRPr="00043F87">
        <w:rPr>
          <w:bCs/>
          <w:vertAlign w:val="subscript"/>
        </w:rPr>
        <w:t>2</w:t>
      </w:r>
      <w:r w:rsidRPr="00043F87">
        <w:rPr>
          <w:bCs/>
        </w:rPr>
        <w:t xml:space="preserve">/h facility, </w:t>
      </w:r>
      <w:r w:rsidRPr="00043F87">
        <w:rPr>
          <w:lang w:val="en"/>
        </w:rPr>
        <w:t>LCOH results showed that bio-oil reforming (</w:t>
      </w:r>
      <w:r w:rsidR="009F7407" w:rsidRPr="00043F87">
        <w:rPr>
          <w:rFonts w:cs="Arial"/>
          <w:bCs/>
        </w:rPr>
        <w:t>€</w:t>
      </w:r>
      <w:r w:rsidR="009F7407" w:rsidRPr="00043F87">
        <w:rPr>
          <w:bCs/>
        </w:rPr>
        <w:t xml:space="preserve"> </w:t>
      </w:r>
      <w:r w:rsidRPr="00043F87">
        <w:rPr>
          <w:bCs/>
        </w:rPr>
        <w:t xml:space="preserve">3.56/kg) </w:t>
      </w:r>
      <w:r w:rsidRPr="00043F87">
        <w:rPr>
          <w:lang w:val="en"/>
        </w:rPr>
        <w:t xml:space="preserve">is the least </w:t>
      </w:r>
      <w:r w:rsidRPr="006E1064">
        <w:rPr>
          <w:lang w:val="en"/>
        </w:rPr>
        <w:t>expensive way to produce biohydrogen compared to biomass gasification (</w:t>
      </w:r>
      <w:r w:rsidR="009F7407" w:rsidRPr="006E1064">
        <w:rPr>
          <w:rFonts w:cs="Arial"/>
          <w:bCs/>
        </w:rPr>
        <w:t>€</w:t>
      </w:r>
      <w:r w:rsidRPr="006E1064">
        <w:rPr>
          <w:bCs/>
        </w:rPr>
        <w:t xml:space="preserve"> 4.08/kg) </w:t>
      </w:r>
      <w:r w:rsidRPr="006E1064">
        <w:rPr>
          <w:lang w:val="en"/>
        </w:rPr>
        <w:t>and biogas reforming (</w:t>
      </w:r>
      <w:r w:rsidR="009F7407" w:rsidRPr="006E1064">
        <w:rPr>
          <w:rFonts w:cs="Arial"/>
          <w:bCs/>
        </w:rPr>
        <w:t>€</w:t>
      </w:r>
      <w:r w:rsidRPr="006E1064">
        <w:rPr>
          <w:bCs/>
        </w:rPr>
        <w:t xml:space="preserve"> </w:t>
      </w:r>
      <w:r w:rsidR="000848FE" w:rsidRPr="006E1064">
        <w:rPr>
          <w:bCs/>
        </w:rPr>
        <w:t>4</w:t>
      </w:r>
      <w:r w:rsidRPr="006E1064">
        <w:rPr>
          <w:bCs/>
        </w:rPr>
        <w:t>.</w:t>
      </w:r>
      <w:r w:rsidR="000848FE" w:rsidRPr="006E1064">
        <w:rPr>
          <w:bCs/>
        </w:rPr>
        <w:t>52</w:t>
      </w:r>
      <w:r w:rsidRPr="006E1064">
        <w:rPr>
          <w:bCs/>
        </w:rPr>
        <w:t>/kg)</w:t>
      </w:r>
      <w:r w:rsidRPr="006E1064">
        <w:rPr>
          <w:lang w:val="en"/>
        </w:rPr>
        <w:t>. Furthermore, the bio-oil reforming</w:t>
      </w:r>
      <w:r w:rsidRPr="00043F87">
        <w:rPr>
          <w:lang w:val="en"/>
        </w:rPr>
        <w:t xml:space="preserve"> pathway provided an LCOH quite </w:t>
      </w:r>
      <w:proofErr w:type="gramStart"/>
      <w:r w:rsidRPr="00043F87">
        <w:rPr>
          <w:lang w:val="en"/>
        </w:rPr>
        <w:t>similar to</w:t>
      </w:r>
      <w:proofErr w:type="gramEnd"/>
      <w:r w:rsidRPr="00043F87">
        <w:rPr>
          <w:lang w:val="en"/>
        </w:rPr>
        <w:t xml:space="preserve"> the LCOH obtained by SR of natural gas (</w:t>
      </w:r>
      <w:r w:rsidR="009F7407" w:rsidRPr="00043F87">
        <w:rPr>
          <w:rFonts w:cs="Arial"/>
          <w:bCs/>
        </w:rPr>
        <w:t>€</w:t>
      </w:r>
      <w:r w:rsidRPr="00043F87">
        <w:rPr>
          <w:lang w:val="en"/>
        </w:rPr>
        <w:t xml:space="preserve"> 3.52/kg), indicating that its use could be viable </w:t>
      </w:r>
      <w:r w:rsidRPr="00043F87">
        <w:rPr>
          <w:rStyle w:val="rynqvb"/>
          <w:lang w:val="en"/>
        </w:rPr>
        <w:t xml:space="preserve">hard-to-abate </w:t>
      </w:r>
      <w:r w:rsidRPr="00043F87">
        <w:rPr>
          <w:lang w:val="en"/>
        </w:rPr>
        <w:t>sectors</w:t>
      </w:r>
      <w:r w:rsidR="00600535" w:rsidRPr="00043F87">
        <w:rPr>
          <w:lang w:val="en-GB"/>
        </w:rPr>
        <w:t>.</w:t>
      </w:r>
    </w:p>
    <w:p w14:paraId="476B2F2E" w14:textId="52B36035" w:rsidR="00600535" w:rsidRPr="00043F87" w:rsidRDefault="00600535" w:rsidP="00600535">
      <w:pPr>
        <w:pStyle w:val="CETHeading1"/>
        <w:rPr>
          <w:lang w:val="en-GB"/>
        </w:rPr>
      </w:pPr>
      <w:r w:rsidRPr="00043F87">
        <w:rPr>
          <w:lang w:val="en-GB"/>
        </w:rPr>
        <w:t>Introduction</w:t>
      </w:r>
    </w:p>
    <w:p w14:paraId="286B6F8A" w14:textId="4E7C2912" w:rsidR="00B817B5" w:rsidRPr="00043F87" w:rsidRDefault="00B817B5" w:rsidP="00B817B5">
      <w:pPr>
        <w:pStyle w:val="CETBodytext"/>
        <w:rPr>
          <w:lang w:val="en-GB"/>
        </w:rPr>
      </w:pPr>
      <w:bookmarkStart w:id="2" w:name="_Hlk189130867"/>
      <w:r w:rsidRPr="00043F87">
        <w:rPr>
          <w:lang w:val="en-GB"/>
        </w:rPr>
        <w:t>In 2022, Italy produced around 0.60 Mt of H</w:t>
      </w:r>
      <w:r w:rsidRPr="00043F87">
        <w:rPr>
          <w:vertAlign w:val="subscript"/>
          <w:lang w:val="en-GB"/>
        </w:rPr>
        <w:t>2</w:t>
      </w:r>
      <w:r w:rsidRPr="00043F87">
        <w:rPr>
          <w:lang w:val="en-GB"/>
        </w:rPr>
        <w:t xml:space="preserve">, of which 98.65% was obtained from fossil fuels via conventional technologies such as steam methane reforming (SMR) and as by-product of ethylene and styrene production. </w:t>
      </w:r>
      <w:r w:rsidRPr="00043F87">
        <w:rPr>
          <w:lang w:val="en"/>
        </w:rPr>
        <w:t>Another minor amount (1.15%) was obtained as a by-product of chlorine and sodium chlorate production via electrolysis, while water electrolysis accounted for only 0.05% of total productio</w:t>
      </w:r>
      <w:bookmarkEnd w:id="2"/>
      <w:r w:rsidRPr="00043F87">
        <w:rPr>
          <w:lang w:val="en"/>
        </w:rPr>
        <w:t xml:space="preserve">n </w:t>
      </w:r>
      <w:bookmarkStart w:id="3" w:name="_Hlk188882210"/>
      <w:r w:rsidRPr="00043F87">
        <w:rPr>
          <w:lang w:val="en-GB"/>
        </w:rPr>
        <w:t>(EHO, 2023)</w:t>
      </w:r>
      <w:bookmarkEnd w:id="3"/>
      <w:r w:rsidRPr="00043F87">
        <w:rPr>
          <w:lang w:val="en-GB"/>
        </w:rPr>
        <w:t>. A major factor limiting the growth of renewable H</w:t>
      </w:r>
      <w:r w:rsidRPr="00043F87">
        <w:rPr>
          <w:vertAlign w:val="subscript"/>
          <w:lang w:val="en-GB"/>
        </w:rPr>
        <w:t xml:space="preserve">2 </w:t>
      </w:r>
      <w:r w:rsidRPr="00043F87">
        <w:rPr>
          <w:lang w:val="en-GB"/>
        </w:rPr>
        <w:t xml:space="preserve">production is its high average levelized cost </w:t>
      </w:r>
      <w:r w:rsidRPr="00043F87">
        <w:rPr>
          <w:rStyle w:val="rynqvb"/>
          <w:lang w:val="en-GB"/>
        </w:rPr>
        <w:t>(LCOH), which depends</w:t>
      </w:r>
      <w:r w:rsidRPr="00043F87">
        <w:rPr>
          <w:lang w:val="en-GB"/>
        </w:rPr>
        <w:t xml:space="preserve"> on capital and operational expenditures (CAPEX and OPEX)</w:t>
      </w:r>
      <w:bookmarkStart w:id="4" w:name="_Hlk188535772"/>
      <w:r w:rsidRPr="00043F87">
        <w:rPr>
          <w:lang w:val="en-GB"/>
        </w:rPr>
        <w:t xml:space="preserve">. </w:t>
      </w:r>
      <w:r w:rsidRPr="00043F87">
        <w:rPr>
          <w:rStyle w:val="rynqvb"/>
          <w:lang w:val="en-GB"/>
        </w:rPr>
        <w:t>The CAPEX represents the project's initial investment expenditures</w:t>
      </w:r>
      <w:r w:rsidRPr="00043F87">
        <w:rPr>
          <w:rStyle w:val="rynqvb"/>
          <w:b/>
          <w:lang w:val="en-GB"/>
        </w:rPr>
        <w:t xml:space="preserve"> </w:t>
      </w:r>
      <w:r w:rsidRPr="00043F87">
        <w:rPr>
          <w:rStyle w:val="rynqvb"/>
          <w:lang w:val="en-GB"/>
        </w:rPr>
        <w:t>and mainly includes the costs of equipment, installation, engineering procurement and construction (EPC)</w:t>
      </w:r>
      <w:r w:rsidRPr="00043F87">
        <w:rPr>
          <w:rStyle w:val="rynqvb"/>
          <w:b/>
          <w:lang w:val="en-GB"/>
        </w:rPr>
        <w:t xml:space="preserve"> </w:t>
      </w:r>
      <w:r w:rsidRPr="00043F87">
        <w:rPr>
          <w:rStyle w:val="rynqvb"/>
          <w:lang w:val="en-GB"/>
        </w:rPr>
        <w:t>and contingencies and owner costs</w:t>
      </w:r>
      <w:r w:rsidRPr="00043F87">
        <w:rPr>
          <w:rStyle w:val="rynqvb"/>
          <w:b/>
          <w:lang w:val="en-GB"/>
        </w:rPr>
        <w:t xml:space="preserve"> </w:t>
      </w:r>
      <w:r w:rsidRPr="00043F87">
        <w:rPr>
          <w:rStyle w:val="rynqvb"/>
          <w:lang w:val="en-GB"/>
        </w:rPr>
        <w:t>(C&amp;OC). While OPEX refers to the fixed (e.g. maintenance and insurance) and variable (e.g. raw material, electricity, fuel gas and water consumption) operation expenditures.</w:t>
      </w:r>
      <w:r w:rsidRPr="00043F87">
        <w:rPr>
          <w:rStyle w:val="rynqvb"/>
          <w:lang w:val="en"/>
        </w:rPr>
        <w:t xml:space="preserve"> In Italy in</w:t>
      </w:r>
      <w:r w:rsidRPr="00043F87">
        <w:rPr>
          <w:rStyle w:val="rynqvb"/>
          <w:lang w:val="en-GB"/>
        </w:rPr>
        <w:t xml:space="preserve"> 2023, the H</w:t>
      </w:r>
      <w:r w:rsidRPr="00043F87">
        <w:rPr>
          <w:rStyle w:val="rynqvb"/>
          <w:vertAlign w:val="subscript"/>
          <w:lang w:val="en-GB"/>
        </w:rPr>
        <w:t>2</w:t>
      </w:r>
      <w:r w:rsidRPr="00043F87">
        <w:rPr>
          <w:rStyle w:val="rynqvb"/>
          <w:lang w:val="en-GB"/>
        </w:rPr>
        <w:t xml:space="preserve"> production from unabated fossil-based sources offered a cheaper LCOH (</w:t>
      </w:r>
      <w:r w:rsidR="009F7407" w:rsidRPr="00043F87">
        <w:rPr>
          <w:rFonts w:cs="Arial"/>
          <w:bCs/>
        </w:rPr>
        <w:t>€</w:t>
      </w:r>
      <w:r w:rsidRPr="00043F87">
        <w:rPr>
          <w:rStyle w:val="rynqvb"/>
          <w:lang w:val="en-GB"/>
        </w:rPr>
        <w:t xml:space="preserve"> 3.70/kg H</w:t>
      </w:r>
      <w:r w:rsidRPr="00043F87">
        <w:rPr>
          <w:rStyle w:val="rynqvb"/>
          <w:vertAlign w:val="subscript"/>
          <w:lang w:val="en-GB"/>
        </w:rPr>
        <w:t>2</w:t>
      </w:r>
      <w:r w:rsidRPr="00043F87">
        <w:rPr>
          <w:rStyle w:val="rynqvb"/>
          <w:lang w:val="en-GB"/>
        </w:rPr>
        <w:t>, excluding CAPEX because</w:t>
      </w:r>
      <w:r w:rsidRPr="00043F87">
        <w:rPr>
          <w:lang w:val="en"/>
        </w:rPr>
        <w:t xml:space="preserve"> it is assumed that </w:t>
      </w:r>
      <w:r w:rsidRPr="00043F87">
        <w:rPr>
          <w:rStyle w:val="rynqvb"/>
          <w:lang w:val="en-GB"/>
        </w:rPr>
        <w:t>SMR plants are already operational) than both the use of fossil fuels with carbon capture utilization and storage (CCUS) (</w:t>
      </w:r>
      <w:r w:rsidR="009F7407" w:rsidRPr="00043F87">
        <w:rPr>
          <w:rFonts w:cs="Arial"/>
          <w:bCs/>
        </w:rPr>
        <w:t>€</w:t>
      </w:r>
      <w:r w:rsidRPr="00043F87">
        <w:rPr>
          <w:rStyle w:val="rynqvb"/>
          <w:lang w:val="en-GB"/>
        </w:rPr>
        <w:t xml:space="preserve"> 4.40/Kg H</w:t>
      </w:r>
      <w:r w:rsidRPr="00043F87">
        <w:rPr>
          <w:rStyle w:val="rynqvb"/>
          <w:vertAlign w:val="subscript"/>
          <w:lang w:val="en-GB"/>
        </w:rPr>
        <w:t>2</w:t>
      </w:r>
      <w:r w:rsidRPr="00043F87">
        <w:rPr>
          <w:rStyle w:val="rynqvb"/>
          <w:lang w:val="en-GB"/>
        </w:rPr>
        <w:t>) and the use of electrolysis with a direct connection to a renewable energy source (</w:t>
      </w:r>
      <w:r w:rsidR="009F7407" w:rsidRPr="00043F87">
        <w:rPr>
          <w:rFonts w:cs="Arial"/>
          <w:bCs/>
        </w:rPr>
        <w:t>€</w:t>
      </w:r>
      <w:r w:rsidRPr="00043F87">
        <w:rPr>
          <w:rStyle w:val="rynqvb"/>
          <w:lang w:val="en-GB"/>
        </w:rPr>
        <w:t xml:space="preserve"> 6.70/kg H</w:t>
      </w:r>
      <w:r w:rsidRPr="00043F87">
        <w:rPr>
          <w:rStyle w:val="rynqvb"/>
          <w:vertAlign w:val="subscript"/>
          <w:lang w:val="en-GB"/>
        </w:rPr>
        <w:t>2</w:t>
      </w:r>
      <w:r w:rsidRPr="00043F87">
        <w:rPr>
          <w:rStyle w:val="rynqvb"/>
          <w:lang w:val="en-GB"/>
        </w:rPr>
        <w:t xml:space="preserve">) </w:t>
      </w:r>
      <w:bookmarkStart w:id="5" w:name="_Hlk188602915"/>
      <w:bookmarkEnd w:id="4"/>
      <w:r w:rsidRPr="00043F87">
        <w:rPr>
          <w:rStyle w:val="rynqvb"/>
          <w:lang w:val="en-GB"/>
        </w:rPr>
        <w:t>(</w:t>
      </w:r>
      <w:r w:rsidRPr="00043F87">
        <w:rPr>
          <w:lang w:val="en-GB"/>
        </w:rPr>
        <w:t>EHO, 2024</w:t>
      </w:r>
      <w:r w:rsidRPr="00043F87">
        <w:rPr>
          <w:rStyle w:val="rynqvb"/>
          <w:lang w:val="en-GB"/>
        </w:rPr>
        <w:t>)</w:t>
      </w:r>
      <w:bookmarkEnd w:id="5"/>
      <w:r w:rsidRPr="00043F87">
        <w:rPr>
          <w:rStyle w:val="rynqvb"/>
          <w:lang w:val="en-GB"/>
        </w:rPr>
        <w:t>.</w:t>
      </w:r>
      <w:bookmarkStart w:id="6" w:name="_Hlk188532407"/>
      <w:r w:rsidRPr="00043F87">
        <w:rPr>
          <w:rStyle w:val="rynqvb"/>
          <w:lang w:val="en-GB"/>
        </w:rPr>
        <w:t xml:space="preserve"> </w:t>
      </w:r>
      <w:r w:rsidRPr="00043F87">
        <w:rPr>
          <w:lang w:val="en"/>
        </w:rPr>
        <w:t>In line with the Hydrogen</w:t>
      </w:r>
      <w:r w:rsidRPr="00043F87">
        <w:rPr>
          <w:lang w:val="en-GB"/>
        </w:rPr>
        <w:t xml:space="preserve"> Strategy for a Climate-Neutral Europe</w:t>
      </w:r>
      <w:r w:rsidRPr="00043F87">
        <w:t xml:space="preserve">, </w:t>
      </w:r>
      <w:r w:rsidRPr="00043F87">
        <w:rPr>
          <w:rStyle w:val="rynqvb"/>
          <w:lang w:val="en"/>
        </w:rPr>
        <w:t xml:space="preserve">Italy intends to promote the production and use of renewable </w:t>
      </w:r>
      <w:r w:rsidRPr="00043F87">
        <w:rPr>
          <w:lang w:val="en-GB"/>
        </w:rPr>
        <w:t>H</w:t>
      </w:r>
      <w:r w:rsidRPr="00043F87">
        <w:rPr>
          <w:vertAlign w:val="subscript"/>
          <w:lang w:val="en-GB"/>
        </w:rPr>
        <w:t>2</w:t>
      </w:r>
      <w:r w:rsidRPr="00043F87">
        <w:rPr>
          <w:rStyle w:val="rynqvb"/>
          <w:lang w:val="en"/>
        </w:rPr>
        <w:t xml:space="preserve"> through mechanisms such as </w:t>
      </w:r>
      <w:r w:rsidRPr="00043F87">
        <w:t>the</w:t>
      </w:r>
      <w:r w:rsidRPr="00043F87">
        <w:rPr>
          <w:rStyle w:val="rynqvb"/>
          <w:lang w:val="en"/>
        </w:rPr>
        <w:t xml:space="preserve"> National Hydrogen Strategy (NHS) and the </w:t>
      </w:r>
      <w:bookmarkStart w:id="7" w:name="_Hlk189137552"/>
      <w:r w:rsidRPr="00043F87">
        <w:rPr>
          <w:rStyle w:val="rynqvb"/>
          <w:lang w:val="en"/>
        </w:rPr>
        <w:t>National Recovery and Resilience Plan</w:t>
      </w:r>
      <w:bookmarkEnd w:id="7"/>
      <w:r w:rsidRPr="00043F87">
        <w:rPr>
          <w:rStyle w:val="rynqvb"/>
          <w:lang w:val="en"/>
        </w:rPr>
        <w:t xml:space="preserve"> (NRRP). The preliminary NHS guidelines proposed a target of covering 2 % of final energy consumption with </w:t>
      </w:r>
      <w:r w:rsidRPr="00043F87">
        <w:rPr>
          <w:lang w:val="en-GB"/>
        </w:rPr>
        <w:t>H</w:t>
      </w:r>
      <w:r w:rsidRPr="00043F87">
        <w:rPr>
          <w:vertAlign w:val="subscript"/>
          <w:lang w:val="en-GB"/>
        </w:rPr>
        <w:t xml:space="preserve">2 </w:t>
      </w:r>
      <w:r w:rsidRPr="00043F87">
        <w:rPr>
          <w:rStyle w:val="rynqvb"/>
          <w:lang w:val="en"/>
        </w:rPr>
        <w:t>by 2030 (approximately 0.70 Mt H</w:t>
      </w:r>
      <w:r w:rsidRPr="00043F87">
        <w:rPr>
          <w:rStyle w:val="rynqvb"/>
          <w:vertAlign w:val="subscript"/>
          <w:lang w:val="en"/>
        </w:rPr>
        <w:t>2</w:t>
      </w:r>
      <w:r w:rsidRPr="00043F87">
        <w:rPr>
          <w:rStyle w:val="rynqvb"/>
          <w:lang w:val="en"/>
        </w:rPr>
        <w:t xml:space="preserve">/year), which would be partially met by the installation of 5 GW of </w:t>
      </w:r>
      <w:proofErr w:type="spellStart"/>
      <w:r w:rsidRPr="00043F87">
        <w:rPr>
          <w:rStyle w:val="rynqvb"/>
          <w:lang w:val="en"/>
        </w:rPr>
        <w:t>electrolysers</w:t>
      </w:r>
      <w:proofErr w:type="spellEnd"/>
      <w:r w:rsidRPr="00043F87">
        <w:rPr>
          <w:rStyle w:val="rynqvb"/>
          <w:lang w:val="en"/>
        </w:rPr>
        <w:t xml:space="preserve"> (MISE, 2020)</w:t>
      </w:r>
      <w:r w:rsidRPr="00043F87">
        <w:t xml:space="preserve">. </w:t>
      </w:r>
      <w:bookmarkEnd w:id="6"/>
      <w:r w:rsidRPr="00043F87">
        <w:rPr>
          <w:lang w:val="en"/>
        </w:rPr>
        <w:t xml:space="preserve">While the NRRP </w:t>
      </w:r>
      <w:r w:rsidRPr="00043F87">
        <w:t xml:space="preserve">recognized the importance of </w:t>
      </w:r>
      <w:r w:rsidRPr="00043F87">
        <w:rPr>
          <w:rStyle w:val="rynqvb"/>
          <w:lang w:val="en"/>
        </w:rPr>
        <w:t xml:space="preserve">developing projects to produce renewable </w:t>
      </w:r>
      <w:r w:rsidRPr="00043F87">
        <w:rPr>
          <w:lang w:val="en-GB"/>
        </w:rPr>
        <w:t>H</w:t>
      </w:r>
      <w:r w:rsidRPr="00043F87">
        <w:rPr>
          <w:vertAlign w:val="subscript"/>
          <w:lang w:val="en-GB"/>
        </w:rPr>
        <w:t>2</w:t>
      </w:r>
      <w:r w:rsidRPr="00043F87">
        <w:rPr>
          <w:rStyle w:val="rynqvb"/>
          <w:lang w:val="en"/>
        </w:rPr>
        <w:t xml:space="preserve"> in brownfield sites and hard-to-abate sectors (such as refining, steelmaking, chemical, transport, </w:t>
      </w:r>
      <w:r w:rsidRPr="00043F87">
        <w:rPr>
          <w:lang w:val="en-GB"/>
        </w:rPr>
        <w:t>heating and cooling</w:t>
      </w:r>
      <w:r w:rsidRPr="00043F87">
        <w:rPr>
          <w:rStyle w:val="rynqvb"/>
          <w:lang w:val="en"/>
        </w:rPr>
        <w:t xml:space="preserve"> in buildings, electricity generation</w:t>
      </w:r>
      <w:r w:rsidRPr="00043F87">
        <w:rPr>
          <w:lang w:val="en"/>
        </w:rPr>
        <w:t xml:space="preserve">) </w:t>
      </w:r>
      <w:r w:rsidRPr="00043F87">
        <w:rPr>
          <w:rStyle w:val="rynqvb"/>
          <w:lang w:val="en"/>
        </w:rPr>
        <w:t xml:space="preserve">as well as to improve its supply with the creation of </w:t>
      </w:r>
      <w:r w:rsidRPr="00043F87">
        <w:rPr>
          <w:lang w:val="en"/>
        </w:rPr>
        <w:t>H</w:t>
      </w:r>
      <w:r w:rsidRPr="00043F87">
        <w:rPr>
          <w:vertAlign w:val="subscript"/>
          <w:lang w:val="en"/>
        </w:rPr>
        <w:t>2</w:t>
      </w:r>
      <w:r w:rsidRPr="00043F87">
        <w:rPr>
          <w:rStyle w:val="rynqvb"/>
          <w:lang w:val="en"/>
        </w:rPr>
        <w:t xml:space="preserve"> valleys (</w:t>
      </w:r>
      <w:r w:rsidRPr="00043F87">
        <w:rPr>
          <w:lang w:val="en-GB"/>
        </w:rPr>
        <w:t>H</w:t>
      </w:r>
      <w:r w:rsidRPr="00043F87">
        <w:rPr>
          <w:vertAlign w:val="subscript"/>
          <w:lang w:val="en-GB"/>
        </w:rPr>
        <w:t>2</w:t>
      </w:r>
      <w:r w:rsidRPr="00043F87">
        <w:rPr>
          <w:rStyle w:val="rynqvb"/>
          <w:lang w:val="en"/>
        </w:rPr>
        <w:t xml:space="preserve"> supply chains) (</w:t>
      </w:r>
      <w:proofErr w:type="spellStart"/>
      <w:r w:rsidRPr="00043F87">
        <w:rPr>
          <w:rStyle w:val="rynqvb"/>
          <w:lang w:val="en"/>
        </w:rPr>
        <w:t>Gandiglio</w:t>
      </w:r>
      <w:proofErr w:type="spellEnd"/>
      <w:r w:rsidRPr="00043F87">
        <w:rPr>
          <w:rStyle w:val="rynqvb"/>
          <w:lang w:val="en"/>
        </w:rPr>
        <w:t xml:space="preserve"> and Marocco, 2024). In fact, building optimal H</w:t>
      </w:r>
      <w:r w:rsidRPr="00043F87">
        <w:rPr>
          <w:rStyle w:val="rynqvb"/>
          <w:vertAlign w:val="subscript"/>
          <w:lang w:val="en"/>
        </w:rPr>
        <w:t>2</w:t>
      </w:r>
      <w:r w:rsidRPr="00043F87">
        <w:rPr>
          <w:rStyle w:val="rynqvb"/>
          <w:lang w:val="en"/>
        </w:rPr>
        <w:t xml:space="preserve"> supply chains across industrial zones is critical to minimize the overall cost of the energy systems (Fadhil et al., 2024).</w:t>
      </w:r>
      <w:bookmarkStart w:id="8" w:name="_Hlk188535619"/>
      <w:bookmarkStart w:id="9" w:name="_Hlk188598926"/>
      <w:r w:rsidRPr="00043F87">
        <w:rPr>
          <w:rStyle w:val="rynqvb"/>
          <w:lang w:val="en"/>
        </w:rPr>
        <w:t xml:space="preserve"> </w:t>
      </w:r>
      <w:r w:rsidRPr="00043F87">
        <w:rPr>
          <w:lang w:val="en-GB"/>
        </w:rPr>
        <w:t>Despite the various mechanisms developed</w:t>
      </w:r>
      <w:bookmarkEnd w:id="8"/>
      <w:r w:rsidRPr="00043F87">
        <w:rPr>
          <w:lang w:val="en-GB"/>
        </w:rPr>
        <w:t xml:space="preserve">, </w:t>
      </w:r>
      <w:r w:rsidRPr="00043F87">
        <w:rPr>
          <w:lang w:val="en"/>
        </w:rPr>
        <w:t>increasing the economic competitiveness of renewable H</w:t>
      </w:r>
      <w:r w:rsidRPr="00043F87">
        <w:rPr>
          <w:vertAlign w:val="subscript"/>
          <w:lang w:val="en"/>
        </w:rPr>
        <w:t>2</w:t>
      </w:r>
      <w:r w:rsidRPr="00043F87">
        <w:rPr>
          <w:lang w:val="en"/>
        </w:rPr>
        <w:t xml:space="preserve"> </w:t>
      </w:r>
      <w:r w:rsidRPr="00043F87">
        <w:rPr>
          <w:lang w:val="en-GB"/>
        </w:rPr>
        <w:t>in key industrial sectors</w:t>
      </w:r>
      <w:r w:rsidRPr="00043F87">
        <w:rPr>
          <w:lang w:val="en"/>
        </w:rPr>
        <w:t xml:space="preserve"> compared to fossil-based H</w:t>
      </w:r>
      <w:r w:rsidRPr="00043F87">
        <w:rPr>
          <w:vertAlign w:val="subscript"/>
          <w:lang w:val="en"/>
        </w:rPr>
        <w:t>2</w:t>
      </w:r>
      <w:r w:rsidRPr="00043F87">
        <w:rPr>
          <w:lang w:val="en"/>
        </w:rPr>
        <w:t xml:space="preserve"> remains a priority of the European Union</w:t>
      </w:r>
      <w:bookmarkEnd w:id="9"/>
      <w:r w:rsidRPr="00043F87">
        <w:rPr>
          <w:lang w:val="en"/>
        </w:rPr>
        <w:t>. On this basis,</w:t>
      </w:r>
      <w:bookmarkStart w:id="10" w:name="_Hlk188603378"/>
      <w:r w:rsidRPr="00043F87">
        <w:rPr>
          <w:lang w:val="en"/>
        </w:rPr>
        <w:t xml:space="preserve"> one strategy for reducing H</w:t>
      </w:r>
      <w:r w:rsidRPr="00043F87">
        <w:rPr>
          <w:vertAlign w:val="subscript"/>
          <w:lang w:val="en"/>
        </w:rPr>
        <w:t>2</w:t>
      </w:r>
      <w:r w:rsidRPr="00043F87">
        <w:rPr>
          <w:lang w:val="en"/>
        </w:rPr>
        <w:t xml:space="preserve"> production costs can be </w:t>
      </w:r>
      <w:r w:rsidRPr="00043F87">
        <w:rPr>
          <w:lang w:val="en-GB"/>
        </w:rPr>
        <w:t xml:space="preserve">to </w:t>
      </w:r>
      <w:r w:rsidRPr="00043F87">
        <w:rPr>
          <w:rStyle w:val="rynqvb"/>
          <w:lang w:val="en-GB"/>
        </w:rPr>
        <w:t xml:space="preserve">diversify the use of renewable electricity with the use of other renewable resources such as biowaste (e.g. biodegradable garden and park waste, food and kitchen waste </w:t>
      </w:r>
      <w:r w:rsidRPr="00043F87">
        <w:rPr>
          <w:rStyle w:val="rynqvb"/>
          <w:lang w:val="en-GB"/>
        </w:rPr>
        <w:lastRenderedPageBreak/>
        <w:t xml:space="preserve">from households, restaurants, caterers and retail premises, and wastes from food processing plants) and biomass residues (e.g. lignocellulosic materials generated by the agricultural, forest, and agro-industrial sectors). These materials can be used to produce </w:t>
      </w:r>
      <w:r w:rsidRPr="00043F87">
        <w:rPr>
          <w:rStyle w:val="rynqvb"/>
        </w:rPr>
        <w:t>biohydrogen</w:t>
      </w:r>
      <w:r w:rsidRPr="00043F87">
        <w:rPr>
          <w:rStyle w:val="rynqvb"/>
          <w:lang w:val="en-GB"/>
        </w:rPr>
        <w:t xml:space="preserve"> via various primary biochemical (e.g. anaerobic digestion and fermentation) and thermochemical pathways (e.g. pyrolysis and gasification) (</w:t>
      </w:r>
      <w:proofErr w:type="spellStart"/>
      <w:r w:rsidRPr="00043F87">
        <w:rPr>
          <w:rStyle w:val="rynqvb"/>
          <w:lang w:val="en-GB"/>
        </w:rPr>
        <w:t>Yagüe</w:t>
      </w:r>
      <w:proofErr w:type="spellEnd"/>
      <w:r w:rsidRPr="00043F87">
        <w:rPr>
          <w:rStyle w:val="rynqvb"/>
          <w:lang w:val="en-GB"/>
        </w:rPr>
        <w:t xml:space="preserve"> et al., 2024</w:t>
      </w:r>
      <w:r w:rsidRPr="00043F87">
        <w:rPr>
          <w:lang w:val="en-GB"/>
        </w:rPr>
        <w:t>)</w:t>
      </w:r>
      <w:r w:rsidRPr="00043F87">
        <w:rPr>
          <w:rStyle w:val="rynqvb"/>
          <w:lang w:val="en-GB"/>
        </w:rPr>
        <w:t>.</w:t>
      </w:r>
      <w:bookmarkStart w:id="11" w:name="_Hlk172970908"/>
      <w:r w:rsidRPr="00043F87">
        <w:rPr>
          <w:rStyle w:val="rynqvb"/>
          <w:lang w:val="en-GB"/>
        </w:rPr>
        <w:t xml:space="preserve"> </w:t>
      </w:r>
      <w:bookmarkStart w:id="12" w:name="_Hlk188604706"/>
      <w:bookmarkEnd w:id="10"/>
      <w:r w:rsidRPr="00043F87">
        <w:rPr>
          <w:rStyle w:val="rynqvb"/>
          <w:lang w:val="en-GB"/>
        </w:rPr>
        <w:t>In anaerobic digestion microorganisms break down organic materials under oxygen-free conditions to produce biogas, which is mainly composed of CH</w:t>
      </w:r>
      <w:r w:rsidRPr="00043F87">
        <w:rPr>
          <w:rStyle w:val="rynqvb"/>
          <w:vertAlign w:val="subscript"/>
          <w:lang w:val="en-GB"/>
        </w:rPr>
        <w:t>4</w:t>
      </w:r>
      <w:r w:rsidRPr="00043F87">
        <w:rPr>
          <w:rStyle w:val="rynqvb"/>
          <w:lang w:val="en-GB"/>
        </w:rPr>
        <w:t xml:space="preserve"> and CO</w:t>
      </w:r>
      <w:r w:rsidRPr="00043F87">
        <w:rPr>
          <w:rStyle w:val="rynqvb"/>
          <w:vertAlign w:val="subscript"/>
          <w:lang w:val="en-GB"/>
        </w:rPr>
        <w:t>2</w:t>
      </w:r>
      <w:r w:rsidRPr="00043F87">
        <w:rPr>
          <w:rStyle w:val="rynqvb"/>
          <w:lang w:val="en-GB"/>
        </w:rPr>
        <w:t>.</w:t>
      </w:r>
      <w:bookmarkEnd w:id="12"/>
      <w:r w:rsidRPr="00043F87">
        <w:rPr>
          <w:rStyle w:val="rynqvb"/>
          <w:lang w:val="en-GB"/>
        </w:rPr>
        <w:t xml:space="preserve"> While, </w:t>
      </w:r>
      <w:r w:rsidRPr="00043F87">
        <w:rPr>
          <w:rStyle w:val="rynqvb"/>
          <w:lang w:val="en"/>
        </w:rPr>
        <w:t xml:space="preserve">pyrolysis is typically carried out at temperatures ranging from 300 °C to 500 °C in the absence of reagents such as </w:t>
      </w:r>
      <w:r w:rsidRPr="00043F87">
        <w:rPr>
          <w:lang w:val="en"/>
        </w:rPr>
        <w:t>O</w:t>
      </w:r>
      <w:r w:rsidRPr="00043F87">
        <w:rPr>
          <w:vertAlign w:val="subscript"/>
          <w:lang w:val="en-GB"/>
        </w:rPr>
        <w:t>2</w:t>
      </w:r>
      <w:r w:rsidRPr="00043F87">
        <w:rPr>
          <w:rStyle w:val="rynqvb"/>
          <w:lang w:val="en"/>
        </w:rPr>
        <w:t xml:space="preserve"> (combustion) or </w:t>
      </w:r>
      <w:r w:rsidRPr="00043F87">
        <w:rPr>
          <w:lang w:val="en-GB"/>
        </w:rPr>
        <w:t>H</w:t>
      </w:r>
      <w:r w:rsidRPr="00043F87">
        <w:rPr>
          <w:vertAlign w:val="subscript"/>
          <w:lang w:val="en-GB"/>
        </w:rPr>
        <w:t>2</w:t>
      </w:r>
      <w:r w:rsidRPr="00043F87">
        <w:rPr>
          <w:rStyle w:val="rynqvb"/>
          <w:lang w:val="en"/>
        </w:rPr>
        <w:t xml:space="preserve">O (hydrolysis) to convert biomass into </w:t>
      </w:r>
      <w:r w:rsidRPr="00043F87">
        <w:rPr>
          <w:lang w:val="en-GB"/>
        </w:rPr>
        <w:t>a gaseous mixture of various condensable oxygenated compounds that, after cooling, form</w:t>
      </w:r>
      <w:r w:rsidRPr="00043F87">
        <w:rPr>
          <w:rStyle w:val="rynqvb"/>
          <w:lang w:val="en"/>
        </w:rPr>
        <w:t xml:space="preserve"> a liquid product known as  bio-oil, a solid fraction known as biochar and small amounts of non-condensable gases (CO, CO</w:t>
      </w:r>
      <w:r w:rsidRPr="00043F87">
        <w:rPr>
          <w:rStyle w:val="rynqvb"/>
          <w:vertAlign w:val="subscript"/>
          <w:lang w:val="en"/>
        </w:rPr>
        <w:t>2</w:t>
      </w:r>
      <w:r w:rsidRPr="00043F87">
        <w:rPr>
          <w:rStyle w:val="rynqvb"/>
          <w:lang w:val="en"/>
        </w:rPr>
        <w:t>, CH</w:t>
      </w:r>
      <w:r w:rsidRPr="00043F87">
        <w:rPr>
          <w:rStyle w:val="rynqvb"/>
          <w:vertAlign w:val="subscript"/>
          <w:lang w:val="en"/>
        </w:rPr>
        <w:t>4</w:t>
      </w:r>
      <w:r w:rsidRPr="00043F87">
        <w:rPr>
          <w:rStyle w:val="rynqvb"/>
          <w:lang w:val="en"/>
        </w:rPr>
        <w:t>, and H</w:t>
      </w:r>
      <w:r w:rsidRPr="00043F87">
        <w:rPr>
          <w:rStyle w:val="rynqvb"/>
          <w:vertAlign w:val="subscript"/>
          <w:lang w:val="en"/>
        </w:rPr>
        <w:t>2</w:t>
      </w:r>
      <w:r w:rsidRPr="00043F87">
        <w:rPr>
          <w:rStyle w:val="rynqvb"/>
          <w:lang w:val="en"/>
        </w:rPr>
        <w:t xml:space="preserve">). </w:t>
      </w:r>
      <w:r w:rsidRPr="00043F87">
        <w:rPr>
          <w:rStyle w:val="rynqvb"/>
          <w:lang w:val="en-GB"/>
        </w:rPr>
        <w:t>Biomass pyrolysis can be categorized as slow or fast depending on the heating rate. While slow pyrolysis generates a high amount of biochar, fast pyrolysis produces much more bio-oil (around 60–70 % by mass) (</w:t>
      </w:r>
      <w:proofErr w:type="spellStart"/>
      <w:r w:rsidRPr="00043F87">
        <w:rPr>
          <w:rStyle w:val="rynqvb"/>
          <w:lang w:val="en-GB"/>
        </w:rPr>
        <w:t>Situmorang</w:t>
      </w:r>
      <w:proofErr w:type="spellEnd"/>
      <w:r w:rsidRPr="00043F87">
        <w:rPr>
          <w:rStyle w:val="rynqvb"/>
          <w:lang w:val="en-GB"/>
        </w:rPr>
        <w:t xml:space="preserve"> et al., 2020). </w:t>
      </w:r>
      <w:r w:rsidRPr="00043F87">
        <w:rPr>
          <w:rStyle w:val="rynqvb"/>
          <w:lang w:val="en"/>
        </w:rPr>
        <w:t xml:space="preserve">Unlike pyrolysis, the biomass gasification occurs at temperatures ranging from 700 °C to 1200 °C in the presence of a gasifying agent such as air, </w:t>
      </w:r>
      <w:r w:rsidRPr="00043F87">
        <w:rPr>
          <w:lang w:val="en"/>
        </w:rPr>
        <w:t>O</w:t>
      </w:r>
      <w:r w:rsidRPr="00043F87">
        <w:rPr>
          <w:vertAlign w:val="subscript"/>
          <w:lang w:val="en-GB"/>
        </w:rPr>
        <w:t>2</w:t>
      </w:r>
      <w:r w:rsidRPr="00043F87">
        <w:rPr>
          <w:rStyle w:val="rynqvb"/>
          <w:lang w:val="en"/>
        </w:rPr>
        <w:t xml:space="preserve">, steam or their mixtures, resulting in the production of syngas which is mainly composed of CO and </w:t>
      </w:r>
      <w:r w:rsidRPr="00043F87">
        <w:rPr>
          <w:lang w:val="en-GB"/>
        </w:rPr>
        <w:t>H</w:t>
      </w:r>
      <w:r w:rsidRPr="00043F87">
        <w:rPr>
          <w:vertAlign w:val="subscript"/>
          <w:lang w:val="en-GB"/>
        </w:rPr>
        <w:t>2</w:t>
      </w:r>
      <w:r w:rsidRPr="00043F87">
        <w:rPr>
          <w:rStyle w:val="rynqvb"/>
          <w:lang w:val="en"/>
        </w:rPr>
        <w:t xml:space="preserve"> and minor amounts of CH</w:t>
      </w:r>
      <w:r w:rsidRPr="00043F87">
        <w:rPr>
          <w:rStyle w:val="rynqvb"/>
          <w:vertAlign w:val="subscript"/>
          <w:lang w:val="en"/>
        </w:rPr>
        <w:t>4</w:t>
      </w:r>
      <w:r w:rsidRPr="00043F87">
        <w:rPr>
          <w:rStyle w:val="rynqvb"/>
          <w:lang w:val="en"/>
        </w:rPr>
        <w:t>,CO</w:t>
      </w:r>
      <w:r w:rsidRPr="00043F87">
        <w:rPr>
          <w:rStyle w:val="rynqvb"/>
          <w:vertAlign w:val="subscript"/>
          <w:lang w:val="en"/>
        </w:rPr>
        <w:t>2</w:t>
      </w:r>
      <w:r w:rsidRPr="00043F87">
        <w:rPr>
          <w:rStyle w:val="rynqvb"/>
          <w:lang w:val="en"/>
        </w:rPr>
        <w:t xml:space="preserve"> and N</w:t>
      </w:r>
      <w:r w:rsidRPr="00043F87">
        <w:rPr>
          <w:rStyle w:val="rynqvb"/>
          <w:vertAlign w:val="subscript"/>
          <w:lang w:val="en"/>
        </w:rPr>
        <w:t>2</w:t>
      </w:r>
      <w:r w:rsidRPr="00043F87">
        <w:rPr>
          <w:rStyle w:val="rynqvb"/>
          <w:lang w:val="en"/>
        </w:rPr>
        <w:t>, as well as tar and char. Based on the H</w:t>
      </w:r>
      <w:r w:rsidRPr="00043F87">
        <w:rPr>
          <w:rStyle w:val="rynqvb"/>
          <w:vertAlign w:val="subscript"/>
          <w:lang w:val="en"/>
        </w:rPr>
        <w:t>2</w:t>
      </w:r>
      <w:r w:rsidRPr="00043F87">
        <w:rPr>
          <w:rStyle w:val="rynqvb"/>
          <w:lang w:val="en"/>
        </w:rPr>
        <w:t xml:space="preserve"> percentage in the gas (40 vol %) and reduced impurities, steam gasification appears to be most suitable for H</w:t>
      </w:r>
      <w:r w:rsidRPr="00043F87">
        <w:rPr>
          <w:rStyle w:val="rynqvb"/>
          <w:vertAlign w:val="subscript"/>
          <w:lang w:val="en"/>
        </w:rPr>
        <w:t>2</w:t>
      </w:r>
      <w:r w:rsidRPr="00043F87">
        <w:rPr>
          <w:rStyle w:val="rynqvb"/>
          <w:lang w:val="en"/>
        </w:rPr>
        <w:t xml:space="preserve"> production than air gasification (Lepage et al., 2021).</w:t>
      </w:r>
      <w:bookmarkEnd w:id="11"/>
      <w:r w:rsidRPr="00043F87">
        <w:rPr>
          <w:rStyle w:val="rynqvb"/>
          <w:lang w:val="en"/>
        </w:rPr>
        <w:t xml:space="preserve"> In a further step, intermediate products must be improved</w:t>
      </w:r>
      <w:r w:rsidRPr="00043F87">
        <w:rPr>
          <w:rStyle w:val="rynqvb"/>
          <w:lang w:val="en-GB"/>
        </w:rPr>
        <w:t xml:space="preserve"> using processes such as steam reforming (SR) and </w:t>
      </w:r>
      <w:bookmarkStart w:id="13" w:name="_Hlk184226914"/>
      <w:r w:rsidRPr="00043F87">
        <w:rPr>
          <w:rStyle w:val="rynqvb"/>
          <w:lang w:val="en-GB"/>
        </w:rPr>
        <w:t>water gas shift (WGS</w:t>
      </w:r>
      <w:bookmarkEnd w:id="13"/>
      <w:r w:rsidRPr="00043F87">
        <w:rPr>
          <w:rStyle w:val="rynqvb"/>
          <w:lang w:val="en-GB"/>
        </w:rPr>
        <w:t>), followed by purifying processes such as pressure swing adsorption (PSA) to recover high-purity H</w:t>
      </w:r>
      <w:r w:rsidRPr="00043F87">
        <w:rPr>
          <w:rStyle w:val="rynqvb"/>
          <w:vertAlign w:val="subscript"/>
          <w:lang w:val="en-GB"/>
        </w:rPr>
        <w:t>2</w:t>
      </w:r>
      <w:r w:rsidRPr="00043F87">
        <w:rPr>
          <w:rStyle w:val="rynqvb"/>
          <w:lang w:val="en-GB"/>
        </w:rPr>
        <w:t xml:space="preserve">. </w:t>
      </w:r>
      <w:proofErr w:type="gramStart"/>
      <w:r w:rsidRPr="00043F87">
        <w:rPr>
          <w:rStyle w:val="rynqvb"/>
          <w:lang w:val="en-GB"/>
        </w:rPr>
        <w:t>Usually</w:t>
      </w:r>
      <w:proofErr w:type="gramEnd"/>
      <w:r w:rsidRPr="00043F87">
        <w:rPr>
          <w:rStyle w:val="rynqvb"/>
          <w:lang w:val="en-GB"/>
        </w:rPr>
        <w:t xml:space="preserve"> </w:t>
      </w:r>
      <w:r w:rsidRPr="00043F87">
        <w:rPr>
          <w:rStyle w:val="rynqvb"/>
          <w:lang w:val="en"/>
        </w:rPr>
        <w:t xml:space="preserve">SR </w:t>
      </w:r>
      <w:r w:rsidRPr="00043F87">
        <w:rPr>
          <w:lang w:val="en"/>
        </w:rPr>
        <w:t>process</w:t>
      </w:r>
      <w:r w:rsidRPr="00043F87">
        <w:rPr>
          <w:rStyle w:val="rynqvb"/>
          <w:lang w:val="en"/>
        </w:rPr>
        <w:t xml:space="preserve"> occurs on light hydrocarbons in the presence of </w:t>
      </w:r>
      <w:r w:rsidRPr="00043F87">
        <w:rPr>
          <w:rStyle w:val="rynqvb"/>
        </w:rPr>
        <w:t>H</w:t>
      </w:r>
      <w:r w:rsidRPr="00043F87">
        <w:rPr>
          <w:rStyle w:val="rynqvb"/>
          <w:vertAlign w:val="subscript"/>
        </w:rPr>
        <w:t>2</w:t>
      </w:r>
      <w:r w:rsidRPr="00043F87">
        <w:rPr>
          <w:rStyle w:val="rynqvb"/>
        </w:rPr>
        <w:t>O to produce CO and H</w:t>
      </w:r>
      <w:r w:rsidRPr="00043F87">
        <w:rPr>
          <w:rStyle w:val="rynqvb"/>
          <w:vertAlign w:val="subscript"/>
        </w:rPr>
        <w:t>2</w:t>
      </w:r>
      <w:r w:rsidRPr="00043F87">
        <w:rPr>
          <w:rStyle w:val="rynqvb"/>
        </w:rPr>
        <w:t xml:space="preserve"> as in the case of SMR described in </w:t>
      </w:r>
      <w:proofErr w:type="spellStart"/>
      <w:proofErr w:type="gramStart"/>
      <w:r w:rsidRPr="00043F87">
        <w:rPr>
          <w:lang w:val="en-GB"/>
        </w:rPr>
        <w:t>Eq</w:t>
      </w:r>
      <w:proofErr w:type="spellEnd"/>
      <w:r w:rsidRPr="00043F87">
        <w:rPr>
          <w:lang w:val="en-GB"/>
        </w:rPr>
        <w:t>(</w:t>
      </w:r>
      <w:proofErr w:type="gramEnd"/>
      <w:r w:rsidRPr="00043F87">
        <w:rPr>
          <w:lang w:val="en-GB"/>
        </w:rPr>
        <w:t>1), but it can also occur on</w:t>
      </w:r>
      <w:r w:rsidRPr="00043F87">
        <w:rPr>
          <w:lang w:val="en"/>
        </w:rPr>
        <w:t xml:space="preserve"> oxygenates, according to </w:t>
      </w:r>
      <w:proofErr w:type="spellStart"/>
      <w:proofErr w:type="gramStart"/>
      <w:r w:rsidRPr="00043F87">
        <w:rPr>
          <w:lang w:val="en-GB"/>
        </w:rPr>
        <w:t>Eq</w:t>
      </w:r>
      <w:proofErr w:type="spellEnd"/>
      <w:r w:rsidRPr="00043F87">
        <w:rPr>
          <w:lang w:val="en-GB"/>
        </w:rPr>
        <w:t>(</w:t>
      </w:r>
      <w:proofErr w:type="gramEnd"/>
      <w:r w:rsidRPr="00043F87">
        <w:rPr>
          <w:lang w:val="en-GB"/>
        </w:rPr>
        <w:t xml:space="preserve">2). </w:t>
      </w:r>
      <w:r w:rsidRPr="00043F87">
        <w:rPr>
          <w:rStyle w:val="rynqvb"/>
        </w:rPr>
        <w:t>CO produced during SR can react with H</w:t>
      </w:r>
      <w:r w:rsidRPr="00043F87">
        <w:rPr>
          <w:rStyle w:val="rynqvb"/>
          <w:vertAlign w:val="subscript"/>
        </w:rPr>
        <w:t>2</w:t>
      </w:r>
      <w:r w:rsidRPr="00043F87">
        <w:rPr>
          <w:rStyle w:val="rynqvb"/>
        </w:rPr>
        <w:t xml:space="preserve">O in the WGS process, increasing the amount of </w:t>
      </w:r>
      <w:r w:rsidRPr="00043F87">
        <w:rPr>
          <w:lang w:val="en-GB"/>
        </w:rPr>
        <w:t>H</w:t>
      </w:r>
      <w:r w:rsidRPr="00043F87">
        <w:rPr>
          <w:vertAlign w:val="subscript"/>
          <w:lang w:val="en-GB"/>
        </w:rPr>
        <w:t>2</w:t>
      </w:r>
      <w:r w:rsidRPr="00043F87">
        <w:rPr>
          <w:rStyle w:val="rynqvb"/>
        </w:rPr>
        <w:t xml:space="preserve">, </w:t>
      </w:r>
      <w:r w:rsidRPr="00043F87">
        <w:rPr>
          <w:lang w:val="en"/>
        </w:rPr>
        <w:t xml:space="preserve">according to </w:t>
      </w:r>
      <w:proofErr w:type="spellStart"/>
      <w:proofErr w:type="gramStart"/>
      <w:r w:rsidRPr="00043F87">
        <w:rPr>
          <w:lang w:val="en-GB"/>
        </w:rPr>
        <w:t>Eq</w:t>
      </w:r>
      <w:proofErr w:type="spellEnd"/>
      <w:r w:rsidRPr="00043F87">
        <w:rPr>
          <w:lang w:val="en-GB"/>
        </w:rPr>
        <w:t>(</w:t>
      </w:r>
      <w:proofErr w:type="gramEnd"/>
      <w:r w:rsidRPr="00043F87">
        <w:rPr>
          <w:lang w:val="en-GB"/>
        </w:rPr>
        <w:t xml:space="preserve">3). </w:t>
      </w:r>
      <w:r w:rsidRPr="00043F87">
        <w:rPr>
          <w:rStyle w:val="rynqvb"/>
          <w:lang w:val="en-GB"/>
        </w:rPr>
        <w:t>Recently, it was proposed to produce H</w:t>
      </w:r>
      <w:r w:rsidRPr="00043F87">
        <w:rPr>
          <w:rStyle w:val="rynqvb"/>
          <w:vertAlign w:val="subscript"/>
          <w:lang w:val="en-GB"/>
        </w:rPr>
        <w:t>2</w:t>
      </w:r>
      <w:r w:rsidRPr="00043F87">
        <w:rPr>
          <w:rStyle w:val="rynqvb"/>
          <w:lang w:val="en-GB"/>
        </w:rPr>
        <w:t xml:space="preserve"> from biogas via reforming integrated with membrane-based CO</w:t>
      </w:r>
      <w:r w:rsidRPr="00043F87">
        <w:rPr>
          <w:rStyle w:val="rynqvb"/>
          <w:vertAlign w:val="subscript"/>
          <w:lang w:val="en-GB"/>
        </w:rPr>
        <w:t>2</w:t>
      </w:r>
      <w:r w:rsidRPr="00043F87">
        <w:rPr>
          <w:rStyle w:val="rynqvb"/>
          <w:lang w:val="en-GB"/>
        </w:rPr>
        <w:t xml:space="preserve"> (</w:t>
      </w:r>
      <w:proofErr w:type="spellStart"/>
      <w:r w:rsidRPr="00043F87">
        <w:rPr>
          <w:rStyle w:val="rynqvb"/>
          <w:lang w:val="en-GB"/>
        </w:rPr>
        <w:t>Cormos</w:t>
      </w:r>
      <w:proofErr w:type="spellEnd"/>
      <w:r w:rsidRPr="00043F87">
        <w:rPr>
          <w:rStyle w:val="rynqvb"/>
          <w:lang w:val="en-GB"/>
        </w:rPr>
        <w:t xml:space="preserve"> et al., 2024). </w:t>
      </w:r>
      <w:r w:rsidRPr="00043F87">
        <w:rPr>
          <w:lang w:val="en-GB"/>
        </w:rPr>
        <w:t>Also,</w:t>
      </w:r>
      <w:r w:rsidRPr="00043F87">
        <w:rPr>
          <w:lang w:val="en"/>
        </w:rPr>
        <w:t xml:space="preserve"> it was proposed to transform condensable oxygen compounds (in gaseous state) obtained from fast pyrolysis of biomass into biohydrogen by a continuous SR process (</w:t>
      </w:r>
      <w:proofErr w:type="spellStart"/>
      <w:r w:rsidRPr="00043F87">
        <w:rPr>
          <w:lang w:val="en"/>
        </w:rPr>
        <w:t>Leijenhorst</w:t>
      </w:r>
      <w:proofErr w:type="spellEnd"/>
      <w:r w:rsidRPr="00043F87">
        <w:rPr>
          <w:lang w:val="en"/>
        </w:rPr>
        <w:t xml:space="preserve"> 2016), however in this paper we focused on the SR of bio-oil </w:t>
      </w:r>
      <w:r w:rsidRPr="00043F87">
        <w:t>(Zhang et al., 2013)</w:t>
      </w:r>
      <w:r w:rsidRPr="00043F87">
        <w:rPr>
          <w:lang w:val="en-GB"/>
        </w:rPr>
        <w:t>.</w:t>
      </w:r>
    </w:p>
    <w:tbl>
      <w:tblPr>
        <w:tblW w:w="5000" w:type="pct"/>
        <w:tblLook w:val="04A0" w:firstRow="1" w:lastRow="0" w:firstColumn="1" w:lastColumn="0" w:noHBand="0" w:noVBand="1"/>
      </w:tblPr>
      <w:tblGrid>
        <w:gridCol w:w="7983"/>
        <w:gridCol w:w="804"/>
      </w:tblGrid>
      <w:tr w:rsidR="00043F87" w:rsidRPr="00043F87" w14:paraId="2210C185" w14:textId="77777777" w:rsidTr="00B817B5">
        <w:tc>
          <w:tcPr>
            <w:tcW w:w="8188" w:type="dxa"/>
            <w:shd w:val="clear" w:color="auto" w:fill="auto"/>
            <w:vAlign w:val="center"/>
          </w:tcPr>
          <w:p w14:paraId="3CA2BB5A" w14:textId="467CF71E" w:rsidR="00B817B5" w:rsidRPr="00043F87" w:rsidRDefault="00B817B5" w:rsidP="000A483F">
            <w:pPr>
              <w:pStyle w:val="CETEquation"/>
            </w:pPr>
            <m:oMathPara>
              <m:oMathParaPr>
                <m:jc m:val="left"/>
              </m:oMathParaPr>
              <m:oMath>
                <m:r>
                  <w:rPr>
                    <w:rStyle w:val="rynqvb"/>
                    <w:rFonts w:ascii="Cambria Math" w:hAnsi="Cambria Math"/>
                  </w:rPr>
                  <m:t>C</m:t>
                </m:r>
                <m:sSub>
                  <m:sSubPr>
                    <m:ctrlPr>
                      <w:rPr>
                        <w:rStyle w:val="rynqvb"/>
                        <w:rFonts w:ascii="Cambria Math" w:hAnsi="Cambria Math"/>
                        <w:i/>
                      </w:rPr>
                    </m:ctrlPr>
                  </m:sSubPr>
                  <m:e>
                    <m:r>
                      <w:rPr>
                        <w:rStyle w:val="rynqvb"/>
                        <w:rFonts w:ascii="Cambria Math" w:hAnsi="Cambria Math"/>
                      </w:rPr>
                      <m:t>H</m:t>
                    </m:r>
                  </m:e>
                  <m:sub>
                    <m:r>
                      <w:rPr>
                        <w:rStyle w:val="rynqvb"/>
                        <w:rFonts w:ascii="Cambria Math" w:hAnsi="Cambria Math"/>
                      </w:rPr>
                      <m:t>4</m:t>
                    </m:r>
                  </m:sub>
                </m:sSub>
                <m:r>
                  <w:rPr>
                    <w:rStyle w:val="rynqvb"/>
                    <w:rFonts w:ascii="Cambria Math" w:hAnsi="Cambria Math"/>
                    <w:lang w:val="it-IT"/>
                  </w:rPr>
                  <m:t>+</m:t>
                </m:r>
                <m:sSub>
                  <m:sSubPr>
                    <m:ctrlPr>
                      <w:rPr>
                        <w:rStyle w:val="rynqvb"/>
                        <w:rFonts w:ascii="Cambria Math" w:hAnsi="Cambria Math"/>
                        <w:i/>
                      </w:rPr>
                    </m:ctrlPr>
                  </m:sSubPr>
                  <m:e>
                    <m:r>
                      <w:rPr>
                        <w:rStyle w:val="rynqvb"/>
                        <w:rFonts w:ascii="Cambria Math" w:hAnsi="Cambria Math"/>
                      </w:rPr>
                      <m:t>H</m:t>
                    </m:r>
                  </m:e>
                  <m:sub>
                    <m:r>
                      <w:rPr>
                        <w:rStyle w:val="rynqvb"/>
                        <w:rFonts w:ascii="Cambria Math" w:hAnsi="Cambria Math"/>
                        <w:lang w:val="it-IT"/>
                      </w:rPr>
                      <m:t>2</m:t>
                    </m:r>
                  </m:sub>
                </m:sSub>
                <m:r>
                  <w:rPr>
                    <w:rStyle w:val="rynqvb"/>
                    <w:rFonts w:ascii="Cambria Math" w:hAnsi="Cambria Math"/>
                  </w:rPr>
                  <m:t>O</m:t>
                </m:r>
                <m:r>
                  <w:rPr>
                    <w:rStyle w:val="rynqvb"/>
                    <w:rFonts w:ascii="Cambria Math" w:hAnsi="Cambria Math"/>
                    <w:lang w:val="it-IT"/>
                  </w:rPr>
                  <m:t>=</m:t>
                </m:r>
                <m:r>
                  <w:rPr>
                    <w:rStyle w:val="rynqvb"/>
                    <w:rFonts w:ascii="Cambria Math" w:hAnsi="Cambria Math"/>
                  </w:rPr>
                  <m:t>CO</m:t>
                </m:r>
                <m:r>
                  <w:rPr>
                    <w:rStyle w:val="rynqvb"/>
                    <w:rFonts w:ascii="Cambria Math" w:hAnsi="Cambria Math"/>
                    <w:lang w:val="it-IT"/>
                  </w:rPr>
                  <m:t xml:space="preserve">+ </m:t>
                </m:r>
                <m:sSub>
                  <m:sSubPr>
                    <m:ctrlPr>
                      <w:rPr>
                        <w:rStyle w:val="rynqvb"/>
                        <w:rFonts w:ascii="Cambria Math" w:hAnsi="Cambria Math"/>
                        <w:i/>
                      </w:rPr>
                    </m:ctrlPr>
                  </m:sSubPr>
                  <m:e>
                    <m:r>
                      <w:rPr>
                        <w:rStyle w:val="rynqvb"/>
                        <w:rFonts w:ascii="Cambria Math" w:hAnsi="Cambria Math"/>
                      </w:rPr>
                      <m:t>3H</m:t>
                    </m:r>
                  </m:e>
                  <m:sub>
                    <m:r>
                      <w:rPr>
                        <w:rStyle w:val="rynqvb"/>
                        <w:rFonts w:ascii="Cambria Math" w:hAnsi="Cambria Math"/>
                        <w:lang w:val="it-IT"/>
                      </w:rPr>
                      <m:t>2</m:t>
                    </m:r>
                  </m:sub>
                </m:sSub>
              </m:oMath>
            </m:oMathPara>
          </w:p>
        </w:tc>
        <w:tc>
          <w:tcPr>
            <w:tcW w:w="815" w:type="dxa"/>
            <w:shd w:val="clear" w:color="auto" w:fill="auto"/>
            <w:vAlign w:val="center"/>
          </w:tcPr>
          <w:p w14:paraId="49FA4AB4" w14:textId="77777777" w:rsidR="00B817B5" w:rsidRPr="00043F87" w:rsidRDefault="00B817B5" w:rsidP="000A483F">
            <w:pPr>
              <w:pStyle w:val="CETEquation"/>
              <w:jc w:val="right"/>
            </w:pPr>
            <w:r w:rsidRPr="00043F87">
              <w:t>(1)</w:t>
            </w:r>
          </w:p>
        </w:tc>
      </w:tr>
      <w:tr w:rsidR="00043F87" w:rsidRPr="00043F87" w14:paraId="4E0312AA" w14:textId="77777777" w:rsidTr="00B817B5">
        <w:tc>
          <w:tcPr>
            <w:tcW w:w="8188" w:type="dxa"/>
            <w:shd w:val="clear" w:color="auto" w:fill="auto"/>
            <w:vAlign w:val="center"/>
          </w:tcPr>
          <w:p w14:paraId="5BF32E3F" w14:textId="7108A3DD" w:rsidR="00B817B5" w:rsidRPr="00043F87" w:rsidRDefault="00000000" w:rsidP="000A483F">
            <w:pPr>
              <w:pStyle w:val="CETEquation"/>
              <w:rPr>
                <w:noProof/>
                <w:lang w:val="it-IT" w:eastAsia="it-IT"/>
              </w:rPr>
            </w:pPr>
            <m:oMathPara>
              <m:oMathParaPr>
                <m:jc m:val="left"/>
              </m:oMathParaPr>
              <m:oMath>
                <m:sSub>
                  <m:sSubPr>
                    <m:ctrlPr>
                      <w:rPr>
                        <w:rStyle w:val="rynqvb"/>
                        <w:rFonts w:ascii="Cambria Math" w:hAnsi="Cambria Math"/>
                        <w:i/>
                      </w:rPr>
                    </m:ctrlPr>
                  </m:sSubPr>
                  <m:e>
                    <m:r>
                      <w:rPr>
                        <w:rStyle w:val="rynqvb"/>
                        <w:rFonts w:ascii="Cambria Math" w:hAnsi="Cambria Math"/>
                      </w:rPr>
                      <m:t>C</m:t>
                    </m:r>
                  </m:e>
                  <m:sub>
                    <m:r>
                      <w:rPr>
                        <w:rStyle w:val="rynqvb"/>
                        <w:rFonts w:ascii="Cambria Math" w:hAnsi="Cambria Math"/>
                      </w:rPr>
                      <m:t>x</m:t>
                    </m:r>
                  </m:sub>
                </m:sSub>
                <m:sSub>
                  <m:sSubPr>
                    <m:ctrlPr>
                      <w:rPr>
                        <w:rStyle w:val="rynqvb"/>
                        <w:rFonts w:ascii="Cambria Math" w:hAnsi="Cambria Math"/>
                        <w:i/>
                      </w:rPr>
                    </m:ctrlPr>
                  </m:sSubPr>
                  <m:e>
                    <m:r>
                      <w:rPr>
                        <w:rStyle w:val="rynqvb"/>
                        <w:rFonts w:ascii="Cambria Math" w:hAnsi="Cambria Math"/>
                      </w:rPr>
                      <m:t>H</m:t>
                    </m:r>
                  </m:e>
                  <m:sub>
                    <m:r>
                      <w:rPr>
                        <w:rStyle w:val="rynqvb"/>
                        <w:rFonts w:ascii="Cambria Math" w:hAnsi="Cambria Math"/>
                      </w:rPr>
                      <m:t>y</m:t>
                    </m:r>
                  </m:sub>
                </m:sSub>
                <m:sSub>
                  <m:sSubPr>
                    <m:ctrlPr>
                      <w:rPr>
                        <w:rStyle w:val="rynqvb"/>
                        <w:rFonts w:ascii="Cambria Math" w:hAnsi="Cambria Math"/>
                        <w:i/>
                      </w:rPr>
                    </m:ctrlPr>
                  </m:sSubPr>
                  <m:e>
                    <m:r>
                      <w:rPr>
                        <w:rStyle w:val="rynqvb"/>
                        <w:rFonts w:ascii="Cambria Math" w:hAnsi="Cambria Math"/>
                      </w:rPr>
                      <m:t>O</m:t>
                    </m:r>
                  </m:e>
                  <m:sub>
                    <m:r>
                      <w:rPr>
                        <w:rStyle w:val="rynqvb"/>
                        <w:rFonts w:ascii="Cambria Math" w:hAnsi="Cambria Math"/>
                      </w:rPr>
                      <m:t>z</m:t>
                    </m:r>
                  </m:sub>
                </m:sSub>
                <m:r>
                  <w:rPr>
                    <w:rStyle w:val="rynqvb"/>
                    <w:rFonts w:ascii="Cambria Math" w:eastAsiaTheme="minorEastAsia" w:hAnsi="Cambria Math"/>
                  </w:rPr>
                  <m:t>+</m:t>
                </m:r>
                <m:d>
                  <m:dPr>
                    <m:ctrlPr>
                      <w:rPr>
                        <w:rStyle w:val="rynqvb"/>
                        <w:rFonts w:ascii="Cambria Math" w:eastAsiaTheme="minorEastAsia" w:hAnsi="Cambria Math"/>
                        <w:i/>
                      </w:rPr>
                    </m:ctrlPr>
                  </m:dPr>
                  <m:e>
                    <m:r>
                      <w:rPr>
                        <w:rStyle w:val="rynqvb"/>
                        <w:rFonts w:ascii="Cambria Math" w:eastAsiaTheme="minorEastAsia" w:hAnsi="Cambria Math"/>
                      </w:rPr>
                      <m:t>x - z</m:t>
                    </m:r>
                  </m:e>
                </m:d>
                <m:sSub>
                  <m:sSubPr>
                    <m:ctrlPr>
                      <w:rPr>
                        <w:rStyle w:val="rynqvb"/>
                        <w:rFonts w:ascii="Cambria Math" w:eastAsiaTheme="minorEastAsia" w:hAnsi="Cambria Math"/>
                        <w:i/>
                      </w:rPr>
                    </m:ctrlPr>
                  </m:sSubPr>
                  <m:e>
                    <m:r>
                      <w:rPr>
                        <w:rStyle w:val="rynqvb"/>
                        <w:rFonts w:ascii="Cambria Math" w:eastAsiaTheme="minorEastAsia" w:hAnsi="Cambria Math"/>
                      </w:rPr>
                      <m:t>H</m:t>
                    </m:r>
                  </m:e>
                  <m:sub>
                    <m:r>
                      <w:rPr>
                        <w:rStyle w:val="rynqvb"/>
                        <w:rFonts w:ascii="Cambria Math" w:eastAsiaTheme="minorEastAsia" w:hAnsi="Cambria Math"/>
                      </w:rPr>
                      <m:t>2</m:t>
                    </m:r>
                  </m:sub>
                </m:sSub>
                <m:r>
                  <w:rPr>
                    <w:rStyle w:val="rynqvb"/>
                    <w:rFonts w:ascii="Cambria Math" w:eastAsiaTheme="minorEastAsia" w:hAnsi="Cambria Math"/>
                  </w:rPr>
                  <m:t>O→xCO+</m:t>
                </m:r>
                <m:d>
                  <m:dPr>
                    <m:begChr m:val="["/>
                    <m:endChr m:val="]"/>
                    <m:ctrlPr>
                      <w:rPr>
                        <w:rStyle w:val="rynqvb"/>
                        <w:rFonts w:ascii="Cambria Math" w:eastAsiaTheme="minorEastAsia" w:hAnsi="Cambria Math"/>
                        <w:i/>
                      </w:rPr>
                    </m:ctrlPr>
                  </m:dPr>
                  <m:e>
                    <m:r>
                      <w:rPr>
                        <w:rStyle w:val="rynqvb"/>
                        <w:rFonts w:ascii="Cambria Math" w:eastAsiaTheme="minorEastAsia" w:hAnsi="Cambria Math"/>
                      </w:rPr>
                      <m:t>y/2+x - z</m:t>
                    </m:r>
                  </m:e>
                </m:d>
                <m:sSub>
                  <m:sSubPr>
                    <m:ctrlPr>
                      <w:rPr>
                        <w:rStyle w:val="rynqvb"/>
                        <w:rFonts w:ascii="Cambria Math" w:eastAsiaTheme="minorEastAsia" w:hAnsi="Cambria Math"/>
                        <w:i/>
                      </w:rPr>
                    </m:ctrlPr>
                  </m:sSubPr>
                  <m:e>
                    <m:r>
                      <w:rPr>
                        <w:rStyle w:val="rynqvb"/>
                        <w:rFonts w:ascii="Cambria Math" w:eastAsiaTheme="minorEastAsia" w:hAnsi="Cambria Math"/>
                      </w:rPr>
                      <m:t>H</m:t>
                    </m:r>
                  </m:e>
                  <m:sub>
                    <m:r>
                      <w:rPr>
                        <w:rStyle w:val="rynqvb"/>
                        <w:rFonts w:ascii="Cambria Math" w:eastAsiaTheme="minorEastAsia" w:hAnsi="Cambria Math"/>
                      </w:rPr>
                      <m:t>2</m:t>
                    </m:r>
                  </m:sub>
                </m:sSub>
              </m:oMath>
            </m:oMathPara>
          </w:p>
        </w:tc>
        <w:tc>
          <w:tcPr>
            <w:tcW w:w="815" w:type="dxa"/>
            <w:shd w:val="clear" w:color="auto" w:fill="auto"/>
            <w:vAlign w:val="center"/>
          </w:tcPr>
          <w:p w14:paraId="1B41FFE7" w14:textId="676C54AC" w:rsidR="00B817B5" w:rsidRPr="00043F87" w:rsidRDefault="00B817B5" w:rsidP="000A483F">
            <w:pPr>
              <w:pStyle w:val="CETEquation"/>
              <w:jc w:val="right"/>
            </w:pPr>
            <w:r w:rsidRPr="00043F87">
              <w:t>(2)</w:t>
            </w:r>
          </w:p>
        </w:tc>
      </w:tr>
      <w:tr w:rsidR="00043F87" w:rsidRPr="00043F87" w14:paraId="4499F8B6" w14:textId="77777777" w:rsidTr="00B817B5">
        <w:tc>
          <w:tcPr>
            <w:tcW w:w="8188" w:type="dxa"/>
            <w:shd w:val="clear" w:color="auto" w:fill="auto"/>
            <w:vAlign w:val="center"/>
          </w:tcPr>
          <w:p w14:paraId="0AD87B7E" w14:textId="6CA77DFC" w:rsidR="00B817B5" w:rsidRPr="00043F87" w:rsidRDefault="00B817B5" w:rsidP="000A483F">
            <w:pPr>
              <w:pStyle w:val="CETEquation"/>
              <w:rPr>
                <w:noProof/>
                <w:lang w:val="it-IT" w:eastAsia="it-IT"/>
              </w:rPr>
            </w:pPr>
            <m:oMathPara>
              <m:oMathParaPr>
                <m:jc m:val="left"/>
              </m:oMathParaPr>
              <m:oMath>
                <m:r>
                  <w:rPr>
                    <w:rStyle w:val="rynqvb"/>
                    <w:rFonts w:ascii="Cambria Math" w:hAnsi="Cambria Math"/>
                  </w:rPr>
                  <m:t>CO+</m:t>
                </m:r>
                <m:sSub>
                  <m:sSubPr>
                    <m:ctrlPr>
                      <w:rPr>
                        <w:rStyle w:val="rynqvb"/>
                        <w:rFonts w:ascii="Cambria Math" w:hAnsi="Cambria Math"/>
                        <w:i/>
                      </w:rPr>
                    </m:ctrlPr>
                  </m:sSubPr>
                  <m:e>
                    <m:r>
                      <w:rPr>
                        <w:rStyle w:val="rynqvb"/>
                        <w:rFonts w:ascii="Cambria Math" w:hAnsi="Cambria Math"/>
                      </w:rPr>
                      <m:t>H</m:t>
                    </m:r>
                  </m:e>
                  <m:sub>
                    <m:r>
                      <w:rPr>
                        <w:rStyle w:val="rynqvb"/>
                        <w:rFonts w:ascii="Cambria Math" w:hAnsi="Cambria Math"/>
                      </w:rPr>
                      <m:t>2</m:t>
                    </m:r>
                  </m:sub>
                </m:sSub>
                <m:r>
                  <w:rPr>
                    <w:rStyle w:val="rynqvb"/>
                    <w:rFonts w:ascii="Cambria Math" w:hAnsi="Cambria Math"/>
                  </w:rPr>
                  <m:t>O→</m:t>
                </m:r>
                <m:sSub>
                  <m:sSubPr>
                    <m:ctrlPr>
                      <w:rPr>
                        <w:rStyle w:val="rynqvb"/>
                        <w:rFonts w:ascii="Cambria Math" w:hAnsi="Cambria Math"/>
                        <w:i/>
                      </w:rPr>
                    </m:ctrlPr>
                  </m:sSubPr>
                  <m:e>
                    <m:r>
                      <w:rPr>
                        <w:rStyle w:val="rynqvb"/>
                        <w:rFonts w:ascii="Cambria Math" w:hAnsi="Cambria Math"/>
                      </w:rPr>
                      <m:t>CO</m:t>
                    </m:r>
                  </m:e>
                  <m:sub>
                    <m:r>
                      <w:rPr>
                        <w:rStyle w:val="rynqvb"/>
                        <w:rFonts w:ascii="Cambria Math" w:hAnsi="Cambria Math"/>
                      </w:rPr>
                      <m:t>2</m:t>
                    </m:r>
                  </m:sub>
                </m:sSub>
                <m:r>
                  <w:rPr>
                    <w:rStyle w:val="rynqvb"/>
                    <w:rFonts w:ascii="Cambria Math" w:hAnsi="Cambria Math"/>
                  </w:rPr>
                  <m:t>+</m:t>
                </m:r>
                <m:sSub>
                  <m:sSubPr>
                    <m:ctrlPr>
                      <w:rPr>
                        <w:rStyle w:val="rynqvb"/>
                        <w:rFonts w:ascii="Cambria Math" w:hAnsi="Cambria Math"/>
                        <w:i/>
                      </w:rPr>
                    </m:ctrlPr>
                  </m:sSubPr>
                  <m:e>
                    <m:r>
                      <w:rPr>
                        <w:rStyle w:val="rynqvb"/>
                        <w:rFonts w:ascii="Cambria Math" w:hAnsi="Cambria Math"/>
                      </w:rPr>
                      <m:t>H</m:t>
                    </m:r>
                  </m:e>
                  <m:sub>
                    <m:r>
                      <w:rPr>
                        <w:rStyle w:val="rynqvb"/>
                        <w:rFonts w:ascii="Cambria Math" w:hAnsi="Cambria Math"/>
                      </w:rPr>
                      <m:t>2</m:t>
                    </m:r>
                  </m:sub>
                </m:sSub>
              </m:oMath>
            </m:oMathPara>
          </w:p>
        </w:tc>
        <w:tc>
          <w:tcPr>
            <w:tcW w:w="815" w:type="dxa"/>
            <w:shd w:val="clear" w:color="auto" w:fill="auto"/>
            <w:vAlign w:val="center"/>
          </w:tcPr>
          <w:p w14:paraId="2E06593B" w14:textId="7A4B17DB" w:rsidR="00B817B5" w:rsidRPr="00043F87" w:rsidRDefault="00B817B5" w:rsidP="000A483F">
            <w:pPr>
              <w:pStyle w:val="CETEquation"/>
              <w:jc w:val="right"/>
            </w:pPr>
            <w:r w:rsidRPr="00043F87">
              <w:t>(3)</w:t>
            </w:r>
          </w:p>
        </w:tc>
      </w:tr>
    </w:tbl>
    <w:p w14:paraId="23F86FEF" w14:textId="1E8EF72C" w:rsidR="00600535" w:rsidRPr="00043F87" w:rsidRDefault="00B817B5" w:rsidP="0079193A">
      <w:pPr>
        <w:pStyle w:val="CETHeading1"/>
        <w:numPr>
          <w:ilvl w:val="0"/>
          <w:numId w:val="0"/>
        </w:numPr>
        <w:jc w:val="both"/>
        <w:rPr>
          <w:b w:val="0"/>
          <w:sz w:val="18"/>
          <w:lang w:val="en-GB"/>
        </w:rPr>
      </w:pPr>
      <w:r w:rsidRPr="00043F87">
        <w:rPr>
          <w:rStyle w:val="rynqvb"/>
          <w:b w:val="0"/>
          <w:sz w:val="18"/>
          <w:lang w:val="en-GB"/>
        </w:rPr>
        <w:t>Considering the above, this paper focused on assess the technical and economic performance of producing biohydrogen from biogas, bio-oil and syngas using the LCOH as a methodology and compare the outcomes with those of producing fossil-based H</w:t>
      </w:r>
      <w:r w:rsidRPr="00043F87">
        <w:rPr>
          <w:rStyle w:val="rynqvb"/>
          <w:b w:val="0"/>
          <w:sz w:val="18"/>
          <w:vertAlign w:val="subscript"/>
          <w:lang w:val="en-GB"/>
        </w:rPr>
        <w:t>2</w:t>
      </w:r>
      <w:r w:rsidRPr="00043F87">
        <w:rPr>
          <w:rStyle w:val="rynqvb"/>
          <w:b w:val="0"/>
          <w:sz w:val="18"/>
          <w:lang w:val="en-GB"/>
        </w:rPr>
        <w:t>. The LCOH shows the average cost of H</w:t>
      </w:r>
      <w:r w:rsidRPr="00043F87">
        <w:rPr>
          <w:rStyle w:val="rynqvb"/>
          <w:b w:val="0"/>
          <w:sz w:val="18"/>
          <w:vertAlign w:val="subscript"/>
          <w:lang w:val="en-GB"/>
        </w:rPr>
        <w:t>2</w:t>
      </w:r>
      <w:r w:rsidRPr="00043F87">
        <w:rPr>
          <w:rStyle w:val="rynqvb"/>
          <w:b w:val="0"/>
          <w:sz w:val="18"/>
          <w:lang w:val="en-GB"/>
        </w:rPr>
        <w:t xml:space="preserve"> production per unit of H</w:t>
      </w:r>
      <w:r w:rsidRPr="00043F87">
        <w:rPr>
          <w:rStyle w:val="rynqvb"/>
          <w:b w:val="0"/>
          <w:sz w:val="18"/>
          <w:vertAlign w:val="subscript"/>
          <w:lang w:val="en-GB"/>
        </w:rPr>
        <w:t>2</w:t>
      </w:r>
      <w:r w:rsidRPr="00043F87">
        <w:rPr>
          <w:rStyle w:val="rynqvb"/>
          <w:b w:val="0"/>
          <w:sz w:val="18"/>
          <w:lang w:val="en-GB"/>
        </w:rPr>
        <w:t xml:space="preserve"> and represent the minimum price at which H</w:t>
      </w:r>
      <w:r w:rsidRPr="00043F87">
        <w:rPr>
          <w:rStyle w:val="rynqvb"/>
          <w:b w:val="0"/>
          <w:sz w:val="18"/>
          <w:vertAlign w:val="subscript"/>
          <w:lang w:val="en-GB"/>
        </w:rPr>
        <w:t>2</w:t>
      </w:r>
      <w:r w:rsidRPr="00043F87">
        <w:rPr>
          <w:rStyle w:val="rynqvb"/>
          <w:b w:val="0"/>
          <w:sz w:val="18"/>
          <w:lang w:val="en-GB"/>
        </w:rPr>
        <w:t xml:space="preserve"> must be sold to achieve a return of the investment of the project (break-even point) (Wolf et al., 2024). Additionally, given that some refineries in Italy have modified their production setups in the last decade to produce high-quality biofuels from biowaste instead of fossil fuels, but they still use fossil-based H</w:t>
      </w:r>
      <w:r w:rsidRPr="00043F87">
        <w:rPr>
          <w:rStyle w:val="rynqvb"/>
          <w:b w:val="0"/>
          <w:sz w:val="18"/>
          <w:vertAlign w:val="subscript"/>
          <w:lang w:val="en-GB"/>
        </w:rPr>
        <w:t>2</w:t>
      </w:r>
      <w:r w:rsidRPr="00043F87">
        <w:rPr>
          <w:rStyle w:val="rynqvb"/>
          <w:b w:val="0"/>
          <w:sz w:val="18"/>
          <w:lang w:val="en-GB"/>
        </w:rPr>
        <w:t xml:space="preserve"> for refining, the biorefinery industry was considered as a model in which biohydrogen could be used if technological, economic, and environmental conditions allow it.</w:t>
      </w:r>
    </w:p>
    <w:p w14:paraId="5741900F" w14:textId="2B2FF589" w:rsidR="00453E24" w:rsidRPr="00043F87" w:rsidRDefault="00E5550C" w:rsidP="00E5550C">
      <w:pPr>
        <w:pStyle w:val="CETHeading1"/>
      </w:pPr>
      <w:r w:rsidRPr="00043F87">
        <w:t>Biohydrogen production processes and demand of raw materials and energy</w:t>
      </w:r>
    </w:p>
    <w:p w14:paraId="7C2B0064" w14:textId="022ADC78" w:rsidR="00453E24" w:rsidRPr="00043F87" w:rsidRDefault="00E5550C" w:rsidP="00453E24">
      <w:pPr>
        <w:pStyle w:val="CETBodytext"/>
        <w:rPr>
          <w:lang w:val="en"/>
        </w:rPr>
      </w:pPr>
      <w:r w:rsidRPr="00043F87">
        <w:rPr>
          <w:lang w:val="en"/>
        </w:rPr>
        <w:t>As showed in Figure 1 System 1 involved the H</w:t>
      </w:r>
      <w:r w:rsidRPr="00043F87">
        <w:rPr>
          <w:vertAlign w:val="subscript"/>
          <w:lang w:val="en"/>
        </w:rPr>
        <w:t>2</w:t>
      </w:r>
      <w:r w:rsidRPr="00043F87">
        <w:rPr>
          <w:lang w:val="en"/>
        </w:rPr>
        <w:t xml:space="preserve"> production from natural gas via SR, while the systems for producing biohydrogen were defined as follows: biogas production from biowaste through anaerobic digestion (AD) (biochemical pathway) and its subsequent upgrading via SR, WGS and PSA (system 2); bio-oil production from biomass residues through fast pyrolysis (FP) and its subsequent upgrading via SR, WGS and PSA (system 3); syngas production from biomass residues through steam gasification (SG) and its subsequent upgrade via WGS and PSA (system 4). </w:t>
      </w:r>
      <w:bookmarkStart w:id="14" w:name="_Hlk187597320"/>
      <w:r w:rsidRPr="00043F87">
        <w:rPr>
          <w:lang w:val="en"/>
        </w:rPr>
        <w:t>Considering the biorefinery industry as model, an H</w:t>
      </w:r>
      <w:r w:rsidRPr="00043F87">
        <w:rPr>
          <w:vertAlign w:val="subscript"/>
          <w:lang w:val="en"/>
        </w:rPr>
        <w:t>2</w:t>
      </w:r>
      <w:r w:rsidRPr="00043F87">
        <w:rPr>
          <w:lang w:val="en"/>
        </w:rPr>
        <w:t xml:space="preserve"> productivity of 30,000 Nm</w:t>
      </w:r>
      <w:r w:rsidRPr="00043F87">
        <w:rPr>
          <w:vertAlign w:val="superscript"/>
          <w:lang w:val="en"/>
        </w:rPr>
        <w:t>3</w:t>
      </w:r>
      <w:r w:rsidRPr="00043F87">
        <w:rPr>
          <w:lang w:val="en"/>
        </w:rPr>
        <w:t xml:space="preserve">/h (2,700 Kg/h) was established for all systems which is the amount required by a biorefinery to process around 600,000 t/y of biowaste and produce 540,000 t/y of biofuels (Eni S.p.A., 2022). Furthermore, it </w:t>
      </w:r>
      <w:r w:rsidRPr="00043F87">
        <w:rPr>
          <w:lang w:val="en-GB"/>
        </w:rPr>
        <w:t xml:space="preserve">was assumed that the systems operated for 8,760 h/y and have an operational lifespan of 20 years at a 7 % discount rate. The </w:t>
      </w:r>
      <w:r w:rsidRPr="00043F87">
        <w:rPr>
          <w:lang w:val="en"/>
        </w:rPr>
        <w:t>results concerning the demand for raw materials, energy and other inputs to produce 23,652 t H</w:t>
      </w:r>
      <w:r w:rsidRPr="00043F87">
        <w:rPr>
          <w:vertAlign w:val="subscript"/>
          <w:lang w:val="en"/>
        </w:rPr>
        <w:t>2</w:t>
      </w:r>
      <w:r w:rsidRPr="00043F87">
        <w:rPr>
          <w:lang w:val="en"/>
        </w:rPr>
        <w:t>/y (showed in Table 1) was determined after an extensive literature review and based on data from previously developed simulation models. In general, an H</w:t>
      </w:r>
      <w:r w:rsidRPr="00043F87">
        <w:rPr>
          <w:vertAlign w:val="subscript"/>
          <w:lang w:val="en"/>
        </w:rPr>
        <w:t>2</w:t>
      </w:r>
      <w:r w:rsidRPr="00043F87">
        <w:rPr>
          <w:lang w:val="en"/>
        </w:rPr>
        <w:t xml:space="preserve"> recovery efficiency of the PSA unit of 85 % was assumed for all the systems, resulting in an H</w:t>
      </w:r>
      <w:r w:rsidRPr="00043F87">
        <w:rPr>
          <w:vertAlign w:val="subscript"/>
          <w:lang w:val="en"/>
        </w:rPr>
        <w:t>2</w:t>
      </w:r>
      <w:r w:rsidRPr="00043F87">
        <w:rPr>
          <w:lang w:val="en"/>
        </w:rPr>
        <w:t xml:space="preserve"> demand of 1.18 kg prior to the PSA process </w:t>
      </w:r>
      <w:r w:rsidRPr="00043F87">
        <w:rPr>
          <w:rStyle w:val="rynqvb"/>
          <w:rFonts w:eastAsiaTheme="minorEastAsia" w:cs="Arial"/>
        </w:rPr>
        <w:t>(Yao et al., 2017)</w:t>
      </w:r>
      <w:r w:rsidRPr="00043F87">
        <w:rPr>
          <w:lang w:val="en"/>
        </w:rPr>
        <w:t>.</w:t>
      </w:r>
      <w:bookmarkEnd w:id="14"/>
    </w:p>
    <w:p w14:paraId="49F6F816" w14:textId="556C756C" w:rsidR="00E5550C" w:rsidRPr="00043F87" w:rsidRDefault="00E5550C" w:rsidP="00E5550C">
      <w:pPr>
        <w:pStyle w:val="CETCaption"/>
      </w:pPr>
      <w:r w:rsidRPr="00043F87">
        <w:rPr>
          <w:noProof/>
        </w:rPr>
        <w:lastRenderedPageBreak/>
        <w:drawing>
          <wp:inline distT="0" distB="0" distL="0" distR="0" wp14:anchorId="52F06095" wp14:editId="703DB9AB">
            <wp:extent cx="5524500" cy="1804670"/>
            <wp:effectExtent l="0" t="0" r="0" b="5080"/>
            <wp:docPr id="213275370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080" r="1057"/>
                    <a:stretch/>
                  </pic:blipFill>
                  <pic:spPr bwMode="auto">
                    <a:xfrm>
                      <a:off x="0" y="0"/>
                      <a:ext cx="5524500" cy="1804670"/>
                    </a:xfrm>
                    <a:prstGeom prst="rect">
                      <a:avLst/>
                    </a:prstGeom>
                    <a:noFill/>
                    <a:ln>
                      <a:noFill/>
                    </a:ln>
                    <a:extLst>
                      <a:ext uri="{53640926-AAD7-44D8-BBD7-CCE9431645EC}">
                        <a14:shadowObscured xmlns:a14="http://schemas.microsoft.com/office/drawing/2010/main"/>
                      </a:ext>
                    </a:extLst>
                  </pic:spPr>
                </pic:pic>
              </a:graphicData>
            </a:graphic>
          </wp:inline>
        </w:drawing>
      </w:r>
    </w:p>
    <w:p w14:paraId="22984F24" w14:textId="740D834B" w:rsidR="00E5550C" w:rsidRPr="00043F87" w:rsidRDefault="00E5550C" w:rsidP="00E5550C">
      <w:pPr>
        <w:pStyle w:val="CETCaption"/>
      </w:pPr>
      <w:r w:rsidRPr="00043F87">
        <w:rPr>
          <w:rStyle w:val="CETCaptionCarattere"/>
          <w:i/>
        </w:rPr>
        <w:t>Figure 1: Schematic representation of the biohydrogen production systems under analysis</w:t>
      </w:r>
      <w:r w:rsidRPr="00043F87">
        <w:t xml:space="preserve"> </w:t>
      </w:r>
    </w:p>
    <w:p w14:paraId="69D5BAAD" w14:textId="167E1CF7" w:rsidR="00E5550C" w:rsidRPr="00043F87" w:rsidRDefault="00E5550C" w:rsidP="00E5550C">
      <w:pPr>
        <w:pStyle w:val="CETTabletitle"/>
      </w:pPr>
      <w:r w:rsidRPr="00043F87">
        <w:t>Table 1: Raw material and energy demand to produce 23,652 t H</w:t>
      </w:r>
      <w:r w:rsidRPr="00043F87">
        <w:rPr>
          <w:vertAlign w:val="subscript"/>
        </w:rPr>
        <w:t>2</w:t>
      </w:r>
      <w:r w:rsidRPr="00043F87">
        <w:t>/y via system 1 (Eni S.p.A., 2022), system 2 (Ardolino et al., 2018), system 3 (Zhang et al., 2013) and system 4 (Yao et al., 2017)</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253"/>
        <w:gridCol w:w="1134"/>
        <w:gridCol w:w="1134"/>
        <w:gridCol w:w="1134"/>
        <w:gridCol w:w="1134"/>
      </w:tblGrid>
      <w:tr w:rsidR="00043F87" w:rsidRPr="00043F87" w14:paraId="6482374A" w14:textId="77777777" w:rsidTr="00E5550C">
        <w:tc>
          <w:tcPr>
            <w:tcW w:w="4253" w:type="dxa"/>
            <w:tcBorders>
              <w:top w:val="single" w:sz="12" w:space="0" w:color="008000"/>
              <w:bottom w:val="single" w:sz="6" w:space="0" w:color="008000"/>
            </w:tcBorders>
            <w:shd w:val="clear" w:color="auto" w:fill="FFFFFF"/>
          </w:tcPr>
          <w:p w14:paraId="47677FA6" w14:textId="1DD22A5B" w:rsidR="00E5550C" w:rsidRPr="00043F87" w:rsidRDefault="00E5550C" w:rsidP="000A483F">
            <w:pPr>
              <w:pStyle w:val="CETBodytext"/>
              <w:rPr>
                <w:lang w:val="en-GB"/>
              </w:rPr>
            </w:pPr>
            <w:r w:rsidRPr="00043F87">
              <w:rPr>
                <w:lang w:val="en-GB"/>
              </w:rPr>
              <w:t xml:space="preserve">Description </w:t>
            </w:r>
          </w:p>
        </w:tc>
        <w:tc>
          <w:tcPr>
            <w:tcW w:w="1134" w:type="dxa"/>
            <w:tcBorders>
              <w:top w:val="single" w:sz="12" w:space="0" w:color="008000"/>
              <w:bottom w:val="single" w:sz="6" w:space="0" w:color="008000"/>
            </w:tcBorders>
            <w:shd w:val="clear" w:color="auto" w:fill="FFFFFF"/>
          </w:tcPr>
          <w:p w14:paraId="6898E65C" w14:textId="42F0B3D3" w:rsidR="00E5550C" w:rsidRPr="00043F87" w:rsidRDefault="00E5550C" w:rsidP="000A483F">
            <w:pPr>
              <w:pStyle w:val="CETBodytext"/>
              <w:rPr>
                <w:lang w:val="en-GB"/>
              </w:rPr>
            </w:pPr>
            <w:r w:rsidRPr="00043F87">
              <w:t>System 1</w:t>
            </w:r>
          </w:p>
        </w:tc>
        <w:tc>
          <w:tcPr>
            <w:tcW w:w="1134" w:type="dxa"/>
            <w:tcBorders>
              <w:top w:val="single" w:sz="12" w:space="0" w:color="008000"/>
              <w:bottom w:val="single" w:sz="6" w:space="0" w:color="008000"/>
            </w:tcBorders>
            <w:shd w:val="clear" w:color="auto" w:fill="FFFFFF"/>
          </w:tcPr>
          <w:p w14:paraId="4CCA3635" w14:textId="4F7FBF27" w:rsidR="00E5550C" w:rsidRPr="00043F87" w:rsidRDefault="00E5550C" w:rsidP="000A483F">
            <w:pPr>
              <w:pStyle w:val="CETBodytext"/>
              <w:rPr>
                <w:lang w:val="en-GB"/>
              </w:rPr>
            </w:pPr>
            <w:r w:rsidRPr="00043F87">
              <w:t>System 2</w:t>
            </w:r>
          </w:p>
        </w:tc>
        <w:tc>
          <w:tcPr>
            <w:tcW w:w="1134" w:type="dxa"/>
            <w:tcBorders>
              <w:top w:val="single" w:sz="12" w:space="0" w:color="008000"/>
              <w:bottom w:val="single" w:sz="6" w:space="0" w:color="008000"/>
            </w:tcBorders>
            <w:shd w:val="clear" w:color="auto" w:fill="FFFFFF"/>
          </w:tcPr>
          <w:p w14:paraId="048E607B" w14:textId="75053B77" w:rsidR="00E5550C" w:rsidRPr="00043F87" w:rsidRDefault="00E5550C" w:rsidP="000A483F">
            <w:pPr>
              <w:pStyle w:val="CETBodytext"/>
              <w:ind w:right="-1"/>
              <w:rPr>
                <w:rFonts w:cs="Arial"/>
                <w:szCs w:val="18"/>
                <w:lang w:val="en-GB"/>
              </w:rPr>
            </w:pPr>
            <w:r w:rsidRPr="00043F87">
              <w:t>System 3</w:t>
            </w:r>
          </w:p>
        </w:tc>
        <w:tc>
          <w:tcPr>
            <w:tcW w:w="1134" w:type="dxa"/>
            <w:tcBorders>
              <w:top w:val="single" w:sz="12" w:space="0" w:color="008000"/>
              <w:bottom w:val="single" w:sz="6" w:space="0" w:color="008000"/>
            </w:tcBorders>
            <w:shd w:val="clear" w:color="auto" w:fill="FFFFFF"/>
          </w:tcPr>
          <w:p w14:paraId="6517FE43" w14:textId="60DF5101" w:rsidR="00E5550C" w:rsidRPr="00043F87" w:rsidRDefault="00E5550C" w:rsidP="000A483F">
            <w:pPr>
              <w:pStyle w:val="CETBodytext"/>
              <w:ind w:right="-1"/>
              <w:rPr>
                <w:rFonts w:cs="Arial"/>
                <w:szCs w:val="18"/>
                <w:lang w:val="en-GB"/>
              </w:rPr>
            </w:pPr>
            <w:r w:rsidRPr="00043F87">
              <w:t>System 4</w:t>
            </w:r>
          </w:p>
        </w:tc>
      </w:tr>
      <w:tr w:rsidR="00043F87" w:rsidRPr="00043F87" w14:paraId="73E3E1C4" w14:textId="77777777" w:rsidTr="00E5550C">
        <w:tc>
          <w:tcPr>
            <w:tcW w:w="4253" w:type="dxa"/>
            <w:shd w:val="clear" w:color="auto" w:fill="FFFFFF"/>
          </w:tcPr>
          <w:p w14:paraId="729001BF" w14:textId="6B63DD4C" w:rsidR="00E5550C" w:rsidRPr="00043F87" w:rsidRDefault="00E5550C" w:rsidP="000A483F">
            <w:pPr>
              <w:pStyle w:val="CETBodytext"/>
              <w:rPr>
                <w:lang w:val="en-GB"/>
              </w:rPr>
            </w:pPr>
            <w:r w:rsidRPr="00043F87">
              <w:rPr>
                <w:rFonts w:cs="Arial"/>
                <w:szCs w:val="18"/>
                <w:lang w:val="en-GB"/>
              </w:rPr>
              <w:t>Intermediates demand (t/y)</w:t>
            </w:r>
          </w:p>
        </w:tc>
        <w:tc>
          <w:tcPr>
            <w:tcW w:w="1134" w:type="dxa"/>
            <w:shd w:val="clear" w:color="auto" w:fill="FFFFFF"/>
          </w:tcPr>
          <w:p w14:paraId="19A003DC" w14:textId="77777777" w:rsidR="00E5550C" w:rsidRPr="00043F87" w:rsidRDefault="00E5550C" w:rsidP="000A483F">
            <w:pPr>
              <w:pStyle w:val="CETBodytext"/>
              <w:rPr>
                <w:lang w:val="en-GB"/>
              </w:rPr>
            </w:pPr>
          </w:p>
        </w:tc>
        <w:tc>
          <w:tcPr>
            <w:tcW w:w="1134" w:type="dxa"/>
            <w:shd w:val="clear" w:color="auto" w:fill="FFFFFF"/>
          </w:tcPr>
          <w:p w14:paraId="2AC0D1FC" w14:textId="77777777" w:rsidR="00E5550C" w:rsidRPr="00043F87" w:rsidRDefault="00E5550C" w:rsidP="000A483F">
            <w:pPr>
              <w:pStyle w:val="CETBodytext"/>
              <w:rPr>
                <w:lang w:val="en-GB"/>
              </w:rPr>
            </w:pPr>
          </w:p>
        </w:tc>
        <w:tc>
          <w:tcPr>
            <w:tcW w:w="1134" w:type="dxa"/>
            <w:shd w:val="clear" w:color="auto" w:fill="FFFFFF"/>
          </w:tcPr>
          <w:p w14:paraId="424479D4" w14:textId="77777777" w:rsidR="00E5550C" w:rsidRPr="00043F87" w:rsidRDefault="00E5550C" w:rsidP="000A483F">
            <w:pPr>
              <w:pStyle w:val="CETBodytext"/>
              <w:ind w:right="-1"/>
              <w:rPr>
                <w:rFonts w:cs="Arial"/>
                <w:szCs w:val="18"/>
                <w:lang w:val="en-GB"/>
              </w:rPr>
            </w:pPr>
          </w:p>
        </w:tc>
        <w:tc>
          <w:tcPr>
            <w:tcW w:w="1134" w:type="dxa"/>
            <w:shd w:val="clear" w:color="auto" w:fill="FFFFFF"/>
          </w:tcPr>
          <w:p w14:paraId="58028637" w14:textId="77777777" w:rsidR="00E5550C" w:rsidRPr="00043F87" w:rsidRDefault="00E5550C" w:rsidP="000A483F">
            <w:pPr>
              <w:pStyle w:val="CETBodytext"/>
              <w:ind w:right="-1"/>
              <w:rPr>
                <w:rFonts w:cs="Arial"/>
                <w:szCs w:val="18"/>
                <w:lang w:val="en-GB"/>
              </w:rPr>
            </w:pPr>
          </w:p>
        </w:tc>
      </w:tr>
      <w:tr w:rsidR="00043F87" w:rsidRPr="00043F87" w14:paraId="07C2CABD" w14:textId="77777777" w:rsidTr="00A0637E">
        <w:tc>
          <w:tcPr>
            <w:tcW w:w="4253" w:type="dxa"/>
            <w:shd w:val="clear" w:color="auto" w:fill="FFFFFF"/>
            <w:vAlign w:val="bottom"/>
          </w:tcPr>
          <w:p w14:paraId="08590ABA" w14:textId="4C4F8012" w:rsidR="00E5550C" w:rsidRPr="00043F87" w:rsidRDefault="00E5550C" w:rsidP="00E5550C">
            <w:pPr>
              <w:pStyle w:val="CETBodytext"/>
              <w:ind w:right="-1"/>
              <w:rPr>
                <w:rFonts w:cs="Arial"/>
                <w:szCs w:val="18"/>
                <w:lang w:val="en-GB"/>
              </w:rPr>
            </w:pPr>
            <w:r w:rsidRPr="00043F87">
              <w:rPr>
                <w:rFonts w:cs="Arial"/>
                <w:szCs w:val="18"/>
                <w:lang w:val="en-GB"/>
              </w:rPr>
              <w:t>H</w:t>
            </w:r>
            <w:r w:rsidRPr="00043F87">
              <w:rPr>
                <w:rFonts w:cs="Arial"/>
                <w:szCs w:val="18"/>
                <w:vertAlign w:val="subscript"/>
                <w:lang w:val="en-GB"/>
              </w:rPr>
              <w:t>2</w:t>
            </w:r>
            <w:r w:rsidRPr="00043F87">
              <w:rPr>
                <w:rFonts w:cs="Arial"/>
                <w:szCs w:val="18"/>
                <w:lang w:val="en-GB"/>
              </w:rPr>
              <w:t xml:space="preserve"> yield in reforming and WGS (% by mass)</w:t>
            </w:r>
          </w:p>
        </w:tc>
        <w:tc>
          <w:tcPr>
            <w:tcW w:w="1134" w:type="dxa"/>
            <w:shd w:val="clear" w:color="auto" w:fill="FFFFFF"/>
            <w:vAlign w:val="bottom"/>
          </w:tcPr>
          <w:p w14:paraId="5AFD320C" w14:textId="20F102B7" w:rsidR="00E5550C" w:rsidRPr="00043F87" w:rsidRDefault="00E5550C" w:rsidP="00E5550C">
            <w:pPr>
              <w:pStyle w:val="CETBodytext"/>
              <w:ind w:right="-1"/>
              <w:rPr>
                <w:rFonts w:cs="Arial"/>
                <w:szCs w:val="18"/>
                <w:lang w:val="en-GB"/>
              </w:rPr>
            </w:pPr>
            <w:r w:rsidRPr="00043F87">
              <w:rPr>
                <w:rFonts w:cs="Arial"/>
                <w:szCs w:val="18"/>
                <w:lang w:val="en-GB" w:eastAsia="it-IT"/>
              </w:rPr>
              <w:t>41</w:t>
            </w:r>
          </w:p>
        </w:tc>
        <w:tc>
          <w:tcPr>
            <w:tcW w:w="1134" w:type="dxa"/>
            <w:shd w:val="clear" w:color="auto" w:fill="FFFFFF"/>
            <w:vAlign w:val="bottom"/>
          </w:tcPr>
          <w:p w14:paraId="3E75E434" w14:textId="5901E798" w:rsidR="00E5550C" w:rsidRPr="00043F87" w:rsidRDefault="00E5550C" w:rsidP="00E5550C">
            <w:pPr>
              <w:pStyle w:val="CETBodytext"/>
              <w:ind w:right="-1"/>
              <w:rPr>
                <w:rFonts w:cs="Arial"/>
                <w:szCs w:val="18"/>
                <w:lang w:val="en-GB"/>
              </w:rPr>
            </w:pPr>
            <w:r w:rsidRPr="00043F87">
              <w:rPr>
                <w:rFonts w:cs="Arial"/>
                <w:szCs w:val="18"/>
                <w:lang w:val="en-GB" w:eastAsia="it-IT"/>
              </w:rPr>
              <w:t>41</w:t>
            </w:r>
          </w:p>
        </w:tc>
        <w:tc>
          <w:tcPr>
            <w:tcW w:w="1134" w:type="dxa"/>
            <w:shd w:val="clear" w:color="auto" w:fill="FFFFFF"/>
            <w:vAlign w:val="bottom"/>
          </w:tcPr>
          <w:p w14:paraId="4BC083AB" w14:textId="391E8624" w:rsidR="00E5550C" w:rsidRPr="00043F87" w:rsidRDefault="00E5550C" w:rsidP="00E5550C">
            <w:pPr>
              <w:pStyle w:val="CETBodytext"/>
              <w:ind w:right="-1"/>
              <w:rPr>
                <w:rFonts w:cs="Arial"/>
                <w:szCs w:val="18"/>
                <w:lang w:val="en-GB"/>
              </w:rPr>
            </w:pPr>
            <w:r w:rsidRPr="00043F87">
              <w:rPr>
                <w:rFonts w:cs="Arial"/>
                <w:szCs w:val="18"/>
                <w:lang w:val="en-GB"/>
              </w:rPr>
              <w:t>14</w:t>
            </w:r>
          </w:p>
        </w:tc>
        <w:tc>
          <w:tcPr>
            <w:tcW w:w="1134" w:type="dxa"/>
            <w:shd w:val="clear" w:color="auto" w:fill="FFFFFF"/>
          </w:tcPr>
          <w:p w14:paraId="33881CBA" w14:textId="77777777" w:rsidR="00E5550C" w:rsidRPr="00043F87" w:rsidRDefault="00E5550C" w:rsidP="00E5550C">
            <w:pPr>
              <w:pStyle w:val="CETBodytext"/>
              <w:ind w:right="-1"/>
              <w:rPr>
                <w:rFonts w:cs="Arial"/>
                <w:szCs w:val="18"/>
                <w:lang w:val="en-GB"/>
              </w:rPr>
            </w:pPr>
          </w:p>
        </w:tc>
      </w:tr>
      <w:tr w:rsidR="00043F87" w:rsidRPr="00043F87" w14:paraId="0C56ADA4" w14:textId="77777777" w:rsidTr="00475F21">
        <w:tc>
          <w:tcPr>
            <w:tcW w:w="4253" w:type="dxa"/>
            <w:shd w:val="clear" w:color="auto" w:fill="FFFFFF"/>
            <w:vAlign w:val="bottom"/>
          </w:tcPr>
          <w:p w14:paraId="5EA9A974" w14:textId="22569CAE" w:rsidR="00E5550C" w:rsidRPr="00043F87" w:rsidRDefault="00E5550C" w:rsidP="00E5550C">
            <w:pPr>
              <w:pStyle w:val="CETBodytext"/>
              <w:ind w:right="-1"/>
              <w:rPr>
                <w:rFonts w:cs="Arial"/>
                <w:szCs w:val="18"/>
                <w:lang w:val="en-GB"/>
              </w:rPr>
            </w:pPr>
            <w:r w:rsidRPr="00043F87">
              <w:rPr>
                <w:rFonts w:cs="Arial"/>
                <w:szCs w:val="18"/>
                <w:lang w:val="en-GB"/>
              </w:rPr>
              <w:t>CH</w:t>
            </w:r>
            <w:r w:rsidRPr="00043F87">
              <w:rPr>
                <w:rFonts w:cs="Arial"/>
                <w:szCs w:val="18"/>
                <w:vertAlign w:val="subscript"/>
                <w:lang w:val="en-GB"/>
              </w:rPr>
              <w:t>4</w:t>
            </w:r>
          </w:p>
        </w:tc>
        <w:tc>
          <w:tcPr>
            <w:tcW w:w="1134" w:type="dxa"/>
            <w:shd w:val="clear" w:color="auto" w:fill="FFFFFF"/>
            <w:vAlign w:val="bottom"/>
          </w:tcPr>
          <w:p w14:paraId="2DD6B822" w14:textId="6FC58C4F" w:rsidR="00E5550C" w:rsidRPr="00043F87" w:rsidRDefault="00E5550C" w:rsidP="00E5550C">
            <w:pPr>
              <w:pStyle w:val="CETBodytext"/>
              <w:ind w:right="-1"/>
              <w:rPr>
                <w:rFonts w:cs="Arial"/>
                <w:szCs w:val="18"/>
                <w:lang w:val="en-GB"/>
              </w:rPr>
            </w:pPr>
            <w:r w:rsidRPr="00043F87">
              <w:rPr>
                <w:rFonts w:cs="Arial"/>
                <w:szCs w:val="18"/>
                <w:lang w:val="it-IT" w:eastAsia="it-IT"/>
              </w:rPr>
              <w:t>67,212</w:t>
            </w:r>
          </w:p>
        </w:tc>
        <w:tc>
          <w:tcPr>
            <w:tcW w:w="1134" w:type="dxa"/>
            <w:shd w:val="clear" w:color="auto" w:fill="FFFFFF"/>
            <w:vAlign w:val="bottom"/>
          </w:tcPr>
          <w:p w14:paraId="2162C6E5" w14:textId="08A4AF62" w:rsidR="00E5550C" w:rsidRPr="00043F87" w:rsidRDefault="00E5550C" w:rsidP="00E5550C">
            <w:pPr>
              <w:pStyle w:val="CETBodytext"/>
              <w:ind w:right="-1"/>
              <w:rPr>
                <w:rFonts w:cs="Arial"/>
                <w:szCs w:val="18"/>
                <w:lang w:val="en-GB"/>
              </w:rPr>
            </w:pPr>
            <w:r w:rsidRPr="00043F87">
              <w:rPr>
                <w:rFonts w:cs="Arial"/>
                <w:szCs w:val="18"/>
                <w:lang w:val="en-GB"/>
              </w:rPr>
              <w:t>67,212</w:t>
            </w:r>
          </w:p>
        </w:tc>
        <w:tc>
          <w:tcPr>
            <w:tcW w:w="1134" w:type="dxa"/>
            <w:shd w:val="clear" w:color="auto" w:fill="FFFFFF"/>
          </w:tcPr>
          <w:p w14:paraId="65751129" w14:textId="77777777" w:rsidR="00E5550C" w:rsidRPr="00043F87" w:rsidRDefault="00E5550C" w:rsidP="00E5550C">
            <w:pPr>
              <w:pStyle w:val="CETBodytext"/>
              <w:ind w:right="-1"/>
              <w:rPr>
                <w:rFonts w:cs="Arial"/>
                <w:szCs w:val="18"/>
                <w:lang w:val="en-GB"/>
              </w:rPr>
            </w:pPr>
          </w:p>
        </w:tc>
        <w:tc>
          <w:tcPr>
            <w:tcW w:w="1134" w:type="dxa"/>
            <w:shd w:val="clear" w:color="auto" w:fill="FFFFFF"/>
          </w:tcPr>
          <w:p w14:paraId="57204728" w14:textId="77777777" w:rsidR="00E5550C" w:rsidRPr="00043F87" w:rsidRDefault="00E5550C" w:rsidP="00E5550C">
            <w:pPr>
              <w:pStyle w:val="CETBodytext"/>
              <w:ind w:right="-1"/>
              <w:rPr>
                <w:rFonts w:cs="Arial"/>
                <w:szCs w:val="18"/>
                <w:lang w:val="en-GB"/>
              </w:rPr>
            </w:pPr>
          </w:p>
        </w:tc>
      </w:tr>
      <w:tr w:rsidR="00043F87" w:rsidRPr="00043F87" w14:paraId="545B56AA" w14:textId="77777777" w:rsidTr="00D05A60">
        <w:tc>
          <w:tcPr>
            <w:tcW w:w="4253" w:type="dxa"/>
            <w:shd w:val="clear" w:color="auto" w:fill="FFFFFF"/>
            <w:vAlign w:val="bottom"/>
          </w:tcPr>
          <w:p w14:paraId="49F0DCAB" w14:textId="1F087A69" w:rsidR="00E5550C" w:rsidRPr="00043F87" w:rsidRDefault="00E5550C" w:rsidP="00E5550C">
            <w:pPr>
              <w:pStyle w:val="CETBodytext"/>
              <w:ind w:right="-1"/>
              <w:rPr>
                <w:rFonts w:cs="Arial"/>
                <w:szCs w:val="18"/>
                <w:lang w:val="en-GB"/>
              </w:rPr>
            </w:pPr>
            <w:r w:rsidRPr="00043F87">
              <w:rPr>
                <w:rFonts w:cs="Arial"/>
                <w:szCs w:val="18"/>
                <w:lang w:val="en-GB"/>
              </w:rPr>
              <w:t>Biogas (28.46 % by mass of CH</w:t>
            </w:r>
            <w:r w:rsidRPr="00043F87">
              <w:rPr>
                <w:rFonts w:cs="Arial"/>
                <w:szCs w:val="18"/>
                <w:vertAlign w:val="subscript"/>
                <w:lang w:val="en-GB"/>
              </w:rPr>
              <w:t>4</w:t>
            </w:r>
            <w:r w:rsidRPr="00043F87">
              <w:rPr>
                <w:rFonts w:cs="Arial"/>
                <w:szCs w:val="18"/>
                <w:lang w:val="en-GB"/>
              </w:rPr>
              <w:t>)</w:t>
            </w:r>
          </w:p>
        </w:tc>
        <w:tc>
          <w:tcPr>
            <w:tcW w:w="1134" w:type="dxa"/>
            <w:shd w:val="clear" w:color="auto" w:fill="FFFFFF"/>
            <w:vAlign w:val="bottom"/>
          </w:tcPr>
          <w:p w14:paraId="384E770B" w14:textId="234CDB66" w:rsidR="00E5550C" w:rsidRPr="00043F87" w:rsidRDefault="00E5550C" w:rsidP="00E5550C">
            <w:pPr>
              <w:pStyle w:val="CETBodytext"/>
              <w:ind w:right="-1"/>
              <w:rPr>
                <w:rFonts w:cs="Arial"/>
                <w:szCs w:val="18"/>
                <w:lang w:val="en-GB"/>
              </w:rPr>
            </w:pPr>
            <w:r w:rsidRPr="00043F87">
              <w:rPr>
                <w:rFonts w:cs="Arial"/>
                <w:szCs w:val="18"/>
                <w:lang w:val="en-GB" w:eastAsia="it-IT"/>
              </w:rPr>
              <w:t> </w:t>
            </w:r>
          </w:p>
        </w:tc>
        <w:tc>
          <w:tcPr>
            <w:tcW w:w="1134" w:type="dxa"/>
            <w:shd w:val="clear" w:color="auto" w:fill="FFFFFF"/>
            <w:vAlign w:val="bottom"/>
          </w:tcPr>
          <w:p w14:paraId="3539C28E" w14:textId="568995F2" w:rsidR="00E5550C" w:rsidRPr="00043F87" w:rsidRDefault="00E5550C" w:rsidP="00E5550C">
            <w:pPr>
              <w:pStyle w:val="CETBodytext"/>
              <w:ind w:right="-1"/>
              <w:rPr>
                <w:rFonts w:cs="Arial"/>
                <w:szCs w:val="18"/>
                <w:lang w:val="en-GB"/>
              </w:rPr>
            </w:pPr>
            <w:r w:rsidRPr="00043F87">
              <w:rPr>
                <w:rFonts w:cs="Arial"/>
                <w:szCs w:val="18"/>
                <w:lang w:val="en-GB"/>
              </w:rPr>
              <w:t>236,204</w:t>
            </w:r>
          </w:p>
        </w:tc>
        <w:tc>
          <w:tcPr>
            <w:tcW w:w="1134" w:type="dxa"/>
            <w:shd w:val="clear" w:color="auto" w:fill="FFFFFF"/>
          </w:tcPr>
          <w:p w14:paraId="03E98819" w14:textId="77777777" w:rsidR="00E5550C" w:rsidRPr="00043F87" w:rsidRDefault="00E5550C" w:rsidP="00E5550C">
            <w:pPr>
              <w:pStyle w:val="CETBodytext"/>
              <w:ind w:right="-1"/>
              <w:rPr>
                <w:rFonts w:cs="Arial"/>
                <w:szCs w:val="18"/>
                <w:lang w:val="en-GB"/>
              </w:rPr>
            </w:pPr>
          </w:p>
        </w:tc>
        <w:tc>
          <w:tcPr>
            <w:tcW w:w="1134" w:type="dxa"/>
            <w:shd w:val="clear" w:color="auto" w:fill="FFFFFF"/>
          </w:tcPr>
          <w:p w14:paraId="3116D7A3" w14:textId="77777777" w:rsidR="00E5550C" w:rsidRPr="00043F87" w:rsidRDefault="00E5550C" w:rsidP="00E5550C">
            <w:pPr>
              <w:pStyle w:val="CETBodytext"/>
              <w:ind w:right="-1"/>
              <w:rPr>
                <w:rFonts w:cs="Arial"/>
                <w:szCs w:val="18"/>
                <w:lang w:val="en-GB"/>
              </w:rPr>
            </w:pPr>
          </w:p>
        </w:tc>
      </w:tr>
      <w:tr w:rsidR="00043F87" w:rsidRPr="00043F87" w14:paraId="21451D25" w14:textId="77777777" w:rsidTr="00003CB0">
        <w:tc>
          <w:tcPr>
            <w:tcW w:w="4253" w:type="dxa"/>
            <w:shd w:val="clear" w:color="auto" w:fill="FFFFFF"/>
            <w:vAlign w:val="bottom"/>
          </w:tcPr>
          <w:p w14:paraId="3E14A217" w14:textId="154FBDA6" w:rsidR="00E5550C" w:rsidRPr="00043F87" w:rsidRDefault="00E5550C" w:rsidP="00E5550C">
            <w:pPr>
              <w:pStyle w:val="CETBodytext"/>
              <w:ind w:right="-1"/>
              <w:rPr>
                <w:rFonts w:cs="Arial"/>
                <w:szCs w:val="18"/>
                <w:lang w:val="en-GB"/>
              </w:rPr>
            </w:pPr>
            <w:r w:rsidRPr="00043F87">
              <w:rPr>
                <w:rFonts w:cs="Arial"/>
                <w:szCs w:val="18"/>
                <w:lang w:val="en-GB"/>
              </w:rPr>
              <w:t>Bio-oil</w:t>
            </w:r>
          </w:p>
        </w:tc>
        <w:tc>
          <w:tcPr>
            <w:tcW w:w="1134" w:type="dxa"/>
            <w:shd w:val="clear" w:color="auto" w:fill="FFFFFF"/>
            <w:vAlign w:val="bottom"/>
          </w:tcPr>
          <w:p w14:paraId="389B1E67" w14:textId="2F2B3CC8" w:rsidR="00E5550C" w:rsidRPr="00043F87" w:rsidRDefault="00E5550C" w:rsidP="00E5550C">
            <w:pPr>
              <w:pStyle w:val="CETBodytext"/>
              <w:ind w:right="-1"/>
              <w:rPr>
                <w:rFonts w:cs="Arial"/>
                <w:szCs w:val="18"/>
                <w:lang w:val="en-GB"/>
              </w:rPr>
            </w:pPr>
            <w:r w:rsidRPr="00043F87">
              <w:rPr>
                <w:rFonts w:cs="Arial"/>
                <w:szCs w:val="18"/>
                <w:lang w:val="en-GB" w:eastAsia="it-IT"/>
              </w:rPr>
              <w:t> </w:t>
            </w:r>
          </w:p>
        </w:tc>
        <w:tc>
          <w:tcPr>
            <w:tcW w:w="1134" w:type="dxa"/>
            <w:shd w:val="clear" w:color="auto" w:fill="FFFFFF"/>
            <w:vAlign w:val="bottom"/>
          </w:tcPr>
          <w:p w14:paraId="31EA2B49" w14:textId="28C79654" w:rsidR="00E5550C" w:rsidRPr="00043F87" w:rsidRDefault="00E5550C" w:rsidP="00E5550C">
            <w:pPr>
              <w:pStyle w:val="CETBodytext"/>
              <w:ind w:right="-1"/>
              <w:rPr>
                <w:rFonts w:cs="Arial"/>
                <w:szCs w:val="18"/>
                <w:lang w:val="en-GB"/>
              </w:rPr>
            </w:pPr>
            <w:r w:rsidRPr="00043F87">
              <w:rPr>
                <w:rFonts w:cs="Arial"/>
                <w:szCs w:val="18"/>
                <w:lang w:val="en-GB" w:eastAsia="it-IT"/>
              </w:rPr>
              <w:t> </w:t>
            </w:r>
          </w:p>
        </w:tc>
        <w:tc>
          <w:tcPr>
            <w:tcW w:w="1134" w:type="dxa"/>
            <w:shd w:val="clear" w:color="auto" w:fill="FFFFFF"/>
            <w:vAlign w:val="bottom"/>
          </w:tcPr>
          <w:p w14:paraId="7F8B6F80" w14:textId="0BDEEDE9" w:rsidR="00E5550C" w:rsidRPr="00043F87" w:rsidRDefault="00E5550C" w:rsidP="00E5550C">
            <w:pPr>
              <w:pStyle w:val="CETBodytext"/>
              <w:ind w:right="-1"/>
              <w:rPr>
                <w:rFonts w:cs="Arial"/>
                <w:szCs w:val="18"/>
                <w:lang w:val="en-GB"/>
              </w:rPr>
            </w:pPr>
            <w:r w:rsidRPr="00043F87">
              <w:rPr>
                <w:rFonts w:cs="Arial"/>
                <w:szCs w:val="18"/>
                <w:lang w:val="it-IT" w:eastAsia="it-IT"/>
              </w:rPr>
              <w:t>193,059</w:t>
            </w:r>
          </w:p>
        </w:tc>
        <w:tc>
          <w:tcPr>
            <w:tcW w:w="1134" w:type="dxa"/>
            <w:shd w:val="clear" w:color="auto" w:fill="FFFFFF"/>
          </w:tcPr>
          <w:p w14:paraId="2341757E" w14:textId="77777777" w:rsidR="00E5550C" w:rsidRPr="00043F87" w:rsidRDefault="00E5550C" w:rsidP="00E5550C">
            <w:pPr>
              <w:pStyle w:val="CETBodytext"/>
              <w:ind w:right="-1"/>
              <w:rPr>
                <w:rFonts w:cs="Arial"/>
                <w:szCs w:val="18"/>
                <w:lang w:val="en-GB"/>
              </w:rPr>
            </w:pPr>
          </w:p>
        </w:tc>
      </w:tr>
      <w:tr w:rsidR="00043F87" w:rsidRPr="00043F87" w14:paraId="5580F215" w14:textId="77777777" w:rsidTr="003279CA">
        <w:tc>
          <w:tcPr>
            <w:tcW w:w="4253" w:type="dxa"/>
            <w:shd w:val="clear" w:color="auto" w:fill="FFFFFF"/>
            <w:vAlign w:val="bottom"/>
          </w:tcPr>
          <w:p w14:paraId="76629445" w14:textId="4DCDBE58" w:rsidR="00E5550C" w:rsidRPr="00043F87" w:rsidRDefault="00E5550C" w:rsidP="00E5550C">
            <w:pPr>
              <w:pStyle w:val="CETBodytext"/>
              <w:ind w:right="-1"/>
              <w:rPr>
                <w:rFonts w:cs="Arial"/>
                <w:szCs w:val="18"/>
                <w:lang w:val="en-GB"/>
              </w:rPr>
            </w:pPr>
            <w:r w:rsidRPr="00043F87">
              <w:rPr>
                <w:rFonts w:cs="Arial"/>
                <w:szCs w:val="18"/>
                <w:lang w:val="en-GB"/>
              </w:rPr>
              <w:t>Syngas (2.60 % by mass of H</w:t>
            </w:r>
            <w:r w:rsidRPr="00043F87">
              <w:rPr>
                <w:rFonts w:cs="Arial"/>
                <w:szCs w:val="18"/>
                <w:vertAlign w:val="subscript"/>
                <w:lang w:val="en-GB"/>
              </w:rPr>
              <w:t>2</w:t>
            </w:r>
            <w:r w:rsidRPr="00043F87">
              <w:rPr>
                <w:rFonts w:cs="Arial"/>
                <w:szCs w:val="18"/>
                <w:lang w:val="en-GB"/>
              </w:rPr>
              <w:t>)</w:t>
            </w:r>
          </w:p>
        </w:tc>
        <w:tc>
          <w:tcPr>
            <w:tcW w:w="1134" w:type="dxa"/>
            <w:shd w:val="clear" w:color="auto" w:fill="FFFFFF"/>
            <w:vAlign w:val="bottom"/>
          </w:tcPr>
          <w:p w14:paraId="3EDF0012" w14:textId="690C06BD" w:rsidR="00E5550C" w:rsidRPr="00043F87" w:rsidRDefault="00E5550C" w:rsidP="00E5550C">
            <w:pPr>
              <w:pStyle w:val="CETBodytext"/>
              <w:ind w:right="-1"/>
              <w:rPr>
                <w:rFonts w:cs="Arial"/>
                <w:szCs w:val="18"/>
                <w:lang w:val="en-GB"/>
              </w:rPr>
            </w:pPr>
            <w:r w:rsidRPr="00043F87">
              <w:rPr>
                <w:rFonts w:cs="Arial"/>
                <w:szCs w:val="18"/>
                <w:lang w:val="en-GB" w:eastAsia="it-IT"/>
              </w:rPr>
              <w:t> </w:t>
            </w:r>
          </w:p>
        </w:tc>
        <w:tc>
          <w:tcPr>
            <w:tcW w:w="1134" w:type="dxa"/>
            <w:shd w:val="clear" w:color="auto" w:fill="FFFFFF"/>
            <w:vAlign w:val="bottom"/>
          </w:tcPr>
          <w:p w14:paraId="0C1286B0" w14:textId="0D6B7986" w:rsidR="00E5550C" w:rsidRPr="00043F87" w:rsidRDefault="00E5550C" w:rsidP="00E5550C">
            <w:pPr>
              <w:pStyle w:val="CETBodytext"/>
              <w:ind w:right="-1"/>
              <w:rPr>
                <w:rFonts w:cs="Arial"/>
                <w:szCs w:val="18"/>
                <w:lang w:val="en-GB"/>
              </w:rPr>
            </w:pPr>
            <w:r w:rsidRPr="00043F87">
              <w:rPr>
                <w:rFonts w:cs="Arial"/>
                <w:szCs w:val="18"/>
                <w:lang w:val="en-GB" w:eastAsia="it-IT"/>
              </w:rPr>
              <w:t> </w:t>
            </w:r>
          </w:p>
        </w:tc>
        <w:tc>
          <w:tcPr>
            <w:tcW w:w="1134" w:type="dxa"/>
            <w:shd w:val="clear" w:color="auto" w:fill="FFFFFF"/>
            <w:vAlign w:val="bottom"/>
          </w:tcPr>
          <w:p w14:paraId="3DC5C0BD" w14:textId="6F21BCA1" w:rsidR="00E5550C" w:rsidRPr="00043F87" w:rsidRDefault="00E5550C" w:rsidP="00E5550C">
            <w:pPr>
              <w:pStyle w:val="CETBodytext"/>
              <w:ind w:right="-1"/>
              <w:rPr>
                <w:rFonts w:cs="Arial"/>
                <w:szCs w:val="18"/>
                <w:lang w:val="en-GB"/>
              </w:rPr>
            </w:pPr>
            <w:r w:rsidRPr="00043F87">
              <w:rPr>
                <w:rFonts w:cs="Arial"/>
                <w:szCs w:val="18"/>
                <w:lang w:val="en-GB" w:eastAsia="it-IT"/>
              </w:rPr>
              <w:t> </w:t>
            </w:r>
          </w:p>
        </w:tc>
        <w:tc>
          <w:tcPr>
            <w:tcW w:w="1134" w:type="dxa"/>
            <w:shd w:val="clear" w:color="auto" w:fill="FFFFFF"/>
            <w:vAlign w:val="bottom"/>
          </w:tcPr>
          <w:p w14:paraId="667FF257" w14:textId="7C4E5A1B" w:rsidR="00E5550C" w:rsidRPr="00043F87" w:rsidRDefault="00E5550C" w:rsidP="00E5550C">
            <w:pPr>
              <w:pStyle w:val="CETBodytext"/>
              <w:ind w:right="-1"/>
              <w:rPr>
                <w:rFonts w:cs="Arial"/>
                <w:szCs w:val="18"/>
                <w:lang w:val="en-GB"/>
              </w:rPr>
            </w:pPr>
            <w:r w:rsidRPr="00043F87">
              <w:rPr>
                <w:rFonts w:cs="Arial"/>
                <w:szCs w:val="18"/>
                <w:lang w:val="it-IT" w:eastAsia="it-IT"/>
              </w:rPr>
              <w:t>1,070,844</w:t>
            </w:r>
          </w:p>
        </w:tc>
      </w:tr>
      <w:tr w:rsidR="00E5550C" w:rsidRPr="00043F87" w14:paraId="5F4DD194" w14:textId="77777777" w:rsidTr="00E5550C">
        <w:tc>
          <w:tcPr>
            <w:tcW w:w="4253" w:type="dxa"/>
            <w:shd w:val="clear" w:color="auto" w:fill="FFFFFF"/>
          </w:tcPr>
          <w:p w14:paraId="5B30C3E8" w14:textId="3DD9649F" w:rsidR="00E5550C" w:rsidRPr="00043F87" w:rsidRDefault="00E5550C" w:rsidP="00E5550C">
            <w:pPr>
              <w:pStyle w:val="CETBodytext"/>
              <w:ind w:right="-1"/>
              <w:rPr>
                <w:rFonts w:cs="Arial"/>
                <w:szCs w:val="18"/>
                <w:lang w:val="en-GB"/>
              </w:rPr>
            </w:pPr>
            <w:r w:rsidRPr="00043F87">
              <w:rPr>
                <w:rFonts w:cs="Arial"/>
                <w:szCs w:val="18"/>
                <w:lang w:val="en-GB"/>
              </w:rPr>
              <w:t>Raw materials demand (t/y)</w:t>
            </w:r>
          </w:p>
        </w:tc>
        <w:tc>
          <w:tcPr>
            <w:tcW w:w="1134" w:type="dxa"/>
            <w:shd w:val="clear" w:color="auto" w:fill="FFFFFF"/>
          </w:tcPr>
          <w:p w14:paraId="78D890B1" w14:textId="77777777" w:rsidR="00E5550C" w:rsidRPr="00043F87" w:rsidRDefault="00E5550C" w:rsidP="00E5550C">
            <w:pPr>
              <w:pStyle w:val="CETBodytext"/>
              <w:ind w:right="-1"/>
              <w:rPr>
                <w:rFonts w:cs="Arial"/>
                <w:szCs w:val="18"/>
                <w:lang w:val="en-GB"/>
              </w:rPr>
            </w:pPr>
          </w:p>
        </w:tc>
        <w:tc>
          <w:tcPr>
            <w:tcW w:w="1134" w:type="dxa"/>
            <w:shd w:val="clear" w:color="auto" w:fill="FFFFFF"/>
          </w:tcPr>
          <w:p w14:paraId="2733C858" w14:textId="77777777" w:rsidR="00E5550C" w:rsidRPr="00043F87" w:rsidRDefault="00E5550C" w:rsidP="00E5550C">
            <w:pPr>
              <w:pStyle w:val="CETBodytext"/>
              <w:ind w:right="-1"/>
              <w:rPr>
                <w:rFonts w:cs="Arial"/>
                <w:szCs w:val="18"/>
                <w:lang w:val="en-GB"/>
              </w:rPr>
            </w:pPr>
          </w:p>
        </w:tc>
        <w:tc>
          <w:tcPr>
            <w:tcW w:w="1134" w:type="dxa"/>
            <w:shd w:val="clear" w:color="auto" w:fill="FFFFFF"/>
          </w:tcPr>
          <w:p w14:paraId="08999D22" w14:textId="77777777" w:rsidR="00E5550C" w:rsidRPr="00043F87" w:rsidRDefault="00E5550C" w:rsidP="00E5550C">
            <w:pPr>
              <w:pStyle w:val="CETBodytext"/>
              <w:ind w:right="-1"/>
              <w:rPr>
                <w:rFonts w:cs="Arial"/>
                <w:szCs w:val="18"/>
                <w:lang w:val="en-GB"/>
              </w:rPr>
            </w:pPr>
          </w:p>
        </w:tc>
        <w:tc>
          <w:tcPr>
            <w:tcW w:w="1134" w:type="dxa"/>
            <w:shd w:val="clear" w:color="auto" w:fill="FFFFFF"/>
          </w:tcPr>
          <w:p w14:paraId="082DC792" w14:textId="77777777" w:rsidR="00E5550C" w:rsidRPr="00043F87" w:rsidRDefault="00E5550C" w:rsidP="00E5550C">
            <w:pPr>
              <w:pStyle w:val="CETBodytext"/>
              <w:ind w:right="-1"/>
              <w:rPr>
                <w:rFonts w:cs="Arial"/>
                <w:szCs w:val="18"/>
                <w:lang w:val="en-GB"/>
              </w:rPr>
            </w:pPr>
          </w:p>
        </w:tc>
      </w:tr>
      <w:tr w:rsidR="00043F87" w:rsidRPr="00043F87" w14:paraId="6F98D49F" w14:textId="77777777" w:rsidTr="00A42775">
        <w:tc>
          <w:tcPr>
            <w:tcW w:w="4253" w:type="dxa"/>
            <w:shd w:val="clear" w:color="auto" w:fill="FFFFFF"/>
            <w:vAlign w:val="bottom"/>
          </w:tcPr>
          <w:p w14:paraId="1AB04099" w14:textId="03425BDF" w:rsidR="00E5550C" w:rsidRPr="00043F87" w:rsidRDefault="00E5550C" w:rsidP="00E5550C">
            <w:pPr>
              <w:pStyle w:val="CETBodytext"/>
              <w:ind w:right="-1"/>
              <w:rPr>
                <w:rFonts w:cs="Arial"/>
                <w:szCs w:val="18"/>
                <w:lang w:val="en-GB"/>
              </w:rPr>
            </w:pPr>
            <w:r w:rsidRPr="00043F87">
              <w:rPr>
                <w:rFonts w:cs="Arial"/>
                <w:szCs w:val="18"/>
                <w:lang w:val="en-GB"/>
              </w:rPr>
              <w:t>NG (95.64 % by mass of CH</w:t>
            </w:r>
            <w:r w:rsidRPr="00043F87">
              <w:rPr>
                <w:rFonts w:cs="Arial"/>
                <w:szCs w:val="18"/>
                <w:vertAlign w:val="subscript"/>
                <w:lang w:val="en-GB"/>
              </w:rPr>
              <w:t>4</w:t>
            </w:r>
            <w:r w:rsidRPr="00043F87">
              <w:rPr>
                <w:rFonts w:cs="Arial"/>
                <w:szCs w:val="18"/>
                <w:lang w:val="en-GB"/>
              </w:rPr>
              <w:t>)</w:t>
            </w:r>
          </w:p>
        </w:tc>
        <w:tc>
          <w:tcPr>
            <w:tcW w:w="1134" w:type="dxa"/>
            <w:shd w:val="clear" w:color="auto" w:fill="FFFFFF"/>
            <w:vAlign w:val="bottom"/>
          </w:tcPr>
          <w:p w14:paraId="76AAEE64" w14:textId="23CB3548" w:rsidR="00E5550C" w:rsidRPr="00043F87" w:rsidRDefault="00E5550C" w:rsidP="00E5550C">
            <w:pPr>
              <w:pStyle w:val="CETBodytext"/>
              <w:ind w:right="-1"/>
              <w:rPr>
                <w:rFonts w:cs="Arial"/>
                <w:szCs w:val="18"/>
                <w:lang w:val="en-GB"/>
              </w:rPr>
            </w:pPr>
            <w:r w:rsidRPr="00043F87">
              <w:rPr>
                <w:rFonts w:cs="Arial"/>
                <w:szCs w:val="18"/>
                <w:lang w:val="it-IT" w:eastAsia="it-IT"/>
              </w:rPr>
              <w:t>70,276</w:t>
            </w:r>
          </w:p>
        </w:tc>
        <w:tc>
          <w:tcPr>
            <w:tcW w:w="1134" w:type="dxa"/>
            <w:shd w:val="clear" w:color="auto" w:fill="FFFFFF"/>
          </w:tcPr>
          <w:p w14:paraId="1688771B" w14:textId="77777777" w:rsidR="00E5550C" w:rsidRPr="00043F87" w:rsidRDefault="00E5550C" w:rsidP="00E5550C">
            <w:pPr>
              <w:pStyle w:val="CETBodytext"/>
              <w:ind w:right="-1"/>
              <w:rPr>
                <w:rFonts w:cs="Arial"/>
                <w:szCs w:val="18"/>
                <w:lang w:val="en-GB"/>
              </w:rPr>
            </w:pPr>
          </w:p>
        </w:tc>
        <w:tc>
          <w:tcPr>
            <w:tcW w:w="1134" w:type="dxa"/>
            <w:shd w:val="clear" w:color="auto" w:fill="FFFFFF"/>
          </w:tcPr>
          <w:p w14:paraId="0C4DF531" w14:textId="77777777" w:rsidR="00E5550C" w:rsidRPr="00043F87" w:rsidRDefault="00E5550C" w:rsidP="00E5550C">
            <w:pPr>
              <w:pStyle w:val="CETBodytext"/>
              <w:ind w:right="-1"/>
              <w:rPr>
                <w:rFonts w:cs="Arial"/>
                <w:szCs w:val="18"/>
                <w:lang w:val="en-GB"/>
              </w:rPr>
            </w:pPr>
          </w:p>
        </w:tc>
        <w:tc>
          <w:tcPr>
            <w:tcW w:w="1134" w:type="dxa"/>
            <w:shd w:val="clear" w:color="auto" w:fill="FFFFFF"/>
          </w:tcPr>
          <w:p w14:paraId="25C41CFD" w14:textId="77777777" w:rsidR="00E5550C" w:rsidRPr="00043F87" w:rsidRDefault="00E5550C" w:rsidP="00E5550C">
            <w:pPr>
              <w:pStyle w:val="CETBodytext"/>
              <w:ind w:right="-1"/>
              <w:rPr>
                <w:rFonts w:cs="Arial"/>
                <w:szCs w:val="18"/>
                <w:lang w:val="en-GB"/>
              </w:rPr>
            </w:pPr>
          </w:p>
        </w:tc>
      </w:tr>
      <w:tr w:rsidR="00043F87" w:rsidRPr="00043F87" w14:paraId="569F4E3A" w14:textId="77777777" w:rsidTr="00B71EA0">
        <w:tc>
          <w:tcPr>
            <w:tcW w:w="4253" w:type="dxa"/>
            <w:shd w:val="clear" w:color="auto" w:fill="FFFFFF"/>
            <w:vAlign w:val="bottom"/>
          </w:tcPr>
          <w:p w14:paraId="3E4024FE" w14:textId="544DC662" w:rsidR="00E5550C" w:rsidRPr="00043F87" w:rsidRDefault="00E5550C" w:rsidP="00E5550C">
            <w:pPr>
              <w:pStyle w:val="CETBodytext"/>
              <w:ind w:right="-1"/>
              <w:rPr>
                <w:rFonts w:cs="Arial"/>
                <w:szCs w:val="18"/>
                <w:lang w:val="en-GB"/>
              </w:rPr>
            </w:pPr>
            <w:r w:rsidRPr="00043F87">
              <w:rPr>
                <w:rFonts w:cs="Arial"/>
                <w:szCs w:val="18"/>
                <w:lang w:val="en-GB"/>
              </w:rPr>
              <w:t>Biowaste (biogas yield of 17.90 % by mass)</w:t>
            </w:r>
          </w:p>
        </w:tc>
        <w:tc>
          <w:tcPr>
            <w:tcW w:w="1134" w:type="dxa"/>
            <w:shd w:val="clear" w:color="auto" w:fill="FFFFFF"/>
            <w:vAlign w:val="bottom"/>
          </w:tcPr>
          <w:p w14:paraId="3DD7F1E6" w14:textId="46C06F20" w:rsidR="00E5550C" w:rsidRPr="00043F87" w:rsidRDefault="00E5550C" w:rsidP="00E5550C">
            <w:pPr>
              <w:pStyle w:val="CETBodytext"/>
              <w:ind w:right="-1"/>
              <w:rPr>
                <w:rFonts w:cs="Arial"/>
                <w:szCs w:val="18"/>
                <w:lang w:val="en-GB"/>
              </w:rPr>
            </w:pPr>
            <w:r w:rsidRPr="00043F87">
              <w:rPr>
                <w:rFonts w:cs="Arial"/>
                <w:szCs w:val="18"/>
                <w:lang w:val="en-GB" w:eastAsia="it-IT"/>
              </w:rPr>
              <w:t> </w:t>
            </w:r>
          </w:p>
        </w:tc>
        <w:tc>
          <w:tcPr>
            <w:tcW w:w="1134" w:type="dxa"/>
            <w:shd w:val="clear" w:color="auto" w:fill="FFFFFF"/>
            <w:vAlign w:val="bottom"/>
          </w:tcPr>
          <w:p w14:paraId="2067E54A" w14:textId="5F73EA14" w:rsidR="00E5550C" w:rsidRPr="00043F87" w:rsidRDefault="00E5550C" w:rsidP="00E5550C">
            <w:pPr>
              <w:pStyle w:val="CETBodytext"/>
              <w:ind w:right="-1"/>
              <w:rPr>
                <w:rFonts w:cs="Arial"/>
                <w:szCs w:val="18"/>
                <w:lang w:val="en-GB"/>
              </w:rPr>
            </w:pPr>
            <w:r w:rsidRPr="00043F87">
              <w:rPr>
                <w:rFonts w:cs="Arial"/>
                <w:szCs w:val="18"/>
                <w:lang w:val="it-IT" w:eastAsia="it-IT"/>
              </w:rPr>
              <w:t>1,319,579</w:t>
            </w:r>
          </w:p>
        </w:tc>
        <w:tc>
          <w:tcPr>
            <w:tcW w:w="1134" w:type="dxa"/>
            <w:shd w:val="clear" w:color="auto" w:fill="FFFFFF"/>
          </w:tcPr>
          <w:p w14:paraId="4CD40E77" w14:textId="77777777" w:rsidR="00E5550C" w:rsidRPr="00043F87" w:rsidRDefault="00E5550C" w:rsidP="00E5550C">
            <w:pPr>
              <w:pStyle w:val="CETBodytext"/>
              <w:ind w:right="-1"/>
              <w:rPr>
                <w:rFonts w:cs="Arial"/>
                <w:szCs w:val="18"/>
                <w:lang w:val="en-GB"/>
              </w:rPr>
            </w:pPr>
          </w:p>
        </w:tc>
        <w:tc>
          <w:tcPr>
            <w:tcW w:w="1134" w:type="dxa"/>
            <w:shd w:val="clear" w:color="auto" w:fill="FFFFFF"/>
          </w:tcPr>
          <w:p w14:paraId="7E3BC91D" w14:textId="77777777" w:rsidR="00E5550C" w:rsidRPr="00043F87" w:rsidRDefault="00E5550C" w:rsidP="00E5550C">
            <w:pPr>
              <w:pStyle w:val="CETBodytext"/>
              <w:ind w:right="-1"/>
              <w:rPr>
                <w:rFonts w:cs="Arial"/>
                <w:szCs w:val="18"/>
                <w:lang w:val="en-GB"/>
              </w:rPr>
            </w:pPr>
          </w:p>
        </w:tc>
      </w:tr>
      <w:tr w:rsidR="00043F87" w:rsidRPr="00043F87" w14:paraId="48A9FD67" w14:textId="77777777" w:rsidTr="0014303D">
        <w:tc>
          <w:tcPr>
            <w:tcW w:w="4253" w:type="dxa"/>
            <w:shd w:val="clear" w:color="auto" w:fill="FFFFFF"/>
            <w:vAlign w:val="bottom"/>
          </w:tcPr>
          <w:p w14:paraId="57F999F4" w14:textId="11DF8BDD" w:rsidR="00E5550C" w:rsidRPr="00043F87" w:rsidRDefault="00E5550C" w:rsidP="00E5550C">
            <w:pPr>
              <w:pStyle w:val="CETBodytext"/>
              <w:ind w:right="-1"/>
              <w:rPr>
                <w:rFonts w:cs="Arial"/>
                <w:szCs w:val="18"/>
                <w:lang w:val="en-GB"/>
              </w:rPr>
            </w:pPr>
            <w:r w:rsidRPr="00043F87">
              <w:rPr>
                <w:rFonts w:cs="Arial"/>
                <w:szCs w:val="18"/>
                <w:lang w:val="en-GB"/>
              </w:rPr>
              <w:t>Dry biomass (7.</w:t>
            </w:r>
            <w:r w:rsidRPr="00043F87">
              <w:rPr>
                <w:rFonts w:cs="Arial"/>
                <w:szCs w:val="18"/>
              </w:rPr>
              <w:t xml:space="preserve">00 </w:t>
            </w:r>
            <w:r w:rsidRPr="00043F87">
              <w:rPr>
                <w:rFonts w:cs="Arial"/>
                <w:szCs w:val="18"/>
                <w:lang w:val="en-GB"/>
              </w:rPr>
              <w:t>% moisture) (bio-oil yield of 60.82% by mass)</w:t>
            </w:r>
          </w:p>
        </w:tc>
        <w:tc>
          <w:tcPr>
            <w:tcW w:w="1134" w:type="dxa"/>
            <w:shd w:val="clear" w:color="auto" w:fill="FFFFFF"/>
            <w:vAlign w:val="bottom"/>
          </w:tcPr>
          <w:p w14:paraId="1D93FBE3" w14:textId="77777777" w:rsidR="00E5550C" w:rsidRPr="00043F87" w:rsidRDefault="00E5550C" w:rsidP="00E5550C">
            <w:pPr>
              <w:pStyle w:val="CETBodytext"/>
              <w:ind w:right="-1"/>
              <w:rPr>
                <w:rFonts w:cs="Arial"/>
                <w:szCs w:val="18"/>
                <w:lang w:val="en-GB"/>
              </w:rPr>
            </w:pPr>
          </w:p>
        </w:tc>
        <w:tc>
          <w:tcPr>
            <w:tcW w:w="1134" w:type="dxa"/>
            <w:shd w:val="clear" w:color="auto" w:fill="FFFFFF"/>
            <w:vAlign w:val="bottom"/>
          </w:tcPr>
          <w:p w14:paraId="5132E990" w14:textId="77777777" w:rsidR="00E5550C" w:rsidRPr="00043F87" w:rsidRDefault="00E5550C" w:rsidP="00E5550C">
            <w:pPr>
              <w:pStyle w:val="CETBodytext"/>
              <w:ind w:right="-1"/>
              <w:rPr>
                <w:rFonts w:cs="Arial"/>
                <w:szCs w:val="18"/>
                <w:lang w:val="en-GB"/>
              </w:rPr>
            </w:pPr>
          </w:p>
        </w:tc>
        <w:tc>
          <w:tcPr>
            <w:tcW w:w="1134" w:type="dxa"/>
            <w:shd w:val="clear" w:color="auto" w:fill="FFFFFF"/>
            <w:vAlign w:val="bottom"/>
          </w:tcPr>
          <w:p w14:paraId="293718B3" w14:textId="48054D50" w:rsidR="00E5550C" w:rsidRPr="00043F87" w:rsidRDefault="00E5550C" w:rsidP="00E5550C">
            <w:pPr>
              <w:pStyle w:val="CETBodytext"/>
              <w:ind w:right="-1"/>
              <w:rPr>
                <w:rFonts w:cs="Arial"/>
                <w:szCs w:val="18"/>
                <w:lang w:val="en-GB"/>
              </w:rPr>
            </w:pPr>
            <w:r w:rsidRPr="00043F87">
              <w:rPr>
                <w:rFonts w:cs="Arial"/>
                <w:szCs w:val="18"/>
                <w:lang w:val="en-GB" w:eastAsia="it-IT"/>
              </w:rPr>
              <w:t>317,427</w:t>
            </w:r>
          </w:p>
        </w:tc>
        <w:tc>
          <w:tcPr>
            <w:tcW w:w="1134" w:type="dxa"/>
            <w:shd w:val="clear" w:color="auto" w:fill="FFFFFF"/>
          </w:tcPr>
          <w:p w14:paraId="41BB4745" w14:textId="77777777" w:rsidR="00E5550C" w:rsidRPr="00043F87" w:rsidRDefault="00E5550C" w:rsidP="00E5550C">
            <w:pPr>
              <w:pStyle w:val="CETBodytext"/>
              <w:ind w:right="-1"/>
              <w:rPr>
                <w:rFonts w:cs="Arial"/>
                <w:szCs w:val="18"/>
                <w:lang w:val="en-GB"/>
              </w:rPr>
            </w:pPr>
          </w:p>
        </w:tc>
      </w:tr>
      <w:tr w:rsidR="00E5550C" w:rsidRPr="00043F87" w14:paraId="7499E85D" w14:textId="77777777" w:rsidTr="0014303D">
        <w:tc>
          <w:tcPr>
            <w:tcW w:w="4253" w:type="dxa"/>
            <w:shd w:val="clear" w:color="auto" w:fill="FFFFFF"/>
            <w:vAlign w:val="bottom"/>
          </w:tcPr>
          <w:p w14:paraId="418AEB30" w14:textId="5DE18F78" w:rsidR="00E5550C" w:rsidRPr="00043F87" w:rsidRDefault="00E5550C" w:rsidP="00E5550C">
            <w:pPr>
              <w:pStyle w:val="CETBodytext"/>
              <w:ind w:right="-1"/>
              <w:rPr>
                <w:rFonts w:cs="Arial"/>
                <w:szCs w:val="18"/>
                <w:lang w:val="en-GB"/>
              </w:rPr>
            </w:pPr>
            <w:r w:rsidRPr="00043F87">
              <w:rPr>
                <w:rFonts w:cs="Arial"/>
                <w:szCs w:val="18"/>
                <w:lang w:val="en-GB"/>
              </w:rPr>
              <w:t xml:space="preserve">Wet biomass (25.00 </w:t>
            </w:r>
            <w:proofErr w:type="spellStart"/>
            <w:r w:rsidRPr="00043F87">
              <w:rPr>
                <w:rFonts w:cs="Arial"/>
                <w:szCs w:val="18"/>
                <w:lang w:val="en-GB"/>
              </w:rPr>
              <w:t>wt</w:t>
            </w:r>
            <w:proofErr w:type="spellEnd"/>
            <w:r w:rsidRPr="00043F87">
              <w:rPr>
                <w:rFonts w:cs="Arial"/>
                <w:szCs w:val="18"/>
                <w:lang w:val="en-GB"/>
              </w:rPr>
              <w:t>% moisture) (bio-oil yield of 48.97% by mass)</w:t>
            </w:r>
          </w:p>
        </w:tc>
        <w:tc>
          <w:tcPr>
            <w:tcW w:w="1134" w:type="dxa"/>
            <w:shd w:val="clear" w:color="auto" w:fill="FFFFFF"/>
            <w:vAlign w:val="bottom"/>
          </w:tcPr>
          <w:p w14:paraId="096D603D" w14:textId="3149E7AE" w:rsidR="00E5550C" w:rsidRPr="00043F87" w:rsidRDefault="00E5550C" w:rsidP="00E5550C">
            <w:pPr>
              <w:pStyle w:val="CETBodytext"/>
              <w:ind w:right="-1"/>
              <w:rPr>
                <w:rFonts w:cs="Arial"/>
                <w:szCs w:val="18"/>
                <w:lang w:val="en-GB"/>
              </w:rPr>
            </w:pPr>
            <w:r w:rsidRPr="00043F87">
              <w:rPr>
                <w:rFonts w:cs="Arial"/>
                <w:szCs w:val="18"/>
                <w:lang w:val="en-GB" w:eastAsia="it-IT"/>
              </w:rPr>
              <w:t> </w:t>
            </w:r>
          </w:p>
        </w:tc>
        <w:tc>
          <w:tcPr>
            <w:tcW w:w="1134" w:type="dxa"/>
            <w:shd w:val="clear" w:color="auto" w:fill="FFFFFF"/>
            <w:vAlign w:val="bottom"/>
          </w:tcPr>
          <w:p w14:paraId="4411C8CB" w14:textId="7B49C610" w:rsidR="00E5550C" w:rsidRPr="00043F87" w:rsidRDefault="00E5550C" w:rsidP="00E5550C">
            <w:pPr>
              <w:pStyle w:val="CETBodytext"/>
              <w:ind w:right="-1"/>
              <w:rPr>
                <w:rFonts w:cs="Arial"/>
                <w:szCs w:val="18"/>
                <w:lang w:val="en-GB"/>
              </w:rPr>
            </w:pPr>
            <w:r w:rsidRPr="00043F87">
              <w:rPr>
                <w:rFonts w:cs="Arial"/>
                <w:szCs w:val="18"/>
                <w:lang w:val="en-GB" w:eastAsia="it-IT"/>
              </w:rPr>
              <w:t> </w:t>
            </w:r>
          </w:p>
        </w:tc>
        <w:tc>
          <w:tcPr>
            <w:tcW w:w="1134" w:type="dxa"/>
            <w:shd w:val="clear" w:color="auto" w:fill="FFFFFF"/>
            <w:vAlign w:val="bottom"/>
          </w:tcPr>
          <w:p w14:paraId="7950FC45" w14:textId="58405B6E" w:rsidR="00E5550C" w:rsidRPr="00043F87" w:rsidRDefault="00E5550C" w:rsidP="00E5550C">
            <w:pPr>
              <w:pStyle w:val="CETBodytext"/>
              <w:ind w:right="-1"/>
              <w:rPr>
                <w:rFonts w:cs="Arial"/>
                <w:szCs w:val="18"/>
                <w:lang w:val="en-GB" w:eastAsia="it-IT"/>
              </w:rPr>
            </w:pPr>
            <w:r w:rsidRPr="00043F87">
              <w:rPr>
                <w:rFonts w:cs="Arial"/>
                <w:szCs w:val="18"/>
                <w:lang w:val="it-IT" w:eastAsia="it-IT"/>
              </w:rPr>
              <w:t>394,240</w:t>
            </w:r>
          </w:p>
        </w:tc>
        <w:tc>
          <w:tcPr>
            <w:tcW w:w="1134" w:type="dxa"/>
            <w:shd w:val="clear" w:color="auto" w:fill="FFFFFF"/>
          </w:tcPr>
          <w:p w14:paraId="32EACBD1" w14:textId="77777777" w:rsidR="00E5550C" w:rsidRPr="00043F87" w:rsidRDefault="00E5550C" w:rsidP="00E5550C">
            <w:pPr>
              <w:pStyle w:val="CETBodytext"/>
              <w:ind w:right="-1"/>
              <w:rPr>
                <w:rFonts w:cs="Arial"/>
                <w:szCs w:val="18"/>
                <w:lang w:val="en-GB"/>
              </w:rPr>
            </w:pPr>
          </w:p>
        </w:tc>
      </w:tr>
      <w:tr w:rsidR="00043F87" w:rsidRPr="00043F87" w14:paraId="639EF0D1" w14:textId="77777777" w:rsidTr="00CA4EE7">
        <w:tc>
          <w:tcPr>
            <w:tcW w:w="4253" w:type="dxa"/>
            <w:shd w:val="clear" w:color="auto" w:fill="FFFFFF"/>
            <w:vAlign w:val="bottom"/>
          </w:tcPr>
          <w:p w14:paraId="70D82068" w14:textId="152CDFBF" w:rsidR="00E5550C" w:rsidRPr="00043F87" w:rsidRDefault="00E5550C" w:rsidP="00E5550C">
            <w:pPr>
              <w:pStyle w:val="CETBodytext"/>
              <w:ind w:right="-1"/>
              <w:rPr>
                <w:rFonts w:cs="Arial"/>
                <w:szCs w:val="18"/>
                <w:lang w:val="en-GB"/>
              </w:rPr>
            </w:pPr>
            <w:r w:rsidRPr="00043F87">
              <w:rPr>
                <w:rFonts w:cs="Arial"/>
                <w:szCs w:val="18"/>
                <w:lang w:val="en-GB"/>
              </w:rPr>
              <w:t>Dry biomass (16.00 % moisture) (dry biomass rate of 0.45 Kg/kg syngas)</w:t>
            </w:r>
          </w:p>
        </w:tc>
        <w:tc>
          <w:tcPr>
            <w:tcW w:w="1134" w:type="dxa"/>
            <w:shd w:val="clear" w:color="auto" w:fill="FFFFFF"/>
            <w:vAlign w:val="bottom"/>
          </w:tcPr>
          <w:p w14:paraId="2E601CE2" w14:textId="77777777" w:rsidR="00E5550C" w:rsidRPr="00043F87" w:rsidRDefault="00E5550C" w:rsidP="00E5550C">
            <w:pPr>
              <w:pStyle w:val="CETBodytext"/>
              <w:ind w:right="-1"/>
              <w:rPr>
                <w:rFonts w:cs="Arial"/>
                <w:szCs w:val="18"/>
                <w:lang w:val="en-GB"/>
              </w:rPr>
            </w:pPr>
          </w:p>
        </w:tc>
        <w:tc>
          <w:tcPr>
            <w:tcW w:w="1134" w:type="dxa"/>
            <w:shd w:val="clear" w:color="auto" w:fill="FFFFFF"/>
            <w:vAlign w:val="bottom"/>
          </w:tcPr>
          <w:p w14:paraId="3840E18B" w14:textId="77777777" w:rsidR="00E5550C" w:rsidRPr="00043F87" w:rsidRDefault="00E5550C" w:rsidP="00E5550C">
            <w:pPr>
              <w:pStyle w:val="CETBodytext"/>
              <w:ind w:right="-1"/>
              <w:rPr>
                <w:rFonts w:cs="Arial"/>
                <w:szCs w:val="18"/>
                <w:lang w:val="en-GB"/>
              </w:rPr>
            </w:pPr>
          </w:p>
        </w:tc>
        <w:tc>
          <w:tcPr>
            <w:tcW w:w="1134" w:type="dxa"/>
            <w:shd w:val="clear" w:color="auto" w:fill="FFFFFF"/>
            <w:vAlign w:val="bottom"/>
          </w:tcPr>
          <w:p w14:paraId="2C196A5D" w14:textId="77777777" w:rsidR="00E5550C" w:rsidRPr="00043F87" w:rsidRDefault="00E5550C" w:rsidP="00E5550C">
            <w:pPr>
              <w:pStyle w:val="CETBodytext"/>
              <w:ind w:right="-1"/>
              <w:rPr>
                <w:rFonts w:cs="Arial"/>
                <w:szCs w:val="18"/>
                <w:lang w:val="en-GB" w:eastAsia="it-IT"/>
              </w:rPr>
            </w:pPr>
          </w:p>
        </w:tc>
        <w:tc>
          <w:tcPr>
            <w:tcW w:w="1134" w:type="dxa"/>
            <w:shd w:val="clear" w:color="auto" w:fill="FFFFFF"/>
            <w:vAlign w:val="bottom"/>
          </w:tcPr>
          <w:p w14:paraId="66123598" w14:textId="75905795" w:rsidR="00E5550C" w:rsidRPr="00043F87" w:rsidRDefault="00E5550C" w:rsidP="00E5550C">
            <w:pPr>
              <w:pStyle w:val="CETBodytext"/>
              <w:ind w:right="-1"/>
              <w:rPr>
                <w:rFonts w:cs="Arial"/>
                <w:szCs w:val="18"/>
                <w:lang w:val="en-GB"/>
              </w:rPr>
            </w:pPr>
            <w:r w:rsidRPr="00043F87">
              <w:rPr>
                <w:rFonts w:cs="Arial"/>
                <w:szCs w:val="18"/>
                <w:lang w:val="en-GB"/>
              </w:rPr>
              <w:t>481,986</w:t>
            </w:r>
          </w:p>
        </w:tc>
      </w:tr>
      <w:tr w:rsidR="00043F87" w:rsidRPr="00043F87" w14:paraId="36A298D0" w14:textId="77777777" w:rsidTr="009D5C46">
        <w:tc>
          <w:tcPr>
            <w:tcW w:w="4253" w:type="dxa"/>
            <w:shd w:val="clear" w:color="auto" w:fill="FFFFFF"/>
            <w:vAlign w:val="bottom"/>
          </w:tcPr>
          <w:p w14:paraId="6E482EC2" w14:textId="66CAE926" w:rsidR="00E5550C" w:rsidRPr="00043F87" w:rsidRDefault="00E5550C" w:rsidP="00E5550C">
            <w:pPr>
              <w:pStyle w:val="CETBodytext"/>
              <w:ind w:right="-1"/>
              <w:rPr>
                <w:rFonts w:cs="Arial"/>
                <w:szCs w:val="18"/>
                <w:lang w:val="en-GB"/>
              </w:rPr>
            </w:pPr>
            <w:r w:rsidRPr="00043F87">
              <w:rPr>
                <w:rFonts w:cs="Arial"/>
                <w:szCs w:val="18"/>
                <w:lang w:val="en-GB"/>
              </w:rPr>
              <w:t>Wet biomass (32.00 % moisture) (wet biomass rate of 0.56 Kg/kg syngas)</w:t>
            </w:r>
          </w:p>
        </w:tc>
        <w:tc>
          <w:tcPr>
            <w:tcW w:w="1134" w:type="dxa"/>
            <w:shd w:val="clear" w:color="auto" w:fill="FFFFFF"/>
            <w:vAlign w:val="bottom"/>
          </w:tcPr>
          <w:p w14:paraId="6236A922" w14:textId="77777777" w:rsidR="00E5550C" w:rsidRPr="00043F87" w:rsidRDefault="00E5550C" w:rsidP="00E5550C">
            <w:pPr>
              <w:pStyle w:val="CETBodytext"/>
              <w:ind w:right="-1"/>
              <w:rPr>
                <w:rFonts w:cs="Arial"/>
                <w:szCs w:val="18"/>
                <w:lang w:val="en-GB"/>
              </w:rPr>
            </w:pPr>
          </w:p>
        </w:tc>
        <w:tc>
          <w:tcPr>
            <w:tcW w:w="1134" w:type="dxa"/>
            <w:shd w:val="clear" w:color="auto" w:fill="FFFFFF"/>
            <w:vAlign w:val="bottom"/>
          </w:tcPr>
          <w:p w14:paraId="6603637A" w14:textId="77777777" w:rsidR="00E5550C" w:rsidRPr="00043F87" w:rsidRDefault="00E5550C" w:rsidP="00E5550C">
            <w:pPr>
              <w:pStyle w:val="CETBodytext"/>
              <w:ind w:right="-1"/>
              <w:rPr>
                <w:rFonts w:cs="Arial"/>
                <w:szCs w:val="18"/>
                <w:lang w:val="en-GB"/>
              </w:rPr>
            </w:pPr>
          </w:p>
        </w:tc>
        <w:tc>
          <w:tcPr>
            <w:tcW w:w="1134" w:type="dxa"/>
            <w:shd w:val="clear" w:color="auto" w:fill="FFFFFF"/>
            <w:vAlign w:val="bottom"/>
          </w:tcPr>
          <w:p w14:paraId="2B0C2F44" w14:textId="77777777" w:rsidR="00E5550C" w:rsidRPr="00043F87" w:rsidRDefault="00E5550C" w:rsidP="00E5550C">
            <w:pPr>
              <w:pStyle w:val="CETBodytext"/>
              <w:ind w:right="-1"/>
              <w:rPr>
                <w:rFonts w:cs="Arial"/>
                <w:szCs w:val="18"/>
                <w:lang w:val="en-GB" w:eastAsia="it-IT"/>
              </w:rPr>
            </w:pPr>
          </w:p>
        </w:tc>
        <w:tc>
          <w:tcPr>
            <w:tcW w:w="1134" w:type="dxa"/>
            <w:shd w:val="clear" w:color="auto" w:fill="FFFFFF"/>
            <w:vAlign w:val="bottom"/>
          </w:tcPr>
          <w:p w14:paraId="0D7E056B" w14:textId="115F4A59" w:rsidR="00E5550C" w:rsidRPr="00043F87" w:rsidRDefault="00E5550C" w:rsidP="00E5550C">
            <w:pPr>
              <w:pStyle w:val="CETBodytext"/>
              <w:ind w:right="-1"/>
              <w:rPr>
                <w:rFonts w:cs="Arial"/>
                <w:szCs w:val="18"/>
                <w:lang w:val="en-GB"/>
              </w:rPr>
            </w:pPr>
            <w:r w:rsidRPr="00043F87">
              <w:rPr>
                <w:rFonts w:cs="Arial"/>
                <w:szCs w:val="18"/>
                <w:lang w:val="en-GB"/>
              </w:rPr>
              <w:t>595,496</w:t>
            </w:r>
          </w:p>
        </w:tc>
      </w:tr>
      <w:tr w:rsidR="00E5550C" w:rsidRPr="00043F87" w14:paraId="79F351CD" w14:textId="77777777" w:rsidTr="009D5C46">
        <w:tc>
          <w:tcPr>
            <w:tcW w:w="4253" w:type="dxa"/>
            <w:shd w:val="clear" w:color="auto" w:fill="FFFFFF"/>
            <w:vAlign w:val="bottom"/>
          </w:tcPr>
          <w:p w14:paraId="602B4D56" w14:textId="7A022E4B" w:rsidR="00E5550C" w:rsidRPr="00043F87" w:rsidRDefault="00E5550C" w:rsidP="00E5550C">
            <w:pPr>
              <w:pStyle w:val="CETBodytext"/>
              <w:ind w:right="-1"/>
              <w:rPr>
                <w:rFonts w:cs="Arial"/>
                <w:szCs w:val="18"/>
                <w:lang w:val="en-GB"/>
              </w:rPr>
            </w:pPr>
            <w:r w:rsidRPr="00043F87">
              <w:rPr>
                <w:rFonts w:cs="Arial"/>
                <w:szCs w:val="18"/>
                <w:lang w:val="en-GB"/>
              </w:rPr>
              <w:t>Energy and other materials consumption</w:t>
            </w:r>
          </w:p>
        </w:tc>
        <w:tc>
          <w:tcPr>
            <w:tcW w:w="1134" w:type="dxa"/>
            <w:shd w:val="clear" w:color="auto" w:fill="FFFFFF"/>
            <w:vAlign w:val="bottom"/>
          </w:tcPr>
          <w:p w14:paraId="7842C690" w14:textId="77777777" w:rsidR="00E5550C" w:rsidRPr="00043F87" w:rsidRDefault="00E5550C" w:rsidP="00E5550C">
            <w:pPr>
              <w:pStyle w:val="CETBodytext"/>
              <w:ind w:right="-1"/>
              <w:rPr>
                <w:rFonts w:cs="Arial"/>
                <w:szCs w:val="18"/>
                <w:lang w:val="en-GB"/>
              </w:rPr>
            </w:pPr>
          </w:p>
        </w:tc>
        <w:tc>
          <w:tcPr>
            <w:tcW w:w="1134" w:type="dxa"/>
            <w:shd w:val="clear" w:color="auto" w:fill="FFFFFF"/>
            <w:vAlign w:val="bottom"/>
          </w:tcPr>
          <w:p w14:paraId="34C878DA" w14:textId="77777777" w:rsidR="00E5550C" w:rsidRPr="00043F87" w:rsidRDefault="00E5550C" w:rsidP="00E5550C">
            <w:pPr>
              <w:pStyle w:val="CETBodytext"/>
              <w:ind w:right="-1"/>
              <w:rPr>
                <w:rFonts w:cs="Arial"/>
                <w:szCs w:val="18"/>
                <w:lang w:val="en-GB"/>
              </w:rPr>
            </w:pPr>
          </w:p>
        </w:tc>
        <w:tc>
          <w:tcPr>
            <w:tcW w:w="1134" w:type="dxa"/>
            <w:shd w:val="clear" w:color="auto" w:fill="FFFFFF"/>
            <w:vAlign w:val="bottom"/>
          </w:tcPr>
          <w:p w14:paraId="09D10476" w14:textId="77777777" w:rsidR="00E5550C" w:rsidRPr="00043F87" w:rsidRDefault="00E5550C" w:rsidP="00E5550C">
            <w:pPr>
              <w:pStyle w:val="CETBodytext"/>
              <w:ind w:right="-1"/>
              <w:rPr>
                <w:rFonts w:cs="Arial"/>
                <w:szCs w:val="18"/>
                <w:lang w:val="en-GB" w:eastAsia="it-IT"/>
              </w:rPr>
            </w:pPr>
          </w:p>
        </w:tc>
        <w:tc>
          <w:tcPr>
            <w:tcW w:w="1134" w:type="dxa"/>
            <w:shd w:val="clear" w:color="auto" w:fill="FFFFFF"/>
            <w:vAlign w:val="bottom"/>
          </w:tcPr>
          <w:p w14:paraId="32A4DE5D" w14:textId="77777777" w:rsidR="00E5550C" w:rsidRPr="00043F87" w:rsidRDefault="00E5550C" w:rsidP="00E5550C">
            <w:pPr>
              <w:pStyle w:val="CETBodytext"/>
              <w:ind w:right="-1"/>
              <w:rPr>
                <w:rFonts w:cs="Arial"/>
                <w:szCs w:val="18"/>
                <w:lang w:val="en-GB"/>
              </w:rPr>
            </w:pPr>
          </w:p>
        </w:tc>
      </w:tr>
      <w:tr w:rsidR="00E5550C" w:rsidRPr="00043F87" w14:paraId="7BC172A5" w14:textId="77777777" w:rsidTr="009D5C46">
        <w:tc>
          <w:tcPr>
            <w:tcW w:w="4253" w:type="dxa"/>
            <w:shd w:val="clear" w:color="auto" w:fill="FFFFFF"/>
            <w:vAlign w:val="bottom"/>
          </w:tcPr>
          <w:p w14:paraId="305B5B85" w14:textId="55EF1247" w:rsidR="00E5550C" w:rsidRPr="00043F87" w:rsidRDefault="00E5550C" w:rsidP="00E5550C">
            <w:pPr>
              <w:pStyle w:val="CETBodytext"/>
              <w:ind w:right="-1"/>
              <w:rPr>
                <w:rFonts w:cs="Arial"/>
                <w:szCs w:val="18"/>
                <w:lang w:val="en-GB"/>
              </w:rPr>
            </w:pPr>
            <w:r w:rsidRPr="00043F87">
              <w:rPr>
                <w:lang w:val="en-GB"/>
              </w:rPr>
              <w:t>Fuel gas (t/y)</w:t>
            </w:r>
          </w:p>
        </w:tc>
        <w:tc>
          <w:tcPr>
            <w:tcW w:w="1134" w:type="dxa"/>
            <w:shd w:val="clear" w:color="auto" w:fill="FFFFFF"/>
            <w:vAlign w:val="bottom"/>
          </w:tcPr>
          <w:p w14:paraId="3BD2BD02" w14:textId="4F9D174B" w:rsidR="00E5550C" w:rsidRPr="006E1064" w:rsidRDefault="00E5550C" w:rsidP="00E5550C">
            <w:pPr>
              <w:pStyle w:val="CETBodytext"/>
              <w:ind w:right="-1"/>
              <w:rPr>
                <w:rFonts w:cs="Arial"/>
                <w:szCs w:val="18"/>
                <w:lang w:val="en-GB"/>
              </w:rPr>
            </w:pPr>
            <w:r w:rsidRPr="006E1064">
              <w:rPr>
                <w:rFonts w:cs="Arial"/>
                <w:szCs w:val="18"/>
                <w:lang w:val="en-GB" w:eastAsia="it-IT"/>
              </w:rPr>
              <w:t>8,754</w:t>
            </w:r>
          </w:p>
        </w:tc>
        <w:tc>
          <w:tcPr>
            <w:tcW w:w="1134" w:type="dxa"/>
            <w:shd w:val="clear" w:color="auto" w:fill="FFFFFF"/>
            <w:vAlign w:val="bottom"/>
          </w:tcPr>
          <w:p w14:paraId="1EA9B857" w14:textId="254F6590" w:rsidR="00E5550C" w:rsidRPr="006E1064" w:rsidRDefault="00E5550C" w:rsidP="00E5550C">
            <w:pPr>
              <w:pStyle w:val="CETBodytext"/>
              <w:ind w:right="-1"/>
              <w:rPr>
                <w:rFonts w:cs="Arial"/>
                <w:szCs w:val="18"/>
                <w:lang w:val="en-GB"/>
              </w:rPr>
            </w:pPr>
            <w:r w:rsidRPr="006E1064">
              <w:rPr>
                <w:rFonts w:cs="Arial"/>
                <w:szCs w:val="18"/>
                <w:lang w:val="en-GB" w:eastAsia="it-IT"/>
              </w:rPr>
              <w:t>8,</w:t>
            </w:r>
            <w:r w:rsidR="000848FE" w:rsidRPr="006E1064">
              <w:rPr>
                <w:rFonts w:cs="Arial"/>
                <w:szCs w:val="18"/>
                <w:lang w:val="en-GB" w:eastAsia="it-IT"/>
              </w:rPr>
              <w:t>754</w:t>
            </w:r>
          </w:p>
        </w:tc>
        <w:tc>
          <w:tcPr>
            <w:tcW w:w="1134" w:type="dxa"/>
            <w:shd w:val="clear" w:color="auto" w:fill="FFFFFF"/>
            <w:vAlign w:val="bottom"/>
          </w:tcPr>
          <w:p w14:paraId="7011A770" w14:textId="2A1C9838" w:rsidR="00E5550C" w:rsidRPr="00043F87" w:rsidRDefault="00E5550C" w:rsidP="00E5550C">
            <w:pPr>
              <w:pStyle w:val="CETBodytext"/>
              <w:ind w:right="-1"/>
              <w:rPr>
                <w:rFonts w:cs="Arial"/>
                <w:szCs w:val="18"/>
                <w:lang w:val="en-GB" w:eastAsia="it-IT"/>
              </w:rPr>
            </w:pPr>
            <w:r w:rsidRPr="00043F87">
              <w:rPr>
                <w:rFonts w:cs="Arial"/>
                <w:szCs w:val="18"/>
                <w:lang w:val="en-GB"/>
              </w:rPr>
              <w:t>0</w:t>
            </w:r>
          </w:p>
        </w:tc>
        <w:tc>
          <w:tcPr>
            <w:tcW w:w="1134" w:type="dxa"/>
            <w:shd w:val="clear" w:color="auto" w:fill="FFFFFF"/>
            <w:vAlign w:val="bottom"/>
          </w:tcPr>
          <w:p w14:paraId="7051589D" w14:textId="26086C25" w:rsidR="00E5550C" w:rsidRPr="00043F87" w:rsidRDefault="00E5550C" w:rsidP="00E5550C">
            <w:pPr>
              <w:pStyle w:val="CETBodytext"/>
              <w:ind w:right="-1"/>
              <w:rPr>
                <w:rFonts w:cs="Arial"/>
                <w:szCs w:val="18"/>
                <w:lang w:val="en-GB"/>
              </w:rPr>
            </w:pPr>
            <w:r w:rsidRPr="00043F87">
              <w:rPr>
                <w:rFonts w:cs="Arial"/>
                <w:szCs w:val="18"/>
                <w:lang w:val="en-GB" w:eastAsia="it-IT"/>
              </w:rPr>
              <w:t>0</w:t>
            </w:r>
          </w:p>
        </w:tc>
      </w:tr>
      <w:tr w:rsidR="00E5550C" w:rsidRPr="00043F87" w14:paraId="66DD8529" w14:textId="77777777" w:rsidTr="009D5C46">
        <w:tc>
          <w:tcPr>
            <w:tcW w:w="4253" w:type="dxa"/>
            <w:shd w:val="clear" w:color="auto" w:fill="FFFFFF"/>
            <w:vAlign w:val="bottom"/>
          </w:tcPr>
          <w:p w14:paraId="3FEDB778" w14:textId="32685C8D" w:rsidR="00E5550C" w:rsidRPr="00043F87" w:rsidRDefault="00E5550C" w:rsidP="00E5550C">
            <w:pPr>
              <w:pStyle w:val="CETBodytext"/>
              <w:ind w:right="-1"/>
              <w:rPr>
                <w:rFonts w:cs="Arial"/>
                <w:szCs w:val="18"/>
                <w:lang w:val="en-GB"/>
              </w:rPr>
            </w:pPr>
            <w:r w:rsidRPr="00043F87">
              <w:rPr>
                <w:lang w:val="en-GB"/>
              </w:rPr>
              <w:t>Electricity (MWh/y)</w:t>
            </w:r>
          </w:p>
        </w:tc>
        <w:tc>
          <w:tcPr>
            <w:tcW w:w="1134" w:type="dxa"/>
            <w:shd w:val="clear" w:color="auto" w:fill="FFFFFF"/>
            <w:vAlign w:val="bottom"/>
          </w:tcPr>
          <w:p w14:paraId="1DA442CC" w14:textId="68B35DB2" w:rsidR="00E5550C" w:rsidRPr="00043F87" w:rsidRDefault="00E5550C" w:rsidP="00E5550C">
            <w:pPr>
              <w:pStyle w:val="CETBodytext"/>
              <w:ind w:right="-1"/>
              <w:rPr>
                <w:rFonts w:cs="Arial"/>
                <w:szCs w:val="18"/>
                <w:lang w:val="en-GB"/>
              </w:rPr>
            </w:pPr>
            <w:r w:rsidRPr="00043F87">
              <w:rPr>
                <w:rFonts w:cs="Arial"/>
                <w:szCs w:val="18"/>
                <w:lang w:val="en-GB" w:eastAsia="it-IT"/>
              </w:rPr>
              <w:t>10,884</w:t>
            </w:r>
          </w:p>
        </w:tc>
        <w:tc>
          <w:tcPr>
            <w:tcW w:w="1134" w:type="dxa"/>
            <w:shd w:val="clear" w:color="auto" w:fill="FFFFFF"/>
            <w:vAlign w:val="bottom"/>
          </w:tcPr>
          <w:p w14:paraId="41A35B89" w14:textId="441E52A6" w:rsidR="00E5550C" w:rsidRPr="00043F87" w:rsidRDefault="00E5550C" w:rsidP="00E5550C">
            <w:pPr>
              <w:pStyle w:val="CETBodytext"/>
              <w:ind w:right="-1"/>
              <w:rPr>
                <w:rFonts w:cs="Arial"/>
                <w:szCs w:val="18"/>
                <w:lang w:val="en-GB"/>
              </w:rPr>
            </w:pPr>
            <w:r w:rsidRPr="00043F87">
              <w:rPr>
                <w:rFonts w:cs="Arial"/>
                <w:szCs w:val="18"/>
                <w:lang w:val="en-GB" w:eastAsia="it-IT"/>
              </w:rPr>
              <w:t>144,157</w:t>
            </w:r>
          </w:p>
        </w:tc>
        <w:tc>
          <w:tcPr>
            <w:tcW w:w="1134" w:type="dxa"/>
            <w:shd w:val="clear" w:color="auto" w:fill="FFFFFF"/>
            <w:vAlign w:val="bottom"/>
          </w:tcPr>
          <w:p w14:paraId="32FB5EED" w14:textId="5A55941A" w:rsidR="00E5550C" w:rsidRPr="00043F87" w:rsidRDefault="00E5550C" w:rsidP="00E5550C">
            <w:pPr>
              <w:pStyle w:val="CETBodytext"/>
              <w:ind w:right="-1"/>
              <w:rPr>
                <w:rFonts w:cs="Arial"/>
                <w:szCs w:val="18"/>
                <w:lang w:val="en-GB" w:eastAsia="it-IT"/>
              </w:rPr>
            </w:pPr>
            <w:r w:rsidRPr="00043F87">
              <w:rPr>
                <w:rFonts w:cs="Arial"/>
                <w:szCs w:val="18"/>
                <w:lang w:val="en-GB"/>
              </w:rPr>
              <w:t>47,994</w:t>
            </w:r>
          </w:p>
        </w:tc>
        <w:tc>
          <w:tcPr>
            <w:tcW w:w="1134" w:type="dxa"/>
            <w:shd w:val="clear" w:color="auto" w:fill="FFFFFF"/>
            <w:vAlign w:val="bottom"/>
          </w:tcPr>
          <w:p w14:paraId="707580DD" w14:textId="201F9592" w:rsidR="00E5550C" w:rsidRPr="00043F87" w:rsidRDefault="00E5550C" w:rsidP="00E5550C">
            <w:pPr>
              <w:pStyle w:val="CETBodytext"/>
              <w:ind w:right="-1"/>
              <w:rPr>
                <w:rFonts w:cs="Arial"/>
                <w:szCs w:val="18"/>
                <w:lang w:val="en-GB"/>
              </w:rPr>
            </w:pPr>
            <w:r w:rsidRPr="00043F87">
              <w:rPr>
                <w:rFonts w:cs="Arial"/>
                <w:szCs w:val="18"/>
                <w:lang w:val="en-GB" w:eastAsia="it-IT"/>
              </w:rPr>
              <w:t>96,971</w:t>
            </w:r>
          </w:p>
        </w:tc>
      </w:tr>
      <w:tr w:rsidR="00E5550C" w:rsidRPr="00043F87" w14:paraId="62CA64A1" w14:textId="77777777" w:rsidTr="009D5C46">
        <w:tc>
          <w:tcPr>
            <w:tcW w:w="4253" w:type="dxa"/>
            <w:shd w:val="clear" w:color="auto" w:fill="FFFFFF"/>
            <w:vAlign w:val="bottom"/>
          </w:tcPr>
          <w:p w14:paraId="303B2E24" w14:textId="50EFE86B" w:rsidR="00E5550C" w:rsidRPr="00043F87" w:rsidRDefault="00E5550C" w:rsidP="00E5550C">
            <w:pPr>
              <w:pStyle w:val="CETBodytext"/>
              <w:ind w:right="-1"/>
              <w:rPr>
                <w:rFonts w:cs="Arial"/>
                <w:szCs w:val="18"/>
                <w:lang w:val="en-GB"/>
              </w:rPr>
            </w:pPr>
            <w:r w:rsidRPr="00043F87">
              <w:rPr>
                <w:lang w:val="en-GB"/>
              </w:rPr>
              <w:t>Water (t/y)</w:t>
            </w:r>
          </w:p>
        </w:tc>
        <w:tc>
          <w:tcPr>
            <w:tcW w:w="1134" w:type="dxa"/>
            <w:shd w:val="clear" w:color="auto" w:fill="FFFFFF"/>
            <w:vAlign w:val="bottom"/>
          </w:tcPr>
          <w:p w14:paraId="6965DC90" w14:textId="1EB4447D" w:rsidR="00E5550C" w:rsidRPr="00043F87" w:rsidRDefault="00E5550C" w:rsidP="00E5550C">
            <w:pPr>
              <w:pStyle w:val="CETBodytext"/>
              <w:ind w:right="-1"/>
              <w:rPr>
                <w:rFonts w:cs="Arial"/>
                <w:szCs w:val="18"/>
                <w:lang w:val="en-GB"/>
              </w:rPr>
            </w:pPr>
            <w:r w:rsidRPr="00043F87">
              <w:rPr>
                <w:rFonts w:cs="Arial"/>
                <w:szCs w:val="18"/>
                <w:lang w:val="en-GB" w:eastAsia="it-IT"/>
              </w:rPr>
              <w:t>225,4999</w:t>
            </w:r>
          </w:p>
        </w:tc>
        <w:tc>
          <w:tcPr>
            <w:tcW w:w="1134" w:type="dxa"/>
            <w:shd w:val="clear" w:color="auto" w:fill="FFFFFF"/>
            <w:vAlign w:val="bottom"/>
          </w:tcPr>
          <w:p w14:paraId="03CB7714" w14:textId="04B42D4E" w:rsidR="00E5550C" w:rsidRPr="00043F87" w:rsidRDefault="00E5550C" w:rsidP="00E5550C">
            <w:pPr>
              <w:pStyle w:val="CETBodytext"/>
              <w:ind w:right="-1"/>
              <w:rPr>
                <w:rFonts w:cs="Arial"/>
                <w:szCs w:val="18"/>
                <w:lang w:val="en-GB"/>
              </w:rPr>
            </w:pPr>
            <w:r w:rsidRPr="00043F87">
              <w:rPr>
                <w:rFonts w:cs="Arial"/>
                <w:szCs w:val="18"/>
                <w:lang w:val="en-GB" w:eastAsia="it-IT"/>
              </w:rPr>
              <w:t>238,599</w:t>
            </w:r>
          </w:p>
        </w:tc>
        <w:tc>
          <w:tcPr>
            <w:tcW w:w="1134" w:type="dxa"/>
            <w:shd w:val="clear" w:color="auto" w:fill="FFFFFF"/>
            <w:vAlign w:val="bottom"/>
          </w:tcPr>
          <w:p w14:paraId="2FA3E9EC" w14:textId="0F3ABE2A" w:rsidR="00E5550C" w:rsidRPr="00043F87" w:rsidRDefault="00E5550C" w:rsidP="00E5550C">
            <w:pPr>
              <w:pStyle w:val="CETBodytext"/>
              <w:ind w:right="-1"/>
              <w:rPr>
                <w:rFonts w:cs="Arial"/>
                <w:szCs w:val="18"/>
                <w:lang w:val="en-GB" w:eastAsia="it-IT"/>
              </w:rPr>
            </w:pPr>
            <w:r w:rsidRPr="00043F87">
              <w:rPr>
                <w:rFonts w:cs="Arial"/>
                <w:szCs w:val="18"/>
                <w:lang w:val="en-GB"/>
              </w:rPr>
              <w:t>185,224</w:t>
            </w:r>
          </w:p>
        </w:tc>
        <w:tc>
          <w:tcPr>
            <w:tcW w:w="1134" w:type="dxa"/>
            <w:shd w:val="clear" w:color="auto" w:fill="FFFFFF"/>
            <w:vAlign w:val="bottom"/>
          </w:tcPr>
          <w:p w14:paraId="3E51CA4B" w14:textId="5B9E06E8" w:rsidR="00E5550C" w:rsidRPr="00043F87" w:rsidRDefault="00E5550C" w:rsidP="00E5550C">
            <w:pPr>
              <w:pStyle w:val="CETBodytext"/>
              <w:ind w:right="-1"/>
              <w:rPr>
                <w:rFonts w:cs="Arial"/>
                <w:szCs w:val="18"/>
                <w:lang w:val="en-GB"/>
              </w:rPr>
            </w:pPr>
            <w:r w:rsidRPr="00043F87">
              <w:rPr>
                <w:rFonts w:cs="Arial"/>
                <w:szCs w:val="18"/>
                <w:lang w:val="en-GB" w:eastAsia="it-IT"/>
              </w:rPr>
              <w:t>118,258</w:t>
            </w:r>
          </w:p>
        </w:tc>
      </w:tr>
    </w:tbl>
    <w:p w14:paraId="56E86CDB" w14:textId="34B03BD8" w:rsidR="00E5550C" w:rsidRPr="00043F87" w:rsidRDefault="00E5550C" w:rsidP="00E5550C">
      <w:pPr>
        <w:pStyle w:val="CETHeading1"/>
        <w:rPr>
          <w:lang w:val="en-GB"/>
        </w:rPr>
      </w:pPr>
      <w:r w:rsidRPr="00043F87">
        <w:rPr>
          <w:lang w:val="en-GB"/>
        </w:rPr>
        <w:t>Economic assessment</w:t>
      </w:r>
    </w:p>
    <w:p w14:paraId="689D1413" w14:textId="1513537B" w:rsidR="00E5550C" w:rsidRPr="00043F87" w:rsidRDefault="00E5550C" w:rsidP="00E5550C">
      <w:pPr>
        <w:pStyle w:val="CETBodytext"/>
        <w:rPr>
          <w:rFonts w:eastAsiaTheme="minorEastAsia" w:cs="Arial"/>
        </w:rPr>
      </w:pPr>
      <w:r w:rsidRPr="00043F87">
        <w:rPr>
          <w:rStyle w:val="rynqvb"/>
          <w:lang w:val="en-GB"/>
        </w:rPr>
        <w:t>The LCOH is calculated from the point at which the present value of all income received from H</w:t>
      </w:r>
      <w:r w:rsidRPr="00043F87">
        <w:rPr>
          <w:rStyle w:val="rynqvb"/>
          <w:b/>
          <w:vertAlign w:val="subscript"/>
          <w:lang w:val="en-GB"/>
        </w:rPr>
        <w:t>2</w:t>
      </w:r>
      <w:r w:rsidRPr="00043F87">
        <w:rPr>
          <w:rStyle w:val="rynqvb"/>
          <w:lang w:val="en-GB"/>
        </w:rPr>
        <w:t xml:space="preserve"> sales balances a single present value of overall cost (CAPEX and OPEX), as showed in </w:t>
      </w:r>
      <w:proofErr w:type="spellStart"/>
      <w:proofErr w:type="gramStart"/>
      <w:r w:rsidRPr="00043F87">
        <w:rPr>
          <w:rStyle w:val="rynqvb"/>
          <w:lang w:val="en-GB"/>
        </w:rPr>
        <w:t>Eq</w:t>
      </w:r>
      <w:proofErr w:type="spellEnd"/>
      <w:r w:rsidRPr="00043F87">
        <w:rPr>
          <w:rStyle w:val="rynqvb"/>
          <w:lang w:val="en-GB"/>
        </w:rPr>
        <w:t>(</w:t>
      </w:r>
      <w:proofErr w:type="gramEnd"/>
      <w:r w:rsidRPr="00043F87">
        <w:rPr>
          <w:rStyle w:val="rynqvb"/>
          <w:lang w:val="en-GB"/>
        </w:rPr>
        <w:t xml:space="preserve">4). When </w:t>
      </w:r>
      <w:r w:rsidRPr="00043F87">
        <w:rPr>
          <w:rStyle w:val="rynqvb"/>
          <w:rFonts w:eastAsiaTheme="minorEastAsia" w:cs="Arial"/>
          <w:szCs w:val="18"/>
        </w:rPr>
        <w:t>H</w:t>
      </w:r>
      <w:r w:rsidRPr="00043F87">
        <w:rPr>
          <w:rStyle w:val="rynqvb"/>
          <w:rFonts w:eastAsiaTheme="minorEastAsia" w:cs="Arial"/>
          <w:szCs w:val="18"/>
          <w:vertAlign w:val="subscript"/>
        </w:rPr>
        <w:t>2</w:t>
      </w:r>
      <w:r w:rsidRPr="00043F87">
        <w:rPr>
          <w:rStyle w:val="rynqvb"/>
          <w:rFonts w:eastAsiaTheme="minorEastAsia" w:cs="Arial"/>
          <w:szCs w:val="18"/>
        </w:rPr>
        <w:t xml:space="preserve"> price, </w:t>
      </w:r>
      <w:r w:rsidRPr="00043F87">
        <w:rPr>
          <w:lang w:val="en"/>
        </w:rPr>
        <w:t>H</w:t>
      </w:r>
      <w:r w:rsidRPr="00043F87">
        <w:rPr>
          <w:vertAlign w:val="subscript"/>
          <w:lang w:val="en"/>
        </w:rPr>
        <w:t>2</w:t>
      </w:r>
      <w:r w:rsidRPr="00043F87">
        <w:rPr>
          <w:rStyle w:val="rynqvb"/>
          <w:rFonts w:eastAsiaTheme="minorEastAsia" w:cs="Arial"/>
          <w:szCs w:val="18"/>
        </w:rPr>
        <w:t xml:space="preserve"> productivity and OPEX remained constant during the plant lifespan, the LCOH </w:t>
      </w:r>
      <w:r w:rsidRPr="00043F87">
        <w:rPr>
          <w:rFonts w:eastAsiaTheme="minorEastAsia" w:cs="Arial"/>
          <w:szCs w:val="18"/>
          <w:lang w:val="en"/>
        </w:rPr>
        <w:t xml:space="preserve">can be determined by </w:t>
      </w:r>
      <w:proofErr w:type="gramStart"/>
      <w:r w:rsidRPr="00043F87">
        <w:rPr>
          <w:rStyle w:val="rynqvb"/>
          <w:rFonts w:eastAsiaTheme="minorEastAsia" w:cs="Arial"/>
        </w:rPr>
        <w:t>Eq(</w:t>
      </w:r>
      <w:proofErr w:type="gramEnd"/>
      <w:r w:rsidRPr="00043F87">
        <w:rPr>
          <w:rStyle w:val="rynqvb"/>
          <w:rFonts w:eastAsiaTheme="minorEastAsia" w:cs="Arial"/>
        </w:rPr>
        <w:t xml:space="preserve">5) </w:t>
      </w:r>
      <w:r w:rsidRPr="00043F87">
        <w:rPr>
          <w:rStyle w:val="rynqvb"/>
          <w:lang w:val="en-GB"/>
        </w:rPr>
        <w:t>(IEAGHG, 2013)</w:t>
      </w:r>
      <w:r w:rsidRPr="00043F87">
        <w:rPr>
          <w:lang w:val="en-GB"/>
        </w:rPr>
        <w:t xml:space="preserve">. </w:t>
      </w:r>
    </w:p>
    <w:tbl>
      <w:tblPr>
        <w:tblW w:w="5000" w:type="pct"/>
        <w:tblLook w:val="04A0" w:firstRow="1" w:lastRow="0" w:firstColumn="1" w:lastColumn="0" w:noHBand="0" w:noVBand="1"/>
      </w:tblPr>
      <w:tblGrid>
        <w:gridCol w:w="7991"/>
        <w:gridCol w:w="796"/>
      </w:tblGrid>
      <w:tr w:rsidR="00043F87" w:rsidRPr="00043F87" w14:paraId="2B2FD898" w14:textId="77777777" w:rsidTr="00E5550C">
        <w:tc>
          <w:tcPr>
            <w:tcW w:w="7982" w:type="dxa"/>
            <w:shd w:val="clear" w:color="auto" w:fill="auto"/>
            <w:vAlign w:val="center"/>
          </w:tcPr>
          <w:p w14:paraId="6D181084" w14:textId="08E57509" w:rsidR="00E5550C" w:rsidRPr="00043F87" w:rsidRDefault="00000000" w:rsidP="000A483F">
            <w:pPr>
              <w:pStyle w:val="CETEquation"/>
            </w:pPr>
            <m:oMathPara>
              <m:oMathParaPr>
                <m:jc m:val="left"/>
              </m:oMathParaPr>
              <m:oMath>
                <m:nary>
                  <m:naryPr>
                    <m:chr m:val="∑"/>
                    <m:limLoc m:val="subSup"/>
                    <m:supHide m:val="1"/>
                    <m:ctrlPr>
                      <w:rPr>
                        <w:rStyle w:val="rynqvb"/>
                        <w:rFonts w:ascii="Cambria Math" w:eastAsiaTheme="minorEastAsia" w:hAnsi="Cambria Math"/>
                        <w:i/>
                      </w:rPr>
                    </m:ctrlPr>
                  </m:naryPr>
                  <m:sub>
                    <m:r>
                      <w:rPr>
                        <w:rStyle w:val="rynqvb"/>
                        <w:rFonts w:ascii="Cambria Math" w:eastAsiaTheme="minorEastAsia" w:hAnsi="Cambria Math"/>
                      </w:rPr>
                      <m:t>n</m:t>
                    </m:r>
                  </m:sub>
                  <m:sup/>
                  <m:e>
                    <m:f>
                      <m:fPr>
                        <m:ctrlPr>
                          <w:rPr>
                            <w:rStyle w:val="rynqvb"/>
                            <w:rFonts w:ascii="Cambria Math" w:eastAsiaTheme="minorEastAsia" w:hAnsi="Cambria Math"/>
                            <w:i/>
                          </w:rPr>
                        </m:ctrlPr>
                      </m:fPr>
                      <m:num>
                        <m:sSub>
                          <m:sSubPr>
                            <m:ctrlPr>
                              <w:rPr>
                                <w:rStyle w:val="rynqvb"/>
                                <w:rFonts w:ascii="Cambria Math" w:eastAsiaTheme="minorEastAsia" w:hAnsi="Cambria Math"/>
                                <w:i/>
                              </w:rPr>
                            </m:ctrlPr>
                          </m:sSubPr>
                          <m:e>
                            <m:d>
                              <m:dPr>
                                <m:ctrlPr>
                                  <w:rPr>
                                    <w:rStyle w:val="rynqvb"/>
                                    <w:rFonts w:ascii="Cambria Math" w:eastAsiaTheme="minorEastAsia" w:hAnsi="Cambria Math"/>
                                    <w:i/>
                                  </w:rPr>
                                </m:ctrlPr>
                              </m:dPr>
                              <m:e>
                                <m:r>
                                  <w:rPr>
                                    <w:rStyle w:val="rynqvb"/>
                                    <w:rFonts w:ascii="Cambria Math" w:eastAsiaTheme="minorEastAsia" w:hAnsi="Cambria Math"/>
                                  </w:rPr>
                                  <m:t>Hydrogen production</m:t>
                                </m:r>
                              </m:e>
                            </m:d>
                          </m:e>
                          <m:sub>
                            <m:r>
                              <w:rPr>
                                <w:rStyle w:val="rynqvb"/>
                                <w:rFonts w:ascii="Cambria Math" w:eastAsiaTheme="minorEastAsia" w:hAnsi="Cambria Math"/>
                              </w:rPr>
                              <m:t>n</m:t>
                            </m:r>
                          </m:sub>
                        </m:sSub>
                        <m:r>
                          <w:rPr>
                            <w:rStyle w:val="rynqvb"/>
                            <w:rFonts w:ascii="Cambria Math" w:eastAsiaTheme="minorEastAsia" w:hAnsi="Cambria Math"/>
                          </w:rPr>
                          <m:t xml:space="preserve">* </m:t>
                        </m:r>
                        <m:sSub>
                          <m:sSubPr>
                            <m:ctrlPr>
                              <w:rPr>
                                <w:rStyle w:val="rynqvb"/>
                                <w:rFonts w:ascii="Cambria Math" w:eastAsiaTheme="minorEastAsia" w:hAnsi="Cambria Math"/>
                                <w:i/>
                              </w:rPr>
                            </m:ctrlPr>
                          </m:sSubPr>
                          <m:e>
                            <m:d>
                              <m:dPr>
                                <m:ctrlPr>
                                  <w:rPr>
                                    <w:rStyle w:val="rynqvb"/>
                                    <w:rFonts w:ascii="Cambria Math" w:eastAsiaTheme="minorEastAsia" w:hAnsi="Cambria Math"/>
                                    <w:i/>
                                  </w:rPr>
                                </m:ctrlPr>
                              </m:dPr>
                              <m:e>
                                <m:r>
                                  <w:rPr>
                                    <w:rStyle w:val="rynqvb"/>
                                    <w:rFonts w:ascii="Cambria Math" w:eastAsiaTheme="minorEastAsia" w:hAnsi="Cambria Math"/>
                                  </w:rPr>
                                  <m:t>Hydrogen price</m:t>
                                </m:r>
                              </m:e>
                            </m:d>
                          </m:e>
                          <m:sub>
                            <m:r>
                              <w:rPr>
                                <w:rStyle w:val="rynqvb"/>
                                <w:rFonts w:ascii="Cambria Math" w:eastAsiaTheme="minorEastAsia" w:hAnsi="Cambria Math"/>
                              </w:rPr>
                              <m:t>n</m:t>
                            </m:r>
                          </m:sub>
                        </m:sSub>
                      </m:num>
                      <m:den>
                        <m:sSup>
                          <m:sSupPr>
                            <m:ctrlPr>
                              <w:rPr>
                                <w:rStyle w:val="rynqvb"/>
                                <w:rFonts w:ascii="Cambria Math" w:eastAsiaTheme="minorEastAsia" w:hAnsi="Cambria Math"/>
                                <w:i/>
                              </w:rPr>
                            </m:ctrlPr>
                          </m:sSupPr>
                          <m:e>
                            <m:d>
                              <m:dPr>
                                <m:ctrlPr>
                                  <w:rPr>
                                    <w:rStyle w:val="rynqvb"/>
                                    <w:rFonts w:ascii="Cambria Math" w:eastAsiaTheme="minorEastAsia" w:hAnsi="Cambria Math"/>
                                    <w:i/>
                                  </w:rPr>
                                </m:ctrlPr>
                              </m:dPr>
                              <m:e>
                                <m:r>
                                  <w:rPr>
                                    <w:rStyle w:val="rynqvb"/>
                                    <w:rFonts w:ascii="Cambria Math" w:eastAsiaTheme="minorEastAsia" w:hAnsi="Cambria Math"/>
                                  </w:rPr>
                                  <m:t>1+r</m:t>
                                </m:r>
                              </m:e>
                            </m:d>
                          </m:e>
                          <m:sup>
                            <m:r>
                              <w:rPr>
                                <w:rStyle w:val="rynqvb"/>
                                <w:rFonts w:ascii="Cambria Math" w:eastAsiaTheme="minorEastAsia" w:hAnsi="Cambria Math"/>
                              </w:rPr>
                              <m:t>n</m:t>
                            </m:r>
                          </m:sup>
                        </m:sSup>
                      </m:den>
                    </m:f>
                  </m:e>
                </m:nary>
                <m:r>
                  <w:rPr>
                    <w:rStyle w:val="rynqvb"/>
                    <w:rFonts w:ascii="Cambria Math" w:eastAsiaTheme="minorEastAsia" w:hAnsi="Cambria Math"/>
                  </w:rPr>
                  <m:t>=</m:t>
                </m:r>
                <m:nary>
                  <m:naryPr>
                    <m:chr m:val="∑"/>
                    <m:limLoc m:val="subSup"/>
                    <m:supHide m:val="1"/>
                    <m:ctrlPr>
                      <w:rPr>
                        <w:rStyle w:val="rynqvb"/>
                        <w:rFonts w:ascii="Cambria Math" w:eastAsiaTheme="minorEastAsia" w:hAnsi="Cambria Math"/>
                        <w:i/>
                      </w:rPr>
                    </m:ctrlPr>
                  </m:naryPr>
                  <m:sub>
                    <m:r>
                      <w:rPr>
                        <w:rStyle w:val="rynqvb"/>
                        <w:rFonts w:ascii="Cambria Math" w:eastAsiaTheme="minorEastAsia" w:hAnsi="Cambria Math"/>
                      </w:rPr>
                      <m:t>n</m:t>
                    </m:r>
                  </m:sub>
                  <m:sup/>
                  <m:e>
                    <m:d>
                      <m:dPr>
                        <m:begChr m:val="["/>
                        <m:endChr m:val="]"/>
                        <m:ctrlPr>
                          <w:rPr>
                            <w:rStyle w:val="rynqvb"/>
                            <w:rFonts w:ascii="Cambria Math" w:eastAsiaTheme="minorEastAsia" w:hAnsi="Cambria Math"/>
                            <w:i/>
                          </w:rPr>
                        </m:ctrlPr>
                      </m:dPr>
                      <m:e>
                        <m:f>
                          <m:fPr>
                            <m:ctrlPr>
                              <w:rPr>
                                <w:rStyle w:val="rynqvb"/>
                                <w:rFonts w:ascii="Cambria Math" w:eastAsiaTheme="minorEastAsia" w:hAnsi="Cambria Math"/>
                                <w:i/>
                              </w:rPr>
                            </m:ctrlPr>
                          </m:fPr>
                          <m:num>
                            <m:sSub>
                              <m:sSubPr>
                                <m:ctrlPr>
                                  <w:rPr>
                                    <w:rStyle w:val="rynqvb"/>
                                    <w:rFonts w:ascii="Cambria Math" w:eastAsiaTheme="minorEastAsia" w:hAnsi="Cambria Math"/>
                                    <w:i/>
                                  </w:rPr>
                                </m:ctrlPr>
                              </m:sSubPr>
                              <m:e>
                                <m:d>
                                  <m:dPr>
                                    <m:ctrlPr>
                                      <w:rPr>
                                        <w:rStyle w:val="rynqvb"/>
                                        <w:rFonts w:ascii="Cambria Math" w:eastAsiaTheme="minorEastAsia" w:hAnsi="Cambria Math"/>
                                        <w:i/>
                                      </w:rPr>
                                    </m:ctrlPr>
                                  </m:dPr>
                                  <m:e>
                                    <m:r>
                                      <w:rPr>
                                        <w:rStyle w:val="rynqvb"/>
                                        <w:rFonts w:ascii="Cambria Math" w:eastAsiaTheme="minorEastAsia" w:hAnsi="Cambria Math"/>
                                      </w:rPr>
                                      <m:t>CAPEX</m:t>
                                    </m:r>
                                  </m:e>
                                </m:d>
                              </m:e>
                              <m:sub>
                                <m:r>
                                  <w:rPr>
                                    <w:rStyle w:val="rynqvb"/>
                                    <w:rFonts w:ascii="Cambria Math" w:eastAsiaTheme="minorEastAsia" w:hAnsi="Cambria Math"/>
                                  </w:rPr>
                                  <m:t>n</m:t>
                                </m:r>
                              </m:sub>
                            </m:sSub>
                          </m:num>
                          <m:den>
                            <m:sSup>
                              <m:sSupPr>
                                <m:ctrlPr>
                                  <w:rPr>
                                    <w:rStyle w:val="rynqvb"/>
                                    <w:rFonts w:ascii="Cambria Math" w:eastAsiaTheme="minorEastAsia" w:hAnsi="Cambria Math"/>
                                    <w:i/>
                                  </w:rPr>
                                </m:ctrlPr>
                              </m:sSupPr>
                              <m:e>
                                <m:d>
                                  <m:dPr>
                                    <m:ctrlPr>
                                      <w:rPr>
                                        <w:rStyle w:val="rynqvb"/>
                                        <w:rFonts w:ascii="Cambria Math" w:eastAsiaTheme="minorEastAsia" w:hAnsi="Cambria Math"/>
                                        <w:i/>
                                      </w:rPr>
                                    </m:ctrlPr>
                                  </m:dPr>
                                  <m:e>
                                    <m:r>
                                      <w:rPr>
                                        <w:rStyle w:val="rynqvb"/>
                                        <w:rFonts w:ascii="Cambria Math" w:eastAsiaTheme="minorEastAsia" w:hAnsi="Cambria Math"/>
                                      </w:rPr>
                                      <m:t>1+r</m:t>
                                    </m:r>
                                  </m:e>
                                </m:d>
                              </m:e>
                              <m:sup>
                                <m:r>
                                  <w:rPr>
                                    <w:rStyle w:val="rynqvb"/>
                                    <w:rFonts w:ascii="Cambria Math" w:eastAsiaTheme="minorEastAsia" w:hAnsi="Cambria Math"/>
                                  </w:rPr>
                                  <m:t>n</m:t>
                                </m:r>
                              </m:sup>
                            </m:sSup>
                          </m:den>
                        </m:f>
                        <m:r>
                          <w:rPr>
                            <w:rStyle w:val="rynqvb"/>
                            <w:rFonts w:ascii="Cambria Math" w:eastAsiaTheme="minorEastAsia" w:hAnsi="Cambria Math"/>
                          </w:rPr>
                          <m:t>+</m:t>
                        </m:r>
                        <m:f>
                          <m:fPr>
                            <m:ctrlPr>
                              <w:rPr>
                                <w:rStyle w:val="rynqvb"/>
                                <w:rFonts w:ascii="Cambria Math" w:eastAsiaTheme="minorEastAsia" w:hAnsi="Cambria Math"/>
                                <w:i/>
                              </w:rPr>
                            </m:ctrlPr>
                          </m:fPr>
                          <m:num>
                            <m:sSub>
                              <m:sSubPr>
                                <m:ctrlPr>
                                  <w:rPr>
                                    <w:rStyle w:val="rynqvb"/>
                                    <w:rFonts w:ascii="Cambria Math" w:eastAsiaTheme="minorEastAsia" w:hAnsi="Cambria Math"/>
                                    <w:i/>
                                  </w:rPr>
                                </m:ctrlPr>
                              </m:sSubPr>
                              <m:e>
                                <m:d>
                                  <m:dPr>
                                    <m:ctrlPr>
                                      <w:rPr>
                                        <w:rStyle w:val="rynqvb"/>
                                        <w:rFonts w:ascii="Cambria Math" w:eastAsiaTheme="minorEastAsia" w:hAnsi="Cambria Math"/>
                                        <w:i/>
                                      </w:rPr>
                                    </m:ctrlPr>
                                  </m:dPr>
                                  <m:e>
                                    <m:r>
                                      <w:rPr>
                                        <w:rStyle w:val="rynqvb"/>
                                        <w:rFonts w:ascii="Cambria Math" w:eastAsiaTheme="minorEastAsia" w:hAnsi="Cambria Math"/>
                                      </w:rPr>
                                      <m:t>OPEX</m:t>
                                    </m:r>
                                  </m:e>
                                </m:d>
                              </m:e>
                              <m:sub>
                                <m:r>
                                  <w:rPr>
                                    <w:rStyle w:val="rynqvb"/>
                                    <w:rFonts w:ascii="Cambria Math" w:eastAsiaTheme="minorEastAsia" w:hAnsi="Cambria Math"/>
                                  </w:rPr>
                                  <m:t>n</m:t>
                                </m:r>
                              </m:sub>
                            </m:sSub>
                          </m:num>
                          <m:den>
                            <m:sSup>
                              <m:sSupPr>
                                <m:ctrlPr>
                                  <w:rPr>
                                    <w:rStyle w:val="rynqvb"/>
                                    <w:rFonts w:ascii="Cambria Math" w:eastAsiaTheme="minorEastAsia" w:hAnsi="Cambria Math"/>
                                    <w:i/>
                                  </w:rPr>
                                </m:ctrlPr>
                              </m:sSupPr>
                              <m:e>
                                <m:d>
                                  <m:dPr>
                                    <m:ctrlPr>
                                      <w:rPr>
                                        <w:rStyle w:val="rynqvb"/>
                                        <w:rFonts w:ascii="Cambria Math" w:eastAsiaTheme="minorEastAsia" w:hAnsi="Cambria Math"/>
                                        <w:i/>
                                      </w:rPr>
                                    </m:ctrlPr>
                                  </m:dPr>
                                  <m:e>
                                    <m:r>
                                      <w:rPr>
                                        <w:rStyle w:val="rynqvb"/>
                                        <w:rFonts w:ascii="Cambria Math" w:eastAsiaTheme="minorEastAsia" w:hAnsi="Cambria Math"/>
                                      </w:rPr>
                                      <m:t>1+r</m:t>
                                    </m:r>
                                  </m:e>
                                </m:d>
                              </m:e>
                              <m:sup>
                                <m:r>
                                  <w:rPr>
                                    <w:rStyle w:val="rynqvb"/>
                                    <w:rFonts w:ascii="Cambria Math" w:eastAsiaTheme="minorEastAsia" w:hAnsi="Cambria Math"/>
                                  </w:rPr>
                                  <m:t>n</m:t>
                                </m:r>
                              </m:sup>
                            </m:sSup>
                          </m:den>
                        </m:f>
                      </m:e>
                    </m:d>
                  </m:e>
                </m:nary>
                <m:r>
                  <w:rPr>
                    <w:rStyle w:val="rynqvb"/>
                    <w:rFonts w:ascii="Cambria Math" w:eastAsiaTheme="minorEastAsia" w:hAnsi="Cambria Math"/>
                  </w:rPr>
                  <m:t xml:space="preserve">   </m:t>
                </m:r>
              </m:oMath>
            </m:oMathPara>
          </w:p>
        </w:tc>
        <w:tc>
          <w:tcPr>
            <w:tcW w:w="795" w:type="dxa"/>
            <w:shd w:val="clear" w:color="auto" w:fill="auto"/>
            <w:vAlign w:val="center"/>
          </w:tcPr>
          <w:p w14:paraId="4F3E7C35" w14:textId="3E2B17C3" w:rsidR="00E5550C" w:rsidRPr="00043F87" w:rsidRDefault="00E5550C" w:rsidP="000A483F">
            <w:pPr>
              <w:pStyle w:val="CETEquation"/>
              <w:jc w:val="right"/>
            </w:pPr>
            <w:r w:rsidRPr="00043F87">
              <w:t>(4)</w:t>
            </w:r>
          </w:p>
        </w:tc>
      </w:tr>
      <w:tr w:rsidR="00043F87" w:rsidRPr="00043F87" w14:paraId="3536424E" w14:textId="77777777" w:rsidTr="00E5550C">
        <w:tc>
          <w:tcPr>
            <w:tcW w:w="7982" w:type="dxa"/>
            <w:shd w:val="clear" w:color="auto" w:fill="auto"/>
            <w:vAlign w:val="center"/>
          </w:tcPr>
          <w:p w14:paraId="6BB90FDD" w14:textId="6B1CE9CA" w:rsidR="00E5550C" w:rsidRPr="00043F87" w:rsidRDefault="00E5550C" w:rsidP="000A483F">
            <w:pPr>
              <w:pStyle w:val="CETEquation"/>
              <w:rPr>
                <w:noProof/>
                <w:lang w:val="it-IT" w:eastAsia="it-IT"/>
              </w:rPr>
            </w:pPr>
            <m:oMathPara>
              <m:oMathParaPr>
                <m:jc m:val="left"/>
              </m:oMathParaPr>
              <m:oMath>
                <m:r>
                  <w:rPr>
                    <w:rStyle w:val="rynqvb"/>
                    <w:rFonts w:ascii="Cambria Math" w:hAnsi="Cambria Math"/>
                  </w:rPr>
                  <m:t>LCOH=</m:t>
                </m:r>
                <m:f>
                  <m:fPr>
                    <m:ctrlPr>
                      <w:rPr>
                        <w:rStyle w:val="rynqvb"/>
                        <w:rFonts w:ascii="Cambria Math" w:hAnsi="Cambria Math"/>
                        <w:i/>
                      </w:rPr>
                    </m:ctrlPr>
                  </m:fPr>
                  <m:num>
                    <m:d>
                      <m:dPr>
                        <m:ctrlPr>
                          <w:rPr>
                            <w:rStyle w:val="rynqvb"/>
                            <w:rFonts w:ascii="Cambria Math" w:hAnsi="Cambria Math"/>
                            <w:i/>
                          </w:rPr>
                        </m:ctrlPr>
                      </m:dPr>
                      <m:e>
                        <m:r>
                          <w:rPr>
                            <w:rStyle w:val="rynqvb"/>
                            <w:rFonts w:ascii="Cambria Math" w:hAnsi="Cambria Math"/>
                          </w:rPr>
                          <m:t>CAPEX ×CCF</m:t>
                        </m:r>
                      </m:e>
                    </m:d>
                    <m:r>
                      <w:rPr>
                        <w:rStyle w:val="rynqvb"/>
                        <w:rFonts w:ascii="Cambria Math" w:hAnsi="Cambria Math"/>
                      </w:rPr>
                      <m:t xml:space="preserve"> +OPEX</m:t>
                    </m:r>
                  </m:num>
                  <m:den>
                    <m:r>
                      <w:rPr>
                        <w:rStyle w:val="rynqvb"/>
                        <w:rFonts w:ascii="Cambria Math" w:hAnsi="Cambria Math"/>
                      </w:rPr>
                      <m:t xml:space="preserve">Plant Productivity </m:t>
                    </m:r>
                  </m:den>
                </m:f>
                <m:r>
                  <w:rPr>
                    <w:rStyle w:val="rynqvb"/>
                    <w:rFonts w:ascii="Cambria Math" w:hAnsi="Cambria Math"/>
                  </w:rPr>
                  <m:t xml:space="preserve">       </m:t>
                </m:r>
              </m:oMath>
            </m:oMathPara>
          </w:p>
        </w:tc>
        <w:tc>
          <w:tcPr>
            <w:tcW w:w="795" w:type="dxa"/>
            <w:shd w:val="clear" w:color="auto" w:fill="auto"/>
            <w:vAlign w:val="center"/>
          </w:tcPr>
          <w:p w14:paraId="35A27A30" w14:textId="2F47D2C3" w:rsidR="00E5550C" w:rsidRPr="00043F87" w:rsidRDefault="00E5550C" w:rsidP="000A483F">
            <w:pPr>
              <w:pStyle w:val="CETEquation"/>
              <w:jc w:val="right"/>
            </w:pPr>
            <w:r w:rsidRPr="00043F87">
              <w:t>(5)</w:t>
            </w:r>
          </w:p>
        </w:tc>
      </w:tr>
    </w:tbl>
    <w:p w14:paraId="2BA13678" w14:textId="659502CD" w:rsidR="00E5550C" w:rsidRPr="00043F87" w:rsidRDefault="00E5550C" w:rsidP="00E5550C">
      <w:pPr>
        <w:pStyle w:val="CETBodytext"/>
        <w:rPr>
          <w:lang w:val="en-GB"/>
        </w:rPr>
      </w:pPr>
    </w:p>
    <w:p w14:paraId="3C3CC993" w14:textId="2AE33786" w:rsidR="00C956D5" w:rsidRPr="00043F87" w:rsidRDefault="00E5550C" w:rsidP="00C956D5">
      <w:pPr>
        <w:pStyle w:val="CETBodytext"/>
        <w:rPr>
          <w:rFonts w:eastAsiaTheme="minorEastAsia" w:cs="Arial"/>
        </w:rPr>
      </w:pPr>
      <w:r w:rsidRPr="00043F87">
        <w:rPr>
          <w:rStyle w:val="rynqvb"/>
          <w:lang w:val="en-GB"/>
        </w:rPr>
        <w:t xml:space="preserve">The term “levelized” refers to the fact that the single present value of overall cost can be transformed into a series of uniform (level) annuities (although the periods can be other than years) using so-called </w:t>
      </w:r>
      <w:proofErr w:type="spellStart"/>
      <w:r w:rsidRPr="00043F87">
        <w:rPr>
          <w:rStyle w:val="rynqvb"/>
          <w:lang w:val="en-GB"/>
        </w:rPr>
        <w:t>levelization</w:t>
      </w:r>
      <w:proofErr w:type="spellEnd"/>
      <w:r w:rsidRPr="00043F87">
        <w:rPr>
          <w:rStyle w:val="rynqvb"/>
          <w:lang w:val="en-GB"/>
        </w:rPr>
        <w:t xml:space="preserve"> factors. The </w:t>
      </w:r>
      <w:proofErr w:type="spellStart"/>
      <w:r w:rsidRPr="00043F87">
        <w:rPr>
          <w:rStyle w:val="rynqvb"/>
          <w:lang w:val="en-GB"/>
        </w:rPr>
        <w:t>levelization</w:t>
      </w:r>
      <w:proofErr w:type="spellEnd"/>
      <w:r w:rsidRPr="00043F87">
        <w:rPr>
          <w:rStyle w:val="rynqvb"/>
          <w:lang w:val="en-GB"/>
        </w:rPr>
        <w:t xml:space="preserve"> factor used in </w:t>
      </w:r>
      <w:proofErr w:type="spellStart"/>
      <w:proofErr w:type="gramStart"/>
      <w:r w:rsidRPr="00043F87">
        <w:rPr>
          <w:rStyle w:val="rynqvb"/>
          <w:lang w:val="en-GB"/>
        </w:rPr>
        <w:t>Eq</w:t>
      </w:r>
      <w:proofErr w:type="spellEnd"/>
      <w:r w:rsidRPr="00043F87">
        <w:rPr>
          <w:rStyle w:val="rynqvb"/>
          <w:lang w:val="en-GB"/>
        </w:rPr>
        <w:t>(</w:t>
      </w:r>
      <w:proofErr w:type="gramEnd"/>
      <w:r w:rsidRPr="00043F87">
        <w:rPr>
          <w:rStyle w:val="rynqvb"/>
          <w:lang w:val="en-GB"/>
        </w:rPr>
        <w:t xml:space="preserve">5) to convert CAPEX </w:t>
      </w:r>
      <w:r w:rsidRPr="00043F87">
        <w:rPr>
          <w:rStyle w:val="rynqvb"/>
          <w:rFonts w:eastAsiaTheme="minorEastAsia" w:cs="Arial"/>
        </w:rPr>
        <w:t>into annual values was the Capital Charge Factor (</w:t>
      </w:r>
      <m:oMath>
        <m:r>
          <w:rPr>
            <w:rStyle w:val="rynqvb"/>
            <w:rFonts w:ascii="Cambria Math" w:eastAsiaTheme="minorEastAsia" w:hAnsi="Cambria Math" w:cs="Arial"/>
          </w:rPr>
          <m:t>CCF</m:t>
        </m:r>
      </m:oMath>
      <w:r w:rsidRPr="00043F87">
        <w:rPr>
          <w:rStyle w:val="rynqvb"/>
          <w:rFonts w:eastAsiaTheme="minorEastAsia" w:cs="Arial"/>
        </w:rPr>
        <w:t>), which can be calculated using the Eq (6). The resource cited here provides additional information about the application of economic factors (</w:t>
      </w:r>
      <w:r w:rsidRPr="00043F87">
        <w:t>Blank and Tarquin, 2012)</w:t>
      </w:r>
      <w:r w:rsidRPr="00043F87">
        <w:rPr>
          <w:rStyle w:val="rynqvb"/>
          <w:rFonts w:eastAsiaTheme="minorEastAsia" w:cs="Arial"/>
        </w:rPr>
        <w:t>.</w:t>
      </w:r>
      <w:r w:rsidR="00C956D5" w:rsidRPr="00043F87">
        <w:rPr>
          <w:rStyle w:val="rynqvb"/>
          <w:rFonts w:eastAsiaTheme="minorEastAsia" w:cs="Arial"/>
        </w:rPr>
        <w:t xml:space="preserve"> </w:t>
      </w:r>
    </w:p>
    <w:tbl>
      <w:tblPr>
        <w:tblW w:w="5000" w:type="pct"/>
        <w:tblLook w:val="04A0" w:firstRow="1" w:lastRow="0" w:firstColumn="1" w:lastColumn="0" w:noHBand="0" w:noVBand="1"/>
      </w:tblPr>
      <w:tblGrid>
        <w:gridCol w:w="7991"/>
        <w:gridCol w:w="796"/>
      </w:tblGrid>
      <w:tr w:rsidR="00043F87" w:rsidRPr="00043F87" w14:paraId="7EA4C367" w14:textId="77777777" w:rsidTr="00C956D5">
        <w:tc>
          <w:tcPr>
            <w:tcW w:w="7991" w:type="dxa"/>
            <w:shd w:val="clear" w:color="auto" w:fill="auto"/>
            <w:vAlign w:val="center"/>
          </w:tcPr>
          <w:p w14:paraId="030DF2AF" w14:textId="1BAA39C5" w:rsidR="00C956D5" w:rsidRPr="00043F87" w:rsidRDefault="00C956D5" w:rsidP="000A483F">
            <w:pPr>
              <w:pStyle w:val="CETEquation"/>
            </w:pPr>
            <m:oMathPara>
              <m:oMathParaPr>
                <m:jc m:val="left"/>
              </m:oMathParaPr>
              <m:oMath>
                <m:r>
                  <w:rPr>
                    <w:rStyle w:val="rynqvb"/>
                    <w:rFonts w:ascii="Cambria Math" w:hAnsi="Cambria Math" w:cs="Arial"/>
                  </w:rPr>
                  <w:lastRenderedPageBreak/>
                  <m:t xml:space="preserve">CCF= </m:t>
                </m:r>
                <m:f>
                  <m:fPr>
                    <m:ctrlPr>
                      <w:rPr>
                        <w:rStyle w:val="rynqvb"/>
                        <w:rFonts w:ascii="Cambria Math" w:hAnsi="Cambria Math" w:cs="Arial"/>
                        <w:i/>
                      </w:rPr>
                    </m:ctrlPr>
                  </m:fPr>
                  <m:num>
                    <m:r>
                      <w:rPr>
                        <w:rStyle w:val="rynqvb"/>
                        <w:rFonts w:ascii="Cambria Math" w:hAnsi="Cambria Math" w:cs="Arial"/>
                      </w:rPr>
                      <m:t xml:space="preserve">r × </m:t>
                    </m:r>
                    <m:sSup>
                      <m:sSupPr>
                        <m:ctrlPr>
                          <w:rPr>
                            <w:rStyle w:val="rynqvb"/>
                            <w:rFonts w:ascii="Cambria Math" w:hAnsi="Cambria Math" w:cs="Arial"/>
                            <w:i/>
                          </w:rPr>
                        </m:ctrlPr>
                      </m:sSupPr>
                      <m:e>
                        <m:d>
                          <m:dPr>
                            <m:ctrlPr>
                              <w:rPr>
                                <w:rStyle w:val="rynqvb"/>
                                <w:rFonts w:ascii="Cambria Math" w:hAnsi="Cambria Math" w:cs="Arial"/>
                                <w:i/>
                              </w:rPr>
                            </m:ctrlPr>
                          </m:dPr>
                          <m:e>
                            <m:r>
                              <w:rPr>
                                <w:rStyle w:val="rynqvb"/>
                                <w:rFonts w:ascii="Cambria Math" w:hAnsi="Cambria Math" w:cs="Arial"/>
                              </w:rPr>
                              <m:t>1+r</m:t>
                            </m:r>
                          </m:e>
                        </m:d>
                      </m:e>
                      <m:sup>
                        <m:r>
                          <w:rPr>
                            <w:rStyle w:val="rynqvb"/>
                            <w:rFonts w:ascii="Cambria Math" w:hAnsi="Cambria Math" w:cs="Arial"/>
                          </w:rPr>
                          <m:t>n</m:t>
                        </m:r>
                      </m:sup>
                    </m:sSup>
                  </m:num>
                  <m:den>
                    <m:sSup>
                      <m:sSupPr>
                        <m:ctrlPr>
                          <w:rPr>
                            <w:rStyle w:val="rynqvb"/>
                            <w:rFonts w:ascii="Cambria Math" w:hAnsi="Cambria Math" w:cs="Arial"/>
                            <w:i/>
                          </w:rPr>
                        </m:ctrlPr>
                      </m:sSupPr>
                      <m:e>
                        <m:d>
                          <m:dPr>
                            <m:ctrlPr>
                              <w:rPr>
                                <w:rStyle w:val="rynqvb"/>
                                <w:rFonts w:ascii="Cambria Math" w:hAnsi="Cambria Math" w:cs="Arial"/>
                                <w:i/>
                              </w:rPr>
                            </m:ctrlPr>
                          </m:dPr>
                          <m:e>
                            <m:r>
                              <w:rPr>
                                <w:rStyle w:val="rynqvb"/>
                                <w:rFonts w:ascii="Cambria Math" w:hAnsi="Cambria Math" w:cs="Arial"/>
                              </w:rPr>
                              <m:t>1+r</m:t>
                            </m:r>
                          </m:e>
                        </m:d>
                      </m:e>
                      <m:sup>
                        <m:r>
                          <w:rPr>
                            <w:rStyle w:val="rynqvb"/>
                            <w:rFonts w:ascii="Cambria Math" w:hAnsi="Cambria Math" w:cs="Arial"/>
                          </w:rPr>
                          <m:t>n</m:t>
                        </m:r>
                      </m:sup>
                    </m:sSup>
                    <m:r>
                      <w:rPr>
                        <w:rStyle w:val="rynqvb"/>
                        <w:rFonts w:ascii="Cambria Math" w:hAnsi="Cambria Math" w:cs="Arial"/>
                      </w:rPr>
                      <m:t>-1</m:t>
                    </m:r>
                  </m:den>
                </m:f>
              </m:oMath>
            </m:oMathPara>
          </w:p>
        </w:tc>
        <w:tc>
          <w:tcPr>
            <w:tcW w:w="796" w:type="dxa"/>
            <w:shd w:val="clear" w:color="auto" w:fill="auto"/>
            <w:vAlign w:val="center"/>
          </w:tcPr>
          <w:p w14:paraId="4923D4BA" w14:textId="05339A49" w:rsidR="00C956D5" w:rsidRPr="00043F87" w:rsidRDefault="00C956D5" w:rsidP="000A483F">
            <w:pPr>
              <w:pStyle w:val="CETEquation"/>
              <w:jc w:val="right"/>
            </w:pPr>
            <w:r w:rsidRPr="00043F87">
              <w:t>(6)</w:t>
            </w:r>
          </w:p>
        </w:tc>
      </w:tr>
    </w:tbl>
    <w:p w14:paraId="7BB61614" w14:textId="77777777" w:rsidR="00C956D5" w:rsidRPr="00043F87" w:rsidRDefault="00C956D5" w:rsidP="00C956D5">
      <w:pPr>
        <w:pStyle w:val="CETBodytext"/>
        <w:rPr>
          <w:lang w:val="en-GB"/>
        </w:rPr>
      </w:pPr>
    </w:p>
    <w:p w14:paraId="098D7D56" w14:textId="273076B5" w:rsidR="00C956D5" w:rsidRPr="00043F87" w:rsidRDefault="00C956D5" w:rsidP="00C956D5">
      <w:pPr>
        <w:pStyle w:val="CETBodytext"/>
        <w:rPr>
          <w:rFonts w:eastAsiaTheme="minorEastAsia" w:cs="Arial"/>
        </w:rPr>
      </w:pPr>
      <w:r w:rsidRPr="00043F87">
        <w:rPr>
          <w:rStyle w:val="rynqvb"/>
          <w:rFonts w:eastAsiaTheme="minorEastAsia" w:cs="Arial"/>
        </w:rPr>
        <w:t xml:space="preserve">The factor </w:t>
      </w:r>
      <m:oMath>
        <m:sSup>
          <m:sSupPr>
            <m:ctrlPr>
              <w:rPr>
                <w:rStyle w:val="rynqvb"/>
                <w:rFonts w:ascii="Cambria Math" w:eastAsiaTheme="minorEastAsia" w:hAnsi="Cambria Math" w:cs="Arial"/>
                <w:i/>
                <w:lang w:val="en-GB"/>
              </w:rPr>
            </m:ctrlPr>
          </m:sSupPr>
          <m:e>
            <m:d>
              <m:dPr>
                <m:ctrlPr>
                  <w:rPr>
                    <w:rStyle w:val="rynqvb"/>
                    <w:rFonts w:ascii="Cambria Math" w:eastAsiaTheme="minorEastAsia" w:hAnsi="Cambria Math" w:cs="Arial"/>
                    <w:i/>
                    <w:lang w:val="en-GB"/>
                  </w:rPr>
                </m:ctrlPr>
              </m:dPr>
              <m:e>
                <m:r>
                  <w:rPr>
                    <w:rStyle w:val="rynqvb"/>
                    <w:rFonts w:ascii="Cambria Math" w:eastAsiaTheme="minorEastAsia" w:hAnsi="Cambria Math" w:cs="Arial"/>
                  </w:rPr>
                  <m:t>1+r</m:t>
                </m:r>
              </m:e>
            </m:d>
          </m:e>
          <m:sup>
            <m:r>
              <w:rPr>
                <w:rStyle w:val="rynqvb"/>
                <w:rFonts w:ascii="Cambria Math" w:eastAsiaTheme="minorEastAsia" w:hAnsi="Cambria Math" w:cs="Arial"/>
              </w:rPr>
              <m:t>n</m:t>
            </m:r>
          </m:sup>
        </m:sSup>
      </m:oMath>
      <w:r w:rsidRPr="00043F87">
        <w:rPr>
          <w:rStyle w:val="rynqvb"/>
          <w:rFonts w:eastAsiaTheme="minorEastAsia" w:cs="Arial"/>
        </w:rPr>
        <w:t xml:space="preserve"> showed in </w:t>
      </w:r>
      <w:proofErr w:type="gramStart"/>
      <w:r w:rsidRPr="00043F87">
        <w:rPr>
          <w:rStyle w:val="rynqvb"/>
          <w:rFonts w:eastAsiaTheme="minorEastAsia" w:cs="Arial"/>
        </w:rPr>
        <w:t>Eq(</w:t>
      </w:r>
      <w:proofErr w:type="gramEnd"/>
      <w:r w:rsidRPr="00043F87">
        <w:rPr>
          <w:rStyle w:val="rynqvb"/>
          <w:rFonts w:eastAsiaTheme="minorEastAsia" w:cs="Arial"/>
        </w:rPr>
        <w:t xml:space="preserve">4) and </w:t>
      </w:r>
      <w:proofErr w:type="gramStart"/>
      <w:r w:rsidRPr="00043F87">
        <w:rPr>
          <w:rStyle w:val="rynqvb"/>
          <w:rFonts w:eastAsiaTheme="minorEastAsia" w:cs="Arial"/>
        </w:rPr>
        <w:t>Eq(</w:t>
      </w:r>
      <w:proofErr w:type="gramEnd"/>
      <w:r w:rsidRPr="00043F87">
        <w:rPr>
          <w:rStyle w:val="rynqvb"/>
          <w:rFonts w:eastAsiaTheme="minorEastAsia" w:cs="Arial"/>
        </w:rPr>
        <w:t xml:space="preserve">6) is known as the compound amount factor, where </w:t>
      </w:r>
      <m:oMath>
        <m:r>
          <w:rPr>
            <w:rStyle w:val="rynqvb"/>
            <w:rFonts w:ascii="Cambria Math" w:eastAsiaTheme="minorEastAsia" w:hAnsi="Cambria Math" w:cs="Arial"/>
          </w:rPr>
          <m:t>r</m:t>
        </m:r>
      </m:oMath>
      <w:r w:rsidRPr="00043F87">
        <w:rPr>
          <w:rStyle w:val="rynqvb"/>
          <w:rFonts w:eastAsiaTheme="minorEastAsia" w:cs="Arial"/>
        </w:rPr>
        <w:t xml:space="preserve"> is an interest rate (7 %) and </w:t>
      </w:r>
      <m:oMath>
        <m:r>
          <w:rPr>
            <w:rStyle w:val="rynqvb"/>
            <w:rFonts w:ascii="Cambria Math" w:eastAsiaTheme="minorEastAsia" w:hAnsi="Cambria Math" w:cs="Arial"/>
          </w:rPr>
          <m:t>n</m:t>
        </m:r>
      </m:oMath>
      <w:r w:rsidRPr="00043F87">
        <w:rPr>
          <w:rStyle w:val="rynqvb"/>
          <w:rFonts w:eastAsiaTheme="minorEastAsia" w:cs="Arial"/>
        </w:rPr>
        <w:t xml:space="preserve"> the plant lifespan (20 years) </w:t>
      </w:r>
      <w:r w:rsidRPr="00043F87">
        <w:rPr>
          <w:rStyle w:val="rynqvb"/>
          <w:rFonts w:cs="Arial"/>
          <w:szCs w:val="18"/>
        </w:rPr>
        <w:t>(Richard et al. 2024)</w:t>
      </w:r>
      <w:r w:rsidRPr="00043F87">
        <w:rPr>
          <w:rStyle w:val="rynqvb"/>
          <w:rFonts w:eastAsiaTheme="minorEastAsia" w:cs="Arial"/>
        </w:rPr>
        <w:t xml:space="preserve">. On the other hand, to estimate the CAPEX, the total direct plant costs (TDPC) </w:t>
      </w:r>
      <w:r w:rsidRPr="00043F87">
        <w:rPr>
          <w:rFonts w:eastAsiaTheme="minorEastAsia" w:cs="Arial"/>
          <w:lang w:val="en"/>
        </w:rPr>
        <w:t xml:space="preserve">for each of the installations that are part of the biohydrogen production systems </w:t>
      </w:r>
      <w:r w:rsidRPr="00043F87">
        <w:rPr>
          <w:rStyle w:val="rynqvb"/>
          <w:rFonts w:eastAsiaTheme="minorEastAsia" w:cs="Arial"/>
        </w:rPr>
        <w:t xml:space="preserve">were first calculated using the cost-to-capacity method according to the </w:t>
      </w:r>
      <w:proofErr w:type="gramStart"/>
      <w:r w:rsidRPr="00043F87">
        <w:rPr>
          <w:rStyle w:val="rynqvb"/>
          <w:rFonts w:eastAsiaTheme="minorEastAsia" w:cs="Arial"/>
        </w:rPr>
        <w:t>Eq(</w:t>
      </w:r>
      <w:proofErr w:type="gramEnd"/>
      <w:r w:rsidRPr="00043F87">
        <w:rPr>
          <w:rStyle w:val="rynqvb"/>
          <w:rFonts w:eastAsiaTheme="minorEastAsia" w:cs="Arial"/>
        </w:rPr>
        <w:t xml:space="preserve">7) (Yao et al., 2017). In </w:t>
      </w:r>
      <w:proofErr w:type="gramStart"/>
      <w:r w:rsidRPr="00043F87">
        <w:rPr>
          <w:rStyle w:val="rynqvb"/>
          <w:rFonts w:eastAsiaTheme="minorEastAsia" w:cs="Arial"/>
        </w:rPr>
        <w:t>Eq(</w:t>
      </w:r>
      <w:proofErr w:type="gramEnd"/>
      <w:r w:rsidRPr="00043F87">
        <w:rPr>
          <w:rStyle w:val="rynqvb"/>
          <w:rFonts w:eastAsiaTheme="minorEastAsia" w:cs="Arial"/>
        </w:rPr>
        <w:t xml:space="preserve">7), the terms “reference capacity” and “reference capital” refer to the process capacity and investment capital of a known plant (data obtained from previous studies). While the terms “scaling capacity” and “scaled capital” refer to the process capacity and investment capital of the plant that will be implemented. Because the calculations in </w:t>
      </w:r>
      <w:proofErr w:type="gramStart"/>
      <w:r w:rsidRPr="00043F87">
        <w:rPr>
          <w:rStyle w:val="rynqvb"/>
          <w:rFonts w:eastAsiaTheme="minorEastAsia" w:cs="Arial"/>
        </w:rPr>
        <w:t>Eq(</w:t>
      </w:r>
      <w:proofErr w:type="gramEnd"/>
      <w:r w:rsidRPr="00043F87">
        <w:rPr>
          <w:rStyle w:val="rynqvb"/>
          <w:rFonts w:eastAsiaTheme="minorEastAsia" w:cs="Arial"/>
        </w:rPr>
        <w:t>7) concern a whole plant, a</w:t>
      </w:r>
      <w:r w:rsidRPr="00043F87">
        <w:rPr>
          <w:lang w:val="en-GB"/>
        </w:rPr>
        <w:t xml:space="preserve"> scale factor of 0.80 was used </w:t>
      </w:r>
      <w:r w:rsidRPr="00043F87">
        <w:rPr>
          <w:rStyle w:val="rynqvb"/>
          <w:rFonts w:eastAsiaTheme="minorEastAsia" w:cs="Arial"/>
        </w:rPr>
        <w:t xml:space="preserve">(Arfan, et al., 2023). Prior to applying the cost-to-capacity method, the known plant costs that have a specified reference year were adjusted for inflation using the chemical engineering plant cost index according to the </w:t>
      </w:r>
      <w:proofErr w:type="gramStart"/>
      <w:r w:rsidRPr="00043F87">
        <w:rPr>
          <w:rStyle w:val="rynqvb"/>
          <w:rFonts w:eastAsiaTheme="minorEastAsia" w:cs="Arial"/>
        </w:rPr>
        <w:t>Eq(</w:t>
      </w:r>
      <w:proofErr w:type="gramEnd"/>
      <w:r w:rsidRPr="00043F87">
        <w:rPr>
          <w:rStyle w:val="rynqvb"/>
          <w:rFonts w:eastAsiaTheme="minorEastAsia" w:cs="Arial"/>
        </w:rPr>
        <w:t>8).</w:t>
      </w:r>
    </w:p>
    <w:tbl>
      <w:tblPr>
        <w:tblW w:w="5000" w:type="pct"/>
        <w:tblLook w:val="04A0" w:firstRow="1" w:lastRow="0" w:firstColumn="1" w:lastColumn="0" w:noHBand="0" w:noVBand="1"/>
      </w:tblPr>
      <w:tblGrid>
        <w:gridCol w:w="7991"/>
        <w:gridCol w:w="796"/>
      </w:tblGrid>
      <w:tr w:rsidR="00043F87" w:rsidRPr="00043F87" w14:paraId="7A765E69" w14:textId="77777777" w:rsidTr="000A483F">
        <w:tc>
          <w:tcPr>
            <w:tcW w:w="7982" w:type="dxa"/>
            <w:shd w:val="clear" w:color="auto" w:fill="auto"/>
            <w:vAlign w:val="center"/>
          </w:tcPr>
          <w:p w14:paraId="140DF4B5" w14:textId="7C9070C1" w:rsidR="00C956D5" w:rsidRPr="00043F87" w:rsidRDefault="00C956D5" w:rsidP="000A483F">
            <w:pPr>
              <w:pStyle w:val="CETEquation"/>
            </w:pPr>
            <m:oMathPara>
              <m:oMathParaPr>
                <m:jc m:val="left"/>
              </m:oMathParaPr>
              <m:oMath>
                <m:r>
                  <w:rPr>
                    <w:rStyle w:val="rynqvb"/>
                    <w:rFonts w:ascii="Cambria Math" w:hAnsi="Cambria Math"/>
                  </w:rPr>
                  <m:t>Scaled Capital=Reference Capital*</m:t>
                </m:r>
                <m:sSup>
                  <m:sSupPr>
                    <m:ctrlPr>
                      <w:rPr>
                        <w:rStyle w:val="rynqvb"/>
                        <w:rFonts w:ascii="Cambria Math" w:hAnsi="Cambria Math"/>
                        <w:i/>
                      </w:rPr>
                    </m:ctrlPr>
                  </m:sSupPr>
                  <m:e>
                    <m:d>
                      <m:dPr>
                        <m:ctrlPr>
                          <w:rPr>
                            <w:rStyle w:val="rynqvb"/>
                            <w:rFonts w:ascii="Cambria Math" w:hAnsi="Cambria Math"/>
                            <w:i/>
                          </w:rPr>
                        </m:ctrlPr>
                      </m:dPr>
                      <m:e>
                        <m:f>
                          <m:fPr>
                            <m:ctrlPr>
                              <w:rPr>
                                <w:rStyle w:val="rynqvb"/>
                                <w:rFonts w:ascii="Cambria Math" w:hAnsi="Cambria Math"/>
                                <w:i/>
                              </w:rPr>
                            </m:ctrlPr>
                          </m:fPr>
                          <m:num>
                            <m:r>
                              <w:rPr>
                                <w:rStyle w:val="rynqvb"/>
                                <w:rFonts w:ascii="Cambria Math" w:hAnsi="Cambria Math"/>
                              </w:rPr>
                              <m:t>Scaling Capacity</m:t>
                            </m:r>
                          </m:num>
                          <m:den>
                            <m:r>
                              <w:rPr>
                                <w:rStyle w:val="rynqvb"/>
                                <w:rFonts w:ascii="Cambria Math" w:hAnsi="Cambria Math"/>
                              </w:rPr>
                              <m:t>Reference Capacity</m:t>
                            </m:r>
                          </m:den>
                        </m:f>
                      </m:e>
                    </m:d>
                  </m:e>
                  <m:sup>
                    <m:r>
                      <w:rPr>
                        <w:rStyle w:val="rynqvb"/>
                        <w:rFonts w:ascii="Cambria Math" w:hAnsi="Cambria Math"/>
                      </w:rPr>
                      <m:t>Scale Factor</m:t>
                    </m:r>
                  </m:sup>
                </m:sSup>
                <m:r>
                  <w:rPr>
                    <w:rStyle w:val="rynqvb"/>
                    <w:rFonts w:ascii="Cambria Math" w:hAnsi="Cambria Math"/>
                  </w:rPr>
                  <m:t xml:space="preserve">       </m:t>
                </m:r>
              </m:oMath>
            </m:oMathPara>
          </w:p>
        </w:tc>
        <w:tc>
          <w:tcPr>
            <w:tcW w:w="795" w:type="dxa"/>
            <w:shd w:val="clear" w:color="auto" w:fill="auto"/>
            <w:vAlign w:val="center"/>
          </w:tcPr>
          <w:p w14:paraId="76717A86" w14:textId="4DD0B9A1" w:rsidR="00C956D5" w:rsidRPr="00043F87" w:rsidRDefault="00C956D5" w:rsidP="000A483F">
            <w:pPr>
              <w:pStyle w:val="CETEquation"/>
              <w:jc w:val="right"/>
            </w:pPr>
            <w:r w:rsidRPr="00043F87">
              <w:t>(7)</w:t>
            </w:r>
          </w:p>
        </w:tc>
      </w:tr>
      <w:tr w:rsidR="00043F87" w:rsidRPr="00043F87" w14:paraId="07041AC2" w14:textId="77777777" w:rsidTr="000A483F">
        <w:tc>
          <w:tcPr>
            <w:tcW w:w="7982" w:type="dxa"/>
            <w:shd w:val="clear" w:color="auto" w:fill="auto"/>
            <w:vAlign w:val="center"/>
          </w:tcPr>
          <w:p w14:paraId="2A10EC8A" w14:textId="746CE5A9" w:rsidR="00C956D5" w:rsidRPr="00043F87" w:rsidRDefault="00C956D5" w:rsidP="000A483F">
            <w:pPr>
              <w:pStyle w:val="CETEquation"/>
              <w:rPr>
                <w:noProof/>
                <w:lang w:val="it-IT" w:eastAsia="it-IT"/>
              </w:rPr>
            </w:pPr>
            <m:oMathPara>
              <m:oMathParaPr>
                <m:jc m:val="left"/>
              </m:oMathParaPr>
              <m:oMath>
                <m:r>
                  <w:rPr>
                    <w:rStyle w:val="rynqvb"/>
                    <w:rFonts w:ascii="Cambria Math" w:hAnsi="Cambria Math" w:cs="Arial"/>
                  </w:rPr>
                  <m:t>Reference Capital=Original Cost*</m:t>
                </m:r>
                <m:f>
                  <m:fPr>
                    <m:ctrlPr>
                      <w:rPr>
                        <w:rStyle w:val="rynqvb"/>
                        <w:rFonts w:ascii="Cambria Math" w:hAnsi="Cambria Math" w:cs="Arial"/>
                        <w:i/>
                      </w:rPr>
                    </m:ctrlPr>
                  </m:fPr>
                  <m:num>
                    <m:r>
                      <w:rPr>
                        <w:rStyle w:val="rynqvb"/>
                        <w:rFonts w:ascii="Cambria Math" w:hAnsi="Cambria Math" w:cs="Arial"/>
                      </w:rPr>
                      <m:t>Present Cost Index</m:t>
                    </m:r>
                  </m:num>
                  <m:den>
                    <m:r>
                      <w:rPr>
                        <w:rStyle w:val="rynqvb"/>
                        <w:rFonts w:ascii="Cambria Math" w:hAnsi="Cambria Math" w:cs="Arial"/>
                      </w:rPr>
                      <m:t>Original Cost Index</m:t>
                    </m:r>
                  </m:den>
                </m:f>
              </m:oMath>
            </m:oMathPara>
          </w:p>
        </w:tc>
        <w:tc>
          <w:tcPr>
            <w:tcW w:w="795" w:type="dxa"/>
            <w:shd w:val="clear" w:color="auto" w:fill="auto"/>
            <w:vAlign w:val="center"/>
          </w:tcPr>
          <w:p w14:paraId="664F307D" w14:textId="2C348589" w:rsidR="00C956D5" w:rsidRPr="00043F87" w:rsidRDefault="00C956D5" w:rsidP="000A483F">
            <w:pPr>
              <w:pStyle w:val="CETEquation"/>
              <w:jc w:val="right"/>
            </w:pPr>
            <w:r w:rsidRPr="00043F87">
              <w:t>(8)</w:t>
            </w:r>
          </w:p>
        </w:tc>
      </w:tr>
    </w:tbl>
    <w:p w14:paraId="438334CE" w14:textId="77777777" w:rsidR="00C956D5" w:rsidRPr="00043F87" w:rsidRDefault="00C956D5" w:rsidP="00C956D5">
      <w:pPr>
        <w:pStyle w:val="CETBodytext"/>
        <w:rPr>
          <w:lang w:val="en-GB"/>
        </w:rPr>
      </w:pPr>
    </w:p>
    <w:p w14:paraId="14D4BCDB" w14:textId="35E72364" w:rsidR="00FB15F1" w:rsidRPr="00043F87" w:rsidRDefault="00C956D5" w:rsidP="00FB15F1">
      <w:pPr>
        <w:pStyle w:val="CETBodytext"/>
        <w:rPr>
          <w:i/>
          <w:lang w:val="en-GB"/>
        </w:rPr>
      </w:pPr>
      <w:r w:rsidRPr="00043F87">
        <w:rPr>
          <w:rFonts w:eastAsiaTheme="minorEastAsia" w:cs="Arial"/>
          <w:lang w:val="en"/>
        </w:rPr>
        <w:t>The resulting scaled capitals showed in Table 2 highlight that the steam gasification plant (</w:t>
      </w:r>
      <w:r w:rsidR="009F7407" w:rsidRPr="00043F87">
        <w:rPr>
          <w:rFonts w:cs="Arial"/>
          <w:bCs/>
        </w:rPr>
        <w:t>€</w:t>
      </w:r>
      <w:r w:rsidRPr="00043F87">
        <w:rPr>
          <w:rFonts w:eastAsiaTheme="minorEastAsia" w:cs="Arial"/>
          <w:lang w:val="en"/>
        </w:rPr>
        <w:t xml:space="preserve"> 235</w:t>
      </w:r>
      <w:r w:rsidR="009F7407" w:rsidRPr="00043F87">
        <w:rPr>
          <w:rFonts w:eastAsiaTheme="minorEastAsia" w:cs="Arial"/>
          <w:lang w:val="en"/>
        </w:rPr>
        <w:t xml:space="preserve"> M</w:t>
      </w:r>
      <w:r w:rsidRPr="00043F87">
        <w:rPr>
          <w:rFonts w:eastAsiaTheme="minorEastAsia" w:cs="Arial"/>
          <w:lang w:val="en"/>
        </w:rPr>
        <w:t xml:space="preserve">) has the highest capital compared to the other plants. However, this capital is lower when compared to each of the overall biohydrogen </w:t>
      </w:r>
      <w:r w:rsidRPr="006E1064">
        <w:rPr>
          <w:rFonts w:eastAsiaTheme="minorEastAsia" w:cs="Arial"/>
          <w:lang w:val="en"/>
        </w:rPr>
        <w:t xml:space="preserve">production systems, given that system 2 consists of the integration of the biogas production plant and the SMR plant (total of </w:t>
      </w:r>
      <w:r w:rsidR="009F7407" w:rsidRPr="006E1064">
        <w:rPr>
          <w:rFonts w:cs="Arial"/>
          <w:bCs/>
        </w:rPr>
        <w:t>€</w:t>
      </w:r>
      <w:r w:rsidRPr="006E1064">
        <w:rPr>
          <w:rFonts w:eastAsiaTheme="minorEastAsia" w:cs="Arial"/>
          <w:lang w:val="en"/>
        </w:rPr>
        <w:t xml:space="preserve"> 2</w:t>
      </w:r>
      <w:r w:rsidR="00C3129F" w:rsidRPr="006E1064">
        <w:rPr>
          <w:rFonts w:eastAsiaTheme="minorEastAsia" w:cs="Arial"/>
          <w:lang w:val="en"/>
        </w:rPr>
        <w:t>0</w:t>
      </w:r>
      <w:r w:rsidRPr="006E1064">
        <w:rPr>
          <w:rFonts w:eastAsiaTheme="minorEastAsia" w:cs="Arial"/>
          <w:lang w:val="en"/>
        </w:rPr>
        <w:t>6</w:t>
      </w:r>
      <w:r w:rsidR="009F7407" w:rsidRPr="006E1064">
        <w:rPr>
          <w:rFonts w:eastAsiaTheme="minorEastAsia" w:cs="Arial"/>
          <w:lang w:val="en"/>
        </w:rPr>
        <w:t xml:space="preserve"> M</w:t>
      </w:r>
      <w:r w:rsidRPr="006E1064">
        <w:rPr>
          <w:rFonts w:eastAsiaTheme="minorEastAsia" w:cs="Arial"/>
          <w:lang w:val="en"/>
        </w:rPr>
        <w:t>), and</w:t>
      </w:r>
      <w:r w:rsidRPr="00043F87">
        <w:rPr>
          <w:rFonts w:eastAsiaTheme="minorEastAsia" w:cs="Arial"/>
          <w:lang w:val="en"/>
        </w:rPr>
        <w:t xml:space="preserve"> system 3 consists of the integration of the bio-oil production plant and the bio-oil reforming plant (total of </w:t>
      </w:r>
      <w:r w:rsidR="009F7407" w:rsidRPr="00043F87">
        <w:rPr>
          <w:rFonts w:cs="Arial"/>
          <w:bCs/>
        </w:rPr>
        <w:t>€</w:t>
      </w:r>
      <w:r w:rsidRPr="00043F87">
        <w:rPr>
          <w:rFonts w:eastAsiaTheme="minorEastAsia" w:cs="Arial"/>
          <w:lang w:val="en"/>
        </w:rPr>
        <w:t xml:space="preserve"> 287</w:t>
      </w:r>
      <w:r w:rsidR="009F7407" w:rsidRPr="00043F87">
        <w:rPr>
          <w:rFonts w:eastAsiaTheme="minorEastAsia" w:cs="Arial"/>
          <w:lang w:val="en"/>
        </w:rPr>
        <w:t xml:space="preserve"> </w:t>
      </w:r>
      <w:r w:rsidR="009F7407" w:rsidRPr="00043F87">
        <w:rPr>
          <w:rFonts w:cs="Arial"/>
          <w:bCs/>
          <w:lang w:val="en"/>
        </w:rPr>
        <w:t>M</w:t>
      </w:r>
      <w:r w:rsidRPr="00043F87">
        <w:rPr>
          <w:rFonts w:eastAsiaTheme="minorEastAsia" w:cs="Arial"/>
          <w:lang w:val="en"/>
        </w:rPr>
        <w:t>)</w:t>
      </w:r>
      <w:r w:rsidRPr="00043F87">
        <w:rPr>
          <w:rStyle w:val="rynqvb"/>
          <w:rFonts w:eastAsiaTheme="minorEastAsia" w:cs="Arial"/>
        </w:rPr>
        <w:t>.</w:t>
      </w:r>
    </w:p>
    <w:p w14:paraId="405DD5E8" w14:textId="639D6672" w:rsidR="00FB15F1" w:rsidRPr="00043F87" w:rsidRDefault="00FB15F1" w:rsidP="00FB15F1">
      <w:pPr>
        <w:pStyle w:val="CETTabletitle"/>
      </w:pPr>
      <w:r w:rsidRPr="00043F87">
        <w:t xml:space="preserve">Table </w:t>
      </w:r>
      <w:r w:rsidR="0079193A" w:rsidRPr="00043F87">
        <w:t>2</w:t>
      </w:r>
      <w:r w:rsidRPr="00043F87">
        <w:t xml:space="preserve">: </w:t>
      </w:r>
      <w:r w:rsidR="0079193A" w:rsidRPr="00043F87">
        <w:t>Investment estimate for each of the plants that integrate the systems under analysis</w:t>
      </w:r>
    </w:p>
    <w:tbl>
      <w:tblPr>
        <w:tblW w:w="8756"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174"/>
        <w:gridCol w:w="831"/>
        <w:gridCol w:w="1031"/>
        <w:gridCol w:w="868"/>
        <w:gridCol w:w="1054"/>
        <w:gridCol w:w="1798"/>
      </w:tblGrid>
      <w:tr w:rsidR="00043F87" w:rsidRPr="00043F87" w14:paraId="59537002" w14:textId="77777777" w:rsidTr="009F7407">
        <w:trPr>
          <w:trHeight w:val="88"/>
        </w:trPr>
        <w:tc>
          <w:tcPr>
            <w:tcW w:w="3186" w:type="dxa"/>
            <w:tcBorders>
              <w:top w:val="single" w:sz="12" w:space="0" w:color="008000"/>
              <w:bottom w:val="single" w:sz="6" w:space="0" w:color="008000"/>
            </w:tcBorders>
            <w:shd w:val="clear" w:color="auto" w:fill="FFFFFF"/>
            <w:vAlign w:val="bottom"/>
          </w:tcPr>
          <w:p w14:paraId="289FE814" w14:textId="77777777" w:rsidR="0079193A" w:rsidRPr="00043F87" w:rsidRDefault="0079193A" w:rsidP="000A483F">
            <w:pPr>
              <w:pStyle w:val="CETBodytext"/>
              <w:jc w:val="left"/>
              <w:rPr>
                <w:lang w:val="en-GB"/>
              </w:rPr>
            </w:pPr>
            <w:r w:rsidRPr="00043F87">
              <w:rPr>
                <w:lang w:val="en-GB"/>
              </w:rPr>
              <w:t>Description</w:t>
            </w:r>
          </w:p>
        </w:tc>
        <w:tc>
          <w:tcPr>
            <w:tcW w:w="807" w:type="dxa"/>
            <w:tcBorders>
              <w:top w:val="single" w:sz="12" w:space="0" w:color="008000"/>
              <w:bottom w:val="single" w:sz="6" w:space="0" w:color="008000"/>
            </w:tcBorders>
            <w:shd w:val="clear" w:color="auto" w:fill="FFFFFF"/>
            <w:vAlign w:val="bottom"/>
          </w:tcPr>
          <w:p w14:paraId="199706BC" w14:textId="77777777" w:rsidR="0079193A" w:rsidRPr="00043F87" w:rsidRDefault="0079193A" w:rsidP="000A483F">
            <w:pPr>
              <w:pStyle w:val="CETBodytext"/>
              <w:jc w:val="left"/>
              <w:rPr>
                <w:lang w:val="en-GB"/>
              </w:rPr>
            </w:pPr>
            <w:r w:rsidRPr="00043F87">
              <w:rPr>
                <w:lang w:val="en-GB"/>
              </w:rPr>
              <w:t>Reference capacity (kg/h)</w:t>
            </w:r>
          </w:p>
        </w:tc>
        <w:tc>
          <w:tcPr>
            <w:tcW w:w="1032" w:type="dxa"/>
            <w:tcBorders>
              <w:top w:val="single" w:sz="12" w:space="0" w:color="008000"/>
              <w:bottom w:val="single" w:sz="6" w:space="0" w:color="008000"/>
            </w:tcBorders>
            <w:shd w:val="clear" w:color="auto" w:fill="FFFFFF"/>
            <w:vAlign w:val="bottom"/>
          </w:tcPr>
          <w:p w14:paraId="51EA0801" w14:textId="3C28EB1A" w:rsidR="0079193A" w:rsidRPr="00043F87" w:rsidRDefault="0079193A" w:rsidP="000A483F">
            <w:pPr>
              <w:pStyle w:val="CETBodytext"/>
              <w:jc w:val="left"/>
              <w:rPr>
                <w:lang w:val="en-GB"/>
              </w:rPr>
            </w:pPr>
            <w:r w:rsidRPr="00043F87">
              <w:rPr>
                <w:lang w:val="en-GB"/>
              </w:rPr>
              <w:t>Reference capital (</w:t>
            </w:r>
            <w:r w:rsidR="009F7407" w:rsidRPr="00043F87">
              <w:rPr>
                <w:rFonts w:cs="Arial"/>
                <w:bCs/>
              </w:rPr>
              <w:t xml:space="preserve">€ </w:t>
            </w:r>
            <w:r w:rsidRPr="00043F87">
              <w:rPr>
                <w:lang w:val="en-GB"/>
              </w:rPr>
              <w:t>M)</w:t>
            </w:r>
          </w:p>
        </w:tc>
        <w:tc>
          <w:tcPr>
            <w:tcW w:w="869" w:type="dxa"/>
            <w:tcBorders>
              <w:top w:val="single" w:sz="12" w:space="0" w:color="008000"/>
              <w:bottom w:val="single" w:sz="6" w:space="0" w:color="008000"/>
            </w:tcBorders>
            <w:shd w:val="clear" w:color="auto" w:fill="FFFFFF"/>
            <w:vAlign w:val="bottom"/>
          </w:tcPr>
          <w:p w14:paraId="1A41E090" w14:textId="77777777" w:rsidR="0079193A" w:rsidRPr="00043F87" w:rsidRDefault="0079193A" w:rsidP="000A483F">
            <w:pPr>
              <w:pStyle w:val="CETBodytext"/>
              <w:ind w:right="-1"/>
              <w:jc w:val="left"/>
              <w:rPr>
                <w:rFonts w:cs="Arial"/>
                <w:szCs w:val="18"/>
                <w:lang w:val="en-GB"/>
              </w:rPr>
            </w:pPr>
            <w:r w:rsidRPr="00043F87">
              <w:rPr>
                <w:rFonts w:cs="Arial"/>
                <w:szCs w:val="18"/>
                <w:lang w:val="en-GB"/>
              </w:rPr>
              <w:t>Scaling capacity (kg/h)</w:t>
            </w:r>
          </w:p>
        </w:tc>
        <w:tc>
          <w:tcPr>
            <w:tcW w:w="1057" w:type="dxa"/>
            <w:tcBorders>
              <w:top w:val="single" w:sz="12" w:space="0" w:color="008000"/>
              <w:bottom w:val="single" w:sz="6" w:space="0" w:color="008000"/>
            </w:tcBorders>
            <w:shd w:val="clear" w:color="auto" w:fill="FFFFFF"/>
            <w:vAlign w:val="bottom"/>
          </w:tcPr>
          <w:p w14:paraId="6C50B1C0" w14:textId="5E0FA4DB" w:rsidR="0079193A" w:rsidRPr="00043F87" w:rsidRDefault="0079193A" w:rsidP="000A483F">
            <w:pPr>
              <w:pStyle w:val="CETBodytext"/>
              <w:ind w:right="-1"/>
              <w:jc w:val="left"/>
              <w:rPr>
                <w:rFonts w:cs="Arial"/>
                <w:szCs w:val="18"/>
                <w:lang w:val="en-GB"/>
              </w:rPr>
            </w:pPr>
            <w:r w:rsidRPr="00043F87">
              <w:rPr>
                <w:rFonts w:cs="Arial"/>
                <w:szCs w:val="18"/>
                <w:lang w:val="en-GB"/>
              </w:rPr>
              <w:t>Scaled capital (</w:t>
            </w:r>
            <w:r w:rsidR="009F7407" w:rsidRPr="00043F87">
              <w:rPr>
                <w:rFonts w:cs="Arial"/>
                <w:bCs/>
              </w:rPr>
              <w:t xml:space="preserve">€ </w:t>
            </w:r>
            <w:r w:rsidRPr="00043F87">
              <w:rPr>
                <w:rFonts w:cs="Arial"/>
                <w:szCs w:val="18"/>
                <w:lang w:val="en-GB"/>
              </w:rPr>
              <w:t>M)</w:t>
            </w:r>
          </w:p>
        </w:tc>
        <w:tc>
          <w:tcPr>
            <w:tcW w:w="1805" w:type="dxa"/>
            <w:tcBorders>
              <w:top w:val="single" w:sz="12" w:space="0" w:color="008000"/>
              <w:bottom w:val="single" w:sz="6" w:space="0" w:color="008000"/>
            </w:tcBorders>
            <w:shd w:val="clear" w:color="auto" w:fill="FFFFFF"/>
            <w:vAlign w:val="bottom"/>
          </w:tcPr>
          <w:p w14:paraId="6EC010DA" w14:textId="77777777" w:rsidR="0079193A" w:rsidRPr="00043F87" w:rsidRDefault="0079193A" w:rsidP="000A483F">
            <w:pPr>
              <w:pStyle w:val="CETBodytext"/>
              <w:ind w:right="-1"/>
              <w:jc w:val="left"/>
              <w:rPr>
                <w:rFonts w:cs="Arial"/>
                <w:szCs w:val="18"/>
                <w:lang w:val="en-GB"/>
              </w:rPr>
            </w:pPr>
            <w:r w:rsidRPr="00043F87">
              <w:rPr>
                <w:rFonts w:cs="Arial"/>
                <w:szCs w:val="18"/>
                <w:lang w:val="en-GB"/>
              </w:rPr>
              <w:t>Source</w:t>
            </w:r>
          </w:p>
        </w:tc>
      </w:tr>
      <w:tr w:rsidR="00043F87" w:rsidRPr="00043F87" w14:paraId="70E5895A" w14:textId="77777777" w:rsidTr="009F7407">
        <w:trPr>
          <w:trHeight w:val="151"/>
        </w:trPr>
        <w:tc>
          <w:tcPr>
            <w:tcW w:w="3186" w:type="dxa"/>
            <w:shd w:val="clear" w:color="auto" w:fill="auto"/>
            <w:vAlign w:val="bottom"/>
          </w:tcPr>
          <w:p w14:paraId="70FCDD75" w14:textId="77777777" w:rsidR="0079193A" w:rsidRPr="00043F87" w:rsidRDefault="0079193A" w:rsidP="000A483F">
            <w:pPr>
              <w:pStyle w:val="CETBodytext"/>
              <w:jc w:val="left"/>
              <w:rPr>
                <w:lang w:val="en-GB"/>
              </w:rPr>
            </w:pPr>
            <w:r w:rsidRPr="00043F87">
              <w:rPr>
                <w:lang w:val="en-GB"/>
              </w:rPr>
              <w:t>System 1</w:t>
            </w:r>
          </w:p>
        </w:tc>
        <w:tc>
          <w:tcPr>
            <w:tcW w:w="807" w:type="dxa"/>
            <w:shd w:val="clear" w:color="auto" w:fill="FFFFFF"/>
            <w:vAlign w:val="bottom"/>
          </w:tcPr>
          <w:p w14:paraId="2FC8BE73" w14:textId="77777777" w:rsidR="0079193A" w:rsidRPr="00043F87" w:rsidRDefault="0079193A" w:rsidP="000A483F">
            <w:pPr>
              <w:pStyle w:val="CETBodytext"/>
              <w:jc w:val="left"/>
              <w:rPr>
                <w:lang w:val="en-GB"/>
              </w:rPr>
            </w:pPr>
          </w:p>
        </w:tc>
        <w:tc>
          <w:tcPr>
            <w:tcW w:w="1032" w:type="dxa"/>
            <w:shd w:val="clear" w:color="auto" w:fill="FFFFFF"/>
            <w:vAlign w:val="bottom"/>
          </w:tcPr>
          <w:p w14:paraId="433F1FD0" w14:textId="77777777" w:rsidR="0079193A" w:rsidRPr="00043F87" w:rsidRDefault="0079193A" w:rsidP="000A483F">
            <w:pPr>
              <w:pStyle w:val="CETBodytext"/>
              <w:jc w:val="left"/>
              <w:rPr>
                <w:lang w:val="en-GB"/>
              </w:rPr>
            </w:pPr>
          </w:p>
        </w:tc>
        <w:tc>
          <w:tcPr>
            <w:tcW w:w="869" w:type="dxa"/>
            <w:shd w:val="clear" w:color="auto" w:fill="FFFFFF"/>
            <w:vAlign w:val="bottom"/>
          </w:tcPr>
          <w:p w14:paraId="67B446D3" w14:textId="77777777" w:rsidR="0079193A" w:rsidRPr="00043F87" w:rsidRDefault="0079193A" w:rsidP="000A483F">
            <w:pPr>
              <w:pStyle w:val="CETBodytext"/>
              <w:ind w:right="-1"/>
              <w:jc w:val="left"/>
              <w:rPr>
                <w:rFonts w:cs="Arial"/>
                <w:szCs w:val="18"/>
                <w:lang w:val="en-GB"/>
              </w:rPr>
            </w:pPr>
          </w:p>
        </w:tc>
        <w:tc>
          <w:tcPr>
            <w:tcW w:w="1057" w:type="dxa"/>
            <w:shd w:val="clear" w:color="auto" w:fill="FFFFFF"/>
            <w:vAlign w:val="bottom"/>
          </w:tcPr>
          <w:p w14:paraId="0A0E0BCF" w14:textId="77777777" w:rsidR="0079193A" w:rsidRPr="00043F87" w:rsidRDefault="0079193A" w:rsidP="000A483F">
            <w:pPr>
              <w:pStyle w:val="CETBodytext"/>
              <w:ind w:right="-1"/>
              <w:jc w:val="left"/>
              <w:rPr>
                <w:rFonts w:cs="Arial"/>
                <w:szCs w:val="18"/>
                <w:lang w:val="en-GB"/>
              </w:rPr>
            </w:pPr>
          </w:p>
        </w:tc>
        <w:tc>
          <w:tcPr>
            <w:tcW w:w="1805" w:type="dxa"/>
            <w:shd w:val="clear" w:color="auto" w:fill="FFFFFF"/>
            <w:vAlign w:val="bottom"/>
          </w:tcPr>
          <w:p w14:paraId="57E7C10A" w14:textId="77777777" w:rsidR="0079193A" w:rsidRPr="00043F87" w:rsidRDefault="0079193A" w:rsidP="000A483F">
            <w:pPr>
              <w:pStyle w:val="CETBodytext"/>
              <w:ind w:right="-1"/>
              <w:jc w:val="left"/>
              <w:rPr>
                <w:rFonts w:cs="Arial"/>
                <w:szCs w:val="18"/>
                <w:lang w:val="en-GB"/>
              </w:rPr>
            </w:pPr>
          </w:p>
        </w:tc>
      </w:tr>
      <w:tr w:rsidR="00043F87" w:rsidRPr="00043F87" w14:paraId="7E0CFAD7" w14:textId="77777777" w:rsidTr="009F7407">
        <w:trPr>
          <w:trHeight w:val="214"/>
        </w:trPr>
        <w:tc>
          <w:tcPr>
            <w:tcW w:w="3186" w:type="dxa"/>
            <w:shd w:val="clear" w:color="auto" w:fill="auto"/>
            <w:vAlign w:val="bottom"/>
          </w:tcPr>
          <w:p w14:paraId="30D3310A" w14:textId="77777777" w:rsidR="0079193A" w:rsidRPr="00043F87" w:rsidRDefault="0079193A" w:rsidP="000A483F">
            <w:pPr>
              <w:pStyle w:val="CETBodytext"/>
              <w:jc w:val="left"/>
              <w:rPr>
                <w:lang w:val="en-GB"/>
              </w:rPr>
            </w:pPr>
            <w:r w:rsidRPr="00043F87">
              <w:rPr>
                <w:lang w:val="en-GB"/>
              </w:rPr>
              <w:t>S</w:t>
            </w:r>
            <w:r w:rsidRPr="00043F87">
              <w:t>R</w:t>
            </w:r>
            <w:r w:rsidRPr="00043F87">
              <w:rPr>
                <w:lang w:val="en-GB"/>
              </w:rPr>
              <w:t xml:space="preserve"> plant (based on CH</w:t>
            </w:r>
            <w:r w:rsidRPr="00043F87">
              <w:rPr>
                <w:vertAlign w:val="subscript"/>
                <w:lang w:val="en-GB"/>
              </w:rPr>
              <w:t>4</w:t>
            </w:r>
            <w:r w:rsidRPr="00043F87">
              <w:rPr>
                <w:lang w:val="en-GB"/>
              </w:rPr>
              <w:t xml:space="preserve"> processed)</w:t>
            </w:r>
          </w:p>
        </w:tc>
        <w:tc>
          <w:tcPr>
            <w:tcW w:w="807" w:type="dxa"/>
            <w:shd w:val="clear" w:color="auto" w:fill="FFFFFF"/>
            <w:vAlign w:val="bottom"/>
          </w:tcPr>
          <w:p w14:paraId="310D237A" w14:textId="77777777" w:rsidR="0079193A" w:rsidRPr="00043F87" w:rsidRDefault="0079193A" w:rsidP="000A483F">
            <w:pPr>
              <w:pStyle w:val="CETBodytext"/>
              <w:jc w:val="left"/>
              <w:rPr>
                <w:lang w:val="en-GB"/>
              </w:rPr>
            </w:pPr>
            <w:r w:rsidRPr="00043F87">
              <w:rPr>
                <w:lang w:val="en-GB"/>
              </w:rPr>
              <w:t>198</w:t>
            </w:r>
          </w:p>
        </w:tc>
        <w:tc>
          <w:tcPr>
            <w:tcW w:w="1032" w:type="dxa"/>
            <w:shd w:val="clear" w:color="auto" w:fill="FFFFFF"/>
            <w:vAlign w:val="bottom"/>
          </w:tcPr>
          <w:p w14:paraId="6016C6CD" w14:textId="77777777" w:rsidR="0079193A" w:rsidRPr="00043F87" w:rsidRDefault="0079193A" w:rsidP="000A483F">
            <w:pPr>
              <w:pStyle w:val="CETBodytext"/>
              <w:jc w:val="left"/>
              <w:rPr>
                <w:lang w:val="en-GB"/>
              </w:rPr>
            </w:pPr>
            <w:r w:rsidRPr="00043F87">
              <w:rPr>
                <w:lang w:val="en-GB"/>
              </w:rPr>
              <w:t>6</w:t>
            </w:r>
          </w:p>
        </w:tc>
        <w:tc>
          <w:tcPr>
            <w:tcW w:w="869" w:type="dxa"/>
            <w:shd w:val="clear" w:color="auto" w:fill="FFFFFF"/>
            <w:vAlign w:val="bottom"/>
          </w:tcPr>
          <w:p w14:paraId="64D58B40" w14:textId="77777777" w:rsidR="0079193A" w:rsidRPr="00043F87" w:rsidRDefault="0079193A" w:rsidP="000A483F">
            <w:pPr>
              <w:pStyle w:val="CETBodytext"/>
              <w:ind w:right="-1"/>
              <w:jc w:val="left"/>
              <w:rPr>
                <w:rFonts w:cs="Arial"/>
                <w:szCs w:val="18"/>
                <w:lang w:val="en-GB"/>
              </w:rPr>
            </w:pPr>
            <w:r w:rsidRPr="00043F87">
              <w:rPr>
                <w:rFonts w:cs="Arial"/>
                <w:szCs w:val="18"/>
                <w:lang w:val="en-GB"/>
              </w:rPr>
              <w:t>7,673</w:t>
            </w:r>
          </w:p>
        </w:tc>
        <w:tc>
          <w:tcPr>
            <w:tcW w:w="1057" w:type="dxa"/>
            <w:shd w:val="clear" w:color="auto" w:fill="FFFFFF"/>
            <w:vAlign w:val="bottom"/>
          </w:tcPr>
          <w:p w14:paraId="6F4BFBDA" w14:textId="77777777" w:rsidR="0079193A" w:rsidRPr="00043F87" w:rsidRDefault="0079193A" w:rsidP="000A483F">
            <w:pPr>
              <w:pStyle w:val="CETBodytext"/>
              <w:ind w:right="-1"/>
              <w:jc w:val="left"/>
              <w:rPr>
                <w:rFonts w:cs="Arial"/>
                <w:szCs w:val="18"/>
                <w:lang w:val="en-GB"/>
              </w:rPr>
            </w:pPr>
            <w:r w:rsidRPr="00043F87">
              <w:rPr>
                <w:rFonts w:cs="Arial"/>
                <w:szCs w:val="18"/>
                <w:lang w:val="en-GB"/>
              </w:rPr>
              <w:t>118</w:t>
            </w:r>
          </w:p>
        </w:tc>
        <w:tc>
          <w:tcPr>
            <w:tcW w:w="1805" w:type="dxa"/>
            <w:shd w:val="clear" w:color="auto" w:fill="FFFFFF"/>
            <w:vAlign w:val="bottom"/>
          </w:tcPr>
          <w:p w14:paraId="5109BFB9" w14:textId="77777777" w:rsidR="0079193A" w:rsidRPr="00043F87" w:rsidRDefault="0079193A" w:rsidP="000A483F">
            <w:pPr>
              <w:pStyle w:val="CETBodytext"/>
              <w:ind w:right="-1"/>
              <w:jc w:val="left"/>
              <w:rPr>
                <w:rFonts w:cs="Arial"/>
                <w:szCs w:val="18"/>
                <w:lang w:val="en-GB"/>
              </w:rPr>
            </w:pPr>
            <w:r w:rsidRPr="00043F87">
              <w:rPr>
                <w:rFonts w:cs="Arial"/>
                <w:szCs w:val="18"/>
                <w:lang w:val="en-GB"/>
              </w:rPr>
              <w:t>(Yao et al., 2017)</w:t>
            </w:r>
          </w:p>
        </w:tc>
      </w:tr>
      <w:tr w:rsidR="00043F87" w:rsidRPr="00043F87" w14:paraId="77A5D15B" w14:textId="77777777" w:rsidTr="009F7407">
        <w:trPr>
          <w:trHeight w:val="100"/>
        </w:trPr>
        <w:tc>
          <w:tcPr>
            <w:tcW w:w="3186" w:type="dxa"/>
            <w:shd w:val="clear" w:color="auto" w:fill="FFFFFF"/>
            <w:vAlign w:val="bottom"/>
          </w:tcPr>
          <w:p w14:paraId="52FFF3C1" w14:textId="77777777" w:rsidR="0079193A" w:rsidRPr="00043F87" w:rsidRDefault="0079193A" w:rsidP="000A483F">
            <w:pPr>
              <w:pStyle w:val="CETBodytext"/>
              <w:jc w:val="left"/>
              <w:rPr>
                <w:lang w:val="en-GB"/>
              </w:rPr>
            </w:pPr>
            <w:r w:rsidRPr="00043F87">
              <w:rPr>
                <w:lang w:val="en-GB"/>
              </w:rPr>
              <w:t>System 2</w:t>
            </w:r>
          </w:p>
        </w:tc>
        <w:tc>
          <w:tcPr>
            <w:tcW w:w="807" w:type="dxa"/>
            <w:shd w:val="clear" w:color="auto" w:fill="FFFFFF"/>
            <w:vAlign w:val="bottom"/>
          </w:tcPr>
          <w:p w14:paraId="40371173" w14:textId="77777777" w:rsidR="0079193A" w:rsidRPr="00043F87" w:rsidRDefault="0079193A" w:rsidP="000A483F">
            <w:pPr>
              <w:pStyle w:val="CETBodytext"/>
              <w:jc w:val="left"/>
              <w:rPr>
                <w:lang w:val="en-GB"/>
              </w:rPr>
            </w:pPr>
          </w:p>
        </w:tc>
        <w:tc>
          <w:tcPr>
            <w:tcW w:w="1032" w:type="dxa"/>
            <w:shd w:val="clear" w:color="auto" w:fill="FFFFFF"/>
            <w:vAlign w:val="bottom"/>
          </w:tcPr>
          <w:p w14:paraId="1BA5368E" w14:textId="77777777" w:rsidR="0079193A" w:rsidRPr="00043F87" w:rsidRDefault="0079193A" w:rsidP="000A483F">
            <w:pPr>
              <w:pStyle w:val="CETBodytext"/>
              <w:jc w:val="left"/>
              <w:rPr>
                <w:lang w:val="en-GB"/>
              </w:rPr>
            </w:pPr>
          </w:p>
        </w:tc>
        <w:tc>
          <w:tcPr>
            <w:tcW w:w="869" w:type="dxa"/>
            <w:shd w:val="clear" w:color="auto" w:fill="FFFFFF"/>
            <w:vAlign w:val="bottom"/>
          </w:tcPr>
          <w:p w14:paraId="2C2AADE5" w14:textId="77777777" w:rsidR="0079193A" w:rsidRPr="00043F87" w:rsidRDefault="0079193A" w:rsidP="000A483F">
            <w:pPr>
              <w:pStyle w:val="CETBodytext"/>
              <w:ind w:right="-1"/>
              <w:jc w:val="left"/>
              <w:rPr>
                <w:rFonts w:cs="Arial"/>
                <w:szCs w:val="18"/>
                <w:lang w:val="en-GB"/>
              </w:rPr>
            </w:pPr>
          </w:p>
        </w:tc>
        <w:tc>
          <w:tcPr>
            <w:tcW w:w="1057" w:type="dxa"/>
            <w:shd w:val="clear" w:color="auto" w:fill="FFFFFF"/>
            <w:vAlign w:val="bottom"/>
          </w:tcPr>
          <w:p w14:paraId="7C5DE887" w14:textId="77777777" w:rsidR="0079193A" w:rsidRPr="00043F87" w:rsidRDefault="0079193A" w:rsidP="000A483F">
            <w:pPr>
              <w:pStyle w:val="CETBodytext"/>
              <w:ind w:right="-1"/>
              <w:jc w:val="left"/>
              <w:rPr>
                <w:rFonts w:cs="Arial"/>
                <w:szCs w:val="18"/>
                <w:lang w:val="en-GB"/>
              </w:rPr>
            </w:pPr>
          </w:p>
        </w:tc>
        <w:tc>
          <w:tcPr>
            <w:tcW w:w="1805" w:type="dxa"/>
            <w:shd w:val="clear" w:color="auto" w:fill="FFFFFF"/>
            <w:vAlign w:val="bottom"/>
          </w:tcPr>
          <w:p w14:paraId="39AE880B" w14:textId="77777777" w:rsidR="0079193A" w:rsidRPr="00043F87" w:rsidRDefault="0079193A" w:rsidP="000A483F">
            <w:pPr>
              <w:pStyle w:val="CETBodytext"/>
              <w:ind w:right="-1"/>
              <w:jc w:val="left"/>
              <w:rPr>
                <w:rFonts w:cs="Arial"/>
                <w:szCs w:val="18"/>
                <w:lang w:val="en-GB"/>
              </w:rPr>
            </w:pPr>
          </w:p>
        </w:tc>
      </w:tr>
      <w:tr w:rsidR="00043F87" w:rsidRPr="00043F87" w14:paraId="28851CD8" w14:textId="77777777" w:rsidTr="009F7407">
        <w:trPr>
          <w:trHeight w:val="74"/>
        </w:trPr>
        <w:tc>
          <w:tcPr>
            <w:tcW w:w="3186" w:type="dxa"/>
            <w:shd w:val="clear" w:color="auto" w:fill="FFFFFF"/>
            <w:vAlign w:val="bottom"/>
          </w:tcPr>
          <w:p w14:paraId="2F5D7537" w14:textId="77777777" w:rsidR="0079193A" w:rsidRPr="006E1064" w:rsidRDefault="0079193A" w:rsidP="000A483F">
            <w:pPr>
              <w:pStyle w:val="CETBodytext"/>
              <w:jc w:val="left"/>
              <w:rPr>
                <w:lang w:val="en-GB"/>
              </w:rPr>
            </w:pPr>
            <w:r w:rsidRPr="006E1064">
              <w:rPr>
                <w:lang w:val="en-GB"/>
              </w:rPr>
              <w:t>AD plant (based on CH</w:t>
            </w:r>
            <w:r w:rsidRPr="006E1064">
              <w:rPr>
                <w:vertAlign w:val="subscript"/>
                <w:lang w:val="en-GB"/>
              </w:rPr>
              <w:t>4</w:t>
            </w:r>
            <w:r w:rsidRPr="006E1064">
              <w:rPr>
                <w:lang w:val="en-GB"/>
              </w:rPr>
              <w:t xml:space="preserve"> produced)</w:t>
            </w:r>
          </w:p>
        </w:tc>
        <w:tc>
          <w:tcPr>
            <w:tcW w:w="807" w:type="dxa"/>
            <w:shd w:val="clear" w:color="auto" w:fill="FFFFFF"/>
            <w:vAlign w:val="bottom"/>
          </w:tcPr>
          <w:p w14:paraId="2F667AD9" w14:textId="17878F27" w:rsidR="0079193A" w:rsidRPr="006E1064" w:rsidRDefault="00C3129F" w:rsidP="000A483F">
            <w:pPr>
              <w:pStyle w:val="CETBodytext"/>
              <w:jc w:val="left"/>
              <w:rPr>
                <w:lang w:val="en-GB"/>
              </w:rPr>
            </w:pPr>
            <w:r w:rsidRPr="006E1064">
              <w:rPr>
                <w:lang w:val="en-GB"/>
              </w:rPr>
              <w:t>287</w:t>
            </w:r>
          </w:p>
        </w:tc>
        <w:tc>
          <w:tcPr>
            <w:tcW w:w="1032" w:type="dxa"/>
            <w:shd w:val="clear" w:color="auto" w:fill="FFFFFF"/>
            <w:vAlign w:val="bottom"/>
          </w:tcPr>
          <w:p w14:paraId="0983B5B2" w14:textId="77777777" w:rsidR="0079193A" w:rsidRPr="006E1064" w:rsidRDefault="0079193A" w:rsidP="000A483F">
            <w:pPr>
              <w:pStyle w:val="CETBodytext"/>
              <w:jc w:val="left"/>
              <w:rPr>
                <w:lang w:val="en-GB"/>
              </w:rPr>
            </w:pPr>
            <w:r w:rsidRPr="006E1064">
              <w:rPr>
                <w:lang w:val="en-GB"/>
              </w:rPr>
              <w:t>6</w:t>
            </w:r>
          </w:p>
        </w:tc>
        <w:tc>
          <w:tcPr>
            <w:tcW w:w="869" w:type="dxa"/>
            <w:shd w:val="clear" w:color="auto" w:fill="FFFFFF"/>
            <w:vAlign w:val="bottom"/>
          </w:tcPr>
          <w:p w14:paraId="1CDE1F7E" w14:textId="77777777" w:rsidR="0079193A" w:rsidRPr="006E1064" w:rsidRDefault="0079193A" w:rsidP="000A483F">
            <w:pPr>
              <w:pStyle w:val="CETBodytext"/>
              <w:ind w:right="-1"/>
              <w:jc w:val="left"/>
              <w:rPr>
                <w:rFonts w:cs="Arial"/>
                <w:szCs w:val="18"/>
                <w:lang w:val="en-GB"/>
              </w:rPr>
            </w:pPr>
            <w:r w:rsidRPr="006E1064">
              <w:rPr>
                <w:rFonts w:cs="Arial"/>
                <w:szCs w:val="18"/>
                <w:lang w:val="en-GB"/>
              </w:rPr>
              <w:t>7,673</w:t>
            </w:r>
          </w:p>
        </w:tc>
        <w:tc>
          <w:tcPr>
            <w:tcW w:w="1057" w:type="dxa"/>
            <w:shd w:val="clear" w:color="auto" w:fill="FFFFFF"/>
            <w:vAlign w:val="bottom"/>
          </w:tcPr>
          <w:p w14:paraId="106AF699" w14:textId="151DA5D6" w:rsidR="0079193A" w:rsidRPr="006E1064" w:rsidRDefault="00C3129F" w:rsidP="000A483F">
            <w:pPr>
              <w:pStyle w:val="CETBodytext"/>
              <w:ind w:right="-1"/>
              <w:jc w:val="left"/>
              <w:rPr>
                <w:rFonts w:cs="Arial"/>
                <w:szCs w:val="18"/>
                <w:lang w:val="en-GB"/>
              </w:rPr>
            </w:pPr>
            <w:r w:rsidRPr="006E1064">
              <w:rPr>
                <w:rFonts w:cs="Arial"/>
                <w:szCs w:val="18"/>
                <w:lang w:val="en-GB"/>
              </w:rPr>
              <w:t>88</w:t>
            </w:r>
          </w:p>
        </w:tc>
        <w:tc>
          <w:tcPr>
            <w:tcW w:w="1805" w:type="dxa"/>
            <w:shd w:val="clear" w:color="auto" w:fill="FFFFFF"/>
            <w:vAlign w:val="bottom"/>
          </w:tcPr>
          <w:p w14:paraId="72830C8B" w14:textId="77777777" w:rsidR="0079193A" w:rsidRPr="006E1064" w:rsidRDefault="0079193A" w:rsidP="000A483F">
            <w:pPr>
              <w:pStyle w:val="CETBodytext"/>
              <w:ind w:right="-1"/>
              <w:jc w:val="left"/>
              <w:rPr>
                <w:rFonts w:cs="Arial"/>
                <w:szCs w:val="18"/>
                <w:lang w:val="en-GB"/>
              </w:rPr>
            </w:pPr>
            <w:r w:rsidRPr="006E1064">
              <w:rPr>
                <w:rFonts w:cs="Arial"/>
                <w:szCs w:val="18"/>
                <w:lang w:val="en-GB"/>
              </w:rPr>
              <w:t>(Yao et al., 2017)</w:t>
            </w:r>
          </w:p>
        </w:tc>
      </w:tr>
      <w:tr w:rsidR="00043F87" w:rsidRPr="00043F87" w14:paraId="0E53E8C8" w14:textId="77777777" w:rsidTr="009F7407">
        <w:trPr>
          <w:trHeight w:val="204"/>
        </w:trPr>
        <w:tc>
          <w:tcPr>
            <w:tcW w:w="3186" w:type="dxa"/>
            <w:shd w:val="clear" w:color="auto" w:fill="FFFFFF"/>
            <w:vAlign w:val="bottom"/>
          </w:tcPr>
          <w:p w14:paraId="15B05720" w14:textId="77777777" w:rsidR="0079193A" w:rsidRPr="00043F87" w:rsidRDefault="0079193A" w:rsidP="000A483F">
            <w:pPr>
              <w:pStyle w:val="CETBodytext"/>
              <w:jc w:val="left"/>
              <w:rPr>
                <w:lang w:val="en-GB"/>
              </w:rPr>
            </w:pPr>
            <w:r w:rsidRPr="00043F87">
              <w:rPr>
                <w:lang w:val="en-GB"/>
              </w:rPr>
              <w:t>SR plant (based on CH</w:t>
            </w:r>
            <w:r w:rsidRPr="00043F87">
              <w:rPr>
                <w:vertAlign w:val="subscript"/>
                <w:lang w:val="en-GB"/>
              </w:rPr>
              <w:t>4</w:t>
            </w:r>
            <w:r w:rsidRPr="00043F87">
              <w:rPr>
                <w:lang w:val="en-GB"/>
              </w:rPr>
              <w:t xml:space="preserve"> processed)</w:t>
            </w:r>
          </w:p>
        </w:tc>
        <w:tc>
          <w:tcPr>
            <w:tcW w:w="807" w:type="dxa"/>
            <w:shd w:val="clear" w:color="auto" w:fill="FFFFFF"/>
            <w:vAlign w:val="bottom"/>
          </w:tcPr>
          <w:p w14:paraId="290B1322" w14:textId="77777777" w:rsidR="0079193A" w:rsidRPr="00043F87" w:rsidRDefault="0079193A" w:rsidP="000A483F">
            <w:pPr>
              <w:pStyle w:val="CETBodytext"/>
              <w:jc w:val="left"/>
              <w:rPr>
                <w:lang w:val="en-GB"/>
              </w:rPr>
            </w:pPr>
            <w:r w:rsidRPr="00043F87">
              <w:rPr>
                <w:lang w:val="en-GB"/>
              </w:rPr>
              <w:t>198</w:t>
            </w:r>
          </w:p>
        </w:tc>
        <w:tc>
          <w:tcPr>
            <w:tcW w:w="1032" w:type="dxa"/>
            <w:shd w:val="clear" w:color="auto" w:fill="FFFFFF"/>
            <w:vAlign w:val="bottom"/>
          </w:tcPr>
          <w:p w14:paraId="28E9D525" w14:textId="77777777" w:rsidR="0079193A" w:rsidRPr="00043F87" w:rsidRDefault="0079193A" w:rsidP="000A483F">
            <w:pPr>
              <w:pStyle w:val="CETBodytext"/>
              <w:jc w:val="left"/>
              <w:rPr>
                <w:lang w:val="en-GB"/>
              </w:rPr>
            </w:pPr>
            <w:r w:rsidRPr="00043F87">
              <w:rPr>
                <w:lang w:val="en-GB"/>
              </w:rPr>
              <w:t>6</w:t>
            </w:r>
          </w:p>
        </w:tc>
        <w:tc>
          <w:tcPr>
            <w:tcW w:w="869" w:type="dxa"/>
            <w:shd w:val="clear" w:color="auto" w:fill="FFFFFF"/>
            <w:vAlign w:val="bottom"/>
          </w:tcPr>
          <w:p w14:paraId="2DA2C575" w14:textId="77777777" w:rsidR="0079193A" w:rsidRPr="00043F87" w:rsidRDefault="0079193A" w:rsidP="000A483F">
            <w:pPr>
              <w:pStyle w:val="CETBodytext"/>
              <w:ind w:right="-1"/>
              <w:jc w:val="left"/>
              <w:rPr>
                <w:rFonts w:cs="Arial"/>
                <w:szCs w:val="18"/>
                <w:lang w:val="en-GB"/>
              </w:rPr>
            </w:pPr>
            <w:r w:rsidRPr="00043F87">
              <w:rPr>
                <w:rFonts w:cs="Arial"/>
                <w:szCs w:val="18"/>
                <w:lang w:val="en-GB"/>
              </w:rPr>
              <w:t>7,673</w:t>
            </w:r>
          </w:p>
        </w:tc>
        <w:tc>
          <w:tcPr>
            <w:tcW w:w="1057" w:type="dxa"/>
            <w:shd w:val="clear" w:color="auto" w:fill="FFFFFF"/>
            <w:vAlign w:val="bottom"/>
          </w:tcPr>
          <w:p w14:paraId="587DEB40" w14:textId="77777777" w:rsidR="0079193A" w:rsidRPr="00043F87" w:rsidRDefault="0079193A" w:rsidP="000A483F">
            <w:pPr>
              <w:pStyle w:val="CETBodytext"/>
              <w:ind w:right="-1"/>
              <w:jc w:val="left"/>
              <w:rPr>
                <w:rFonts w:cs="Arial"/>
                <w:szCs w:val="18"/>
                <w:lang w:val="en-GB"/>
              </w:rPr>
            </w:pPr>
            <w:r w:rsidRPr="00043F87">
              <w:rPr>
                <w:rFonts w:cs="Arial"/>
                <w:szCs w:val="18"/>
                <w:lang w:val="en-GB"/>
              </w:rPr>
              <w:t>118</w:t>
            </w:r>
          </w:p>
        </w:tc>
        <w:tc>
          <w:tcPr>
            <w:tcW w:w="1805" w:type="dxa"/>
            <w:shd w:val="clear" w:color="auto" w:fill="FFFFFF"/>
            <w:vAlign w:val="bottom"/>
          </w:tcPr>
          <w:p w14:paraId="71B6D69B" w14:textId="77777777" w:rsidR="0079193A" w:rsidRPr="00043F87" w:rsidRDefault="0079193A" w:rsidP="000A483F">
            <w:pPr>
              <w:pStyle w:val="CETBodytext"/>
              <w:ind w:right="-1"/>
              <w:jc w:val="left"/>
              <w:rPr>
                <w:rFonts w:cs="Arial"/>
                <w:szCs w:val="18"/>
                <w:lang w:val="en-GB"/>
              </w:rPr>
            </w:pPr>
            <w:r w:rsidRPr="00043F87">
              <w:rPr>
                <w:rFonts w:cs="Arial"/>
                <w:szCs w:val="18"/>
                <w:lang w:val="en-GB"/>
              </w:rPr>
              <w:t>(Yao et al., 2017)</w:t>
            </w:r>
          </w:p>
        </w:tc>
      </w:tr>
      <w:tr w:rsidR="00043F87" w:rsidRPr="00043F87" w14:paraId="153CE375" w14:textId="77777777" w:rsidTr="009F7407">
        <w:trPr>
          <w:trHeight w:val="139"/>
        </w:trPr>
        <w:tc>
          <w:tcPr>
            <w:tcW w:w="3186" w:type="dxa"/>
            <w:shd w:val="clear" w:color="auto" w:fill="FFFFFF"/>
            <w:vAlign w:val="bottom"/>
          </w:tcPr>
          <w:p w14:paraId="4415E67F" w14:textId="77777777" w:rsidR="0079193A" w:rsidRPr="00043F87" w:rsidRDefault="0079193A" w:rsidP="000A483F">
            <w:pPr>
              <w:pStyle w:val="CETBodytext"/>
              <w:jc w:val="left"/>
              <w:rPr>
                <w:lang w:val="en-GB"/>
              </w:rPr>
            </w:pPr>
            <w:r w:rsidRPr="00043F87">
              <w:rPr>
                <w:lang w:val="en-GB"/>
              </w:rPr>
              <w:t>System 3</w:t>
            </w:r>
          </w:p>
        </w:tc>
        <w:tc>
          <w:tcPr>
            <w:tcW w:w="807" w:type="dxa"/>
            <w:shd w:val="clear" w:color="auto" w:fill="FFFFFF"/>
            <w:vAlign w:val="bottom"/>
          </w:tcPr>
          <w:p w14:paraId="17386590" w14:textId="77777777" w:rsidR="0079193A" w:rsidRPr="00043F87" w:rsidRDefault="0079193A" w:rsidP="000A483F">
            <w:pPr>
              <w:pStyle w:val="CETBodytext"/>
              <w:jc w:val="left"/>
              <w:rPr>
                <w:lang w:val="en-GB"/>
              </w:rPr>
            </w:pPr>
          </w:p>
        </w:tc>
        <w:tc>
          <w:tcPr>
            <w:tcW w:w="1032" w:type="dxa"/>
            <w:shd w:val="clear" w:color="auto" w:fill="FFFFFF"/>
            <w:vAlign w:val="bottom"/>
          </w:tcPr>
          <w:p w14:paraId="699D0D77" w14:textId="77777777" w:rsidR="0079193A" w:rsidRPr="00043F87" w:rsidRDefault="0079193A" w:rsidP="000A483F">
            <w:pPr>
              <w:pStyle w:val="CETBodytext"/>
              <w:jc w:val="left"/>
              <w:rPr>
                <w:lang w:val="en-GB"/>
              </w:rPr>
            </w:pPr>
          </w:p>
        </w:tc>
        <w:tc>
          <w:tcPr>
            <w:tcW w:w="869" w:type="dxa"/>
            <w:shd w:val="clear" w:color="auto" w:fill="FFFFFF"/>
            <w:vAlign w:val="bottom"/>
          </w:tcPr>
          <w:p w14:paraId="491A8B5C" w14:textId="77777777" w:rsidR="0079193A" w:rsidRPr="00043F87" w:rsidRDefault="0079193A" w:rsidP="000A483F">
            <w:pPr>
              <w:pStyle w:val="CETBodytext"/>
              <w:ind w:right="-1"/>
              <w:jc w:val="left"/>
              <w:rPr>
                <w:rFonts w:cs="Arial"/>
                <w:szCs w:val="18"/>
                <w:lang w:val="en-GB"/>
              </w:rPr>
            </w:pPr>
          </w:p>
        </w:tc>
        <w:tc>
          <w:tcPr>
            <w:tcW w:w="1057" w:type="dxa"/>
            <w:shd w:val="clear" w:color="auto" w:fill="FFFFFF"/>
            <w:vAlign w:val="bottom"/>
          </w:tcPr>
          <w:p w14:paraId="1A612F4D" w14:textId="77777777" w:rsidR="0079193A" w:rsidRPr="00043F87" w:rsidRDefault="0079193A" w:rsidP="000A483F">
            <w:pPr>
              <w:pStyle w:val="CETBodytext"/>
              <w:ind w:right="-1"/>
              <w:jc w:val="left"/>
              <w:rPr>
                <w:rFonts w:cs="Arial"/>
                <w:szCs w:val="18"/>
                <w:lang w:val="en-GB"/>
              </w:rPr>
            </w:pPr>
          </w:p>
        </w:tc>
        <w:tc>
          <w:tcPr>
            <w:tcW w:w="1805" w:type="dxa"/>
            <w:shd w:val="clear" w:color="auto" w:fill="FFFFFF"/>
            <w:vAlign w:val="bottom"/>
          </w:tcPr>
          <w:p w14:paraId="1D605F83" w14:textId="77777777" w:rsidR="0079193A" w:rsidRPr="00043F87" w:rsidRDefault="0079193A" w:rsidP="000A483F">
            <w:pPr>
              <w:pStyle w:val="CETBodytext"/>
              <w:ind w:right="-1"/>
              <w:jc w:val="left"/>
              <w:rPr>
                <w:rFonts w:cs="Arial"/>
                <w:szCs w:val="18"/>
                <w:lang w:val="en-GB"/>
              </w:rPr>
            </w:pPr>
          </w:p>
        </w:tc>
      </w:tr>
      <w:tr w:rsidR="00043F87" w:rsidRPr="00043F87" w14:paraId="3169D21D" w14:textId="77777777" w:rsidTr="009F7407">
        <w:trPr>
          <w:trHeight w:val="139"/>
        </w:trPr>
        <w:tc>
          <w:tcPr>
            <w:tcW w:w="3186" w:type="dxa"/>
            <w:shd w:val="clear" w:color="auto" w:fill="FFFFFF"/>
            <w:vAlign w:val="bottom"/>
          </w:tcPr>
          <w:p w14:paraId="5BEEC230" w14:textId="77777777" w:rsidR="0079193A" w:rsidRPr="00043F87" w:rsidRDefault="0079193A" w:rsidP="000A483F">
            <w:pPr>
              <w:pStyle w:val="CETBodytext"/>
              <w:jc w:val="left"/>
              <w:rPr>
                <w:lang w:val="en-GB"/>
              </w:rPr>
            </w:pPr>
            <w:r w:rsidRPr="00043F87">
              <w:rPr>
                <w:lang w:val="en-GB"/>
              </w:rPr>
              <w:t>FP plant (based on bio-oil produced)</w:t>
            </w:r>
          </w:p>
        </w:tc>
        <w:tc>
          <w:tcPr>
            <w:tcW w:w="807" w:type="dxa"/>
            <w:shd w:val="clear" w:color="auto" w:fill="FFFFFF"/>
            <w:vAlign w:val="bottom"/>
          </w:tcPr>
          <w:p w14:paraId="719C9E99" w14:textId="77777777" w:rsidR="0079193A" w:rsidRPr="00043F87" w:rsidRDefault="0079193A" w:rsidP="000A483F">
            <w:pPr>
              <w:pStyle w:val="CETBodytext"/>
              <w:jc w:val="left"/>
              <w:rPr>
                <w:lang w:val="en-GB"/>
              </w:rPr>
            </w:pPr>
            <w:r w:rsidRPr="00043F87">
              <w:rPr>
                <w:lang w:val="en-GB"/>
              </w:rPr>
              <w:t>3,600</w:t>
            </w:r>
          </w:p>
        </w:tc>
        <w:tc>
          <w:tcPr>
            <w:tcW w:w="1032" w:type="dxa"/>
            <w:shd w:val="clear" w:color="auto" w:fill="FFFFFF"/>
            <w:vAlign w:val="bottom"/>
          </w:tcPr>
          <w:p w14:paraId="207D5AC1" w14:textId="77777777" w:rsidR="0079193A" w:rsidRPr="00043F87" w:rsidRDefault="0079193A" w:rsidP="000A483F">
            <w:pPr>
              <w:pStyle w:val="CETBodytext"/>
              <w:jc w:val="left"/>
              <w:rPr>
                <w:lang w:val="en-GB"/>
              </w:rPr>
            </w:pPr>
            <w:r w:rsidRPr="00043F87">
              <w:rPr>
                <w:lang w:val="en-GB"/>
              </w:rPr>
              <w:t>40</w:t>
            </w:r>
          </w:p>
        </w:tc>
        <w:tc>
          <w:tcPr>
            <w:tcW w:w="869" w:type="dxa"/>
            <w:shd w:val="clear" w:color="auto" w:fill="FFFFFF"/>
            <w:vAlign w:val="bottom"/>
          </w:tcPr>
          <w:p w14:paraId="040F6BAB" w14:textId="77777777" w:rsidR="0079193A" w:rsidRPr="00043F87" w:rsidRDefault="0079193A" w:rsidP="000A483F">
            <w:pPr>
              <w:pStyle w:val="CETBodytext"/>
              <w:ind w:right="-1"/>
              <w:jc w:val="left"/>
              <w:rPr>
                <w:rFonts w:cs="Arial"/>
                <w:szCs w:val="18"/>
                <w:lang w:val="en-GB"/>
              </w:rPr>
            </w:pPr>
            <w:r w:rsidRPr="00043F87">
              <w:rPr>
                <w:rFonts w:cs="Arial"/>
                <w:szCs w:val="18"/>
                <w:lang w:val="en-GB"/>
              </w:rPr>
              <w:t>22,039</w:t>
            </w:r>
          </w:p>
        </w:tc>
        <w:tc>
          <w:tcPr>
            <w:tcW w:w="1057" w:type="dxa"/>
            <w:shd w:val="clear" w:color="auto" w:fill="FFFFFF"/>
            <w:vAlign w:val="bottom"/>
          </w:tcPr>
          <w:p w14:paraId="5EA23285" w14:textId="77777777" w:rsidR="0079193A" w:rsidRPr="00043F87" w:rsidRDefault="0079193A" w:rsidP="000A483F">
            <w:pPr>
              <w:pStyle w:val="CETBodytext"/>
              <w:ind w:right="-1"/>
              <w:jc w:val="left"/>
              <w:rPr>
                <w:rFonts w:cs="Arial"/>
                <w:szCs w:val="18"/>
                <w:lang w:val="en-GB"/>
              </w:rPr>
            </w:pPr>
            <w:r w:rsidRPr="00043F87">
              <w:rPr>
                <w:rFonts w:cs="Arial"/>
                <w:szCs w:val="18"/>
                <w:lang w:val="en-GB"/>
              </w:rPr>
              <w:t>170</w:t>
            </w:r>
          </w:p>
        </w:tc>
        <w:tc>
          <w:tcPr>
            <w:tcW w:w="1805" w:type="dxa"/>
            <w:shd w:val="clear" w:color="auto" w:fill="FFFFFF"/>
            <w:vAlign w:val="bottom"/>
          </w:tcPr>
          <w:p w14:paraId="0F790963" w14:textId="77777777" w:rsidR="0079193A" w:rsidRPr="00043F87" w:rsidRDefault="0079193A" w:rsidP="000A483F">
            <w:pPr>
              <w:pStyle w:val="CETBodytext"/>
              <w:ind w:right="-1"/>
              <w:jc w:val="left"/>
              <w:rPr>
                <w:rFonts w:cs="Arial"/>
                <w:szCs w:val="18"/>
                <w:lang w:val="en-GB"/>
              </w:rPr>
            </w:pPr>
            <w:r w:rsidRPr="00043F87">
              <w:rPr>
                <w:rFonts w:cs="Arial"/>
                <w:szCs w:val="18"/>
                <w:lang w:val="en-GB"/>
              </w:rPr>
              <w:t>(Arfan et al., 2023)</w:t>
            </w:r>
          </w:p>
        </w:tc>
      </w:tr>
      <w:tr w:rsidR="00043F87" w:rsidRPr="00043F87" w14:paraId="3DD5F4C7" w14:textId="77777777" w:rsidTr="009F7407">
        <w:trPr>
          <w:trHeight w:val="74"/>
        </w:trPr>
        <w:tc>
          <w:tcPr>
            <w:tcW w:w="3186" w:type="dxa"/>
            <w:shd w:val="clear" w:color="auto" w:fill="FFFFFF"/>
            <w:vAlign w:val="bottom"/>
          </w:tcPr>
          <w:p w14:paraId="43AE7063" w14:textId="77777777" w:rsidR="0079193A" w:rsidRPr="00043F87" w:rsidRDefault="0079193A" w:rsidP="000A483F">
            <w:pPr>
              <w:pStyle w:val="CETBodytext"/>
              <w:ind w:right="-1"/>
              <w:jc w:val="left"/>
              <w:rPr>
                <w:rFonts w:cs="Arial"/>
                <w:szCs w:val="18"/>
                <w:lang w:val="en-GB"/>
              </w:rPr>
            </w:pPr>
            <w:r w:rsidRPr="00043F87">
              <w:rPr>
                <w:rFonts w:cs="Arial"/>
                <w:szCs w:val="18"/>
                <w:lang w:val="en-GB"/>
              </w:rPr>
              <w:t>Bio-oil SR plant (based on bio-oil processed)</w:t>
            </w:r>
          </w:p>
        </w:tc>
        <w:tc>
          <w:tcPr>
            <w:tcW w:w="807" w:type="dxa"/>
            <w:shd w:val="clear" w:color="auto" w:fill="FFFFFF"/>
            <w:vAlign w:val="bottom"/>
          </w:tcPr>
          <w:p w14:paraId="161A553E" w14:textId="77777777" w:rsidR="0079193A" w:rsidRPr="00043F87" w:rsidRDefault="0079193A" w:rsidP="000A483F">
            <w:pPr>
              <w:pStyle w:val="CETBodytext"/>
              <w:ind w:right="-1"/>
              <w:jc w:val="left"/>
              <w:rPr>
                <w:rFonts w:cs="Arial"/>
                <w:szCs w:val="18"/>
                <w:lang w:val="en-GB"/>
              </w:rPr>
            </w:pPr>
            <w:r w:rsidRPr="00043F87">
              <w:rPr>
                <w:rFonts w:cs="Arial"/>
                <w:szCs w:val="18"/>
                <w:lang w:val="en-GB"/>
              </w:rPr>
              <w:t>50,000</w:t>
            </w:r>
          </w:p>
        </w:tc>
        <w:tc>
          <w:tcPr>
            <w:tcW w:w="1032" w:type="dxa"/>
            <w:shd w:val="clear" w:color="auto" w:fill="FFFFFF"/>
            <w:vAlign w:val="bottom"/>
          </w:tcPr>
          <w:p w14:paraId="0B44E5BF" w14:textId="77777777" w:rsidR="0079193A" w:rsidRPr="00043F87" w:rsidRDefault="0079193A" w:rsidP="000A483F">
            <w:pPr>
              <w:pStyle w:val="CETBodytext"/>
              <w:ind w:right="-1"/>
              <w:jc w:val="left"/>
              <w:rPr>
                <w:rFonts w:cs="Arial"/>
                <w:szCs w:val="18"/>
                <w:lang w:val="en-GB"/>
              </w:rPr>
            </w:pPr>
            <w:r w:rsidRPr="00043F87">
              <w:rPr>
                <w:rFonts w:cs="Arial"/>
                <w:szCs w:val="18"/>
                <w:lang w:val="en-GB"/>
              </w:rPr>
              <w:t>225</w:t>
            </w:r>
          </w:p>
        </w:tc>
        <w:tc>
          <w:tcPr>
            <w:tcW w:w="869" w:type="dxa"/>
            <w:shd w:val="clear" w:color="auto" w:fill="FFFFFF"/>
            <w:vAlign w:val="bottom"/>
          </w:tcPr>
          <w:p w14:paraId="6D2E8908" w14:textId="77777777" w:rsidR="0079193A" w:rsidRPr="00043F87" w:rsidRDefault="0079193A" w:rsidP="000A483F">
            <w:pPr>
              <w:pStyle w:val="CETBodytext"/>
              <w:ind w:right="-1"/>
              <w:jc w:val="left"/>
              <w:rPr>
                <w:rFonts w:cs="Arial"/>
                <w:szCs w:val="18"/>
                <w:lang w:val="en-GB"/>
              </w:rPr>
            </w:pPr>
            <w:r w:rsidRPr="00043F87">
              <w:rPr>
                <w:rFonts w:cs="Arial"/>
                <w:szCs w:val="18"/>
                <w:lang w:val="en-GB"/>
              </w:rPr>
              <w:t>22,039</w:t>
            </w:r>
          </w:p>
        </w:tc>
        <w:tc>
          <w:tcPr>
            <w:tcW w:w="1057" w:type="dxa"/>
            <w:shd w:val="clear" w:color="auto" w:fill="FFFFFF"/>
            <w:vAlign w:val="bottom"/>
          </w:tcPr>
          <w:p w14:paraId="2D4BDE09" w14:textId="77777777" w:rsidR="0079193A" w:rsidRPr="00043F87" w:rsidRDefault="0079193A" w:rsidP="000A483F">
            <w:pPr>
              <w:pStyle w:val="CETBodytext"/>
              <w:ind w:right="-1"/>
              <w:jc w:val="left"/>
              <w:rPr>
                <w:rFonts w:cs="Arial"/>
                <w:szCs w:val="18"/>
                <w:lang w:val="en-GB"/>
              </w:rPr>
            </w:pPr>
            <w:r w:rsidRPr="00043F87">
              <w:rPr>
                <w:rFonts w:cs="Arial"/>
                <w:szCs w:val="18"/>
                <w:lang w:val="en-GB"/>
              </w:rPr>
              <w:t>117</w:t>
            </w:r>
          </w:p>
        </w:tc>
        <w:tc>
          <w:tcPr>
            <w:tcW w:w="1805" w:type="dxa"/>
            <w:shd w:val="clear" w:color="auto" w:fill="FFFFFF"/>
            <w:vAlign w:val="bottom"/>
          </w:tcPr>
          <w:p w14:paraId="5291C8EC" w14:textId="77777777" w:rsidR="0079193A" w:rsidRPr="00043F87" w:rsidRDefault="0079193A" w:rsidP="000A483F">
            <w:pPr>
              <w:pStyle w:val="CETBodytext"/>
              <w:ind w:right="-1"/>
              <w:jc w:val="left"/>
              <w:rPr>
                <w:rFonts w:cs="Arial"/>
                <w:szCs w:val="18"/>
                <w:lang w:val="en-GB"/>
              </w:rPr>
            </w:pPr>
            <w:r w:rsidRPr="00043F87">
              <w:rPr>
                <w:rFonts w:cs="Arial"/>
                <w:szCs w:val="18"/>
                <w:lang w:val="en-GB"/>
              </w:rPr>
              <w:t>(Sarkar and Kumar, 2010)</w:t>
            </w:r>
          </w:p>
        </w:tc>
      </w:tr>
      <w:tr w:rsidR="00043F87" w:rsidRPr="00043F87" w14:paraId="17DAEA07" w14:textId="77777777" w:rsidTr="009F7407">
        <w:trPr>
          <w:trHeight w:val="74"/>
        </w:trPr>
        <w:tc>
          <w:tcPr>
            <w:tcW w:w="3186" w:type="dxa"/>
            <w:shd w:val="clear" w:color="auto" w:fill="FFFFFF"/>
            <w:vAlign w:val="bottom"/>
          </w:tcPr>
          <w:p w14:paraId="541C5779" w14:textId="77777777" w:rsidR="0079193A" w:rsidRPr="00043F87" w:rsidRDefault="0079193A" w:rsidP="000A483F">
            <w:pPr>
              <w:pStyle w:val="CETBodytext"/>
              <w:ind w:right="-1"/>
              <w:jc w:val="left"/>
              <w:rPr>
                <w:lang w:val="en-GB"/>
              </w:rPr>
            </w:pPr>
            <w:r w:rsidRPr="00043F87">
              <w:rPr>
                <w:lang w:val="en-GB"/>
              </w:rPr>
              <w:t>System 4</w:t>
            </w:r>
          </w:p>
        </w:tc>
        <w:tc>
          <w:tcPr>
            <w:tcW w:w="807" w:type="dxa"/>
            <w:shd w:val="clear" w:color="auto" w:fill="FFFFFF"/>
            <w:vAlign w:val="bottom"/>
          </w:tcPr>
          <w:p w14:paraId="5E54AD59" w14:textId="77777777" w:rsidR="0079193A" w:rsidRPr="00043F87" w:rsidRDefault="0079193A" w:rsidP="000A483F">
            <w:pPr>
              <w:pStyle w:val="CETBodytext"/>
              <w:ind w:right="-1"/>
              <w:jc w:val="left"/>
              <w:rPr>
                <w:lang w:val="en-GB"/>
              </w:rPr>
            </w:pPr>
          </w:p>
        </w:tc>
        <w:tc>
          <w:tcPr>
            <w:tcW w:w="1032" w:type="dxa"/>
            <w:shd w:val="clear" w:color="auto" w:fill="FFFFFF"/>
            <w:vAlign w:val="bottom"/>
          </w:tcPr>
          <w:p w14:paraId="718B1ADA" w14:textId="77777777" w:rsidR="0079193A" w:rsidRPr="00043F87" w:rsidRDefault="0079193A" w:rsidP="000A483F">
            <w:pPr>
              <w:pStyle w:val="CETBodytext"/>
              <w:ind w:right="-1"/>
              <w:jc w:val="left"/>
              <w:rPr>
                <w:lang w:val="en-GB"/>
              </w:rPr>
            </w:pPr>
          </w:p>
        </w:tc>
        <w:tc>
          <w:tcPr>
            <w:tcW w:w="869" w:type="dxa"/>
            <w:shd w:val="clear" w:color="auto" w:fill="FFFFFF"/>
            <w:vAlign w:val="bottom"/>
          </w:tcPr>
          <w:p w14:paraId="00921024" w14:textId="77777777" w:rsidR="0079193A" w:rsidRPr="00043F87" w:rsidRDefault="0079193A" w:rsidP="000A483F">
            <w:pPr>
              <w:pStyle w:val="CETBodytext"/>
              <w:ind w:right="-1"/>
              <w:jc w:val="left"/>
              <w:rPr>
                <w:rFonts w:cs="Arial"/>
                <w:szCs w:val="18"/>
                <w:lang w:val="en-GB"/>
              </w:rPr>
            </w:pPr>
          </w:p>
        </w:tc>
        <w:tc>
          <w:tcPr>
            <w:tcW w:w="1057" w:type="dxa"/>
            <w:shd w:val="clear" w:color="auto" w:fill="FFFFFF"/>
            <w:vAlign w:val="bottom"/>
          </w:tcPr>
          <w:p w14:paraId="7E81DAC3" w14:textId="77777777" w:rsidR="0079193A" w:rsidRPr="00043F87" w:rsidRDefault="0079193A" w:rsidP="000A483F">
            <w:pPr>
              <w:pStyle w:val="CETBodytext"/>
              <w:ind w:right="-1"/>
              <w:jc w:val="left"/>
              <w:rPr>
                <w:rFonts w:cs="Arial"/>
                <w:szCs w:val="18"/>
                <w:lang w:val="en-GB"/>
              </w:rPr>
            </w:pPr>
          </w:p>
        </w:tc>
        <w:tc>
          <w:tcPr>
            <w:tcW w:w="1805" w:type="dxa"/>
            <w:shd w:val="clear" w:color="auto" w:fill="FFFFFF"/>
            <w:vAlign w:val="bottom"/>
          </w:tcPr>
          <w:p w14:paraId="56B2790E" w14:textId="77777777" w:rsidR="0079193A" w:rsidRPr="00043F87" w:rsidRDefault="0079193A" w:rsidP="000A483F">
            <w:pPr>
              <w:pStyle w:val="CETBodytext"/>
              <w:ind w:right="-1"/>
              <w:jc w:val="left"/>
              <w:rPr>
                <w:rFonts w:cs="Arial"/>
                <w:szCs w:val="18"/>
                <w:lang w:val="en-GB"/>
              </w:rPr>
            </w:pPr>
          </w:p>
        </w:tc>
      </w:tr>
      <w:tr w:rsidR="00043F87" w:rsidRPr="00043F87" w14:paraId="6BF4AABB" w14:textId="77777777" w:rsidTr="009F7407">
        <w:trPr>
          <w:trHeight w:val="74"/>
        </w:trPr>
        <w:tc>
          <w:tcPr>
            <w:tcW w:w="3186" w:type="dxa"/>
            <w:shd w:val="clear" w:color="auto" w:fill="FFFFFF"/>
            <w:vAlign w:val="bottom"/>
          </w:tcPr>
          <w:p w14:paraId="4450BD26" w14:textId="77777777" w:rsidR="0079193A" w:rsidRPr="00043F87" w:rsidRDefault="0079193A" w:rsidP="000A483F">
            <w:pPr>
              <w:pStyle w:val="CETBodytext"/>
              <w:ind w:right="-1"/>
              <w:jc w:val="left"/>
              <w:rPr>
                <w:rFonts w:cs="Arial"/>
                <w:szCs w:val="18"/>
                <w:lang w:val="en-GB"/>
              </w:rPr>
            </w:pPr>
            <w:r w:rsidRPr="00043F87">
              <w:rPr>
                <w:lang w:val="en-GB"/>
              </w:rPr>
              <w:t>SG plant (based on syngas produced)</w:t>
            </w:r>
          </w:p>
        </w:tc>
        <w:tc>
          <w:tcPr>
            <w:tcW w:w="807" w:type="dxa"/>
            <w:shd w:val="clear" w:color="auto" w:fill="FFFFFF"/>
            <w:vAlign w:val="bottom"/>
          </w:tcPr>
          <w:p w14:paraId="687533E4" w14:textId="77777777" w:rsidR="0079193A" w:rsidRPr="00043F87" w:rsidRDefault="0079193A" w:rsidP="000A483F">
            <w:pPr>
              <w:pStyle w:val="CETBodytext"/>
              <w:ind w:right="-1"/>
              <w:jc w:val="left"/>
              <w:rPr>
                <w:rFonts w:cs="Arial"/>
                <w:szCs w:val="18"/>
                <w:lang w:val="en-GB"/>
              </w:rPr>
            </w:pPr>
            <w:r w:rsidRPr="00043F87">
              <w:rPr>
                <w:lang w:val="en-GB"/>
              </w:rPr>
              <w:t>4,080</w:t>
            </w:r>
          </w:p>
        </w:tc>
        <w:tc>
          <w:tcPr>
            <w:tcW w:w="1032" w:type="dxa"/>
            <w:shd w:val="clear" w:color="auto" w:fill="FFFFFF"/>
            <w:vAlign w:val="bottom"/>
          </w:tcPr>
          <w:p w14:paraId="7354B0E7" w14:textId="77777777" w:rsidR="0079193A" w:rsidRPr="00043F87" w:rsidRDefault="0079193A" w:rsidP="000A483F">
            <w:pPr>
              <w:pStyle w:val="CETBodytext"/>
              <w:ind w:right="-1"/>
              <w:jc w:val="left"/>
              <w:rPr>
                <w:rFonts w:cs="Arial"/>
                <w:szCs w:val="18"/>
                <w:lang w:val="en-GB"/>
              </w:rPr>
            </w:pPr>
            <w:r w:rsidRPr="00043F87">
              <w:rPr>
                <w:lang w:val="en-GB"/>
              </w:rPr>
              <w:t>15</w:t>
            </w:r>
          </w:p>
        </w:tc>
        <w:tc>
          <w:tcPr>
            <w:tcW w:w="869" w:type="dxa"/>
            <w:shd w:val="clear" w:color="auto" w:fill="FFFFFF"/>
            <w:vAlign w:val="bottom"/>
          </w:tcPr>
          <w:p w14:paraId="13139085" w14:textId="77777777" w:rsidR="0079193A" w:rsidRPr="00043F87" w:rsidRDefault="0079193A" w:rsidP="000A483F">
            <w:pPr>
              <w:pStyle w:val="CETBodytext"/>
              <w:ind w:right="-1"/>
              <w:jc w:val="left"/>
              <w:rPr>
                <w:rFonts w:cs="Arial"/>
                <w:szCs w:val="18"/>
                <w:lang w:val="en-GB"/>
              </w:rPr>
            </w:pPr>
            <w:r w:rsidRPr="00043F87">
              <w:rPr>
                <w:rFonts w:cs="Arial"/>
                <w:szCs w:val="18"/>
                <w:lang w:val="en-GB"/>
              </w:rPr>
              <w:t>122,242</w:t>
            </w:r>
          </w:p>
        </w:tc>
        <w:tc>
          <w:tcPr>
            <w:tcW w:w="1057" w:type="dxa"/>
            <w:shd w:val="clear" w:color="auto" w:fill="FFFFFF"/>
            <w:vAlign w:val="bottom"/>
          </w:tcPr>
          <w:p w14:paraId="709C08DE" w14:textId="77777777" w:rsidR="0079193A" w:rsidRPr="00043F87" w:rsidRDefault="0079193A" w:rsidP="000A483F">
            <w:pPr>
              <w:pStyle w:val="CETBodytext"/>
              <w:ind w:right="-1"/>
              <w:jc w:val="left"/>
              <w:rPr>
                <w:rFonts w:cs="Arial"/>
                <w:szCs w:val="18"/>
                <w:lang w:val="en-GB"/>
              </w:rPr>
            </w:pPr>
            <w:r w:rsidRPr="00043F87">
              <w:rPr>
                <w:rFonts w:cs="Arial"/>
                <w:szCs w:val="18"/>
                <w:lang w:val="en-GB"/>
              </w:rPr>
              <w:t>235</w:t>
            </w:r>
          </w:p>
        </w:tc>
        <w:tc>
          <w:tcPr>
            <w:tcW w:w="1805" w:type="dxa"/>
            <w:shd w:val="clear" w:color="auto" w:fill="FFFFFF"/>
            <w:vAlign w:val="bottom"/>
          </w:tcPr>
          <w:p w14:paraId="2D0D2296" w14:textId="77777777" w:rsidR="0079193A" w:rsidRPr="00043F87" w:rsidRDefault="0079193A" w:rsidP="000A483F">
            <w:pPr>
              <w:pStyle w:val="CETBodytext"/>
              <w:ind w:right="-1"/>
              <w:jc w:val="left"/>
              <w:rPr>
                <w:rFonts w:cs="Arial"/>
                <w:szCs w:val="18"/>
                <w:lang w:val="en-GB"/>
              </w:rPr>
            </w:pPr>
            <w:r w:rsidRPr="00043F87">
              <w:rPr>
                <w:rFonts w:cs="Arial"/>
                <w:szCs w:val="18"/>
                <w:lang w:val="en-GB"/>
              </w:rPr>
              <w:t>(Yao et al., 2017)</w:t>
            </w:r>
          </w:p>
        </w:tc>
      </w:tr>
    </w:tbl>
    <w:p w14:paraId="62FBC9D9" w14:textId="334670C2" w:rsidR="00E5550C" w:rsidRPr="00043F87" w:rsidRDefault="00E5550C" w:rsidP="00C956D5">
      <w:pPr>
        <w:pStyle w:val="CETBodytext"/>
        <w:rPr>
          <w:rStyle w:val="rynqvb"/>
          <w:rFonts w:eastAsiaTheme="minorEastAsia" w:cs="Arial"/>
        </w:rPr>
      </w:pPr>
    </w:p>
    <w:p w14:paraId="622DFC70" w14:textId="448A7613" w:rsidR="0079193A" w:rsidRPr="00043F87" w:rsidRDefault="0079193A" w:rsidP="0079193A">
      <w:pPr>
        <w:pStyle w:val="CETCaption"/>
        <w:rPr>
          <w:i w:val="0"/>
          <w:iCs/>
        </w:rPr>
      </w:pPr>
      <w:r w:rsidRPr="00043F87">
        <w:rPr>
          <w:rStyle w:val="rynqvb"/>
          <w:rFonts w:eastAsiaTheme="minorEastAsia" w:cs="Arial"/>
          <w:i w:val="0"/>
          <w:iCs/>
        </w:rPr>
        <w:t xml:space="preserve">The engineering procurement and construction costs (EPC) and the contingencies and owner's costs (C&amp;OC) were then added to the TDPC, </w:t>
      </w:r>
      <w:r w:rsidRPr="00043F87">
        <w:rPr>
          <w:rFonts w:eastAsiaTheme="minorEastAsia" w:cs="Arial"/>
          <w:i w:val="0"/>
          <w:iCs/>
        </w:rPr>
        <w:t>using the percentages proposed in the literature (Spallina et al., 2016).</w:t>
      </w:r>
      <w:r w:rsidRPr="00043F87">
        <w:rPr>
          <w:rStyle w:val="rynqvb"/>
          <w:rFonts w:eastAsiaTheme="minorEastAsia" w:cs="Arial"/>
          <w:i w:val="0"/>
          <w:iCs/>
        </w:rPr>
        <w:t xml:space="preserve"> The final estimated CAPEX for each of the systems under evaluation are shown in Table 3. These </w:t>
      </w:r>
      <w:r w:rsidRPr="00043F87">
        <w:rPr>
          <w:rFonts w:eastAsiaTheme="minorEastAsia" w:cs="Arial"/>
          <w:i w:val="0"/>
          <w:iCs/>
          <w:lang w:val="en"/>
        </w:rPr>
        <w:t xml:space="preserve">amounts were then converted into annuities using the CCF, as described above. </w:t>
      </w:r>
      <w:r w:rsidRPr="00043F87">
        <w:rPr>
          <w:rStyle w:val="rynqvb"/>
          <w:rFonts w:eastAsiaTheme="minorEastAsia" w:cs="Arial"/>
          <w:i w:val="0"/>
          <w:iCs/>
        </w:rPr>
        <w:t>On the other hand,</w:t>
      </w:r>
      <w:r w:rsidRPr="00043F87">
        <w:rPr>
          <w:rStyle w:val="rynqvb"/>
          <w:rFonts w:eastAsiaTheme="minorEastAsia" w:cs="Arial"/>
          <w:i w:val="0"/>
          <w:iCs/>
          <w:szCs w:val="18"/>
        </w:rPr>
        <w:t xml:space="preserve"> OPEX was estimated considering the annual expenses of raw materials (</w:t>
      </w:r>
      <w:r w:rsidR="009F7407" w:rsidRPr="00043F87">
        <w:rPr>
          <w:rFonts w:cs="Arial"/>
          <w:bCs/>
          <w:i w:val="0"/>
          <w:iCs/>
        </w:rPr>
        <w:t>€</w:t>
      </w:r>
      <w:r w:rsidRPr="00043F87">
        <w:rPr>
          <w:rStyle w:val="rynqvb"/>
          <w:rFonts w:eastAsiaTheme="minorEastAsia" w:cs="Arial"/>
          <w:i w:val="0"/>
          <w:iCs/>
          <w:szCs w:val="18"/>
        </w:rPr>
        <w:t xml:space="preserve"> 0.02/MJ NG, </w:t>
      </w:r>
      <w:r w:rsidR="009F7407" w:rsidRPr="00043F87">
        <w:rPr>
          <w:rFonts w:cs="Arial"/>
          <w:bCs/>
          <w:i w:val="0"/>
          <w:iCs/>
        </w:rPr>
        <w:t>€</w:t>
      </w:r>
      <w:r w:rsidRPr="00043F87">
        <w:rPr>
          <w:rStyle w:val="rynqvb"/>
          <w:rFonts w:eastAsiaTheme="minorEastAsia" w:cs="Arial"/>
          <w:i w:val="0"/>
          <w:iCs/>
          <w:szCs w:val="18"/>
        </w:rPr>
        <w:t xml:space="preserve"> 25/t biowaste, </w:t>
      </w:r>
      <w:r w:rsidR="009F7407" w:rsidRPr="00043F87">
        <w:rPr>
          <w:rFonts w:cs="Arial"/>
          <w:bCs/>
          <w:i w:val="0"/>
          <w:iCs/>
        </w:rPr>
        <w:t xml:space="preserve">€ </w:t>
      </w:r>
      <w:r w:rsidRPr="00043F87">
        <w:rPr>
          <w:rStyle w:val="rynqvb"/>
          <w:rFonts w:eastAsiaTheme="minorEastAsia" w:cs="Arial"/>
          <w:i w:val="0"/>
          <w:iCs/>
          <w:szCs w:val="18"/>
        </w:rPr>
        <w:t>60/t wet biomass residues), fuel gas (</w:t>
      </w:r>
      <w:r w:rsidR="009F7407" w:rsidRPr="00043F87">
        <w:rPr>
          <w:rFonts w:cs="Arial"/>
          <w:bCs/>
          <w:i w:val="0"/>
          <w:iCs/>
        </w:rPr>
        <w:t>€</w:t>
      </w:r>
      <w:r w:rsidRPr="00043F87">
        <w:rPr>
          <w:rStyle w:val="rynqvb"/>
          <w:rFonts w:eastAsiaTheme="minorEastAsia" w:cs="Arial"/>
          <w:i w:val="0"/>
          <w:iCs/>
          <w:szCs w:val="18"/>
        </w:rPr>
        <w:t xml:space="preserve"> 0.02/MJ NG), electricity (</w:t>
      </w:r>
      <w:r w:rsidR="009F7407" w:rsidRPr="00043F87">
        <w:rPr>
          <w:rFonts w:cs="Arial"/>
          <w:bCs/>
          <w:i w:val="0"/>
          <w:iCs/>
        </w:rPr>
        <w:t>€</w:t>
      </w:r>
      <w:r w:rsidRPr="00043F87">
        <w:rPr>
          <w:rStyle w:val="rynqvb"/>
          <w:rFonts w:eastAsiaTheme="minorEastAsia" w:cs="Arial"/>
          <w:i w:val="0"/>
          <w:iCs/>
          <w:szCs w:val="18"/>
        </w:rPr>
        <w:t xml:space="preserve"> 198/MWh), water (</w:t>
      </w:r>
      <w:r w:rsidR="009F7407" w:rsidRPr="00043F87">
        <w:rPr>
          <w:rFonts w:cs="Arial"/>
          <w:bCs/>
          <w:i w:val="0"/>
          <w:iCs/>
        </w:rPr>
        <w:t>€</w:t>
      </w:r>
      <w:r w:rsidRPr="00043F87">
        <w:rPr>
          <w:rStyle w:val="rynqvb"/>
          <w:rFonts w:eastAsiaTheme="minorEastAsia" w:cs="Arial"/>
          <w:i w:val="0"/>
          <w:iCs/>
          <w:szCs w:val="18"/>
        </w:rPr>
        <w:t xml:space="preserve"> 2.82/t), maintenance (2% of CAPEX), insurance and taxes (2% of CAPEX). </w:t>
      </w:r>
      <w:r w:rsidRPr="00043F87">
        <w:rPr>
          <w:rStyle w:val="rynqvb"/>
          <w:rFonts w:eastAsiaTheme="minorEastAsia" w:cs="Arial"/>
          <w:i w:val="0"/>
          <w:iCs/>
        </w:rPr>
        <w:t xml:space="preserve">While the plant productivity was calculated as the product of production capacity and the plant’s equivalent working hours (8760 h/y). </w:t>
      </w:r>
      <w:r w:rsidRPr="00043F87">
        <w:rPr>
          <w:rStyle w:val="rynqvb"/>
          <w:rFonts w:eastAsiaTheme="minorEastAsia" w:cs="Arial"/>
          <w:i w:val="0"/>
          <w:iCs/>
          <w:szCs w:val="18"/>
        </w:rPr>
        <w:t xml:space="preserve">Figure 2 highlights CAPEX and OPEX per year, while final LCOH results were summarized in Table 4. </w:t>
      </w:r>
      <w:r w:rsidRPr="00043F87">
        <w:rPr>
          <w:rFonts w:eastAsiaTheme="minorEastAsia" w:cs="Arial"/>
          <w:i w:val="0"/>
          <w:iCs/>
          <w:szCs w:val="18"/>
          <w:lang w:val="en"/>
        </w:rPr>
        <w:t xml:space="preserve">CAPEX and raw material costs are the most important factors influencing LCOH in all the systems analyzed, for example, in system 1 the cost of NG accounted for 67% of the total annual costs. Consequently, the LCOH of system 1 is equal to the LCOH of system 3 only when CAPEX was not considered. On the other hand, energy consumption (electricity and fuel gas) has a significant impact on the </w:t>
      </w:r>
      <w:r w:rsidRPr="00043F87">
        <w:rPr>
          <w:rFonts w:eastAsiaTheme="minorEastAsia" w:cs="Arial"/>
          <w:i w:val="0"/>
          <w:iCs/>
          <w:szCs w:val="18"/>
          <w:lang w:val="en"/>
        </w:rPr>
        <w:lastRenderedPageBreak/>
        <w:t>LCOH of system 2, but it is reduced in system 3 and system 4 since secondary products such as char are used to cover part of the energy requirement</w:t>
      </w:r>
      <w:r w:rsidRPr="00043F87">
        <w:rPr>
          <w:rStyle w:val="rynqvb"/>
          <w:rFonts w:eastAsiaTheme="minorEastAsia" w:cs="Arial"/>
          <w:i w:val="0"/>
          <w:iCs/>
          <w:szCs w:val="18"/>
        </w:rPr>
        <w:t>.</w:t>
      </w:r>
    </w:p>
    <w:p w14:paraId="193A4A67" w14:textId="1664F23B" w:rsidR="0079193A" w:rsidRPr="00043F87" w:rsidRDefault="0079193A" w:rsidP="0079193A">
      <w:pPr>
        <w:pStyle w:val="CETTabletitle"/>
      </w:pPr>
      <w:r w:rsidRPr="00043F87">
        <w:t xml:space="preserve">Table 3: </w:t>
      </w:r>
      <w:r w:rsidRPr="00043F87">
        <w:rPr>
          <w:lang w:val="en"/>
        </w:rPr>
        <w:t>CAPEX estimation for the implementation of the systems under analysis (</w:t>
      </w:r>
      <w:r w:rsidR="009F7407" w:rsidRPr="00043F87">
        <w:rPr>
          <w:rFonts w:cs="Arial"/>
          <w:bCs/>
        </w:rPr>
        <w:t xml:space="preserve">€ </w:t>
      </w:r>
      <w:r w:rsidRPr="00043F87">
        <w:rPr>
          <w:lang w:val="en"/>
        </w:rPr>
        <w:t>M)</w:t>
      </w:r>
      <w:r w:rsidRPr="00043F87">
        <w:t>.</w:t>
      </w:r>
    </w:p>
    <w:tbl>
      <w:tblPr>
        <w:tblW w:w="8742"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914"/>
        <w:gridCol w:w="1457"/>
        <w:gridCol w:w="1457"/>
        <w:gridCol w:w="1457"/>
        <w:gridCol w:w="1457"/>
      </w:tblGrid>
      <w:tr w:rsidR="00043F87" w:rsidRPr="00043F87" w14:paraId="05E5CD2B" w14:textId="77777777" w:rsidTr="000A483F">
        <w:trPr>
          <w:trHeight w:val="64"/>
        </w:trPr>
        <w:tc>
          <w:tcPr>
            <w:tcW w:w="2914" w:type="dxa"/>
            <w:tcBorders>
              <w:top w:val="single" w:sz="12" w:space="0" w:color="008000"/>
              <w:bottom w:val="single" w:sz="6" w:space="0" w:color="008000"/>
            </w:tcBorders>
            <w:shd w:val="clear" w:color="auto" w:fill="FFFFFF"/>
          </w:tcPr>
          <w:p w14:paraId="6C45129A" w14:textId="77777777" w:rsidR="0079193A" w:rsidRPr="00043F87" w:rsidRDefault="0079193A" w:rsidP="000A483F">
            <w:pPr>
              <w:pStyle w:val="CETBodytext"/>
              <w:jc w:val="left"/>
              <w:rPr>
                <w:lang w:val="en-GB"/>
              </w:rPr>
            </w:pPr>
            <w:r w:rsidRPr="00043F87">
              <w:rPr>
                <w:lang w:val="en-GB"/>
              </w:rPr>
              <w:t xml:space="preserve">Equipment </w:t>
            </w:r>
          </w:p>
        </w:tc>
        <w:tc>
          <w:tcPr>
            <w:tcW w:w="1457" w:type="dxa"/>
            <w:tcBorders>
              <w:top w:val="single" w:sz="12" w:space="0" w:color="008000"/>
              <w:bottom w:val="single" w:sz="6" w:space="0" w:color="008000"/>
            </w:tcBorders>
            <w:shd w:val="clear" w:color="auto" w:fill="FFFFFF"/>
          </w:tcPr>
          <w:p w14:paraId="30E79F33" w14:textId="77777777" w:rsidR="0079193A" w:rsidRPr="00043F87" w:rsidRDefault="0079193A" w:rsidP="000A483F">
            <w:pPr>
              <w:pStyle w:val="CETBodytext"/>
              <w:jc w:val="left"/>
              <w:rPr>
                <w:lang w:val="en-GB"/>
              </w:rPr>
            </w:pPr>
            <w:r w:rsidRPr="00043F87">
              <w:t xml:space="preserve">System 1 </w:t>
            </w:r>
          </w:p>
        </w:tc>
        <w:tc>
          <w:tcPr>
            <w:tcW w:w="1457" w:type="dxa"/>
            <w:tcBorders>
              <w:top w:val="single" w:sz="12" w:space="0" w:color="008000"/>
              <w:bottom w:val="single" w:sz="6" w:space="0" w:color="008000"/>
            </w:tcBorders>
            <w:shd w:val="clear" w:color="auto" w:fill="FFFFFF"/>
          </w:tcPr>
          <w:p w14:paraId="40D327BE" w14:textId="77777777" w:rsidR="0079193A" w:rsidRPr="00043F87" w:rsidRDefault="0079193A" w:rsidP="000A483F">
            <w:pPr>
              <w:pStyle w:val="CETBodytext"/>
              <w:ind w:right="-1"/>
              <w:jc w:val="left"/>
              <w:rPr>
                <w:rFonts w:cs="Arial"/>
                <w:szCs w:val="18"/>
                <w:lang w:val="en-GB"/>
              </w:rPr>
            </w:pPr>
            <w:r w:rsidRPr="00043F87">
              <w:rPr>
                <w:lang w:val="en-GB"/>
              </w:rPr>
              <w:t>System 2</w:t>
            </w:r>
          </w:p>
        </w:tc>
        <w:tc>
          <w:tcPr>
            <w:tcW w:w="1457" w:type="dxa"/>
            <w:tcBorders>
              <w:top w:val="single" w:sz="12" w:space="0" w:color="008000"/>
              <w:bottom w:val="single" w:sz="6" w:space="0" w:color="008000"/>
            </w:tcBorders>
            <w:shd w:val="clear" w:color="auto" w:fill="FFFFFF"/>
          </w:tcPr>
          <w:p w14:paraId="7FA8710C" w14:textId="77777777" w:rsidR="0079193A" w:rsidRPr="00043F87" w:rsidRDefault="0079193A" w:rsidP="000A483F">
            <w:pPr>
              <w:pStyle w:val="CETBodytext"/>
              <w:ind w:right="-1"/>
              <w:jc w:val="left"/>
              <w:rPr>
                <w:rFonts w:cs="Arial"/>
                <w:szCs w:val="18"/>
                <w:lang w:val="en-GB"/>
              </w:rPr>
            </w:pPr>
            <w:r w:rsidRPr="00043F87">
              <w:t>System 3</w:t>
            </w:r>
          </w:p>
        </w:tc>
        <w:tc>
          <w:tcPr>
            <w:tcW w:w="1457" w:type="dxa"/>
            <w:tcBorders>
              <w:top w:val="single" w:sz="12" w:space="0" w:color="008000"/>
              <w:bottom w:val="single" w:sz="6" w:space="0" w:color="008000"/>
            </w:tcBorders>
            <w:shd w:val="clear" w:color="auto" w:fill="FFFFFF"/>
          </w:tcPr>
          <w:p w14:paraId="7C05CF12" w14:textId="77777777" w:rsidR="0079193A" w:rsidRPr="00043F87" w:rsidRDefault="0079193A" w:rsidP="000A483F">
            <w:pPr>
              <w:pStyle w:val="CETBodytext"/>
              <w:ind w:right="-1"/>
              <w:jc w:val="left"/>
              <w:rPr>
                <w:rFonts w:cs="Arial"/>
                <w:szCs w:val="18"/>
                <w:lang w:val="en-GB"/>
              </w:rPr>
            </w:pPr>
            <w:r w:rsidRPr="00043F87">
              <w:t xml:space="preserve">System 4 </w:t>
            </w:r>
          </w:p>
        </w:tc>
      </w:tr>
      <w:tr w:rsidR="00043F87" w:rsidRPr="00043F87" w14:paraId="6376E80B" w14:textId="77777777" w:rsidTr="000A483F">
        <w:trPr>
          <w:trHeight w:val="182"/>
        </w:trPr>
        <w:tc>
          <w:tcPr>
            <w:tcW w:w="2914" w:type="dxa"/>
            <w:shd w:val="clear" w:color="auto" w:fill="FFFFFF"/>
            <w:vAlign w:val="bottom"/>
          </w:tcPr>
          <w:p w14:paraId="5BFCA630" w14:textId="77777777" w:rsidR="0079193A" w:rsidRPr="00043F87" w:rsidRDefault="0079193A" w:rsidP="000A483F">
            <w:pPr>
              <w:pStyle w:val="CETBodytext"/>
              <w:jc w:val="left"/>
              <w:rPr>
                <w:lang w:val="en-GB"/>
              </w:rPr>
            </w:pPr>
            <w:r w:rsidRPr="00043F87">
              <w:rPr>
                <w:lang w:val="en-GB"/>
              </w:rPr>
              <w:t>Total direct plant cost (TDPC)</w:t>
            </w:r>
          </w:p>
        </w:tc>
        <w:tc>
          <w:tcPr>
            <w:tcW w:w="1457" w:type="dxa"/>
            <w:shd w:val="clear" w:color="auto" w:fill="FFFFFF"/>
            <w:vAlign w:val="bottom"/>
          </w:tcPr>
          <w:p w14:paraId="068068CA" w14:textId="77777777" w:rsidR="0079193A" w:rsidRPr="00043F87" w:rsidRDefault="0079193A" w:rsidP="000A483F">
            <w:pPr>
              <w:pStyle w:val="CETBodytext"/>
              <w:jc w:val="left"/>
              <w:rPr>
                <w:lang w:val="en-GB"/>
              </w:rPr>
            </w:pPr>
            <w:r w:rsidRPr="00043F87">
              <w:rPr>
                <w:lang w:val="en-GB"/>
              </w:rPr>
              <w:t>118</w:t>
            </w:r>
          </w:p>
        </w:tc>
        <w:tc>
          <w:tcPr>
            <w:tcW w:w="1457" w:type="dxa"/>
            <w:shd w:val="clear" w:color="auto" w:fill="FFFFFF"/>
            <w:vAlign w:val="bottom"/>
          </w:tcPr>
          <w:p w14:paraId="0740CFB3" w14:textId="27F556F0" w:rsidR="0079193A" w:rsidRPr="006E1064" w:rsidRDefault="0079193A" w:rsidP="000A483F">
            <w:pPr>
              <w:pStyle w:val="CETBodytext"/>
              <w:ind w:right="-1"/>
              <w:jc w:val="left"/>
              <w:rPr>
                <w:rFonts w:cs="Arial"/>
                <w:szCs w:val="18"/>
                <w:lang w:val="en-GB"/>
              </w:rPr>
            </w:pPr>
            <w:r w:rsidRPr="006E1064">
              <w:rPr>
                <w:rFonts w:cs="Arial"/>
                <w:szCs w:val="18"/>
                <w:lang w:val="en-GB"/>
              </w:rPr>
              <w:t>2</w:t>
            </w:r>
            <w:r w:rsidR="00C3129F" w:rsidRPr="006E1064">
              <w:rPr>
                <w:rFonts w:cs="Arial"/>
                <w:szCs w:val="18"/>
                <w:lang w:val="en-GB"/>
              </w:rPr>
              <w:t>0</w:t>
            </w:r>
            <w:r w:rsidRPr="006E1064">
              <w:rPr>
                <w:rFonts w:cs="Arial"/>
                <w:szCs w:val="18"/>
                <w:lang w:val="en-GB"/>
              </w:rPr>
              <w:t>6</w:t>
            </w:r>
          </w:p>
        </w:tc>
        <w:tc>
          <w:tcPr>
            <w:tcW w:w="1457" w:type="dxa"/>
            <w:shd w:val="clear" w:color="auto" w:fill="FFFFFF"/>
            <w:vAlign w:val="bottom"/>
          </w:tcPr>
          <w:p w14:paraId="5C6CAFFC" w14:textId="77777777" w:rsidR="0079193A" w:rsidRPr="006E1064" w:rsidRDefault="0079193A" w:rsidP="000A483F">
            <w:pPr>
              <w:pStyle w:val="CETBodytext"/>
              <w:ind w:right="-1"/>
              <w:jc w:val="left"/>
              <w:rPr>
                <w:rFonts w:cs="Arial"/>
                <w:szCs w:val="18"/>
                <w:lang w:val="en-GB"/>
              </w:rPr>
            </w:pPr>
            <w:r w:rsidRPr="006E1064">
              <w:rPr>
                <w:rFonts w:cs="Arial"/>
                <w:szCs w:val="18"/>
                <w:lang w:val="en-GB"/>
              </w:rPr>
              <w:t>287</w:t>
            </w:r>
          </w:p>
        </w:tc>
        <w:tc>
          <w:tcPr>
            <w:tcW w:w="1457" w:type="dxa"/>
            <w:shd w:val="clear" w:color="auto" w:fill="FFFFFF"/>
            <w:vAlign w:val="bottom"/>
          </w:tcPr>
          <w:p w14:paraId="50A84BF5" w14:textId="77777777" w:rsidR="0079193A" w:rsidRPr="00043F87" w:rsidRDefault="0079193A" w:rsidP="000A483F">
            <w:pPr>
              <w:pStyle w:val="CETBodytext"/>
              <w:ind w:right="-1"/>
              <w:jc w:val="left"/>
              <w:rPr>
                <w:rFonts w:cs="Arial"/>
                <w:szCs w:val="18"/>
                <w:lang w:val="en-GB"/>
              </w:rPr>
            </w:pPr>
            <w:r w:rsidRPr="00043F87">
              <w:rPr>
                <w:rFonts w:cs="Arial"/>
                <w:szCs w:val="18"/>
                <w:lang w:val="en-GB"/>
              </w:rPr>
              <w:t>235</w:t>
            </w:r>
          </w:p>
        </w:tc>
      </w:tr>
      <w:tr w:rsidR="00043F87" w:rsidRPr="00043F87" w14:paraId="51B3463A" w14:textId="77777777" w:rsidTr="000A483F">
        <w:trPr>
          <w:trHeight w:val="100"/>
        </w:trPr>
        <w:tc>
          <w:tcPr>
            <w:tcW w:w="2914" w:type="dxa"/>
            <w:shd w:val="clear" w:color="auto" w:fill="FFFFFF"/>
            <w:vAlign w:val="bottom"/>
          </w:tcPr>
          <w:p w14:paraId="63B0D95E" w14:textId="77777777" w:rsidR="0079193A" w:rsidRPr="00043F87" w:rsidRDefault="0079193A" w:rsidP="000A483F">
            <w:pPr>
              <w:pStyle w:val="CETBodytext"/>
              <w:jc w:val="left"/>
              <w:rPr>
                <w:lang w:val="en-GB"/>
              </w:rPr>
            </w:pPr>
            <w:r w:rsidRPr="00043F87">
              <w:rPr>
                <w:lang w:val="en-GB"/>
              </w:rPr>
              <w:t>Indirect Cost (IC) (14 % of TDPC)</w:t>
            </w:r>
          </w:p>
        </w:tc>
        <w:tc>
          <w:tcPr>
            <w:tcW w:w="1457" w:type="dxa"/>
            <w:shd w:val="clear" w:color="auto" w:fill="FFFFFF"/>
            <w:vAlign w:val="bottom"/>
          </w:tcPr>
          <w:p w14:paraId="128FD028" w14:textId="77777777" w:rsidR="0079193A" w:rsidRPr="00043F87" w:rsidRDefault="0079193A" w:rsidP="000A483F">
            <w:pPr>
              <w:pStyle w:val="CETBodytext"/>
              <w:jc w:val="left"/>
              <w:rPr>
                <w:lang w:val="en-GB"/>
              </w:rPr>
            </w:pPr>
            <w:r w:rsidRPr="00043F87">
              <w:rPr>
                <w:lang w:val="en-GB"/>
              </w:rPr>
              <w:t>17</w:t>
            </w:r>
          </w:p>
        </w:tc>
        <w:tc>
          <w:tcPr>
            <w:tcW w:w="1457" w:type="dxa"/>
            <w:shd w:val="clear" w:color="auto" w:fill="FFFFFF"/>
            <w:vAlign w:val="bottom"/>
          </w:tcPr>
          <w:p w14:paraId="32313C50" w14:textId="605B6316" w:rsidR="0079193A" w:rsidRPr="006E1064" w:rsidRDefault="00C3129F" w:rsidP="000A483F">
            <w:pPr>
              <w:pStyle w:val="CETBodytext"/>
              <w:ind w:right="-1"/>
              <w:jc w:val="left"/>
              <w:rPr>
                <w:rFonts w:cs="Arial"/>
                <w:szCs w:val="18"/>
                <w:lang w:val="en-GB"/>
              </w:rPr>
            </w:pPr>
            <w:r w:rsidRPr="006E1064">
              <w:rPr>
                <w:rFonts w:cs="Arial"/>
                <w:szCs w:val="18"/>
                <w:lang w:val="en-GB"/>
              </w:rPr>
              <w:t>29</w:t>
            </w:r>
          </w:p>
        </w:tc>
        <w:tc>
          <w:tcPr>
            <w:tcW w:w="1457" w:type="dxa"/>
            <w:shd w:val="clear" w:color="auto" w:fill="FFFFFF"/>
            <w:vAlign w:val="bottom"/>
          </w:tcPr>
          <w:p w14:paraId="25E3A23B" w14:textId="77777777" w:rsidR="0079193A" w:rsidRPr="006E1064" w:rsidRDefault="0079193A" w:rsidP="000A483F">
            <w:pPr>
              <w:pStyle w:val="CETBodytext"/>
              <w:ind w:right="-1"/>
              <w:jc w:val="left"/>
              <w:rPr>
                <w:rFonts w:cs="Arial"/>
                <w:szCs w:val="18"/>
                <w:lang w:val="en-GB"/>
              </w:rPr>
            </w:pPr>
            <w:r w:rsidRPr="006E1064">
              <w:rPr>
                <w:rFonts w:cs="Arial"/>
                <w:szCs w:val="18"/>
                <w:lang w:val="en-GB"/>
              </w:rPr>
              <w:t>40</w:t>
            </w:r>
          </w:p>
        </w:tc>
        <w:tc>
          <w:tcPr>
            <w:tcW w:w="1457" w:type="dxa"/>
            <w:shd w:val="clear" w:color="auto" w:fill="FFFFFF"/>
            <w:vAlign w:val="bottom"/>
          </w:tcPr>
          <w:p w14:paraId="28D36AC1" w14:textId="77777777" w:rsidR="0079193A" w:rsidRPr="00043F87" w:rsidRDefault="0079193A" w:rsidP="000A483F">
            <w:pPr>
              <w:pStyle w:val="CETBodytext"/>
              <w:ind w:right="-1"/>
              <w:jc w:val="left"/>
              <w:rPr>
                <w:rFonts w:cs="Arial"/>
                <w:szCs w:val="18"/>
                <w:lang w:val="en-GB"/>
              </w:rPr>
            </w:pPr>
            <w:r w:rsidRPr="00043F87">
              <w:rPr>
                <w:rFonts w:cs="Arial"/>
                <w:szCs w:val="18"/>
                <w:lang w:val="en-GB"/>
              </w:rPr>
              <w:t>33</w:t>
            </w:r>
          </w:p>
        </w:tc>
      </w:tr>
      <w:tr w:rsidR="00043F87" w:rsidRPr="00043F87" w14:paraId="13B20B86" w14:textId="77777777" w:rsidTr="000A483F">
        <w:trPr>
          <w:trHeight w:val="342"/>
        </w:trPr>
        <w:tc>
          <w:tcPr>
            <w:tcW w:w="2914" w:type="dxa"/>
            <w:shd w:val="clear" w:color="auto" w:fill="FFFFFF"/>
            <w:vAlign w:val="bottom"/>
          </w:tcPr>
          <w:p w14:paraId="659A1049" w14:textId="77777777" w:rsidR="0079193A" w:rsidRPr="00043F87" w:rsidRDefault="0079193A" w:rsidP="000A483F">
            <w:pPr>
              <w:pStyle w:val="CETBodytext"/>
              <w:jc w:val="left"/>
              <w:rPr>
                <w:lang w:val="en-GB"/>
              </w:rPr>
            </w:pPr>
            <w:r w:rsidRPr="00043F87">
              <w:rPr>
                <w:lang w:val="en-GB"/>
              </w:rPr>
              <w:t>Engineering procurement and construction (EPC) (TDPC + IC)</w:t>
            </w:r>
          </w:p>
        </w:tc>
        <w:tc>
          <w:tcPr>
            <w:tcW w:w="1457" w:type="dxa"/>
            <w:shd w:val="clear" w:color="auto" w:fill="FFFFFF"/>
            <w:vAlign w:val="bottom"/>
          </w:tcPr>
          <w:p w14:paraId="626FABF7" w14:textId="77777777" w:rsidR="0079193A" w:rsidRPr="00043F87" w:rsidRDefault="0079193A" w:rsidP="000A483F">
            <w:pPr>
              <w:pStyle w:val="CETBodytext"/>
              <w:jc w:val="left"/>
              <w:rPr>
                <w:lang w:val="en-GB"/>
              </w:rPr>
            </w:pPr>
            <w:r w:rsidRPr="00043F87">
              <w:rPr>
                <w:lang w:val="en-GB"/>
              </w:rPr>
              <w:t>135</w:t>
            </w:r>
          </w:p>
        </w:tc>
        <w:tc>
          <w:tcPr>
            <w:tcW w:w="1457" w:type="dxa"/>
            <w:shd w:val="clear" w:color="auto" w:fill="FFFFFF"/>
            <w:vAlign w:val="bottom"/>
          </w:tcPr>
          <w:p w14:paraId="71250EB3" w14:textId="482040BD" w:rsidR="0079193A" w:rsidRPr="006E1064" w:rsidRDefault="00C3129F" w:rsidP="000A483F">
            <w:pPr>
              <w:pStyle w:val="CETBodytext"/>
              <w:ind w:right="-1"/>
              <w:jc w:val="left"/>
              <w:rPr>
                <w:rFonts w:cs="Arial"/>
                <w:szCs w:val="18"/>
                <w:lang w:val="en-GB"/>
              </w:rPr>
            </w:pPr>
            <w:r w:rsidRPr="006E1064">
              <w:rPr>
                <w:rFonts w:cs="Arial"/>
                <w:szCs w:val="18"/>
                <w:lang w:val="en-GB"/>
              </w:rPr>
              <w:t>235</w:t>
            </w:r>
          </w:p>
        </w:tc>
        <w:tc>
          <w:tcPr>
            <w:tcW w:w="1457" w:type="dxa"/>
            <w:shd w:val="clear" w:color="auto" w:fill="FFFFFF"/>
            <w:vAlign w:val="bottom"/>
          </w:tcPr>
          <w:p w14:paraId="35B1DF6A" w14:textId="77777777" w:rsidR="0079193A" w:rsidRPr="006E1064" w:rsidRDefault="0079193A" w:rsidP="000A483F">
            <w:pPr>
              <w:pStyle w:val="CETBodytext"/>
              <w:ind w:right="-1"/>
              <w:jc w:val="left"/>
              <w:rPr>
                <w:rFonts w:cs="Arial"/>
                <w:szCs w:val="18"/>
                <w:lang w:val="en-GB"/>
              </w:rPr>
            </w:pPr>
            <w:r w:rsidRPr="006E1064">
              <w:rPr>
                <w:rFonts w:cs="Arial"/>
                <w:szCs w:val="18"/>
                <w:lang w:val="en-GB"/>
              </w:rPr>
              <w:t>327</w:t>
            </w:r>
          </w:p>
        </w:tc>
        <w:tc>
          <w:tcPr>
            <w:tcW w:w="1457" w:type="dxa"/>
            <w:shd w:val="clear" w:color="auto" w:fill="FFFFFF"/>
            <w:vAlign w:val="bottom"/>
          </w:tcPr>
          <w:p w14:paraId="03D4BF0D" w14:textId="77777777" w:rsidR="0079193A" w:rsidRPr="00043F87" w:rsidRDefault="0079193A" w:rsidP="000A483F">
            <w:pPr>
              <w:pStyle w:val="CETBodytext"/>
              <w:ind w:right="-1"/>
              <w:jc w:val="left"/>
              <w:rPr>
                <w:rFonts w:cs="Arial"/>
                <w:szCs w:val="18"/>
                <w:lang w:val="en-GB"/>
              </w:rPr>
            </w:pPr>
            <w:r w:rsidRPr="00043F87">
              <w:rPr>
                <w:rFonts w:cs="Arial"/>
                <w:szCs w:val="18"/>
                <w:lang w:val="en-GB"/>
              </w:rPr>
              <w:t>268</w:t>
            </w:r>
          </w:p>
        </w:tc>
      </w:tr>
      <w:tr w:rsidR="00043F87" w:rsidRPr="00043F87" w14:paraId="00F80CE9" w14:textId="77777777" w:rsidTr="000A483F">
        <w:trPr>
          <w:trHeight w:val="266"/>
        </w:trPr>
        <w:tc>
          <w:tcPr>
            <w:tcW w:w="2914" w:type="dxa"/>
            <w:shd w:val="clear" w:color="auto" w:fill="FFFFFF"/>
            <w:vAlign w:val="bottom"/>
          </w:tcPr>
          <w:p w14:paraId="3070D731" w14:textId="77777777" w:rsidR="0079193A" w:rsidRPr="00043F87" w:rsidRDefault="0079193A" w:rsidP="000A483F">
            <w:pPr>
              <w:pStyle w:val="CETBodytext"/>
              <w:ind w:right="-1"/>
              <w:jc w:val="left"/>
              <w:rPr>
                <w:rFonts w:cs="Arial"/>
                <w:szCs w:val="18"/>
                <w:lang w:val="en-GB"/>
              </w:rPr>
            </w:pPr>
            <w:r w:rsidRPr="00043F87">
              <w:rPr>
                <w:rFonts w:cs="Arial"/>
                <w:szCs w:val="18"/>
                <w:lang w:val="en-GB"/>
              </w:rPr>
              <w:t>Total contingencies and owner's costs (C&amp;OC) (15 % of EPC)</w:t>
            </w:r>
          </w:p>
        </w:tc>
        <w:tc>
          <w:tcPr>
            <w:tcW w:w="1457" w:type="dxa"/>
            <w:shd w:val="clear" w:color="auto" w:fill="FFFFFF"/>
            <w:vAlign w:val="bottom"/>
          </w:tcPr>
          <w:p w14:paraId="73FC3F86" w14:textId="77777777" w:rsidR="0079193A" w:rsidRPr="00043F87" w:rsidRDefault="0079193A" w:rsidP="000A483F">
            <w:pPr>
              <w:pStyle w:val="CETBodytext"/>
              <w:ind w:right="-1"/>
              <w:jc w:val="left"/>
              <w:rPr>
                <w:rFonts w:cs="Arial"/>
                <w:szCs w:val="18"/>
                <w:lang w:val="en-GB"/>
              </w:rPr>
            </w:pPr>
            <w:r w:rsidRPr="00043F87">
              <w:rPr>
                <w:rFonts w:cs="Arial"/>
                <w:szCs w:val="18"/>
                <w:lang w:val="en-GB"/>
              </w:rPr>
              <w:t>20</w:t>
            </w:r>
          </w:p>
        </w:tc>
        <w:tc>
          <w:tcPr>
            <w:tcW w:w="1457" w:type="dxa"/>
            <w:shd w:val="clear" w:color="auto" w:fill="FFFFFF"/>
            <w:vAlign w:val="bottom"/>
          </w:tcPr>
          <w:p w14:paraId="2F1DF7E2" w14:textId="3308F2EF" w:rsidR="0079193A" w:rsidRPr="006E1064" w:rsidRDefault="00C3129F" w:rsidP="000A483F">
            <w:pPr>
              <w:pStyle w:val="CETBodytext"/>
              <w:ind w:right="-1"/>
              <w:jc w:val="left"/>
              <w:rPr>
                <w:rFonts w:cs="Arial"/>
                <w:szCs w:val="18"/>
                <w:lang w:val="en-GB"/>
              </w:rPr>
            </w:pPr>
            <w:r w:rsidRPr="006E1064">
              <w:rPr>
                <w:rFonts w:cs="Arial"/>
                <w:szCs w:val="18"/>
                <w:lang w:val="en-GB"/>
              </w:rPr>
              <w:t>35</w:t>
            </w:r>
          </w:p>
        </w:tc>
        <w:tc>
          <w:tcPr>
            <w:tcW w:w="1457" w:type="dxa"/>
            <w:shd w:val="clear" w:color="auto" w:fill="FFFFFF"/>
            <w:vAlign w:val="bottom"/>
          </w:tcPr>
          <w:p w14:paraId="2BBB6ADA" w14:textId="77777777" w:rsidR="0079193A" w:rsidRPr="006E1064" w:rsidRDefault="0079193A" w:rsidP="000A483F">
            <w:pPr>
              <w:pStyle w:val="CETBodytext"/>
              <w:ind w:right="-1"/>
              <w:jc w:val="left"/>
              <w:rPr>
                <w:rFonts w:cs="Arial"/>
                <w:szCs w:val="18"/>
                <w:lang w:val="en-GB"/>
              </w:rPr>
            </w:pPr>
            <w:r w:rsidRPr="006E1064">
              <w:rPr>
                <w:rFonts w:cs="Arial"/>
                <w:szCs w:val="18"/>
                <w:lang w:val="en-GB"/>
              </w:rPr>
              <w:t>49</w:t>
            </w:r>
          </w:p>
        </w:tc>
        <w:tc>
          <w:tcPr>
            <w:tcW w:w="1457" w:type="dxa"/>
            <w:shd w:val="clear" w:color="auto" w:fill="FFFFFF"/>
            <w:vAlign w:val="bottom"/>
          </w:tcPr>
          <w:p w14:paraId="4FFEE730" w14:textId="77777777" w:rsidR="0079193A" w:rsidRPr="00043F87" w:rsidRDefault="0079193A" w:rsidP="000A483F">
            <w:pPr>
              <w:pStyle w:val="CETBodytext"/>
              <w:ind w:right="-1"/>
              <w:jc w:val="left"/>
              <w:rPr>
                <w:rFonts w:cs="Arial"/>
                <w:szCs w:val="18"/>
                <w:lang w:val="en-GB"/>
              </w:rPr>
            </w:pPr>
            <w:r w:rsidRPr="00043F87">
              <w:rPr>
                <w:rFonts w:cs="Arial"/>
                <w:szCs w:val="18"/>
                <w:lang w:val="en-GB"/>
              </w:rPr>
              <w:t>40</w:t>
            </w:r>
          </w:p>
        </w:tc>
      </w:tr>
      <w:tr w:rsidR="00043F87" w:rsidRPr="00043F87" w14:paraId="6E1D62D9" w14:textId="77777777" w:rsidTr="000A483F">
        <w:trPr>
          <w:trHeight w:val="88"/>
        </w:trPr>
        <w:tc>
          <w:tcPr>
            <w:tcW w:w="2914" w:type="dxa"/>
            <w:shd w:val="clear" w:color="auto" w:fill="FFFFFF"/>
            <w:vAlign w:val="bottom"/>
          </w:tcPr>
          <w:p w14:paraId="4713EC69" w14:textId="77777777" w:rsidR="0079193A" w:rsidRPr="00043F87" w:rsidRDefault="0079193A" w:rsidP="000A483F">
            <w:pPr>
              <w:pStyle w:val="CETBodytext"/>
              <w:ind w:right="-1"/>
              <w:jc w:val="left"/>
              <w:rPr>
                <w:rFonts w:cs="Arial"/>
                <w:szCs w:val="18"/>
                <w:lang w:val="en-GB"/>
              </w:rPr>
            </w:pPr>
            <w:r w:rsidRPr="00043F87">
              <w:rPr>
                <w:rFonts w:cs="Arial"/>
                <w:szCs w:val="18"/>
                <w:lang w:val="en-GB"/>
              </w:rPr>
              <w:t>CAPEX (EPC + C&amp;OC)</w:t>
            </w:r>
          </w:p>
        </w:tc>
        <w:tc>
          <w:tcPr>
            <w:tcW w:w="1457" w:type="dxa"/>
            <w:shd w:val="clear" w:color="auto" w:fill="FFFFFF"/>
            <w:vAlign w:val="bottom"/>
          </w:tcPr>
          <w:p w14:paraId="62614099" w14:textId="77777777" w:rsidR="0079193A" w:rsidRPr="00043F87" w:rsidRDefault="0079193A" w:rsidP="000A483F">
            <w:pPr>
              <w:pStyle w:val="CETBodytext"/>
              <w:ind w:right="-1"/>
              <w:jc w:val="left"/>
              <w:rPr>
                <w:rFonts w:cs="Arial"/>
                <w:szCs w:val="18"/>
                <w:lang w:val="en-GB"/>
              </w:rPr>
            </w:pPr>
            <w:r w:rsidRPr="00043F87">
              <w:rPr>
                <w:rFonts w:cs="Arial"/>
                <w:szCs w:val="18"/>
                <w:lang w:val="en-GB"/>
              </w:rPr>
              <w:t>155</w:t>
            </w:r>
          </w:p>
        </w:tc>
        <w:tc>
          <w:tcPr>
            <w:tcW w:w="1457" w:type="dxa"/>
            <w:shd w:val="clear" w:color="auto" w:fill="FFFFFF"/>
            <w:vAlign w:val="bottom"/>
          </w:tcPr>
          <w:p w14:paraId="47F82BB0" w14:textId="7B514BF4" w:rsidR="0079193A" w:rsidRPr="006E1064" w:rsidRDefault="00C3129F" w:rsidP="000A483F">
            <w:pPr>
              <w:pStyle w:val="CETBodytext"/>
              <w:ind w:right="-1"/>
              <w:jc w:val="left"/>
              <w:rPr>
                <w:rFonts w:cs="Arial"/>
                <w:szCs w:val="18"/>
                <w:lang w:val="en-GB"/>
              </w:rPr>
            </w:pPr>
            <w:r w:rsidRPr="006E1064">
              <w:rPr>
                <w:rFonts w:cs="Arial"/>
                <w:szCs w:val="18"/>
                <w:lang w:val="en-GB"/>
              </w:rPr>
              <w:t>270</w:t>
            </w:r>
          </w:p>
        </w:tc>
        <w:tc>
          <w:tcPr>
            <w:tcW w:w="1457" w:type="dxa"/>
            <w:shd w:val="clear" w:color="auto" w:fill="FFFFFF"/>
            <w:vAlign w:val="bottom"/>
          </w:tcPr>
          <w:p w14:paraId="16B0CD51" w14:textId="77777777" w:rsidR="0079193A" w:rsidRPr="006E1064" w:rsidRDefault="0079193A" w:rsidP="000A483F">
            <w:pPr>
              <w:pStyle w:val="CETBodytext"/>
              <w:ind w:right="-1"/>
              <w:jc w:val="left"/>
              <w:rPr>
                <w:rFonts w:cs="Arial"/>
                <w:szCs w:val="18"/>
                <w:lang w:val="en-GB"/>
              </w:rPr>
            </w:pPr>
            <w:r w:rsidRPr="006E1064">
              <w:rPr>
                <w:rFonts w:cs="Arial"/>
                <w:szCs w:val="18"/>
                <w:lang w:val="en-GB"/>
              </w:rPr>
              <w:t>376</w:t>
            </w:r>
          </w:p>
        </w:tc>
        <w:tc>
          <w:tcPr>
            <w:tcW w:w="1457" w:type="dxa"/>
            <w:shd w:val="clear" w:color="auto" w:fill="FFFFFF"/>
            <w:vAlign w:val="bottom"/>
          </w:tcPr>
          <w:p w14:paraId="17C14FC1" w14:textId="77777777" w:rsidR="0079193A" w:rsidRPr="00043F87" w:rsidRDefault="0079193A" w:rsidP="000A483F">
            <w:pPr>
              <w:pStyle w:val="CETBodytext"/>
              <w:ind w:right="-1"/>
              <w:jc w:val="left"/>
              <w:rPr>
                <w:rFonts w:cs="Arial"/>
                <w:szCs w:val="18"/>
                <w:lang w:val="en-GB"/>
              </w:rPr>
            </w:pPr>
            <w:r w:rsidRPr="00043F87">
              <w:rPr>
                <w:rFonts w:cs="Arial"/>
                <w:szCs w:val="18"/>
                <w:lang w:val="en-GB"/>
              </w:rPr>
              <w:t>308</w:t>
            </w:r>
          </w:p>
        </w:tc>
      </w:tr>
    </w:tbl>
    <w:p w14:paraId="65E73FAD" w14:textId="2CEBB81B" w:rsidR="00600535" w:rsidRPr="00043F87" w:rsidRDefault="00C3129F" w:rsidP="00BD077D">
      <w:pPr>
        <w:pStyle w:val="CETCaption"/>
      </w:pPr>
      <w:r>
        <w:rPr>
          <w:rStyle w:val="CETCaptionCarattere"/>
          <w:i/>
          <w:noProof/>
        </w:rPr>
        <w:drawing>
          <wp:inline distT="0" distB="0" distL="0" distR="0" wp14:anchorId="7751FD03" wp14:editId="73277FCB">
            <wp:extent cx="5553710" cy="1913476"/>
            <wp:effectExtent l="0" t="0" r="0" b="0"/>
            <wp:docPr id="82944572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2826"/>
                    <a:stretch/>
                  </pic:blipFill>
                  <pic:spPr bwMode="auto">
                    <a:xfrm>
                      <a:off x="0" y="0"/>
                      <a:ext cx="5553710" cy="1913476"/>
                    </a:xfrm>
                    <a:prstGeom prst="rect">
                      <a:avLst/>
                    </a:prstGeom>
                    <a:noFill/>
                    <a:ln>
                      <a:noFill/>
                    </a:ln>
                    <a:extLst>
                      <a:ext uri="{53640926-AAD7-44D8-BBD7-CCE9431645EC}">
                        <a14:shadowObscured xmlns:a14="http://schemas.microsoft.com/office/drawing/2010/main"/>
                      </a:ext>
                    </a:extLst>
                  </pic:spPr>
                </pic:pic>
              </a:graphicData>
            </a:graphic>
          </wp:inline>
        </w:drawing>
      </w:r>
      <w:r w:rsidR="00600535" w:rsidRPr="00043F87">
        <w:rPr>
          <w:rStyle w:val="CETCaptionCarattere"/>
          <w:i/>
        </w:rPr>
        <w:t xml:space="preserve">Figure </w:t>
      </w:r>
      <w:r w:rsidR="0079193A" w:rsidRPr="00043F87">
        <w:rPr>
          <w:rStyle w:val="CETCaptionCarattere"/>
          <w:i/>
        </w:rPr>
        <w:t>2</w:t>
      </w:r>
      <w:r w:rsidR="00600535" w:rsidRPr="00043F87">
        <w:rPr>
          <w:rStyle w:val="CETCaptionCarattere"/>
          <w:i/>
        </w:rPr>
        <w:t xml:space="preserve">: </w:t>
      </w:r>
      <w:r w:rsidR="0079193A" w:rsidRPr="00043F87">
        <w:rPr>
          <w:rStyle w:val="CETCaptionCarattere"/>
          <w:i/>
        </w:rPr>
        <w:t>Estimate of the annualized CAPEX and OPEX of the systems under analysis</w:t>
      </w:r>
      <w:r w:rsidR="00F7534E" w:rsidRPr="00043F87">
        <w:t xml:space="preserve"> </w:t>
      </w:r>
    </w:p>
    <w:p w14:paraId="1A95EDB8" w14:textId="77777777" w:rsidR="0079193A" w:rsidRPr="00043F87" w:rsidRDefault="0079193A" w:rsidP="0079193A">
      <w:pPr>
        <w:pStyle w:val="CETTabletitle"/>
      </w:pPr>
      <w:r w:rsidRPr="00043F87">
        <w:t xml:space="preserve">Table 4: </w:t>
      </w:r>
      <w:r w:rsidRPr="00043F87">
        <w:rPr>
          <w:lang w:val="en"/>
        </w:rPr>
        <w:t>LCOH results obtained for the systems under analysis</w:t>
      </w:r>
      <w:r w:rsidRPr="00043F87">
        <w:t>.</w:t>
      </w:r>
    </w:p>
    <w:tbl>
      <w:tblPr>
        <w:tblW w:w="880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51"/>
        <w:gridCol w:w="1353"/>
        <w:gridCol w:w="1500"/>
        <w:gridCol w:w="1500"/>
        <w:gridCol w:w="1500"/>
        <w:gridCol w:w="1500"/>
      </w:tblGrid>
      <w:tr w:rsidR="00043F87" w:rsidRPr="00043F87" w14:paraId="28EDBCF8" w14:textId="77777777" w:rsidTr="000A483F">
        <w:trPr>
          <w:trHeight w:val="71"/>
        </w:trPr>
        <w:tc>
          <w:tcPr>
            <w:tcW w:w="1451" w:type="dxa"/>
            <w:tcBorders>
              <w:top w:val="single" w:sz="12" w:space="0" w:color="008000"/>
              <w:bottom w:val="single" w:sz="6" w:space="0" w:color="008000"/>
            </w:tcBorders>
            <w:shd w:val="clear" w:color="auto" w:fill="FFFFFF"/>
          </w:tcPr>
          <w:p w14:paraId="04CD6219" w14:textId="77777777" w:rsidR="0079193A" w:rsidRPr="00043F87" w:rsidRDefault="0079193A" w:rsidP="000A483F">
            <w:pPr>
              <w:pStyle w:val="CETBodytext"/>
              <w:jc w:val="left"/>
              <w:rPr>
                <w:lang w:val="en-GB"/>
              </w:rPr>
            </w:pPr>
            <w:r w:rsidRPr="00043F87">
              <w:rPr>
                <w:lang w:val="en-GB"/>
              </w:rPr>
              <w:t xml:space="preserve">Description </w:t>
            </w:r>
          </w:p>
        </w:tc>
        <w:tc>
          <w:tcPr>
            <w:tcW w:w="1353" w:type="dxa"/>
            <w:tcBorders>
              <w:top w:val="single" w:sz="12" w:space="0" w:color="008000"/>
              <w:bottom w:val="single" w:sz="6" w:space="0" w:color="008000"/>
            </w:tcBorders>
            <w:shd w:val="clear" w:color="auto" w:fill="FFFFFF"/>
          </w:tcPr>
          <w:p w14:paraId="5638F9AD" w14:textId="77777777" w:rsidR="0079193A" w:rsidRPr="00043F87" w:rsidRDefault="0079193A" w:rsidP="000A483F">
            <w:pPr>
              <w:pStyle w:val="CETBodytext"/>
              <w:jc w:val="left"/>
            </w:pPr>
            <w:r w:rsidRPr="00043F87">
              <w:t>System 1 (without CAPEX)</w:t>
            </w:r>
          </w:p>
        </w:tc>
        <w:tc>
          <w:tcPr>
            <w:tcW w:w="1500" w:type="dxa"/>
            <w:tcBorders>
              <w:top w:val="single" w:sz="12" w:space="0" w:color="008000"/>
              <w:bottom w:val="single" w:sz="6" w:space="0" w:color="008000"/>
            </w:tcBorders>
            <w:shd w:val="clear" w:color="auto" w:fill="FFFFFF"/>
          </w:tcPr>
          <w:p w14:paraId="62CF3C36" w14:textId="77777777" w:rsidR="0079193A" w:rsidRPr="00043F87" w:rsidRDefault="0079193A" w:rsidP="000A483F">
            <w:pPr>
              <w:pStyle w:val="CETBodytext"/>
              <w:jc w:val="left"/>
              <w:rPr>
                <w:lang w:val="en-GB"/>
              </w:rPr>
            </w:pPr>
            <w:r w:rsidRPr="00043F87">
              <w:t xml:space="preserve">System 1 </w:t>
            </w:r>
          </w:p>
        </w:tc>
        <w:tc>
          <w:tcPr>
            <w:tcW w:w="1500" w:type="dxa"/>
            <w:tcBorders>
              <w:top w:val="single" w:sz="12" w:space="0" w:color="008000"/>
              <w:bottom w:val="single" w:sz="6" w:space="0" w:color="008000"/>
            </w:tcBorders>
            <w:shd w:val="clear" w:color="auto" w:fill="FFFFFF"/>
          </w:tcPr>
          <w:p w14:paraId="4345BFB4" w14:textId="77777777" w:rsidR="0079193A" w:rsidRPr="00043F87" w:rsidRDefault="0079193A" w:rsidP="000A483F">
            <w:pPr>
              <w:pStyle w:val="CETBodytext"/>
              <w:ind w:right="-1"/>
              <w:jc w:val="left"/>
              <w:rPr>
                <w:rFonts w:cs="Arial"/>
                <w:szCs w:val="18"/>
                <w:lang w:val="en-GB"/>
              </w:rPr>
            </w:pPr>
            <w:r w:rsidRPr="00043F87">
              <w:rPr>
                <w:lang w:val="en-GB"/>
              </w:rPr>
              <w:t>System 2</w:t>
            </w:r>
          </w:p>
        </w:tc>
        <w:tc>
          <w:tcPr>
            <w:tcW w:w="1500" w:type="dxa"/>
            <w:tcBorders>
              <w:top w:val="single" w:sz="12" w:space="0" w:color="008000"/>
              <w:bottom w:val="single" w:sz="6" w:space="0" w:color="008000"/>
            </w:tcBorders>
            <w:shd w:val="clear" w:color="auto" w:fill="FFFFFF"/>
          </w:tcPr>
          <w:p w14:paraId="65D83F4B" w14:textId="77777777" w:rsidR="0079193A" w:rsidRPr="00043F87" w:rsidRDefault="0079193A" w:rsidP="000A483F">
            <w:pPr>
              <w:pStyle w:val="CETBodytext"/>
              <w:ind w:right="-1"/>
              <w:jc w:val="left"/>
              <w:rPr>
                <w:rFonts w:cs="Arial"/>
                <w:szCs w:val="18"/>
                <w:lang w:val="en-GB"/>
              </w:rPr>
            </w:pPr>
            <w:r w:rsidRPr="00043F87">
              <w:t>System 3</w:t>
            </w:r>
          </w:p>
        </w:tc>
        <w:tc>
          <w:tcPr>
            <w:tcW w:w="1500" w:type="dxa"/>
            <w:tcBorders>
              <w:top w:val="single" w:sz="12" w:space="0" w:color="008000"/>
              <w:bottom w:val="single" w:sz="6" w:space="0" w:color="008000"/>
            </w:tcBorders>
            <w:shd w:val="clear" w:color="auto" w:fill="FFFFFF"/>
          </w:tcPr>
          <w:p w14:paraId="34011775" w14:textId="77777777" w:rsidR="0079193A" w:rsidRPr="00043F87" w:rsidRDefault="0079193A" w:rsidP="000A483F">
            <w:pPr>
              <w:pStyle w:val="CETBodytext"/>
              <w:ind w:right="-1"/>
              <w:jc w:val="left"/>
              <w:rPr>
                <w:rFonts w:cs="Arial"/>
                <w:szCs w:val="18"/>
                <w:lang w:val="en-GB"/>
              </w:rPr>
            </w:pPr>
            <w:r w:rsidRPr="00043F87">
              <w:t xml:space="preserve">System 4 </w:t>
            </w:r>
          </w:p>
        </w:tc>
      </w:tr>
      <w:tr w:rsidR="00043F87" w:rsidRPr="00043F87" w14:paraId="3C1D50F1" w14:textId="77777777" w:rsidTr="000A483F">
        <w:trPr>
          <w:trHeight w:val="206"/>
        </w:trPr>
        <w:tc>
          <w:tcPr>
            <w:tcW w:w="1451" w:type="dxa"/>
            <w:shd w:val="clear" w:color="auto" w:fill="FFFFFF"/>
            <w:vAlign w:val="bottom"/>
          </w:tcPr>
          <w:p w14:paraId="43774B4A" w14:textId="4969F50E" w:rsidR="0079193A" w:rsidRPr="00043F87" w:rsidRDefault="0079193A" w:rsidP="000A483F">
            <w:pPr>
              <w:pStyle w:val="CETBodytext"/>
              <w:jc w:val="left"/>
              <w:rPr>
                <w:lang w:val="en-GB"/>
              </w:rPr>
            </w:pPr>
            <w:r w:rsidRPr="00043F87">
              <w:rPr>
                <w:lang w:val="en-GB"/>
              </w:rPr>
              <w:t>LCOH (</w:t>
            </w:r>
            <w:r w:rsidR="009F7407" w:rsidRPr="00043F87">
              <w:rPr>
                <w:rFonts w:cs="Arial"/>
                <w:b/>
              </w:rPr>
              <w:t>€</w:t>
            </w:r>
            <w:r w:rsidRPr="00043F87">
              <w:rPr>
                <w:lang w:val="en-GB"/>
              </w:rPr>
              <w:t>/Kg)</w:t>
            </w:r>
          </w:p>
        </w:tc>
        <w:tc>
          <w:tcPr>
            <w:tcW w:w="1353" w:type="dxa"/>
            <w:shd w:val="clear" w:color="auto" w:fill="FFFFFF"/>
          </w:tcPr>
          <w:p w14:paraId="52901D83" w14:textId="77777777" w:rsidR="0079193A" w:rsidRPr="00043F87" w:rsidRDefault="0079193A" w:rsidP="000A483F">
            <w:pPr>
              <w:pStyle w:val="CETBodytext"/>
              <w:jc w:val="left"/>
              <w:rPr>
                <w:lang w:val="en-GB"/>
              </w:rPr>
            </w:pPr>
            <w:r w:rsidRPr="00043F87">
              <w:rPr>
                <w:lang w:val="en-GB"/>
              </w:rPr>
              <w:t>3.52</w:t>
            </w:r>
          </w:p>
        </w:tc>
        <w:tc>
          <w:tcPr>
            <w:tcW w:w="1500" w:type="dxa"/>
            <w:shd w:val="clear" w:color="auto" w:fill="FFFFFF"/>
            <w:vAlign w:val="bottom"/>
          </w:tcPr>
          <w:p w14:paraId="7DC91D4D" w14:textId="77777777" w:rsidR="0079193A" w:rsidRPr="00043F87" w:rsidRDefault="0079193A" w:rsidP="000A483F">
            <w:pPr>
              <w:pStyle w:val="CETBodytext"/>
              <w:jc w:val="left"/>
              <w:rPr>
                <w:lang w:val="en-GB"/>
              </w:rPr>
            </w:pPr>
            <w:r w:rsidRPr="00043F87">
              <w:rPr>
                <w:lang w:val="en-GB"/>
              </w:rPr>
              <w:t>4.14</w:t>
            </w:r>
          </w:p>
        </w:tc>
        <w:tc>
          <w:tcPr>
            <w:tcW w:w="1500" w:type="dxa"/>
            <w:shd w:val="clear" w:color="auto" w:fill="FFFFFF"/>
            <w:vAlign w:val="bottom"/>
          </w:tcPr>
          <w:p w14:paraId="277616B3" w14:textId="34EDD81E" w:rsidR="0079193A" w:rsidRPr="006E1064" w:rsidRDefault="00C3129F" w:rsidP="000A483F">
            <w:pPr>
              <w:pStyle w:val="CETBodytext"/>
              <w:ind w:right="-1"/>
              <w:jc w:val="left"/>
              <w:rPr>
                <w:rFonts w:cs="Arial"/>
                <w:szCs w:val="18"/>
                <w:lang w:val="en-GB"/>
              </w:rPr>
            </w:pPr>
            <w:r w:rsidRPr="006E1064">
              <w:rPr>
                <w:rFonts w:cs="Arial"/>
                <w:szCs w:val="18"/>
                <w:lang w:val="en-GB"/>
              </w:rPr>
              <w:t>4.52</w:t>
            </w:r>
          </w:p>
        </w:tc>
        <w:tc>
          <w:tcPr>
            <w:tcW w:w="1500" w:type="dxa"/>
            <w:shd w:val="clear" w:color="auto" w:fill="FFFFFF"/>
            <w:vAlign w:val="bottom"/>
          </w:tcPr>
          <w:p w14:paraId="78519117" w14:textId="77777777" w:rsidR="0079193A" w:rsidRPr="006E1064" w:rsidRDefault="0079193A" w:rsidP="000A483F">
            <w:pPr>
              <w:pStyle w:val="CETBodytext"/>
              <w:ind w:right="-1"/>
              <w:jc w:val="left"/>
              <w:rPr>
                <w:rFonts w:cs="Arial"/>
                <w:szCs w:val="18"/>
                <w:lang w:val="en-GB"/>
              </w:rPr>
            </w:pPr>
            <w:r w:rsidRPr="006E1064">
              <w:rPr>
                <w:rFonts w:cs="Arial"/>
                <w:szCs w:val="18"/>
                <w:lang w:val="en-GB"/>
              </w:rPr>
              <w:t>3.56</w:t>
            </w:r>
          </w:p>
        </w:tc>
        <w:tc>
          <w:tcPr>
            <w:tcW w:w="1500" w:type="dxa"/>
            <w:shd w:val="clear" w:color="auto" w:fill="FFFFFF"/>
            <w:vAlign w:val="bottom"/>
          </w:tcPr>
          <w:p w14:paraId="6C3804CE" w14:textId="77777777" w:rsidR="0079193A" w:rsidRPr="00043F87" w:rsidRDefault="0079193A" w:rsidP="000A483F">
            <w:pPr>
              <w:pStyle w:val="CETBodytext"/>
              <w:ind w:right="-1"/>
              <w:jc w:val="left"/>
              <w:rPr>
                <w:rFonts w:cs="Arial"/>
                <w:szCs w:val="18"/>
                <w:lang w:val="en-GB"/>
              </w:rPr>
            </w:pPr>
            <w:r w:rsidRPr="00043F87">
              <w:rPr>
                <w:rFonts w:cs="Arial"/>
                <w:szCs w:val="18"/>
                <w:lang w:val="en-GB"/>
              </w:rPr>
              <w:t>4.08</w:t>
            </w:r>
          </w:p>
        </w:tc>
      </w:tr>
    </w:tbl>
    <w:p w14:paraId="68D26B83" w14:textId="77777777" w:rsidR="00600535" w:rsidRPr="00043F87" w:rsidRDefault="00600535" w:rsidP="00600535">
      <w:pPr>
        <w:pStyle w:val="CETHeading1"/>
        <w:rPr>
          <w:lang w:val="en-GB"/>
        </w:rPr>
      </w:pPr>
      <w:r w:rsidRPr="00043F87">
        <w:rPr>
          <w:lang w:val="en-GB"/>
        </w:rPr>
        <w:t>Conclusions</w:t>
      </w:r>
    </w:p>
    <w:p w14:paraId="26D74A6F" w14:textId="3995D53A" w:rsidR="0079193A" w:rsidRPr="00043F87" w:rsidRDefault="0079193A" w:rsidP="0079193A">
      <w:pPr>
        <w:pStyle w:val="CETAcknowledgementstitle"/>
        <w:jc w:val="both"/>
        <w:rPr>
          <w:b w:val="0"/>
          <w:bCs/>
          <w:lang w:val="en"/>
        </w:rPr>
      </w:pPr>
      <w:bookmarkStart w:id="15" w:name="_Hlk188614230"/>
      <w:r w:rsidRPr="00043F87">
        <w:rPr>
          <w:b w:val="0"/>
          <w:bCs/>
        </w:rPr>
        <w:t>In this paper the technical and economic performance of three biohydrogen production systems were analysed and the results were compared to typical H</w:t>
      </w:r>
      <w:r w:rsidRPr="00043F87">
        <w:rPr>
          <w:b w:val="0"/>
          <w:bCs/>
          <w:vertAlign w:val="subscript"/>
        </w:rPr>
        <w:t>2</w:t>
      </w:r>
      <w:r w:rsidRPr="00043F87">
        <w:rPr>
          <w:b w:val="0"/>
          <w:bCs/>
        </w:rPr>
        <w:t xml:space="preserve"> production from NG reforming. </w:t>
      </w:r>
      <w:bookmarkEnd w:id="15"/>
      <w:r w:rsidRPr="00043F87">
        <w:rPr>
          <w:b w:val="0"/>
          <w:bCs/>
        </w:rPr>
        <w:t>Based on a 2,700 Kg H</w:t>
      </w:r>
      <w:r w:rsidRPr="00043F87">
        <w:rPr>
          <w:b w:val="0"/>
          <w:bCs/>
          <w:vertAlign w:val="subscript"/>
        </w:rPr>
        <w:t>2</w:t>
      </w:r>
      <w:r w:rsidRPr="00043F87">
        <w:rPr>
          <w:b w:val="0"/>
          <w:bCs/>
        </w:rPr>
        <w:t xml:space="preserve">/h facility, preliminary </w:t>
      </w:r>
      <w:r w:rsidRPr="00043F87">
        <w:rPr>
          <w:b w:val="0"/>
          <w:bCs/>
          <w:lang w:val="en"/>
        </w:rPr>
        <w:t>LCOH results showed that bio-oil reforming (</w:t>
      </w:r>
      <w:r w:rsidR="009F7407" w:rsidRPr="00043F87">
        <w:rPr>
          <w:rFonts w:cs="Arial"/>
          <w:b w:val="0"/>
        </w:rPr>
        <w:t>€</w:t>
      </w:r>
      <w:r w:rsidRPr="00043F87">
        <w:rPr>
          <w:b w:val="0"/>
          <w:bCs/>
        </w:rPr>
        <w:t xml:space="preserve"> 3.56/kg) </w:t>
      </w:r>
      <w:r w:rsidRPr="00043F87">
        <w:rPr>
          <w:b w:val="0"/>
          <w:bCs/>
          <w:lang w:val="en"/>
        </w:rPr>
        <w:t xml:space="preserve">is </w:t>
      </w:r>
      <w:r w:rsidRPr="006E1064">
        <w:rPr>
          <w:b w:val="0"/>
          <w:bCs/>
          <w:lang w:val="en"/>
        </w:rPr>
        <w:t>the least expensive way to produce biohydrogen when compared to biomass gasification (</w:t>
      </w:r>
      <w:r w:rsidR="009F7407" w:rsidRPr="006E1064">
        <w:rPr>
          <w:rFonts w:cs="Arial"/>
          <w:b w:val="0"/>
        </w:rPr>
        <w:t>€</w:t>
      </w:r>
      <w:r w:rsidRPr="006E1064">
        <w:rPr>
          <w:b w:val="0"/>
          <w:bCs/>
        </w:rPr>
        <w:t xml:space="preserve"> 4.08/kg) </w:t>
      </w:r>
      <w:r w:rsidRPr="006E1064">
        <w:rPr>
          <w:b w:val="0"/>
          <w:bCs/>
          <w:lang w:val="en"/>
        </w:rPr>
        <w:t>and biogas reforming (</w:t>
      </w:r>
      <w:r w:rsidR="009F7407" w:rsidRPr="006E1064">
        <w:rPr>
          <w:rFonts w:cs="Arial"/>
          <w:b w:val="0"/>
        </w:rPr>
        <w:t>€</w:t>
      </w:r>
      <w:r w:rsidRPr="006E1064">
        <w:rPr>
          <w:b w:val="0"/>
          <w:bCs/>
        </w:rPr>
        <w:t xml:space="preserve"> </w:t>
      </w:r>
      <w:r w:rsidR="00C71016" w:rsidRPr="006E1064">
        <w:rPr>
          <w:b w:val="0"/>
          <w:bCs/>
        </w:rPr>
        <w:t>4</w:t>
      </w:r>
      <w:r w:rsidRPr="006E1064">
        <w:rPr>
          <w:b w:val="0"/>
          <w:bCs/>
        </w:rPr>
        <w:t>.</w:t>
      </w:r>
      <w:r w:rsidR="00C71016" w:rsidRPr="006E1064">
        <w:rPr>
          <w:b w:val="0"/>
          <w:bCs/>
        </w:rPr>
        <w:t>52</w:t>
      </w:r>
      <w:r w:rsidRPr="006E1064">
        <w:rPr>
          <w:b w:val="0"/>
          <w:bCs/>
        </w:rPr>
        <w:t>/kg)</w:t>
      </w:r>
      <w:r w:rsidRPr="006E1064">
        <w:rPr>
          <w:b w:val="0"/>
          <w:bCs/>
          <w:lang w:val="en"/>
        </w:rPr>
        <w:t>. In fact</w:t>
      </w:r>
      <w:r w:rsidRPr="00043F87">
        <w:rPr>
          <w:b w:val="0"/>
          <w:bCs/>
          <w:lang w:val="en"/>
        </w:rPr>
        <w:t xml:space="preserve">, the LCOH of the bio-oil reforming pathway was quite </w:t>
      </w:r>
      <w:proofErr w:type="gramStart"/>
      <w:r w:rsidRPr="00043F87">
        <w:rPr>
          <w:b w:val="0"/>
          <w:bCs/>
          <w:lang w:val="en"/>
        </w:rPr>
        <w:t>similar to</w:t>
      </w:r>
      <w:proofErr w:type="gramEnd"/>
      <w:r w:rsidRPr="00043F87">
        <w:rPr>
          <w:b w:val="0"/>
          <w:bCs/>
          <w:lang w:val="en"/>
        </w:rPr>
        <w:t xml:space="preserve"> the LCOH of the natural gas SR pathway when CAPEX was not considered</w:t>
      </w:r>
      <w:r w:rsidRPr="00043F87">
        <w:rPr>
          <w:bCs/>
          <w:lang w:val="en"/>
        </w:rPr>
        <w:t xml:space="preserve"> </w:t>
      </w:r>
      <w:r w:rsidRPr="00043F87">
        <w:rPr>
          <w:b w:val="0"/>
          <w:bCs/>
          <w:lang w:val="en"/>
        </w:rPr>
        <w:t>(</w:t>
      </w:r>
      <w:r w:rsidR="009F7407" w:rsidRPr="00043F87">
        <w:rPr>
          <w:rFonts w:cs="Arial"/>
          <w:b w:val="0"/>
        </w:rPr>
        <w:t>€</w:t>
      </w:r>
      <w:r w:rsidRPr="00043F87">
        <w:rPr>
          <w:b w:val="0"/>
          <w:bCs/>
        </w:rPr>
        <w:t xml:space="preserve"> 3.52/kg) and even lower than the LCOH of fossil-based H</w:t>
      </w:r>
      <w:r w:rsidRPr="00043F87">
        <w:rPr>
          <w:b w:val="0"/>
          <w:bCs/>
          <w:vertAlign w:val="subscript"/>
        </w:rPr>
        <w:t>2</w:t>
      </w:r>
      <w:r w:rsidRPr="00043F87">
        <w:rPr>
          <w:b w:val="0"/>
          <w:bCs/>
        </w:rPr>
        <w:t xml:space="preserve"> production with CCUS (</w:t>
      </w:r>
      <w:r w:rsidR="009F7407" w:rsidRPr="00043F87">
        <w:rPr>
          <w:rFonts w:cs="Arial"/>
          <w:b w:val="0"/>
        </w:rPr>
        <w:t>€</w:t>
      </w:r>
      <w:r w:rsidRPr="00043F87">
        <w:rPr>
          <w:b w:val="0"/>
          <w:bCs/>
        </w:rPr>
        <w:t xml:space="preserve"> 4.40/Kg H</w:t>
      </w:r>
      <w:r w:rsidRPr="00043F87">
        <w:rPr>
          <w:b w:val="0"/>
          <w:bCs/>
          <w:vertAlign w:val="subscript"/>
        </w:rPr>
        <w:t>2</w:t>
      </w:r>
      <w:r w:rsidRPr="00043F87">
        <w:rPr>
          <w:b w:val="0"/>
          <w:bCs/>
        </w:rPr>
        <w:t>, as reported in the introduction)</w:t>
      </w:r>
      <w:r w:rsidRPr="00043F87">
        <w:rPr>
          <w:b w:val="0"/>
          <w:bCs/>
          <w:lang w:val="en"/>
        </w:rPr>
        <w:t>. This result indicates that the H</w:t>
      </w:r>
      <w:r w:rsidRPr="00043F87">
        <w:rPr>
          <w:b w:val="0"/>
          <w:bCs/>
          <w:vertAlign w:val="subscript"/>
          <w:lang w:val="en"/>
        </w:rPr>
        <w:t>2</w:t>
      </w:r>
      <w:r w:rsidRPr="00043F87">
        <w:rPr>
          <w:b w:val="0"/>
          <w:bCs/>
          <w:lang w:val="en"/>
        </w:rPr>
        <w:t xml:space="preserve"> production from bio-oil reforming could be economically competitive and viable in hard-to-abate sectors</w:t>
      </w:r>
      <w:r w:rsidRPr="00043F87">
        <w:rPr>
          <w:b w:val="0"/>
          <w:bCs/>
        </w:rPr>
        <w:t xml:space="preserve">. On the other hand, although biohydrogen production from biogas reforming appears to be less-cost effective mainly due it requires a large amount of raw material as well as energy (electricity), its economic performance, as well as that of the other biohydrogen production systems can improve if the raw material is available </w:t>
      </w:r>
      <w:r w:rsidRPr="00043F87">
        <w:rPr>
          <w:b w:val="0"/>
          <w:bCs/>
          <w:lang w:val="en"/>
        </w:rPr>
        <w:t>at no economic cost</w:t>
      </w:r>
      <w:r w:rsidRPr="00043F87">
        <w:rPr>
          <w:b w:val="0"/>
          <w:bCs/>
        </w:rPr>
        <w:t xml:space="preserve">. Additionally, from an environmental perspective combining biohydrogen production with CCUS could be an option to develop negative emission systems. Although </w:t>
      </w:r>
      <w:r w:rsidRPr="00043F87">
        <w:rPr>
          <w:b w:val="0"/>
          <w:bCs/>
          <w:lang w:val="en"/>
        </w:rPr>
        <w:t>the preliminary LCOH analysis can still be improved by considering additional costs (e.g. catalysts, operation labor, waste disposal and environmental impact costs),</w:t>
      </w:r>
      <w:r w:rsidRPr="00043F87">
        <w:rPr>
          <w:bCs/>
        </w:rPr>
        <w:t xml:space="preserve"> </w:t>
      </w:r>
      <w:r w:rsidRPr="00043F87">
        <w:rPr>
          <w:b w:val="0"/>
          <w:bCs/>
        </w:rPr>
        <w:t>the results showed that biohydrogen production can be competitive compared to H</w:t>
      </w:r>
      <w:r w:rsidRPr="00043F87">
        <w:rPr>
          <w:b w:val="0"/>
          <w:bCs/>
          <w:vertAlign w:val="subscript"/>
        </w:rPr>
        <w:t>2</w:t>
      </w:r>
      <w:r w:rsidRPr="00043F87">
        <w:rPr>
          <w:b w:val="0"/>
          <w:bCs/>
        </w:rPr>
        <w:t xml:space="preserve"> production from NG</w:t>
      </w:r>
      <w:r w:rsidRPr="00043F87">
        <w:rPr>
          <w:rStyle w:val="rynqvb"/>
          <w:b w:val="0"/>
          <w:bCs/>
        </w:rPr>
        <w:t>. In fact, a future study could include in addition to financial costs also environmental impact costs, considering as suggested by the ISO standard ISO15686-5 (life-cycle cost) the economic loss of well-being (e.g., human health and biodiversity) due pollutant emissions of each system as well as the mitigation cost of any necessary intervention. Overall, the results are positive to encourage the reduction of fossil-based H</w:t>
      </w:r>
      <w:r w:rsidRPr="00043F87">
        <w:rPr>
          <w:rStyle w:val="rynqvb"/>
          <w:b w:val="0"/>
          <w:bCs/>
          <w:vertAlign w:val="subscript"/>
        </w:rPr>
        <w:t>2</w:t>
      </w:r>
      <w:r w:rsidRPr="00043F87">
        <w:rPr>
          <w:rStyle w:val="rynqvb"/>
          <w:b w:val="0"/>
          <w:bCs/>
        </w:rPr>
        <w:t xml:space="preserve"> consumption in hard-to-abate sectors, improving waste and residual biomass management, and promoting a </w:t>
      </w:r>
      <w:r w:rsidRPr="00043F87">
        <w:rPr>
          <w:b w:val="0"/>
          <w:bCs/>
        </w:rPr>
        <w:t>net zero greenhouse gas emissions</w:t>
      </w:r>
      <w:r w:rsidRPr="00043F87">
        <w:rPr>
          <w:rStyle w:val="rynqvb"/>
          <w:b w:val="0"/>
          <w:bCs/>
        </w:rPr>
        <w:t xml:space="preserve"> economy in Italy and Europe. </w:t>
      </w:r>
    </w:p>
    <w:p w14:paraId="459D05E6" w14:textId="77777777" w:rsidR="00600535" w:rsidRPr="00043F87" w:rsidRDefault="00600535" w:rsidP="00600535">
      <w:pPr>
        <w:pStyle w:val="CETAcknowledgementstitle"/>
      </w:pPr>
      <w:r w:rsidRPr="00043F87">
        <w:lastRenderedPageBreak/>
        <w:t>Acknowledgments</w:t>
      </w:r>
    </w:p>
    <w:p w14:paraId="33F8138F" w14:textId="37837DB7" w:rsidR="00600535" w:rsidRPr="00043F87" w:rsidRDefault="00477FF0" w:rsidP="00477FF0">
      <w:pPr>
        <w:pStyle w:val="CETReference"/>
        <w:jc w:val="both"/>
        <w:rPr>
          <w:b w:val="0"/>
          <w:lang w:val="en"/>
        </w:rPr>
      </w:pPr>
      <w:r w:rsidRPr="00043F87">
        <w:rPr>
          <w:b w:val="0"/>
          <w:lang w:val="en"/>
        </w:rPr>
        <w:t xml:space="preserve">This research was developed within the project ‘Network 4 Energy Sustainable Transition—NEST’ funded under the National Recovery and Resilience Plan (NRRP), Mission 4 Component 2 Investment 1.3—Call for Tender No. 1561 of 11.10.2022 of </w:t>
      </w:r>
      <w:proofErr w:type="spellStart"/>
      <w:r w:rsidRPr="00043F87">
        <w:rPr>
          <w:b w:val="0"/>
          <w:lang w:val="en"/>
        </w:rPr>
        <w:t>Ministero</w:t>
      </w:r>
      <w:proofErr w:type="spellEnd"/>
      <w:r w:rsidRPr="00043F87">
        <w:rPr>
          <w:b w:val="0"/>
          <w:lang w:val="en"/>
        </w:rPr>
        <w:t xml:space="preserve"> </w:t>
      </w:r>
      <w:proofErr w:type="spellStart"/>
      <w:r w:rsidRPr="00043F87">
        <w:rPr>
          <w:b w:val="0"/>
          <w:lang w:val="en"/>
        </w:rPr>
        <w:t>dell’Università</w:t>
      </w:r>
      <w:proofErr w:type="spellEnd"/>
      <w:r w:rsidRPr="00043F87">
        <w:rPr>
          <w:b w:val="0"/>
          <w:lang w:val="en"/>
        </w:rPr>
        <w:t xml:space="preserve"> e </w:t>
      </w:r>
      <w:proofErr w:type="spellStart"/>
      <w:r w:rsidRPr="00043F87">
        <w:rPr>
          <w:b w:val="0"/>
          <w:lang w:val="en"/>
        </w:rPr>
        <w:t>della</w:t>
      </w:r>
      <w:proofErr w:type="spellEnd"/>
      <w:r w:rsidRPr="00043F87">
        <w:rPr>
          <w:b w:val="0"/>
          <w:lang w:val="en"/>
        </w:rPr>
        <w:t xml:space="preserve"> </w:t>
      </w:r>
      <w:proofErr w:type="spellStart"/>
      <w:r w:rsidRPr="00043F87">
        <w:rPr>
          <w:b w:val="0"/>
          <w:lang w:val="en"/>
        </w:rPr>
        <w:t>Ricerca</w:t>
      </w:r>
      <w:proofErr w:type="spellEnd"/>
      <w:r w:rsidRPr="00043F87">
        <w:rPr>
          <w:b w:val="0"/>
          <w:lang w:val="en"/>
        </w:rPr>
        <w:t xml:space="preserve"> (MUR); funded by the European Union—</w:t>
      </w:r>
      <w:proofErr w:type="spellStart"/>
      <w:r w:rsidRPr="00043F87">
        <w:rPr>
          <w:b w:val="0"/>
          <w:lang w:val="en"/>
        </w:rPr>
        <w:t>NextGenerationEU</w:t>
      </w:r>
      <w:proofErr w:type="spellEnd"/>
      <w:r w:rsidRPr="00043F87">
        <w:rPr>
          <w:b w:val="0"/>
          <w:lang w:val="en"/>
        </w:rPr>
        <w:t>.</w:t>
      </w:r>
    </w:p>
    <w:p w14:paraId="4F1327F8" w14:textId="77777777" w:rsidR="00600535" w:rsidRPr="00043F87" w:rsidRDefault="00600535" w:rsidP="00600535">
      <w:pPr>
        <w:pStyle w:val="CETReference"/>
      </w:pPr>
      <w:r w:rsidRPr="00043F87">
        <w:t>References</w:t>
      </w:r>
    </w:p>
    <w:p w14:paraId="1AB02F3E" w14:textId="6A30170A" w:rsidR="009F7407" w:rsidRPr="00043F87" w:rsidRDefault="009F7407" w:rsidP="009F7407">
      <w:pPr>
        <w:pStyle w:val="CETReferencetext"/>
        <w:rPr>
          <w:lang w:val="en-US"/>
        </w:rPr>
      </w:pPr>
      <w:r w:rsidRPr="00043F87">
        <w:rPr>
          <w:lang w:val="en-US"/>
        </w:rPr>
        <w:t>Ardolino F., Parrillo F., Arena U., 2018, Biowaste-to-biomethane or biowaste-to-energy? An LCA study on anaerobic digestion of organic waste, Journal of Cleaner Production, 174, 462</w:t>
      </w:r>
      <w:r w:rsidRPr="00043F87">
        <w:t>–</w:t>
      </w:r>
      <w:r w:rsidRPr="00043F87">
        <w:rPr>
          <w:lang w:val="en-US"/>
        </w:rPr>
        <w:t>476.</w:t>
      </w:r>
    </w:p>
    <w:p w14:paraId="74112141" w14:textId="77777777" w:rsidR="009F7407" w:rsidRPr="00043F87" w:rsidRDefault="009F7407" w:rsidP="009F7407">
      <w:pPr>
        <w:pStyle w:val="CETReferencetext"/>
        <w:rPr>
          <w:lang w:val="en-US"/>
        </w:rPr>
      </w:pPr>
      <w:r w:rsidRPr="00043F87">
        <w:rPr>
          <w:lang w:val="en-US"/>
        </w:rPr>
        <w:t>Arfan M., Eriksson O., Wang Z., Soam S., 2023, Life cycle assessment and life cycle costing of hydrogen production from biowaste and biomass in Sweden, Energy Conversion and Management, 291, 117262.</w:t>
      </w:r>
    </w:p>
    <w:p w14:paraId="5035C29C" w14:textId="77777777" w:rsidR="009F7407" w:rsidRPr="00043F87" w:rsidRDefault="009F7407" w:rsidP="009F7407">
      <w:pPr>
        <w:pStyle w:val="CETReferencetext"/>
      </w:pPr>
      <w:bookmarkStart w:id="16" w:name="_Hlk187749514"/>
      <w:r w:rsidRPr="00043F87">
        <w:t>Blank L. and Tarquin A. (7</w:t>
      </w:r>
      <w:r w:rsidRPr="00043F87">
        <w:rPr>
          <w:vertAlign w:val="superscript"/>
        </w:rPr>
        <w:t>th</w:t>
      </w:r>
      <w:r w:rsidRPr="00043F87">
        <w:t xml:space="preserve"> ed), 2012, Engineering Economy, </w:t>
      </w:r>
      <w:proofErr w:type="spellStart"/>
      <w:r w:rsidRPr="00043F87">
        <w:t>MgGraw</w:t>
      </w:r>
      <w:proofErr w:type="spellEnd"/>
      <w:r w:rsidRPr="00043F87">
        <w:t>-Hill, New York, USA.</w:t>
      </w:r>
    </w:p>
    <w:p w14:paraId="3977A839" w14:textId="77777777" w:rsidR="009F7407" w:rsidRPr="00043F87" w:rsidRDefault="009F7407" w:rsidP="009F7407">
      <w:pPr>
        <w:pStyle w:val="CETReferencetext"/>
      </w:pPr>
      <w:proofErr w:type="spellStart"/>
      <w:r w:rsidRPr="00043F87">
        <w:t>Cormos</w:t>
      </w:r>
      <w:proofErr w:type="spellEnd"/>
      <w:r w:rsidRPr="00043F87">
        <w:t xml:space="preserve"> C., Petrescu L., </w:t>
      </w:r>
      <w:proofErr w:type="spellStart"/>
      <w:r w:rsidRPr="00043F87">
        <w:t>Cormos</w:t>
      </w:r>
      <w:proofErr w:type="spellEnd"/>
      <w:r w:rsidRPr="00043F87">
        <w:t xml:space="preserve"> A., 2024, Green hydrogen production based on biogas reforming integrated with membrane-based CO</w:t>
      </w:r>
      <w:r w:rsidRPr="00043F87">
        <w:rPr>
          <w:vertAlign w:val="subscript"/>
        </w:rPr>
        <w:t>2</w:t>
      </w:r>
      <w:r w:rsidRPr="00043F87">
        <w:t xml:space="preserve"> Capture, Chemical Engineering Transactions, 114, 343-348.</w:t>
      </w:r>
    </w:p>
    <w:p w14:paraId="3E7D6C79" w14:textId="77777777" w:rsidR="009F7407" w:rsidRPr="00043F87" w:rsidRDefault="009F7407" w:rsidP="009F7407">
      <w:pPr>
        <w:pStyle w:val="CETReferencetext"/>
      </w:pPr>
      <w:r w:rsidRPr="00043F87">
        <w:t xml:space="preserve">Eni S.p.A., 2022, </w:t>
      </w:r>
      <w:r w:rsidRPr="00043F87">
        <w:rPr>
          <w:lang w:val="en"/>
        </w:rPr>
        <w:t>Venice Biorefinery, Steam Reforming Project for Hydrogen Production to Support the Biorefinery Production Cycle</w:t>
      </w:r>
      <w:r w:rsidRPr="00043F87" w:rsidDel="00900E07">
        <w:t xml:space="preserve"> </w:t>
      </w:r>
      <w:r w:rsidRPr="00043F87">
        <w:t>(in Italian), &lt;va.mite.gov.it/File/</w:t>
      </w:r>
      <w:proofErr w:type="spellStart"/>
      <w:r w:rsidRPr="00043F87">
        <w:t>Documento</w:t>
      </w:r>
      <w:proofErr w:type="spellEnd"/>
      <w:r w:rsidRPr="00043F87">
        <w:t xml:space="preserve">/692461&gt; </w:t>
      </w:r>
    </w:p>
    <w:bookmarkEnd w:id="16"/>
    <w:p w14:paraId="6CB728A8" w14:textId="77777777" w:rsidR="009F7407" w:rsidRPr="00043F87" w:rsidRDefault="009F7407" w:rsidP="009F7407">
      <w:pPr>
        <w:pStyle w:val="CETReferencetext"/>
      </w:pPr>
      <w:r w:rsidRPr="00043F87">
        <w:rPr>
          <w:lang w:val="en-US"/>
        </w:rPr>
        <w:t xml:space="preserve">EHO, 2023, Hydrogen Production </w:t>
      </w:r>
      <w:r w:rsidRPr="00043F87">
        <w:t>&lt;</w:t>
      </w:r>
      <w:r w:rsidRPr="00043F87">
        <w:rPr>
          <w:lang w:val="en-US"/>
        </w:rPr>
        <w:t>observatory.clean-hydrogen.europa.eu/hydrogen-landscape/production-trade-and-cost/hydrogen-production</w:t>
      </w:r>
      <w:r w:rsidRPr="00043F87">
        <w:t>&gt; accessed 12/07/2024.</w:t>
      </w:r>
    </w:p>
    <w:p w14:paraId="499FB8E8" w14:textId="77777777" w:rsidR="009F7407" w:rsidRPr="00043F87" w:rsidRDefault="009F7407" w:rsidP="009F7407">
      <w:pPr>
        <w:pStyle w:val="CETReferencetext"/>
      </w:pPr>
      <w:bookmarkStart w:id="17" w:name="_Hlk188602954"/>
      <w:r w:rsidRPr="00043F87">
        <w:rPr>
          <w:lang w:val="en-US"/>
        </w:rPr>
        <w:t xml:space="preserve">EHO, 2024, Cost of Hydrogen Production </w:t>
      </w:r>
      <w:r w:rsidRPr="00043F87">
        <w:t>&lt;</w:t>
      </w:r>
      <w:r w:rsidRPr="00043F87">
        <w:rPr>
          <w:lang w:val="en-US"/>
        </w:rPr>
        <w:t>observatory.clean-hydrogen.europa.eu/hydrogen-landscape/production-trade-and-cost/cost-hydrogen-production</w:t>
      </w:r>
      <w:r w:rsidRPr="00043F87">
        <w:t>&gt; accessed 25/11/2024.</w:t>
      </w:r>
    </w:p>
    <w:bookmarkEnd w:id="17"/>
    <w:p w14:paraId="0F856A23" w14:textId="77777777" w:rsidR="009F7407" w:rsidRPr="00043F87" w:rsidRDefault="009F7407" w:rsidP="009F7407">
      <w:pPr>
        <w:pStyle w:val="CETReferencetext"/>
      </w:pPr>
      <w:r w:rsidRPr="00043F87">
        <w:t xml:space="preserve">Fadhil M., Liew P., </w:t>
      </w:r>
      <w:proofErr w:type="spellStart"/>
      <w:r w:rsidRPr="00043F87">
        <w:t>Zaharuddin</w:t>
      </w:r>
      <w:proofErr w:type="spellEnd"/>
      <w:r w:rsidRPr="00043F87">
        <w:t xml:space="preserve"> H., Mah A., Ho W., </w:t>
      </w:r>
      <w:proofErr w:type="spellStart"/>
      <w:r w:rsidRPr="00043F87">
        <w:t>Woon</w:t>
      </w:r>
      <w:proofErr w:type="spellEnd"/>
      <w:r w:rsidRPr="00043F87">
        <w:t xml:space="preserve"> K., 2024, Hydrogen supply chain optimisation with green electricity generation for energy trading between industrial parks, Chemical Engineering Transactions, 114, 541-546.</w:t>
      </w:r>
    </w:p>
    <w:p w14:paraId="0C4569A1" w14:textId="77777777" w:rsidR="009F7407" w:rsidRPr="00043F87" w:rsidRDefault="009F7407" w:rsidP="009F7407">
      <w:pPr>
        <w:pStyle w:val="CETReferencetext"/>
      </w:pPr>
      <w:proofErr w:type="spellStart"/>
      <w:r w:rsidRPr="00043F87">
        <w:t>Gandiglio</w:t>
      </w:r>
      <w:proofErr w:type="spellEnd"/>
      <w:r w:rsidRPr="00043F87">
        <w:t xml:space="preserve"> M., Marocco P., 2024, Mapping Hydrogen Initiatives in Italy: An Overview of Funding and Projects, Energies, 17, 2614.</w:t>
      </w:r>
    </w:p>
    <w:p w14:paraId="5DF1FFB5" w14:textId="77777777" w:rsidR="009F7407" w:rsidRPr="00043F87" w:rsidRDefault="009F7407" w:rsidP="009F7407">
      <w:pPr>
        <w:pStyle w:val="CETReferencetext"/>
        <w:rPr>
          <w:lang w:val="en-US"/>
        </w:rPr>
      </w:pPr>
      <w:r w:rsidRPr="00043F87">
        <w:t>IEAGHG</w:t>
      </w:r>
      <w:r w:rsidRPr="00043F87">
        <w:rPr>
          <w:lang w:val="en-US"/>
        </w:rPr>
        <w:t xml:space="preserve">, 2013, Toward a common method of cost estimation for CO2 capture and storage at fossil fuel power plants &lt;ieaghg.org/publications/toward-a-commons-method-of-cost-estimation-for-co2-capture-and-storage-at-fossil-fuel-power-plants/&gt; </w:t>
      </w:r>
      <w:r w:rsidRPr="00043F87">
        <w:t>accessed 04.11.2024.</w:t>
      </w:r>
    </w:p>
    <w:p w14:paraId="27EBA1C4" w14:textId="77777777" w:rsidR="009F7407" w:rsidRPr="00043F87" w:rsidRDefault="009F7407" w:rsidP="009F7407">
      <w:pPr>
        <w:pStyle w:val="CETReferencetext"/>
      </w:pPr>
      <w:r w:rsidRPr="00043F87">
        <w:t xml:space="preserve">Lepage T., Kammoun M., </w:t>
      </w:r>
      <w:proofErr w:type="spellStart"/>
      <w:r w:rsidRPr="00043F87">
        <w:t>Schmetz</w:t>
      </w:r>
      <w:proofErr w:type="spellEnd"/>
      <w:r w:rsidRPr="00043F87">
        <w:t xml:space="preserve"> Q., Richel A., 2021, Biomass-to-hydrogen: A review of main routes production, processes evaluation and techno-economical assessment, Biomass and Bioenergy, 144, 105920</w:t>
      </w:r>
    </w:p>
    <w:p w14:paraId="15A99BF8" w14:textId="77777777" w:rsidR="009F7407" w:rsidRPr="00043F87" w:rsidRDefault="009F7407" w:rsidP="009F7407">
      <w:pPr>
        <w:pStyle w:val="CETReferencetext"/>
      </w:pPr>
      <w:proofErr w:type="spellStart"/>
      <w:r w:rsidRPr="00043F87">
        <w:t>Leijenhorst</w:t>
      </w:r>
      <w:proofErr w:type="spellEnd"/>
      <w:r w:rsidRPr="00043F87">
        <w:t xml:space="preserve"> E., 2016, Biomass gasification via fast pyrolysis, PhD Thesis, Ghent University, Ghent, Belgium. ISBN: 978-90-5989-894-3.</w:t>
      </w:r>
    </w:p>
    <w:p w14:paraId="26D142AD" w14:textId="77777777" w:rsidR="009F7407" w:rsidRPr="00043F87" w:rsidRDefault="009F7407" w:rsidP="009F7407">
      <w:pPr>
        <w:pStyle w:val="CETReferencetext"/>
      </w:pPr>
      <w:bookmarkStart w:id="18" w:name="_Hlk188533462"/>
      <w:r w:rsidRPr="00043F87">
        <w:t xml:space="preserve">MISE, 2020, </w:t>
      </w:r>
      <w:r w:rsidRPr="00043F87">
        <w:rPr>
          <w:lang w:val="en"/>
        </w:rPr>
        <w:t>National Hydrogen Strategy: Preliminary Guidelines (in Italian),</w:t>
      </w:r>
      <w:r w:rsidRPr="00043F87" w:rsidDel="00900E07">
        <w:t xml:space="preserve"> </w:t>
      </w:r>
      <w:r w:rsidRPr="00043F87">
        <w:t>&lt;www.mimit.gov.it/images/stories/documenti/Strategia_Nazionale_Idrogeno_Linee_guida_preliminari_nov20.pdf&gt; accessed 01.07.2024.</w:t>
      </w:r>
    </w:p>
    <w:bookmarkEnd w:id="18"/>
    <w:p w14:paraId="44F7A88F" w14:textId="77777777" w:rsidR="009F7407" w:rsidRPr="00043F87" w:rsidRDefault="009F7407" w:rsidP="009F7407">
      <w:pPr>
        <w:pStyle w:val="CETReferencetext"/>
      </w:pPr>
      <w:r w:rsidRPr="00043F87">
        <w:t>Richard S., Ramirez A., Olivier P., Gallucci F., 2024, Techno-economic analysis of ammonia cracking for large scale power generation, International Journal of Hydrogen Energy, 71, 571–587.</w:t>
      </w:r>
    </w:p>
    <w:p w14:paraId="6C0A5B40" w14:textId="77777777" w:rsidR="009F7407" w:rsidRPr="00043F87" w:rsidRDefault="009F7407" w:rsidP="009F7407">
      <w:pPr>
        <w:pStyle w:val="CETReferencetext"/>
      </w:pPr>
      <w:r w:rsidRPr="00043F87">
        <w:t>Sarkar A., Kumar A., 2010, Large-scale biohydrogen production from bio-oil, Bioresources Technology 101, 7350-7361.</w:t>
      </w:r>
    </w:p>
    <w:p w14:paraId="645B9644" w14:textId="77777777" w:rsidR="009F7407" w:rsidRPr="00043F87" w:rsidRDefault="009F7407" w:rsidP="009F7407">
      <w:pPr>
        <w:pStyle w:val="CETReferencetext"/>
      </w:pPr>
      <w:proofErr w:type="spellStart"/>
      <w:r w:rsidRPr="00043F87">
        <w:t>Situmorang</w:t>
      </w:r>
      <w:proofErr w:type="spellEnd"/>
      <w:r w:rsidRPr="00043F87">
        <w:t xml:space="preserve"> Y., Zhao Z., An P., Yu T., </w:t>
      </w:r>
      <w:proofErr w:type="spellStart"/>
      <w:r w:rsidRPr="00043F87">
        <w:t>Rizkiana</w:t>
      </w:r>
      <w:proofErr w:type="spellEnd"/>
      <w:r w:rsidRPr="00043F87">
        <w:t xml:space="preserve"> J., </w:t>
      </w:r>
      <w:proofErr w:type="spellStart"/>
      <w:r w:rsidRPr="00043F87">
        <w:t>Abudula</w:t>
      </w:r>
      <w:proofErr w:type="spellEnd"/>
      <w:r w:rsidRPr="00043F87">
        <w:t xml:space="preserve"> A., Guan G., 2020, A novel system of biomass-based hydrogen production by combining steam bio-oil reforming and chemical looping process, Applied Energy, 115122.</w:t>
      </w:r>
    </w:p>
    <w:p w14:paraId="28A09DD3" w14:textId="77777777" w:rsidR="009F7407" w:rsidRPr="00043F87" w:rsidRDefault="009F7407" w:rsidP="009F7407">
      <w:pPr>
        <w:pStyle w:val="CETReferencetext"/>
      </w:pPr>
      <w:r w:rsidRPr="00043F87">
        <w:t xml:space="preserve">Spallina V., Pandolfo D., Battistella A., Romano M.C., Van Sint </w:t>
      </w:r>
      <w:proofErr w:type="spellStart"/>
      <w:r w:rsidRPr="00043F87">
        <w:t>Annaland</w:t>
      </w:r>
      <w:proofErr w:type="spellEnd"/>
      <w:r w:rsidRPr="00043F87">
        <w:t xml:space="preserve"> M., Gallucci F., 2016, Techno-economic assessment of membrane assisted fluidized bed reactors for pure H</w:t>
      </w:r>
      <w:r w:rsidRPr="00043F87">
        <w:rPr>
          <w:vertAlign w:val="subscript"/>
        </w:rPr>
        <w:t>2</w:t>
      </w:r>
      <w:r w:rsidRPr="00043F87">
        <w:t xml:space="preserve"> production with CO</w:t>
      </w:r>
      <w:r w:rsidRPr="00043F87">
        <w:rPr>
          <w:vertAlign w:val="subscript"/>
        </w:rPr>
        <w:t xml:space="preserve">2 </w:t>
      </w:r>
      <w:r w:rsidRPr="00043F87">
        <w:t>capture, Energy Conversion and Management, 120, 257–273.</w:t>
      </w:r>
    </w:p>
    <w:p w14:paraId="34D36971" w14:textId="77777777" w:rsidR="009F7407" w:rsidRPr="00043F87" w:rsidRDefault="009F7407" w:rsidP="009F7407">
      <w:pPr>
        <w:pStyle w:val="CETReferencetext"/>
      </w:pPr>
      <w:r w:rsidRPr="00043F87">
        <w:t xml:space="preserve">Wolf N., </w:t>
      </w:r>
      <w:proofErr w:type="spellStart"/>
      <w:r w:rsidRPr="00043F87">
        <w:t>Tanneberger</w:t>
      </w:r>
      <w:proofErr w:type="spellEnd"/>
      <w:r w:rsidRPr="00043F87">
        <w:t xml:space="preserve"> M., </w:t>
      </w:r>
      <w:proofErr w:type="spellStart"/>
      <w:r w:rsidRPr="00043F87">
        <w:t>Höck</w:t>
      </w:r>
      <w:proofErr w:type="spellEnd"/>
      <w:r w:rsidRPr="00043F87">
        <w:t xml:space="preserve"> M., 2024, Levelized cost of hydrogen production in Northern Africa and Europe in 2050: A Monte Carlo simulation for Germany, Norway, Spain, Algeria, Morocco, and Egypt, International Journal of Hydrogen Energy, 69, 184–194.</w:t>
      </w:r>
    </w:p>
    <w:p w14:paraId="2D80D9F6" w14:textId="77777777" w:rsidR="009F7407" w:rsidRPr="00043F87" w:rsidRDefault="009F7407" w:rsidP="009F7407">
      <w:pPr>
        <w:pStyle w:val="CETReferencetext"/>
      </w:pPr>
      <w:bookmarkStart w:id="19" w:name="_Hlk188609420"/>
      <w:proofErr w:type="spellStart"/>
      <w:r w:rsidRPr="00043F87">
        <w:t>Yagüe</w:t>
      </w:r>
      <w:proofErr w:type="spellEnd"/>
      <w:r w:rsidRPr="00043F87">
        <w:t xml:space="preserve"> L., Linares J., Arenas E., Romero J., 2024, Biohydrogen production through biomethane steam reforming with CCUS for decarbonizing Spain’s tile industry, Results in Engineering, 24, 103361.</w:t>
      </w:r>
    </w:p>
    <w:bookmarkEnd w:id="19"/>
    <w:p w14:paraId="433677E7" w14:textId="77777777" w:rsidR="009F7407" w:rsidRPr="00043F87" w:rsidRDefault="009F7407" w:rsidP="009F7407">
      <w:pPr>
        <w:pStyle w:val="CETReferencetext"/>
      </w:pPr>
      <w:r w:rsidRPr="00043F87">
        <w:t xml:space="preserve">Yao J, </w:t>
      </w:r>
      <w:proofErr w:type="spellStart"/>
      <w:r w:rsidRPr="00043F87">
        <w:t>Kraussler</w:t>
      </w:r>
      <w:proofErr w:type="spellEnd"/>
      <w:r w:rsidRPr="00043F87">
        <w:t xml:space="preserve"> M, Benedikt F, Hofbauer H., 2017, Techno-economic assessment of hydrogen production based on dual fluidized bed biomass steam gasification, biogas steam reforming, and alkaline water electrolysis processes, Energy Conversion and Management, 145, 278–292.</w:t>
      </w:r>
    </w:p>
    <w:p w14:paraId="1BA2A1FA" w14:textId="77777777" w:rsidR="009F7407" w:rsidRPr="00043F87" w:rsidRDefault="009F7407" w:rsidP="009F7407">
      <w:pPr>
        <w:pStyle w:val="CETReferencetext"/>
      </w:pPr>
      <w:r w:rsidRPr="00043F87">
        <w:t>Zhang Y., Brown T., Hu G., Brown R., 2013, Comparative techno-economic analysis of biohydrogen production via bio-oil gasification and bio-oil reforming, Biomass and Bioenergy, 51, 99–108.</w:t>
      </w:r>
    </w:p>
    <w:sectPr w:rsidR="009F7407" w:rsidRPr="00043F87"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9DE0B" w14:textId="77777777" w:rsidR="00E77753" w:rsidRDefault="00E77753" w:rsidP="004F5E36">
      <w:r>
        <w:separator/>
      </w:r>
    </w:p>
  </w:endnote>
  <w:endnote w:type="continuationSeparator" w:id="0">
    <w:p w14:paraId="646F3EE0" w14:textId="77777777" w:rsidR="00E77753" w:rsidRDefault="00E7775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5D210" w14:textId="77777777" w:rsidR="00E77753" w:rsidRDefault="00E77753" w:rsidP="004F5E36">
      <w:r>
        <w:separator/>
      </w:r>
    </w:p>
  </w:footnote>
  <w:footnote w:type="continuationSeparator" w:id="0">
    <w:p w14:paraId="29C7EA34" w14:textId="77777777" w:rsidR="00E77753" w:rsidRDefault="00E7775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148D"/>
    <w:rsid w:val="00031EEC"/>
    <w:rsid w:val="00043F87"/>
    <w:rsid w:val="00051566"/>
    <w:rsid w:val="000562A9"/>
    <w:rsid w:val="00062A9A"/>
    <w:rsid w:val="00065058"/>
    <w:rsid w:val="000848FE"/>
    <w:rsid w:val="00086C39"/>
    <w:rsid w:val="000A03B2"/>
    <w:rsid w:val="000D0268"/>
    <w:rsid w:val="000D34BE"/>
    <w:rsid w:val="000E0B3C"/>
    <w:rsid w:val="000E102F"/>
    <w:rsid w:val="000E36F1"/>
    <w:rsid w:val="000E3A73"/>
    <w:rsid w:val="000E414A"/>
    <w:rsid w:val="000E75FD"/>
    <w:rsid w:val="000F093C"/>
    <w:rsid w:val="000F787B"/>
    <w:rsid w:val="0012091F"/>
    <w:rsid w:val="00126BC2"/>
    <w:rsid w:val="001308B6"/>
    <w:rsid w:val="0013121F"/>
    <w:rsid w:val="00131FE6"/>
    <w:rsid w:val="0013263F"/>
    <w:rsid w:val="001331DF"/>
    <w:rsid w:val="00134DE4"/>
    <w:rsid w:val="0014034D"/>
    <w:rsid w:val="00140FE3"/>
    <w:rsid w:val="00144D16"/>
    <w:rsid w:val="00150E59"/>
    <w:rsid w:val="00152DE3"/>
    <w:rsid w:val="00164CF9"/>
    <w:rsid w:val="0016668E"/>
    <w:rsid w:val="001667A6"/>
    <w:rsid w:val="0018171E"/>
    <w:rsid w:val="00184AD6"/>
    <w:rsid w:val="001A4AF7"/>
    <w:rsid w:val="001B0349"/>
    <w:rsid w:val="001B1E93"/>
    <w:rsid w:val="001B65C1"/>
    <w:rsid w:val="001C260F"/>
    <w:rsid w:val="001C5C3A"/>
    <w:rsid w:val="001C684B"/>
    <w:rsid w:val="001D0CFB"/>
    <w:rsid w:val="001D21AF"/>
    <w:rsid w:val="001D3D32"/>
    <w:rsid w:val="001D53FC"/>
    <w:rsid w:val="001F42A5"/>
    <w:rsid w:val="001F7B9D"/>
    <w:rsid w:val="00201C93"/>
    <w:rsid w:val="002224B4"/>
    <w:rsid w:val="002447EF"/>
    <w:rsid w:val="00251550"/>
    <w:rsid w:val="00263B05"/>
    <w:rsid w:val="0027221A"/>
    <w:rsid w:val="00275B61"/>
    <w:rsid w:val="00280FAF"/>
    <w:rsid w:val="00282656"/>
    <w:rsid w:val="00290938"/>
    <w:rsid w:val="00296B83"/>
    <w:rsid w:val="002B4015"/>
    <w:rsid w:val="002B78CE"/>
    <w:rsid w:val="002C2FB6"/>
    <w:rsid w:val="002E5FA7"/>
    <w:rsid w:val="002F3309"/>
    <w:rsid w:val="003008CE"/>
    <w:rsid w:val="003009B7"/>
    <w:rsid w:val="00300E56"/>
    <w:rsid w:val="0030152C"/>
    <w:rsid w:val="0030469C"/>
    <w:rsid w:val="00304CE8"/>
    <w:rsid w:val="00321CA6"/>
    <w:rsid w:val="00323763"/>
    <w:rsid w:val="00323C5F"/>
    <w:rsid w:val="00334C09"/>
    <w:rsid w:val="00361724"/>
    <w:rsid w:val="003723D4"/>
    <w:rsid w:val="00381905"/>
    <w:rsid w:val="00384CC8"/>
    <w:rsid w:val="003871FD"/>
    <w:rsid w:val="003A1E30"/>
    <w:rsid w:val="003A2829"/>
    <w:rsid w:val="003A7D1C"/>
    <w:rsid w:val="003B304B"/>
    <w:rsid w:val="003B3146"/>
    <w:rsid w:val="003B49CD"/>
    <w:rsid w:val="003B690D"/>
    <w:rsid w:val="003D1E02"/>
    <w:rsid w:val="003F015E"/>
    <w:rsid w:val="00400414"/>
    <w:rsid w:val="0041446B"/>
    <w:rsid w:val="0044071E"/>
    <w:rsid w:val="0044329C"/>
    <w:rsid w:val="00453E24"/>
    <w:rsid w:val="00457456"/>
    <w:rsid w:val="004577FE"/>
    <w:rsid w:val="00457B9C"/>
    <w:rsid w:val="0046164A"/>
    <w:rsid w:val="004628D2"/>
    <w:rsid w:val="00462DCD"/>
    <w:rsid w:val="004648AD"/>
    <w:rsid w:val="004703A9"/>
    <w:rsid w:val="004760DE"/>
    <w:rsid w:val="004763D7"/>
    <w:rsid w:val="00477FF0"/>
    <w:rsid w:val="004A004E"/>
    <w:rsid w:val="004A24CF"/>
    <w:rsid w:val="004C3D1D"/>
    <w:rsid w:val="004C3D84"/>
    <w:rsid w:val="004C7913"/>
    <w:rsid w:val="004E4DD6"/>
    <w:rsid w:val="004F5E36"/>
    <w:rsid w:val="00507B47"/>
    <w:rsid w:val="00507BEF"/>
    <w:rsid w:val="00507CC9"/>
    <w:rsid w:val="005119A5"/>
    <w:rsid w:val="005278B7"/>
    <w:rsid w:val="00532016"/>
    <w:rsid w:val="005346C8"/>
    <w:rsid w:val="00543E7D"/>
    <w:rsid w:val="00547A68"/>
    <w:rsid w:val="005531C9"/>
    <w:rsid w:val="00554879"/>
    <w:rsid w:val="00570C43"/>
    <w:rsid w:val="00592274"/>
    <w:rsid w:val="005B2110"/>
    <w:rsid w:val="005B350B"/>
    <w:rsid w:val="005B61E6"/>
    <w:rsid w:val="005C77E1"/>
    <w:rsid w:val="005D668A"/>
    <w:rsid w:val="005D6A2F"/>
    <w:rsid w:val="005E0592"/>
    <w:rsid w:val="005E1A82"/>
    <w:rsid w:val="005E794C"/>
    <w:rsid w:val="005F0A28"/>
    <w:rsid w:val="005F0E5E"/>
    <w:rsid w:val="00600535"/>
    <w:rsid w:val="00610CD6"/>
    <w:rsid w:val="00620DEE"/>
    <w:rsid w:val="00621F92"/>
    <w:rsid w:val="0062280A"/>
    <w:rsid w:val="006231E1"/>
    <w:rsid w:val="00625639"/>
    <w:rsid w:val="00626342"/>
    <w:rsid w:val="00631B33"/>
    <w:rsid w:val="0064184D"/>
    <w:rsid w:val="006422CC"/>
    <w:rsid w:val="00651D18"/>
    <w:rsid w:val="00660E3E"/>
    <w:rsid w:val="00662E74"/>
    <w:rsid w:val="00680C23"/>
    <w:rsid w:val="00683E23"/>
    <w:rsid w:val="00693766"/>
    <w:rsid w:val="006A3281"/>
    <w:rsid w:val="006A6DE5"/>
    <w:rsid w:val="006B4888"/>
    <w:rsid w:val="006C2E45"/>
    <w:rsid w:val="006C359C"/>
    <w:rsid w:val="006C5579"/>
    <w:rsid w:val="006D6E8B"/>
    <w:rsid w:val="006D7209"/>
    <w:rsid w:val="006E1064"/>
    <w:rsid w:val="006E737D"/>
    <w:rsid w:val="00707DD1"/>
    <w:rsid w:val="00713973"/>
    <w:rsid w:val="00720A24"/>
    <w:rsid w:val="00732386"/>
    <w:rsid w:val="0073514D"/>
    <w:rsid w:val="007447F3"/>
    <w:rsid w:val="0075499F"/>
    <w:rsid w:val="007661C8"/>
    <w:rsid w:val="0077098D"/>
    <w:rsid w:val="00785BF9"/>
    <w:rsid w:val="0079193A"/>
    <w:rsid w:val="007931FA"/>
    <w:rsid w:val="007A4861"/>
    <w:rsid w:val="007A7BBA"/>
    <w:rsid w:val="007B0C50"/>
    <w:rsid w:val="007B48F9"/>
    <w:rsid w:val="007C1A43"/>
    <w:rsid w:val="007D0951"/>
    <w:rsid w:val="007D610D"/>
    <w:rsid w:val="0080013E"/>
    <w:rsid w:val="00801759"/>
    <w:rsid w:val="00807AF3"/>
    <w:rsid w:val="00813288"/>
    <w:rsid w:val="008168FC"/>
    <w:rsid w:val="00830996"/>
    <w:rsid w:val="008345F1"/>
    <w:rsid w:val="00865B07"/>
    <w:rsid w:val="008667EA"/>
    <w:rsid w:val="008675CB"/>
    <w:rsid w:val="0087637F"/>
    <w:rsid w:val="00892AD5"/>
    <w:rsid w:val="008A1512"/>
    <w:rsid w:val="008D32B9"/>
    <w:rsid w:val="008D433B"/>
    <w:rsid w:val="008D4A16"/>
    <w:rsid w:val="008E5401"/>
    <w:rsid w:val="008E566E"/>
    <w:rsid w:val="0090161A"/>
    <w:rsid w:val="00901EB6"/>
    <w:rsid w:val="009041F8"/>
    <w:rsid w:val="00904C62"/>
    <w:rsid w:val="00922BA8"/>
    <w:rsid w:val="00924DAC"/>
    <w:rsid w:val="00927058"/>
    <w:rsid w:val="00942750"/>
    <w:rsid w:val="009450CE"/>
    <w:rsid w:val="009459BB"/>
    <w:rsid w:val="00947179"/>
    <w:rsid w:val="0095164B"/>
    <w:rsid w:val="00954090"/>
    <w:rsid w:val="009573E7"/>
    <w:rsid w:val="009615CD"/>
    <w:rsid w:val="00963E05"/>
    <w:rsid w:val="00964A45"/>
    <w:rsid w:val="00967843"/>
    <w:rsid w:val="00967D54"/>
    <w:rsid w:val="00971028"/>
    <w:rsid w:val="00993B84"/>
    <w:rsid w:val="00994C6A"/>
    <w:rsid w:val="00996483"/>
    <w:rsid w:val="00996F5A"/>
    <w:rsid w:val="009B041A"/>
    <w:rsid w:val="009B6E57"/>
    <w:rsid w:val="009C37C3"/>
    <w:rsid w:val="009C7C86"/>
    <w:rsid w:val="009D2FF7"/>
    <w:rsid w:val="009E7884"/>
    <w:rsid w:val="009E788A"/>
    <w:rsid w:val="009F0E08"/>
    <w:rsid w:val="009F7407"/>
    <w:rsid w:val="00A079AE"/>
    <w:rsid w:val="00A1763D"/>
    <w:rsid w:val="00A17CEC"/>
    <w:rsid w:val="00A27EF0"/>
    <w:rsid w:val="00A42361"/>
    <w:rsid w:val="00A50B20"/>
    <w:rsid w:val="00A51390"/>
    <w:rsid w:val="00A60D13"/>
    <w:rsid w:val="00A7223D"/>
    <w:rsid w:val="00A72745"/>
    <w:rsid w:val="00A76EFC"/>
    <w:rsid w:val="00A87D50"/>
    <w:rsid w:val="00A91010"/>
    <w:rsid w:val="00A97F29"/>
    <w:rsid w:val="00AA702E"/>
    <w:rsid w:val="00AA7D26"/>
    <w:rsid w:val="00AB0964"/>
    <w:rsid w:val="00AB5011"/>
    <w:rsid w:val="00AC7368"/>
    <w:rsid w:val="00AD16B9"/>
    <w:rsid w:val="00AE377D"/>
    <w:rsid w:val="00AF0EBA"/>
    <w:rsid w:val="00AF2463"/>
    <w:rsid w:val="00B02C8A"/>
    <w:rsid w:val="00B043C2"/>
    <w:rsid w:val="00B17FBD"/>
    <w:rsid w:val="00B315A6"/>
    <w:rsid w:val="00B31813"/>
    <w:rsid w:val="00B33365"/>
    <w:rsid w:val="00B57B36"/>
    <w:rsid w:val="00B57E6F"/>
    <w:rsid w:val="00B817B5"/>
    <w:rsid w:val="00B8686D"/>
    <w:rsid w:val="00B93F69"/>
    <w:rsid w:val="00B96DB2"/>
    <w:rsid w:val="00BA50A1"/>
    <w:rsid w:val="00BB1DDC"/>
    <w:rsid w:val="00BC30C9"/>
    <w:rsid w:val="00BD077D"/>
    <w:rsid w:val="00BE3E58"/>
    <w:rsid w:val="00BF13CE"/>
    <w:rsid w:val="00C01616"/>
    <w:rsid w:val="00C0162B"/>
    <w:rsid w:val="00C068ED"/>
    <w:rsid w:val="00C148A9"/>
    <w:rsid w:val="00C22E0C"/>
    <w:rsid w:val="00C3129F"/>
    <w:rsid w:val="00C345B1"/>
    <w:rsid w:val="00C40142"/>
    <w:rsid w:val="00C52C3C"/>
    <w:rsid w:val="00C57182"/>
    <w:rsid w:val="00C57863"/>
    <w:rsid w:val="00C640AF"/>
    <w:rsid w:val="00C655FD"/>
    <w:rsid w:val="00C71016"/>
    <w:rsid w:val="00C75407"/>
    <w:rsid w:val="00C841C6"/>
    <w:rsid w:val="00C870A8"/>
    <w:rsid w:val="00C94434"/>
    <w:rsid w:val="00C956D5"/>
    <w:rsid w:val="00CA0D75"/>
    <w:rsid w:val="00CA1C95"/>
    <w:rsid w:val="00CA5A9C"/>
    <w:rsid w:val="00CC4C20"/>
    <w:rsid w:val="00CD3517"/>
    <w:rsid w:val="00CD5FE2"/>
    <w:rsid w:val="00CE7C68"/>
    <w:rsid w:val="00D02B4C"/>
    <w:rsid w:val="00D040C4"/>
    <w:rsid w:val="00D20AD1"/>
    <w:rsid w:val="00D2582C"/>
    <w:rsid w:val="00D46B7E"/>
    <w:rsid w:val="00D57C84"/>
    <w:rsid w:val="00D6057D"/>
    <w:rsid w:val="00D71640"/>
    <w:rsid w:val="00D836C5"/>
    <w:rsid w:val="00D84576"/>
    <w:rsid w:val="00DA1399"/>
    <w:rsid w:val="00DA24C6"/>
    <w:rsid w:val="00DA4D7B"/>
    <w:rsid w:val="00DC2840"/>
    <w:rsid w:val="00DC73EE"/>
    <w:rsid w:val="00DD271C"/>
    <w:rsid w:val="00DE264A"/>
    <w:rsid w:val="00DF5072"/>
    <w:rsid w:val="00E02D18"/>
    <w:rsid w:val="00E041E7"/>
    <w:rsid w:val="00E23CA1"/>
    <w:rsid w:val="00E409A8"/>
    <w:rsid w:val="00E50C12"/>
    <w:rsid w:val="00E5550C"/>
    <w:rsid w:val="00E65B91"/>
    <w:rsid w:val="00E7209D"/>
    <w:rsid w:val="00E72EAD"/>
    <w:rsid w:val="00E77223"/>
    <w:rsid w:val="00E77753"/>
    <w:rsid w:val="00E8528B"/>
    <w:rsid w:val="00E85B94"/>
    <w:rsid w:val="00E978D0"/>
    <w:rsid w:val="00EA4613"/>
    <w:rsid w:val="00EA7F91"/>
    <w:rsid w:val="00EB1523"/>
    <w:rsid w:val="00EC0E49"/>
    <w:rsid w:val="00EC101F"/>
    <w:rsid w:val="00EC1D9F"/>
    <w:rsid w:val="00EE0131"/>
    <w:rsid w:val="00EE17B0"/>
    <w:rsid w:val="00EF06D9"/>
    <w:rsid w:val="00F3049E"/>
    <w:rsid w:val="00F30C64"/>
    <w:rsid w:val="00F32BA2"/>
    <w:rsid w:val="00F32CDB"/>
    <w:rsid w:val="00F41EE4"/>
    <w:rsid w:val="00F565FE"/>
    <w:rsid w:val="00F63A70"/>
    <w:rsid w:val="00F63D8C"/>
    <w:rsid w:val="00F7534E"/>
    <w:rsid w:val="00F93EDF"/>
    <w:rsid w:val="00FA1802"/>
    <w:rsid w:val="00FA21D0"/>
    <w:rsid w:val="00FA5F5F"/>
    <w:rsid w:val="00FB15F1"/>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customStyle="1" w:styleId="rynqvb">
    <w:name w:val="rynqvb"/>
    <w:basedOn w:val="Carpredefinitoparagrafo"/>
    <w:rsid w:val="00361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3456</Words>
  <Characters>19705</Characters>
  <Application>Microsoft Office Word</Application>
  <DocSecurity>0</DocSecurity>
  <Lines>164</Lines>
  <Paragraphs>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Max Jorge Antonio Romero Rivas</cp:lastModifiedBy>
  <cp:revision>4</cp:revision>
  <cp:lastPrinted>2015-05-12T18:31:00Z</cp:lastPrinted>
  <dcterms:created xsi:type="dcterms:W3CDTF">2025-04-20T14:17:00Z</dcterms:created>
  <dcterms:modified xsi:type="dcterms:W3CDTF">2025-04-30T07:20:00Z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