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1E4C8D">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1E4C8D">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1E4C8D">
        <w:trPr>
          <w:trHeight w:val="68"/>
          <w:jc w:val="center"/>
        </w:trPr>
        <w:tc>
          <w:tcPr>
            <w:tcW w:w="8782"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53F4F133" w14:textId="77777777" w:rsidR="001E4C8D" w:rsidRPr="00B57B36" w:rsidRDefault="001E4C8D" w:rsidP="001E4C8D">
      <w:pPr>
        <w:pStyle w:val="CETTitle"/>
      </w:pPr>
      <w:r>
        <w:t>Exploring a bicarbonate-based carbon capture approach applicability to industrially relevant marine microalgae</w:t>
      </w:r>
      <w:r w:rsidRPr="00B57B36">
        <w:t xml:space="preserve"> </w:t>
      </w:r>
    </w:p>
    <w:p w14:paraId="0488FED2" w14:textId="7F08E54E" w:rsidR="00B57E6F" w:rsidRPr="001E4C8D" w:rsidRDefault="001E4C8D" w:rsidP="00B57E6F">
      <w:pPr>
        <w:pStyle w:val="CETAuthors"/>
        <w:rPr>
          <w:lang w:val="it-IT"/>
        </w:rPr>
      </w:pPr>
      <w:r w:rsidRPr="001E4C8D">
        <w:rPr>
          <w:lang w:val="it-IT"/>
        </w:rPr>
        <w:t>Danilo Marchese</w:t>
      </w:r>
      <w:r w:rsidRPr="001E4C8D">
        <w:rPr>
          <w:vertAlign w:val="superscript"/>
          <w:lang w:val="it-IT"/>
        </w:rPr>
        <w:t>a,</w:t>
      </w:r>
      <w:r w:rsidRPr="001E4C8D">
        <w:rPr>
          <w:lang w:val="it-IT"/>
        </w:rPr>
        <w:t>*, Ales</w:t>
      </w:r>
      <w:r>
        <w:rPr>
          <w:lang w:val="it-IT"/>
        </w:rPr>
        <w:t>s</w:t>
      </w:r>
      <w:r w:rsidRPr="001E4C8D">
        <w:rPr>
          <w:lang w:val="it-IT"/>
        </w:rPr>
        <w:t>andro Rosengart</w:t>
      </w:r>
      <w:r w:rsidRPr="001E4C8D">
        <w:rPr>
          <w:vertAlign w:val="superscript"/>
          <w:lang w:val="it-IT"/>
        </w:rPr>
        <w:t>b</w:t>
      </w:r>
      <w:r w:rsidRPr="001E4C8D">
        <w:rPr>
          <w:lang w:val="it-IT"/>
        </w:rPr>
        <w:t>, Elena Barbera</w:t>
      </w:r>
      <w:r w:rsidRPr="001E4C8D">
        <w:rPr>
          <w:vertAlign w:val="superscript"/>
          <w:lang w:val="it-IT"/>
        </w:rPr>
        <w:t>a</w:t>
      </w:r>
      <w:r w:rsidRPr="001E4C8D">
        <w:rPr>
          <w:lang w:val="it-IT"/>
        </w:rPr>
        <w:t>, Eleonora Sforza</w:t>
      </w:r>
      <w:r w:rsidRPr="001E4C8D">
        <w:rPr>
          <w:vertAlign w:val="superscript"/>
          <w:lang w:val="it-IT"/>
        </w:rPr>
        <w:t>a</w:t>
      </w:r>
      <w:r w:rsidRPr="001E4C8D">
        <w:rPr>
          <w:lang w:val="it-IT"/>
        </w:rPr>
        <w:t xml:space="preserve"> </w:t>
      </w:r>
    </w:p>
    <w:p w14:paraId="61BBA876" w14:textId="09F8654C" w:rsidR="001E4C8D" w:rsidRDefault="00B57E6F" w:rsidP="001E4C8D">
      <w:pPr>
        <w:pStyle w:val="CETAddress"/>
        <w:rPr>
          <w:shd w:val="clear" w:color="auto" w:fill="FFFFFF"/>
        </w:rPr>
      </w:pPr>
      <w:r w:rsidRPr="00B57B36">
        <w:rPr>
          <w:vertAlign w:val="superscript"/>
        </w:rPr>
        <w:t>a</w:t>
      </w:r>
      <w:r w:rsidR="001E4C8D" w:rsidRPr="001E4C8D">
        <w:rPr>
          <w:shd w:val="clear" w:color="auto" w:fill="FFFFFF"/>
        </w:rPr>
        <w:t xml:space="preserve"> </w:t>
      </w:r>
      <w:r w:rsidR="001E4C8D" w:rsidRPr="00946883">
        <w:rPr>
          <w:shd w:val="clear" w:color="auto" w:fill="FFFFFF"/>
        </w:rPr>
        <w:t>Department of Industrial Engineering DII, University of Padova, Via Marzolo 9, 35131 Padova</w:t>
      </w:r>
      <w:r w:rsidR="005A45A9">
        <w:rPr>
          <w:shd w:val="clear" w:color="auto" w:fill="FFFFFF"/>
        </w:rPr>
        <w:t xml:space="preserve"> (PD)</w:t>
      </w:r>
      <w:r w:rsidR="001E4C8D" w:rsidRPr="00946883">
        <w:rPr>
          <w:shd w:val="clear" w:color="auto" w:fill="FFFFFF"/>
        </w:rPr>
        <w:t>, Italy</w:t>
      </w:r>
    </w:p>
    <w:p w14:paraId="3686438C" w14:textId="77777777" w:rsidR="001E4C8D" w:rsidRDefault="00B57E6F" w:rsidP="001E4C8D">
      <w:pPr>
        <w:pStyle w:val="CETAddress"/>
        <w:rPr>
          <w:shd w:val="clear" w:color="auto" w:fill="FFFFFF"/>
          <w:lang w:val="it-IT"/>
        </w:rPr>
      </w:pPr>
      <w:r w:rsidRPr="001E4C8D">
        <w:rPr>
          <w:vertAlign w:val="superscript"/>
          <w:lang w:val="it-IT"/>
        </w:rPr>
        <w:t>b</w:t>
      </w:r>
      <w:r w:rsidRPr="001E4C8D">
        <w:rPr>
          <w:lang w:val="it-IT"/>
        </w:rPr>
        <w:t xml:space="preserve"> </w:t>
      </w:r>
      <w:r w:rsidR="001E4C8D" w:rsidRPr="001E4C8D">
        <w:rPr>
          <w:shd w:val="clear" w:color="auto" w:fill="FFFFFF"/>
          <w:lang w:val="it-IT"/>
        </w:rPr>
        <w:t>VTU Engineering, Via della Vittoria 90, 30035 Mirano (Ve), Italy</w:t>
      </w:r>
    </w:p>
    <w:p w14:paraId="73F1267A" w14:textId="50EA4447" w:rsidR="00B57E6F" w:rsidRDefault="009151F7" w:rsidP="001E4C8D">
      <w:pPr>
        <w:pStyle w:val="CETAddress"/>
      </w:pPr>
      <w:hyperlink r:id="rId10" w:history="1">
        <w:r w:rsidRPr="00D80030">
          <w:rPr>
            <w:rStyle w:val="Collegamentoipertestuale"/>
            <w:shd w:val="clear" w:color="auto" w:fill="FFFFFF"/>
          </w:rPr>
          <w:t>danilo.marchese</w:t>
        </w:r>
        <w:r w:rsidRPr="00D80030">
          <w:rPr>
            <w:rStyle w:val="Collegamentoipertestuale"/>
          </w:rPr>
          <w:t>@phd.unipd.it</w:t>
        </w:r>
      </w:hyperlink>
    </w:p>
    <w:p w14:paraId="16031ED0" w14:textId="77777777" w:rsidR="009151F7" w:rsidRDefault="009151F7" w:rsidP="001E4C8D">
      <w:pPr>
        <w:pStyle w:val="CETBodytext"/>
      </w:pPr>
    </w:p>
    <w:p w14:paraId="775743C8" w14:textId="034492AC" w:rsidR="009151F7" w:rsidRPr="00EA0044" w:rsidRDefault="00DB67A4" w:rsidP="001E4C8D">
      <w:pPr>
        <w:pStyle w:val="CETBodytext"/>
      </w:pPr>
      <w:r>
        <w:t>Microalgae represent the primary producers of valuable molecules in the marine ecosystems, such as essential fatty acids and antioxidants</w:t>
      </w:r>
      <w:r w:rsidR="003A74DF">
        <w:t>,</w:t>
      </w:r>
      <w:r>
        <w:t xml:space="preserve"> that can be exploited as nutritive supplements in animal feeds and human food, as well as in nutraceuticals. </w:t>
      </w:r>
      <w:r w:rsidR="00FB7E40">
        <w:t>However</w:t>
      </w:r>
      <w:r>
        <w:t>, their i</w:t>
      </w:r>
      <w:r w:rsidR="009151F7">
        <w:t xml:space="preserve">ndustrial massive production is </w:t>
      </w:r>
      <w:r w:rsidR="00FB7E40">
        <w:t>currently</w:t>
      </w:r>
      <w:r w:rsidR="009151F7">
        <w:t xml:space="preserve"> limited by high cultivation costs. CO</w:t>
      </w:r>
      <w:r w:rsidR="009151F7">
        <w:rPr>
          <w:vertAlign w:val="subscript"/>
        </w:rPr>
        <w:t>2</w:t>
      </w:r>
      <w:r w:rsidR="009151F7">
        <w:t xml:space="preserve"> insufflation and management as well as </w:t>
      </w:r>
      <w:r>
        <w:t>mixing and cooling operations</w:t>
      </w:r>
      <w:r w:rsidR="009151F7">
        <w:t xml:space="preserve"> require an important energetic investment, </w:t>
      </w:r>
      <w:r>
        <w:t>decreasing the</w:t>
      </w:r>
      <w:r w:rsidR="009151F7">
        <w:t xml:space="preserve"> overall </w:t>
      </w:r>
      <w:r w:rsidR="00FB7E40">
        <w:t xml:space="preserve">profitability </w:t>
      </w:r>
      <w:r w:rsidR="009151F7">
        <w:t xml:space="preserve">of the process. The </w:t>
      </w:r>
      <w:r>
        <w:t>recently theorized BICCAPSO (</w:t>
      </w:r>
      <w:r w:rsidRPr="00DB67A4">
        <w:rPr>
          <w:i/>
          <w:iCs/>
        </w:rPr>
        <w:t>Bicarbonate-based Induced Carbon Capture and Algae Production System on Ocean</w:t>
      </w:r>
      <w:r>
        <w:rPr>
          <w:i/>
          <w:iCs/>
        </w:rPr>
        <w:t>)</w:t>
      </w:r>
      <w:r>
        <w:t xml:space="preserve"> approach aims at addressing these limitations by </w:t>
      </w:r>
      <w:r w:rsidR="009151F7">
        <w:t xml:space="preserve">coupling </w:t>
      </w:r>
      <w:r>
        <w:t xml:space="preserve">the </w:t>
      </w:r>
      <w:r w:rsidR="009151F7">
        <w:t>exploitation of alternative inorganic carbon sources</w:t>
      </w:r>
      <w:r w:rsidR="00B106DB">
        <w:t>, such as sodium bicarbonate,</w:t>
      </w:r>
      <w:r>
        <w:t xml:space="preserve"> with the use of cheaper s</w:t>
      </w:r>
      <w:r w:rsidR="009151F7">
        <w:t>ea-powered floating photobioreactors</w:t>
      </w:r>
      <w:r>
        <w:t xml:space="preserve">. Although the promising potential, </w:t>
      </w:r>
      <w:r w:rsidR="00B106DB">
        <w:t xml:space="preserve">some challenges must be faced when applying such a cultivation rationale. The use of bicarbonate as sole carbon source, for instance, leads to a progressive pH increase </w:t>
      </w:r>
      <w:r w:rsidR="003A74DF">
        <w:t xml:space="preserve">in </w:t>
      </w:r>
      <w:r w:rsidR="00B106DB">
        <w:t xml:space="preserve">the cultivation environment, affecting both microalgae growth and carbon availability. For this reason, most of the literature regarding </w:t>
      </w:r>
      <w:r w:rsidR="007C54B6">
        <w:t>bicarbonate-based cultivation</w:t>
      </w:r>
      <w:r w:rsidR="00B106DB">
        <w:t xml:space="preserve"> is limited to alkaliphilic microalgae species, </w:t>
      </w:r>
      <w:r w:rsidR="007C54B6">
        <w:t xml:space="preserve">eventually </w:t>
      </w:r>
      <w:r w:rsidR="00B106DB">
        <w:t>excluding industrially-relevant strains. In this work</w:t>
      </w:r>
      <w:r w:rsidR="00EA0044">
        <w:t xml:space="preserve"> </w:t>
      </w:r>
      <w:r w:rsidR="00B106DB">
        <w:t xml:space="preserve">both alkaliphilic and mesophilic microalgae were cultivated </w:t>
      </w:r>
      <w:r w:rsidR="00EA0044">
        <w:t xml:space="preserve">in batch mode </w:t>
      </w:r>
      <w:r w:rsidR="00B106DB">
        <w:t>applying the BICCAPSO approach</w:t>
      </w:r>
      <w:r w:rsidR="00EA0044">
        <w:t>. Results suggest that this strategy can be extended</w:t>
      </w:r>
      <w:r w:rsidR="001839D1">
        <w:t xml:space="preserve"> also</w:t>
      </w:r>
      <w:r w:rsidR="00EA0044">
        <w:t xml:space="preserve"> to mesophilic strain</w:t>
      </w:r>
      <w:r w:rsidR="007C54B6">
        <w:t>s</w:t>
      </w:r>
      <w:r w:rsidR="00EA0044">
        <w:t xml:space="preserve"> when carbon concentration is well-balanced, reaching a maximum biomass productivity of 0.35 g L</w:t>
      </w:r>
      <w:r w:rsidR="00EA0044" w:rsidRPr="000B4822">
        <w:rPr>
          <w:vertAlign w:val="superscript"/>
        </w:rPr>
        <w:t>-1</w:t>
      </w:r>
      <w:r w:rsidR="00EA0044">
        <w:t xml:space="preserve"> d</w:t>
      </w:r>
      <w:r w:rsidR="00EA0044" w:rsidRPr="000B4822">
        <w:rPr>
          <w:vertAlign w:val="superscript"/>
        </w:rPr>
        <w:t>-1</w:t>
      </w:r>
      <w:r w:rsidR="00EA0044">
        <w:t xml:space="preserve"> with the</w:t>
      </w:r>
      <w:r w:rsidR="005C4816">
        <w:t xml:space="preserve"> model</w:t>
      </w:r>
      <w:r w:rsidR="00EA0044">
        <w:t xml:space="preserve"> diatom </w:t>
      </w:r>
      <w:r w:rsidR="00EA0044">
        <w:rPr>
          <w:i/>
          <w:iCs/>
        </w:rPr>
        <w:t>Phaeodactylum tricornutum</w:t>
      </w:r>
      <w:r w:rsidR="00EA0044">
        <w:t xml:space="preserve">. </w:t>
      </w:r>
      <w:r w:rsidR="00EA0044" w:rsidRPr="00457AE2">
        <w:t xml:space="preserve">Moreover, we focused also on pH management, by trying diverse strategies to stabilize this operative variable with the aim of further </w:t>
      </w:r>
      <w:r w:rsidR="000B4822" w:rsidRPr="00457AE2">
        <w:t>increasing</w:t>
      </w:r>
      <w:r w:rsidR="00EA0044" w:rsidRPr="00457AE2">
        <w:t xml:space="preserve"> biomass productivity without affecting process economics.</w:t>
      </w:r>
    </w:p>
    <w:p w14:paraId="5F9DD43A" w14:textId="77777777" w:rsidR="0016218B" w:rsidRDefault="0016218B" w:rsidP="0016218B">
      <w:pPr>
        <w:pStyle w:val="CETBodytext"/>
      </w:pPr>
    </w:p>
    <w:p w14:paraId="233DB8DD" w14:textId="5A2235AF" w:rsidR="0057101E" w:rsidRDefault="0057101E" w:rsidP="0057101E">
      <w:pPr>
        <w:pStyle w:val="CETHeading1"/>
      </w:pPr>
      <w:r>
        <w:t>Introduction</w:t>
      </w:r>
    </w:p>
    <w:p w14:paraId="453F8E18" w14:textId="0828DEF3" w:rsidR="00250E1C" w:rsidRDefault="0016218B" w:rsidP="001E4C8D">
      <w:pPr>
        <w:pStyle w:val="CETBodytext"/>
      </w:pPr>
      <w:r w:rsidRPr="0016218B">
        <w:t>Marine microalgae have been elected as a promising sustainable source of different valuable commodities to be integrated in food, feed and nutraceuticals.</w:t>
      </w:r>
      <w:r w:rsidR="00764857">
        <w:t xml:space="preserve"> To expand this novel market, current efforts must focus on reducing energy investment and, hence, overall cultivation costs</w:t>
      </w:r>
      <w:r w:rsidRPr="0016218B">
        <w:t xml:space="preserve">. </w:t>
      </w:r>
      <w:r w:rsidR="00764857">
        <w:t>For instance</w:t>
      </w:r>
      <w:r w:rsidR="009B73EE">
        <w:t>,</w:t>
      </w:r>
      <w:r w:rsidR="00764857">
        <w:t xml:space="preserve"> c</w:t>
      </w:r>
      <w:r w:rsidRPr="0016218B">
        <w:t>arbon dioxide</w:t>
      </w:r>
      <w:r w:rsidR="00764857">
        <w:t xml:space="preserve"> management, i.e. its</w:t>
      </w:r>
      <w:r w:rsidRPr="0016218B">
        <w:t xml:space="preserve"> </w:t>
      </w:r>
      <w:r w:rsidR="00764857">
        <w:t>transportation, storage and insufflation</w:t>
      </w:r>
      <w:r w:rsidRPr="0016218B">
        <w:t>,</w:t>
      </w:r>
      <w:r w:rsidR="00764857">
        <w:t xml:space="preserve"> accounts for a significant share of the capital and operating costs in microalgae processes</w:t>
      </w:r>
      <w:r w:rsidRPr="0016218B">
        <w:t xml:space="preserve"> </w:t>
      </w:r>
      <w:r w:rsidR="004565DA">
        <w:fldChar w:fldCharType="begin" w:fldLock="1"/>
      </w:r>
      <w:r w:rsidR="004565DA">
        <w:instrText>ADDIN CSL_CITATION {"citationItems":[{"id":"ITEM-1","itemData":{"DOI":"10.1016/j.algal.2021.102339","ISSN":"22119264","abstract":"The current need to reduce greenhouse gas emissions is pushing the incorporation of technologies to achieve industrial decarbonisation in Europe. The present work develops a techno-economic tool that analyses different scenarios to assess microalgae production in some foreseeable situations, and determines the ones in which the contribution of CO2 biofixation would be relevant. The biomass production cost ranged between 0.41 and 13.06 €/kg. It was also possible to recover 0.03–0.1 €/kg CO2 depending on its temporal variation and the amount of biomass produced. This analysis aims to identify the technologies and operational conditions viable for the different applications. According to the scenarios considered, microalgae technology could be competitive if the emission rights market reaches expected costs of approximately 50 €/t CO2 in the near future (2030). Otherwise, microalgae related processes can be also reliable for different medium- and high-value applications, but only if adequate technologies and operational conditions are considered. The information here provided supports decision making processes for microalgae based processes.","author":[{"dropping-particle":"","family":"Llamas","given":"Bernardo","non-dropping-particle":"","parse-names":false,"suffix":""},{"dropping-particle":"","family":"Suárez-Rodríguez","given":"María C.","non-dropping-particle":"","parse-names":false,"suffix":""},{"dropping-particle":"V.","family":"González-López","given":"Cynthia","non-dropping-particle":"","parse-names":false,"suffix":""},{"dropping-particle":"","family":"Mora","given":"Pedro","non-dropping-particle":"","parse-names":false,"suffix":""},{"dropping-particle":"","family":"Acién","given":"F. Gabriel","non-dropping-particle":"","parse-names":false,"suffix":""}],"container-title":"Algal Research","id":"ITEM-1","issue":"December 2020","issued":{"date-parts":[["2021"]]},"title":"Techno-economic analysis of microalgae related processes for CO2 bio-fixation","type":"article-journal","volume":"57"},"uris":["http://www.mendeley.com/documents/?uuid=25897002-52f8-4440-af27-2968f16b89e5"]}],"mendeley":{"formattedCitation":"(Llamas et al. 2021)","plainTextFormattedCitation":"(Llamas et al. 2021)","previouslyFormattedCitation":"(Llamas et al. 2021)"},"properties":{"noteIndex":0},"schema":"https://github.com/citation-style-language/schema/raw/master/csl-citation.json"}</w:instrText>
      </w:r>
      <w:r w:rsidR="004565DA">
        <w:fldChar w:fldCharType="separate"/>
      </w:r>
      <w:r w:rsidR="004565DA" w:rsidRPr="004565DA">
        <w:rPr>
          <w:noProof/>
        </w:rPr>
        <w:t>(Llamas et al. 2021)</w:t>
      </w:r>
      <w:r w:rsidR="004565DA">
        <w:fldChar w:fldCharType="end"/>
      </w:r>
      <w:r w:rsidRPr="0016218B">
        <w:t xml:space="preserve">. </w:t>
      </w:r>
      <w:r w:rsidR="009B73EE">
        <w:t>Furthermore</w:t>
      </w:r>
      <w:r w:rsidRPr="0016218B">
        <w:t>, the efficiency of CO</w:t>
      </w:r>
      <w:r w:rsidRPr="00871F48">
        <w:rPr>
          <w:vertAlign w:val="subscript"/>
        </w:rPr>
        <w:t xml:space="preserve">2 </w:t>
      </w:r>
      <w:r w:rsidRPr="0016218B">
        <w:t>conversion to microalgal biomass through carbon fixation is still quite low</w:t>
      </w:r>
      <w:r w:rsidR="00A77ABE" w:rsidRPr="0016218B">
        <w:t>,</w:t>
      </w:r>
      <w:r w:rsidR="007C54B6">
        <w:t xml:space="preserve"> with</w:t>
      </w:r>
      <w:r w:rsidRPr="0016218B">
        <w:t xml:space="preserve"> </w:t>
      </w:r>
      <w:r w:rsidR="004565DA">
        <w:t>65-90%</w:t>
      </w:r>
      <w:r w:rsidRPr="0016218B">
        <w:t xml:space="preserve"> of the sparged gas lost in the atmosphere</w:t>
      </w:r>
      <w:r w:rsidR="004565DA">
        <w:t xml:space="preserve"> </w:t>
      </w:r>
      <w:r w:rsidR="004565DA">
        <w:fldChar w:fldCharType="begin" w:fldLock="1"/>
      </w:r>
      <w:r w:rsidR="002973D1">
        <w:instrText>ADDIN CSL_CITATION {"citationItems":[{"id":"ITEM-1","itemData":{"DOI":"10.1016/j.algal.2021.102339","ISSN":"22119264","abstract":"The current need to reduce greenhouse gas emissions is pushing the incorporation of technologies to achieve industrial decarbonisation in Europe. The present work develops a techno-economic tool that analyses different scenarios to assess microalgae production in some foreseeable situations, and determines the ones in which the contribution of CO2 biofixation would be relevant. The biomass production cost ranged between 0.41 and 13.06 €/kg. It was also possible to recover 0.03–0.1 €/kg CO2 depending on its temporal variation and the amount of biomass produced. This analysis aims to identify the technologies and operational conditions viable for the different applications. According to the scenarios considered, microalgae technology could be competitive if the emission rights market reaches expected costs of approximately 50 €/t CO2 in the near future (2030). Otherwise, microalgae related processes can be also reliable for different medium- and high-value applications, but only if adequate technologies and operational conditions are considered. The information here provided supports decision making processes for microalgae based processes.","author":[{"dropping-particle":"","family":"Llamas","given":"Bernardo","non-dropping-particle":"","parse-names":false,"suffix":""},{"dropping-particle":"","family":"Suárez-Rodríguez","given":"María C.","non-dropping-particle":"","parse-names":false,"suffix":""},{"dropping-particle":"V.","family":"González-López","given":"Cynthia","non-dropping-particle":"","parse-names":false,"suffix":""},{"dropping-particle":"","family":"Mora","given":"Pedro","non-dropping-particle":"","parse-names":false,"suffix":""},{"dropping-particle":"","family":"Acién","given":"F. Gabriel","non-dropping-particle":"","parse-names":false,"suffix":""}],"container-title":"Algal Research","id":"ITEM-1","issue":"December 2020","issued":{"date-parts":[["2021"]]},"title":"Techno-economic analysis of microalgae related processes for CO2 bio-fixation","type":"article-journal","volume":"57"},"uris":["http://www.mendeley.com/documents/?uuid=25897002-52f8-4440-af27-2968f16b89e5"]}],"mendeley":{"formattedCitation":"(Llamas et al. 2021)","plainTextFormattedCitation":"(Llamas et al. 2021)","previouslyFormattedCitation":"(Llamas et al. 2021)"},"properties":{"noteIndex":0},"schema":"https://github.com/citation-style-language/schema/raw/master/csl-citation.json"}</w:instrText>
      </w:r>
      <w:r w:rsidR="004565DA">
        <w:fldChar w:fldCharType="separate"/>
      </w:r>
      <w:r w:rsidR="004565DA" w:rsidRPr="004565DA">
        <w:rPr>
          <w:noProof/>
        </w:rPr>
        <w:t>(Llamas et al. 2021)</w:t>
      </w:r>
      <w:r w:rsidR="004565DA">
        <w:fldChar w:fldCharType="end"/>
      </w:r>
      <w:r w:rsidRPr="0016218B">
        <w:t>. Therefore, the substitution of this gas with alternative sources of inorganic carbon could be beneficial for future algae farmers to enter the market.</w:t>
      </w:r>
      <w:r w:rsidR="00871F48">
        <w:t xml:space="preserve"> </w:t>
      </w:r>
      <w:r w:rsidR="00871F48">
        <w:fldChar w:fldCharType="begin" w:fldLock="1"/>
      </w:r>
      <w:r w:rsidR="00871F48">
        <w:instrText>ADDIN CSL_CITATION {"citationItems":[{"id":"ITEM-1","itemData":{"DOI":"10.1016/j.tibtech.2011.06.006","ISSN":"01677799","PMID":"21775005","abstract":"Using captured CO 2 to grow microalgae is limited by the high cost of CO 2 capture and transportation, as well as significant CO 2 loss during algae culture. Moreover, algae grow poorly at night, but CO 2 cannot be temporarily stored until sunrise. To address these challenges, we discuss a process where CO 2 is captured as bicarbonate and used as feedstock for algae culture, and the carbonate regenerated by the culture process is used as an absorbent to capture more CO 2. This process would significantly reduce carbon capture costs because it does not require additional energy for carbonate regeneration. Furthermore, not only would transport of the aqueous bicarbonate solution cost less than for that of compressed CO 2, but using bicarbonate would also provide a superior alternative for CO 2 delivery to an algae culture system. © 2011 Elsevier Ltd.","author":[{"dropping-particle":"","family":"Chi","given":"Zhanyou","non-dropping-particle":"","parse-names":false,"suffix":""},{"dropping-particle":"V.","family":"O'Fallon","given":"James","non-dropping-particle":"","parse-names":false,"suffix":""},{"dropping-particle":"","family":"Chen","given":"Shulin","non-dropping-particle":"","parse-names":false,"suffix":""}],"container-title":"Trends in Biotechnology","id":"ITEM-1","issue":"11","issued":{"date-parts":[["2011","11"]]},"page":"537-541","title":"Bicarbonate produced from carbon capture for algae culture","type":"article","volume":"29"},"uris":["http://www.mendeley.com/documents/?uuid=8a0d2380-cdfc-316e-8bcd-4c83daa43caf"]}],"mendeley":{"formattedCitation":"(Chi, O’Fallon, and Chen 2011)","manualFormatting":"Chi et al. (2011)","plainTextFormattedCitation":"(Chi, O’Fallon, and Chen 2011)","previouslyFormattedCitation":"(Chi, O’Fallon, and Chen 2011)"},"properties":{"noteIndex":0},"schema":"https://github.com/citation-style-language/schema/raw/master/csl-citation.json"}</w:instrText>
      </w:r>
      <w:r w:rsidR="00871F48">
        <w:fldChar w:fldCharType="separate"/>
      </w:r>
      <w:r w:rsidR="00871F48" w:rsidRPr="00871F48">
        <w:rPr>
          <w:noProof/>
        </w:rPr>
        <w:t>Chi</w:t>
      </w:r>
      <w:r w:rsidR="00871F48">
        <w:rPr>
          <w:noProof/>
        </w:rPr>
        <w:t xml:space="preserve"> et al.</w:t>
      </w:r>
      <w:r w:rsidR="00871F48" w:rsidRPr="00871F48">
        <w:rPr>
          <w:noProof/>
        </w:rPr>
        <w:t xml:space="preserve"> </w:t>
      </w:r>
      <w:r w:rsidR="00871F48">
        <w:rPr>
          <w:noProof/>
        </w:rPr>
        <w:t>(</w:t>
      </w:r>
      <w:r w:rsidR="00871F48" w:rsidRPr="00871F48">
        <w:rPr>
          <w:noProof/>
        </w:rPr>
        <w:t>2011)</w:t>
      </w:r>
      <w:r w:rsidR="00871F48">
        <w:fldChar w:fldCharType="end"/>
      </w:r>
      <w:r w:rsidRPr="0016218B">
        <w:t xml:space="preserve"> </w:t>
      </w:r>
      <w:r w:rsidR="00871F48">
        <w:t>more than ten years ago</w:t>
      </w:r>
      <w:r w:rsidRPr="0016218B">
        <w:t xml:space="preserve"> theorized the concrete possibility of cultivati</w:t>
      </w:r>
      <w:r w:rsidR="00871F48">
        <w:t>ng</w:t>
      </w:r>
      <w:r w:rsidRPr="0016218B">
        <w:t xml:space="preserve"> microalgae </w:t>
      </w:r>
      <w:r w:rsidR="007C54B6">
        <w:t>exclusively</w:t>
      </w:r>
      <w:r w:rsidR="00A77ABE">
        <w:t xml:space="preserve"> with</w:t>
      </w:r>
      <w:r w:rsidRPr="0016218B">
        <w:t xml:space="preserve"> sodium bicarbonate (NaHCO</w:t>
      </w:r>
      <w:r w:rsidRPr="00871F48">
        <w:rPr>
          <w:vertAlign w:val="subscript"/>
        </w:rPr>
        <w:t>3</w:t>
      </w:r>
      <w:r w:rsidRPr="0016218B">
        <w:t xml:space="preserve">) derived from </w:t>
      </w:r>
      <w:r w:rsidR="00A77ABE">
        <w:t xml:space="preserve">a </w:t>
      </w:r>
      <w:r w:rsidR="007C54B6">
        <w:t>circular</w:t>
      </w:r>
      <w:r w:rsidRPr="0016218B">
        <w:t xml:space="preserve"> CO</w:t>
      </w:r>
      <w:r w:rsidRPr="00871F48">
        <w:rPr>
          <w:vertAlign w:val="subscript"/>
        </w:rPr>
        <w:t>2</w:t>
      </w:r>
      <w:r w:rsidRPr="0016218B">
        <w:t xml:space="preserve"> capture</w:t>
      </w:r>
      <w:r w:rsidR="00A77ABE">
        <w:t xml:space="preserve"> process,</w:t>
      </w:r>
      <w:r w:rsidRPr="0016218B">
        <w:t xml:space="preserve"> based on carbonat</w:t>
      </w:r>
      <w:r w:rsidR="007C54B6">
        <w:t>e</w:t>
      </w:r>
      <w:r w:rsidRPr="0016218B">
        <w:t xml:space="preserve"> (CO</w:t>
      </w:r>
      <w:r w:rsidRPr="00871F48">
        <w:rPr>
          <w:vertAlign w:val="subscript"/>
        </w:rPr>
        <w:t>3</w:t>
      </w:r>
      <w:r w:rsidRPr="00871F48">
        <w:rPr>
          <w:vertAlign w:val="superscript"/>
        </w:rPr>
        <w:t>2-</w:t>
      </w:r>
      <w:r w:rsidRPr="0016218B">
        <w:t>)</w:t>
      </w:r>
      <w:r w:rsidR="007C54B6">
        <w:t xml:space="preserve"> exploitation</w:t>
      </w:r>
      <w:r w:rsidRPr="0016218B">
        <w:t>, in an innovative cultivation approach named BICCAPS (</w:t>
      </w:r>
      <w:r w:rsidRPr="00871F48">
        <w:rPr>
          <w:i/>
          <w:iCs/>
        </w:rPr>
        <w:t>Bicarbonate-based Induced Carbon Capture and Algae Production System</w:t>
      </w:r>
      <w:r w:rsidRPr="0016218B">
        <w:t>).</w:t>
      </w:r>
      <w:r w:rsidR="00A77ABE">
        <w:t xml:space="preserve"> </w:t>
      </w:r>
      <w:r w:rsidR="009B73EE">
        <w:t xml:space="preserve">Applying this approach to microalgae cultivation processes offers advantages over conventional ones, including higher carbon utilization efficiency (CUE) due to bicarbonate’s greater solubility in water than </w:t>
      </w:r>
      <w:r w:rsidR="009B73EE" w:rsidRPr="009B73EE">
        <w:t>CO</w:t>
      </w:r>
      <w:r w:rsidR="009B73EE" w:rsidRPr="009B73EE">
        <w:rPr>
          <w:vertAlign w:val="subscript"/>
        </w:rPr>
        <w:t>2</w:t>
      </w:r>
      <w:r w:rsidRPr="0016218B">
        <w:t xml:space="preserve"> </w:t>
      </w:r>
      <w:r w:rsidR="002973D1">
        <w:fldChar w:fldCharType="begin" w:fldLock="1"/>
      </w:r>
      <w:r w:rsidR="00C33875">
        <w:instrText>ADDIN CSL_CITATION {"citationItems":[{"id":"ITEM-1","itemData":{"DOI":"10.1016/j.cej.2024.157998","ISSN":"13858947","abstract":"Conventional carbon fixation by microalgae involves the direct introduction of CO2 as the carbon source for microalgal growth. However, CO2 displays low solubility in water and a low mass transfer rate into microalgal cells, limiting the efficiency of CO2 capture. Microalgae production using bicarbonate-based cultivation has gained significant attention recently due to its potential applications in biofuel production, wastewater treatment, and carbon capture. Microalgae can uptake and assimilate bicarbonate as an inorganic carbon source based on their capability for intracellular and extracellular interconversion of carbon dioxide and bicarbonate. This interconversion, catalyzed by carbonic anhydrases, is an integral part of carbon acquisition using carbon concentrating mechanisms. In contrast to photoautotrophic growth using CO2, the pH of the culture medium increases significantly during bicarbonate assimilation. Thus, pH-stat cultivation needs to be adapted to attain maximal biomass production. Other strategies, such as optimization of bicarbonate concentration, combining bicarbonate as an additional carbon source in mixotrophic cultivation, and bicarbonate supplementation in wastewater treatment, can be applied to harness the potential of a highly soluble inorganic carbon source in an algal culture system. This comprehensive review presents bicarbonate-based microalgal cultivation technologies, particularly their underlying mechanisms, benefits and challenges, essential strategies, and prospective outlook. Prospective avenues for future research are outlined to support the advancement of cost-effective and green, microalgae-based integrated carbon capture, biofuel generation, high-value biochemical production, and wastewater treatment systems, thereby promoting a circular and sustainable net-zero carbon society.","author":[{"dropping-particle":"","family":"Latagan","given":"Mary Joy D.","non-dropping-particle":"","parse-names":false,"suffix":""},{"dropping-particle":"","family":"Nagarajan","given":"Dillirani","non-dropping-particle":"","parse-names":false,"suffix":""},{"dropping-particle":"","family":"Huang","given":"Wei Ming","non-dropping-particle":"","parse-names":false,"suffix":""},{"dropping-particle":"","family":"Luna","given":"Mark Daniel G.","non-dropping-particle":"de","parse-names":false,"suffix":""},{"dropping-particle":"","family":"Chen","given":"Jih Heng","non-dropping-particle":"","parse-names":false,"suffix":""},{"dropping-particle":"","family":"Rollon","given":"Analiza P.","non-dropping-particle":"","parse-names":false,"suffix":""},{"dropping-particle":"","family":"Ng","given":"I. Son","non-dropping-particle":"","parse-names":false,"suffix":""},{"dropping-particle":"","family":"Lee","given":"Duu Jong","non-dropping-particle":"","parse-names":false,"suffix":""},{"dropping-particle":"","family":"Chang","given":"Jo Shu","non-dropping-particle":"","parse-names":false,"suffix":""}],"container-title":"Chemical Engineering Journal","id":"ITEM-1","issue":"September","issued":{"date-parts":[["2024"]]},"publisher":"Elsevier B.V.","title":"Bicarbonate-based microalgal cultivation technologies: Mechanisms, critical strategies, and future perspectives","type":"article-journal","volume":"502"},"uris":["http://www.mendeley.com/documents/?uuid=881eb2ce-972c-46e2-bd8c-8601facd26a5"]}],"mendeley":{"formattedCitation":"(Latagan et al. 2024)","plainTextFormattedCitation":"(Latagan et al. 2024)","previouslyFormattedCitation":"(Latagan et al. 2024)"},"properties":{"noteIndex":0},"schema":"https://github.com/citation-style-language/schema/raw/master/csl-citation.json"}</w:instrText>
      </w:r>
      <w:r w:rsidR="002973D1">
        <w:fldChar w:fldCharType="separate"/>
      </w:r>
      <w:r w:rsidR="002973D1" w:rsidRPr="002973D1">
        <w:rPr>
          <w:noProof/>
        </w:rPr>
        <w:t>(Latagan et al. 2024)</w:t>
      </w:r>
      <w:r w:rsidR="002973D1">
        <w:fldChar w:fldCharType="end"/>
      </w:r>
      <w:r w:rsidRPr="0016218B">
        <w:t>. Nevertheless, carbon fixation in microalgal metabolism leads to progressive alkalinization of the environment if no buffer systems are provided, such as CO</w:t>
      </w:r>
      <w:r w:rsidRPr="00871F48">
        <w:rPr>
          <w:vertAlign w:val="subscript"/>
        </w:rPr>
        <w:t>2</w:t>
      </w:r>
      <w:r w:rsidRPr="0016218B">
        <w:t xml:space="preserve"> sparging</w:t>
      </w:r>
      <w:r w:rsidR="00C33875">
        <w:t xml:space="preserve"> </w:t>
      </w:r>
      <w:r w:rsidR="00C33875">
        <w:fldChar w:fldCharType="begin" w:fldLock="1"/>
      </w:r>
      <w:r w:rsidR="00975A67">
        <w:instrText>ADDIN CSL_CITATION {"citationItems":[{"id":"ITEM-1","itemData":{"DOI":"10.1093/jxb/erm112","ISSN":"00220957","PMID":"17578868","abstract":"Cyanobacteria have evolved a significant environmental adaptation, known as a CO2-concentrating-mechanism (CCM), that vastly improves photosynthetic performance and survival under limiting CO2 concentrations. The CCM functions to transport and accumulate inorganic carbon actively (Ci; HCO3-, and CO2) within the cell where the Ci pool is utilized to provide elevated CO2 concentrations around the primary CO2-fixing enzyme, ribulose bisphosphate carboxylase-oxygenase (Rubisco). In cyanobacteria, Rubisco is encapsulated in unique micro-compartments known as carboxysomes. Cyanobacteria can possess up to five distinct transport systems for Ci uptake. Through database analysis of some 33 complete genomic DNA sequences for cyanobacteria it is evident that considerable diversity exists in the composition of transporters employed, although in many species this diversity is yet to be confirmed by comparative phenomics. In addition, two types of carboxysomes are known within the cyanobacteria that have apparently arisen by parallel evolution, and considerable progress has been made towards understanding the proteins responsible for carboxysome assembly and function. Progress has also been made towards identifying the primary signal for the induction of the subset of CCM genes known as CO2-responsive genes, and transcriptional regulators CcmR and CmpR have been shown to regulate these genes. Finally, some prospects for introducing cyanobacterial CCM components into higher plants are considered, with the objective of engineering plants that make more efficient use of water and nitrogen. © The Author [2007]. Published by Oxford University Press [on behalf of the Society for Experimental Biology]. All rights reserved.","author":[{"dropping-particle":"","family":"Price","given":"G. Dean","non-dropping-particle":"","parse-names":false,"suffix":""},{"dropping-particle":"","family":"Badger","given":"Murray R.","non-dropping-particle":"","parse-names":false,"suffix":""},{"dropping-particle":"","family":"Woodger","given":"Fiona J.","non-dropping-particle":"","parse-names":false,"suffix":""},{"dropping-particle":"","family":"Long","given":"Ben M.","non-dropping-particle":"","parse-names":false,"suffix":""}],"container-title":"Journal of Experimental Botany","id":"ITEM-1","issue":"7","issued":{"date-parts":[["2008"]]},"page":"1441-1461","title":"Advances in understanding the cyanobacterial CO2-concentrating- mechanism (CCM): Functional components, Ci transporters, diversity, genetic regulation and prospects for engineering into plants","type":"article-journal","volume":"59"},"uris":["http://www.mendeley.com/documents/?uuid=9d3cd751-3527-4c67-bdba-9da83e7fe8bc"]}],"mendeley":{"formattedCitation":"(Price et al. 2008)","plainTextFormattedCitation":"(Price et al. 2008)","previouslyFormattedCitation":"(Price et al. 2008)"},"properties":{"noteIndex":0},"schema":"https://github.com/citation-style-language/schema/raw/master/csl-citation.json"}</w:instrText>
      </w:r>
      <w:r w:rsidR="00C33875">
        <w:fldChar w:fldCharType="separate"/>
      </w:r>
      <w:r w:rsidR="00C33875" w:rsidRPr="00C33875">
        <w:rPr>
          <w:noProof/>
        </w:rPr>
        <w:t>(Price et al. 2008)</w:t>
      </w:r>
      <w:r w:rsidR="00C33875">
        <w:fldChar w:fldCharType="end"/>
      </w:r>
      <w:r w:rsidRPr="0016218B">
        <w:t xml:space="preserve">. Hence, despite good results </w:t>
      </w:r>
      <w:r w:rsidR="00BB34A8">
        <w:t xml:space="preserve">to date </w:t>
      </w:r>
      <w:r w:rsidRPr="0016218B">
        <w:t xml:space="preserve">obtained </w:t>
      </w:r>
      <w:r w:rsidR="00A77ABE">
        <w:t>with</w:t>
      </w:r>
      <w:r w:rsidRPr="0016218B">
        <w:t xml:space="preserve"> alkaliphilic strains, such as </w:t>
      </w:r>
      <w:r w:rsidRPr="00A77ABE">
        <w:rPr>
          <w:i/>
          <w:iCs/>
        </w:rPr>
        <w:t>Euhalothece</w:t>
      </w:r>
      <w:r w:rsidRPr="0016218B">
        <w:t xml:space="preserve"> sp. and </w:t>
      </w:r>
      <w:r w:rsidRPr="00A77ABE">
        <w:rPr>
          <w:i/>
          <w:iCs/>
        </w:rPr>
        <w:t>Dunaliella tertiolecta</w:t>
      </w:r>
      <w:r w:rsidRPr="0016218B">
        <w:t xml:space="preserve">, </w:t>
      </w:r>
      <w:r w:rsidR="00A77ABE">
        <w:t xml:space="preserve">BICCAPS approach seems </w:t>
      </w:r>
      <w:r w:rsidRPr="0016218B">
        <w:t>incompatible to other mesophilic commercially relevant strains</w:t>
      </w:r>
      <w:r w:rsidR="0044528A">
        <w:t xml:space="preserve"> </w:t>
      </w:r>
      <w:r w:rsidR="0044528A">
        <w:fldChar w:fldCharType="begin" w:fldLock="1"/>
      </w:r>
      <w:r w:rsidR="00433F30">
        <w:instrText>ADDIN CSL_CITATION {"citationItems":[{"id":"ITEM-1","itemData":{"DOI":"10.1007/s10811-017-1285-1","ISSN":"15735176","abstract":"This study aims to develop a low-cost microalgae culture system which uses a simple closed vessel as photobioreactor to save manufacturing cost, waves for mixing to save energy cost, and high concentration of bicarbonate for carbon supply to avoid the high cost of CO2-bubbling pipeline construction on the ocean as well as to control pH by buffering the effect of bicarbonate/carbonate. To test this idea, the alkalihalophilic cyanobacterium Euhalothece sp. was cultured with 1.0 M NaHCO3 in small-scale floating photobioreactors (PBRs) on 10-cm-high artificial waves at first. The final biomass concentration was up to 0.91 and 1.47 g L−1 for indoor and outdoor cultures, respectively. However, the recorded dissolved oxygen (DO) was occasionally over-saturated (&gt; 500% of air saturation), indicating mass transfer problem. kLa in these PBRs with different culture depth was measured then, and the results showed great variation, from 0.13 to 4.87 h−1. At the scale of 1.0 m2, this floating PBR was made with low-cost membrane and inflatable design. It was placed on the ocean surface and mixed with natural waves. Biomass concentration of 1.63 g L−1 and productivity of 8.27 g m−2 day−1 were obtained in this culture. With these results, the feasibility of a low-cost microalgae culture system was proven, which could systematically reduce the cost of photobioreactor manufacturing, operating, and maintenance.","author":[{"dropping-particle":"","family":"Zhu","given":"Chenba","non-dropping-particle":"","parse-names":false,"suffix":""},{"dropping-particle":"","family":"Zhu","given":"He","non-dropping-particle":"","parse-names":false,"suffix":""},{"dropping-particle":"","family":"Cheng","given":"Longyan","non-dropping-particle":"","parse-names":false,"suffix":""},{"dropping-particle":"","family":"Chi","given":"Zhanyou","non-dropping-particle":"","parse-names":false,"suffix":""}],"container-title":"Journal of Applied Phycology","id":"ITEM-1","issue":"2","issued":{"date-parts":[["2018","4","1"]]},"page":"875-885","publisher":"Springer Netherlands","title":"Bicarbonate-based carbon capture and algal production system on ocean with floating inflatable-membrane photobioreactor","type":"article-journal","volume":"30"},"uris":["http://www.mendeley.com/documents/?uuid=9ed6fd96-e155-3cd4-ab30-e7703eb6057e"]},{"id":"ITEM-2","itemData":{"DOI":"10.1016/j.biombioe.2021.106029","ISSN":"18732909","abstract":"This paper presents a new integrated process for producing carbon-negative biomethane fuel which combines anaerobic digestion of sewage sludge with biogas purification, algae generation and carbon capture. Biogas CO2 is recovered through absorption into sodium carbonate solution, producing bicarbonate, subsequently used as substrate for algae growth. Anaerobic digestate is hydrothermally carbonised into biochar, stabilising unused biomass carbon for long-term storage. Proof-of-concept studies are provided, together with a system carbon balance to demonstrate its overall carbon capture potential. D. tertiolecta (CCAP 19/30) was cultivated at different bicarbonate concentrations (2.5–90 g L−1), producing equimolar amounts of carbonate and carbon-derived products (algae, gaseous CO2). Above 40 g L−1, carbonate regeneration significantly exceeded algae growth, achieving higher than expected CO2 uptake potential, but lower overall carbon sequestration potential due to the discharge of excess CO2 to the environment. Single-stage CO2 absorption from a model biogas mixture (60% methane) into carbonate solution was rate limited by the reaction of dissolved CO2 with solution hydroxide ions, achieving steady state methane outlet purities of up to 85%. Spent absorbent was successfully used for algae culture, and the regenerated medium showed equivalent CO2 uptake as the fresh carbonate solution, demonstrating the cyclability of the system. Carbon distribution to biochar and algae by-products was estimated as 35.1%, exceeding the expected emissions associated with the process, to render the process carbon negative.","author":[{"dropping-particle":"","family":"Roy","given":"Uttam K.","non-dropping-particle":"","parse-names":false,"suffix":""},{"dropping-particle":"","family":"Radu","given":"Tanja","non-dropping-particle":"","parse-names":false,"suffix":""},{"dropping-particle":"","family":"Wagner","given":"Jonathan L.","non-dropping-particle":"","parse-names":false,"suffix":""}],"container-title":"Biomass and Bioenergy","id":"ITEM-2","issue":"September 2020","issued":{"date-parts":[["2021"]]},"page":"106029","publisher":"Elsevier Ltd","title":"Carbon-negative biomethane fuel production: Integrating anaerobic digestion with algae-assisted biogas purification and hydrothermal carbonisation of digestate","type":"article-journal","volume":"148"},"uris":["http://www.mendeley.com/documents/?uuid=9f947029-6404-43f0-9188-6cedbf876dde"]}],"mendeley":{"formattedCitation":"(Roy, Radu, and Wagner 2021; Zhu, Zhu, et al. 2018)","manualFormatting":"(Roy et al. 2021)","plainTextFormattedCitation":"(Roy, Radu, and Wagner 2021; Zhu, Zhu, et al. 2018)","previouslyFormattedCitation":"(Roy, Radu, and Wagner 2021; Zhu, Zhu, et al. 2018)"},"properties":{"noteIndex":0},"schema":"https://github.com/citation-style-language/schema/raw/master/csl-citation.json"}</w:instrText>
      </w:r>
      <w:r w:rsidR="0044528A">
        <w:fldChar w:fldCharType="separate"/>
      </w:r>
      <w:r w:rsidR="0044528A" w:rsidRPr="0044528A">
        <w:rPr>
          <w:noProof/>
        </w:rPr>
        <w:t>(Roy</w:t>
      </w:r>
      <w:r w:rsidR="0044528A">
        <w:rPr>
          <w:noProof/>
        </w:rPr>
        <w:t xml:space="preserve"> et al.</w:t>
      </w:r>
      <w:r w:rsidR="0044528A" w:rsidRPr="0044528A">
        <w:rPr>
          <w:noProof/>
        </w:rPr>
        <w:t xml:space="preserve"> 2021)</w:t>
      </w:r>
      <w:r w:rsidR="0044528A">
        <w:fldChar w:fldCharType="end"/>
      </w:r>
      <w:r w:rsidR="0044528A">
        <w:t>.</w:t>
      </w:r>
      <w:r w:rsidRPr="0016218B">
        <w:t xml:space="preserve"> However, the ability of several </w:t>
      </w:r>
      <w:r w:rsidR="00A92DFA">
        <w:t>interesting species</w:t>
      </w:r>
      <w:r w:rsidRPr="0016218B">
        <w:t xml:space="preserve"> to grow on well-balanced concentration of bicarbonate as sole carbon source has been </w:t>
      </w:r>
      <w:r w:rsidRPr="0016218B">
        <w:lastRenderedPageBreak/>
        <w:t>reported several times in literature.</w:t>
      </w:r>
      <w:r w:rsidR="00871F48">
        <w:fldChar w:fldCharType="begin" w:fldLock="1"/>
      </w:r>
      <w:r w:rsidR="00AC648B">
        <w:instrText>ADDIN CSL_CITATION {"citationItems":[{"id":"ITEM-1","itemData":{"DOI":"10.1039/c9gc01107b","ISSN":"14639270","abstract":"There have been many difficulties in supplying CO2 for the mass production of microalgae, which are regarded as a sustainable source of various bio-materials and biofuels. Bicarbonate-based microalgae cultivation may offer an alternative way, circumventing the exceedingly large energy demands for gas compression and the low carbon utilization efficiency of the conventional CO2-based cultivation. To realize this bicarbonate-based approach, this study first demonstrated the ability of nine microalgae to utilize bicarbonate as a carbon source and determined their optimal culture conditions with bicarbonate, such as bicarbonate concentration, temperature, and light intensity. Furthermore, to make this bicarbonate-based cultivation practical, this study proposed a potential novel combination of microalgae cultivation and electrochemical CO2 mineralization process, which can provide sodium bicarbonate (NaHCO3) from flue gas in an eco-friendly manner. Besides, potential benefits of using NaHCO3 as a carbon source were assessed via carbon footprint analysis from the perspective of the entire process, ranging from carbon source preparation to microalgae cultivation. This analysis, though rough in nature, revealed that bicarbonate can be more advantageous than raw flue gas or monoethanolamine (MEA)-extracted pure CO2 with respect to net CO2 emissions and algal biomass productivity. These benefits were even more pronounced when the transport of carbon sources was considered. A low carbon outgassing rate of maximum 9.6 ppm day-1 and a substantially high carbon utilization efficiency of &gt;86.7% with bicarbonate were found to be the determining factors. All these supported that the bicarbonate-based cultivation of microalgae is indeed feasible and practical, in particular when integrated with the electrochemical CO2 mineralization technology.","author":[{"dropping-particle":"","family":"Kim","given":"Ga Yeong","non-dropping-particle":"","parse-names":false,"suffix":""},{"dropping-particle":"","family":"Roh","given":"Kosan","non-dropping-particle":"","parse-names":false,"suffix":""},{"dropping-particle":"","family":"Han","given":"Jong In","non-dropping-particle":"","parse-names":false,"suffix":""}],"container-title":"Green Chemistry","id":"ITEM-1","issue":"18","issued":{"date-parts":[["2019"]]},"page":"5053-5062","publisher":"Royal Society of Chemistry","title":"The use of bicarbonate for microalgae cultivation and its carbon footprint analysis","type":"article-journal","volume":"21"},"uris":["http://www.mendeley.com/documents/?uuid=d3b64754-891c-4234-83fc-bf9547d76033"]}],"mendeley":{"formattedCitation":"(Kim, Roh, and Han 2019)","manualFormatting":" Kim et al. (2019)","plainTextFormattedCitation":"(Kim, Roh, and Han 2019)","previouslyFormattedCitation":"(Kim, Roh, and Han 2019)"},"properties":{"noteIndex":0},"schema":"https://github.com/citation-style-language/schema/raw/master/csl-citation.json"}</w:instrText>
      </w:r>
      <w:r w:rsidR="00871F48">
        <w:fldChar w:fldCharType="separate"/>
      </w:r>
      <w:r w:rsidR="00871F48">
        <w:rPr>
          <w:noProof/>
        </w:rPr>
        <w:t xml:space="preserve"> </w:t>
      </w:r>
      <w:r w:rsidR="00871F48" w:rsidRPr="00871F48">
        <w:rPr>
          <w:noProof/>
        </w:rPr>
        <w:t>Kim</w:t>
      </w:r>
      <w:r w:rsidR="00AC648B">
        <w:rPr>
          <w:noProof/>
        </w:rPr>
        <w:t xml:space="preserve"> et al.</w:t>
      </w:r>
      <w:r w:rsidR="00871F48" w:rsidRPr="00871F48">
        <w:rPr>
          <w:noProof/>
        </w:rPr>
        <w:t xml:space="preserve"> </w:t>
      </w:r>
      <w:r w:rsidR="00871F48">
        <w:rPr>
          <w:noProof/>
        </w:rPr>
        <w:t>(</w:t>
      </w:r>
      <w:r w:rsidR="00871F48" w:rsidRPr="00871F48">
        <w:rPr>
          <w:noProof/>
        </w:rPr>
        <w:t>2019)</w:t>
      </w:r>
      <w:r w:rsidR="00871F48">
        <w:fldChar w:fldCharType="end"/>
      </w:r>
      <w:r w:rsidRPr="0016218B">
        <w:t>, for instance, observed such a result in nine different species, although a loss in biomass productivity was recorded with respect to CO</w:t>
      </w:r>
      <w:r w:rsidRPr="00871F48">
        <w:rPr>
          <w:vertAlign w:val="subscript"/>
        </w:rPr>
        <w:t>2</w:t>
      </w:r>
      <w:r w:rsidRPr="0016218B">
        <w:t xml:space="preserve">-based cultures. </w:t>
      </w:r>
      <w:r w:rsidR="00A92DFA" w:rsidRPr="00A92DFA">
        <w:rPr>
          <w:lang w:val="en-GB"/>
        </w:rPr>
        <w:t>This issue could be addressed by coupling this strategy with innovative technologies, such as floating bag photobioreactors, which reduce energy input by harnessing sea wave power</w:t>
      </w:r>
      <w:r w:rsidRPr="0016218B">
        <w:t>. The so-called BICCAPSO approach (</w:t>
      </w:r>
      <w:r w:rsidRPr="00871F48">
        <w:rPr>
          <w:i/>
          <w:iCs/>
        </w:rPr>
        <w:t>Bicarbonate-based Induced Carbon Capture and Algae Production System on Ocean</w:t>
      </w:r>
      <w:r w:rsidRPr="0016218B">
        <w:t>) has been already presented as effective but, still, only restricted to alkaliphilic species cul</w:t>
      </w:r>
      <w:r w:rsidR="001F13A0">
        <w:t>tivation</w:t>
      </w:r>
      <w:r w:rsidRPr="0016218B">
        <w:t>, reducing its impact in the next-generation microalgae cultivation systems</w:t>
      </w:r>
      <w:r w:rsidR="001F13A0">
        <w:t xml:space="preserve"> </w:t>
      </w:r>
      <w:r w:rsidR="001F13A0">
        <w:fldChar w:fldCharType="begin" w:fldLock="1"/>
      </w:r>
      <w:r w:rsidR="00CF7CC9">
        <w:instrText>ADDIN CSL_CITATION {"citationItems":[{"id":"ITEM-1","itemData":{"DOI":"10.1007/s00253-018-9258-0","ISSN":"14320614","PMID":"30056515","abstract":"A low-cost floating photobioreactor (PBR) without the use of aeration and/or an agitation device, in which carbon was supplied in the form of bicarbonate and only wave energy was utilized for mixing, was developed in our previous study. Scaling up is a common challenge in the practical application of PBRs and has not yet been demonstrated for this new design. To fill this gap, cultivation of Spirulina platensis was conducted in this study. The results demonstrated that S. platensis had the highest productivity at 0.3 mol L−1 sodium bicarbonate, but the highest carbon utilization (104 ± 2.6%) was obtained at 0.1 mol L−1. Culture of Spirulina aerated with pure oxygen resulted in only minor inhibition of growth, indicating that its productivity will not be significantly reduced even if dissolved oxygen is accumulated to a high level due to intermittent mixing resulting from the use of wave energy. In cultivation using a floating horizontal photobioreactor at the 1.0 m2 scale, the highest biomass concentration of 2.24 ± 0.05 g L−1 was obtained with a culture depth of 5.0 cm and the highest biomass productivity of 18.9 g m−2 day−1 was obtained with a depth of 10.0 cm. This PBR was scaled up to 10 m2 (1000 L) with few challenges; biomass concentration and productivity during ocean testing were little different than those at the 1.0 m2 (100 L) scale. However, the larger PBR had an apparent carbon utilization efficiency of 45.0 ± 2.8%, significantly higher than the 39.4 ± 0.9% obtained at the 1 m2 scale. These results verified the ease of scaling up floating horizontal photobioreactors and showed their great potential in commercial applications.","author":[{"dropping-particle":"","family":"Zhu","given":"Chenba","non-dropping-particle":"","parse-names":false,"suffix":""},{"dropping-particle":"","family":"Zhai","given":"Xiaoqian","non-dropping-particle":"","parse-names":false,"suffix":""},{"dropping-particle":"","family":"Wang","given":"Jinghan","non-dropping-particle":"","parse-names":false,"suffix":""},{"dropping-particle":"","family":"Han","given":"Desen","non-dropping-particle":"","parse-names":false,"suffix":""},{"dropping-particle":"","family":"Li","given":"Yonghai","non-dropping-particle":"","parse-names":false,"suffix":""},{"dropping-particle":"","family":"Xi","given":"Yimei","non-dropping-particle":"","parse-names":false,"suffix":""},{"dropping-particle":"","family":"Tang","given":"Yajie","non-dropping-particle":"","parse-names":false,"suffix":""},{"dropping-particle":"","family":"Chi","given":"Zhanyou","non-dropping-particle":"","parse-names":false,"suffix":""}],"container-title":"Applied Microbiology and Biotechnology","id":"ITEM-1","issue":"20","issued":{"date-parts":[["2018"]]},"page":"8979-8987","publisher":"Applied Microbiology and Biotechnology","title":"Large-scale cultivation of Spirulina in a floating horizontal photobioreactor without aeration or an agitation device","type":"article-journal","volume":"102"},"uris":["http://www.mendeley.com/documents/?uuid=3aaf929e-d630-4f96-a6e4-a9a3d468712f"]}],"mendeley":{"formattedCitation":"(Zhu, Zhai, et al. 2018)","manualFormatting":"(Zhu et al. 2018b)","plainTextFormattedCitation":"(Zhu, Zhai, et al. 2018)","previouslyFormattedCitation":"(Zhu, Zhai, et al. 2018)"},"properties":{"noteIndex":0},"schema":"https://github.com/citation-style-language/schema/raw/master/csl-citation.json"}</w:instrText>
      </w:r>
      <w:r w:rsidR="001F13A0">
        <w:fldChar w:fldCharType="separate"/>
      </w:r>
      <w:r w:rsidR="0044528A" w:rsidRPr="0044528A">
        <w:rPr>
          <w:noProof/>
        </w:rPr>
        <w:t>(Zhu et al. 2018)</w:t>
      </w:r>
      <w:r w:rsidR="001F13A0">
        <w:fldChar w:fldCharType="end"/>
      </w:r>
      <w:r w:rsidRPr="0016218B">
        <w:t xml:space="preserve">. </w:t>
      </w:r>
    </w:p>
    <w:p w14:paraId="5AE663E7" w14:textId="0F003AFD" w:rsidR="001E4C8D" w:rsidRPr="001C66AC" w:rsidRDefault="0016218B" w:rsidP="001E4C8D">
      <w:pPr>
        <w:pStyle w:val="CETBodytext"/>
      </w:pPr>
      <w:r w:rsidRPr="0016218B">
        <w:t xml:space="preserve">In this work, we aimed </w:t>
      </w:r>
      <w:r w:rsidR="00BE516F">
        <w:t>at</w:t>
      </w:r>
      <w:r w:rsidR="00BE516F" w:rsidRPr="0016218B">
        <w:t xml:space="preserve"> </w:t>
      </w:r>
      <w:r w:rsidRPr="0016218B">
        <w:t>optimiz</w:t>
      </w:r>
      <w:r w:rsidR="00BE516F">
        <w:t>ing</w:t>
      </w:r>
      <w:r w:rsidRPr="0016218B">
        <w:t xml:space="preserve"> carbon concentration supply to five microalgal strains by using a BICCAPS</w:t>
      </w:r>
      <w:r w:rsidR="007850A6">
        <w:t>O</w:t>
      </w:r>
      <w:r w:rsidRPr="0016218B">
        <w:t xml:space="preserve"> cultivation approach.</w:t>
      </w:r>
      <w:r w:rsidR="00A05510">
        <w:t xml:space="preserve"> </w:t>
      </w:r>
      <w:r w:rsidR="00E5300B">
        <w:t xml:space="preserve">Specifically, an alkaliphilic strain, </w:t>
      </w:r>
      <w:r w:rsidR="00E5300B">
        <w:rPr>
          <w:i/>
          <w:iCs/>
        </w:rPr>
        <w:t>Dunaliella tertiolecta</w:t>
      </w:r>
      <w:r w:rsidR="00E5300B">
        <w:t>, was used as a reference while mesophilic</w:t>
      </w:r>
      <w:r w:rsidR="00A92DFA">
        <w:t xml:space="preserve"> marine</w:t>
      </w:r>
      <w:r w:rsidR="00E5300B">
        <w:t xml:space="preserve"> microalgae </w:t>
      </w:r>
      <w:r w:rsidR="00E5300B">
        <w:rPr>
          <w:i/>
          <w:iCs/>
        </w:rPr>
        <w:t>Tetraselmis chuii</w:t>
      </w:r>
      <w:r w:rsidR="00E5300B">
        <w:t xml:space="preserve">, </w:t>
      </w:r>
      <w:r w:rsidR="00E5300B">
        <w:rPr>
          <w:i/>
          <w:iCs/>
        </w:rPr>
        <w:t>Nannochloropsis gaditana</w:t>
      </w:r>
      <w:r w:rsidR="00E5300B">
        <w:t xml:space="preserve">, </w:t>
      </w:r>
      <w:r w:rsidR="00E5300B">
        <w:rPr>
          <w:i/>
          <w:iCs/>
        </w:rPr>
        <w:t xml:space="preserve">Tisochrysis lutea </w:t>
      </w:r>
      <w:r w:rsidR="00E5300B">
        <w:t xml:space="preserve">and </w:t>
      </w:r>
      <w:r w:rsidR="00E5300B">
        <w:rPr>
          <w:i/>
          <w:iCs/>
        </w:rPr>
        <w:t xml:space="preserve">Phaeodactylum tricornutum </w:t>
      </w:r>
      <w:r w:rsidR="00E5300B">
        <w:t xml:space="preserve">were used due to their commercial relevance as potential food and feed supplements. Moreover, we tried to mitigate culture alkalinization by </w:t>
      </w:r>
      <w:r w:rsidR="001406B3">
        <w:t>supplying inorganic carbon in excess in batch mode and in fed-batch mode</w:t>
      </w:r>
      <w:r w:rsidRPr="0016218B">
        <w:t>. To our knowledge this is the first attempt to successfully extend BICCAPSO approach application to commercially relevant microalgae with the aim of reducing cultivation costs.</w:t>
      </w:r>
    </w:p>
    <w:p w14:paraId="476B2F2E" w14:textId="402BB204" w:rsidR="00600535" w:rsidRDefault="00B40D9A" w:rsidP="00600535">
      <w:pPr>
        <w:pStyle w:val="CETHeading1"/>
        <w:rPr>
          <w:lang w:val="en-GB"/>
        </w:rPr>
      </w:pPr>
      <w:r>
        <w:rPr>
          <w:lang w:val="en-GB"/>
        </w:rPr>
        <w:t>Material</w:t>
      </w:r>
      <w:r w:rsidR="00797493">
        <w:rPr>
          <w:lang w:val="en-GB"/>
        </w:rPr>
        <w:t>s</w:t>
      </w:r>
      <w:r>
        <w:rPr>
          <w:lang w:val="en-GB"/>
        </w:rPr>
        <w:t xml:space="preserve"> and Methods</w:t>
      </w:r>
    </w:p>
    <w:p w14:paraId="7857B540" w14:textId="77777777" w:rsidR="00B40D9A" w:rsidRDefault="00B40D9A" w:rsidP="00B40D9A">
      <w:pPr>
        <w:pStyle w:val="CETheadingx"/>
      </w:pPr>
      <w:r w:rsidRPr="008453AB">
        <w:t>Microalgae species and cultivation conditions</w:t>
      </w:r>
    </w:p>
    <w:p w14:paraId="57D1639E" w14:textId="24914470" w:rsidR="00B40D9A" w:rsidRPr="0009004D" w:rsidRDefault="00B40D9A" w:rsidP="00B40D9A">
      <w:pPr>
        <w:pStyle w:val="CETBodytext"/>
      </w:pPr>
      <w:r>
        <w:t xml:space="preserve">Five marine microalgae species were used in laboratory scale experiments. In all the culture medium used the concentration of macro and micronutrients was doubled to avoid nutrients deficiency. The alkaliphilic microalgae </w:t>
      </w:r>
      <w:r>
        <w:rPr>
          <w:i/>
          <w:iCs/>
        </w:rPr>
        <w:t>Dunaliella tertiolecta</w:t>
      </w:r>
      <w:r>
        <w:t xml:space="preserve"> CCAP 19/30 was cultivated in Modified </w:t>
      </w:r>
      <w:r w:rsidR="00B84518">
        <w:t>Johnson Medium</w:t>
      </w:r>
      <w:r>
        <w:t xml:space="preserve"> </w:t>
      </w:r>
      <w:r w:rsidR="00B84518">
        <w:fldChar w:fldCharType="begin" w:fldLock="1"/>
      </w:r>
      <w:r w:rsidR="00834197">
        <w:instrText>ADDIN CSL_CITATION {"citationItems":[{"id":"ITEM-1","itemData":{"ISSN":"2250-1770","abstract":"The genus Dunaliella is a halotolerant microalgae are common in hypersaline environments. Additionally, different species of Dunaliella can accumulate significant amounts of valuable fine chemicals such as carotenoids, glycerol, lipids, vitamins, minerals and proteins. Modified Johnsons medium is widely used for growing Dunaliella species, however, without air supplement the growth of algae was slow. The new medium was designed based on the modified Johnsons medium with altering the concentration of MgSO 4 , NaHCO 3 and addition of NaVO 3 and elimination of MgCl 2. This medium was named as, Ramaraj medium. Pure cultures of Dunaliella species were isolated from the salt soil samples namely, KU07, KU08, KU11, KU13 and KU16. All the isolated strains grew fast in Ramaraj medium. Among these isolates the growth curve of KU11 was taken for comparing the two media. The growth of KU11 was faster and better in Ramaraj medium than in the modified Johnsons medium in all the different NaCl concentrations (0.5, 1.0, 1.5 and 2.0 M). The result showed that Ramaraj medium is useful for culturing of Dunaliella species.","author":[{"dropping-particle":"","family":"Sathasivam","given":"Ramaraj","non-dropping-particle":"","parse-names":false,"suffix":""},{"dropping-particle":"","family":"Juntawong","given":"Niran","non-dropping-particle":"","parse-names":false,"suffix":""}],"container-title":"Int J Curr Sci","id":"ITEM-1","issue":"January","issued":{"date-parts":[["2013"]]},"page":"67-73","title":"Modified medium for enhanced growth of Dunaliella strains","type":"article-journal","volume":"5"},"uris":["http://www.mendeley.com/documents/?uuid=c026d59c-6db3-4a4d-aed6-97b813e98499"]}],"mendeley":{"formattedCitation":"(Sathasivam and Juntawong 2013)","plainTextFormattedCitation":"(Sathasivam and Juntawong 2013)","previouslyFormattedCitation":"(Sathasivam and Juntawong 2013)"},"properties":{"noteIndex":0},"schema":"https://github.com/citation-style-language/schema/raw/master/csl-citation.json"}</w:instrText>
      </w:r>
      <w:r w:rsidR="00B84518">
        <w:fldChar w:fldCharType="separate"/>
      </w:r>
      <w:r w:rsidR="00B84518" w:rsidRPr="00B84518">
        <w:rPr>
          <w:noProof/>
        </w:rPr>
        <w:t>(Sathasivam and Juntawong 2013)</w:t>
      </w:r>
      <w:r w:rsidR="00B84518">
        <w:fldChar w:fldCharType="end"/>
      </w:r>
      <w:r>
        <w:t>. The mesophilic strains tested</w:t>
      </w:r>
      <w:r w:rsidR="007C54B6">
        <w:t>, i.e.</w:t>
      </w:r>
      <w:r>
        <w:t xml:space="preserve"> </w:t>
      </w:r>
      <w:r>
        <w:rPr>
          <w:i/>
          <w:iCs/>
        </w:rPr>
        <w:t>Tisochrysis lutea</w:t>
      </w:r>
      <w:r>
        <w:t xml:space="preserve"> CCAP 927/14, </w:t>
      </w:r>
      <w:r>
        <w:rPr>
          <w:i/>
          <w:iCs/>
        </w:rPr>
        <w:t>Nannochloropsis gaditana</w:t>
      </w:r>
      <w:r w:rsidR="001B27E9">
        <w:rPr>
          <w:i/>
          <w:iCs/>
        </w:rPr>
        <w:t xml:space="preserve"> </w:t>
      </w:r>
      <w:r w:rsidR="001B27E9" w:rsidRPr="00626C9E">
        <w:t>CCAP 849/5</w:t>
      </w:r>
      <w:r w:rsidRPr="00626C9E">
        <w:t>,</w:t>
      </w:r>
      <w:r>
        <w:t xml:space="preserve"> </w:t>
      </w:r>
      <w:r>
        <w:rPr>
          <w:i/>
          <w:iCs/>
        </w:rPr>
        <w:t>Tetraselmis chuii</w:t>
      </w:r>
      <w:r w:rsidR="00626C9E">
        <w:t xml:space="preserve"> CCAP 8/6</w:t>
      </w:r>
      <w:r>
        <w:t xml:space="preserve"> and </w:t>
      </w:r>
      <w:r>
        <w:rPr>
          <w:i/>
          <w:iCs/>
        </w:rPr>
        <w:t xml:space="preserve">Phaeodactylum tricornutum </w:t>
      </w:r>
      <w:r>
        <w:t>CCAP 10</w:t>
      </w:r>
      <w:r w:rsidR="00A3612F">
        <w:t>5</w:t>
      </w:r>
      <w:r>
        <w:t xml:space="preserve">5/1 were cultivated in f/2 medium </w:t>
      </w:r>
      <w:r w:rsidR="00CF7CC9">
        <w:fldChar w:fldCharType="begin" w:fldLock="1"/>
      </w:r>
      <w:r w:rsidR="00B84518">
        <w:instrText>ADDIN CSL_CITATION {"citationItems":[{"id":"ITEM-1","itemData":{"author":[{"dropping-particle":"","family":"Guillard","given":"Robert RL","non-dropping-particle":"","parse-names":false,"suffix":""}],"container-title":"Culture of marine invertebrate animals: proceedings—1st conference on culture of marine invertebrate animals greenport","id":"ITEM-1","issued":{"date-parts":[["1975"]]},"page":"29-30","publisher":"Springer","title":"Culture of phytoplankton for feeding marine invertebrates.","type":"paper-conference"},"uris":["http://www.mendeley.com/documents/?uuid=9f4477de-a0c8-49bc-9f86-a3f9f2107b5b"]}],"mendeley":{"formattedCitation":"(Guillard 1975)","plainTextFormattedCitation":"(Guillard 1975)","previouslyFormattedCitation":"(Guillard 1975)"},"properties":{"noteIndex":0},"schema":"https://github.com/citation-style-language/schema/raw/master/csl-citation.json"}</w:instrText>
      </w:r>
      <w:r w:rsidR="00CF7CC9">
        <w:fldChar w:fldCharType="separate"/>
      </w:r>
      <w:r w:rsidR="00CF7CC9" w:rsidRPr="00CF7CC9">
        <w:rPr>
          <w:noProof/>
        </w:rPr>
        <w:t>(Guillard 1975)</w:t>
      </w:r>
      <w:r w:rsidR="00CF7CC9">
        <w:fldChar w:fldCharType="end"/>
      </w:r>
      <w:r>
        <w:t xml:space="preserve">. Culture media pH was adjusted to </w:t>
      </w:r>
      <w:r w:rsidR="007C54B6">
        <w:t>~</w:t>
      </w:r>
      <w:r w:rsidR="00B84518">
        <w:t>8</w:t>
      </w:r>
      <w:r>
        <w:t xml:space="preserve"> by using 1M NaOH and then autoclaved at 121°C for 20 minutes prior to their utilization. Sodium bicarbonate (NaHCO</w:t>
      </w:r>
      <w:r w:rsidRPr="00B84518">
        <w:rPr>
          <w:vertAlign w:val="subscript"/>
        </w:rPr>
        <w:t>3</w:t>
      </w:r>
      <w:r>
        <w:t>) was added once the medium was autoclaved and cooled to avoid formation of insoluble carbonate precipitates. In the screening phase microalgae were cultivated at three different concentrations of NaHCO</w:t>
      </w:r>
      <w:r>
        <w:rPr>
          <w:vertAlign w:val="subscript"/>
        </w:rPr>
        <w:t>3</w:t>
      </w:r>
      <w:r>
        <w:t xml:space="preserve"> (1, 2.5 and 5 g L</w:t>
      </w:r>
      <w:r>
        <w:rPr>
          <w:vertAlign w:val="superscript"/>
        </w:rPr>
        <w:t>-1</w:t>
      </w:r>
      <w:r>
        <w:t>) in batch mode in 250 mL Erlenmeyer flasks constantly illuminated at 100±10 µmol m</w:t>
      </w:r>
      <w:r w:rsidRPr="000B12E6">
        <w:rPr>
          <w:vertAlign w:val="superscript"/>
        </w:rPr>
        <w:t>-2</w:t>
      </w:r>
      <w:r>
        <w:t xml:space="preserve"> s</w:t>
      </w:r>
      <w:r w:rsidRPr="000B12E6">
        <w:rPr>
          <w:vertAlign w:val="superscript"/>
        </w:rPr>
        <w:t>-1</w:t>
      </w:r>
      <w:r>
        <w:t xml:space="preserve"> by </w:t>
      </w:r>
      <w:r w:rsidR="00EB2C2C">
        <w:t>means</w:t>
      </w:r>
      <w:r>
        <w:t xml:space="preserve"> of a</w:t>
      </w:r>
      <w:r w:rsidR="00B84518">
        <w:t xml:space="preserve"> warm</w:t>
      </w:r>
      <w:r>
        <w:t xml:space="preserve"> white LED lamp. The batch duration was set to seven days. To simulate the environment inside a floating photobioreactor, cultures were not insufflated with any gaseous stream and mixing was guaranteed by orbital shaking at 1</w:t>
      </w:r>
      <w:r w:rsidR="00B84518">
        <w:t>0</w:t>
      </w:r>
      <w:r>
        <w:t>0 rpm at a temperature of 22±2</w:t>
      </w:r>
      <w:r w:rsidR="00D179F0">
        <w:t xml:space="preserve"> </w:t>
      </w:r>
      <w:r>
        <w:t xml:space="preserve">°C. Sampling was performed daily and pH was measured immediately after using a pH </w:t>
      </w:r>
      <w:r w:rsidRPr="00B84518">
        <w:t>meter (</w:t>
      </w:r>
      <w:r w:rsidR="00B84518" w:rsidRPr="00B84518">
        <w:t>Hanna – HI 9124</w:t>
      </w:r>
      <w:r w:rsidRPr="00B84518">
        <w:t>).</w:t>
      </w:r>
      <w:r>
        <w:t xml:space="preserve"> </w:t>
      </w:r>
    </w:p>
    <w:p w14:paraId="16E7788C" w14:textId="707F5846" w:rsidR="00B40D9A" w:rsidRDefault="00522929" w:rsidP="00B40D9A">
      <w:pPr>
        <w:pStyle w:val="CETheadingx"/>
      </w:pPr>
      <w:r>
        <w:t>Bicarbonate supply management and pH c</w:t>
      </w:r>
      <w:r w:rsidR="008B7876">
        <w:t>ontrol experiments</w:t>
      </w:r>
    </w:p>
    <w:p w14:paraId="490845A9" w14:textId="57BBE3E6" w:rsidR="00B40D9A" w:rsidRDefault="00B40D9A" w:rsidP="00B40D9A">
      <w:pPr>
        <w:pStyle w:val="CETBodytext"/>
      </w:pPr>
      <w:r>
        <w:t xml:space="preserve">pH management experiments were carried out </w:t>
      </w:r>
      <w:r w:rsidR="008F2D12">
        <w:t>with</w:t>
      </w:r>
      <w:r>
        <w:t xml:space="preserve"> </w:t>
      </w:r>
      <w:r>
        <w:rPr>
          <w:i/>
          <w:iCs/>
        </w:rPr>
        <w:t xml:space="preserve">Phaeodactylum tricornutum </w:t>
      </w:r>
      <w:r>
        <w:t>CCAP 10</w:t>
      </w:r>
      <w:r w:rsidR="00A3612F">
        <w:t>5</w:t>
      </w:r>
      <w:r>
        <w:t>5/1. T</w:t>
      </w:r>
      <w:r w:rsidR="00522929">
        <w:t>wo</w:t>
      </w:r>
      <w:r>
        <w:t xml:space="preserve"> different strategies</w:t>
      </w:r>
      <w:r w:rsidR="00522929">
        <w:t xml:space="preserve"> of bicarbonate supply were applied to stabilize pH in the </w:t>
      </w:r>
      <w:r>
        <w:t>BICCAPS cultivation of this diatom. First, an excess of NaHCO</w:t>
      </w:r>
      <w:r>
        <w:rPr>
          <w:vertAlign w:val="subscript"/>
        </w:rPr>
        <w:t>3</w:t>
      </w:r>
      <w:r>
        <w:t xml:space="preserve"> was supplied (8</w:t>
      </w:r>
      <w:r w:rsidR="00522929">
        <w:t xml:space="preserve"> and 12</w:t>
      </w:r>
      <w:r>
        <w:t xml:space="preserve"> </w:t>
      </w:r>
      <w:r w:rsidR="00926EBD">
        <w:t>g</w:t>
      </w:r>
      <w:r>
        <w:t xml:space="preserve"> L</w:t>
      </w:r>
      <w:r w:rsidRPr="00615C73">
        <w:rPr>
          <w:vertAlign w:val="superscript"/>
        </w:rPr>
        <w:t>-1</w:t>
      </w:r>
      <w:r>
        <w:t xml:space="preserve">) at the beginning of the batch experiments </w:t>
      </w:r>
      <w:r w:rsidR="00A77ABE">
        <w:t>to</w:t>
      </w:r>
      <w:r>
        <w:t xml:space="preserve"> verify the buffer power of an excess of bicarbonate ions (HCO</w:t>
      </w:r>
      <w:r>
        <w:rPr>
          <w:vertAlign w:val="subscript"/>
        </w:rPr>
        <w:t>3</w:t>
      </w:r>
      <w:r>
        <w:rPr>
          <w:vertAlign w:val="superscript"/>
        </w:rPr>
        <w:t>-</w:t>
      </w:r>
      <w:r>
        <w:t>) inside the culture medium. Fed-batch experiments were performed through daily addition of</w:t>
      </w:r>
      <w:r w:rsidR="00D55620">
        <w:t xml:space="preserve"> known amounts</w:t>
      </w:r>
      <w:r w:rsidR="00517FB1">
        <w:t xml:space="preserve"> of</w:t>
      </w:r>
      <w:r>
        <w:t xml:space="preserve"> NaHCO</w:t>
      </w:r>
      <w:r w:rsidRPr="00615C73">
        <w:rPr>
          <w:vertAlign w:val="subscript"/>
        </w:rPr>
        <w:t>3</w:t>
      </w:r>
      <w:r>
        <w:t xml:space="preserve"> to the </w:t>
      </w:r>
      <w:r w:rsidR="00D55620">
        <w:t>batch growth of microalgae for nine days. Specifically</w:t>
      </w:r>
      <w:r>
        <w:t>,</w:t>
      </w:r>
      <w:r w:rsidR="00D55620">
        <w:t xml:space="preserve"> in the first fed-batch experiment (FB</w:t>
      </w:r>
      <w:r w:rsidR="00D55620" w:rsidRPr="00D55620">
        <w:rPr>
          <w:vertAlign w:val="subscript"/>
        </w:rPr>
        <w:t>1</w:t>
      </w:r>
      <w:r w:rsidR="00D55620">
        <w:t>)</w:t>
      </w:r>
      <w:r>
        <w:t xml:space="preserve"> </w:t>
      </w:r>
      <w:r w:rsidR="00D55620">
        <w:t>0.25 g L</w:t>
      </w:r>
      <w:r w:rsidR="00D55620" w:rsidRPr="00D55620">
        <w:rPr>
          <w:vertAlign w:val="superscript"/>
        </w:rPr>
        <w:t>-1</w:t>
      </w:r>
      <w:r w:rsidR="00D55620">
        <w:t xml:space="preserve"> of NaHCO</w:t>
      </w:r>
      <w:r w:rsidR="00D55620" w:rsidRPr="00D55620">
        <w:rPr>
          <w:vertAlign w:val="subscript"/>
        </w:rPr>
        <w:t>3</w:t>
      </w:r>
      <w:r w:rsidR="00D55620">
        <w:t xml:space="preserve"> were added daily and 0.75 g L</w:t>
      </w:r>
      <w:r w:rsidR="00D55620" w:rsidRPr="00D55620">
        <w:rPr>
          <w:vertAlign w:val="superscript"/>
        </w:rPr>
        <w:t>-1</w:t>
      </w:r>
      <w:r w:rsidR="00D55620">
        <w:t xml:space="preserve"> were added at the fourth day of cultivation for a total of 1.75 g L</w:t>
      </w:r>
      <w:r w:rsidR="00D55620" w:rsidRPr="00D55620">
        <w:rPr>
          <w:vertAlign w:val="superscript"/>
        </w:rPr>
        <w:t>-1</w:t>
      </w:r>
      <w:r w:rsidR="00D55620">
        <w:t xml:space="preserve"> of bicarbonate. In the second experiment (FB</w:t>
      </w:r>
      <w:r w:rsidR="00D55620" w:rsidRPr="00D55620">
        <w:rPr>
          <w:vertAlign w:val="subscript"/>
        </w:rPr>
        <w:t>2</w:t>
      </w:r>
      <w:r w:rsidR="00D55620">
        <w:t>) 0.50 g L</w:t>
      </w:r>
      <w:r w:rsidR="00D55620" w:rsidRPr="00615C73">
        <w:rPr>
          <w:vertAlign w:val="superscript"/>
        </w:rPr>
        <w:t>-1</w:t>
      </w:r>
      <w:r w:rsidR="00D55620">
        <w:t xml:space="preserve"> of sodium bicarbonate were added daily and 1.50 g L</w:t>
      </w:r>
      <w:r w:rsidR="00D55620" w:rsidRPr="00D55620">
        <w:rPr>
          <w:vertAlign w:val="superscript"/>
        </w:rPr>
        <w:t>-1</w:t>
      </w:r>
      <w:r w:rsidR="00D55620">
        <w:t xml:space="preserve"> were added at the fourth day of cultivation for a total of </w:t>
      </w:r>
      <w:r>
        <w:t>3.50 g L</w:t>
      </w:r>
      <w:r w:rsidRPr="00615C73">
        <w:rPr>
          <w:vertAlign w:val="superscript"/>
        </w:rPr>
        <w:t>-1</w:t>
      </w:r>
      <w:r>
        <w:t xml:space="preserve"> NaHCO</w:t>
      </w:r>
      <w:r>
        <w:rPr>
          <w:vertAlign w:val="subscript"/>
        </w:rPr>
        <w:t>3</w:t>
      </w:r>
      <w:r>
        <w:t xml:space="preserve">. </w:t>
      </w:r>
    </w:p>
    <w:p w14:paraId="5D654414" w14:textId="77777777" w:rsidR="00B40D9A" w:rsidRPr="00753A07" w:rsidRDefault="00B40D9A" w:rsidP="00694608">
      <w:pPr>
        <w:pStyle w:val="CETheadingx"/>
      </w:pPr>
      <w:r w:rsidRPr="00753A07">
        <w:t>Biomass quantification</w:t>
      </w:r>
      <w:r>
        <w:t>, specific growth rate</w:t>
      </w:r>
      <w:r w:rsidRPr="00753A07">
        <w:t xml:space="preserve"> and</w:t>
      </w:r>
      <w:r>
        <w:t xml:space="preserve"> mass balance</w:t>
      </w:r>
    </w:p>
    <w:p w14:paraId="14855AB0" w14:textId="50A572E9" w:rsidR="000C6F47" w:rsidRDefault="00B40D9A" w:rsidP="00694608">
      <w:pPr>
        <w:pStyle w:val="CETBodytext"/>
      </w:pPr>
      <w:r>
        <w:t>Biomass concentration was quantified by daily dry weight (DW) measurements. A known volume of the culture was filt</w:t>
      </w:r>
      <w:r w:rsidR="00A92DFA">
        <w:t>ered</w:t>
      </w:r>
      <w:r>
        <w:t xml:space="preserve"> through a vacuum pump on a pre-weighed 0.</w:t>
      </w:r>
      <w:r w:rsidR="00B84518">
        <w:t>45</w:t>
      </w:r>
      <w:r>
        <w:t xml:space="preserve"> µm nitrocellulose filter. Biomass was washed at least two times with deionized water to dissolve eventual salt</w:t>
      </w:r>
      <w:r w:rsidR="00517FB1">
        <w:t>s</w:t>
      </w:r>
      <w:r>
        <w:t xml:space="preserve"> residuals. Filter was then dried in a laboratory oven for</w:t>
      </w:r>
      <w:r w:rsidR="00B84518">
        <w:t xml:space="preserve"> at least</w:t>
      </w:r>
      <w:r>
        <w:t xml:space="preserve"> 2h at 1</w:t>
      </w:r>
      <w:r w:rsidR="00B84518">
        <w:t>05</w:t>
      </w:r>
      <w:r>
        <w:t>°C and after that weighed by means of a precision balance. DW was calculated</w:t>
      </w:r>
      <w:r w:rsidR="00517FB1">
        <w:t xml:space="preserve"> </w:t>
      </w:r>
      <w:r>
        <w:t>by subtracting the weight of the empty filter to the gross weight and dividing for the</w:t>
      </w:r>
      <w:r w:rsidR="007263F7">
        <w:t xml:space="preserve"> filtered</w:t>
      </w:r>
      <w:r>
        <w:t xml:space="preserve"> volume.</w:t>
      </w:r>
      <w:r>
        <w:br/>
      </w:r>
      <w:r w:rsidR="000C6F47">
        <w:t>Biomass concentration measurement</w:t>
      </w:r>
      <w:r w:rsidR="009409C0">
        <w:t>s</w:t>
      </w:r>
      <w:r w:rsidR="000C6F47">
        <w:t xml:space="preserve"> were used to calculate specific growth rate</w:t>
      </w:r>
      <w:r w:rsidR="00B84518">
        <w:t>,</w:t>
      </w:r>
      <w:r w:rsidR="000C6F47">
        <w:t xml:space="preserve"> </w:t>
      </w:r>
      <w:r w:rsidR="000C6F47">
        <w:rPr>
          <w:i/>
          <w:iCs/>
        </w:rPr>
        <w:t xml:space="preserve">µ </w:t>
      </w:r>
      <w:r w:rsidR="000C6F47">
        <w:t>(day</w:t>
      </w:r>
      <w:r w:rsidR="000C6F47" w:rsidRPr="00517FB1">
        <w:rPr>
          <w:vertAlign w:val="superscript"/>
        </w:rPr>
        <w:t>-1</w:t>
      </w:r>
      <w:r w:rsidR="000C6F47">
        <w:t xml:space="preserve">), according to: </w:t>
      </w:r>
    </w:p>
    <w:p w14:paraId="520B99A3" w14:textId="77777777" w:rsidR="009409C0" w:rsidRDefault="009409C0" w:rsidP="00694608">
      <w:pPr>
        <w:pStyle w:val="CETBodytext"/>
      </w:pPr>
    </w:p>
    <w:p w14:paraId="63B40DBA" w14:textId="4F3AD089" w:rsidR="000C6F47" w:rsidRDefault="000C6F47" w:rsidP="00694608">
      <w:pPr>
        <w:pStyle w:val="CETBodytext"/>
      </w:pPr>
      <m:oMath>
        <m:r>
          <m:rPr>
            <m:sty m:val="p"/>
          </m:rPr>
          <w:rPr>
            <w:rFonts w:ascii="Cambria Math" w:eastAsiaTheme="minorHAnsi" w:hAnsi="Cambria Math" w:cs="Arial"/>
            <w:sz w:val="22"/>
            <w:szCs w:val="24"/>
          </w:rPr>
          <m:t>μ</m:t>
        </m:r>
        <m:r>
          <m:rPr>
            <m:sty m:val="p"/>
          </m:rPr>
          <w:rPr>
            <w:rFonts w:ascii="Cambria Math" w:hAnsi="Cambria Math" w:cs="Arial"/>
            <w:sz w:val="22"/>
            <w:szCs w:val="24"/>
          </w:rPr>
          <m:t>=</m:t>
        </m:r>
        <m:box>
          <m:boxPr>
            <m:ctrlPr>
              <w:rPr>
                <w:rStyle w:val="CETBodytextCarattere"/>
                <w:rFonts w:ascii="Cambria Math" w:eastAsiaTheme="minorHAnsi" w:hAnsi="Cambria Math" w:cs="Arial"/>
                <w:sz w:val="22"/>
                <w:szCs w:val="24"/>
              </w:rPr>
            </m:ctrlPr>
          </m:boxPr>
          <m:e>
            <m:argPr>
              <m:argSz m:val="-1"/>
            </m:argPr>
            <m:f>
              <m:fPr>
                <m:ctrlPr>
                  <w:rPr>
                    <w:rStyle w:val="CETBodytextCarattere"/>
                    <w:rFonts w:ascii="Cambria Math" w:eastAsiaTheme="minorHAnsi" w:hAnsi="Cambria Math" w:cs="Arial"/>
                    <w:sz w:val="22"/>
                    <w:szCs w:val="24"/>
                  </w:rPr>
                </m:ctrlPr>
              </m:fPr>
              <m:num>
                <m:sSub>
                  <m:sSubPr>
                    <m:ctrlPr>
                      <w:rPr>
                        <w:rStyle w:val="CETBodytextCarattere"/>
                        <w:rFonts w:ascii="Cambria Math" w:eastAsiaTheme="minorHAnsi" w:hAnsi="Cambria Math" w:cs="Arial"/>
                        <w:sz w:val="22"/>
                        <w:szCs w:val="24"/>
                      </w:rPr>
                    </m:ctrlPr>
                  </m:sSubPr>
                  <m:e>
                    <m:r>
                      <m:rPr>
                        <m:sty m:val="p"/>
                      </m:rPr>
                      <w:rPr>
                        <w:rStyle w:val="CETBodytextCarattere"/>
                        <w:rFonts w:ascii="Cambria Math" w:hAnsi="Cambria Math" w:cs="Arial"/>
                        <w:sz w:val="22"/>
                        <w:szCs w:val="24"/>
                      </w:rPr>
                      <m:t>ln⁡</m:t>
                    </m:r>
                    <m:r>
                      <w:rPr>
                        <w:rStyle w:val="CETBodytextCarattere"/>
                        <w:rFonts w:ascii="Cambria Math" w:hAnsi="Cambria Math" w:cs="Arial"/>
                        <w:sz w:val="22"/>
                        <w:szCs w:val="24"/>
                      </w:rPr>
                      <m:t>(C</m:t>
                    </m:r>
                  </m:e>
                  <m:sub>
                    <m:r>
                      <w:rPr>
                        <w:rStyle w:val="CETBodytextCarattere"/>
                        <w:rFonts w:ascii="Cambria Math" w:hAnsi="Cambria Math" w:cs="Arial"/>
                        <w:sz w:val="22"/>
                        <w:szCs w:val="24"/>
                      </w:rPr>
                      <m:t>2</m:t>
                    </m:r>
                  </m:sub>
                </m:sSub>
                <m:r>
                  <m:rPr>
                    <m:sty m:val="p"/>
                  </m:rPr>
                  <w:rPr>
                    <w:rStyle w:val="CETBodytextCarattere"/>
                    <w:rFonts w:ascii="Cambria Math" w:hAnsi="Cambria Math" w:cs="Arial"/>
                    <w:sz w:val="22"/>
                    <w:szCs w:val="24"/>
                  </w:rPr>
                  <m:t>/</m:t>
                </m:r>
                <m:sSub>
                  <m:sSubPr>
                    <m:ctrlPr>
                      <w:rPr>
                        <w:rStyle w:val="CETBodytextCarattere"/>
                        <w:rFonts w:ascii="Cambria Math" w:eastAsiaTheme="minorHAnsi" w:hAnsi="Cambria Math" w:cs="Arial"/>
                        <w:sz w:val="22"/>
                        <w:szCs w:val="24"/>
                      </w:rPr>
                    </m:ctrlPr>
                  </m:sSubPr>
                  <m:e>
                    <m:r>
                      <w:rPr>
                        <w:rStyle w:val="CETBodytextCarattere"/>
                        <w:rFonts w:ascii="Cambria Math" w:hAnsi="Cambria Math" w:cs="Arial"/>
                        <w:sz w:val="22"/>
                        <w:szCs w:val="24"/>
                      </w:rPr>
                      <m:t>C</m:t>
                    </m:r>
                  </m:e>
                  <m:sub>
                    <m:r>
                      <w:rPr>
                        <w:rStyle w:val="CETBodytextCarattere"/>
                        <w:rFonts w:ascii="Cambria Math" w:hAnsi="Cambria Math" w:cs="Arial"/>
                        <w:sz w:val="22"/>
                        <w:szCs w:val="24"/>
                      </w:rPr>
                      <m:t>1</m:t>
                    </m:r>
                  </m:sub>
                </m:sSub>
                <m:r>
                  <w:rPr>
                    <w:rStyle w:val="CETBodytextCarattere"/>
                    <w:rFonts w:ascii="Cambria Math" w:eastAsiaTheme="minorHAnsi" w:hAnsi="Cambria Math" w:cs="Arial"/>
                    <w:sz w:val="22"/>
                    <w:szCs w:val="24"/>
                  </w:rPr>
                  <m:t>)</m:t>
                </m:r>
              </m:num>
              <m:den>
                <m:sSub>
                  <m:sSubPr>
                    <m:ctrlPr>
                      <w:rPr>
                        <w:rStyle w:val="CETBodytextCarattere"/>
                        <w:rFonts w:ascii="Cambria Math" w:eastAsiaTheme="minorHAnsi" w:hAnsi="Cambria Math" w:cs="Arial"/>
                        <w:sz w:val="22"/>
                        <w:szCs w:val="24"/>
                      </w:rPr>
                    </m:ctrlPr>
                  </m:sSubPr>
                  <m:e>
                    <m:r>
                      <w:rPr>
                        <w:rStyle w:val="CETBodytextCarattere"/>
                        <w:rFonts w:ascii="Cambria Math" w:hAnsi="Cambria Math" w:cs="Arial"/>
                        <w:sz w:val="22"/>
                        <w:szCs w:val="24"/>
                      </w:rPr>
                      <m:t>t</m:t>
                    </m:r>
                  </m:e>
                  <m:sub>
                    <m:r>
                      <w:rPr>
                        <w:rStyle w:val="CETBodytextCarattere"/>
                        <w:rFonts w:ascii="Cambria Math" w:hAnsi="Cambria Math" w:cs="Arial"/>
                        <w:sz w:val="22"/>
                        <w:szCs w:val="24"/>
                      </w:rPr>
                      <m:t>2</m:t>
                    </m:r>
                  </m:sub>
                </m:sSub>
                <m:r>
                  <m:rPr>
                    <m:sty m:val="p"/>
                  </m:rPr>
                  <w:rPr>
                    <w:rStyle w:val="CETBodytextCarattere"/>
                    <w:rFonts w:ascii="Cambria Math" w:hAnsi="Cambria Math" w:cs="Arial"/>
                    <w:sz w:val="22"/>
                    <w:szCs w:val="24"/>
                  </w:rPr>
                  <m:t>-</m:t>
                </m:r>
                <m:sSub>
                  <m:sSubPr>
                    <m:ctrlPr>
                      <w:rPr>
                        <w:rStyle w:val="CETBodytextCarattere"/>
                        <w:rFonts w:ascii="Cambria Math" w:eastAsiaTheme="minorHAnsi" w:hAnsi="Cambria Math" w:cs="Arial"/>
                        <w:sz w:val="22"/>
                        <w:szCs w:val="24"/>
                      </w:rPr>
                    </m:ctrlPr>
                  </m:sSubPr>
                  <m:e>
                    <m:r>
                      <w:rPr>
                        <w:rStyle w:val="CETBodytextCarattere"/>
                        <w:rFonts w:ascii="Cambria Math" w:hAnsi="Cambria Math" w:cs="Arial"/>
                        <w:sz w:val="22"/>
                        <w:szCs w:val="24"/>
                      </w:rPr>
                      <m:t>t</m:t>
                    </m:r>
                  </m:e>
                  <m:sub>
                    <m:r>
                      <w:rPr>
                        <w:rStyle w:val="CETBodytextCarattere"/>
                        <w:rFonts w:ascii="Cambria Math" w:hAnsi="Cambria Math" w:cs="Arial"/>
                        <w:sz w:val="22"/>
                        <w:szCs w:val="24"/>
                      </w:rPr>
                      <m:t>1</m:t>
                    </m:r>
                  </m:sub>
                </m:sSub>
              </m:den>
            </m:f>
          </m:e>
        </m:box>
        <m:r>
          <m:rPr>
            <m:sty m:val="p"/>
          </m:rPr>
          <w:rPr>
            <w:rStyle w:val="CETBodytextCarattere"/>
            <w:rFonts w:ascii="Cambria Math" w:hAnsi="Cambria Math" w:cs="Arial"/>
            <w:sz w:val="22"/>
            <w:szCs w:val="24"/>
          </w:rPr>
          <m:t xml:space="preserve">    </m:t>
        </m:r>
      </m:oMath>
      <w:r w:rsidRPr="00BD6A86">
        <w:rPr>
          <w:rStyle w:val="CETBodytextCarattere"/>
        </w:rPr>
        <w:t xml:space="preserve"> </w:t>
      </w:r>
      <w:r w:rsidR="009409C0" w:rsidRPr="00BD6A86">
        <w:rPr>
          <w:rStyle w:val="CETBodytextCarattere"/>
        </w:rPr>
        <w:t xml:space="preserve">                                                                                                                                                       </w:t>
      </w:r>
      <w:r w:rsidR="009409C0">
        <w:rPr>
          <w:rStyle w:val="CETBodytextCarattere"/>
        </w:rPr>
        <w:t xml:space="preserve">(Eq.1)         </w:t>
      </w:r>
    </w:p>
    <w:p w14:paraId="39B5B2DF" w14:textId="795A9CE3" w:rsidR="00A647D1" w:rsidRPr="00BC4FDB" w:rsidRDefault="00A647D1" w:rsidP="00694608">
      <w:pPr>
        <w:pStyle w:val="CETBodytext"/>
      </w:pPr>
      <w:r>
        <w:t xml:space="preserve">where </w:t>
      </w:r>
      <w:r>
        <w:rPr>
          <w:i/>
          <w:iCs/>
        </w:rPr>
        <w:t>C</w:t>
      </w:r>
      <w:r>
        <w:rPr>
          <w:i/>
          <w:iCs/>
          <w:vertAlign w:val="subscript"/>
        </w:rPr>
        <w:t>2</w:t>
      </w:r>
      <w:r>
        <w:rPr>
          <w:i/>
          <w:iCs/>
        </w:rPr>
        <w:t xml:space="preserve"> </w:t>
      </w:r>
      <w:r>
        <w:t xml:space="preserve">and </w:t>
      </w:r>
      <w:r>
        <w:rPr>
          <w:i/>
          <w:iCs/>
        </w:rPr>
        <w:t>C</w:t>
      </w:r>
      <w:r>
        <w:rPr>
          <w:i/>
          <w:iCs/>
          <w:vertAlign w:val="subscript"/>
        </w:rPr>
        <w:t>1</w:t>
      </w:r>
      <w:r>
        <w:rPr>
          <w:i/>
          <w:iCs/>
        </w:rPr>
        <w:t xml:space="preserve"> </w:t>
      </w:r>
      <w:r>
        <w:t xml:space="preserve">represent, respectively, biomass concentration at the end and at the beginning of exponential growth phase and </w:t>
      </w:r>
      <w:r>
        <w:rPr>
          <w:i/>
          <w:iCs/>
        </w:rPr>
        <w:t>t</w:t>
      </w:r>
      <w:r w:rsidR="00BC4FDB">
        <w:rPr>
          <w:i/>
          <w:iCs/>
          <w:vertAlign w:val="subscript"/>
        </w:rPr>
        <w:t>2</w:t>
      </w:r>
      <w:r w:rsidR="00BC4FDB">
        <w:rPr>
          <w:i/>
          <w:iCs/>
        </w:rPr>
        <w:t xml:space="preserve"> </w:t>
      </w:r>
      <w:r w:rsidR="00BC4FDB" w:rsidRPr="00BC4FDB">
        <w:t>and</w:t>
      </w:r>
      <w:r w:rsidR="00BC4FDB">
        <w:rPr>
          <w:i/>
          <w:iCs/>
        </w:rPr>
        <w:t xml:space="preserve"> t</w:t>
      </w:r>
      <w:r w:rsidR="00BC4FDB">
        <w:rPr>
          <w:i/>
          <w:iCs/>
          <w:vertAlign w:val="subscript"/>
        </w:rPr>
        <w:t xml:space="preserve">1 </w:t>
      </w:r>
      <w:r w:rsidR="00BC4FDB">
        <w:t>represent the end and the start of the cultivation, respectively.</w:t>
      </w:r>
    </w:p>
    <w:p w14:paraId="10F18B62" w14:textId="6623A9D5" w:rsidR="00B40D9A" w:rsidRDefault="00BC4FDB" w:rsidP="00694608">
      <w:pPr>
        <w:pStyle w:val="CETBodytext"/>
      </w:pPr>
      <w:r>
        <w:t>B</w:t>
      </w:r>
      <w:r w:rsidR="00B40D9A">
        <w:t>iomass volumetric productivity (</w:t>
      </w:r>
      <w:r w:rsidR="00B40D9A">
        <w:rPr>
          <w:i/>
          <w:iCs/>
        </w:rPr>
        <w:t>P</w:t>
      </w:r>
      <w:r w:rsidR="00B40D9A">
        <w:rPr>
          <w:i/>
          <w:iCs/>
          <w:vertAlign w:val="subscript"/>
        </w:rPr>
        <w:t>X,V</w:t>
      </w:r>
      <w:r w:rsidR="00B40D9A">
        <w:rPr>
          <w:i/>
          <w:iCs/>
        </w:rPr>
        <w:t>)</w:t>
      </w:r>
      <w:r w:rsidR="00B40D9A">
        <w:t xml:space="preserve"> in batch mode </w:t>
      </w:r>
      <w:r>
        <w:t xml:space="preserve">was calculated </w:t>
      </w:r>
      <w:r w:rsidR="00B40D9A">
        <w:t>through the following equation:</w:t>
      </w:r>
    </w:p>
    <w:p w14:paraId="1D7CF975" w14:textId="376DD746" w:rsidR="00B40D9A" w:rsidRDefault="00000000" w:rsidP="00694608">
      <w:pPr>
        <w:pStyle w:val="CETEquation"/>
        <w:rPr>
          <w:rFonts w:eastAsiaTheme="minorEastAsia"/>
        </w:rPr>
      </w:pPr>
      <m:oMath>
        <m:sSub>
          <m:sSubPr>
            <m:ctrlPr>
              <w:rPr>
                <w:rFonts w:ascii="Cambria Math" w:eastAsiaTheme="minorHAnsi" w:hAnsi="Cambria Math"/>
                <w:sz w:val="22"/>
                <w:szCs w:val="24"/>
              </w:rPr>
            </m:ctrlPr>
          </m:sSubPr>
          <m:e>
            <m:r>
              <w:rPr>
                <w:rFonts w:ascii="Cambria Math" w:hAnsi="Cambria Math"/>
                <w:sz w:val="22"/>
                <w:szCs w:val="24"/>
              </w:rPr>
              <m:t>P</m:t>
            </m:r>
          </m:e>
          <m:sub>
            <m:r>
              <w:rPr>
                <w:rFonts w:ascii="Cambria Math" w:hAnsi="Cambria Math"/>
                <w:sz w:val="22"/>
                <w:szCs w:val="24"/>
              </w:rPr>
              <m:t>X</m:t>
            </m:r>
            <m:r>
              <m:rPr>
                <m:sty m:val="p"/>
              </m:rPr>
              <w:rPr>
                <w:rFonts w:ascii="Cambria Math" w:hAnsi="Cambria Math"/>
                <w:sz w:val="22"/>
                <w:szCs w:val="24"/>
              </w:rPr>
              <m:t>,</m:t>
            </m:r>
            <m:r>
              <w:rPr>
                <w:rFonts w:ascii="Cambria Math" w:hAnsi="Cambria Math"/>
                <w:sz w:val="22"/>
                <w:szCs w:val="24"/>
              </w:rPr>
              <m:t>V</m:t>
            </m:r>
          </m:sub>
        </m:sSub>
        <m:r>
          <m:rPr>
            <m:sty m:val="p"/>
          </m:rPr>
          <w:rPr>
            <w:rFonts w:ascii="Cambria Math" w:hAnsi="Cambria Math"/>
            <w:sz w:val="22"/>
            <w:szCs w:val="24"/>
          </w:rPr>
          <m:t>=</m:t>
        </m:r>
        <m:box>
          <m:boxPr>
            <m:ctrlPr>
              <w:rPr>
                <w:rStyle w:val="CETBodytextCarattere"/>
                <w:rFonts w:ascii="Cambria Math" w:eastAsiaTheme="minorHAnsi" w:hAnsi="Cambria Math"/>
                <w:sz w:val="22"/>
                <w:szCs w:val="24"/>
              </w:rPr>
            </m:ctrlPr>
          </m:boxPr>
          <m:e>
            <m:argPr>
              <m:argSz m:val="-1"/>
            </m:argPr>
            <m:f>
              <m:fPr>
                <m:ctrlPr>
                  <w:rPr>
                    <w:rStyle w:val="CETBodytextCarattere"/>
                    <w:rFonts w:ascii="Cambria Math" w:eastAsiaTheme="minorHAnsi" w:hAnsi="Cambria Math"/>
                    <w:sz w:val="22"/>
                    <w:szCs w:val="24"/>
                  </w:rPr>
                </m:ctrlPr>
              </m:fPr>
              <m:num>
                <m:sSub>
                  <m:sSubPr>
                    <m:ctrlPr>
                      <w:rPr>
                        <w:rStyle w:val="CETBodytextCarattere"/>
                        <w:rFonts w:ascii="Cambria Math" w:eastAsiaTheme="minorHAnsi" w:hAnsi="Cambria Math"/>
                        <w:sz w:val="22"/>
                        <w:szCs w:val="24"/>
                      </w:rPr>
                    </m:ctrlPr>
                  </m:sSubPr>
                  <m:e>
                    <m:r>
                      <w:rPr>
                        <w:rStyle w:val="CETBodytextCarattere"/>
                        <w:rFonts w:ascii="Cambria Math" w:hAnsi="Cambria Math"/>
                        <w:sz w:val="22"/>
                        <w:szCs w:val="24"/>
                      </w:rPr>
                      <m:t>C</m:t>
                    </m:r>
                  </m:e>
                  <m:sub>
                    <m:r>
                      <w:rPr>
                        <w:rStyle w:val="CETBodytextCarattere"/>
                        <w:rFonts w:ascii="Cambria Math" w:hAnsi="Cambria Math"/>
                        <w:sz w:val="22"/>
                        <w:szCs w:val="24"/>
                      </w:rPr>
                      <m:t>SP</m:t>
                    </m:r>
                  </m:sub>
                </m:sSub>
                <m:r>
                  <m:rPr>
                    <m:sty m:val="p"/>
                  </m:rPr>
                  <w:rPr>
                    <w:rStyle w:val="CETBodytextCarattere"/>
                    <w:rFonts w:ascii="Cambria Math" w:hAnsi="Cambria Math"/>
                    <w:sz w:val="22"/>
                    <w:szCs w:val="24"/>
                  </w:rPr>
                  <m:t>-</m:t>
                </m:r>
                <m:sSub>
                  <m:sSubPr>
                    <m:ctrlPr>
                      <w:rPr>
                        <w:rStyle w:val="CETBodytextCarattere"/>
                        <w:rFonts w:ascii="Cambria Math" w:eastAsiaTheme="minorHAnsi" w:hAnsi="Cambria Math"/>
                        <w:sz w:val="22"/>
                        <w:szCs w:val="24"/>
                      </w:rPr>
                    </m:ctrlPr>
                  </m:sSubPr>
                  <m:e>
                    <m:r>
                      <w:rPr>
                        <w:rStyle w:val="CETBodytextCarattere"/>
                        <w:rFonts w:ascii="Cambria Math" w:hAnsi="Cambria Math"/>
                        <w:sz w:val="22"/>
                        <w:szCs w:val="24"/>
                      </w:rPr>
                      <m:t>C</m:t>
                    </m:r>
                  </m:e>
                  <m:sub>
                    <m:r>
                      <w:rPr>
                        <w:rStyle w:val="CETBodytextCarattere"/>
                        <w:rFonts w:ascii="Cambria Math" w:hAnsi="Cambria Math"/>
                        <w:sz w:val="22"/>
                        <w:szCs w:val="24"/>
                      </w:rPr>
                      <m:t>i</m:t>
                    </m:r>
                  </m:sub>
                </m:sSub>
              </m:num>
              <m:den>
                <m:sSub>
                  <m:sSubPr>
                    <m:ctrlPr>
                      <w:rPr>
                        <w:rStyle w:val="CETBodytextCarattere"/>
                        <w:rFonts w:ascii="Cambria Math" w:eastAsiaTheme="minorHAnsi" w:hAnsi="Cambria Math"/>
                        <w:sz w:val="22"/>
                        <w:szCs w:val="24"/>
                      </w:rPr>
                    </m:ctrlPr>
                  </m:sSubPr>
                  <m:e>
                    <m:r>
                      <w:rPr>
                        <w:rStyle w:val="CETBodytextCarattere"/>
                        <w:rFonts w:ascii="Cambria Math" w:hAnsi="Cambria Math"/>
                        <w:sz w:val="22"/>
                        <w:szCs w:val="24"/>
                      </w:rPr>
                      <m:t>t</m:t>
                    </m:r>
                  </m:e>
                  <m:sub>
                    <m:r>
                      <w:rPr>
                        <w:rStyle w:val="CETBodytextCarattere"/>
                        <w:rFonts w:ascii="Cambria Math" w:hAnsi="Cambria Math"/>
                        <w:sz w:val="22"/>
                        <w:szCs w:val="24"/>
                      </w:rPr>
                      <m:t>SP</m:t>
                    </m:r>
                  </m:sub>
                </m:sSub>
                <m:r>
                  <m:rPr>
                    <m:sty m:val="p"/>
                  </m:rPr>
                  <w:rPr>
                    <w:rStyle w:val="CETBodytextCarattere"/>
                    <w:rFonts w:ascii="Cambria Math" w:hAnsi="Cambria Math"/>
                    <w:sz w:val="22"/>
                    <w:szCs w:val="24"/>
                  </w:rPr>
                  <m:t>-</m:t>
                </m:r>
                <m:sSub>
                  <m:sSubPr>
                    <m:ctrlPr>
                      <w:rPr>
                        <w:rStyle w:val="CETBodytextCarattere"/>
                        <w:rFonts w:ascii="Cambria Math" w:eastAsiaTheme="minorHAnsi" w:hAnsi="Cambria Math"/>
                        <w:sz w:val="22"/>
                        <w:szCs w:val="24"/>
                      </w:rPr>
                    </m:ctrlPr>
                  </m:sSubPr>
                  <m:e>
                    <m:r>
                      <w:rPr>
                        <w:rStyle w:val="CETBodytextCarattere"/>
                        <w:rFonts w:ascii="Cambria Math" w:hAnsi="Cambria Math"/>
                        <w:sz w:val="22"/>
                        <w:szCs w:val="24"/>
                      </w:rPr>
                      <m:t>t</m:t>
                    </m:r>
                  </m:e>
                  <m:sub>
                    <m:r>
                      <w:rPr>
                        <w:rStyle w:val="CETBodytextCarattere"/>
                        <w:rFonts w:ascii="Cambria Math" w:hAnsi="Cambria Math"/>
                        <w:sz w:val="22"/>
                        <w:szCs w:val="24"/>
                      </w:rPr>
                      <m:t>i</m:t>
                    </m:r>
                  </m:sub>
                </m:sSub>
              </m:den>
            </m:f>
          </m:e>
        </m:box>
        <m:r>
          <m:rPr>
            <m:sty m:val="p"/>
          </m:rPr>
          <w:rPr>
            <w:rStyle w:val="CETBodytextCarattere"/>
            <w:rFonts w:ascii="Cambria Math" w:hAnsi="Cambria Math"/>
            <w:sz w:val="22"/>
            <w:szCs w:val="24"/>
          </w:rPr>
          <m:t xml:space="preserve">                                                             </m:t>
        </m:r>
      </m:oMath>
      <w:r w:rsidR="00193664">
        <w:rPr>
          <w:rStyle w:val="CETBodytextCarattere"/>
          <w:rFonts w:eastAsiaTheme="minorEastAsia"/>
        </w:rPr>
        <w:t xml:space="preserve">                        </w:t>
      </w:r>
      <w:r w:rsidR="00BD6A86">
        <w:rPr>
          <w:rStyle w:val="CETBodytextCarattere"/>
          <w:rFonts w:eastAsiaTheme="minorEastAsia"/>
        </w:rPr>
        <w:t xml:space="preserve">                                                          </w:t>
      </w:r>
      <w:r w:rsidR="00B40D9A" w:rsidRPr="00694608">
        <w:rPr>
          <w:rStyle w:val="CETBodytextCarattere"/>
          <w:rFonts w:eastAsiaTheme="minorEastAsia"/>
        </w:rPr>
        <w:t xml:space="preserve">(Eq. </w:t>
      </w:r>
      <w:r w:rsidR="009409C0">
        <w:rPr>
          <w:rStyle w:val="CETBodytextCarattere"/>
          <w:rFonts w:eastAsiaTheme="minorEastAsia"/>
        </w:rPr>
        <w:t>2</w:t>
      </w:r>
      <w:r w:rsidR="00B40D9A" w:rsidRPr="00694608">
        <w:rPr>
          <w:rStyle w:val="CETBodytextCarattere"/>
          <w:rFonts w:eastAsiaTheme="minorEastAsia"/>
        </w:rPr>
        <w:t>)</w:t>
      </w:r>
    </w:p>
    <w:p w14:paraId="60589183" w14:textId="211AB076" w:rsidR="00B40D9A" w:rsidRPr="001C66AC" w:rsidRDefault="00B40D9A" w:rsidP="001C66AC">
      <w:pPr>
        <w:pStyle w:val="CETBodytext"/>
        <w:rPr>
          <w:rFonts w:eastAsiaTheme="minorEastAsia"/>
        </w:rPr>
      </w:pPr>
      <w:r>
        <w:rPr>
          <w:rFonts w:eastAsiaTheme="minorEastAsia"/>
        </w:rPr>
        <w:lastRenderedPageBreak/>
        <w:t xml:space="preserve">Where </w:t>
      </w:r>
      <w:r>
        <w:rPr>
          <w:rFonts w:eastAsiaTheme="minorEastAsia"/>
          <w:i/>
          <w:iCs/>
        </w:rPr>
        <w:t>C</w:t>
      </w:r>
      <w:r>
        <w:rPr>
          <w:rFonts w:eastAsiaTheme="minorEastAsia"/>
          <w:i/>
          <w:iCs/>
          <w:vertAlign w:val="subscript"/>
        </w:rPr>
        <w:t>SP</w:t>
      </w:r>
      <w:r w:rsidRPr="007F16D4">
        <w:rPr>
          <w:rFonts w:eastAsiaTheme="minorEastAsia"/>
          <w:i/>
          <w:iCs/>
          <w:vertAlign w:val="subscript"/>
        </w:rPr>
        <w:t xml:space="preserve"> </w:t>
      </w:r>
      <w:r>
        <w:rPr>
          <w:rFonts w:eastAsiaTheme="minorEastAsia"/>
        </w:rPr>
        <w:t xml:space="preserve">and </w:t>
      </w:r>
      <w:r>
        <w:rPr>
          <w:rFonts w:eastAsiaTheme="minorEastAsia"/>
          <w:i/>
          <w:iCs/>
        </w:rPr>
        <w:t>C</w:t>
      </w:r>
      <w:r w:rsidRPr="007F16D4">
        <w:rPr>
          <w:rFonts w:eastAsiaTheme="minorEastAsia"/>
          <w:i/>
          <w:iCs/>
          <w:vertAlign w:val="subscript"/>
        </w:rPr>
        <w:t>i</w:t>
      </w:r>
      <w:r>
        <w:rPr>
          <w:rFonts w:eastAsiaTheme="minorEastAsia"/>
          <w:i/>
          <w:iCs/>
        </w:rPr>
        <w:t xml:space="preserve"> </w:t>
      </w:r>
      <w:r>
        <w:rPr>
          <w:rFonts w:eastAsiaTheme="minorEastAsia"/>
        </w:rPr>
        <w:t>represent</w:t>
      </w:r>
      <w:r w:rsidR="00B34BBC">
        <w:rPr>
          <w:rFonts w:eastAsiaTheme="minorEastAsia"/>
        </w:rPr>
        <w:t xml:space="preserve"> </w:t>
      </w:r>
      <w:r>
        <w:rPr>
          <w:rFonts w:eastAsiaTheme="minorEastAsia"/>
        </w:rPr>
        <w:t>the biomass concentration (g</w:t>
      </w:r>
      <w:r w:rsidRPr="007F16D4">
        <w:rPr>
          <w:rFonts w:eastAsiaTheme="minorEastAsia"/>
          <w:vertAlign w:val="subscript"/>
        </w:rPr>
        <w:t>X</w:t>
      </w:r>
      <w:r>
        <w:rPr>
          <w:rFonts w:eastAsiaTheme="minorEastAsia"/>
        </w:rPr>
        <w:t xml:space="preserve"> L</w:t>
      </w:r>
      <w:r w:rsidRPr="007F16D4">
        <w:rPr>
          <w:rFonts w:eastAsiaTheme="minorEastAsia"/>
          <w:vertAlign w:val="superscript"/>
        </w:rPr>
        <w:t>-1</w:t>
      </w:r>
      <w:r>
        <w:rPr>
          <w:rFonts w:eastAsiaTheme="minorEastAsia"/>
        </w:rPr>
        <w:t xml:space="preserve">) at the beginning of </w:t>
      </w:r>
      <w:r w:rsidR="00B34BBC">
        <w:rPr>
          <w:rFonts w:eastAsiaTheme="minorEastAsia"/>
        </w:rPr>
        <w:t>the</w:t>
      </w:r>
      <w:r w:rsidR="00FC4F3D">
        <w:rPr>
          <w:rFonts w:eastAsiaTheme="minorEastAsia"/>
        </w:rPr>
        <w:t xml:space="preserve"> </w:t>
      </w:r>
      <w:r>
        <w:rPr>
          <w:rFonts w:eastAsiaTheme="minorEastAsia"/>
        </w:rPr>
        <w:t>stationary phase and at the beginning of the experiment</w:t>
      </w:r>
      <w:r w:rsidR="00B34BBC">
        <w:rPr>
          <w:rFonts w:eastAsiaTheme="minorEastAsia"/>
        </w:rPr>
        <w:t>, respectively</w:t>
      </w:r>
      <w:r>
        <w:rPr>
          <w:rFonts w:eastAsiaTheme="minorEastAsia"/>
        </w:rPr>
        <w:t xml:space="preserve">; </w:t>
      </w:r>
      <w:r>
        <w:rPr>
          <w:rFonts w:eastAsiaTheme="minorEastAsia"/>
          <w:i/>
          <w:iCs/>
        </w:rPr>
        <w:t>t</w:t>
      </w:r>
      <w:r w:rsidRPr="007F16D4">
        <w:rPr>
          <w:rFonts w:eastAsiaTheme="minorEastAsia"/>
          <w:i/>
          <w:iCs/>
          <w:vertAlign w:val="subscript"/>
        </w:rPr>
        <w:t>SP</w:t>
      </w:r>
      <w:r>
        <w:rPr>
          <w:rFonts w:eastAsiaTheme="minorEastAsia"/>
          <w:i/>
          <w:iCs/>
        </w:rPr>
        <w:t xml:space="preserve"> </w:t>
      </w:r>
      <w:r>
        <w:rPr>
          <w:rFonts w:eastAsiaTheme="minorEastAsia"/>
        </w:rPr>
        <w:t xml:space="preserve">and </w:t>
      </w:r>
      <w:r>
        <w:rPr>
          <w:rFonts w:eastAsiaTheme="minorEastAsia"/>
          <w:i/>
          <w:iCs/>
        </w:rPr>
        <w:t>t</w:t>
      </w:r>
      <w:r w:rsidRPr="007F16D4">
        <w:rPr>
          <w:rFonts w:eastAsiaTheme="minorEastAsia"/>
          <w:i/>
          <w:iCs/>
          <w:vertAlign w:val="subscript"/>
        </w:rPr>
        <w:t>i</w:t>
      </w:r>
      <w:r w:rsidRPr="007F16D4">
        <w:rPr>
          <w:rFonts w:eastAsiaTheme="minorEastAsia"/>
          <w:vertAlign w:val="subscript"/>
        </w:rPr>
        <w:t xml:space="preserve"> </w:t>
      </w:r>
      <w:r>
        <w:rPr>
          <w:rFonts w:eastAsiaTheme="minorEastAsia"/>
        </w:rPr>
        <w:t>represent the time (days) to reach the stationary phase of growth and the time zero, respectively.</w:t>
      </w:r>
    </w:p>
    <w:p w14:paraId="6206F682" w14:textId="09058465" w:rsidR="00797493" w:rsidRPr="002E5FE6" w:rsidRDefault="000B4822" w:rsidP="00797493">
      <w:pPr>
        <w:pStyle w:val="CETHeading1"/>
        <w:rPr>
          <w:lang w:val="en-GB"/>
        </w:rPr>
      </w:pPr>
      <w:r>
        <w:rPr>
          <w:lang w:val="en-GB"/>
        </w:rPr>
        <w:t>Results and Discussion</w:t>
      </w:r>
    </w:p>
    <w:p w14:paraId="4FAF949F" w14:textId="67FFC310" w:rsidR="000B4822" w:rsidRDefault="000B4822" w:rsidP="000B4822">
      <w:pPr>
        <w:pStyle w:val="CETheadingx"/>
      </w:pPr>
      <w:r>
        <w:t>Effect of bicarbonate concentration on microalgae growth</w:t>
      </w:r>
    </w:p>
    <w:p w14:paraId="481FC36F" w14:textId="3E076B02" w:rsidR="007E0EE1" w:rsidRDefault="000B4822" w:rsidP="000B4822">
      <w:pPr>
        <w:pStyle w:val="CETBodytext"/>
      </w:pPr>
      <w:r>
        <w:t>Three different concentrations of sodium bicarbonate (1, 2.5 and 5 g L</w:t>
      </w:r>
      <w:r w:rsidRPr="009C3D9B">
        <w:rPr>
          <w:vertAlign w:val="superscript"/>
        </w:rPr>
        <w:t>-1</w:t>
      </w:r>
      <w:r>
        <w:t>) were supplied at the beginning of the batch growth to investigate how performances of the selected strains</w:t>
      </w:r>
      <w:r w:rsidR="007263F7">
        <w:t xml:space="preserve"> were</w:t>
      </w:r>
      <w:r>
        <w:t xml:space="preserve"> affected. </w:t>
      </w:r>
    </w:p>
    <w:p w14:paraId="67FB2E33" w14:textId="478EE3A4" w:rsidR="007E0EE1" w:rsidRPr="009C3D9B" w:rsidRDefault="007E0EE1" w:rsidP="008F2D12">
      <w:pPr>
        <w:pStyle w:val="CETTabletitle"/>
        <w:jc w:val="both"/>
      </w:pPr>
      <w:r>
        <w:t xml:space="preserve">Table 1: Summary of </w:t>
      </w:r>
      <w:r w:rsidR="008F2D12">
        <w:t>calculated specific growth rates (µ, day</w:t>
      </w:r>
      <w:r w:rsidR="008F2D12" w:rsidRPr="007E0EE1">
        <w:rPr>
          <w:vertAlign w:val="superscript"/>
        </w:rPr>
        <w:t>-1</w:t>
      </w:r>
      <w:r w:rsidR="008F2D12">
        <w:t>)</w:t>
      </w:r>
      <w:r w:rsidR="00EF6776">
        <w:t>, pH and</w:t>
      </w:r>
      <w:r>
        <w:t xml:space="preserve"> biomass concentration </w:t>
      </w:r>
      <w:r w:rsidR="00214B90">
        <w:t>(C</w:t>
      </w:r>
      <w:r w:rsidR="00214B90" w:rsidRPr="007E0EE1">
        <w:rPr>
          <w:vertAlign w:val="subscript"/>
        </w:rPr>
        <w:t>x,</w:t>
      </w:r>
      <w:r w:rsidR="00214B90">
        <w:rPr>
          <w:vertAlign w:val="subscript"/>
        </w:rPr>
        <w:t>SP</w:t>
      </w:r>
      <w:r w:rsidR="00214B90">
        <w:t>, g L</w:t>
      </w:r>
      <w:r w:rsidR="00214B90" w:rsidRPr="007E0EE1">
        <w:rPr>
          <w:vertAlign w:val="superscript"/>
        </w:rPr>
        <w:t>-1</w:t>
      </w:r>
      <w:r w:rsidR="00214B90">
        <w:t xml:space="preserve">) </w:t>
      </w:r>
      <w:r w:rsidR="008F2D12">
        <w:t>measured at stationary phase</w:t>
      </w:r>
      <w:r>
        <w:t xml:space="preserve"> </w:t>
      </w:r>
      <w:r w:rsidR="00214B90">
        <w:t xml:space="preserve">in </w:t>
      </w:r>
      <w:r>
        <w:t xml:space="preserve">batch cultivation </w:t>
      </w:r>
      <w:r w:rsidR="00214B90">
        <w:t>of</w:t>
      </w:r>
      <w:r>
        <w:t xml:space="preserve"> different species </w:t>
      </w:r>
      <w:r w:rsidR="00214B90">
        <w:t>grown at different bicarbonate concentrations.</w:t>
      </w:r>
    </w:p>
    <w:tbl>
      <w:tblPr>
        <w:tblW w:w="8323" w:type="dxa"/>
        <w:jc w:val="center"/>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484"/>
        <w:gridCol w:w="490"/>
        <w:gridCol w:w="301"/>
        <w:gridCol w:w="490"/>
        <w:gridCol w:w="851"/>
        <w:gridCol w:w="936"/>
        <w:gridCol w:w="590"/>
        <w:gridCol w:w="796"/>
        <w:gridCol w:w="788"/>
        <w:gridCol w:w="663"/>
        <w:gridCol w:w="934"/>
      </w:tblGrid>
      <w:tr w:rsidR="00EF6776" w:rsidRPr="00B57B36" w14:paraId="69860B5A" w14:textId="77777777" w:rsidTr="000D6B0E">
        <w:trPr>
          <w:trHeight w:val="231"/>
          <w:jc w:val="center"/>
        </w:trPr>
        <w:tc>
          <w:tcPr>
            <w:tcW w:w="1484" w:type="dxa"/>
            <w:tcBorders>
              <w:top w:val="single" w:sz="12" w:space="0" w:color="008000"/>
              <w:bottom w:val="nil"/>
            </w:tcBorders>
            <w:shd w:val="clear" w:color="auto" w:fill="FFFFFF"/>
          </w:tcPr>
          <w:p w14:paraId="0851F817" w14:textId="77777777" w:rsidR="00EF6776" w:rsidRPr="00B57B36" w:rsidRDefault="00EF6776" w:rsidP="00430AD1">
            <w:pPr>
              <w:pStyle w:val="CETBodytext"/>
              <w:rPr>
                <w:lang w:val="en-GB"/>
              </w:rPr>
            </w:pPr>
          </w:p>
        </w:tc>
        <w:tc>
          <w:tcPr>
            <w:tcW w:w="791" w:type="dxa"/>
            <w:gridSpan w:val="2"/>
            <w:tcBorders>
              <w:top w:val="single" w:sz="12" w:space="0" w:color="008000"/>
              <w:bottom w:val="single" w:sz="6" w:space="0" w:color="008000"/>
            </w:tcBorders>
            <w:shd w:val="clear" w:color="auto" w:fill="FFFFFF"/>
          </w:tcPr>
          <w:p w14:paraId="419F55E3" w14:textId="77777777" w:rsidR="00EF6776" w:rsidRDefault="00EF6776" w:rsidP="00430AD1">
            <w:pPr>
              <w:pStyle w:val="CETBodytext"/>
              <w:jc w:val="center"/>
              <w:rPr>
                <w:lang w:val="en-GB"/>
              </w:rPr>
            </w:pPr>
          </w:p>
        </w:tc>
        <w:tc>
          <w:tcPr>
            <w:tcW w:w="6048" w:type="dxa"/>
            <w:gridSpan w:val="8"/>
            <w:tcBorders>
              <w:top w:val="single" w:sz="12" w:space="0" w:color="008000"/>
              <w:bottom w:val="single" w:sz="6" w:space="0" w:color="008000"/>
            </w:tcBorders>
            <w:shd w:val="clear" w:color="auto" w:fill="FFFFFF"/>
            <w:vAlign w:val="center"/>
          </w:tcPr>
          <w:p w14:paraId="4BA73AC2" w14:textId="056D18CB" w:rsidR="00EF6776" w:rsidRPr="002E5FE6" w:rsidRDefault="00EF6776" w:rsidP="004A2BED">
            <w:pPr>
              <w:pStyle w:val="CETBodytext"/>
              <w:jc w:val="center"/>
              <w:rPr>
                <w:lang w:val="en-GB"/>
              </w:rPr>
            </w:pPr>
            <w:r>
              <w:rPr>
                <w:lang w:val="en-GB"/>
              </w:rPr>
              <w:t>Bicarbonate concentration [g L</w:t>
            </w:r>
            <w:r w:rsidRPr="002E5FE6">
              <w:rPr>
                <w:vertAlign w:val="superscript"/>
                <w:lang w:val="en-GB"/>
              </w:rPr>
              <w:t>-1</w:t>
            </w:r>
            <w:r>
              <w:rPr>
                <w:lang w:val="en-GB"/>
              </w:rPr>
              <w:t>]</w:t>
            </w:r>
          </w:p>
        </w:tc>
      </w:tr>
      <w:tr w:rsidR="00EF6776" w:rsidRPr="00B57B36" w14:paraId="16BB5BB7" w14:textId="77777777" w:rsidTr="000D6B0E">
        <w:trPr>
          <w:trHeight w:val="244"/>
          <w:jc w:val="center"/>
        </w:trPr>
        <w:tc>
          <w:tcPr>
            <w:tcW w:w="1484" w:type="dxa"/>
            <w:tcBorders>
              <w:top w:val="nil"/>
              <w:bottom w:val="single" w:sz="6" w:space="0" w:color="008000"/>
            </w:tcBorders>
            <w:shd w:val="clear" w:color="auto" w:fill="FFFFFF"/>
          </w:tcPr>
          <w:p w14:paraId="566E6498" w14:textId="77777777" w:rsidR="00EF6776" w:rsidRPr="00B57B36" w:rsidRDefault="00EF6776" w:rsidP="00430AD1">
            <w:pPr>
              <w:pStyle w:val="CETBodytext"/>
              <w:rPr>
                <w:lang w:val="en-GB"/>
              </w:rPr>
            </w:pPr>
          </w:p>
        </w:tc>
        <w:tc>
          <w:tcPr>
            <w:tcW w:w="2132" w:type="dxa"/>
            <w:gridSpan w:val="4"/>
            <w:tcBorders>
              <w:top w:val="single" w:sz="12" w:space="0" w:color="008000"/>
              <w:bottom w:val="single" w:sz="6" w:space="0" w:color="008000"/>
            </w:tcBorders>
            <w:shd w:val="clear" w:color="auto" w:fill="FFFFFF"/>
            <w:vAlign w:val="center"/>
          </w:tcPr>
          <w:p w14:paraId="64160072" w14:textId="18AECB12" w:rsidR="00EF6776" w:rsidRDefault="00EF6776" w:rsidP="004A2BED">
            <w:pPr>
              <w:pStyle w:val="CETBodytext"/>
              <w:jc w:val="center"/>
              <w:rPr>
                <w:lang w:val="en-GB"/>
              </w:rPr>
            </w:pPr>
            <w:r>
              <w:rPr>
                <w:lang w:val="en-GB"/>
              </w:rPr>
              <w:t>1</w:t>
            </w:r>
          </w:p>
        </w:tc>
        <w:tc>
          <w:tcPr>
            <w:tcW w:w="2322" w:type="dxa"/>
            <w:gridSpan w:val="3"/>
            <w:tcBorders>
              <w:top w:val="single" w:sz="12" w:space="0" w:color="008000"/>
              <w:bottom w:val="single" w:sz="6" w:space="0" w:color="008000"/>
            </w:tcBorders>
            <w:shd w:val="clear" w:color="auto" w:fill="FFFFFF"/>
            <w:vAlign w:val="center"/>
          </w:tcPr>
          <w:p w14:paraId="3B1BFE77" w14:textId="3C2A256C" w:rsidR="00EF6776" w:rsidRDefault="00EF6776" w:rsidP="004A2BED">
            <w:pPr>
              <w:pStyle w:val="CETBodytext"/>
              <w:jc w:val="center"/>
              <w:rPr>
                <w:lang w:val="en-GB"/>
              </w:rPr>
            </w:pPr>
            <w:r>
              <w:rPr>
                <w:lang w:val="en-GB"/>
              </w:rPr>
              <w:t>2.5</w:t>
            </w:r>
          </w:p>
        </w:tc>
        <w:tc>
          <w:tcPr>
            <w:tcW w:w="2385" w:type="dxa"/>
            <w:gridSpan w:val="3"/>
            <w:tcBorders>
              <w:top w:val="single" w:sz="12" w:space="0" w:color="008000"/>
              <w:bottom w:val="single" w:sz="6" w:space="0" w:color="008000"/>
            </w:tcBorders>
            <w:shd w:val="clear" w:color="auto" w:fill="FFFFFF"/>
            <w:vAlign w:val="center"/>
          </w:tcPr>
          <w:p w14:paraId="3BFDE808" w14:textId="14DF0136" w:rsidR="00EF6776" w:rsidRDefault="00EF6776" w:rsidP="004A2BED">
            <w:pPr>
              <w:pStyle w:val="CETBodytext"/>
              <w:jc w:val="center"/>
              <w:rPr>
                <w:lang w:val="en-GB"/>
              </w:rPr>
            </w:pPr>
            <w:r>
              <w:rPr>
                <w:lang w:val="en-GB"/>
              </w:rPr>
              <w:t>5</w:t>
            </w:r>
          </w:p>
        </w:tc>
      </w:tr>
      <w:tr w:rsidR="00EF6776" w:rsidRPr="00B57B36" w14:paraId="66767D89" w14:textId="77777777" w:rsidTr="000D6B0E">
        <w:trPr>
          <w:trHeight w:val="481"/>
          <w:jc w:val="center"/>
        </w:trPr>
        <w:tc>
          <w:tcPr>
            <w:tcW w:w="1484" w:type="dxa"/>
            <w:tcBorders>
              <w:top w:val="single" w:sz="12" w:space="0" w:color="008000"/>
              <w:bottom w:val="single" w:sz="6" w:space="0" w:color="008000"/>
            </w:tcBorders>
            <w:shd w:val="clear" w:color="auto" w:fill="FFFFFF"/>
            <w:vAlign w:val="center"/>
          </w:tcPr>
          <w:p w14:paraId="2CBA4908" w14:textId="77777777" w:rsidR="00EF6776" w:rsidRDefault="00EF6776" w:rsidP="00EF6776">
            <w:pPr>
              <w:pStyle w:val="CETBodytext"/>
              <w:jc w:val="center"/>
              <w:rPr>
                <w:lang w:val="en-GB"/>
              </w:rPr>
            </w:pPr>
            <w:r>
              <w:rPr>
                <w:lang w:val="en-GB"/>
              </w:rPr>
              <w:t>Species</w:t>
            </w:r>
          </w:p>
        </w:tc>
        <w:tc>
          <w:tcPr>
            <w:tcW w:w="490" w:type="dxa"/>
            <w:tcBorders>
              <w:top w:val="single" w:sz="12" w:space="0" w:color="008000"/>
              <w:bottom w:val="single" w:sz="6" w:space="0" w:color="008000"/>
            </w:tcBorders>
            <w:shd w:val="clear" w:color="auto" w:fill="FFFFFF"/>
            <w:vAlign w:val="center"/>
          </w:tcPr>
          <w:p w14:paraId="019091AD" w14:textId="0972066E" w:rsidR="00EF6776" w:rsidRPr="002E5FE6" w:rsidRDefault="00EF6776" w:rsidP="00EF6776">
            <w:pPr>
              <w:pStyle w:val="CETBodytext"/>
              <w:jc w:val="center"/>
              <w:rPr>
                <w:vertAlign w:val="subscript"/>
                <w:lang w:val="en-GB"/>
              </w:rPr>
            </w:pPr>
            <w:r>
              <w:rPr>
                <w:lang w:val="en-GB"/>
              </w:rPr>
              <w:t>C</w:t>
            </w:r>
            <w:r w:rsidRPr="002E5FE6">
              <w:rPr>
                <w:vertAlign w:val="subscript"/>
                <w:lang w:val="en-GB"/>
              </w:rPr>
              <w:t>x,</w:t>
            </w:r>
            <w:r>
              <w:rPr>
                <w:vertAlign w:val="subscript"/>
                <w:lang w:val="en-GB"/>
              </w:rPr>
              <w:t>SP</w:t>
            </w:r>
          </w:p>
          <w:p w14:paraId="22313E31" w14:textId="77777777" w:rsidR="00EF6776" w:rsidRPr="002E5FE6" w:rsidRDefault="00EF6776" w:rsidP="00EF6776">
            <w:pPr>
              <w:pStyle w:val="CETBodytext"/>
              <w:jc w:val="center"/>
              <w:rPr>
                <w:lang w:val="en-GB"/>
              </w:rPr>
            </w:pPr>
            <w:r>
              <w:rPr>
                <w:lang w:val="en-GB"/>
              </w:rPr>
              <w:t>[g L</w:t>
            </w:r>
            <w:r w:rsidRPr="002E5FE6">
              <w:rPr>
                <w:vertAlign w:val="superscript"/>
                <w:lang w:val="en-GB"/>
              </w:rPr>
              <w:t>-1</w:t>
            </w:r>
            <w:r>
              <w:rPr>
                <w:lang w:val="en-GB"/>
              </w:rPr>
              <w:t>]</w:t>
            </w:r>
          </w:p>
        </w:tc>
        <w:tc>
          <w:tcPr>
            <w:tcW w:w="791" w:type="dxa"/>
            <w:gridSpan w:val="2"/>
            <w:tcBorders>
              <w:top w:val="single" w:sz="12" w:space="0" w:color="008000"/>
              <w:bottom w:val="single" w:sz="6" w:space="0" w:color="008000"/>
            </w:tcBorders>
            <w:shd w:val="clear" w:color="auto" w:fill="FFFFFF"/>
            <w:vAlign w:val="center"/>
          </w:tcPr>
          <w:p w14:paraId="6C0AAD4D" w14:textId="77777777" w:rsidR="00EF6776" w:rsidRDefault="00EF6776" w:rsidP="00EF6776">
            <w:pPr>
              <w:pStyle w:val="CETBodytext"/>
              <w:ind w:right="-1"/>
              <w:jc w:val="center"/>
              <w:rPr>
                <w:rFonts w:cs="Arial"/>
                <w:szCs w:val="18"/>
                <w:vertAlign w:val="subscript"/>
                <w:lang w:val="en-GB"/>
              </w:rPr>
            </w:pPr>
            <w:r>
              <w:rPr>
                <w:rFonts w:cs="Arial"/>
                <w:szCs w:val="18"/>
                <w:lang w:val="en-GB"/>
              </w:rPr>
              <w:t>pH</w:t>
            </w:r>
            <w:r>
              <w:rPr>
                <w:rFonts w:cs="Arial"/>
                <w:szCs w:val="18"/>
                <w:vertAlign w:val="subscript"/>
                <w:lang w:val="en-GB"/>
              </w:rPr>
              <w:t>SP</w:t>
            </w:r>
          </w:p>
          <w:p w14:paraId="322317F6" w14:textId="3039B162" w:rsidR="004A2BED" w:rsidRPr="00EF6776" w:rsidRDefault="004A2BED" w:rsidP="004A2BED">
            <w:pPr>
              <w:pStyle w:val="CETBodytext"/>
              <w:ind w:right="-1"/>
              <w:rPr>
                <w:rFonts w:cs="Arial"/>
                <w:szCs w:val="18"/>
                <w:vertAlign w:val="subscript"/>
                <w:lang w:val="en-GB"/>
              </w:rPr>
            </w:pPr>
          </w:p>
        </w:tc>
        <w:tc>
          <w:tcPr>
            <w:tcW w:w="849" w:type="dxa"/>
            <w:tcBorders>
              <w:top w:val="single" w:sz="12" w:space="0" w:color="008000"/>
              <w:bottom w:val="single" w:sz="6" w:space="0" w:color="008000"/>
            </w:tcBorders>
            <w:shd w:val="clear" w:color="auto" w:fill="FFFFFF"/>
            <w:vAlign w:val="center"/>
          </w:tcPr>
          <w:p w14:paraId="562B94F3" w14:textId="1CA647F4" w:rsidR="00EF6776" w:rsidRPr="0014019E" w:rsidRDefault="00EF6776" w:rsidP="00EF6776">
            <w:pPr>
              <w:pStyle w:val="CETBodytext"/>
              <w:ind w:right="-1"/>
              <w:jc w:val="center"/>
              <w:rPr>
                <w:rFonts w:cs="Arial"/>
                <w:i/>
                <w:iCs/>
                <w:szCs w:val="18"/>
                <w:lang w:val="en-GB"/>
              </w:rPr>
            </w:pPr>
            <w:r w:rsidRPr="0014019E">
              <w:rPr>
                <w:rFonts w:cs="Arial"/>
                <w:i/>
                <w:iCs/>
                <w:szCs w:val="18"/>
                <w:lang w:val="en-GB"/>
              </w:rPr>
              <w:t>µ</w:t>
            </w:r>
          </w:p>
          <w:p w14:paraId="60FE07A1" w14:textId="77777777" w:rsidR="00EF6776" w:rsidRPr="00B57B36" w:rsidRDefault="00EF6776" w:rsidP="00EF6776">
            <w:pPr>
              <w:pStyle w:val="CETBodytext"/>
              <w:ind w:right="-1"/>
              <w:jc w:val="center"/>
              <w:rPr>
                <w:rFonts w:cs="Arial"/>
                <w:szCs w:val="18"/>
                <w:lang w:val="en-GB"/>
              </w:rPr>
            </w:pPr>
            <w:r>
              <w:rPr>
                <w:rFonts w:cs="Arial"/>
                <w:szCs w:val="18"/>
                <w:lang w:val="en-GB"/>
              </w:rPr>
              <w:t>[d</w:t>
            </w:r>
            <w:r w:rsidRPr="002E5FE6">
              <w:rPr>
                <w:rFonts w:cs="Arial"/>
                <w:szCs w:val="18"/>
                <w:vertAlign w:val="superscript"/>
                <w:lang w:val="en-GB"/>
              </w:rPr>
              <w:t>-1</w:t>
            </w:r>
            <w:r>
              <w:rPr>
                <w:rFonts w:cs="Arial"/>
                <w:szCs w:val="18"/>
                <w:lang w:val="en-GB"/>
              </w:rPr>
              <w:t>]</w:t>
            </w:r>
          </w:p>
        </w:tc>
        <w:tc>
          <w:tcPr>
            <w:tcW w:w="936" w:type="dxa"/>
            <w:tcBorders>
              <w:top w:val="single" w:sz="12" w:space="0" w:color="008000"/>
              <w:bottom w:val="single" w:sz="6" w:space="0" w:color="008000"/>
            </w:tcBorders>
            <w:shd w:val="clear" w:color="auto" w:fill="FFFFFF"/>
            <w:vAlign w:val="center"/>
          </w:tcPr>
          <w:p w14:paraId="0C778974" w14:textId="7FE02B4F" w:rsidR="00EF6776" w:rsidRPr="002E5FE6" w:rsidRDefault="00EF6776" w:rsidP="00EF6776">
            <w:pPr>
              <w:pStyle w:val="CETBodytext"/>
              <w:jc w:val="center"/>
              <w:rPr>
                <w:vertAlign w:val="subscript"/>
                <w:lang w:val="en-GB"/>
              </w:rPr>
            </w:pPr>
            <w:r>
              <w:rPr>
                <w:lang w:val="en-GB"/>
              </w:rPr>
              <w:t>C</w:t>
            </w:r>
            <w:r w:rsidRPr="002E5FE6">
              <w:rPr>
                <w:vertAlign w:val="subscript"/>
                <w:lang w:val="en-GB"/>
              </w:rPr>
              <w:t>x,</w:t>
            </w:r>
            <w:r>
              <w:rPr>
                <w:vertAlign w:val="subscript"/>
                <w:lang w:val="en-GB"/>
              </w:rPr>
              <w:t>SP</w:t>
            </w:r>
          </w:p>
          <w:p w14:paraId="60E0D213" w14:textId="77777777" w:rsidR="00EF6776" w:rsidRPr="00B57B36" w:rsidRDefault="00EF6776" w:rsidP="00EF6776">
            <w:pPr>
              <w:pStyle w:val="CETBodytext"/>
              <w:ind w:right="-1"/>
              <w:jc w:val="center"/>
              <w:rPr>
                <w:rFonts w:cs="Arial"/>
                <w:szCs w:val="18"/>
                <w:lang w:val="en-GB"/>
              </w:rPr>
            </w:pPr>
            <w:r>
              <w:rPr>
                <w:lang w:val="en-GB"/>
              </w:rPr>
              <w:t>[g L</w:t>
            </w:r>
            <w:r w:rsidRPr="002E5FE6">
              <w:rPr>
                <w:vertAlign w:val="superscript"/>
                <w:lang w:val="en-GB"/>
              </w:rPr>
              <w:t>-1</w:t>
            </w:r>
            <w:r>
              <w:rPr>
                <w:lang w:val="en-GB"/>
              </w:rPr>
              <w:t>]</w:t>
            </w:r>
          </w:p>
        </w:tc>
        <w:tc>
          <w:tcPr>
            <w:tcW w:w="590" w:type="dxa"/>
            <w:tcBorders>
              <w:top w:val="single" w:sz="12" w:space="0" w:color="008000"/>
              <w:bottom w:val="single" w:sz="6" w:space="0" w:color="008000"/>
            </w:tcBorders>
            <w:shd w:val="clear" w:color="auto" w:fill="FFFFFF"/>
            <w:vAlign w:val="center"/>
          </w:tcPr>
          <w:p w14:paraId="0C56D6C8" w14:textId="77777777" w:rsidR="00EF6776" w:rsidRDefault="00EF6776" w:rsidP="00EF6776">
            <w:pPr>
              <w:pStyle w:val="CETBodytext"/>
              <w:ind w:right="-1"/>
              <w:jc w:val="center"/>
              <w:rPr>
                <w:rFonts w:cs="Arial"/>
                <w:szCs w:val="18"/>
                <w:vertAlign w:val="subscript"/>
                <w:lang w:val="en-GB"/>
              </w:rPr>
            </w:pPr>
            <w:r>
              <w:rPr>
                <w:rFonts w:cs="Arial"/>
                <w:szCs w:val="18"/>
                <w:lang w:val="en-GB"/>
              </w:rPr>
              <w:t>pH</w:t>
            </w:r>
            <w:r>
              <w:rPr>
                <w:rFonts w:cs="Arial"/>
                <w:szCs w:val="18"/>
                <w:vertAlign w:val="subscript"/>
                <w:lang w:val="en-GB"/>
              </w:rPr>
              <w:t>SP</w:t>
            </w:r>
          </w:p>
          <w:p w14:paraId="67D4CE8A" w14:textId="4FB73B9E" w:rsidR="004A2BED" w:rsidRPr="0014019E" w:rsidRDefault="004A2BED" w:rsidP="00EF6776">
            <w:pPr>
              <w:pStyle w:val="CETBodytext"/>
              <w:ind w:right="-1"/>
              <w:jc w:val="center"/>
              <w:rPr>
                <w:rFonts w:cs="Arial"/>
                <w:i/>
                <w:iCs/>
                <w:szCs w:val="18"/>
                <w:lang w:val="en-GB"/>
              </w:rPr>
            </w:pPr>
          </w:p>
        </w:tc>
        <w:tc>
          <w:tcPr>
            <w:tcW w:w="795" w:type="dxa"/>
            <w:tcBorders>
              <w:top w:val="single" w:sz="12" w:space="0" w:color="008000"/>
              <w:bottom w:val="single" w:sz="6" w:space="0" w:color="008000"/>
            </w:tcBorders>
            <w:shd w:val="clear" w:color="auto" w:fill="FFFFFF"/>
            <w:vAlign w:val="center"/>
          </w:tcPr>
          <w:p w14:paraId="2BE7FFD1" w14:textId="392BFEA5" w:rsidR="00EF6776" w:rsidRPr="0014019E" w:rsidRDefault="00EF6776" w:rsidP="00EF6776">
            <w:pPr>
              <w:pStyle w:val="CETBodytext"/>
              <w:ind w:right="-1"/>
              <w:jc w:val="center"/>
              <w:rPr>
                <w:rFonts w:cs="Arial"/>
                <w:i/>
                <w:iCs/>
                <w:szCs w:val="18"/>
                <w:lang w:val="en-GB"/>
              </w:rPr>
            </w:pPr>
            <w:r w:rsidRPr="0014019E">
              <w:rPr>
                <w:rFonts w:cs="Arial"/>
                <w:i/>
                <w:iCs/>
                <w:szCs w:val="18"/>
                <w:lang w:val="en-GB"/>
              </w:rPr>
              <w:t>µ</w:t>
            </w:r>
          </w:p>
          <w:p w14:paraId="7E4DB164" w14:textId="77777777" w:rsidR="00EF6776" w:rsidRPr="00B57B36" w:rsidRDefault="00EF6776" w:rsidP="00EF6776">
            <w:pPr>
              <w:pStyle w:val="CETBodytext"/>
              <w:ind w:right="-1"/>
              <w:jc w:val="center"/>
              <w:rPr>
                <w:rFonts w:cs="Arial"/>
                <w:szCs w:val="18"/>
                <w:lang w:val="en-GB"/>
              </w:rPr>
            </w:pPr>
            <w:r>
              <w:rPr>
                <w:rFonts w:cs="Arial"/>
                <w:szCs w:val="18"/>
                <w:lang w:val="en-GB"/>
              </w:rPr>
              <w:t>[d</w:t>
            </w:r>
            <w:r w:rsidRPr="002E5FE6">
              <w:rPr>
                <w:rFonts w:cs="Arial"/>
                <w:szCs w:val="18"/>
                <w:vertAlign w:val="superscript"/>
                <w:lang w:val="en-GB"/>
              </w:rPr>
              <w:t>-1</w:t>
            </w:r>
            <w:r>
              <w:rPr>
                <w:rFonts w:cs="Arial"/>
                <w:szCs w:val="18"/>
                <w:lang w:val="en-GB"/>
              </w:rPr>
              <w:t>]</w:t>
            </w:r>
          </w:p>
        </w:tc>
        <w:tc>
          <w:tcPr>
            <w:tcW w:w="788" w:type="dxa"/>
            <w:tcBorders>
              <w:top w:val="single" w:sz="12" w:space="0" w:color="008000"/>
              <w:bottom w:val="single" w:sz="6" w:space="0" w:color="008000"/>
            </w:tcBorders>
            <w:shd w:val="clear" w:color="auto" w:fill="FFFFFF"/>
            <w:vAlign w:val="center"/>
          </w:tcPr>
          <w:p w14:paraId="059B3993" w14:textId="4C961423" w:rsidR="00EF6776" w:rsidRPr="002E5FE6" w:rsidRDefault="00EF6776" w:rsidP="00EF6776">
            <w:pPr>
              <w:pStyle w:val="CETBodytext"/>
              <w:jc w:val="center"/>
              <w:rPr>
                <w:vertAlign w:val="subscript"/>
                <w:lang w:val="en-GB"/>
              </w:rPr>
            </w:pPr>
            <w:r>
              <w:rPr>
                <w:lang w:val="en-GB"/>
              </w:rPr>
              <w:t>C</w:t>
            </w:r>
            <w:r w:rsidRPr="002E5FE6">
              <w:rPr>
                <w:vertAlign w:val="subscript"/>
                <w:lang w:val="en-GB"/>
              </w:rPr>
              <w:t>x,</w:t>
            </w:r>
            <w:r>
              <w:rPr>
                <w:vertAlign w:val="subscript"/>
                <w:lang w:val="en-GB"/>
              </w:rPr>
              <w:t>SP</w:t>
            </w:r>
          </w:p>
          <w:p w14:paraId="2EFC73C7" w14:textId="77777777" w:rsidR="00EF6776" w:rsidRPr="00B57B36" w:rsidRDefault="00EF6776" w:rsidP="00EF6776">
            <w:pPr>
              <w:pStyle w:val="CETBodytext"/>
              <w:ind w:right="-1"/>
              <w:jc w:val="center"/>
              <w:rPr>
                <w:rFonts w:cs="Arial"/>
                <w:szCs w:val="18"/>
                <w:lang w:val="en-GB"/>
              </w:rPr>
            </w:pPr>
            <w:r>
              <w:rPr>
                <w:lang w:val="en-GB"/>
              </w:rPr>
              <w:t>[g L</w:t>
            </w:r>
            <w:r w:rsidRPr="002E5FE6">
              <w:rPr>
                <w:vertAlign w:val="superscript"/>
                <w:lang w:val="en-GB"/>
              </w:rPr>
              <w:t>-1</w:t>
            </w:r>
            <w:r>
              <w:rPr>
                <w:lang w:val="en-GB"/>
              </w:rPr>
              <w:t>]</w:t>
            </w:r>
          </w:p>
        </w:tc>
        <w:tc>
          <w:tcPr>
            <w:tcW w:w="663" w:type="dxa"/>
            <w:tcBorders>
              <w:top w:val="single" w:sz="12" w:space="0" w:color="008000"/>
              <w:bottom w:val="single" w:sz="6" w:space="0" w:color="008000"/>
            </w:tcBorders>
            <w:shd w:val="clear" w:color="auto" w:fill="FFFFFF"/>
            <w:vAlign w:val="center"/>
          </w:tcPr>
          <w:p w14:paraId="45186E18" w14:textId="77777777" w:rsidR="00EF6776" w:rsidRDefault="00EF6776" w:rsidP="00EF6776">
            <w:pPr>
              <w:pStyle w:val="CETBodytext"/>
              <w:ind w:right="-1"/>
              <w:jc w:val="center"/>
              <w:rPr>
                <w:rFonts w:cs="Arial"/>
                <w:szCs w:val="18"/>
                <w:vertAlign w:val="subscript"/>
                <w:lang w:val="en-GB"/>
              </w:rPr>
            </w:pPr>
            <w:r>
              <w:rPr>
                <w:rFonts w:cs="Arial"/>
                <w:szCs w:val="18"/>
                <w:lang w:val="en-GB"/>
              </w:rPr>
              <w:t>pH</w:t>
            </w:r>
            <w:r>
              <w:rPr>
                <w:rFonts w:cs="Arial"/>
                <w:szCs w:val="18"/>
                <w:vertAlign w:val="subscript"/>
                <w:lang w:val="en-GB"/>
              </w:rPr>
              <w:t>SP</w:t>
            </w:r>
          </w:p>
          <w:p w14:paraId="7F980330" w14:textId="3C760B3D" w:rsidR="004A2BED" w:rsidRPr="0014019E" w:rsidRDefault="004A2BED" w:rsidP="00EF6776">
            <w:pPr>
              <w:pStyle w:val="CETBodytext"/>
              <w:ind w:right="-1"/>
              <w:jc w:val="center"/>
              <w:rPr>
                <w:rFonts w:cs="Arial"/>
                <w:i/>
                <w:iCs/>
                <w:szCs w:val="18"/>
                <w:lang w:val="en-GB"/>
              </w:rPr>
            </w:pPr>
          </w:p>
        </w:tc>
        <w:tc>
          <w:tcPr>
            <w:tcW w:w="933" w:type="dxa"/>
            <w:tcBorders>
              <w:top w:val="single" w:sz="12" w:space="0" w:color="008000"/>
              <w:bottom w:val="single" w:sz="6" w:space="0" w:color="008000"/>
            </w:tcBorders>
            <w:shd w:val="clear" w:color="auto" w:fill="FFFFFF"/>
            <w:vAlign w:val="center"/>
          </w:tcPr>
          <w:p w14:paraId="25F255B0" w14:textId="4E75284D" w:rsidR="00EF6776" w:rsidRPr="0014019E" w:rsidRDefault="00EF6776" w:rsidP="00EF6776">
            <w:pPr>
              <w:pStyle w:val="CETBodytext"/>
              <w:ind w:right="-1"/>
              <w:jc w:val="center"/>
              <w:rPr>
                <w:rFonts w:cs="Arial"/>
                <w:i/>
                <w:iCs/>
                <w:szCs w:val="18"/>
                <w:lang w:val="en-GB"/>
              </w:rPr>
            </w:pPr>
            <w:r w:rsidRPr="0014019E">
              <w:rPr>
                <w:rFonts w:cs="Arial"/>
                <w:i/>
                <w:iCs/>
                <w:szCs w:val="18"/>
                <w:lang w:val="en-GB"/>
              </w:rPr>
              <w:t>µ</w:t>
            </w:r>
          </w:p>
          <w:p w14:paraId="5CCE03D9" w14:textId="77777777" w:rsidR="00EF6776" w:rsidRPr="00B57B36" w:rsidRDefault="00EF6776" w:rsidP="00EF6776">
            <w:pPr>
              <w:pStyle w:val="CETBodytext"/>
              <w:ind w:right="-1"/>
              <w:jc w:val="center"/>
              <w:rPr>
                <w:rFonts w:cs="Arial"/>
                <w:szCs w:val="18"/>
                <w:lang w:val="en-GB"/>
              </w:rPr>
            </w:pPr>
            <w:r>
              <w:rPr>
                <w:rFonts w:cs="Arial"/>
                <w:szCs w:val="18"/>
                <w:lang w:val="en-GB"/>
              </w:rPr>
              <w:t>[d</w:t>
            </w:r>
            <w:r w:rsidRPr="002E5FE6">
              <w:rPr>
                <w:rFonts w:cs="Arial"/>
                <w:szCs w:val="18"/>
                <w:vertAlign w:val="superscript"/>
                <w:lang w:val="en-GB"/>
              </w:rPr>
              <w:t>-1</w:t>
            </w:r>
            <w:r>
              <w:rPr>
                <w:rFonts w:cs="Arial"/>
                <w:szCs w:val="18"/>
                <w:lang w:val="en-GB"/>
              </w:rPr>
              <w:t>]</w:t>
            </w:r>
          </w:p>
        </w:tc>
      </w:tr>
      <w:tr w:rsidR="00EF6776" w:rsidRPr="00B57B36" w14:paraId="0CBA265F" w14:textId="77777777" w:rsidTr="000D6B0E">
        <w:trPr>
          <w:trHeight w:val="257"/>
          <w:jc w:val="center"/>
        </w:trPr>
        <w:tc>
          <w:tcPr>
            <w:tcW w:w="1484" w:type="dxa"/>
            <w:shd w:val="clear" w:color="auto" w:fill="FFFFFF"/>
            <w:vAlign w:val="center"/>
          </w:tcPr>
          <w:p w14:paraId="6ABAEB93" w14:textId="77777777" w:rsidR="00EF6776" w:rsidRPr="007850A6" w:rsidRDefault="00EF6776" w:rsidP="00EF6776">
            <w:pPr>
              <w:pStyle w:val="CETBodytext"/>
              <w:jc w:val="center"/>
              <w:rPr>
                <w:i/>
                <w:iCs/>
                <w:lang w:val="en-GB"/>
              </w:rPr>
            </w:pPr>
            <w:r w:rsidRPr="007850A6">
              <w:rPr>
                <w:i/>
                <w:iCs/>
                <w:lang w:val="en-GB"/>
              </w:rPr>
              <w:t>D. tertiolecta</w:t>
            </w:r>
          </w:p>
        </w:tc>
        <w:tc>
          <w:tcPr>
            <w:tcW w:w="490" w:type="dxa"/>
            <w:shd w:val="clear" w:color="auto" w:fill="FFFFFF"/>
            <w:vAlign w:val="center"/>
          </w:tcPr>
          <w:p w14:paraId="1FEC5B71" w14:textId="77777777" w:rsidR="00EF6776" w:rsidRPr="00B57B36" w:rsidRDefault="00EF6776" w:rsidP="00EF6776">
            <w:pPr>
              <w:pStyle w:val="CETBodytext"/>
              <w:ind w:right="-1"/>
              <w:jc w:val="center"/>
              <w:rPr>
                <w:rFonts w:cs="Arial"/>
                <w:szCs w:val="18"/>
                <w:lang w:val="en-GB"/>
              </w:rPr>
            </w:pPr>
            <w:r>
              <w:rPr>
                <w:rFonts w:cs="Arial"/>
                <w:szCs w:val="18"/>
                <w:lang w:val="en-GB"/>
              </w:rPr>
              <w:t>0.71</w:t>
            </w:r>
          </w:p>
        </w:tc>
        <w:tc>
          <w:tcPr>
            <w:tcW w:w="791" w:type="dxa"/>
            <w:gridSpan w:val="2"/>
            <w:shd w:val="clear" w:color="auto" w:fill="FFFFFF"/>
            <w:vAlign w:val="center"/>
          </w:tcPr>
          <w:p w14:paraId="475B6087" w14:textId="2C8690A3" w:rsidR="00EF6776" w:rsidRDefault="00EF6776" w:rsidP="00EF6776">
            <w:pPr>
              <w:pStyle w:val="CETBodytext"/>
              <w:ind w:right="-1"/>
              <w:jc w:val="center"/>
              <w:rPr>
                <w:rFonts w:cs="Arial"/>
                <w:szCs w:val="18"/>
                <w:lang w:val="en-GB"/>
              </w:rPr>
            </w:pPr>
            <w:r>
              <w:rPr>
                <w:rFonts w:cs="Arial"/>
                <w:szCs w:val="18"/>
                <w:lang w:val="en-GB"/>
              </w:rPr>
              <w:t>9.01</w:t>
            </w:r>
          </w:p>
        </w:tc>
        <w:tc>
          <w:tcPr>
            <w:tcW w:w="849" w:type="dxa"/>
            <w:shd w:val="clear" w:color="auto" w:fill="FFFFFF"/>
            <w:vAlign w:val="center"/>
          </w:tcPr>
          <w:p w14:paraId="497CCD40" w14:textId="075AF450" w:rsidR="00EF6776" w:rsidRPr="00B57B36" w:rsidRDefault="00EF6776" w:rsidP="00EF6776">
            <w:pPr>
              <w:pStyle w:val="CETBodytext"/>
              <w:ind w:right="-1"/>
              <w:jc w:val="center"/>
              <w:rPr>
                <w:rFonts w:cs="Arial"/>
                <w:szCs w:val="18"/>
                <w:lang w:val="en-GB"/>
              </w:rPr>
            </w:pPr>
            <w:r>
              <w:rPr>
                <w:rFonts w:cs="Arial"/>
                <w:szCs w:val="18"/>
                <w:lang w:val="en-GB"/>
              </w:rPr>
              <w:t>0.30</w:t>
            </w:r>
          </w:p>
        </w:tc>
        <w:tc>
          <w:tcPr>
            <w:tcW w:w="936" w:type="dxa"/>
            <w:shd w:val="clear" w:color="auto" w:fill="FFFFFF"/>
            <w:vAlign w:val="center"/>
          </w:tcPr>
          <w:p w14:paraId="53DAE9DD" w14:textId="77777777" w:rsidR="00EF6776" w:rsidRPr="00B57B36" w:rsidRDefault="00EF6776" w:rsidP="00EF6776">
            <w:pPr>
              <w:pStyle w:val="CETBodytext"/>
              <w:ind w:right="-1"/>
              <w:jc w:val="center"/>
              <w:rPr>
                <w:rFonts w:cs="Arial"/>
                <w:szCs w:val="18"/>
                <w:lang w:val="en-GB"/>
              </w:rPr>
            </w:pPr>
            <w:r>
              <w:rPr>
                <w:rFonts w:cs="Arial"/>
                <w:szCs w:val="18"/>
                <w:lang w:val="en-GB"/>
              </w:rPr>
              <w:t>0.54</w:t>
            </w:r>
          </w:p>
        </w:tc>
        <w:tc>
          <w:tcPr>
            <w:tcW w:w="590" w:type="dxa"/>
            <w:shd w:val="clear" w:color="auto" w:fill="FFFFFF"/>
            <w:vAlign w:val="center"/>
          </w:tcPr>
          <w:p w14:paraId="47B2274E" w14:textId="7475F31C" w:rsidR="00EF6776" w:rsidRDefault="00EF6776" w:rsidP="00EF6776">
            <w:pPr>
              <w:pStyle w:val="CETBodytext"/>
              <w:ind w:right="-1"/>
              <w:jc w:val="center"/>
              <w:rPr>
                <w:rFonts w:cs="Arial"/>
                <w:szCs w:val="18"/>
                <w:lang w:val="en-GB"/>
              </w:rPr>
            </w:pPr>
            <w:r>
              <w:rPr>
                <w:rFonts w:cs="Arial"/>
                <w:szCs w:val="18"/>
                <w:lang w:val="en-GB"/>
              </w:rPr>
              <w:t>9.12</w:t>
            </w:r>
          </w:p>
        </w:tc>
        <w:tc>
          <w:tcPr>
            <w:tcW w:w="795" w:type="dxa"/>
            <w:shd w:val="clear" w:color="auto" w:fill="FFFFFF"/>
            <w:vAlign w:val="center"/>
          </w:tcPr>
          <w:p w14:paraId="104AA66B" w14:textId="6A0472BA" w:rsidR="00EF6776" w:rsidRPr="00B57B36" w:rsidRDefault="00EF6776" w:rsidP="00EF6776">
            <w:pPr>
              <w:pStyle w:val="CETBodytext"/>
              <w:ind w:right="-1"/>
              <w:jc w:val="center"/>
              <w:rPr>
                <w:rFonts w:cs="Arial"/>
                <w:szCs w:val="18"/>
                <w:lang w:val="en-GB"/>
              </w:rPr>
            </w:pPr>
            <w:r>
              <w:rPr>
                <w:rFonts w:cs="Arial"/>
                <w:szCs w:val="18"/>
                <w:lang w:val="en-GB"/>
              </w:rPr>
              <w:t>0.31</w:t>
            </w:r>
          </w:p>
        </w:tc>
        <w:tc>
          <w:tcPr>
            <w:tcW w:w="788" w:type="dxa"/>
            <w:shd w:val="clear" w:color="auto" w:fill="FFFFFF"/>
            <w:vAlign w:val="center"/>
          </w:tcPr>
          <w:p w14:paraId="1ADF1643" w14:textId="77777777" w:rsidR="00EF6776" w:rsidRPr="00B57B36" w:rsidRDefault="00EF6776" w:rsidP="00EF6776">
            <w:pPr>
              <w:pStyle w:val="CETBodytext"/>
              <w:ind w:right="-1"/>
              <w:jc w:val="center"/>
              <w:rPr>
                <w:rFonts w:cs="Arial"/>
                <w:szCs w:val="18"/>
                <w:lang w:val="en-GB"/>
              </w:rPr>
            </w:pPr>
            <w:r>
              <w:rPr>
                <w:rFonts w:cs="Arial"/>
                <w:szCs w:val="18"/>
                <w:lang w:val="en-GB"/>
              </w:rPr>
              <w:t>1.04</w:t>
            </w:r>
          </w:p>
        </w:tc>
        <w:tc>
          <w:tcPr>
            <w:tcW w:w="663" w:type="dxa"/>
            <w:shd w:val="clear" w:color="auto" w:fill="FFFFFF"/>
            <w:vAlign w:val="center"/>
          </w:tcPr>
          <w:p w14:paraId="1336513A" w14:textId="60C8FFC6" w:rsidR="00EF6776" w:rsidRDefault="00EF6776" w:rsidP="00EF6776">
            <w:pPr>
              <w:pStyle w:val="CETBodytext"/>
              <w:ind w:right="-1"/>
              <w:jc w:val="center"/>
              <w:rPr>
                <w:rFonts w:cs="Arial"/>
                <w:szCs w:val="18"/>
                <w:lang w:val="en-GB"/>
              </w:rPr>
            </w:pPr>
            <w:r>
              <w:rPr>
                <w:rFonts w:cs="Arial"/>
                <w:szCs w:val="18"/>
                <w:lang w:val="en-GB"/>
              </w:rPr>
              <w:t>9.46</w:t>
            </w:r>
          </w:p>
        </w:tc>
        <w:tc>
          <w:tcPr>
            <w:tcW w:w="933" w:type="dxa"/>
            <w:shd w:val="clear" w:color="auto" w:fill="FFFFFF"/>
            <w:vAlign w:val="center"/>
          </w:tcPr>
          <w:p w14:paraId="7B65D570" w14:textId="05BF33E3" w:rsidR="00EF6776" w:rsidRPr="00B57B36" w:rsidRDefault="00EF6776" w:rsidP="00EF6776">
            <w:pPr>
              <w:pStyle w:val="CETBodytext"/>
              <w:ind w:right="-1"/>
              <w:jc w:val="center"/>
              <w:rPr>
                <w:rFonts w:cs="Arial"/>
                <w:szCs w:val="18"/>
                <w:lang w:val="en-GB"/>
              </w:rPr>
            </w:pPr>
            <w:r>
              <w:rPr>
                <w:rFonts w:cs="Arial"/>
                <w:szCs w:val="18"/>
                <w:lang w:val="en-GB"/>
              </w:rPr>
              <w:t>0.20</w:t>
            </w:r>
          </w:p>
        </w:tc>
      </w:tr>
      <w:tr w:rsidR="00EF6776" w:rsidRPr="00B57B36" w14:paraId="35B30C0F" w14:textId="77777777" w:rsidTr="000D6B0E">
        <w:trPr>
          <w:trHeight w:val="244"/>
          <w:jc w:val="center"/>
        </w:trPr>
        <w:tc>
          <w:tcPr>
            <w:tcW w:w="1484" w:type="dxa"/>
            <w:shd w:val="clear" w:color="auto" w:fill="FFFFFF"/>
            <w:vAlign w:val="center"/>
          </w:tcPr>
          <w:p w14:paraId="5C5EC794" w14:textId="77777777" w:rsidR="00EF6776" w:rsidRPr="007850A6" w:rsidRDefault="00EF6776" w:rsidP="00EF6776">
            <w:pPr>
              <w:pStyle w:val="CETBodytext"/>
              <w:jc w:val="center"/>
              <w:rPr>
                <w:i/>
                <w:iCs/>
                <w:lang w:val="en-GB"/>
              </w:rPr>
            </w:pPr>
            <w:r w:rsidRPr="007850A6">
              <w:rPr>
                <w:i/>
                <w:iCs/>
                <w:lang w:val="en-GB"/>
              </w:rPr>
              <w:t>T. chuii</w:t>
            </w:r>
          </w:p>
        </w:tc>
        <w:tc>
          <w:tcPr>
            <w:tcW w:w="490" w:type="dxa"/>
            <w:shd w:val="clear" w:color="auto" w:fill="FFFFFF"/>
            <w:vAlign w:val="center"/>
          </w:tcPr>
          <w:p w14:paraId="3B1B5407" w14:textId="3151AEC7" w:rsidR="00EF6776" w:rsidRPr="00B57B36" w:rsidRDefault="00EF6776" w:rsidP="00EF6776">
            <w:pPr>
              <w:pStyle w:val="CETBodytext"/>
              <w:ind w:right="-1"/>
              <w:jc w:val="center"/>
              <w:rPr>
                <w:rFonts w:cs="Arial"/>
                <w:szCs w:val="18"/>
                <w:lang w:val="en-GB"/>
              </w:rPr>
            </w:pPr>
            <w:r>
              <w:rPr>
                <w:rFonts w:cs="Arial"/>
                <w:szCs w:val="18"/>
                <w:lang w:val="en-GB"/>
              </w:rPr>
              <w:t>0.33</w:t>
            </w:r>
          </w:p>
        </w:tc>
        <w:tc>
          <w:tcPr>
            <w:tcW w:w="791" w:type="dxa"/>
            <w:gridSpan w:val="2"/>
            <w:shd w:val="clear" w:color="auto" w:fill="FFFFFF"/>
            <w:vAlign w:val="center"/>
          </w:tcPr>
          <w:p w14:paraId="7AEBFDBA" w14:textId="79123256" w:rsidR="00EF6776" w:rsidRDefault="00EF6776" w:rsidP="00EF6776">
            <w:pPr>
              <w:pStyle w:val="CETBodytext"/>
              <w:ind w:right="-1"/>
              <w:jc w:val="center"/>
              <w:rPr>
                <w:rFonts w:cs="Arial"/>
                <w:szCs w:val="18"/>
                <w:lang w:val="en-GB"/>
              </w:rPr>
            </w:pPr>
            <w:r>
              <w:rPr>
                <w:rFonts w:cs="Arial"/>
                <w:szCs w:val="18"/>
                <w:lang w:val="en-GB"/>
              </w:rPr>
              <w:t>8.63</w:t>
            </w:r>
          </w:p>
        </w:tc>
        <w:tc>
          <w:tcPr>
            <w:tcW w:w="849" w:type="dxa"/>
            <w:shd w:val="clear" w:color="auto" w:fill="FFFFFF"/>
            <w:vAlign w:val="center"/>
          </w:tcPr>
          <w:p w14:paraId="22737386" w14:textId="1792EF1E" w:rsidR="00EF6776" w:rsidRPr="00B57B36" w:rsidRDefault="00EF6776" w:rsidP="00EF6776">
            <w:pPr>
              <w:pStyle w:val="CETBodytext"/>
              <w:ind w:right="-1"/>
              <w:jc w:val="center"/>
              <w:rPr>
                <w:rFonts w:cs="Arial"/>
                <w:szCs w:val="18"/>
                <w:lang w:val="en-GB"/>
              </w:rPr>
            </w:pPr>
            <w:r>
              <w:rPr>
                <w:rFonts w:cs="Arial"/>
                <w:szCs w:val="18"/>
                <w:lang w:val="en-GB"/>
              </w:rPr>
              <w:t>0.18</w:t>
            </w:r>
          </w:p>
        </w:tc>
        <w:tc>
          <w:tcPr>
            <w:tcW w:w="936" w:type="dxa"/>
            <w:shd w:val="clear" w:color="auto" w:fill="FFFFFF"/>
            <w:vAlign w:val="center"/>
          </w:tcPr>
          <w:p w14:paraId="4223B37F" w14:textId="77777777" w:rsidR="00EF6776" w:rsidRPr="00B57B36" w:rsidRDefault="00EF6776" w:rsidP="00EF6776">
            <w:pPr>
              <w:pStyle w:val="CETBodytext"/>
              <w:ind w:right="-1"/>
              <w:jc w:val="center"/>
              <w:rPr>
                <w:rFonts w:cs="Arial"/>
                <w:szCs w:val="18"/>
                <w:lang w:val="en-GB"/>
              </w:rPr>
            </w:pPr>
            <w:r>
              <w:rPr>
                <w:rFonts w:cs="Arial"/>
                <w:szCs w:val="18"/>
                <w:lang w:val="en-GB"/>
              </w:rPr>
              <w:t>0.94</w:t>
            </w:r>
          </w:p>
        </w:tc>
        <w:tc>
          <w:tcPr>
            <w:tcW w:w="590" w:type="dxa"/>
            <w:shd w:val="clear" w:color="auto" w:fill="FFFFFF"/>
            <w:vAlign w:val="center"/>
          </w:tcPr>
          <w:p w14:paraId="037B61A2" w14:textId="39AFBDA2" w:rsidR="00EF6776" w:rsidRDefault="00EF6776" w:rsidP="00EF6776">
            <w:pPr>
              <w:pStyle w:val="CETBodytext"/>
              <w:ind w:right="-1"/>
              <w:jc w:val="center"/>
              <w:rPr>
                <w:rFonts w:cs="Arial"/>
                <w:szCs w:val="18"/>
                <w:lang w:val="en-GB"/>
              </w:rPr>
            </w:pPr>
            <w:r>
              <w:rPr>
                <w:rFonts w:cs="Arial"/>
                <w:szCs w:val="18"/>
                <w:lang w:val="en-GB"/>
              </w:rPr>
              <w:t>9.63</w:t>
            </w:r>
          </w:p>
        </w:tc>
        <w:tc>
          <w:tcPr>
            <w:tcW w:w="795" w:type="dxa"/>
            <w:shd w:val="clear" w:color="auto" w:fill="FFFFFF"/>
            <w:vAlign w:val="center"/>
          </w:tcPr>
          <w:p w14:paraId="6EA9E47A" w14:textId="189ABE18" w:rsidR="00EF6776" w:rsidRPr="00B57B36" w:rsidRDefault="00EF6776" w:rsidP="00EF6776">
            <w:pPr>
              <w:pStyle w:val="CETBodytext"/>
              <w:ind w:right="-1"/>
              <w:jc w:val="center"/>
              <w:rPr>
                <w:rFonts w:cs="Arial"/>
                <w:szCs w:val="18"/>
                <w:lang w:val="en-GB"/>
              </w:rPr>
            </w:pPr>
            <w:r>
              <w:rPr>
                <w:rFonts w:cs="Arial"/>
                <w:szCs w:val="18"/>
                <w:lang w:val="en-GB"/>
              </w:rPr>
              <w:t>0.11</w:t>
            </w:r>
          </w:p>
        </w:tc>
        <w:tc>
          <w:tcPr>
            <w:tcW w:w="788" w:type="dxa"/>
            <w:shd w:val="clear" w:color="auto" w:fill="FFFFFF"/>
            <w:vAlign w:val="center"/>
          </w:tcPr>
          <w:p w14:paraId="06AF1841" w14:textId="5E9AF525" w:rsidR="00EF6776" w:rsidRPr="00B57B36" w:rsidRDefault="00EF6776" w:rsidP="00EF6776">
            <w:pPr>
              <w:pStyle w:val="CETBodytext"/>
              <w:ind w:right="-1"/>
              <w:jc w:val="center"/>
              <w:rPr>
                <w:rFonts w:cs="Arial"/>
                <w:szCs w:val="18"/>
                <w:lang w:val="en-GB"/>
              </w:rPr>
            </w:pPr>
            <w:r>
              <w:rPr>
                <w:rFonts w:cs="Arial"/>
                <w:szCs w:val="18"/>
                <w:lang w:val="en-GB"/>
              </w:rPr>
              <w:t>0.60</w:t>
            </w:r>
          </w:p>
        </w:tc>
        <w:tc>
          <w:tcPr>
            <w:tcW w:w="663" w:type="dxa"/>
            <w:shd w:val="clear" w:color="auto" w:fill="FFFFFF"/>
            <w:vAlign w:val="center"/>
          </w:tcPr>
          <w:p w14:paraId="3DCFD26B" w14:textId="6D652894" w:rsidR="00EF6776" w:rsidRDefault="00EF6776" w:rsidP="00EF6776">
            <w:pPr>
              <w:pStyle w:val="CETBodytext"/>
              <w:ind w:right="-1"/>
              <w:jc w:val="center"/>
              <w:rPr>
                <w:rFonts w:cs="Arial"/>
                <w:szCs w:val="18"/>
                <w:lang w:val="en-GB"/>
              </w:rPr>
            </w:pPr>
            <w:r>
              <w:rPr>
                <w:rFonts w:cs="Arial"/>
                <w:szCs w:val="18"/>
                <w:lang w:val="en-GB"/>
              </w:rPr>
              <w:t>8.83</w:t>
            </w:r>
          </w:p>
        </w:tc>
        <w:tc>
          <w:tcPr>
            <w:tcW w:w="933" w:type="dxa"/>
            <w:shd w:val="clear" w:color="auto" w:fill="FFFFFF"/>
            <w:vAlign w:val="center"/>
          </w:tcPr>
          <w:p w14:paraId="064239E0" w14:textId="25D6D5AB" w:rsidR="00EF6776" w:rsidRPr="00B57B36" w:rsidRDefault="00EF6776" w:rsidP="00EF6776">
            <w:pPr>
              <w:pStyle w:val="CETBodytext"/>
              <w:ind w:right="-1"/>
              <w:jc w:val="center"/>
              <w:rPr>
                <w:rFonts w:cs="Arial"/>
                <w:szCs w:val="18"/>
                <w:lang w:val="en-GB"/>
              </w:rPr>
            </w:pPr>
            <w:r>
              <w:rPr>
                <w:rFonts w:cs="Arial"/>
                <w:szCs w:val="18"/>
                <w:lang w:val="en-GB"/>
              </w:rPr>
              <w:t>0.19</w:t>
            </w:r>
          </w:p>
        </w:tc>
      </w:tr>
      <w:tr w:rsidR="00EF6776" w:rsidRPr="00B57B36" w14:paraId="234F1EF9" w14:textId="77777777" w:rsidTr="000D6B0E">
        <w:trPr>
          <w:trHeight w:val="244"/>
          <w:jc w:val="center"/>
        </w:trPr>
        <w:tc>
          <w:tcPr>
            <w:tcW w:w="1484" w:type="dxa"/>
            <w:shd w:val="clear" w:color="auto" w:fill="FFFFFF"/>
            <w:vAlign w:val="center"/>
          </w:tcPr>
          <w:p w14:paraId="30E27271" w14:textId="77777777" w:rsidR="00EF6776" w:rsidRPr="007850A6" w:rsidRDefault="00EF6776" w:rsidP="00EF6776">
            <w:pPr>
              <w:pStyle w:val="CETBodytext"/>
              <w:jc w:val="center"/>
              <w:rPr>
                <w:i/>
                <w:iCs/>
                <w:lang w:val="en-GB"/>
              </w:rPr>
            </w:pPr>
            <w:r w:rsidRPr="007850A6">
              <w:rPr>
                <w:i/>
                <w:iCs/>
                <w:lang w:val="en-GB"/>
              </w:rPr>
              <w:t>N. gaditana</w:t>
            </w:r>
          </w:p>
        </w:tc>
        <w:tc>
          <w:tcPr>
            <w:tcW w:w="490" w:type="dxa"/>
            <w:shd w:val="clear" w:color="auto" w:fill="FFFFFF"/>
            <w:vAlign w:val="center"/>
          </w:tcPr>
          <w:p w14:paraId="7A4D2E77" w14:textId="77777777" w:rsidR="00EF6776" w:rsidRPr="00B57B36" w:rsidRDefault="00EF6776" w:rsidP="00EF6776">
            <w:pPr>
              <w:pStyle w:val="CETBodytext"/>
              <w:ind w:right="-1"/>
              <w:jc w:val="center"/>
              <w:rPr>
                <w:rFonts w:cs="Arial"/>
                <w:szCs w:val="18"/>
                <w:lang w:val="en-GB"/>
              </w:rPr>
            </w:pPr>
            <w:r>
              <w:rPr>
                <w:rFonts w:cs="Arial"/>
                <w:szCs w:val="18"/>
                <w:lang w:val="en-GB"/>
              </w:rPr>
              <w:t>0.77</w:t>
            </w:r>
          </w:p>
        </w:tc>
        <w:tc>
          <w:tcPr>
            <w:tcW w:w="791" w:type="dxa"/>
            <w:gridSpan w:val="2"/>
            <w:shd w:val="clear" w:color="auto" w:fill="FFFFFF"/>
            <w:vAlign w:val="center"/>
          </w:tcPr>
          <w:p w14:paraId="0BAE7468" w14:textId="04539F10" w:rsidR="00EF6776" w:rsidRDefault="00EF6776" w:rsidP="00EF6776">
            <w:pPr>
              <w:pStyle w:val="CETBodytext"/>
              <w:ind w:right="-1"/>
              <w:jc w:val="center"/>
              <w:rPr>
                <w:rFonts w:cs="Arial"/>
                <w:szCs w:val="18"/>
                <w:lang w:val="en-GB"/>
              </w:rPr>
            </w:pPr>
            <w:r>
              <w:rPr>
                <w:rFonts w:cs="Arial"/>
                <w:szCs w:val="18"/>
                <w:lang w:val="en-GB"/>
              </w:rPr>
              <w:t>8.90</w:t>
            </w:r>
          </w:p>
        </w:tc>
        <w:tc>
          <w:tcPr>
            <w:tcW w:w="849" w:type="dxa"/>
            <w:shd w:val="clear" w:color="auto" w:fill="FFFFFF"/>
            <w:vAlign w:val="center"/>
          </w:tcPr>
          <w:p w14:paraId="7DFC8E20" w14:textId="4A71D2BD" w:rsidR="00EF6776" w:rsidRPr="00B57B36" w:rsidRDefault="00EF6776" w:rsidP="00EF6776">
            <w:pPr>
              <w:pStyle w:val="CETBodytext"/>
              <w:ind w:right="-1"/>
              <w:jc w:val="center"/>
              <w:rPr>
                <w:rFonts w:cs="Arial"/>
                <w:szCs w:val="18"/>
                <w:lang w:val="en-GB"/>
              </w:rPr>
            </w:pPr>
            <w:r>
              <w:rPr>
                <w:rFonts w:cs="Arial"/>
                <w:szCs w:val="18"/>
                <w:lang w:val="en-GB"/>
              </w:rPr>
              <w:t>0.24</w:t>
            </w:r>
          </w:p>
        </w:tc>
        <w:tc>
          <w:tcPr>
            <w:tcW w:w="936" w:type="dxa"/>
            <w:shd w:val="clear" w:color="auto" w:fill="FFFFFF"/>
            <w:vAlign w:val="center"/>
          </w:tcPr>
          <w:p w14:paraId="5CE56E6A" w14:textId="77777777" w:rsidR="00EF6776" w:rsidRPr="00B57B36" w:rsidRDefault="00EF6776" w:rsidP="00EF6776">
            <w:pPr>
              <w:pStyle w:val="CETBodytext"/>
              <w:ind w:right="-1"/>
              <w:jc w:val="center"/>
              <w:rPr>
                <w:rFonts w:cs="Arial"/>
                <w:szCs w:val="18"/>
                <w:lang w:val="en-GB"/>
              </w:rPr>
            </w:pPr>
            <w:r>
              <w:rPr>
                <w:rFonts w:cs="Arial"/>
                <w:szCs w:val="18"/>
                <w:lang w:val="en-GB"/>
              </w:rPr>
              <w:t>0.75</w:t>
            </w:r>
          </w:p>
        </w:tc>
        <w:tc>
          <w:tcPr>
            <w:tcW w:w="590" w:type="dxa"/>
            <w:shd w:val="clear" w:color="auto" w:fill="FFFFFF"/>
            <w:vAlign w:val="center"/>
          </w:tcPr>
          <w:p w14:paraId="274E359C" w14:textId="5A55D6BE" w:rsidR="00EF6776" w:rsidRDefault="00EF6776" w:rsidP="00EF6776">
            <w:pPr>
              <w:pStyle w:val="CETBodytext"/>
              <w:ind w:right="-1"/>
              <w:jc w:val="center"/>
              <w:rPr>
                <w:rFonts w:cs="Arial"/>
                <w:szCs w:val="18"/>
                <w:lang w:val="en-GB"/>
              </w:rPr>
            </w:pPr>
            <w:r>
              <w:rPr>
                <w:rFonts w:cs="Arial"/>
                <w:szCs w:val="18"/>
                <w:lang w:val="en-GB"/>
              </w:rPr>
              <w:t>8.97</w:t>
            </w:r>
          </w:p>
        </w:tc>
        <w:tc>
          <w:tcPr>
            <w:tcW w:w="795" w:type="dxa"/>
            <w:shd w:val="clear" w:color="auto" w:fill="FFFFFF"/>
            <w:vAlign w:val="center"/>
          </w:tcPr>
          <w:p w14:paraId="68C9BE09" w14:textId="2F5D3F32" w:rsidR="00EF6776" w:rsidRPr="00B57B36" w:rsidRDefault="00EF6776" w:rsidP="00EF6776">
            <w:pPr>
              <w:pStyle w:val="CETBodytext"/>
              <w:ind w:right="-1"/>
              <w:jc w:val="center"/>
              <w:rPr>
                <w:rFonts w:cs="Arial"/>
                <w:szCs w:val="18"/>
                <w:lang w:val="en-GB"/>
              </w:rPr>
            </w:pPr>
            <w:r>
              <w:rPr>
                <w:rFonts w:cs="Arial"/>
                <w:szCs w:val="18"/>
                <w:lang w:val="en-GB"/>
              </w:rPr>
              <w:t>0.42</w:t>
            </w:r>
          </w:p>
        </w:tc>
        <w:tc>
          <w:tcPr>
            <w:tcW w:w="788" w:type="dxa"/>
            <w:shd w:val="clear" w:color="auto" w:fill="FFFFFF"/>
            <w:vAlign w:val="center"/>
          </w:tcPr>
          <w:p w14:paraId="1E8C3DD5" w14:textId="77777777" w:rsidR="00EF6776" w:rsidRPr="00B57B36" w:rsidRDefault="00EF6776" w:rsidP="00EF6776">
            <w:pPr>
              <w:pStyle w:val="CETBodytext"/>
              <w:ind w:right="-1"/>
              <w:jc w:val="center"/>
              <w:rPr>
                <w:rFonts w:cs="Arial"/>
                <w:szCs w:val="18"/>
                <w:lang w:val="en-GB"/>
              </w:rPr>
            </w:pPr>
            <w:r>
              <w:rPr>
                <w:rFonts w:cs="Arial"/>
                <w:szCs w:val="18"/>
                <w:lang w:val="en-GB"/>
              </w:rPr>
              <w:t>0.57</w:t>
            </w:r>
          </w:p>
        </w:tc>
        <w:tc>
          <w:tcPr>
            <w:tcW w:w="663" w:type="dxa"/>
            <w:shd w:val="clear" w:color="auto" w:fill="FFFFFF"/>
            <w:vAlign w:val="center"/>
          </w:tcPr>
          <w:p w14:paraId="62DDEE7C" w14:textId="26694C37" w:rsidR="00EF6776" w:rsidRDefault="00EF6776" w:rsidP="00EF6776">
            <w:pPr>
              <w:pStyle w:val="CETBodytext"/>
              <w:ind w:right="-1"/>
              <w:jc w:val="center"/>
              <w:rPr>
                <w:rFonts w:cs="Arial"/>
                <w:szCs w:val="18"/>
                <w:lang w:val="en-GB"/>
              </w:rPr>
            </w:pPr>
            <w:r>
              <w:rPr>
                <w:rFonts w:cs="Arial"/>
                <w:szCs w:val="18"/>
                <w:lang w:val="en-GB"/>
              </w:rPr>
              <w:t>9.09</w:t>
            </w:r>
          </w:p>
        </w:tc>
        <w:tc>
          <w:tcPr>
            <w:tcW w:w="933" w:type="dxa"/>
            <w:shd w:val="clear" w:color="auto" w:fill="FFFFFF"/>
            <w:vAlign w:val="center"/>
          </w:tcPr>
          <w:p w14:paraId="052CD0B3" w14:textId="68C82FC8" w:rsidR="00EF6776" w:rsidRPr="00B57B36" w:rsidRDefault="00EF6776" w:rsidP="00EF6776">
            <w:pPr>
              <w:pStyle w:val="CETBodytext"/>
              <w:ind w:right="-1"/>
              <w:jc w:val="center"/>
              <w:rPr>
                <w:rFonts w:cs="Arial"/>
                <w:szCs w:val="18"/>
                <w:lang w:val="en-GB"/>
              </w:rPr>
            </w:pPr>
            <w:r>
              <w:rPr>
                <w:rFonts w:cs="Arial"/>
                <w:szCs w:val="18"/>
                <w:lang w:val="en-GB"/>
              </w:rPr>
              <w:t>0.13</w:t>
            </w:r>
          </w:p>
        </w:tc>
      </w:tr>
      <w:tr w:rsidR="00EF6776" w:rsidRPr="00B57B36" w14:paraId="17400A14" w14:textId="77777777" w:rsidTr="000D6B0E">
        <w:trPr>
          <w:trHeight w:val="244"/>
          <w:jc w:val="center"/>
        </w:trPr>
        <w:tc>
          <w:tcPr>
            <w:tcW w:w="1484" w:type="dxa"/>
            <w:shd w:val="clear" w:color="auto" w:fill="FFFFFF"/>
            <w:vAlign w:val="center"/>
          </w:tcPr>
          <w:p w14:paraId="2D63F5EC" w14:textId="77777777" w:rsidR="00EF6776" w:rsidRPr="007850A6" w:rsidRDefault="00EF6776" w:rsidP="00EF6776">
            <w:pPr>
              <w:pStyle w:val="CETBodytext"/>
              <w:jc w:val="center"/>
              <w:rPr>
                <w:i/>
                <w:iCs/>
                <w:lang w:val="en-GB"/>
              </w:rPr>
            </w:pPr>
            <w:r w:rsidRPr="007850A6">
              <w:rPr>
                <w:i/>
                <w:iCs/>
                <w:lang w:val="en-GB"/>
              </w:rPr>
              <w:t>T. lutea</w:t>
            </w:r>
          </w:p>
        </w:tc>
        <w:tc>
          <w:tcPr>
            <w:tcW w:w="490" w:type="dxa"/>
            <w:shd w:val="clear" w:color="auto" w:fill="FFFFFF"/>
            <w:vAlign w:val="center"/>
          </w:tcPr>
          <w:p w14:paraId="6EDE32CD" w14:textId="77777777" w:rsidR="00EF6776" w:rsidRPr="00B57B36" w:rsidRDefault="00EF6776" w:rsidP="00EF6776">
            <w:pPr>
              <w:pStyle w:val="CETBodytext"/>
              <w:ind w:right="-1"/>
              <w:jc w:val="center"/>
              <w:rPr>
                <w:rFonts w:cs="Arial"/>
                <w:szCs w:val="18"/>
                <w:lang w:val="en-GB"/>
              </w:rPr>
            </w:pPr>
            <w:r>
              <w:rPr>
                <w:rFonts w:cs="Arial"/>
                <w:szCs w:val="18"/>
                <w:lang w:val="en-GB"/>
              </w:rPr>
              <w:t>0.70</w:t>
            </w:r>
          </w:p>
        </w:tc>
        <w:tc>
          <w:tcPr>
            <w:tcW w:w="791" w:type="dxa"/>
            <w:gridSpan w:val="2"/>
            <w:shd w:val="clear" w:color="auto" w:fill="FFFFFF"/>
            <w:vAlign w:val="center"/>
          </w:tcPr>
          <w:p w14:paraId="29188270" w14:textId="1D4023C6" w:rsidR="00EF6776" w:rsidRDefault="00EF6776" w:rsidP="00EF6776">
            <w:pPr>
              <w:pStyle w:val="CETBodytext"/>
              <w:ind w:right="-1"/>
              <w:jc w:val="center"/>
              <w:rPr>
                <w:rFonts w:cs="Arial"/>
                <w:szCs w:val="18"/>
                <w:lang w:val="en-GB"/>
              </w:rPr>
            </w:pPr>
            <w:r>
              <w:rPr>
                <w:rFonts w:cs="Arial"/>
                <w:szCs w:val="18"/>
                <w:lang w:val="en-GB"/>
              </w:rPr>
              <w:t>8.95</w:t>
            </w:r>
          </w:p>
        </w:tc>
        <w:tc>
          <w:tcPr>
            <w:tcW w:w="849" w:type="dxa"/>
            <w:shd w:val="clear" w:color="auto" w:fill="FFFFFF"/>
            <w:vAlign w:val="center"/>
          </w:tcPr>
          <w:p w14:paraId="5D4FDB08" w14:textId="3EB461CB" w:rsidR="00EF6776" w:rsidRPr="00B57B36" w:rsidRDefault="00EF6776" w:rsidP="00EF6776">
            <w:pPr>
              <w:pStyle w:val="CETBodytext"/>
              <w:ind w:right="-1"/>
              <w:jc w:val="center"/>
              <w:rPr>
                <w:rFonts w:cs="Arial"/>
                <w:szCs w:val="18"/>
                <w:lang w:val="en-GB"/>
              </w:rPr>
            </w:pPr>
            <w:r>
              <w:rPr>
                <w:rFonts w:cs="Arial"/>
                <w:szCs w:val="18"/>
                <w:lang w:val="en-GB"/>
              </w:rPr>
              <w:t>0.29</w:t>
            </w:r>
          </w:p>
        </w:tc>
        <w:tc>
          <w:tcPr>
            <w:tcW w:w="936" w:type="dxa"/>
            <w:shd w:val="clear" w:color="auto" w:fill="FFFFFF"/>
            <w:vAlign w:val="center"/>
          </w:tcPr>
          <w:p w14:paraId="5B92A5C9" w14:textId="77777777" w:rsidR="00EF6776" w:rsidRPr="00B57B36" w:rsidRDefault="00EF6776" w:rsidP="00EF6776">
            <w:pPr>
              <w:pStyle w:val="CETBodytext"/>
              <w:ind w:right="-1"/>
              <w:jc w:val="center"/>
              <w:rPr>
                <w:rFonts w:cs="Arial"/>
                <w:szCs w:val="18"/>
                <w:lang w:val="en-GB"/>
              </w:rPr>
            </w:pPr>
            <w:r>
              <w:rPr>
                <w:rFonts w:cs="Arial"/>
                <w:szCs w:val="18"/>
                <w:lang w:val="en-GB"/>
              </w:rPr>
              <w:t>0.66</w:t>
            </w:r>
          </w:p>
        </w:tc>
        <w:tc>
          <w:tcPr>
            <w:tcW w:w="590" w:type="dxa"/>
            <w:shd w:val="clear" w:color="auto" w:fill="FFFFFF"/>
            <w:vAlign w:val="center"/>
          </w:tcPr>
          <w:p w14:paraId="7AC1D587" w14:textId="2D647CB9" w:rsidR="00EF6776" w:rsidRDefault="00EF6776" w:rsidP="00EF6776">
            <w:pPr>
              <w:pStyle w:val="CETBodytext"/>
              <w:ind w:right="-1"/>
              <w:jc w:val="center"/>
              <w:rPr>
                <w:rFonts w:cs="Arial"/>
                <w:szCs w:val="18"/>
                <w:lang w:val="en-GB"/>
              </w:rPr>
            </w:pPr>
            <w:r>
              <w:rPr>
                <w:rFonts w:cs="Arial"/>
                <w:szCs w:val="18"/>
                <w:lang w:val="en-GB"/>
              </w:rPr>
              <w:t>9.24</w:t>
            </w:r>
          </w:p>
        </w:tc>
        <w:tc>
          <w:tcPr>
            <w:tcW w:w="795" w:type="dxa"/>
            <w:shd w:val="clear" w:color="auto" w:fill="FFFFFF"/>
            <w:vAlign w:val="center"/>
          </w:tcPr>
          <w:p w14:paraId="23EEEEBB" w14:textId="7E6B7058" w:rsidR="00EF6776" w:rsidRPr="00B57B36" w:rsidRDefault="00EF6776" w:rsidP="00EF6776">
            <w:pPr>
              <w:pStyle w:val="CETBodytext"/>
              <w:ind w:right="-1"/>
              <w:jc w:val="center"/>
              <w:rPr>
                <w:rFonts w:cs="Arial"/>
                <w:szCs w:val="18"/>
                <w:lang w:val="en-GB"/>
              </w:rPr>
            </w:pPr>
            <w:r>
              <w:rPr>
                <w:rFonts w:cs="Arial"/>
                <w:szCs w:val="18"/>
                <w:lang w:val="en-GB"/>
              </w:rPr>
              <w:t>0.74</w:t>
            </w:r>
          </w:p>
        </w:tc>
        <w:tc>
          <w:tcPr>
            <w:tcW w:w="788" w:type="dxa"/>
            <w:shd w:val="clear" w:color="auto" w:fill="FFFFFF"/>
            <w:vAlign w:val="center"/>
          </w:tcPr>
          <w:p w14:paraId="20494631" w14:textId="53AD5775" w:rsidR="00EF6776" w:rsidRPr="00B57B36" w:rsidRDefault="00EF6776" w:rsidP="00EF6776">
            <w:pPr>
              <w:pStyle w:val="CETBodytext"/>
              <w:ind w:right="-1"/>
              <w:jc w:val="center"/>
              <w:rPr>
                <w:rFonts w:cs="Arial"/>
                <w:szCs w:val="18"/>
                <w:lang w:val="en-GB"/>
              </w:rPr>
            </w:pPr>
            <w:r>
              <w:rPr>
                <w:rFonts w:cs="Arial"/>
                <w:szCs w:val="18"/>
                <w:lang w:val="en-GB"/>
              </w:rPr>
              <w:t>0.55</w:t>
            </w:r>
          </w:p>
        </w:tc>
        <w:tc>
          <w:tcPr>
            <w:tcW w:w="663" w:type="dxa"/>
            <w:shd w:val="clear" w:color="auto" w:fill="FFFFFF"/>
            <w:vAlign w:val="center"/>
          </w:tcPr>
          <w:p w14:paraId="2E3F2378" w14:textId="0743726F" w:rsidR="00EF6776" w:rsidRDefault="00EF6776" w:rsidP="00EF6776">
            <w:pPr>
              <w:pStyle w:val="CETBodytext"/>
              <w:ind w:right="-1"/>
              <w:jc w:val="center"/>
              <w:rPr>
                <w:rFonts w:cs="Arial"/>
                <w:szCs w:val="18"/>
                <w:lang w:val="en-GB"/>
              </w:rPr>
            </w:pPr>
            <w:r>
              <w:rPr>
                <w:rFonts w:cs="Arial"/>
                <w:szCs w:val="18"/>
                <w:lang w:val="en-GB"/>
              </w:rPr>
              <w:t>9.48</w:t>
            </w:r>
          </w:p>
        </w:tc>
        <w:tc>
          <w:tcPr>
            <w:tcW w:w="933" w:type="dxa"/>
            <w:shd w:val="clear" w:color="auto" w:fill="FFFFFF"/>
            <w:vAlign w:val="center"/>
          </w:tcPr>
          <w:p w14:paraId="36167981" w14:textId="7712FB49" w:rsidR="00EF6776" w:rsidRPr="00B57B36" w:rsidRDefault="00EF6776" w:rsidP="00EF6776">
            <w:pPr>
              <w:pStyle w:val="CETBodytext"/>
              <w:ind w:right="-1"/>
              <w:jc w:val="center"/>
              <w:rPr>
                <w:rFonts w:cs="Arial"/>
                <w:szCs w:val="18"/>
                <w:lang w:val="en-GB"/>
              </w:rPr>
            </w:pPr>
            <w:r>
              <w:rPr>
                <w:rFonts w:cs="Arial"/>
                <w:szCs w:val="18"/>
                <w:lang w:val="en-GB"/>
              </w:rPr>
              <w:t>0.17</w:t>
            </w:r>
          </w:p>
        </w:tc>
      </w:tr>
      <w:tr w:rsidR="00EF6776" w:rsidRPr="00B57B36" w14:paraId="54FA19C5" w14:textId="77777777" w:rsidTr="000D6B0E">
        <w:trPr>
          <w:trHeight w:val="231"/>
          <w:jc w:val="center"/>
        </w:trPr>
        <w:tc>
          <w:tcPr>
            <w:tcW w:w="1484" w:type="dxa"/>
            <w:shd w:val="clear" w:color="auto" w:fill="FFFFFF"/>
            <w:vAlign w:val="center"/>
          </w:tcPr>
          <w:p w14:paraId="0ECF6E4C" w14:textId="77777777" w:rsidR="00EF6776" w:rsidRPr="007850A6" w:rsidRDefault="00EF6776" w:rsidP="00EF6776">
            <w:pPr>
              <w:pStyle w:val="CETBodytext"/>
              <w:ind w:right="-1"/>
              <w:jc w:val="center"/>
              <w:rPr>
                <w:rFonts w:cs="Arial"/>
                <w:i/>
                <w:iCs/>
                <w:szCs w:val="18"/>
                <w:lang w:val="en-GB"/>
              </w:rPr>
            </w:pPr>
            <w:r w:rsidRPr="007850A6">
              <w:rPr>
                <w:rFonts w:cs="Arial"/>
                <w:i/>
                <w:iCs/>
                <w:szCs w:val="18"/>
                <w:lang w:val="en-GB"/>
              </w:rPr>
              <w:t>P. tricornutum</w:t>
            </w:r>
          </w:p>
        </w:tc>
        <w:tc>
          <w:tcPr>
            <w:tcW w:w="490" w:type="dxa"/>
            <w:shd w:val="clear" w:color="auto" w:fill="FFFFFF"/>
            <w:vAlign w:val="center"/>
          </w:tcPr>
          <w:p w14:paraId="46C70298" w14:textId="20365B9C" w:rsidR="00EF6776" w:rsidRPr="00B57B36" w:rsidRDefault="00EF6776" w:rsidP="00EF6776">
            <w:pPr>
              <w:pStyle w:val="CETBodytext"/>
              <w:ind w:right="-1"/>
              <w:jc w:val="center"/>
              <w:rPr>
                <w:rFonts w:cs="Arial"/>
                <w:szCs w:val="18"/>
                <w:lang w:val="en-GB"/>
              </w:rPr>
            </w:pPr>
            <w:r>
              <w:rPr>
                <w:rFonts w:cs="Arial"/>
                <w:szCs w:val="18"/>
                <w:lang w:val="en-GB"/>
              </w:rPr>
              <w:t>0.75</w:t>
            </w:r>
          </w:p>
        </w:tc>
        <w:tc>
          <w:tcPr>
            <w:tcW w:w="791" w:type="dxa"/>
            <w:gridSpan w:val="2"/>
            <w:shd w:val="clear" w:color="auto" w:fill="FFFFFF"/>
            <w:vAlign w:val="center"/>
          </w:tcPr>
          <w:p w14:paraId="31D8FEDE" w14:textId="3E59DEA5" w:rsidR="00EF6776" w:rsidRDefault="00EF6776" w:rsidP="00EF6776">
            <w:pPr>
              <w:pStyle w:val="CETBodytext"/>
              <w:ind w:right="-1"/>
              <w:jc w:val="center"/>
              <w:rPr>
                <w:rFonts w:cs="Arial"/>
                <w:szCs w:val="18"/>
                <w:lang w:val="en-GB"/>
              </w:rPr>
            </w:pPr>
            <w:r>
              <w:rPr>
                <w:rFonts w:cs="Arial"/>
                <w:szCs w:val="18"/>
                <w:lang w:val="en-GB"/>
              </w:rPr>
              <w:t>9.02</w:t>
            </w:r>
          </w:p>
        </w:tc>
        <w:tc>
          <w:tcPr>
            <w:tcW w:w="849" w:type="dxa"/>
            <w:shd w:val="clear" w:color="auto" w:fill="FFFFFF"/>
            <w:vAlign w:val="center"/>
          </w:tcPr>
          <w:p w14:paraId="5BBB68C5" w14:textId="4335A1D0" w:rsidR="00EF6776" w:rsidRPr="00B57B36" w:rsidRDefault="00EF6776" w:rsidP="00EF6776">
            <w:pPr>
              <w:pStyle w:val="CETBodytext"/>
              <w:ind w:right="-1"/>
              <w:jc w:val="center"/>
              <w:rPr>
                <w:rFonts w:cs="Arial"/>
                <w:szCs w:val="18"/>
                <w:lang w:val="en-GB"/>
              </w:rPr>
            </w:pPr>
            <w:r>
              <w:rPr>
                <w:rFonts w:cs="Arial"/>
                <w:szCs w:val="18"/>
                <w:lang w:val="en-GB"/>
              </w:rPr>
              <w:t>0.</w:t>
            </w:r>
            <w:r w:rsidR="00503A9C">
              <w:rPr>
                <w:rFonts w:cs="Arial"/>
                <w:szCs w:val="18"/>
                <w:lang w:val="en-GB"/>
              </w:rPr>
              <w:t>75</w:t>
            </w:r>
          </w:p>
        </w:tc>
        <w:tc>
          <w:tcPr>
            <w:tcW w:w="936" w:type="dxa"/>
            <w:shd w:val="clear" w:color="auto" w:fill="FFFFFF"/>
            <w:vAlign w:val="center"/>
          </w:tcPr>
          <w:p w14:paraId="3FAF2874" w14:textId="77777777" w:rsidR="00EF6776" w:rsidRPr="00B57B36" w:rsidRDefault="00EF6776" w:rsidP="00EF6776">
            <w:pPr>
              <w:pStyle w:val="CETBodytext"/>
              <w:ind w:right="-1"/>
              <w:jc w:val="center"/>
              <w:rPr>
                <w:rFonts w:cs="Arial"/>
                <w:szCs w:val="18"/>
                <w:lang w:val="en-GB"/>
              </w:rPr>
            </w:pPr>
            <w:r>
              <w:rPr>
                <w:rFonts w:cs="Arial"/>
                <w:szCs w:val="18"/>
                <w:lang w:val="en-GB"/>
              </w:rPr>
              <w:t>1.12</w:t>
            </w:r>
          </w:p>
        </w:tc>
        <w:tc>
          <w:tcPr>
            <w:tcW w:w="590" w:type="dxa"/>
            <w:shd w:val="clear" w:color="auto" w:fill="FFFFFF"/>
            <w:vAlign w:val="center"/>
          </w:tcPr>
          <w:p w14:paraId="4C562EE4" w14:textId="6C8A3CA7" w:rsidR="00EF6776" w:rsidRDefault="00503A9C" w:rsidP="00EF6776">
            <w:pPr>
              <w:pStyle w:val="CETBodytext"/>
              <w:ind w:right="-1"/>
              <w:jc w:val="center"/>
              <w:rPr>
                <w:rFonts w:cs="Arial"/>
                <w:szCs w:val="18"/>
                <w:lang w:val="en-GB"/>
              </w:rPr>
            </w:pPr>
            <w:r>
              <w:rPr>
                <w:rFonts w:cs="Arial"/>
                <w:szCs w:val="18"/>
                <w:lang w:val="en-GB"/>
              </w:rPr>
              <w:t>9.16</w:t>
            </w:r>
          </w:p>
        </w:tc>
        <w:tc>
          <w:tcPr>
            <w:tcW w:w="795" w:type="dxa"/>
            <w:shd w:val="clear" w:color="auto" w:fill="FFFFFF"/>
            <w:vAlign w:val="center"/>
          </w:tcPr>
          <w:p w14:paraId="3DAFD0A5" w14:textId="79299C18" w:rsidR="00EF6776" w:rsidRPr="00B57B36" w:rsidRDefault="00EF6776" w:rsidP="00EF6776">
            <w:pPr>
              <w:pStyle w:val="CETBodytext"/>
              <w:ind w:right="-1"/>
              <w:jc w:val="center"/>
              <w:rPr>
                <w:rFonts w:cs="Arial"/>
                <w:szCs w:val="18"/>
                <w:lang w:val="en-GB"/>
              </w:rPr>
            </w:pPr>
            <w:r>
              <w:rPr>
                <w:rFonts w:cs="Arial"/>
                <w:szCs w:val="18"/>
                <w:lang w:val="en-GB"/>
              </w:rPr>
              <w:t>0.87</w:t>
            </w:r>
          </w:p>
        </w:tc>
        <w:tc>
          <w:tcPr>
            <w:tcW w:w="788" w:type="dxa"/>
            <w:shd w:val="clear" w:color="auto" w:fill="FFFFFF"/>
            <w:vAlign w:val="center"/>
          </w:tcPr>
          <w:p w14:paraId="1CE41000" w14:textId="77777777" w:rsidR="00EF6776" w:rsidRPr="00B57B36" w:rsidRDefault="00EF6776" w:rsidP="00EF6776">
            <w:pPr>
              <w:pStyle w:val="CETBodytext"/>
              <w:ind w:right="-1"/>
              <w:jc w:val="center"/>
              <w:rPr>
                <w:rFonts w:cs="Arial"/>
                <w:szCs w:val="18"/>
                <w:lang w:val="en-GB"/>
              </w:rPr>
            </w:pPr>
            <w:r>
              <w:rPr>
                <w:rFonts w:cs="Arial"/>
                <w:szCs w:val="18"/>
                <w:lang w:val="en-GB"/>
              </w:rPr>
              <w:t>0.85</w:t>
            </w:r>
          </w:p>
        </w:tc>
        <w:tc>
          <w:tcPr>
            <w:tcW w:w="663" w:type="dxa"/>
            <w:shd w:val="clear" w:color="auto" w:fill="FFFFFF"/>
            <w:vAlign w:val="center"/>
          </w:tcPr>
          <w:p w14:paraId="119A9889" w14:textId="70D1F55B" w:rsidR="00EF6776" w:rsidRDefault="00503A9C" w:rsidP="00EF6776">
            <w:pPr>
              <w:pStyle w:val="CETBodytext"/>
              <w:ind w:right="-1"/>
              <w:jc w:val="center"/>
              <w:rPr>
                <w:rFonts w:cs="Arial"/>
                <w:szCs w:val="18"/>
                <w:lang w:val="en-GB"/>
              </w:rPr>
            </w:pPr>
            <w:r>
              <w:rPr>
                <w:rFonts w:cs="Arial"/>
                <w:szCs w:val="18"/>
                <w:lang w:val="en-GB"/>
              </w:rPr>
              <w:t>9.75</w:t>
            </w:r>
          </w:p>
        </w:tc>
        <w:tc>
          <w:tcPr>
            <w:tcW w:w="933" w:type="dxa"/>
            <w:shd w:val="clear" w:color="auto" w:fill="FFFFFF"/>
            <w:vAlign w:val="center"/>
          </w:tcPr>
          <w:p w14:paraId="7446A378" w14:textId="4740877D" w:rsidR="00EF6776" w:rsidRPr="00B57B36" w:rsidRDefault="00EF6776" w:rsidP="00EF6776">
            <w:pPr>
              <w:pStyle w:val="CETBodytext"/>
              <w:ind w:right="-1"/>
              <w:jc w:val="center"/>
              <w:rPr>
                <w:rFonts w:cs="Arial"/>
                <w:szCs w:val="18"/>
                <w:lang w:val="en-GB"/>
              </w:rPr>
            </w:pPr>
            <w:r>
              <w:rPr>
                <w:rFonts w:cs="Arial"/>
                <w:szCs w:val="18"/>
                <w:lang w:val="en-GB"/>
              </w:rPr>
              <w:t>0.43</w:t>
            </w:r>
          </w:p>
        </w:tc>
      </w:tr>
    </w:tbl>
    <w:p w14:paraId="3F63BC5D" w14:textId="149B9154" w:rsidR="000B4822" w:rsidRDefault="000B4822" w:rsidP="006C742E">
      <w:pPr>
        <w:pStyle w:val="CETBodytext"/>
        <w:jc w:val="left"/>
        <w:rPr>
          <w:b/>
          <w:bCs/>
          <w:sz w:val="28"/>
          <w:szCs w:val="28"/>
        </w:rPr>
      </w:pPr>
    </w:p>
    <w:p w14:paraId="3B5DD9AE" w14:textId="629CA3E8" w:rsidR="00EA5E8B" w:rsidRDefault="000B4822" w:rsidP="00F21CE2">
      <w:pPr>
        <w:pStyle w:val="CETBodytext"/>
      </w:pPr>
      <w:r w:rsidRPr="00D62FDE">
        <w:t xml:space="preserve">As shown in </w:t>
      </w:r>
      <w:r w:rsidR="00B17022">
        <w:t>Table 1</w:t>
      </w:r>
      <w:r w:rsidRPr="00D62FDE">
        <w:t xml:space="preserve">, </w:t>
      </w:r>
      <w:r w:rsidR="007E0EE1" w:rsidRPr="00D62FDE">
        <w:t>a</w:t>
      </w:r>
      <w:r w:rsidR="007E0EE1">
        <w:t>ll</w:t>
      </w:r>
      <w:r>
        <w:t xml:space="preserve"> species were able to grow without</w:t>
      </w:r>
      <w:r w:rsidR="00214B90">
        <w:t xml:space="preserve"> insufflation of any gaseous stream</w:t>
      </w:r>
      <w:r>
        <w:t xml:space="preserve"> for at least four days, after which </w:t>
      </w:r>
      <w:r w:rsidR="008F2D12">
        <w:t>most of</w:t>
      </w:r>
      <w:r>
        <w:t xml:space="preserve"> the species entered the stationary phase. </w:t>
      </w:r>
      <w:r>
        <w:rPr>
          <w:i/>
          <w:iCs/>
        </w:rPr>
        <w:t xml:space="preserve">D. tertiolecta, </w:t>
      </w:r>
      <w:r>
        <w:t xml:space="preserve">representing the </w:t>
      </w:r>
      <w:r w:rsidR="00214B90">
        <w:t xml:space="preserve">reference </w:t>
      </w:r>
      <w:r>
        <w:t>alkaliphilic species, was able to grow up to 1.04 g L</w:t>
      </w:r>
      <w:r w:rsidRPr="00F14FF7">
        <w:rPr>
          <w:vertAlign w:val="superscript"/>
        </w:rPr>
        <w:t>-1</w:t>
      </w:r>
      <w:r>
        <w:t xml:space="preserve"> at the highest concentration of sodium bicarbonate (5 g L</w:t>
      </w:r>
      <w:r w:rsidRPr="006B3A85">
        <w:rPr>
          <w:vertAlign w:val="superscript"/>
        </w:rPr>
        <w:t>-1</w:t>
      </w:r>
      <w:r>
        <w:t>), recording a biomass productivity of 0.16 g L</w:t>
      </w:r>
      <w:r w:rsidRPr="00F14FF7">
        <w:rPr>
          <w:vertAlign w:val="superscript"/>
        </w:rPr>
        <w:t>-1</w:t>
      </w:r>
      <w:r>
        <w:t xml:space="preserve"> d</w:t>
      </w:r>
      <w:r w:rsidRPr="00F14FF7">
        <w:rPr>
          <w:vertAlign w:val="superscript"/>
        </w:rPr>
        <w:t>-1</w:t>
      </w:r>
      <w:r>
        <w:rPr>
          <w:vertAlign w:val="superscript"/>
        </w:rPr>
        <w:t xml:space="preserve"> </w:t>
      </w:r>
      <w:r>
        <w:t>(</w:t>
      </w:r>
      <w:r w:rsidR="00214B90">
        <w:t>Table 2</w:t>
      </w:r>
      <w:r>
        <w:t xml:space="preserve">). At lower carbon concentrations </w:t>
      </w:r>
      <w:r w:rsidR="00214B90">
        <w:t>its growth</w:t>
      </w:r>
      <w:r>
        <w:t xml:space="preserve"> </w:t>
      </w:r>
      <w:r w:rsidR="007E0EE1">
        <w:t>performance</w:t>
      </w:r>
      <w:r>
        <w:t xml:space="preserve"> decreased</w:t>
      </w:r>
      <w:r w:rsidR="00214B90">
        <w:t>, reaching</w:t>
      </w:r>
      <w:r>
        <w:t xml:space="preserve"> 0.11 and 0.06 g L</w:t>
      </w:r>
      <w:r w:rsidRPr="00F14FF7">
        <w:rPr>
          <w:vertAlign w:val="superscript"/>
        </w:rPr>
        <w:t>-1</w:t>
      </w:r>
      <w:r>
        <w:t xml:space="preserve"> d</w:t>
      </w:r>
      <w:r w:rsidRPr="00F14FF7">
        <w:rPr>
          <w:vertAlign w:val="superscript"/>
        </w:rPr>
        <w:t>-1</w:t>
      </w:r>
      <w:r w:rsidR="00517FB1">
        <w:t xml:space="preserve"> of biomass productivity</w:t>
      </w:r>
      <w:r w:rsidR="00187917">
        <w:t>,</w:t>
      </w:r>
      <w:r w:rsidR="00187917" w:rsidRPr="00187917">
        <w:t xml:space="preserve"> </w:t>
      </w:r>
      <w:r w:rsidR="00187917">
        <w:t>accordingly</w:t>
      </w:r>
      <w:r>
        <w:t xml:space="preserve">. These results are consistent with </w:t>
      </w:r>
      <w:r w:rsidR="00936974">
        <w:t xml:space="preserve">the </w:t>
      </w:r>
      <w:r>
        <w:t xml:space="preserve">alkaliphilic </w:t>
      </w:r>
      <w:r w:rsidR="0029205C">
        <w:t>behavior</w:t>
      </w:r>
      <w:r>
        <w:t xml:space="preserve"> of this </w:t>
      </w:r>
      <w:r w:rsidR="00936974">
        <w:t>microalga</w:t>
      </w:r>
      <w:r>
        <w:t xml:space="preserve"> and its </w:t>
      </w:r>
      <w:r w:rsidR="00936974">
        <w:t>ability to thrive at extreme</w:t>
      </w:r>
      <w:r w:rsidR="008645C7">
        <w:t xml:space="preserve"> concentrations of sodium bicarbonate</w:t>
      </w:r>
      <w:r>
        <w:t xml:space="preserve"> as sole carbon source. </w:t>
      </w:r>
      <w:r w:rsidR="00A47DC9">
        <w:fldChar w:fldCharType="begin" w:fldLock="1"/>
      </w:r>
      <w:r w:rsidR="00A3588A">
        <w:instrText>ADDIN CSL_CITATION {"citationItems":[{"id":"ITEM-1","itemData":{"DOI":"10.1016/j.biombioe.2021.106029","ISSN":"18732909","abstract":"This paper presents a new integrated process for producing carbon-negative biomethane fuel which combines anaerobic digestion of sewage sludge with biogas purification, algae generation and carbon capture. Biogas CO2 is recovered through absorption into sodium carbonate solution, producing bicarbonate, subsequently used as substrate for algae growth. Anaerobic digestate is hydrothermally carbonised into biochar, stabilising unused biomass carbon for long-term storage. Proof-of-concept studies are provided, together with a system carbon balance to demonstrate its overall carbon capture potential. D. tertiolecta (CCAP 19/30) was cultivated at different bicarbonate concentrations (2.5–90 g L−1), producing equimolar amounts of carbonate and carbon-derived products (algae, gaseous CO2). Above 40 g L−1, carbonate regeneration significantly exceeded algae growth, achieving higher than expected CO2 uptake potential, but lower overall carbon sequestration potential due to the discharge of excess CO2 to the environment. Single-stage CO2 absorption from a model biogas mixture (60% methane) into carbonate solution was rate limited by the reaction of dissolved CO2 with solution hydroxide ions, achieving steady state methane outlet purities of up to 85%. Spent absorbent was successfully used for algae culture, and the regenerated medium showed equivalent CO2 uptake as the fresh carbonate solution, demonstrating the cyclability of the system. Carbon distribution to biochar and algae by-products was estimated as 35.1%, exceeding the expected emissions associated with the process, to render the process carbon negative.","author":[{"dropping-particle":"","family":"Roy","given":"Uttam K.","non-dropping-particle":"","parse-names":false,"suffix":""},{"dropping-particle":"","family":"Radu","given":"Tanja","non-dropping-particle":"","parse-names":false,"suffix":""},{"dropping-particle":"","family":"Wagner","given":"Jonathan L.","non-dropping-particle":"","parse-names":false,"suffix":""}],"container-title":"Biomass and Bioenergy","id":"ITEM-1","issue":"September 2020","issued":{"date-parts":[["2021"]]},"page":"106029","publisher":"Elsevier Ltd","title":"Carbon-negative biomethane fuel production: Integrating anaerobic digestion with algae-assisted biogas purification and hydrothermal carbonisation of digestate","type":"article-journal","volume":"148"},"uris":["http://www.mendeley.com/documents/?uuid=9f947029-6404-43f0-9188-6cedbf876dde"]}],"mendeley":{"formattedCitation":"(Roy, Radu, and Wagner 2021)","manualFormatting":"Roy et al. (2021)","plainTextFormattedCitation":"(Roy, Radu, and Wagner 2021)","previouslyFormattedCitation":"(Roy, Radu, and Wagner 2021)"},"properties":{"noteIndex":0},"schema":"https://github.com/citation-style-language/schema/raw/master/csl-citation.json"}</w:instrText>
      </w:r>
      <w:r w:rsidR="00A47DC9">
        <w:fldChar w:fldCharType="separate"/>
      </w:r>
      <w:r w:rsidR="00A47DC9" w:rsidRPr="00A47DC9">
        <w:rPr>
          <w:noProof/>
        </w:rPr>
        <w:t>Roy</w:t>
      </w:r>
      <w:r w:rsidR="00A47DC9">
        <w:rPr>
          <w:noProof/>
        </w:rPr>
        <w:t xml:space="preserve"> et al.</w:t>
      </w:r>
      <w:r w:rsidR="00A47DC9" w:rsidRPr="00A47DC9">
        <w:rPr>
          <w:noProof/>
        </w:rPr>
        <w:t xml:space="preserve"> </w:t>
      </w:r>
      <w:r w:rsidR="00A47DC9">
        <w:rPr>
          <w:noProof/>
        </w:rPr>
        <w:t>(</w:t>
      </w:r>
      <w:r w:rsidR="00A47DC9" w:rsidRPr="00A47DC9">
        <w:rPr>
          <w:noProof/>
        </w:rPr>
        <w:t>2021)</w:t>
      </w:r>
      <w:r w:rsidR="00A47DC9">
        <w:fldChar w:fldCharType="end"/>
      </w:r>
      <w:r w:rsidR="00214B90">
        <w:t>, indeed,</w:t>
      </w:r>
      <w:r>
        <w:t xml:space="preserve"> </w:t>
      </w:r>
      <w:r w:rsidR="008645C7">
        <w:t>found that maximum biomass concentration (1.68 g</w:t>
      </w:r>
      <w:r w:rsidR="008645C7" w:rsidRPr="00936974">
        <w:rPr>
          <w:vertAlign w:val="subscript"/>
        </w:rPr>
        <w:t>X</w:t>
      </w:r>
      <w:r w:rsidR="008645C7">
        <w:t xml:space="preserve"> L</w:t>
      </w:r>
      <w:r w:rsidR="008645C7" w:rsidRPr="00936974">
        <w:rPr>
          <w:vertAlign w:val="superscript"/>
        </w:rPr>
        <w:t>-1</w:t>
      </w:r>
      <w:r w:rsidR="008645C7">
        <w:t xml:space="preserve">) for </w:t>
      </w:r>
      <w:r w:rsidR="008645C7">
        <w:rPr>
          <w:i/>
          <w:iCs/>
        </w:rPr>
        <w:t>D. tertiolecta</w:t>
      </w:r>
      <w:r w:rsidR="008645C7">
        <w:t xml:space="preserve"> is obtained at</w:t>
      </w:r>
      <w:r>
        <w:t xml:space="preserve"> 20-40 g L</w:t>
      </w:r>
      <w:r w:rsidRPr="00F14FF7">
        <w:rPr>
          <w:vertAlign w:val="superscript"/>
        </w:rPr>
        <w:t>-1</w:t>
      </w:r>
      <w:r w:rsidR="008645C7">
        <w:rPr>
          <w:vertAlign w:val="superscript"/>
        </w:rPr>
        <w:t xml:space="preserve"> </w:t>
      </w:r>
      <w:r w:rsidR="008645C7">
        <w:t xml:space="preserve">of bicarbonate, </w:t>
      </w:r>
      <w:r>
        <w:t>w</w:t>
      </w:r>
      <w:r w:rsidR="008645C7">
        <w:t>ith</w:t>
      </w:r>
      <w:r>
        <w:t xml:space="preserve"> lower concentrations being limiting for </w:t>
      </w:r>
      <w:r w:rsidR="00517FB1">
        <w:t xml:space="preserve">its </w:t>
      </w:r>
      <w:r>
        <w:t>grow</w:t>
      </w:r>
      <w:r w:rsidR="00214B90">
        <w:t>th.</w:t>
      </w:r>
      <w:r w:rsidR="007A0F21">
        <w:t xml:space="preserve"> </w:t>
      </w:r>
      <w:r w:rsidR="00076E6B">
        <w:t>C</w:t>
      </w:r>
      <w:r w:rsidR="007A0F21">
        <w:t>onsidering 50</w:t>
      </w:r>
      <w:r w:rsidR="00B010E6">
        <w:t>%</w:t>
      </w:r>
      <w:r w:rsidR="00076E6B">
        <w:t xml:space="preserve"> </w:t>
      </w:r>
      <w:r w:rsidR="007A0F21">
        <w:t>carbon</w:t>
      </w:r>
      <w:r w:rsidR="00E450E7">
        <w:t xml:space="preserve"> into microalgal biomass</w:t>
      </w:r>
      <w:r w:rsidR="007A0F21">
        <w:t xml:space="preserve">, </w:t>
      </w:r>
      <w:r w:rsidR="00076E6B">
        <w:t xml:space="preserve">in our case </w:t>
      </w:r>
      <w:r w:rsidR="007A0F21">
        <w:t xml:space="preserve">the final </w:t>
      </w:r>
      <w:r w:rsidR="003279D8">
        <w:t xml:space="preserve">biomass </w:t>
      </w:r>
      <w:r w:rsidR="007A0F21">
        <w:t xml:space="preserve">yield on total inorganic carbon supplied </w:t>
      </w:r>
      <w:r w:rsidR="00076E6B">
        <w:t>was</w:t>
      </w:r>
      <w:r w:rsidR="007A0F21">
        <w:t xml:space="preserve"> </w:t>
      </w:r>
      <w:r w:rsidR="003279D8">
        <w:t>about 70%</w:t>
      </w:r>
      <w:r w:rsidR="00B010E6">
        <w:t xml:space="preserve"> (data not shown)</w:t>
      </w:r>
      <w:r w:rsidR="003279D8">
        <w:t xml:space="preserve">. </w:t>
      </w:r>
      <w:r w:rsidR="00B010E6">
        <w:t>In the same study, at a concentration of 20 g L</w:t>
      </w:r>
      <w:r w:rsidR="00B010E6" w:rsidRPr="000D6B0E">
        <w:rPr>
          <w:vertAlign w:val="superscript"/>
        </w:rPr>
        <w:t xml:space="preserve">-1 </w:t>
      </w:r>
      <w:r w:rsidR="00B010E6">
        <w:t>NaHCO</w:t>
      </w:r>
      <w:r w:rsidR="00B010E6" w:rsidRPr="000D6B0E">
        <w:rPr>
          <w:vertAlign w:val="subscript"/>
        </w:rPr>
        <w:t>3</w:t>
      </w:r>
      <w:r w:rsidR="00B010E6">
        <w:t xml:space="preserve"> the yield was slightly lower (~60%) due to carbonate ions accumulation (almost 50% of the initial carbon pool)</w:t>
      </w:r>
      <w:r w:rsidR="003279D8">
        <w:t xml:space="preserve"> </w:t>
      </w:r>
      <w:r w:rsidR="003279D8">
        <w:fldChar w:fldCharType="begin" w:fldLock="1"/>
      </w:r>
      <w:r w:rsidR="00965C57">
        <w:instrText>ADDIN CSL_CITATION {"citationItems":[{"id":"ITEM-1","itemData":{"DOI":"10.1016/j.biombioe.2021.106029","ISSN":"18732909","abstract":"This paper presents a new integrated process for producing carbon-negative biomethane fuel which combines anaerobic digestion of sewage sludge with biogas purification, algae generation and carbon capture. Biogas CO2 is recovered through absorption into sodium carbonate solution, producing bicarbonate, subsequently used as substrate for algae growth. Anaerobic digestate is hydrothermally carbonised into biochar, stabilising unused biomass carbon for long-term storage. Proof-of-concept studies are provided, together with a system carbon balance to demonstrate its overall carbon capture potential. D. tertiolecta (CCAP 19/30) was cultivated at different bicarbonate concentrations (2.5–90 g L−1), producing equimolar amounts of carbonate and carbon-derived products (algae, gaseous CO2). Above 40 g L−1, carbonate regeneration significantly exceeded algae growth, achieving higher than expected CO2 uptake potential, but lower overall carbon sequestration potential due to the discharge of excess CO2 to the environment. Single-stage CO2 absorption from a model biogas mixture (60% methane) into carbonate solution was rate limited by the reaction of dissolved CO2 with solution hydroxide ions, achieving steady state methane outlet purities of up to 85%. Spent absorbent was successfully used for algae culture, and the regenerated medium showed equivalent CO2 uptake as the fresh carbonate solution, demonstrating the cyclability of the system. Carbon distribution to biochar and algae by-products was estimated as 35.1%, exceeding the expected emissions associated with the process, to render the process carbon negative.","author":[{"dropping-particle":"","family":"Roy","given":"Uttam K.","non-dropping-particle":"","parse-names":false,"suffix":""},{"dropping-particle":"","family":"Radu","given":"Tanja","non-dropping-particle":"","parse-names":false,"suffix":""},{"dropping-particle":"","family":"Wagner","given":"Jonathan L.","non-dropping-particle":"","parse-names":false,"suffix":""}],"container-title":"Biomass and Bioenergy","id":"ITEM-1","issue":"September 2020","issued":{"date-parts":[["2021"]]},"page":"106029","publisher":"Elsevier Ltd","title":"Carbon-negative biomethane fuel production: Integrating anaerobic digestion with algae-assisted biogas purification and hydrothermal carbonisation of digestate","type":"article-journal","volume":"148"},"uris":["http://www.mendeley.com/documents/?uuid=9f947029-6404-43f0-9188-6cedbf876dde"]}],"mendeley":{"formattedCitation":"(Roy, Radu, and Wagner 2021)","manualFormatting":"(Roy et al. 2021)","plainTextFormattedCitation":"(Roy, Radu, and Wagner 2021)","previouslyFormattedCitation":"(Roy, Radu, and Wagner 2021)"},"properties":{"noteIndex":0},"schema":"https://github.com/citation-style-language/schema/raw/master/csl-citation.json"}</w:instrText>
      </w:r>
      <w:r w:rsidR="003279D8">
        <w:fldChar w:fldCharType="separate"/>
      </w:r>
      <w:r w:rsidR="003279D8" w:rsidRPr="003279D8">
        <w:rPr>
          <w:noProof/>
        </w:rPr>
        <w:t>(Roy</w:t>
      </w:r>
      <w:r w:rsidR="003279D8">
        <w:rPr>
          <w:noProof/>
        </w:rPr>
        <w:t xml:space="preserve"> et al.</w:t>
      </w:r>
      <w:r w:rsidR="003279D8" w:rsidRPr="003279D8">
        <w:rPr>
          <w:noProof/>
        </w:rPr>
        <w:t xml:space="preserve"> 2021)</w:t>
      </w:r>
      <w:r w:rsidR="003279D8">
        <w:fldChar w:fldCharType="end"/>
      </w:r>
      <w:r w:rsidR="00076E6B">
        <w:t>.</w:t>
      </w:r>
      <w:r w:rsidR="00B010E6">
        <w:t xml:space="preserve"> </w:t>
      </w:r>
      <w:r w:rsidR="00B010E6" w:rsidRPr="00874ADA">
        <w:t xml:space="preserve">Accordingly, our </w:t>
      </w:r>
      <w:r w:rsidR="007850A6" w:rsidRPr="00874ADA">
        <w:t>results indicate</w:t>
      </w:r>
      <w:r w:rsidR="00E450E7" w:rsidRPr="00874ADA">
        <w:t xml:space="preserve"> that</w:t>
      </w:r>
      <w:r w:rsidR="00874ADA">
        <w:t xml:space="preserve"> when</w:t>
      </w:r>
      <w:r w:rsidR="007850A6">
        <w:t>ever</w:t>
      </w:r>
      <w:r w:rsidR="00874ADA">
        <w:t xml:space="preserve"> alkaliphilic species are cultivated, although </w:t>
      </w:r>
      <w:r w:rsidR="006136C2">
        <w:t>their tolerance to alkalinity</w:t>
      </w:r>
      <w:r w:rsidR="00B010E6" w:rsidRPr="00874ADA">
        <w:t>,</w:t>
      </w:r>
      <w:r w:rsidR="00E450E7" w:rsidRPr="00874ADA">
        <w:t xml:space="preserve"> efficient carbon conversion occurs </w:t>
      </w:r>
      <w:r w:rsidR="00874ADA" w:rsidRPr="00874ADA">
        <w:t>as long as carbon supplied is</w:t>
      </w:r>
      <w:r w:rsidR="00874ADA">
        <w:t xml:space="preserve"> reasonably balanced</w:t>
      </w:r>
      <w:r w:rsidR="00874ADA" w:rsidRPr="00874ADA">
        <w:t>.</w:t>
      </w:r>
    </w:p>
    <w:p w14:paraId="6FBF762F" w14:textId="78A4A5BF" w:rsidR="007046E4" w:rsidRDefault="000B4822" w:rsidP="00F21CE2">
      <w:pPr>
        <w:pStyle w:val="CETBodytext"/>
      </w:pPr>
      <w:r>
        <w:t xml:space="preserve">Considering the stationary phase </w:t>
      </w:r>
      <w:r w:rsidR="008645C7">
        <w:t>of growth</w:t>
      </w:r>
      <w:r>
        <w:t xml:space="preserve">, both </w:t>
      </w:r>
      <w:r>
        <w:rPr>
          <w:i/>
          <w:iCs/>
        </w:rPr>
        <w:t xml:space="preserve">N. gaditana </w:t>
      </w:r>
      <w:r>
        <w:t xml:space="preserve">and </w:t>
      </w:r>
      <w:r>
        <w:rPr>
          <w:i/>
          <w:iCs/>
        </w:rPr>
        <w:t xml:space="preserve">T. lutea </w:t>
      </w:r>
      <w:r w:rsidR="00517FB1">
        <w:t>showed</w:t>
      </w:r>
      <w:r>
        <w:t xml:space="preserve"> similar performances, reaching around 0.7</w:t>
      </w:r>
      <w:r w:rsidR="00936974">
        <w:t>0</w:t>
      </w:r>
      <w:r>
        <w:t xml:space="preserve"> g</w:t>
      </w:r>
      <w:r w:rsidRPr="00595594">
        <w:rPr>
          <w:vertAlign w:val="subscript"/>
        </w:rPr>
        <w:t>X</w:t>
      </w:r>
      <w:r>
        <w:t xml:space="preserve"> L</w:t>
      </w:r>
      <w:r w:rsidRPr="00595594">
        <w:rPr>
          <w:vertAlign w:val="superscript"/>
        </w:rPr>
        <w:t>-1</w:t>
      </w:r>
      <w:r>
        <w:t xml:space="preserve"> at the lowest NaHCO</w:t>
      </w:r>
      <w:r w:rsidRPr="00A3588A">
        <w:rPr>
          <w:vertAlign w:val="subscript"/>
        </w:rPr>
        <w:t>3</w:t>
      </w:r>
      <w:r>
        <w:t xml:space="preserve"> concentration (</w:t>
      </w:r>
      <w:r w:rsidR="00BD662C">
        <w:t>Table 1</w:t>
      </w:r>
      <w:r>
        <w:t>). Biomass productivity, anyway, ranged between 0.07 and 0.08 g</w:t>
      </w:r>
      <w:r w:rsidR="00A3588A" w:rsidRPr="00A3588A">
        <w:rPr>
          <w:vertAlign w:val="subscript"/>
        </w:rPr>
        <w:t>X</w:t>
      </w:r>
      <w:r>
        <w:t xml:space="preserve"> L</w:t>
      </w:r>
      <w:r w:rsidRPr="002F4083">
        <w:rPr>
          <w:vertAlign w:val="superscript"/>
        </w:rPr>
        <w:t xml:space="preserve">-1 </w:t>
      </w:r>
      <w:r>
        <w:t>d</w:t>
      </w:r>
      <w:r w:rsidRPr="002F4083">
        <w:rPr>
          <w:vertAlign w:val="superscript"/>
        </w:rPr>
        <w:t>-1</w:t>
      </w:r>
      <w:r>
        <w:t xml:space="preserve"> (</w:t>
      </w:r>
      <w:r w:rsidR="00936974">
        <w:t>Table 2</w:t>
      </w:r>
      <w:r>
        <w:t xml:space="preserve">) for both species in all the conditions, suggesting a scarce efficiency in </w:t>
      </w:r>
      <w:r w:rsidR="008645C7">
        <w:t>exploiting HCO</w:t>
      </w:r>
      <w:r w:rsidR="008645C7">
        <w:rPr>
          <w:vertAlign w:val="subscript"/>
        </w:rPr>
        <w:t>3</w:t>
      </w:r>
      <w:r w:rsidR="008645C7">
        <w:rPr>
          <w:vertAlign w:val="superscript"/>
        </w:rPr>
        <w:t>-</w:t>
      </w:r>
      <w:r w:rsidR="008645C7">
        <w:t xml:space="preserve"> for carbon fixation</w:t>
      </w:r>
      <w:r w:rsidR="00936974">
        <w:t xml:space="preserve"> as well as a poor resistance to alkaline environments</w:t>
      </w:r>
      <w:r>
        <w:t>.</w:t>
      </w:r>
      <w:r w:rsidR="0029205C">
        <w:t xml:space="preserve"> </w:t>
      </w:r>
      <w:r w:rsidR="00F21CE2" w:rsidRPr="00595594">
        <w:t>Despite its ability to uptake H</w:t>
      </w:r>
      <w:r w:rsidR="00F21CE2">
        <w:t>CO</w:t>
      </w:r>
      <w:r w:rsidR="00F21CE2">
        <w:rPr>
          <w:vertAlign w:val="subscript"/>
        </w:rPr>
        <w:t>3</w:t>
      </w:r>
      <w:r w:rsidR="00F21CE2">
        <w:rPr>
          <w:vertAlign w:val="superscript"/>
        </w:rPr>
        <w:t>-</w:t>
      </w:r>
      <w:r w:rsidR="00F21CE2">
        <w:t xml:space="preserve"> has been previously demonstrated, growth performances of </w:t>
      </w:r>
      <w:r w:rsidR="00F21CE2">
        <w:rPr>
          <w:i/>
          <w:iCs/>
        </w:rPr>
        <w:t xml:space="preserve">N. gaditana </w:t>
      </w:r>
      <w:r w:rsidR="00F21CE2">
        <w:t>do not seem to be improved by bicarbonate supply.</w:t>
      </w:r>
      <w:r w:rsidR="00FB7E40">
        <w:t xml:space="preserve"> Similar outcomes</w:t>
      </w:r>
      <w:r w:rsidR="00D22686">
        <w:t xml:space="preserve"> are reported in literature:</w:t>
      </w:r>
      <w:r w:rsidR="00F21CE2">
        <w:t xml:space="preserve"> </w:t>
      </w:r>
      <w:r w:rsidR="00F21CE2">
        <w:fldChar w:fldCharType="begin" w:fldLock="1"/>
      </w:r>
      <w:r w:rsidR="00F21CE2">
        <w:instrText>ADDIN CSL_CITATION {"citationItems":[{"id":"ITEM-1","itemData":{"DOI":"10.1007/s10811-018-1470-x","ISBN":"1081101814","ISSN":"15735176","abstract":"Algal biomass refineries for sustainable transportation fuels, in particular biodiesel, will benefit from algal strain enhancements to improve biomass and lipid productivity. Specifically, the supply of inorganic carbon to microalgal cultures represents an area of great interest due to the potential for improved growth of microalgae and the possibility for incorporation with CO2 mitigation processes. Combinations of bicarbonate (HCO3−) salt addition and application of CO2 to control pH have shown compelling increases in growth rate and lipid productivity of fresh water algae. Here, focus was placed on the marine organism, Nannochloropsis gaditana, to investigate growth and lipid accumulation under various strategies of enhanced inorganic carbon supply. Three gas application strategies were investigated: continuous sparging of atmospheric air, continuous sparging of 5% CO2 during light hours until nitrogen depletion, and continuous sparging of atmospheric air supplemented with 5% CO2 for pH control between 8.0 and 8.3. These gas sparging schemes were combined with addition of low concentrations (5 mM) of sodium bicarbonate at inoculation and high concentration (50 mM) of sodium bicarbonate amendments just prior to nitrogen depletion. The optimum scenario observed for growth of N. gaditana under these inorganic carbon conditions was controlling pH with 5% CO2 on demand, which increased both growth rate and lipid accumulation. Fatty acid methyl esters were primarily comprised of C16:0 (palmitic) and C16:1 (palmitoleic) aliphatic chains. Additionally, the use of high concentration (50 mM) of bicarbonate amendments further improved lipid content (up to 48.6%) under nitrogen deplete conditions when paired with pH-controlled strategies.","author":[{"dropping-particle":"","family":"Pedersen","given":"Todd C.","non-dropping-particle":"","parse-names":false,"suffix":""},{"dropping-particle":"","family":"Gardner","given":"Robert D.","non-dropping-particle":"","parse-names":false,"suffix":""},{"dropping-particle":"","family":"Gerlach","given":"Robin","non-dropping-particle":"","parse-names":false,"suffix":""},{"dropping-particle":"","family":"Peyton","given":"Brent M.","non-dropping-particle":"","parse-names":false,"suffix":""}],"container-title":"Journal of Applied Phycology","id":"ITEM-1","issue":"4","issued":{"date-parts":[["2018"]]},"page":"2155-2166","publisher":"Journal of Applied Phycology","title":"Assessment of Nannochloropsis gaditana growth and lipid accumulation with increased inorganic carbon delivery","type":"article-journal","volume":"30"},"uris":["http://www.mendeley.com/documents/?uuid=bba1867b-8c4c-4724-a585-a8be8d8aabc2"]}],"mendeley":{"formattedCitation":"(Pedersen et al. 2018)","manualFormatting":"Pedersen et al. (2018)","plainTextFormattedCitation":"(Pedersen et al. 2018)","previouslyFormattedCitation":"(Pedersen et al. 2018)"},"properties":{"noteIndex":0},"schema":"https://github.com/citation-style-language/schema/raw/master/csl-citation.json"}</w:instrText>
      </w:r>
      <w:r w:rsidR="00F21CE2">
        <w:fldChar w:fldCharType="separate"/>
      </w:r>
      <w:r w:rsidR="00F21CE2" w:rsidRPr="008F2D12">
        <w:rPr>
          <w:noProof/>
        </w:rPr>
        <w:t xml:space="preserve">Pedersen et al. </w:t>
      </w:r>
      <w:r w:rsidR="00F21CE2">
        <w:rPr>
          <w:noProof/>
        </w:rPr>
        <w:t>(</w:t>
      </w:r>
      <w:r w:rsidR="00F21CE2" w:rsidRPr="008F2D12">
        <w:rPr>
          <w:noProof/>
        </w:rPr>
        <w:t>2018)</w:t>
      </w:r>
      <w:r w:rsidR="00F21CE2">
        <w:fldChar w:fldCharType="end"/>
      </w:r>
      <w:r w:rsidR="00F21CE2" w:rsidRPr="00595594">
        <w:t xml:space="preserve"> </w:t>
      </w:r>
      <w:r w:rsidR="00D22686">
        <w:t>showed</w:t>
      </w:r>
      <w:r w:rsidR="00D22686" w:rsidRPr="00595594">
        <w:t xml:space="preserve"> </w:t>
      </w:r>
      <w:r w:rsidR="00F21CE2" w:rsidRPr="00595594">
        <w:t>no significant increase</w:t>
      </w:r>
      <w:r w:rsidR="00936974">
        <w:t xml:space="preserve"> in</w:t>
      </w:r>
      <w:r w:rsidR="00F21CE2" w:rsidRPr="00595594">
        <w:t xml:space="preserve"> biomass productivity</w:t>
      </w:r>
      <w:r w:rsidR="00F21CE2">
        <w:t xml:space="preserve"> when</w:t>
      </w:r>
      <w:r w:rsidR="00936974">
        <w:t xml:space="preserve"> </w:t>
      </w:r>
      <w:r w:rsidR="00936974">
        <w:rPr>
          <w:i/>
          <w:iCs/>
        </w:rPr>
        <w:t xml:space="preserve">N. gaditana </w:t>
      </w:r>
      <w:r w:rsidR="00936974">
        <w:t>was cultivated with</w:t>
      </w:r>
      <w:r w:rsidR="00F21CE2">
        <w:t xml:space="preserve"> 0.42 g L</w:t>
      </w:r>
      <w:r w:rsidR="00F21CE2" w:rsidRPr="006C721F">
        <w:rPr>
          <w:vertAlign w:val="superscript"/>
        </w:rPr>
        <w:t>-1</w:t>
      </w:r>
      <w:r w:rsidR="00F21CE2">
        <w:t xml:space="preserve"> of NaHCO</w:t>
      </w:r>
      <w:r w:rsidR="00F21CE2" w:rsidRPr="009F7C17">
        <w:rPr>
          <w:vertAlign w:val="subscript"/>
        </w:rPr>
        <w:t>3</w:t>
      </w:r>
      <w:r w:rsidR="00F21CE2">
        <w:t xml:space="preserve"> and growth was impaired at 4.2 g L</w:t>
      </w:r>
      <w:r w:rsidR="00F21CE2" w:rsidRPr="006C721F">
        <w:rPr>
          <w:vertAlign w:val="superscript"/>
        </w:rPr>
        <w:t>-1</w:t>
      </w:r>
      <w:r w:rsidR="00F21CE2">
        <w:t xml:space="preserve">. </w:t>
      </w:r>
      <w:r w:rsidR="00F21CE2" w:rsidRPr="000B4822">
        <w:t xml:space="preserve">Similarly, </w:t>
      </w:r>
      <w:r w:rsidR="00F21CE2">
        <w:fldChar w:fldCharType="begin" w:fldLock="1"/>
      </w:r>
      <w:r w:rsidR="00A3588A">
        <w:instrText>ADDIN CSL_CITATION {"citationItems":[{"id":"ITEM-1","itemData":{"DOI":"10.1039/c9gc01107b","ISSN":"14639270","abstract":"There have been many difficulties in supplying CO2 for the mass production of microalgae, which are regarded as a sustainable source of various bio-materials and biofuels. Bicarbonate-based microalgae cultivation may offer an alternative way, circumventing the exceedingly large energy demands for gas compression and the low carbon utilization efficiency of the conventional CO2-based cultivation. To realize this bicarbonate-based approach, this study first demonstrated the ability of nine microalgae to utilize bicarbonate as a carbon source and determined their optimal culture conditions with bicarbonate, such as bicarbonate concentration, temperature, and light intensity. Furthermore, to make this bicarbonate-based cultivation practical, this study proposed a potential novel combination of microalgae cultivation and electrochemical CO2 mineralization process, which can provide sodium bicarbonate (NaHCO3) from flue gas in an eco-friendly manner. Besides, potential benefits of using NaHCO3 as a carbon source were assessed via carbon footprint analysis from the perspective of the entire process, ranging from carbon source preparation to microalgae cultivation. This analysis, though rough in nature, revealed that bicarbonate can be more advantageous than raw flue gas or monoethanolamine (MEA)-extracted pure CO2 with respect to net CO2 emissions and algal biomass productivity. These benefits were even more pronounced when the transport of carbon sources was considered. A low carbon outgassing rate of maximum 9.6 ppm day-1 and a substantially high carbon utilization efficiency of &gt;86.7% with bicarbonate were found to be the determining factors. All these supported that the bicarbonate-based cultivation of microalgae is indeed feasible and practical, in particular when integrated with the electrochemical CO2 mineralization technology.","author":[{"dropping-particle":"","family":"Kim","given":"Ga Yeong","non-dropping-particle":"","parse-names":false,"suffix":""},{"dropping-particle":"","family":"Roh","given":"Kosan","non-dropping-particle":"","parse-names":false,"suffix":""},{"dropping-particle":"","family":"Han","given":"Jong In","non-dropping-particle":"","parse-names":false,"suffix":""}],"container-title":"Green Chemistry","id":"ITEM-1","issue":"18","issued":{"date-parts":[["2019"]]},"page":"5053-5062","publisher":"Royal Society of Chemistry","title":"The use of bicarbonate for microalgae cultivation and its carbon footprint analysis","type":"article-journal","volume":"21"},"uris":["http://www.mendeley.com/documents/?uuid=d3b64754-891c-4234-83fc-bf9547d76033"]}],"mendeley":{"formattedCitation":"(Kim, Roh, and Han 2019)","manualFormatting":"Kim et al. (2019)","plainTextFormattedCitation":"(Kim, Roh, and Han 2019)","previouslyFormattedCitation":"(Kim, Roh, and Han 2019)"},"properties":{"noteIndex":0},"schema":"https://github.com/citation-style-language/schema/raw/master/csl-citation.json"}</w:instrText>
      </w:r>
      <w:r w:rsidR="00F21CE2">
        <w:fldChar w:fldCharType="separate"/>
      </w:r>
      <w:r w:rsidR="00F21CE2" w:rsidRPr="008F2D12">
        <w:rPr>
          <w:noProof/>
        </w:rPr>
        <w:t>Kim</w:t>
      </w:r>
      <w:r w:rsidR="00A47DC9">
        <w:rPr>
          <w:noProof/>
        </w:rPr>
        <w:t xml:space="preserve"> et al.</w:t>
      </w:r>
      <w:r w:rsidR="00F21CE2" w:rsidRPr="008F2D12">
        <w:rPr>
          <w:noProof/>
        </w:rPr>
        <w:t xml:space="preserve"> </w:t>
      </w:r>
      <w:r w:rsidR="00F21CE2">
        <w:rPr>
          <w:noProof/>
        </w:rPr>
        <w:t>(</w:t>
      </w:r>
      <w:r w:rsidR="00F21CE2" w:rsidRPr="008F2D12">
        <w:rPr>
          <w:noProof/>
        </w:rPr>
        <w:t>2019)</w:t>
      </w:r>
      <w:r w:rsidR="00F21CE2">
        <w:fldChar w:fldCharType="end"/>
      </w:r>
      <w:r w:rsidR="00F21CE2" w:rsidRPr="00595594">
        <w:t xml:space="preserve"> found 1.0 g L</w:t>
      </w:r>
      <w:r w:rsidR="00F21CE2" w:rsidRPr="006C721F">
        <w:rPr>
          <w:vertAlign w:val="superscript"/>
        </w:rPr>
        <w:t>-1</w:t>
      </w:r>
      <w:r w:rsidR="00F21CE2" w:rsidRPr="00595594">
        <w:t xml:space="preserve"> as optimal NaHCO</w:t>
      </w:r>
      <w:r w:rsidR="00F21CE2" w:rsidRPr="009F7C17">
        <w:rPr>
          <w:vertAlign w:val="subscript"/>
        </w:rPr>
        <w:t>3</w:t>
      </w:r>
      <w:r w:rsidR="00F21CE2" w:rsidRPr="00595594">
        <w:t xml:space="preserve"> concentration for this s</w:t>
      </w:r>
      <w:r w:rsidR="00F21CE2">
        <w:t>pecies, even though growth rate was negatively affected with respect to control condition (with CO</w:t>
      </w:r>
      <w:r w:rsidR="00F21CE2">
        <w:rPr>
          <w:vertAlign w:val="subscript"/>
        </w:rPr>
        <w:t>2</w:t>
      </w:r>
      <w:r w:rsidR="00F21CE2">
        <w:t xml:space="preserve"> insufflation). </w:t>
      </w:r>
      <w:r w:rsidR="00F21CE2" w:rsidRPr="00595594">
        <w:t>In this case a major role can be played b</w:t>
      </w:r>
      <w:r w:rsidR="00F21CE2">
        <w:t xml:space="preserve">y pH increase in the culture (data not shown) since it is known that optimal pH for this microalga is around 8-8.3 </w:t>
      </w:r>
      <w:r w:rsidR="00F21CE2">
        <w:fldChar w:fldCharType="begin" w:fldLock="1"/>
      </w:r>
      <w:r w:rsidR="00965C57">
        <w:instrText>ADDIN CSL_CITATION {"citationItems":[{"id":"ITEM-1","itemData":{"DOI":"10.1007/s00449-020-02373-x","ISBN":"0044902002373","ISSN":"16157605","PMID":"32588115","abstract":"A priority of the industrial applications of microalgae is the reduction of production costs while maximizing algae biomass productivity. The purpose of this study was to carry out a comprehensive evaluation of the effects of pH control on the production of Nannochloropsis gaditana in tubular photobioreactors under external conditions while considering the environmental, biological, and operational parameters of the process. Experiments were carried out in 3.0 m3 tubular photobioreactors under outdoor conditions. The pH values evaluated were 6.0, 7.0, 8.0, 9.0, and 10.0, which were controlled by injecting pure CO2 on-demand. The results have shown that the ideal pH for microalgal growth was 8.0, with higher values of biomass productivity (Pb) (0.16 g L−1 d−1), and CO2 use efficiency (ECO2) (74.6% w w−1); RCO2/biomass value obtained at this pH (2.42 gCO2 gbiomass−1) was close to the theoretical value, indicating an adequate CO2 supply. At this pH, the system was more stable and required a lower number of CO2 injections than the other treatments. At pH 6.0, there was a decrease in the Pb and ECO2; cultures at pH 10.0 exhibited a lower Pb and photosynthetic efficiency as well. These results imply that controlling the pH at an optimum value allows higher CO2 conversions in biomass to be achieved and contributes to the reduction in costs of the microalgae production process.","author":[{"dropping-particle":"","family":"Moraes","given":"L.","non-dropping-particle":"","parse-names":false,"suffix":""},{"dropping-particle":"","family":"Rosa","given":"G. M.","non-dropping-particle":"","parse-names":false,"suffix":""},{"dropping-particle":"","family":"Cara","given":"I. M.","non-dropping-particle":"","parse-names":false,"suffix":""},{"dropping-particle":"","family":"Santos","given":"L. O.","non-dropping-particle":"","parse-names":false,"suffix":""},{"dropping-particle":"","family":"Morais","given":"M. G.","non-dropping-particle":"","parse-names":false,"suffix":""},{"dropping-particle":"","family":"Grima","given":"E. Molina","non-dropping-particle":"","parse-names":false,"suffix":""},{"dropping-particle":"","family":"Costa","given":"J. A.V.","non-dropping-particle":"","parse-names":false,"suffix":""},{"dropping-particle":"","family":"Fernández","given":"F. G.Acién","non-dropping-particle":"","parse-names":false,"suffix":""}],"container-title":"Bioprocess and Biosystems Engineering","id":"ITEM-1","issue":"10","issued":{"date-parts":[["2020"]]},"page":"1823-1832","publisher":"Springer Berlin Heidelberg","title":"Bioprocess strategies for enhancing the outdoor production of Nannochloropsis gaditana: an evaluation of the effects of pH on culture performance in tubular photobioreactors","type":"article-journal","volume":"43"},"uris":["http://www.mendeley.com/documents/?uuid=bbb83901-551c-4938-a1bd-97a596cce987"]}],"mendeley":{"formattedCitation":"(Moraes et al. 2020)","plainTextFormattedCitation":"(Moraes et al. 2020)","previouslyFormattedCitation":"(Huertas et al. 2000; Moraes et al. 2020)"},"properties":{"noteIndex":0},"schema":"https://github.com/citation-style-language/schema/raw/master/csl-citation.json"}</w:instrText>
      </w:r>
      <w:r w:rsidR="00F21CE2">
        <w:fldChar w:fldCharType="separate"/>
      </w:r>
      <w:r w:rsidR="00965C57" w:rsidRPr="00965C57">
        <w:rPr>
          <w:noProof/>
        </w:rPr>
        <w:t>(Moraes et al. 2020)</w:t>
      </w:r>
      <w:r w:rsidR="00F21CE2">
        <w:fldChar w:fldCharType="end"/>
      </w:r>
      <w:r w:rsidR="00F21CE2">
        <w:t>.</w:t>
      </w:r>
      <w:r w:rsidR="005672CE">
        <w:t xml:space="preserve"> </w:t>
      </w:r>
      <w:r w:rsidR="00936974">
        <w:t xml:space="preserve">Correspondingly, </w:t>
      </w:r>
      <w:r w:rsidR="005672CE">
        <w:rPr>
          <w:i/>
          <w:iCs/>
        </w:rPr>
        <w:t xml:space="preserve">T. lutea </w:t>
      </w:r>
      <w:r w:rsidR="005672CE">
        <w:t>best performance</w:t>
      </w:r>
      <w:r w:rsidR="00936974">
        <w:t>s</w:t>
      </w:r>
      <w:r w:rsidR="005672CE">
        <w:t xml:space="preserve"> were recorded at lowe</w:t>
      </w:r>
      <w:r w:rsidR="00936974">
        <w:t>st</w:t>
      </w:r>
      <w:r w:rsidR="005672CE">
        <w:t xml:space="preserve"> concentrations of sodium bicarbonate. The same species cultivated </w:t>
      </w:r>
      <w:r w:rsidR="00253C93">
        <w:t>in a range of 60-150 µmol m</w:t>
      </w:r>
      <w:r w:rsidR="00253C93" w:rsidRPr="00FE444E">
        <w:rPr>
          <w:vertAlign w:val="superscript"/>
        </w:rPr>
        <w:t>-2</w:t>
      </w:r>
      <w:r w:rsidR="00253C93">
        <w:t xml:space="preserve"> s</w:t>
      </w:r>
      <w:r w:rsidR="00253C93" w:rsidRPr="00FE444E">
        <w:rPr>
          <w:vertAlign w:val="superscript"/>
        </w:rPr>
        <w:t>-1</w:t>
      </w:r>
      <w:r w:rsidR="005672CE">
        <w:t xml:space="preserve"> </w:t>
      </w:r>
      <w:r w:rsidR="00936974">
        <w:t xml:space="preserve">light </w:t>
      </w:r>
      <w:r w:rsidR="005672CE">
        <w:t>intensity in CO</w:t>
      </w:r>
      <w:r w:rsidR="005672CE" w:rsidRPr="00253C93">
        <w:rPr>
          <w:vertAlign w:val="subscript"/>
        </w:rPr>
        <w:t>2</w:t>
      </w:r>
      <w:r w:rsidR="005672CE">
        <w:t xml:space="preserve">-based </w:t>
      </w:r>
      <w:r w:rsidR="00253C93">
        <w:t>cultivation resulted in higher productivity (0.26-0.29 g</w:t>
      </w:r>
      <w:r w:rsidR="00FE444E" w:rsidRPr="00FE444E">
        <w:rPr>
          <w:vertAlign w:val="subscript"/>
        </w:rPr>
        <w:t>X</w:t>
      </w:r>
      <w:r w:rsidR="00253C93">
        <w:t xml:space="preserve"> L</w:t>
      </w:r>
      <w:r w:rsidR="00253C93" w:rsidRPr="00FE444E">
        <w:rPr>
          <w:vertAlign w:val="superscript"/>
        </w:rPr>
        <w:t>-1</w:t>
      </w:r>
      <w:r w:rsidR="00253C93">
        <w:t xml:space="preserve"> d</w:t>
      </w:r>
      <w:r w:rsidR="00253C93" w:rsidRPr="00FE444E">
        <w:rPr>
          <w:vertAlign w:val="superscript"/>
        </w:rPr>
        <w:t>-1</w:t>
      </w:r>
      <w:r w:rsidR="00253C93">
        <w:t>) with respect to our results (0.07 g</w:t>
      </w:r>
      <w:r w:rsidR="00FE444E" w:rsidRPr="00FE444E">
        <w:rPr>
          <w:vertAlign w:val="subscript"/>
        </w:rPr>
        <w:t>X</w:t>
      </w:r>
      <w:r w:rsidR="00253C93" w:rsidRPr="00FE444E">
        <w:rPr>
          <w:vertAlign w:val="subscript"/>
        </w:rPr>
        <w:t xml:space="preserve"> </w:t>
      </w:r>
      <w:r w:rsidR="00253C93">
        <w:t>L</w:t>
      </w:r>
      <w:r w:rsidR="00253C93" w:rsidRPr="00FE444E">
        <w:rPr>
          <w:vertAlign w:val="superscript"/>
        </w:rPr>
        <w:t>-</w:t>
      </w:r>
      <w:r w:rsidR="00253C93">
        <w:t>1 d</w:t>
      </w:r>
      <w:r w:rsidR="00253C93" w:rsidRPr="00FE444E">
        <w:rPr>
          <w:vertAlign w:val="superscript"/>
        </w:rPr>
        <w:t>-1</w:t>
      </w:r>
      <w:r w:rsidR="00253C93">
        <w:t>), suggesting a scarce efficiency in bicarbonate upta</w:t>
      </w:r>
      <w:r w:rsidR="00671B0E">
        <w:t xml:space="preserve">ke </w:t>
      </w:r>
      <w:r w:rsidR="00671B0E">
        <w:fldChar w:fldCharType="begin" w:fldLock="1"/>
      </w:r>
      <w:r w:rsidR="00FF54AB">
        <w:instrText>ADDIN CSL_CITATION {"citationItems":[{"id":"ITEM-1","itemData":{"DOI":"10.1016/j.biortech.2020.123894","ISSN":"18732976","PMID":"32736321","abstract":"To optimize fucoxanthin production in Tisochrysis lutea, the effect of different process parameters on fucoxanthin productivity (Pfx) were evaluated using batch and continuous experiments. In batch, the highest Pfx was found at 30 °C and 300 μmol m−2 s−1, allowing to design continuous experiments to optimize the dilution rate. The highest ever reported Pfx (9.43–9.81 mg L−1 d−1) was achieved at dilution rates of 0.53 and 0.80 d−1. Irradiance was varied (50–500 μmol m−2 s−1) to result in a range of absorbed light between 2.23 and 25.80 mol m−2 d−1 at a fixed dilution rate (0.53 d−1). These experiments validated the hypothesis that light absorbed can be used to predict fucoxanthin content, resulting in 2.23 mol m−2 d−1 triggering the highest fucoxanthin content (16.39 mg/g). The highest Pfx was found with 18.38 mol m−2 d−1. These results can be used to achieve high Pfx or fucoxanthin content during cultivation of Tisochrysis lutea.","author":[{"dropping-particle":"","family":"Gao","given":"Fengzheng","non-dropping-particle":"","parse-names":false,"suffix":""},{"dropping-particle":"","family":"Teles (Cabanelas, ITD)","given":"Iago","non-dropping-particle":"","parse-names":false,"suffix":""},{"dropping-particle":"","family":"Wijffels","given":"René H.","non-dropping-particle":"","parse-names":false,"suffix":""},{"dropping-particle":"","family":"Barbosa","given":"Maria J.","non-dropping-particle":"","parse-names":false,"suffix":""}],"container-title":"Bioresource Technology","id":"ITEM-1","issued":{"date-parts":[["2020"]]},"title":"Process optimization of fucoxanthin production with Tisochrysis lutea","type":"article-journal","volume":"315"},"uris":["http://www.mendeley.com/documents/?uuid=7e9c623a-0240-43af-9534-078579cf8e09"]}],"mendeley":{"formattedCitation":"(Gao et al. 2020)","plainTextFormattedCitation":"(Gao et al. 2020)","previouslyFormattedCitation":"(Gao et al. 2020)"},"properties":{"noteIndex":0},"schema":"https://github.com/citation-style-language/schema/raw/master/csl-citation.json"}</w:instrText>
      </w:r>
      <w:r w:rsidR="00671B0E">
        <w:fldChar w:fldCharType="separate"/>
      </w:r>
      <w:r w:rsidR="00671B0E" w:rsidRPr="00671B0E">
        <w:rPr>
          <w:noProof/>
        </w:rPr>
        <w:t>(Gao et al. 2020)</w:t>
      </w:r>
      <w:r w:rsidR="00671B0E">
        <w:fldChar w:fldCharType="end"/>
      </w:r>
      <w:r w:rsidR="00253C93" w:rsidRPr="00671B0E">
        <w:t>.</w:t>
      </w:r>
      <w:r w:rsidR="00253C93">
        <w:t xml:space="preserve"> Also, the pH recorded at the stationary phase was </w:t>
      </w:r>
      <w:r w:rsidR="00A3554B">
        <w:t>8.95</w:t>
      </w:r>
      <w:r w:rsidR="00253C93">
        <w:t>, 9.24 and 9.</w:t>
      </w:r>
      <w:r w:rsidR="00A3554B">
        <w:t>48</w:t>
      </w:r>
      <w:r w:rsidR="00253C93">
        <w:t xml:space="preserve"> at, respectively, 1, 2.5 and 5 g L</w:t>
      </w:r>
      <w:r w:rsidR="00253C93" w:rsidRPr="00FE444E">
        <w:rPr>
          <w:vertAlign w:val="superscript"/>
        </w:rPr>
        <w:t>-1</w:t>
      </w:r>
      <w:r w:rsidR="00253C93">
        <w:t xml:space="preserve"> NaHCO</w:t>
      </w:r>
      <w:r w:rsidR="00253C93" w:rsidRPr="00FE444E">
        <w:rPr>
          <w:vertAlign w:val="subscript"/>
        </w:rPr>
        <w:t>3</w:t>
      </w:r>
      <w:r w:rsidR="00253C93">
        <w:t xml:space="preserve">. These values are </w:t>
      </w:r>
      <w:r w:rsidR="00120AD6">
        <w:t xml:space="preserve">higher than the optimal range reported for this haptophyte species (6.9-8.0) </w:t>
      </w:r>
      <w:r w:rsidR="00671B0E">
        <w:fldChar w:fldCharType="begin" w:fldLock="1"/>
      </w:r>
      <w:r w:rsidR="00FF54AB">
        <w:instrText>ADDIN CSL_CITATION {"citationItems":[{"id":"ITEM-1","itemData":{"DOI":"10.1016/j.sjbs.2020.07.027","ISSN":"1319562X","abstract":"The haptophyte microalga Tisochrysis lutea was heterotrophically grown in F2 medium with different combinations of pH and salinity. Growth, oil content and fatty acids (FAs) profile were determined under each set of conditions. The salinity was adjusted using NaCl at concentrations of 0.4, 0.6, 0.8, or 1.0 M, while pH was adjusted at 7, 8, or 9, and heterotrophic growth was performed using organic carbon in the form of sugar cane industry waste (CM). Fatty acid methyl esters (FAMEs) were identified by gas chromatography. The results showed that pH of 8.0 was the optimal for dry weight and oil production, regardless of the salinity level. At pH 8.0, growth at a salinity of 0.4 M NaCl was optimal for biomass accumulation (1.185 g L-1). Under these conditions, the maximum growth rate was 0.055 g L-1 d-1, with a doubling time of 17.5 h and a degree of multiplication of 2.198. Oil content was maximal (34.87%) when the salinity was 0.4 M and the pH was 9.0. The ratio of saturated to unsaturated FAs was affected by the pH value and salinity, in that unsaturated FAs increased to 58.09% of the total FAs, considerably greater than the value of 40.59% obtained for the control (0.4 M NaCl and pH 8.0).","author":[{"dropping-particle":"","family":"Almutairi","given":"Adel W.","non-dropping-particle":"","parse-names":false,"suffix":""},{"dropping-particle":"","family":"El-Sayed","given":"Abo El Khair B.","non-dropping-particle":"","parse-names":false,"suffix":""},{"dropping-particle":"","family":"Reda","given":"Marwa M.","non-dropping-particle":"","parse-names":false,"suffix":""}],"container-title":"Saudi Journal of Biological Sciences","id":"ITEM-1","issue":"12","issued":{"date-parts":[["2020"]]},"page":"3553-3558","publisher":"The Author(s)","title":"Combined effect of salinity and pH on lipid content and fatty acid composition of Tisochrysis lutea","type":"article-journal","volume":"27"},"uris":["http://www.mendeley.com/documents/?uuid=2f989019-61c5-4c81-bc6b-7fb651c5a8be"]},{"id":"ITEM-2","itemData":{"DOI":"10.1016/j.aquaculture.2019.734637","ISSN":"00448486","abstract":"Fucoxanthin is the major abundant xanthophyll in macro- and micro-algae as a component of photosynthetic light-harvesting complexes for photosynthesis and photoprotection. Nowadays, widespread application of fucoxanthin in food industry, pharmaceutical, and medical purposes are increasing. The current issue attracts the attention of researchers for producing of carotenoid from its natural resources, especially algae. Againts macroalgae, microalgae have rapid growth with the same source of food. In addition, they can grow from variety of situations and environmental conditions to produce a specific biochemical product. Microalgae, e.g. Tisochrysis lutea (T. lutea), can be cultivated under controlled conditions, low cost, and higher concentration of fucoxanthin. This review presents some of nutraceutical effects of fucoxanthin for human health and then, in particular, recent biotechnological developments in bioprocessing of this valuable product including, cultivation, harvesting, extraction, and purification, from T. lutea.","author":[{"dropping-particle":"","family":"Mohamadnia","given":"Sonia","non-dropping-particle":"","parse-names":false,"suffix":""},{"dropping-particle":"","family":"Tavakoli","given":"Omid","non-dropping-particle":"","parse-names":false,"suffix":""},{"dropping-particle":"","family":"Faramarzi","given":"Mohammad Ali","non-dropping-particle":"","parse-names":false,"suffix":""},{"dropping-particle":"","family":"Shamsollahi","given":"Zahra","non-dropping-particle":"","parse-names":false,"suffix":""}],"container-title":"Aquaculture","id":"ITEM-2","issue":"September 2019","issued":{"date-parts":[["2020"]]},"page":"734637","publisher":"Elsevier","title":"Production of fucoxanthin by the microalga Tisochrysis lutea: A review of recent developments","type":"article-journal","volume":"516"},"uris":["http://www.mendeley.com/documents/?uuid=48955c9d-6d2e-4d67-913b-d2765ec4eb54"]}],"mendeley":{"formattedCitation":"(Almutairi, El-Sayed, and Reda 2020; Mohamadnia et al. 2020)","manualFormatting":"(Mohamadnia et al. 2020)","plainTextFormattedCitation":"(Almutairi, El-Sayed, and Reda 2020; Mohamadnia et al. 2020)","previouslyFormattedCitation":"(Almutairi, El-Sayed, and Reda 2020; Mohamadnia et al. 2020)"},"properties":{"noteIndex":0},"schema":"https://github.com/citation-style-language/schema/raw/master/csl-citation.json"}</w:instrText>
      </w:r>
      <w:r w:rsidR="00671B0E">
        <w:fldChar w:fldCharType="separate"/>
      </w:r>
      <w:r w:rsidR="00671B0E" w:rsidRPr="00671B0E">
        <w:rPr>
          <w:noProof/>
        </w:rPr>
        <w:t>(Mohamadnia et al. 2020)</w:t>
      </w:r>
      <w:r w:rsidR="00671B0E">
        <w:fldChar w:fldCharType="end"/>
      </w:r>
      <w:r w:rsidR="00120AD6" w:rsidRPr="00671B0E">
        <w:t>.</w:t>
      </w:r>
      <w:r w:rsidR="00120AD6">
        <w:t xml:space="preserve"> </w:t>
      </w:r>
    </w:p>
    <w:p w14:paraId="2BF0AF95" w14:textId="44E73783" w:rsidR="00F21CE2" w:rsidRDefault="003356F1" w:rsidP="00F21CE2">
      <w:pPr>
        <w:pStyle w:val="CETBodytext"/>
      </w:pPr>
      <w:r>
        <w:t xml:space="preserve">Best performances in this screening phase were recorded for </w:t>
      </w:r>
      <w:r>
        <w:rPr>
          <w:i/>
          <w:iCs/>
        </w:rPr>
        <w:t xml:space="preserve">T. chuii </w:t>
      </w:r>
      <w:r>
        <w:t xml:space="preserve">and </w:t>
      </w:r>
      <w:r>
        <w:rPr>
          <w:i/>
          <w:iCs/>
        </w:rPr>
        <w:t>P. tricornutum</w:t>
      </w:r>
      <w:r>
        <w:t>. Both reached the highest cell concentration at 2.5 g L</w:t>
      </w:r>
      <w:r w:rsidRPr="00FE444E">
        <w:rPr>
          <w:vertAlign w:val="superscript"/>
        </w:rPr>
        <w:t>-1</w:t>
      </w:r>
      <w:r>
        <w:t xml:space="preserve"> of NaHCO</w:t>
      </w:r>
      <w:r w:rsidRPr="003356F1">
        <w:rPr>
          <w:vertAlign w:val="subscript"/>
        </w:rPr>
        <w:t>3</w:t>
      </w:r>
      <w:r>
        <w:t>, i.e. 0.94 and 1.12 g</w:t>
      </w:r>
      <w:r w:rsidRPr="00FE444E">
        <w:rPr>
          <w:vertAlign w:val="subscript"/>
        </w:rPr>
        <w:t>X</w:t>
      </w:r>
      <w:r>
        <w:t xml:space="preserve"> L</w:t>
      </w:r>
      <w:r w:rsidRPr="00FE444E">
        <w:rPr>
          <w:vertAlign w:val="superscript"/>
        </w:rPr>
        <w:t>-1</w:t>
      </w:r>
      <w:r>
        <w:t xml:space="preserve">, respectively. In the same condition, </w:t>
      </w:r>
      <w:r>
        <w:lastRenderedPageBreak/>
        <w:t>the diatom reached the highest specific growth rate (0.8</w:t>
      </w:r>
      <w:r w:rsidR="00680B9D">
        <w:t>7</w:t>
      </w:r>
      <w:r>
        <w:t xml:space="preserve"> d</w:t>
      </w:r>
      <w:r w:rsidRPr="00FE444E">
        <w:rPr>
          <w:vertAlign w:val="superscript"/>
        </w:rPr>
        <w:t>-1</w:t>
      </w:r>
      <w:r>
        <w:t>). Anyway, by doubling bicarbonate concentration (5 g L</w:t>
      </w:r>
      <w:r w:rsidRPr="00FE444E">
        <w:rPr>
          <w:vertAlign w:val="superscript"/>
        </w:rPr>
        <w:t>-1</w:t>
      </w:r>
      <w:r>
        <w:t xml:space="preserve">) </w:t>
      </w:r>
      <w:r w:rsidR="00FE444E">
        <w:t>negative effects on cell growth can be observed in both cases, probably due to the increase in the ion strength of the culture medium</w:t>
      </w:r>
      <w:r w:rsidR="00FE444E" w:rsidRPr="000A6EC9">
        <w:t>.</w:t>
      </w:r>
      <w:r w:rsidR="00FE444E">
        <w:t xml:space="preserve"> </w:t>
      </w:r>
      <w:r w:rsidR="00D22686">
        <w:t xml:space="preserve">The results </w:t>
      </w:r>
      <w:r w:rsidR="00FE444E">
        <w:t xml:space="preserve">obtained for </w:t>
      </w:r>
      <w:r w:rsidR="00FE444E">
        <w:rPr>
          <w:i/>
          <w:iCs/>
        </w:rPr>
        <w:t xml:space="preserve">T. chuii </w:t>
      </w:r>
      <w:r w:rsidR="00FE444E">
        <w:t xml:space="preserve">are discordant with respect to the work of </w:t>
      </w:r>
      <w:r w:rsidR="00A3588A">
        <w:fldChar w:fldCharType="begin" w:fldLock="1"/>
      </w:r>
      <w:r w:rsidR="004565DA">
        <w:instrText>ADDIN CSL_CITATION {"citationItems":[{"id":"ITEM-1","itemData":{"DOI":"10.1039/c9gc01107b","ISSN":"14639270","abstract":"There have been many difficulties in supplying CO2 for the mass production of microalgae, which are regarded as a sustainable source of various bio-materials and biofuels. Bicarbonate-based microalgae cultivation may offer an alternative way, circumventing the exceedingly large energy demands for gas compression and the low carbon utilization efficiency of the conventional CO2-based cultivation. To realize this bicarbonate-based approach, this study first demonstrated the ability of nine microalgae to utilize bicarbonate as a carbon source and determined their optimal culture conditions with bicarbonate, such as bicarbonate concentration, temperature, and light intensity. Furthermore, to make this bicarbonate-based cultivation practical, this study proposed a potential novel combination of microalgae cultivation and electrochemical CO2 mineralization process, which can provide sodium bicarbonate (NaHCO3) from flue gas in an eco-friendly manner. Besides, potential benefits of using NaHCO3 as a carbon source were assessed via carbon footprint analysis from the perspective of the entire process, ranging from carbon source preparation to microalgae cultivation. This analysis, though rough in nature, revealed that bicarbonate can be more advantageous than raw flue gas or monoethanolamine (MEA)-extracted pure CO2 with respect to net CO2 emissions and algal biomass productivity. These benefits were even more pronounced when the transport of carbon sources was considered. A low carbon outgassing rate of maximum 9.6 ppm day-1 and a substantially high carbon utilization efficiency of &gt;86.7% with bicarbonate were found to be the determining factors. All these supported that the bicarbonate-based cultivation of microalgae is indeed feasible and practical, in particular when integrated with the electrochemical CO2 mineralization technology.","author":[{"dropping-particle":"","family":"Kim","given":"Ga Yeong","non-dropping-particle":"","parse-names":false,"suffix":""},{"dropping-particle":"","family":"Roh","given":"Kosan","non-dropping-particle":"","parse-names":false,"suffix":""},{"dropping-particle":"","family":"Han","given":"Jong In","non-dropping-particle":"","parse-names":false,"suffix":""}],"container-title":"Green Chemistry","id":"ITEM-1","issue":"18","issued":{"date-parts":[["2019"]]},"page":"5053-5062","publisher":"Royal Society of Chemistry","title":"The use of bicarbonate for microalgae cultivation and its carbon footprint analysis","type":"article-journal","volume":"21"},"uris":["http://www.mendeley.com/documents/?uuid=d3b64754-891c-4234-83fc-bf9547d76033"]}],"mendeley":{"formattedCitation":"(Kim, Roh, and Han 2019)","manualFormatting":"Kim et al. (2019)","plainTextFormattedCitation":"(Kim, Roh, and Han 2019)","previouslyFormattedCitation":"(Kim, Roh, and Han 2019)"},"properties":{"noteIndex":0},"schema":"https://github.com/citation-style-language/schema/raw/master/csl-citation.json"}</w:instrText>
      </w:r>
      <w:r w:rsidR="00A3588A">
        <w:fldChar w:fldCharType="separate"/>
      </w:r>
      <w:r w:rsidR="00A3588A" w:rsidRPr="00A3588A">
        <w:rPr>
          <w:noProof/>
        </w:rPr>
        <w:t>Kim</w:t>
      </w:r>
      <w:r w:rsidR="00A3588A">
        <w:rPr>
          <w:noProof/>
        </w:rPr>
        <w:t xml:space="preserve"> et al.</w:t>
      </w:r>
      <w:r w:rsidR="00A3588A" w:rsidRPr="00A3588A">
        <w:rPr>
          <w:noProof/>
        </w:rPr>
        <w:t xml:space="preserve"> </w:t>
      </w:r>
      <w:r w:rsidR="00A3588A">
        <w:rPr>
          <w:noProof/>
        </w:rPr>
        <w:t>(</w:t>
      </w:r>
      <w:r w:rsidR="00A3588A" w:rsidRPr="00A3588A">
        <w:rPr>
          <w:noProof/>
        </w:rPr>
        <w:t>2019)</w:t>
      </w:r>
      <w:r w:rsidR="00A3588A">
        <w:fldChar w:fldCharType="end"/>
      </w:r>
      <w:r w:rsidR="00FE444E">
        <w:t>, where a NaHCO</w:t>
      </w:r>
      <w:r w:rsidR="00FE444E" w:rsidRPr="00FE444E">
        <w:rPr>
          <w:vertAlign w:val="subscript"/>
        </w:rPr>
        <w:t xml:space="preserve">3 </w:t>
      </w:r>
      <w:r w:rsidR="00FE444E">
        <w:t>concentration of 0.1 g L</w:t>
      </w:r>
      <w:r w:rsidR="00FE444E" w:rsidRPr="00FE444E">
        <w:rPr>
          <w:vertAlign w:val="superscript"/>
        </w:rPr>
        <w:t>-1</w:t>
      </w:r>
      <w:r w:rsidR="00FE444E">
        <w:t xml:space="preserve"> </w:t>
      </w:r>
      <w:r w:rsidR="00D22686">
        <w:t xml:space="preserve">was </w:t>
      </w:r>
      <w:r w:rsidR="00FE444E">
        <w:t xml:space="preserve">found optimal for its growth. </w:t>
      </w:r>
      <w:r w:rsidR="00D22686">
        <w:t>On the contrary</w:t>
      </w:r>
      <w:r w:rsidR="00275B15">
        <w:t xml:space="preserve">, remarkable performances of the diatom </w:t>
      </w:r>
      <w:r w:rsidR="00275B15">
        <w:rPr>
          <w:i/>
          <w:iCs/>
        </w:rPr>
        <w:t xml:space="preserve">P. tricornutum </w:t>
      </w:r>
      <w:r w:rsidR="00275B15">
        <w:t xml:space="preserve">in bicarbonate-based cultivation have been reported previously. </w:t>
      </w:r>
      <w:r w:rsidR="00834197">
        <w:fldChar w:fldCharType="begin" w:fldLock="1"/>
      </w:r>
      <w:r w:rsidR="00834197">
        <w:instrText>ADDIN CSL_CITATION {"citationItems":[{"id":"ITEM-1","itemData":{"DOI":"10.1007/s10811-015-0746-7","ISSN":"15735176","abstract":"Oils, carbohydrates, and fats generated by microalgae are being refined in an effort to produce biofuels. The research presented here examines two marine microalgae, Nannochloropsis salina (green alga) and Phaeodactylum tricornutum (diatom), when grown with 0 (no addition), 0.5, 1.0, 2.0, and 5.0 g L-1 NaHCO3 added to an f/2 medium during the growth phase (GP) and a nutrient induced (nitrate limitation) lipid formation phase (LP). We hypothesize that the addition of NaHCO3 is a sustainable and practical strategy to increase cellular density and concentrations of lipids in microalgae as well as the rate of lipid accumulation. In N. salina, final cell densities were significantly (p&lt;0.05) higher in the NaHCO3-treated cells than the control while in P. tricornutum the cell densities were higher with &gt;[NaHCO3] during the GP. During the LP, cell densities were generally higher in the NaHCO3-treated cells compared with controls. FV/FM (efficiency of photosystem II) patterns paralleled thosefor cell density with ge erally higher values with higher concentrations of NaHCO3 and significantly different values betweencontrols and 5.0 g L-1 NaHCO3 at the end of the GP (p&lt;0.05). FV/FM was variable between treatments in P. tricornutum (0.3–0.65) but less so in N. salina for (0.5– 0.7) regardless of [NaHCO3]. The lipid index (measured with Nile red), used as a proxy for triacylglycerides (TAGs), was 10.2±6.5 and 4.4±2.9 (fluorescence units/OD cells ×1000) for N. salina and P. tricornutum, respectively, at the end of the GP. At the end of the LP, the lipid index was eight and four times higher than during the GP in the corresponding 5.0 g L-1 NaHCO3 treatments, revealing that N. salina was accumulating more lipid than P. tricornutum. Dry weights essentially doubled during LP compared with GP for N. salina; this was not the case for P. tricornutum. In general, the percentage of ash in dry weights was significantly higher in the LP relative to the corresponding GP treatments for P. tricornutum; this was not the case for N. salina. During the LP, there was also less soluble protein in N. salina compared to GP; differences were not significant in cells growing with 2.0 or 5.0 g L-1 NaHCO3. In P. tricornutum, faster growing cells had more soluble protein during the GP and LP; differences between treatments were significant. P. tricornutum generally accumulated significantly more crude protein than N. salina at higher [NaHCO3]; there was three times more crude protein in the…","author":[{"dropping-particle":"","family":"Nunez","given":"Marcella","non-dropping-particle":"","parse-names":false,"suffix":""},{"dropping-particle":"","family":"Quigg","given":"Antonietta","non-dropping-particle":"","parse-names":false,"suffix":""}],"container-title":"Journal of Applied Phycology","id":"ITEM-1","issue":"4","issued":{"date-parts":[["2016"]]},"page":"2123-2138","publisher":"Journal of Applied Phycology","title":"Changes in growth and composition of the marine microalgae phaeodactylum tricornutum and nannochloropsis salina in response to changing sodium bicarbonate concentrations","type":"article-journal","volume":"28"},"uris":["http://www.mendeley.com/documents/?uuid=3bc3e89a-b312-49a6-960d-f77d2d34ced2"]}],"mendeley":{"formattedCitation":"(Nunez and Quigg 2016)","manualFormatting":"Nunez and Quigg (2016)","plainTextFormattedCitation":"(Nunez and Quigg 2016)","previouslyFormattedCitation":"(Nunez and Quigg 2016)"},"properties":{"noteIndex":0},"schema":"https://github.com/citation-style-language/schema/raw/master/csl-citation.json"}</w:instrText>
      </w:r>
      <w:r w:rsidR="00834197">
        <w:fldChar w:fldCharType="separate"/>
      </w:r>
      <w:r w:rsidR="00834197" w:rsidRPr="00834197">
        <w:rPr>
          <w:noProof/>
        </w:rPr>
        <w:t xml:space="preserve">Nunez and Quigg </w:t>
      </w:r>
      <w:r w:rsidR="00834197">
        <w:rPr>
          <w:noProof/>
        </w:rPr>
        <w:t>(</w:t>
      </w:r>
      <w:r w:rsidR="00834197" w:rsidRPr="00834197">
        <w:rPr>
          <w:noProof/>
        </w:rPr>
        <w:t>2016)</w:t>
      </w:r>
      <w:r w:rsidR="00834197">
        <w:fldChar w:fldCharType="end"/>
      </w:r>
      <w:r w:rsidR="00834197">
        <w:t xml:space="preserve"> </w:t>
      </w:r>
      <w:r w:rsidR="00275B15">
        <w:t xml:space="preserve">found that </w:t>
      </w:r>
      <w:r w:rsidR="00275B15">
        <w:rPr>
          <w:i/>
          <w:iCs/>
        </w:rPr>
        <w:t xml:space="preserve">P. tricornutum </w:t>
      </w:r>
      <w:r w:rsidR="00275B15">
        <w:t xml:space="preserve">growth is enhanced when </w:t>
      </w:r>
      <w:r w:rsidR="00936974">
        <w:t>a range from</w:t>
      </w:r>
      <w:r w:rsidR="00275B15">
        <w:t xml:space="preserve"> 0.5 to 2 g L</w:t>
      </w:r>
      <w:r w:rsidR="00275B15" w:rsidRPr="00302335">
        <w:rPr>
          <w:vertAlign w:val="superscript"/>
        </w:rPr>
        <w:t>-1</w:t>
      </w:r>
      <w:r w:rsidR="00275B15">
        <w:t xml:space="preserve"> of bicarbonate</w:t>
      </w:r>
      <w:r w:rsidR="00936974">
        <w:t xml:space="preserve"> is supplied</w:t>
      </w:r>
      <w:r w:rsidR="00275B15">
        <w:t xml:space="preserve"> in batch mode. </w:t>
      </w:r>
      <w:r w:rsidR="00302335">
        <w:t>Comparable</w:t>
      </w:r>
      <w:r w:rsidR="00275B15">
        <w:t xml:space="preserve"> results</w:t>
      </w:r>
      <w:r w:rsidR="00302335">
        <w:t xml:space="preserve"> were reported</w:t>
      </w:r>
      <w:r w:rsidR="00275B15">
        <w:t xml:space="preserve"> by </w:t>
      </w:r>
      <w:r w:rsidR="00834197">
        <w:fldChar w:fldCharType="begin" w:fldLock="1"/>
      </w:r>
      <w:r w:rsidR="00834197">
        <w:instrText>ADDIN CSL_CITATION {"citationItems":[{"id":"ITEM-1","itemData":{"DOI":"10.1002/biot.202400361","ISSN":"18607314","PMID":"39212191","abstract":"Selecting the optimal microalgal strain for carbon capture and biomass production is crucial for ensuring the commercial viability of microalgae-based biorefinery processes. This study aimed to evaluate the impact of varying bicarbonate concentrations on the growth rates, inorganic carbon (IC) utilization, and biochemical composition of three freshwater and two marine microalgal species. Parachlorella kessleri, Vischeria cf. stellata, and Porphyridium purpureum achieved the highest carbon removal efficiency (&gt;85%) and biomass production at 6 g L−1 sodium bicarbonate (NaHCO3), while Phaeodactylum tricornutum showed optimal performance at 1 g L−1 NaHCO3. The growth and carbon removal rate of Scenedesmus quadricauda increased with increasing NaHCO3 concentrations, although its highest carbon removal efficiency (</w:instrText>
      </w:r>
      <w:r w:rsidR="00834197">
        <w:rPr>
          <w:rFonts w:ascii="Cambria Math" w:hAnsi="Cambria Math" w:cs="Cambria Math"/>
        </w:rPr>
        <w:instrText>∼</w:instrText>
      </w:r>
      <w:r w:rsidR="00834197">
        <w:instrText>70%) was lower than the other species. Varying NaHCO3 levels significantly impacted the biochemical composition of P. kessleri, S. quadricauda, and P. purpureum but did not affect the composition of the remaining species. The fatty acid profiles of the microalgae were dominated by C16 and C18 fatty acids, with P. purpureum and P. tricornutum yielding relatively high polyunsaturated fatty acid content ranging between 14% and 30%. Furthermore, bicarbonate concentration had a species-specific effect on the fatty acid and chlorophyll-a content. This study demonstrates the potential of bicarbonate as an effective IC source for microalgal cultivation, highlighting its ability to select microalgal species for various applications based on their carbon capture efficiency and biochemical composition.","author":[{"dropping-particle":"","family":"Kusi","given":"Philip Asare","non-dropping-particle":"","parse-names":false,"suffix":""},{"dropping-particle":"","family":"McGee","given":"Donal","non-dropping-particle":"","parse-names":false,"suffix":""},{"dropping-particle":"","family":"Tabraiz","given":"Shamas","non-dropping-particle":"","parse-names":false,"suffix":""},{"dropping-particle":"","family":"Ahmed","given":"Asma","non-dropping-particle":"","parse-names":false,"suffix":""}],"container-title":"Biotechnology Journal","id":"ITEM-1","issue":"8","issued":{"date-parts":[["2024"]]},"page":"1-12","title":"Bicarbonate concentration influences carbon utilization rates and biochemical profiles of freshwater and marine microalgae","type":"article-journal","volume":"19"},"uris":["http://www.mendeley.com/documents/?uuid=49a314ba-7196-4352-bef4-2eff2d7092c6"]}],"mendeley":{"formattedCitation":"(Kusi et al. 2024)","manualFormatting":"Kusi et al. (2024)","plainTextFormattedCitation":"(Kusi et al. 2024)","previouslyFormattedCitation":"(Kusi et al. 2024)"},"properties":{"noteIndex":0},"schema":"https://github.com/citation-style-language/schema/raw/master/csl-citation.json"}</w:instrText>
      </w:r>
      <w:r w:rsidR="00834197">
        <w:fldChar w:fldCharType="separate"/>
      </w:r>
      <w:r w:rsidR="00834197" w:rsidRPr="00834197">
        <w:rPr>
          <w:noProof/>
        </w:rPr>
        <w:t xml:space="preserve">Kusi et al. </w:t>
      </w:r>
      <w:r w:rsidR="00834197">
        <w:rPr>
          <w:noProof/>
        </w:rPr>
        <w:t>(</w:t>
      </w:r>
      <w:r w:rsidR="00834197" w:rsidRPr="00834197">
        <w:rPr>
          <w:noProof/>
        </w:rPr>
        <w:t>2024)</w:t>
      </w:r>
      <w:r w:rsidR="00834197">
        <w:fldChar w:fldCharType="end"/>
      </w:r>
      <w:r w:rsidR="00302335">
        <w:t xml:space="preserve"> who achieved a productivity of 0.125 g</w:t>
      </w:r>
      <w:r w:rsidR="00302335" w:rsidRPr="00A3554B">
        <w:rPr>
          <w:vertAlign w:val="subscript"/>
        </w:rPr>
        <w:t xml:space="preserve">X </w:t>
      </w:r>
      <w:r w:rsidR="00302335">
        <w:t>L</w:t>
      </w:r>
      <w:r w:rsidR="00302335" w:rsidRPr="00A3554B">
        <w:rPr>
          <w:vertAlign w:val="superscript"/>
        </w:rPr>
        <w:t>-1</w:t>
      </w:r>
      <w:r w:rsidR="00302335">
        <w:t xml:space="preserve"> d</w:t>
      </w:r>
      <w:r w:rsidR="00302335" w:rsidRPr="00A3554B">
        <w:rPr>
          <w:vertAlign w:val="superscript"/>
        </w:rPr>
        <w:t>-1</w:t>
      </w:r>
      <w:r w:rsidR="00302335">
        <w:rPr>
          <w:vertAlign w:val="superscript"/>
        </w:rPr>
        <w:t xml:space="preserve"> </w:t>
      </w:r>
      <w:r w:rsidR="00302335">
        <w:t>by supplying</w:t>
      </w:r>
      <w:r w:rsidR="00275B15">
        <w:t xml:space="preserve"> 1 g L</w:t>
      </w:r>
      <w:r w:rsidR="00275B15" w:rsidRPr="00302335">
        <w:rPr>
          <w:vertAlign w:val="superscript"/>
        </w:rPr>
        <w:t>-1</w:t>
      </w:r>
      <w:r w:rsidR="00275B15">
        <w:t xml:space="preserve"> of sodium bicarbonate</w:t>
      </w:r>
      <w:r w:rsidR="00D22686">
        <w:t xml:space="preserve">. These results are </w:t>
      </w:r>
      <w:r w:rsidR="00302335">
        <w:t>close</w:t>
      </w:r>
      <w:r w:rsidR="00275B15">
        <w:t xml:space="preserve"> to </w:t>
      </w:r>
      <w:r w:rsidR="00302335">
        <w:t>what was</w:t>
      </w:r>
      <w:r w:rsidR="00275B15">
        <w:t xml:space="preserve"> found in </w:t>
      </w:r>
      <w:r w:rsidR="00D22686">
        <w:t>the present study</w:t>
      </w:r>
      <w:r w:rsidR="00275B15">
        <w:t xml:space="preserve"> </w:t>
      </w:r>
      <w:r w:rsidR="00302335">
        <w:t>under</w:t>
      </w:r>
      <w:r w:rsidR="00275B15">
        <w:t xml:space="preserve"> the same </w:t>
      </w:r>
      <w:r w:rsidR="00D22686">
        <w:t xml:space="preserve">growth </w:t>
      </w:r>
      <w:r w:rsidR="00275B15">
        <w:t>condition</w:t>
      </w:r>
      <w:r w:rsidR="00D22686">
        <w:t>s</w:t>
      </w:r>
      <w:r w:rsidR="00275B15">
        <w:t xml:space="preserve"> (0.130 g</w:t>
      </w:r>
      <w:r w:rsidR="00275B15" w:rsidRPr="00834197">
        <w:rPr>
          <w:vertAlign w:val="subscript"/>
        </w:rPr>
        <w:t>X</w:t>
      </w:r>
      <w:r w:rsidR="00275B15">
        <w:t xml:space="preserve"> L</w:t>
      </w:r>
      <w:r w:rsidR="00275B15" w:rsidRPr="00834197">
        <w:rPr>
          <w:vertAlign w:val="superscript"/>
        </w:rPr>
        <w:t>-1</w:t>
      </w:r>
      <w:r w:rsidR="00275B15">
        <w:t xml:space="preserve"> d</w:t>
      </w:r>
      <w:r w:rsidR="00275B15" w:rsidRPr="00834197">
        <w:rPr>
          <w:vertAlign w:val="superscript"/>
        </w:rPr>
        <w:t>-1</w:t>
      </w:r>
      <w:r w:rsidR="00275B15">
        <w:t xml:space="preserve">). </w:t>
      </w:r>
      <w:r w:rsidR="00D22686">
        <w:t>Remarkably</w:t>
      </w:r>
      <w:r w:rsidR="00275B15">
        <w:t>,</w:t>
      </w:r>
      <w:r w:rsidR="001B60B2">
        <w:t xml:space="preserve"> the </w:t>
      </w:r>
      <w:r w:rsidR="007D6378">
        <w:t>biomass productivity obtained at 2.5 g L</w:t>
      </w:r>
      <w:r w:rsidR="007D6378" w:rsidRPr="007D6378">
        <w:rPr>
          <w:vertAlign w:val="superscript"/>
        </w:rPr>
        <w:t>-1</w:t>
      </w:r>
      <w:r w:rsidR="007D6378">
        <w:t xml:space="preserve"> was even higher than that recorded in CO</w:t>
      </w:r>
      <w:r w:rsidR="007D6378">
        <w:rPr>
          <w:vertAlign w:val="subscript"/>
        </w:rPr>
        <w:t>2</w:t>
      </w:r>
      <w:r w:rsidR="007D6378">
        <w:t>-based cultivation (~0.20 g</w:t>
      </w:r>
      <w:r w:rsidR="007D6378" w:rsidRPr="007D6378">
        <w:rPr>
          <w:vertAlign w:val="subscript"/>
        </w:rPr>
        <w:t xml:space="preserve">X </w:t>
      </w:r>
      <w:r w:rsidR="007D6378">
        <w:t>L</w:t>
      </w:r>
      <w:r w:rsidR="007D6378" w:rsidRPr="007D6378">
        <w:rPr>
          <w:vertAlign w:val="superscript"/>
        </w:rPr>
        <w:t>-1</w:t>
      </w:r>
      <w:r w:rsidR="007D6378">
        <w:t xml:space="preserve"> d</w:t>
      </w:r>
      <w:r w:rsidR="007D6378" w:rsidRPr="007D6378">
        <w:rPr>
          <w:vertAlign w:val="superscript"/>
        </w:rPr>
        <w:t>-1</w:t>
      </w:r>
      <w:r w:rsidR="00B53775">
        <w:t>- data not shown</w:t>
      </w:r>
      <w:r w:rsidR="007D6378">
        <w:t>)</w:t>
      </w:r>
      <w:r w:rsidR="001B60B2">
        <w:t>. A</w:t>
      </w:r>
      <w:r w:rsidR="00275B15">
        <w:t>t 5 g L</w:t>
      </w:r>
      <w:r w:rsidR="00275B15" w:rsidRPr="00834197">
        <w:rPr>
          <w:vertAlign w:val="superscript"/>
        </w:rPr>
        <w:t>-1</w:t>
      </w:r>
      <w:r w:rsidR="00275B15">
        <w:t xml:space="preserve"> </w:t>
      </w:r>
      <w:r w:rsidR="001B60B2">
        <w:t>the growth</w:t>
      </w:r>
      <w:r w:rsidR="00275B15">
        <w:t xml:space="preserve"> rate decreases</w:t>
      </w:r>
      <w:r w:rsidR="001B60B2">
        <w:t xml:space="preserve"> to 0.</w:t>
      </w:r>
      <w:r w:rsidR="00680B9D">
        <w:t>43</w:t>
      </w:r>
      <w:r w:rsidR="001B60B2">
        <w:t xml:space="preserve"> d</w:t>
      </w:r>
      <w:r w:rsidR="001B60B2" w:rsidRPr="00834197">
        <w:rPr>
          <w:vertAlign w:val="superscript"/>
        </w:rPr>
        <w:t>-1</w:t>
      </w:r>
      <w:r w:rsidR="00680B9D">
        <w:t xml:space="preserve"> </w:t>
      </w:r>
      <w:r w:rsidR="00302335">
        <w:t>and, subsequently, final biomass concentration decreases to</w:t>
      </w:r>
      <w:r w:rsidR="00680B9D">
        <w:t xml:space="preserve"> 0.85 g</w:t>
      </w:r>
      <w:r w:rsidR="00680B9D" w:rsidRPr="00680B9D">
        <w:rPr>
          <w:vertAlign w:val="subscript"/>
        </w:rPr>
        <w:t>X</w:t>
      </w:r>
      <w:r w:rsidR="00680B9D">
        <w:t xml:space="preserve"> L</w:t>
      </w:r>
      <w:r w:rsidR="00680B9D" w:rsidRPr="00834197">
        <w:rPr>
          <w:vertAlign w:val="superscript"/>
        </w:rPr>
        <w:t>-1</w:t>
      </w:r>
      <w:r w:rsidR="00302335">
        <w:t>. This results</w:t>
      </w:r>
      <w:r w:rsidR="001B60B2">
        <w:t xml:space="preserve"> suggest that</w:t>
      </w:r>
      <w:r w:rsidR="00D22686">
        <w:t>,</w:t>
      </w:r>
      <w:r w:rsidR="001B60B2">
        <w:t xml:space="preserve"> even though growth is not impaired, higher bicarbonate concentrations can be stressful for this species, as </w:t>
      </w:r>
      <w:r w:rsidR="00302335">
        <w:t>stated</w:t>
      </w:r>
      <w:r w:rsidR="001B60B2">
        <w:t xml:space="preserve"> in </w:t>
      </w:r>
      <w:r w:rsidR="00302335">
        <w:t>previous</w:t>
      </w:r>
      <w:r w:rsidR="001B60B2">
        <w:t xml:space="preserve"> works </w:t>
      </w:r>
      <w:r w:rsidR="00834197">
        <w:fldChar w:fldCharType="begin" w:fldLock="1"/>
      </w:r>
      <w:r w:rsidR="00834197">
        <w:instrText>ADDIN CSL_CITATION {"citationItems":[{"id":"ITEM-1","itemData":{"DOI":"10.1007/s10811-015-0746-7","ISSN":"15735176","abstract":"Oils, carbohydrates, and fats generated by microalgae are being refined in an effort to produce biofuels. The research presented here examines two marine microalgae, Nannochloropsis salina (green alga) and Phaeodactylum tricornutum (diatom), when grown with 0 (no addition), 0.5, 1.0, 2.0, and 5.0 g L-1 NaHCO3 added to an f/2 medium during the growth phase (GP) and a nutrient induced (nitrate limitation) lipid formation phase (LP). We hypothesize that the addition of NaHCO3 is a sustainable and practical strategy to increase cellular density and concentrations of lipids in microalgae as well as the rate of lipid accumulation. In N. salina, final cell densities were significantly (p&lt;0.05) higher in the NaHCO3-treated cells than the control while in P. tricornutum the cell densities were higher with &gt;[NaHCO3] during the GP. During the LP, cell densities were generally higher in the NaHCO3-treated cells compared with controls. FV/FM (efficiency of photosystem II) patterns paralleled thosefor cell density with ge erally higher values with higher concentrations of NaHCO3 and significantly different values betweencontrols and 5.0 g L-1 NaHCO3 at the end of the GP (p&lt;0.05). FV/FM was variable between treatments in P. tricornutum (0.3–0.65) but less so in N. salina for (0.5– 0.7) regardless of [NaHCO3]. The lipid index (measured with Nile red), used as a proxy for triacylglycerides (TAGs), was 10.2±6.5 and 4.4±2.9 (fluorescence units/OD cells ×1000) for N. salina and P. tricornutum, respectively, at the end of the GP. At the end of the LP, the lipid index was eight and four times higher than during the GP in the corresponding 5.0 g L-1 NaHCO3 treatments, revealing that N. salina was accumulating more lipid than P. tricornutum. Dry weights essentially doubled during LP compared with GP for N. salina; this was not the case for P. tricornutum. In general, the percentage of ash in dry weights was significantly higher in the LP relative to the corresponding GP treatments for P. tricornutum; this was not the case for N. salina. During the LP, there was also less soluble protein in N. salina compared to GP; differences were not significant in cells growing with 2.0 or 5.0 g L-1 NaHCO3. In P. tricornutum, faster growing cells had more soluble protein during the GP and LP; differences between treatments were significant. P. tricornutum generally accumulated significantly more crude protein than N. salina at higher [NaHCO3]; there was three times more crude protein in the…","author":[{"dropping-particle":"","family":"Nunez","given":"Marcella","non-dropping-particle":"","parse-names":false,"suffix":""},{"dropping-particle":"","family":"Quigg","given":"Antonietta","non-dropping-particle":"","parse-names":false,"suffix":""}],"container-title":"Journal of Applied Phycology","id":"ITEM-1","issue":"4","issued":{"date-parts":[["2016"]]},"page":"2123-2138","publisher":"Journal of Applied Phycology","title":"Changes in growth and composition of the marine microalgae phaeodactylum tricornutum and nannochloropsis salina in response to changing sodium bicarbonate concentrations","type":"article-journal","volume":"28"},"uris":["http://www.mendeley.com/documents/?uuid=3bc3e89a-b312-49a6-960d-f77d2d34ced2"]},{"id":"ITEM-2","itemData":{"DOI":"10.1002/biot.202400361","ISSN":"18607314","PMID":"39212191","abstract":"Selecting the optimal microalgal strain for carbon capture and biomass production is crucial for ensuring the commercial viability of microalgae-based biorefinery processes. This study aimed to evaluate the impact of varying bicarbonate concentrations on the growth rates, inorganic carbon (IC) utilization, and biochemical composition of three freshwater and two marine microalgal species. Parachlorella kessleri, Vischeria cf. stellata, and Porphyridium purpureum achieved the highest carbon removal efficiency (&gt;85%) and biomass production at 6 g L−1 sodium bicarbonate (NaHCO3), while Phaeodactylum tricornutum showed optimal performance at 1 g L−1 NaHCO3. The growth and carbon removal rate of Scenedesmus quadricauda increased with increasing NaHCO3 concentrations, although its highest carbon removal efficiency (</w:instrText>
      </w:r>
      <w:r w:rsidR="00834197">
        <w:rPr>
          <w:rFonts w:ascii="Cambria Math" w:hAnsi="Cambria Math" w:cs="Cambria Math"/>
        </w:rPr>
        <w:instrText>∼</w:instrText>
      </w:r>
      <w:r w:rsidR="00834197">
        <w:instrText>70%) was lower than the other species. Varying NaHCO3 levels significantly impacted the biochemical composition of P. kessleri, S. quadricauda, and P. purpureum but did not affect the composition of the remaining species. The fatty acid profiles of the microalgae were dominated by C16 and C18 fatty acids, with P. purpureum and P. tricornutum yielding relatively high polyunsaturated fatty acid content ranging between 14% and 30%. Furthermore, bicarbonate concentration had a species-specific effect on the fatty acid and chlorophyll-a content. This study demonstrates the potential of bicarbonate as an effective IC source for microalgal cultivation, highlighting its ability to select microalgal species for various applications based on their carbon capture efficiency and biochemical composition.","author":[{"dropping-particle":"","family":"Kusi","given":"Philip Asare","non-dropping-particle":"","parse-names":false,"suffix":""},{"dropping-particle":"","family":"McGee","given":"Donal","non-dropping-particle":"","parse-names":false,"suffix":""},{"dropping-particle":"","family":"Tabraiz","given":"Shamas","non-dropping-particle":"","parse-names":false,"suffix":""},{"dropping-particle":"","family":"Ahmed","given":"Asma","non-dropping-particle":"","parse-names":false,"suffix":""}],"container-title":"Biotechnology Journal","id":"ITEM-2","issue":"8","issued":{"date-parts":[["2024"]]},"page":"1-12","title":"Bicarbonate concentration influences carbon utilization rates and biochemical profiles of freshwater and marine microalgae","type":"article-journal","volume":"19"},"uris":["http://www.mendeley.com/documents/?uuid=49a314ba-7196-4352-bef4-2eff2d7092c6"]}],"mendeley":{"formattedCitation":"(Kusi et al. 2024; Nunez and Quigg 2016)","plainTextFormattedCitation":"(Kusi et al. 2024; Nunez and Quigg 2016)","previouslyFormattedCitation":"(Kusi et al. 2024; Nunez and Quigg 2016)"},"properties":{"noteIndex":0},"schema":"https://github.com/citation-style-language/schema/raw/master/csl-citation.json"}</w:instrText>
      </w:r>
      <w:r w:rsidR="00834197">
        <w:fldChar w:fldCharType="separate"/>
      </w:r>
      <w:r w:rsidR="00834197" w:rsidRPr="00834197">
        <w:rPr>
          <w:noProof/>
        </w:rPr>
        <w:t>(Kusi et al. 2024; Nunez and Quigg 2016)</w:t>
      </w:r>
      <w:r w:rsidR="00834197">
        <w:fldChar w:fldCharType="end"/>
      </w:r>
      <w:r w:rsidR="001B60B2">
        <w:t>.</w:t>
      </w:r>
      <w:r w:rsidR="00503A9C">
        <w:t xml:space="preserve"> Moreover, pH recorded at stationary phase (Table 1) was very high (9.75). </w:t>
      </w:r>
      <w:r w:rsidR="00302335">
        <w:t>Although little is known about optimal conditions from an industrial perspective</w:t>
      </w:r>
      <w:r w:rsidR="00503A9C">
        <w:t>,</w:t>
      </w:r>
      <w:r w:rsidR="001B60B2">
        <w:t xml:space="preserve"> </w:t>
      </w:r>
      <w:r w:rsidR="00503A9C">
        <w:t>t</w:t>
      </w:r>
      <w:r w:rsidR="001B60B2">
        <w:t xml:space="preserve">he versatility of this species to </w:t>
      </w:r>
      <w:r w:rsidR="00503A9C">
        <w:t>thrive</w:t>
      </w:r>
      <w:r w:rsidR="001B60B2">
        <w:t xml:space="preserve"> in bicarbonate-based systems is </w:t>
      </w:r>
      <w:r w:rsidR="00D22686">
        <w:t>demonstrated</w:t>
      </w:r>
      <w:r w:rsidR="001B60B2">
        <w:t xml:space="preserve"> and seems to be due to high efficiency in active HCO</w:t>
      </w:r>
      <w:r w:rsidR="001B60B2">
        <w:rPr>
          <w:vertAlign w:val="subscript"/>
        </w:rPr>
        <w:t>3</w:t>
      </w:r>
      <w:r w:rsidR="001B60B2">
        <w:rPr>
          <w:vertAlign w:val="superscript"/>
        </w:rPr>
        <w:t>-</w:t>
      </w:r>
      <w:r w:rsidR="001B60B2">
        <w:t xml:space="preserve"> transportation both from the </w:t>
      </w:r>
      <w:r w:rsidR="00302335">
        <w:t xml:space="preserve">external </w:t>
      </w:r>
      <w:r w:rsidR="001B60B2">
        <w:t>environment a</w:t>
      </w:r>
      <w:r w:rsidR="00302335">
        <w:t>s well as</w:t>
      </w:r>
      <w:r w:rsidR="001B60B2">
        <w:t xml:space="preserve"> </w:t>
      </w:r>
      <w:r w:rsidR="0039795A">
        <w:t>between</w:t>
      </w:r>
      <w:r w:rsidR="00302335">
        <w:t xml:space="preserve"> the cells </w:t>
      </w:r>
      <w:r w:rsidR="0039795A">
        <w:t>organelles</w:t>
      </w:r>
      <w:r w:rsidR="001B60B2">
        <w:t xml:space="preserve"> </w:t>
      </w:r>
      <w:r w:rsidR="00834197">
        <w:fldChar w:fldCharType="begin" w:fldLock="1"/>
      </w:r>
      <w:r w:rsidR="00965C57">
        <w:instrText>ADDIN CSL_CITATION {"citationItems":[{"id":"ITEM-1","itemData":{"abstract":"Inorganic-carbon transport was investigated in the eukaryotic marine microalgae Sticho-coccus minor, Nannochloropsis oculata and a Mon-allantus sp. Photosynthetic O2 evolution at constant inorganic-carbon concentration but varying pH showed that S. minor had a greater capacity for CO2 rather than HCO~-utilization but for N. oculata and Monallantus HCO~-was the preferred source of inorganic carbon. All three microalgae had a low affinity for CO2 as shown by the measurement of inorganic-carbon-dependent photo-synthetic 02 evolution at pH 5.0. At pH 8.3, where HCO~ is the predominant form of inorganic carbon , the concentration of inorganic carbon required for half-maximal rate of photosynthetic Oz evolution [Ko.s (CO2)] was 53 gM for Monallantus sp. and 125 gM for N. oculata, values compatible with HCO3-transport. Neither extra-nor intracel-lular carbonic anhydrase was detected in these three microalgal species. It is concluded that these microalgae lack a specific transport system for COz but that HCO;-transport occurs in N. oculata and Monallantus, and in the absence of intracellu-lar carbonic anhydrase the conversion of HCO;-to CO2 may be facilitated by the internal pH of the cell.","author":[{"dropping-particle":"","family":"Munoz","given":"J","non-dropping-particle":"","parse-names":false,"suffix":""},{"dropping-particle":"","family":"Merrett","given":"M J","non-dropping-particle":"","parse-names":false,"suffix":""}],"container-title":"Planta","id":"ITEM-1","issued":{"date-parts":[["1989"]]},"number-of-pages":"450-55","title":"Inorganic-carbon transport in some marine eukaryotic microalgae","type":"report","volume":"178"},"uris":["http://www.mendeley.com/documents/?uuid=f0b58dd5-625b-3c78-8a16-f02ace7063af"]},{"id":"ITEM-2","itemData":{"DOI":"10.1016/j.pbi.2016.03.013","ISSN":"13695266","PMID":"27055267","abstract":"Diatoms, a diverse and ecologically-important group of unicellular algae, use a CO2 concentrating mechanism to enhance the performance of RubisCO and overcome the limited availability of CO2 in their habitats. The recent development of genetic manipulation techniques for the model diatoms Phaeodactylum tricornutum and Thalassiosira pseudonana and the sequencing of their genomes have enabled the rapid identification of genes involved in their CO2 concentrating mechanisms (CCMs). These include numerous carbonic anhydrases (CAs), which are localized to distinct subcellular compartments in the two diatom species, and putative bicarbonate transporters, one of which has been functionally characterized. New physiological data on the P. tricornutum CCM are consistent with this molecular data and suggest that the major driver of the CCM is a 'chloroplast-pump' that actively transports bicarbonate into the chloroplast. In T. pseudonana, the localization of a CA in the chloroplast stroma presents a paradox as this would be expected to impede function of a biophysical CCM, though the recent proposal of a modified C4 CCM offers a potential explanation.","author":[{"dropping-particle":"","family":"Hopkinson","given":"Brian M.","non-dropping-particle":"","parse-names":false,"suffix":""},{"dropping-particle":"","family":"Dupont","given":"Christopher L.","non-dropping-particle":"","parse-names":false,"suffix":""},{"dropping-particle":"","family":"Matsuda","given":"Yusuke","non-dropping-particle":"","parse-names":false,"suffix":""}],"container-title":"Current Opinion in Plant Biology","id":"ITEM-2","issued":{"date-parts":[["2016"]]},"page":"51-57","publisher":"Elsevier Ltd","title":"The physiology and genetics of CO2 concentrating mechanisms in model diatoms","type":"article-journal","volume":"31"},"uris":["http://www.mendeley.com/documents/?uuid=8bfa446f-1319-4cd3-b262-39b1451fe1aa"]}],"mendeley":{"formattedCitation":"(Hopkinson, Dupont, and Matsuda 2016; Munoz and Merrett 1989)","manualFormatting":"(Hopkinson et al. 2016)","plainTextFormattedCitation":"(Hopkinson, Dupont, and Matsuda 2016; Munoz and Merrett 1989)","previouslyFormattedCitation":"(Hopkinson, Dupont, and Matsuda 2016; Munoz and Merrett 1989)"},"properties":{"noteIndex":0},"schema":"https://github.com/citation-style-language/schema/raw/master/csl-citation.json"}</w:instrText>
      </w:r>
      <w:r w:rsidR="00834197">
        <w:fldChar w:fldCharType="separate"/>
      </w:r>
      <w:r w:rsidR="00834197" w:rsidRPr="00834197">
        <w:rPr>
          <w:noProof/>
        </w:rPr>
        <w:t>(Hopkinson</w:t>
      </w:r>
      <w:r w:rsidR="00834197">
        <w:rPr>
          <w:noProof/>
        </w:rPr>
        <w:t xml:space="preserve"> et al.</w:t>
      </w:r>
      <w:r w:rsidR="00834197" w:rsidRPr="00834197">
        <w:rPr>
          <w:noProof/>
        </w:rPr>
        <w:t xml:space="preserve"> 2016)</w:t>
      </w:r>
      <w:r w:rsidR="00834197">
        <w:fldChar w:fldCharType="end"/>
      </w:r>
      <w:r w:rsidR="001B60B2" w:rsidRPr="00834197">
        <w:t>.</w:t>
      </w:r>
    </w:p>
    <w:p w14:paraId="5B05BF04" w14:textId="4FBFF19B" w:rsidR="00D179F0" w:rsidRDefault="00C5643D" w:rsidP="00C5643D">
      <w:pPr>
        <w:pStyle w:val="CETTabletitle"/>
      </w:pPr>
      <w:r>
        <w:t>Table 2: Biomass volumetric productivity (g</w:t>
      </w:r>
      <w:r w:rsidRPr="00C5643D">
        <w:rPr>
          <w:vertAlign w:val="subscript"/>
        </w:rPr>
        <w:t>X</w:t>
      </w:r>
      <w:r>
        <w:t xml:space="preserve"> L</w:t>
      </w:r>
      <w:r w:rsidRPr="00C5643D">
        <w:rPr>
          <w:vertAlign w:val="superscript"/>
        </w:rPr>
        <w:t>-1</w:t>
      </w:r>
      <w:r>
        <w:t xml:space="preserve"> d</w:t>
      </w:r>
      <w:r w:rsidRPr="00C5643D">
        <w:rPr>
          <w:vertAlign w:val="superscript"/>
        </w:rPr>
        <w:t>-1</w:t>
      </w:r>
      <w:r>
        <w:t xml:space="preserve">) calculated </w:t>
      </w:r>
      <w:r w:rsidR="00900A08">
        <w:t xml:space="preserve">according to </w:t>
      </w:r>
      <w:r>
        <w:t xml:space="preserve">Equation 2 </w:t>
      </w:r>
      <w:r w:rsidR="00214B90">
        <w:t>for different species grown at different bicarbonate concentrations.</w:t>
      </w:r>
    </w:p>
    <w:tbl>
      <w:tblPr>
        <w:tblW w:w="8722" w:type="dxa"/>
        <w:jc w:val="center"/>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2179"/>
        <w:gridCol w:w="1881"/>
        <w:gridCol w:w="2322"/>
        <w:gridCol w:w="2340"/>
      </w:tblGrid>
      <w:tr w:rsidR="001B60B2" w:rsidRPr="00B57B36" w14:paraId="1D6C54C6" w14:textId="77777777" w:rsidTr="002A29C0">
        <w:trPr>
          <w:trHeight w:val="263"/>
          <w:jc w:val="center"/>
        </w:trPr>
        <w:tc>
          <w:tcPr>
            <w:tcW w:w="2179" w:type="dxa"/>
            <w:tcBorders>
              <w:top w:val="single" w:sz="12" w:space="0" w:color="008000"/>
              <w:bottom w:val="nil"/>
            </w:tcBorders>
            <w:shd w:val="clear" w:color="auto" w:fill="FFFFFF"/>
          </w:tcPr>
          <w:p w14:paraId="0F8CD056" w14:textId="77777777" w:rsidR="001B60B2" w:rsidRPr="00B57B36" w:rsidRDefault="001B60B2" w:rsidP="00430AD1">
            <w:pPr>
              <w:pStyle w:val="CETBodytext"/>
              <w:rPr>
                <w:lang w:val="en-GB"/>
              </w:rPr>
            </w:pPr>
          </w:p>
        </w:tc>
        <w:tc>
          <w:tcPr>
            <w:tcW w:w="6543" w:type="dxa"/>
            <w:gridSpan w:val="3"/>
            <w:tcBorders>
              <w:top w:val="single" w:sz="12" w:space="0" w:color="008000"/>
              <w:bottom w:val="single" w:sz="6" w:space="0" w:color="008000"/>
            </w:tcBorders>
            <w:shd w:val="clear" w:color="auto" w:fill="FFFFFF"/>
          </w:tcPr>
          <w:p w14:paraId="282137F4" w14:textId="77777777" w:rsidR="001B60B2" w:rsidRPr="002E5FE6" w:rsidRDefault="001B60B2" w:rsidP="00430AD1">
            <w:pPr>
              <w:pStyle w:val="CETBodytext"/>
              <w:jc w:val="center"/>
              <w:rPr>
                <w:lang w:val="en-GB"/>
              </w:rPr>
            </w:pPr>
            <w:r>
              <w:rPr>
                <w:lang w:val="en-GB"/>
              </w:rPr>
              <w:t>Bicarbonate concentration [g L</w:t>
            </w:r>
            <w:r w:rsidRPr="002E5FE6">
              <w:rPr>
                <w:vertAlign w:val="superscript"/>
                <w:lang w:val="en-GB"/>
              </w:rPr>
              <w:t>-1</w:t>
            </w:r>
            <w:r>
              <w:rPr>
                <w:lang w:val="en-GB"/>
              </w:rPr>
              <w:t>]</w:t>
            </w:r>
          </w:p>
        </w:tc>
      </w:tr>
      <w:tr w:rsidR="00EC75B9" w:rsidRPr="00B57B36" w14:paraId="58C1F3BD" w14:textId="77777777" w:rsidTr="002A29C0">
        <w:trPr>
          <w:trHeight w:val="276"/>
          <w:jc w:val="center"/>
        </w:trPr>
        <w:tc>
          <w:tcPr>
            <w:tcW w:w="2179" w:type="dxa"/>
            <w:tcBorders>
              <w:top w:val="nil"/>
              <w:bottom w:val="single" w:sz="6" w:space="0" w:color="008000"/>
            </w:tcBorders>
            <w:shd w:val="clear" w:color="auto" w:fill="FFFFFF"/>
          </w:tcPr>
          <w:p w14:paraId="5FFCEE32" w14:textId="2B8B3BAC" w:rsidR="001B60B2" w:rsidRPr="00B57B36" w:rsidRDefault="001B60B2" w:rsidP="001B60B2">
            <w:pPr>
              <w:pStyle w:val="CETBodytext"/>
              <w:jc w:val="center"/>
              <w:rPr>
                <w:lang w:val="en-GB"/>
              </w:rPr>
            </w:pPr>
            <w:r>
              <w:rPr>
                <w:lang w:val="en-GB"/>
              </w:rPr>
              <w:t>Species</w:t>
            </w:r>
          </w:p>
        </w:tc>
        <w:tc>
          <w:tcPr>
            <w:tcW w:w="1881" w:type="dxa"/>
            <w:tcBorders>
              <w:top w:val="single" w:sz="12" w:space="0" w:color="008000"/>
              <w:bottom w:val="single" w:sz="6" w:space="0" w:color="008000"/>
            </w:tcBorders>
            <w:shd w:val="clear" w:color="auto" w:fill="FFFFFF"/>
            <w:vAlign w:val="center"/>
          </w:tcPr>
          <w:p w14:paraId="054ACBD6" w14:textId="77777777" w:rsidR="001B60B2" w:rsidRDefault="001B60B2" w:rsidP="00430AD1">
            <w:pPr>
              <w:pStyle w:val="CETBodytext"/>
              <w:jc w:val="center"/>
              <w:rPr>
                <w:lang w:val="en-GB"/>
              </w:rPr>
            </w:pPr>
            <w:r>
              <w:rPr>
                <w:lang w:val="en-GB"/>
              </w:rPr>
              <w:t>1</w:t>
            </w:r>
          </w:p>
        </w:tc>
        <w:tc>
          <w:tcPr>
            <w:tcW w:w="2322" w:type="dxa"/>
            <w:tcBorders>
              <w:top w:val="single" w:sz="12" w:space="0" w:color="008000"/>
              <w:bottom w:val="single" w:sz="6" w:space="0" w:color="008000"/>
            </w:tcBorders>
            <w:shd w:val="clear" w:color="auto" w:fill="FFFFFF"/>
            <w:vAlign w:val="center"/>
          </w:tcPr>
          <w:p w14:paraId="217A71CA" w14:textId="77777777" w:rsidR="001B60B2" w:rsidRDefault="001B60B2" w:rsidP="00430AD1">
            <w:pPr>
              <w:pStyle w:val="CETBodytext"/>
              <w:jc w:val="center"/>
              <w:rPr>
                <w:lang w:val="en-GB"/>
              </w:rPr>
            </w:pPr>
            <w:r>
              <w:rPr>
                <w:lang w:val="en-GB"/>
              </w:rPr>
              <w:t>2.5</w:t>
            </w:r>
          </w:p>
        </w:tc>
        <w:tc>
          <w:tcPr>
            <w:tcW w:w="2339" w:type="dxa"/>
            <w:tcBorders>
              <w:top w:val="single" w:sz="12" w:space="0" w:color="008000"/>
              <w:bottom w:val="single" w:sz="6" w:space="0" w:color="008000"/>
            </w:tcBorders>
            <w:shd w:val="clear" w:color="auto" w:fill="FFFFFF"/>
            <w:vAlign w:val="center"/>
          </w:tcPr>
          <w:p w14:paraId="716C09D4" w14:textId="77777777" w:rsidR="001B60B2" w:rsidRDefault="001B60B2" w:rsidP="00430AD1">
            <w:pPr>
              <w:pStyle w:val="CETBodytext"/>
              <w:jc w:val="center"/>
              <w:rPr>
                <w:lang w:val="en-GB"/>
              </w:rPr>
            </w:pPr>
            <w:r>
              <w:rPr>
                <w:lang w:val="en-GB"/>
              </w:rPr>
              <w:t>5</w:t>
            </w:r>
          </w:p>
        </w:tc>
      </w:tr>
      <w:tr w:rsidR="00EC75B9" w:rsidRPr="00B57B36" w14:paraId="2D5CAE94" w14:textId="77777777" w:rsidTr="002A29C0">
        <w:trPr>
          <w:trHeight w:val="291"/>
          <w:jc w:val="center"/>
        </w:trPr>
        <w:tc>
          <w:tcPr>
            <w:tcW w:w="2179" w:type="dxa"/>
            <w:shd w:val="clear" w:color="auto" w:fill="FFFFFF"/>
            <w:vAlign w:val="center"/>
          </w:tcPr>
          <w:p w14:paraId="5CA92E0B" w14:textId="77777777" w:rsidR="001B60B2" w:rsidRPr="00D179F0" w:rsidRDefault="001B60B2" w:rsidP="00430AD1">
            <w:pPr>
              <w:pStyle w:val="CETBodytext"/>
              <w:jc w:val="center"/>
              <w:rPr>
                <w:i/>
                <w:iCs/>
                <w:lang w:val="en-GB"/>
              </w:rPr>
            </w:pPr>
            <w:r w:rsidRPr="00D179F0">
              <w:rPr>
                <w:i/>
                <w:iCs/>
                <w:lang w:val="en-GB"/>
              </w:rPr>
              <w:t>D. tertiolecta</w:t>
            </w:r>
          </w:p>
        </w:tc>
        <w:tc>
          <w:tcPr>
            <w:tcW w:w="1881" w:type="dxa"/>
            <w:shd w:val="clear" w:color="auto" w:fill="FFFFFF"/>
            <w:vAlign w:val="center"/>
          </w:tcPr>
          <w:p w14:paraId="139CBBCF" w14:textId="2559C05F" w:rsidR="001B60B2" w:rsidRPr="00B57B36" w:rsidRDefault="00C5643D" w:rsidP="00430AD1">
            <w:pPr>
              <w:pStyle w:val="CETBodytext"/>
              <w:ind w:right="-1"/>
              <w:jc w:val="center"/>
              <w:rPr>
                <w:rFonts w:cs="Arial"/>
                <w:szCs w:val="18"/>
                <w:lang w:val="en-GB"/>
              </w:rPr>
            </w:pPr>
            <w:r>
              <w:rPr>
                <w:rFonts w:cs="Arial"/>
                <w:szCs w:val="18"/>
                <w:lang w:val="en-GB"/>
              </w:rPr>
              <w:t>0.06</w:t>
            </w:r>
          </w:p>
        </w:tc>
        <w:tc>
          <w:tcPr>
            <w:tcW w:w="2322" w:type="dxa"/>
            <w:shd w:val="clear" w:color="auto" w:fill="FFFFFF"/>
            <w:vAlign w:val="center"/>
          </w:tcPr>
          <w:p w14:paraId="19F1D873" w14:textId="2E285208" w:rsidR="001B60B2" w:rsidRPr="00B57B36" w:rsidRDefault="00C5643D" w:rsidP="00430AD1">
            <w:pPr>
              <w:pStyle w:val="CETBodytext"/>
              <w:ind w:right="-1"/>
              <w:jc w:val="center"/>
              <w:rPr>
                <w:rFonts w:cs="Arial"/>
                <w:szCs w:val="18"/>
                <w:lang w:val="en-GB"/>
              </w:rPr>
            </w:pPr>
            <w:r>
              <w:rPr>
                <w:rFonts w:cs="Arial"/>
                <w:szCs w:val="18"/>
                <w:lang w:val="en-GB"/>
              </w:rPr>
              <w:t>0.11</w:t>
            </w:r>
          </w:p>
        </w:tc>
        <w:tc>
          <w:tcPr>
            <w:tcW w:w="2339" w:type="dxa"/>
            <w:shd w:val="clear" w:color="auto" w:fill="FFFFFF"/>
            <w:vAlign w:val="center"/>
          </w:tcPr>
          <w:p w14:paraId="7E76C47B" w14:textId="00AF7655" w:rsidR="001B60B2" w:rsidRPr="00B57B36" w:rsidRDefault="00C5643D" w:rsidP="00430AD1">
            <w:pPr>
              <w:pStyle w:val="CETBodytext"/>
              <w:ind w:right="-1"/>
              <w:jc w:val="center"/>
              <w:rPr>
                <w:rFonts w:cs="Arial"/>
                <w:szCs w:val="18"/>
                <w:lang w:val="en-GB"/>
              </w:rPr>
            </w:pPr>
            <w:r>
              <w:rPr>
                <w:rFonts w:cs="Arial"/>
                <w:szCs w:val="18"/>
                <w:lang w:val="en-GB"/>
              </w:rPr>
              <w:t>0.16</w:t>
            </w:r>
          </w:p>
        </w:tc>
      </w:tr>
      <w:tr w:rsidR="00EC75B9" w:rsidRPr="00B57B36" w14:paraId="5C3BB1CC" w14:textId="77777777" w:rsidTr="002A29C0">
        <w:trPr>
          <w:trHeight w:val="276"/>
          <w:jc w:val="center"/>
        </w:trPr>
        <w:tc>
          <w:tcPr>
            <w:tcW w:w="2179" w:type="dxa"/>
            <w:shd w:val="clear" w:color="auto" w:fill="FFFFFF"/>
            <w:vAlign w:val="center"/>
          </w:tcPr>
          <w:p w14:paraId="57A21C09" w14:textId="77777777" w:rsidR="001B60B2" w:rsidRPr="00D179F0" w:rsidRDefault="001B60B2" w:rsidP="00430AD1">
            <w:pPr>
              <w:pStyle w:val="CETBodytext"/>
              <w:jc w:val="center"/>
              <w:rPr>
                <w:i/>
                <w:iCs/>
                <w:lang w:val="en-GB"/>
              </w:rPr>
            </w:pPr>
            <w:r w:rsidRPr="00D179F0">
              <w:rPr>
                <w:i/>
                <w:iCs/>
                <w:lang w:val="en-GB"/>
              </w:rPr>
              <w:t>T. chuii</w:t>
            </w:r>
          </w:p>
        </w:tc>
        <w:tc>
          <w:tcPr>
            <w:tcW w:w="1881" w:type="dxa"/>
            <w:shd w:val="clear" w:color="auto" w:fill="FFFFFF"/>
            <w:vAlign w:val="center"/>
          </w:tcPr>
          <w:p w14:paraId="6E1E0B8E" w14:textId="3C418BFA" w:rsidR="001B60B2" w:rsidRPr="00B57B36" w:rsidRDefault="00C5643D" w:rsidP="00430AD1">
            <w:pPr>
              <w:pStyle w:val="CETBodytext"/>
              <w:ind w:right="-1"/>
              <w:jc w:val="center"/>
              <w:rPr>
                <w:rFonts w:cs="Arial"/>
                <w:szCs w:val="18"/>
                <w:lang w:val="en-GB"/>
              </w:rPr>
            </w:pPr>
            <w:r>
              <w:rPr>
                <w:rFonts w:cs="Arial"/>
                <w:szCs w:val="18"/>
                <w:lang w:val="en-GB"/>
              </w:rPr>
              <w:t>0.04</w:t>
            </w:r>
          </w:p>
        </w:tc>
        <w:tc>
          <w:tcPr>
            <w:tcW w:w="2322" w:type="dxa"/>
            <w:shd w:val="clear" w:color="auto" w:fill="FFFFFF"/>
            <w:vAlign w:val="center"/>
          </w:tcPr>
          <w:p w14:paraId="61F91D78" w14:textId="3E39152A" w:rsidR="001B60B2" w:rsidRPr="00B57B36" w:rsidRDefault="00C5643D" w:rsidP="00430AD1">
            <w:pPr>
              <w:pStyle w:val="CETBodytext"/>
              <w:ind w:right="-1"/>
              <w:jc w:val="center"/>
              <w:rPr>
                <w:rFonts w:cs="Arial"/>
                <w:szCs w:val="18"/>
                <w:lang w:val="en-GB"/>
              </w:rPr>
            </w:pPr>
            <w:r>
              <w:rPr>
                <w:rFonts w:cs="Arial"/>
                <w:szCs w:val="18"/>
                <w:lang w:val="en-GB"/>
              </w:rPr>
              <w:t>0.09</w:t>
            </w:r>
          </w:p>
        </w:tc>
        <w:tc>
          <w:tcPr>
            <w:tcW w:w="2339" w:type="dxa"/>
            <w:shd w:val="clear" w:color="auto" w:fill="FFFFFF"/>
            <w:vAlign w:val="center"/>
          </w:tcPr>
          <w:p w14:paraId="044B6A5A" w14:textId="61C688F6" w:rsidR="001B60B2" w:rsidRPr="00B57B36" w:rsidRDefault="00C5643D" w:rsidP="00430AD1">
            <w:pPr>
              <w:pStyle w:val="CETBodytext"/>
              <w:ind w:right="-1"/>
              <w:jc w:val="center"/>
              <w:rPr>
                <w:rFonts w:cs="Arial"/>
                <w:szCs w:val="18"/>
                <w:lang w:val="en-GB"/>
              </w:rPr>
            </w:pPr>
            <w:r>
              <w:rPr>
                <w:rFonts w:cs="Arial"/>
                <w:szCs w:val="18"/>
                <w:lang w:val="en-GB"/>
              </w:rPr>
              <w:t>0.17</w:t>
            </w:r>
          </w:p>
        </w:tc>
      </w:tr>
      <w:tr w:rsidR="00EC75B9" w:rsidRPr="00B57B36" w14:paraId="200A2C59" w14:textId="77777777" w:rsidTr="002A29C0">
        <w:trPr>
          <w:trHeight w:val="276"/>
          <w:jc w:val="center"/>
        </w:trPr>
        <w:tc>
          <w:tcPr>
            <w:tcW w:w="2179" w:type="dxa"/>
            <w:shd w:val="clear" w:color="auto" w:fill="FFFFFF"/>
            <w:vAlign w:val="center"/>
          </w:tcPr>
          <w:p w14:paraId="7920B44D" w14:textId="77777777" w:rsidR="001B60B2" w:rsidRPr="00D179F0" w:rsidRDefault="001B60B2" w:rsidP="00430AD1">
            <w:pPr>
              <w:pStyle w:val="CETBodytext"/>
              <w:jc w:val="center"/>
              <w:rPr>
                <w:i/>
                <w:iCs/>
                <w:lang w:val="en-GB"/>
              </w:rPr>
            </w:pPr>
            <w:r w:rsidRPr="00D179F0">
              <w:rPr>
                <w:i/>
                <w:iCs/>
                <w:lang w:val="en-GB"/>
              </w:rPr>
              <w:t>N. gaditana</w:t>
            </w:r>
          </w:p>
        </w:tc>
        <w:tc>
          <w:tcPr>
            <w:tcW w:w="1881" w:type="dxa"/>
            <w:shd w:val="clear" w:color="auto" w:fill="FFFFFF"/>
            <w:vAlign w:val="center"/>
          </w:tcPr>
          <w:p w14:paraId="20508573" w14:textId="6F51BEEA" w:rsidR="001B60B2" w:rsidRPr="00B57B36" w:rsidRDefault="00C5643D" w:rsidP="00430AD1">
            <w:pPr>
              <w:pStyle w:val="CETBodytext"/>
              <w:ind w:right="-1"/>
              <w:jc w:val="center"/>
              <w:rPr>
                <w:rFonts w:cs="Arial"/>
                <w:szCs w:val="18"/>
                <w:lang w:val="en-GB"/>
              </w:rPr>
            </w:pPr>
            <w:r>
              <w:rPr>
                <w:rFonts w:cs="Arial"/>
                <w:szCs w:val="18"/>
                <w:lang w:val="en-GB"/>
              </w:rPr>
              <w:t>0.08</w:t>
            </w:r>
          </w:p>
        </w:tc>
        <w:tc>
          <w:tcPr>
            <w:tcW w:w="2322" w:type="dxa"/>
            <w:shd w:val="clear" w:color="auto" w:fill="FFFFFF"/>
            <w:vAlign w:val="center"/>
          </w:tcPr>
          <w:p w14:paraId="7363C913" w14:textId="4E270878" w:rsidR="001B60B2" w:rsidRPr="00B57B36" w:rsidRDefault="00C5643D" w:rsidP="00430AD1">
            <w:pPr>
              <w:pStyle w:val="CETBodytext"/>
              <w:ind w:right="-1"/>
              <w:jc w:val="center"/>
              <w:rPr>
                <w:rFonts w:cs="Arial"/>
                <w:szCs w:val="18"/>
                <w:lang w:val="en-GB"/>
              </w:rPr>
            </w:pPr>
            <w:r>
              <w:rPr>
                <w:rFonts w:cs="Arial"/>
                <w:szCs w:val="18"/>
                <w:lang w:val="en-GB"/>
              </w:rPr>
              <w:t>0.08</w:t>
            </w:r>
          </w:p>
        </w:tc>
        <w:tc>
          <w:tcPr>
            <w:tcW w:w="2339" w:type="dxa"/>
            <w:shd w:val="clear" w:color="auto" w:fill="FFFFFF"/>
            <w:vAlign w:val="center"/>
          </w:tcPr>
          <w:p w14:paraId="04CF4EAE" w14:textId="2AEE6860" w:rsidR="001B60B2" w:rsidRPr="00B57B36" w:rsidRDefault="00C5643D" w:rsidP="00430AD1">
            <w:pPr>
              <w:pStyle w:val="CETBodytext"/>
              <w:ind w:right="-1"/>
              <w:jc w:val="center"/>
              <w:rPr>
                <w:rFonts w:cs="Arial"/>
                <w:szCs w:val="18"/>
                <w:lang w:val="en-GB"/>
              </w:rPr>
            </w:pPr>
            <w:r>
              <w:rPr>
                <w:rFonts w:cs="Arial"/>
                <w:szCs w:val="18"/>
                <w:lang w:val="en-GB"/>
              </w:rPr>
              <w:t>0.07</w:t>
            </w:r>
          </w:p>
        </w:tc>
      </w:tr>
      <w:tr w:rsidR="00EC75B9" w:rsidRPr="00B57B36" w14:paraId="49A2EADC" w14:textId="77777777" w:rsidTr="002A29C0">
        <w:trPr>
          <w:trHeight w:val="276"/>
          <w:jc w:val="center"/>
        </w:trPr>
        <w:tc>
          <w:tcPr>
            <w:tcW w:w="2179" w:type="dxa"/>
            <w:shd w:val="clear" w:color="auto" w:fill="FFFFFF"/>
            <w:vAlign w:val="center"/>
          </w:tcPr>
          <w:p w14:paraId="41542295" w14:textId="77777777" w:rsidR="001B60B2" w:rsidRPr="00D179F0" w:rsidRDefault="001B60B2" w:rsidP="00430AD1">
            <w:pPr>
              <w:pStyle w:val="CETBodytext"/>
              <w:jc w:val="center"/>
              <w:rPr>
                <w:i/>
                <w:iCs/>
                <w:lang w:val="en-GB"/>
              </w:rPr>
            </w:pPr>
            <w:r w:rsidRPr="00D179F0">
              <w:rPr>
                <w:i/>
                <w:iCs/>
                <w:lang w:val="en-GB"/>
              </w:rPr>
              <w:t>T. lutea</w:t>
            </w:r>
          </w:p>
        </w:tc>
        <w:tc>
          <w:tcPr>
            <w:tcW w:w="1881" w:type="dxa"/>
            <w:shd w:val="clear" w:color="auto" w:fill="FFFFFF"/>
            <w:vAlign w:val="center"/>
          </w:tcPr>
          <w:p w14:paraId="7326C56A" w14:textId="21C802F9" w:rsidR="001B60B2" w:rsidRPr="00B57B36" w:rsidRDefault="00C5643D" w:rsidP="00430AD1">
            <w:pPr>
              <w:pStyle w:val="CETBodytext"/>
              <w:ind w:right="-1"/>
              <w:jc w:val="center"/>
              <w:rPr>
                <w:rFonts w:cs="Arial"/>
                <w:szCs w:val="18"/>
                <w:lang w:val="en-GB"/>
              </w:rPr>
            </w:pPr>
            <w:r>
              <w:rPr>
                <w:rFonts w:cs="Arial"/>
                <w:szCs w:val="18"/>
                <w:lang w:val="en-GB"/>
              </w:rPr>
              <w:t>0.07</w:t>
            </w:r>
          </w:p>
        </w:tc>
        <w:tc>
          <w:tcPr>
            <w:tcW w:w="2322" w:type="dxa"/>
            <w:shd w:val="clear" w:color="auto" w:fill="FFFFFF"/>
            <w:vAlign w:val="center"/>
          </w:tcPr>
          <w:p w14:paraId="3EE66363" w14:textId="697533DE" w:rsidR="001B60B2" w:rsidRPr="00B57B36" w:rsidRDefault="00C5643D" w:rsidP="00430AD1">
            <w:pPr>
              <w:pStyle w:val="CETBodytext"/>
              <w:ind w:right="-1"/>
              <w:jc w:val="center"/>
              <w:rPr>
                <w:rFonts w:cs="Arial"/>
                <w:szCs w:val="18"/>
                <w:lang w:val="en-GB"/>
              </w:rPr>
            </w:pPr>
            <w:r>
              <w:rPr>
                <w:rFonts w:cs="Arial"/>
                <w:szCs w:val="18"/>
                <w:lang w:val="en-GB"/>
              </w:rPr>
              <w:t>0.19</w:t>
            </w:r>
          </w:p>
        </w:tc>
        <w:tc>
          <w:tcPr>
            <w:tcW w:w="2339" w:type="dxa"/>
            <w:shd w:val="clear" w:color="auto" w:fill="FFFFFF"/>
            <w:vAlign w:val="center"/>
          </w:tcPr>
          <w:p w14:paraId="696B04C5" w14:textId="31ECB9CA" w:rsidR="001B60B2" w:rsidRPr="00B57B36" w:rsidRDefault="00C5643D" w:rsidP="00430AD1">
            <w:pPr>
              <w:pStyle w:val="CETBodytext"/>
              <w:ind w:right="-1"/>
              <w:jc w:val="center"/>
              <w:rPr>
                <w:rFonts w:cs="Arial"/>
                <w:szCs w:val="18"/>
                <w:lang w:val="en-GB"/>
              </w:rPr>
            </w:pPr>
            <w:r>
              <w:rPr>
                <w:rFonts w:cs="Arial"/>
                <w:szCs w:val="18"/>
                <w:lang w:val="en-GB"/>
              </w:rPr>
              <w:t>0.08</w:t>
            </w:r>
          </w:p>
        </w:tc>
      </w:tr>
      <w:tr w:rsidR="00EC75B9" w:rsidRPr="00B57B36" w14:paraId="072F46EC" w14:textId="77777777" w:rsidTr="002A29C0">
        <w:trPr>
          <w:trHeight w:val="263"/>
          <w:jc w:val="center"/>
        </w:trPr>
        <w:tc>
          <w:tcPr>
            <w:tcW w:w="2179" w:type="dxa"/>
            <w:shd w:val="clear" w:color="auto" w:fill="FFFFFF"/>
            <w:vAlign w:val="center"/>
          </w:tcPr>
          <w:p w14:paraId="0A18C5FA" w14:textId="77777777" w:rsidR="001B60B2" w:rsidRPr="00D179F0" w:rsidRDefault="001B60B2" w:rsidP="00430AD1">
            <w:pPr>
              <w:pStyle w:val="CETBodytext"/>
              <w:ind w:right="-1"/>
              <w:jc w:val="center"/>
              <w:rPr>
                <w:rFonts w:cs="Arial"/>
                <w:i/>
                <w:iCs/>
                <w:szCs w:val="18"/>
                <w:lang w:val="en-GB"/>
              </w:rPr>
            </w:pPr>
            <w:r w:rsidRPr="00D179F0">
              <w:rPr>
                <w:rFonts w:cs="Arial"/>
                <w:i/>
                <w:iCs/>
                <w:szCs w:val="18"/>
                <w:lang w:val="en-GB"/>
              </w:rPr>
              <w:t>P. tricornutum</w:t>
            </w:r>
          </w:p>
        </w:tc>
        <w:tc>
          <w:tcPr>
            <w:tcW w:w="1881" w:type="dxa"/>
            <w:shd w:val="clear" w:color="auto" w:fill="FFFFFF"/>
            <w:vAlign w:val="center"/>
          </w:tcPr>
          <w:p w14:paraId="228AAC19" w14:textId="0E9D2096" w:rsidR="001B60B2" w:rsidRPr="00B57B36" w:rsidRDefault="00C5643D" w:rsidP="00430AD1">
            <w:pPr>
              <w:pStyle w:val="CETBodytext"/>
              <w:ind w:right="-1"/>
              <w:jc w:val="center"/>
              <w:rPr>
                <w:rFonts w:cs="Arial"/>
                <w:szCs w:val="18"/>
                <w:lang w:val="en-GB"/>
              </w:rPr>
            </w:pPr>
            <w:r>
              <w:rPr>
                <w:rFonts w:cs="Arial"/>
                <w:szCs w:val="18"/>
                <w:lang w:val="en-GB"/>
              </w:rPr>
              <w:t>0.13</w:t>
            </w:r>
          </w:p>
        </w:tc>
        <w:tc>
          <w:tcPr>
            <w:tcW w:w="2322" w:type="dxa"/>
            <w:shd w:val="clear" w:color="auto" w:fill="FFFFFF"/>
            <w:vAlign w:val="center"/>
          </w:tcPr>
          <w:p w14:paraId="3A14B9E0" w14:textId="2F4B4B3C" w:rsidR="001B60B2" w:rsidRPr="00B57B36" w:rsidRDefault="00C5643D" w:rsidP="00430AD1">
            <w:pPr>
              <w:pStyle w:val="CETBodytext"/>
              <w:ind w:right="-1"/>
              <w:jc w:val="center"/>
              <w:rPr>
                <w:rFonts w:cs="Arial"/>
                <w:szCs w:val="18"/>
                <w:lang w:val="en-GB"/>
              </w:rPr>
            </w:pPr>
            <w:r>
              <w:rPr>
                <w:rFonts w:cs="Arial"/>
                <w:szCs w:val="18"/>
                <w:lang w:val="en-GB"/>
              </w:rPr>
              <w:t>0.35</w:t>
            </w:r>
          </w:p>
        </w:tc>
        <w:tc>
          <w:tcPr>
            <w:tcW w:w="2339" w:type="dxa"/>
            <w:shd w:val="clear" w:color="auto" w:fill="FFFFFF"/>
            <w:vAlign w:val="center"/>
          </w:tcPr>
          <w:p w14:paraId="48FF5A12" w14:textId="1A936E0A" w:rsidR="001B60B2" w:rsidRPr="00B57B36" w:rsidRDefault="00C5643D" w:rsidP="00430AD1">
            <w:pPr>
              <w:pStyle w:val="CETBodytext"/>
              <w:ind w:right="-1"/>
              <w:jc w:val="center"/>
              <w:rPr>
                <w:rFonts w:cs="Arial"/>
                <w:szCs w:val="18"/>
                <w:lang w:val="en-GB"/>
              </w:rPr>
            </w:pPr>
            <w:r>
              <w:rPr>
                <w:rFonts w:cs="Arial"/>
                <w:szCs w:val="18"/>
                <w:lang w:val="en-GB"/>
              </w:rPr>
              <w:t>0.12</w:t>
            </w:r>
          </w:p>
        </w:tc>
      </w:tr>
    </w:tbl>
    <w:p w14:paraId="292A7806" w14:textId="5D000702" w:rsidR="00D179F0" w:rsidRDefault="00D179F0" w:rsidP="000B4822">
      <w:pPr>
        <w:pStyle w:val="CETBodytext"/>
      </w:pPr>
    </w:p>
    <w:p w14:paraId="290253B7" w14:textId="3154A39E" w:rsidR="00A03621" w:rsidRDefault="00DE08A9" w:rsidP="000B4822">
      <w:pPr>
        <w:pStyle w:val="CETBodytext"/>
      </w:pPr>
      <w:r>
        <w:t>Eventually, growth validation of the species used in the screening phase</w:t>
      </w:r>
      <w:r w:rsidR="007C4E21">
        <w:t xml:space="preserve"> was addressed</w:t>
      </w:r>
      <w:r>
        <w:t xml:space="preserve"> in pilot-scale floating bag photobioreactors</w:t>
      </w:r>
      <w:r w:rsidR="00250173">
        <w:t>.</w:t>
      </w:r>
      <w:r>
        <w:t xml:space="preserve"> By supplying the species-specific optimal NaHCO</w:t>
      </w:r>
      <w:r>
        <w:rPr>
          <w:vertAlign w:val="subscript"/>
        </w:rPr>
        <w:t>3</w:t>
      </w:r>
      <w:r>
        <w:t xml:space="preserve"> concentration, biomass productivities ranging between 0.04 and 0.25 g</w:t>
      </w:r>
      <w:r w:rsidRPr="00B54B9C">
        <w:rPr>
          <w:vertAlign w:val="subscript"/>
        </w:rPr>
        <w:t>X</w:t>
      </w:r>
      <w:r>
        <w:t xml:space="preserve"> L</w:t>
      </w:r>
      <w:r w:rsidRPr="00B54B9C">
        <w:rPr>
          <w:vertAlign w:val="superscript"/>
        </w:rPr>
        <w:t>-1</w:t>
      </w:r>
      <w:r>
        <w:t xml:space="preserve"> d</w:t>
      </w:r>
      <w:r w:rsidRPr="00B54B9C">
        <w:rPr>
          <w:vertAlign w:val="superscript"/>
        </w:rPr>
        <w:t>-1</w:t>
      </w:r>
      <w:r>
        <w:t xml:space="preserve"> (precise data not shown for confidentiality reasons) were obtained. Although further scale-up validation is requested, these results </w:t>
      </w:r>
      <w:r w:rsidR="006B6ED4">
        <w:t xml:space="preserve">provide promising evidence on the BICCAPSO approach feasibility at an industrial scale. </w:t>
      </w:r>
      <w:r>
        <w:t xml:space="preserve"> </w:t>
      </w:r>
    </w:p>
    <w:p w14:paraId="076E346E" w14:textId="24F13925" w:rsidR="000B4822" w:rsidRDefault="000B4822" w:rsidP="00AD6CAE">
      <w:pPr>
        <w:pStyle w:val="CETBodytext"/>
        <w:rPr>
          <w:highlight w:val="yellow"/>
        </w:rPr>
      </w:pPr>
    </w:p>
    <w:p w14:paraId="1B40493A" w14:textId="55EBA7D1" w:rsidR="00A3588A" w:rsidRPr="00075435" w:rsidRDefault="008B7876" w:rsidP="00A3588A">
      <w:pPr>
        <w:pStyle w:val="CETheadingx"/>
      </w:pPr>
      <w:r>
        <w:t>Alkalinization mitigation by bicarbonate supply management</w:t>
      </w:r>
    </w:p>
    <w:p w14:paraId="46ADEC18" w14:textId="7E30707B" w:rsidR="000B4822" w:rsidRPr="002C50E4" w:rsidRDefault="002C50E4" w:rsidP="000B4822">
      <w:pPr>
        <w:pStyle w:val="CETBodytext"/>
        <w:rPr>
          <w:szCs w:val="18"/>
        </w:rPr>
      </w:pPr>
      <w:r>
        <w:rPr>
          <w:szCs w:val="18"/>
        </w:rPr>
        <w:t>In the screening phase experiments, microalgae</w:t>
      </w:r>
      <w:r w:rsidR="008B7876">
        <w:rPr>
          <w:szCs w:val="18"/>
        </w:rPr>
        <w:t xml:space="preserve"> growth</w:t>
      </w:r>
      <w:r w:rsidR="005840B8">
        <w:rPr>
          <w:szCs w:val="18"/>
        </w:rPr>
        <w:t xml:space="preserve"> </w:t>
      </w:r>
      <w:r w:rsidR="008B7876">
        <w:rPr>
          <w:szCs w:val="18"/>
        </w:rPr>
        <w:t>was</w:t>
      </w:r>
      <w:r w:rsidR="005840B8">
        <w:rPr>
          <w:szCs w:val="18"/>
        </w:rPr>
        <w:t xml:space="preserve"> probably</w:t>
      </w:r>
      <w:r>
        <w:rPr>
          <w:szCs w:val="18"/>
        </w:rPr>
        <w:t xml:space="preserve"> strongly influenced by the quick shift of the pH to values higher than 9, as expected for BICCAPS-based processes. </w:t>
      </w:r>
      <w:r w:rsidR="001C66AC">
        <w:rPr>
          <w:szCs w:val="18"/>
        </w:rPr>
        <w:t>W</w:t>
      </w:r>
      <w:r>
        <w:rPr>
          <w:szCs w:val="18"/>
        </w:rPr>
        <w:t>e focused</w:t>
      </w:r>
      <w:r w:rsidR="005840B8">
        <w:rPr>
          <w:szCs w:val="18"/>
        </w:rPr>
        <w:t>, hence,</w:t>
      </w:r>
      <w:r>
        <w:rPr>
          <w:szCs w:val="18"/>
        </w:rPr>
        <w:t xml:space="preserve"> on trying to stabilize </w:t>
      </w:r>
      <w:r w:rsidR="001C66AC">
        <w:rPr>
          <w:i/>
          <w:iCs/>
          <w:szCs w:val="18"/>
        </w:rPr>
        <w:t xml:space="preserve">P. tricornutum </w:t>
      </w:r>
      <w:r>
        <w:rPr>
          <w:szCs w:val="18"/>
        </w:rPr>
        <w:t xml:space="preserve">cultivation environment </w:t>
      </w:r>
      <w:r w:rsidR="001C66AC">
        <w:rPr>
          <w:szCs w:val="18"/>
        </w:rPr>
        <w:t xml:space="preserve">by managing the bicarbonate </w:t>
      </w:r>
      <w:r w:rsidR="008B7876">
        <w:rPr>
          <w:szCs w:val="18"/>
        </w:rPr>
        <w:t>dos</w:t>
      </w:r>
      <w:r w:rsidR="001120F5">
        <w:rPr>
          <w:szCs w:val="18"/>
        </w:rPr>
        <w:t>age</w:t>
      </w:r>
      <w:r w:rsidR="005840B8">
        <w:rPr>
          <w:szCs w:val="18"/>
        </w:rPr>
        <w:t xml:space="preserve"> by </w:t>
      </w:r>
      <w:r w:rsidR="008B7876">
        <w:rPr>
          <w:szCs w:val="18"/>
        </w:rPr>
        <w:t xml:space="preserve">first </w:t>
      </w:r>
      <w:r w:rsidR="005840B8">
        <w:rPr>
          <w:szCs w:val="18"/>
        </w:rPr>
        <w:t xml:space="preserve">increasing bicarbonate concentration supplied at the beginning of the </w:t>
      </w:r>
      <w:r w:rsidR="008B7876">
        <w:rPr>
          <w:szCs w:val="18"/>
        </w:rPr>
        <w:t>batch cultivation</w:t>
      </w:r>
      <w:r w:rsidR="005840B8">
        <w:rPr>
          <w:szCs w:val="18"/>
        </w:rPr>
        <w:t xml:space="preserve"> (8 and 12 g L</w:t>
      </w:r>
      <w:r w:rsidR="005840B8" w:rsidRPr="008B7876">
        <w:rPr>
          <w:szCs w:val="18"/>
          <w:vertAlign w:val="superscript"/>
        </w:rPr>
        <w:t>-1</w:t>
      </w:r>
      <w:r w:rsidR="005840B8">
        <w:rPr>
          <w:szCs w:val="18"/>
        </w:rPr>
        <w:t>) (Figure 1)</w:t>
      </w:r>
      <w:r w:rsidR="005A45A9">
        <w:rPr>
          <w:szCs w:val="18"/>
        </w:rPr>
        <w:t xml:space="preserve">. </w:t>
      </w:r>
    </w:p>
    <w:p w14:paraId="3C4630D0" w14:textId="77777777" w:rsidR="004E22C9" w:rsidRDefault="00D008F9" w:rsidP="004E22C9">
      <w:pPr>
        <w:pStyle w:val="CETBodytext"/>
        <w:jc w:val="center"/>
        <w:rPr>
          <w:rStyle w:val="CETCaptionCarattere"/>
        </w:rPr>
      </w:pPr>
      <w:r>
        <w:rPr>
          <w:noProof/>
          <w:lang w:val="en-GB"/>
        </w:rPr>
        <w:drawing>
          <wp:inline distT="0" distB="0" distL="0" distR="0" wp14:anchorId="33576DB9" wp14:editId="0DAEAB0A">
            <wp:extent cx="5531437" cy="1744980"/>
            <wp:effectExtent l="0" t="0" r="0" b="7620"/>
            <wp:docPr id="1900322827" name="Immagine 6" descr="Immagine che contiene diagramma, testo,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322827" name="Immagine 6" descr="Immagine che contiene diagramma, testo, linea&#10;&#10;Descrizione generata automaticamente"/>
                    <pic:cNvPicPr/>
                  </pic:nvPicPr>
                  <pic:blipFill rotWithShape="1">
                    <a:blip r:embed="rId11"/>
                    <a:srcRect t="20150" b="23771"/>
                    <a:stretch/>
                  </pic:blipFill>
                  <pic:spPr bwMode="auto">
                    <a:xfrm>
                      <a:off x="0" y="0"/>
                      <a:ext cx="5754083" cy="1815217"/>
                    </a:xfrm>
                    <a:prstGeom prst="rect">
                      <a:avLst/>
                    </a:prstGeom>
                    <a:ln>
                      <a:noFill/>
                    </a:ln>
                    <a:extLst>
                      <a:ext uri="{53640926-AAD7-44D8-BBD7-CCE9431645EC}">
                        <a14:shadowObscured xmlns:a14="http://schemas.microsoft.com/office/drawing/2010/main"/>
                      </a:ext>
                    </a:extLst>
                  </pic:spPr>
                </pic:pic>
              </a:graphicData>
            </a:graphic>
          </wp:inline>
        </w:drawing>
      </w:r>
    </w:p>
    <w:p w14:paraId="4C7976DD" w14:textId="09E1F379" w:rsidR="001C66AC" w:rsidRPr="00EB2C2C" w:rsidRDefault="001C66AC" w:rsidP="004E22C9">
      <w:pPr>
        <w:pStyle w:val="CETBodytext"/>
        <w:rPr>
          <w:rStyle w:val="CETCaptionCarattere"/>
        </w:rPr>
      </w:pPr>
      <w:r w:rsidRPr="00EB2C2C">
        <w:rPr>
          <w:rStyle w:val="CETCaptionCarattere"/>
        </w:rPr>
        <w:t>Figure 1: (A) Biomass concentration (g</w:t>
      </w:r>
      <w:r w:rsidRPr="00D4407C">
        <w:rPr>
          <w:rStyle w:val="CETCaptionCarattere"/>
          <w:vertAlign w:val="subscript"/>
        </w:rPr>
        <w:t>X</w:t>
      </w:r>
      <w:r w:rsidRPr="00EB2C2C">
        <w:rPr>
          <w:rStyle w:val="CETCaptionCarattere"/>
        </w:rPr>
        <w:t xml:space="preserve"> L</w:t>
      </w:r>
      <w:r w:rsidRPr="00D4407C">
        <w:rPr>
          <w:rStyle w:val="CETCaptionCarattere"/>
          <w:vertAlign w:val="superscript"/>
        </w:rPr>
        <w:t>-1</w:t>
      </w:r>
      <w:r w:rsidRPr="00EB2C2C">
        <w:rPr>
          <w:rStyle w:val="CETCaptionCarattere"/>
        </w:rPr>
        <w:t>) and (B) pH measured in P. tricornutum batch culture at 5 g L</w:t>
      </w:r>
      <w:r w:rsidRPr="00D4407C">
        <w:rPr>
          <w:rStyle w:val="CETCaptionCarattere"/>
          <w:vertAlign w:val="superscript"/>
        </w:rPr>
        <w:t>-1</w:t>
      </w:r>
      <w:r w:rsidRPr="00EB2C2C">
        <w:rPr>
          <w:rStyle w:val="CETCaptionCarattere"/>
        </w:rPr>
        <w:t xml:space="preserve"> (black triangles), 8 g L</w:t>
      </w:r>
      <w:r w:rsidRPr="00D4407C">
        <w:rPr>
          <w:rStyle w:val="CETCaptionCarattere"/>
          <w:vertAlign w:val="superscript"/>
        </w:rPr>
        <w:t>-1</w:t>
      </w:r>
      <w:r w:rsidRPr="00EB2C2C">
        <w:rPr>
          <w:rStyle w:val="CETCaptionCarattere"/>
        </w:rPr>
        <w:t xml:space="preserve"> (empty circles) and 12 g L</w:t>
      </w:r>
      <w:r w:rsidRPr="00D4407C">
        <w:rPr>
          <w:rStyle w:val="CETCaptionCarattere"/>
          <w:vertAlign w:val="superscript"/>
        </w:rPr>
        <w:t>-1</w:t>
      </w:r>
      <w:r w:rsidRPr="00EB2C2C">
        <w:rPr>
          <w:rStyle w:val="CETCaptionCarattere"/>
        </w:rPr>
        <w:t xml:space="preserve"> (black filled circles) of NaHCO</w:t>
      </w:r>
      <w:r w:rsidRPr="00D4407C">
        <w:rPr>
          <w:rStyle w:val="CETCaptionCarattere"/>
          <w:vertAlign w:val="subscript"/>
        </w:rPr>
        <w:t>3</w:t>
      </w:r>
      <w:r w:rsidRPr="00EB2C2C">
        <w:rPr>
          <w:rStyle w:val="CETCaptionCarattere"/>
        </w:rPr>
        <w:t>.</w:t>
      </w:r>
    </w:p>
    <w:p w14:paraId="39C8C8A0" w14:textId="77777777" w:rsidR="00EB2C2C" w:rsidRDefault="00EB2C2C" w:rsidP="00600535">
      <w:pPr>
        <w:pStyle w:val="CETBodytext"/>
        <w:rPr>
          <w:lang w:val="en-GB"/>
        </w:rPr>
      </w:pPr>
    </w:p>
    <w:p w14:paraId="4C49FF30" w14:textId="2AE0DDDD" w:rsidR="000C7B76" w:rsidRDefault="00272625" w:rsidP="00600535">
      <w:pPr>
        <w:pStyle w:val="CETBodytext"/>
        <w:rPr>
          <w:lang w:val="en-GB"/>
        </w:rPr>
      </w:pPr>
      <w:r>
        <w:rPr>
          <w:lang w:val="en-GB"/>
        </w:rPr>
        <w:lastRenderedPageBreak/>
        <w:t>Increasing NaHCO</w:t>
      </w:r>
      <w:r>
        <w:rPr>
          <w:vertAlign w:val="subscript"/>
          <w:lang w:val="en-GB"/>
        </w:rPr>
        <w:t>3</w:t>
      </w:r>
      <w:r>
        <w:rPr>
          <w:lang w:val="en-GB"/>
        </w:rPr>
        <w:t xml:space="preserve"> </w:t>
      </w:r>
      <w:r w:rsidR="005840B8">
        <w:rPr>
          <w:lang w:val="en-GB"/>
        </w:rPr>
        <w:t>concentration</w:t>
      </w:r>
      <w:r>
        <w:rPr>
          <w:lang w:val="en-GB"/>
        </w:rPr>
        <w:t xml:space="preserve"> up to 8 g L</w:t>
      </w:r>
      <w:r w:rsidRPr="00272625">
        <w:rPr>
          <w:vertAlign w:val="superscript"/>
          <w:lang w:val="en-GB"/>
        </w:rPr>
        <w:t>-1</w:t>
      </w:r>
      <w:r>
        <w:rPr>
          <w:vertAlign w:val="superscript"/>
          <w:lang w:val="en-GB"/>
        </w:rPr>
        <w:t xml:space="preserve"> </w:t>
      </w:r>
      <w:r>
        <w:rPr>
          <w:lang w:val="en-GB"/>
        </w:rPr>
        <w:t>did not exert a strong influence on</w:t>
      </w:r>
      <w:r w:rsidR="00517FB1">
        <w:rPr>
          <w:lang w:val="en-GB"/>
        </w:rPr>
        <w:t xml:space="preserve"> </w:t>
      </w:r>
      <w:r w:rsidR="00517FB1">
        <w:rPr>
          <w:i/>
          <w:iCs/>
          <w:lang w:val="en-GB"/>
        </w:rPr>
        <w:t>P. tricornutum</w:t>
      </w:r>
      <w:r>
        <w:rPr>
          <w:lang w:val="en-GB"/>
        </w:rPr>
        <w:t xml:space="preserve"> biomass concentration at </w:t>
      </w:r>
      <w:r w:rsidR="005840B8">
        <w:rPr>
          <w:lang w:val="en-GB"/>
        </w:rPr>
        <w:t xml:space="preserve">the </w:t>
      </w:r>
      <w:r>
        <w:rPr>
          <w:lang w:val="en-GB"/>
        </w:rPr>
        <w:t>stationary phase of growth (0.87 g</w:t>
      </w:r>
      <w:r w:rsidRPr="00900A08">
        <w:rPr>
          <w:vertAlign w:val="subscript"/>
          <w:lang w:val="en-GB"/>
        </w:rPr>
        <w:t>X</w:t>
      </w:r>
      <w:r>
        <w:rPr>
          <w:lang w:val="en-GB"/>
        </w:rPr>
        <w:t xml:space="preserve"> L</w:t>
      </w:r>
      <w:r w:rsidRPr="00900A08">
        <w:rPr>
          <w:vertAlign w:val="superscript"/>
          <w:lang w:val="en-GB"/>
        </w:rPr>
        <w:t>-1</w:t>
      </w:r>
      <w:r>
        <w:rPr>
          <w:lang w:val="en-GB"/>
        </w:rPr>
        <w:t>)</w:t>
      </w:r>
      <w:r w:rsidR="008B7876">
        <w:rPr>
          <w:lang w:val="en-GB"/>
        </w:rPr>
        <w:t xml:space="preserve"> being similar</w:t>
      </w:r>
      <w:r>
        <w:rPr>
          <w:lang w:val="en-GB"/>
        </w:rPr>
        <w:t xml:space="preserve"> to that obtained with 5 g L</w:t>
      </w:r>
      <w:r w:rsidRPr="00D662FB">
        <w:rPr>
          <w:vertAlign w:val="superscript"/>
          <w:lang w:val="en-GB"/>
        </w:rPr>
        <w:t>-1</w:t>
      </w:r>
      <w:r>
        <w:rPr>
          <w:lang w:val="en-GB"/>
        </w:rPr>
        <w:t xml:space="preserve"> </w:t>
      </w:r>
      <w:r w:rsidR="005840B8">
        <w:rPr>
          <w:lang w:val="en-GB"/>
        </w:rPr>
        <w:t xml:space="preserve"> of bicarbonate </w:t>
      </w:r>
      <w:r>
        <w:rPr>
          <w:lang w:val="en-GB"/>
        </w:rPr>
        <w:t xml:space="preserve">(Figure 1A). Growth is evidently impaired </w:t>
      </w:r>
      <w:r w:rsidR="00D22686">
        <w:rPr>
          <w:lang w:val="en-GB"/>
        </w:rPr>
        <w:t xml:space="preserve">in any case </w:t>
      </w:r>
      <w:r>
        <w:rPr>
          <w:lang w:val="en-GB"/>
        </w:rPr>
        <w:t>when NaHCO</w:t>
      </w:r>
      <w:r w:rsidRPr="00522929">
        <w:rPr>
          <w:vertAlign w:val="subscript"/>
          <w:lang w:val="en-GB"/>
        </w:rPr>
        <w:t>3</w:t>
      </w:r>
      <w:r>
        <w:rPr>
          <w:lang w:val="en-GB"/>
        </w:rPr>
        <w:t xml:space="preserve"> concentration is increased to 12 g L</w:t>
      </w:r>
      <w:r w:rsidRPr="00D662FB">
        <w:rPr>
          <w:vertAlign w:val="superscript"/>
          <w:lang w:val="en-GB"/>
        </w:rPr>
        <w:t>-1</w:t>
      </w:r>
      <w:r>
        <w:rPr>
          <w:lang w:val="en-GB"/>
        </w:rPr>
        <w:t>, probably due to the higher concentration of Na</w:t>
      </w:r>
      <w:r w:rsidRPr="00272625">
        <w:rPr>
          <w:vertAlign w:val="superscript"/>
          <w:lang w:val="en-GB"/>
        </w:rPr>
        <w:t>+</w:t>
      </w:r>
      <w:r>
        <w:rPr>
          <w:vertAlign w:val="superscript"/>
          <w:lang w:val="en-GB"/>
        </w:rPr>
        <w:t xml:space="preserve"> </w:t>
      </w:r>
      <w:r>
        <w:rPr>
          <w:lang w:val="en-GB"/>
        </w:rPr>
        <w:t>and</w:t>
      </w:r>
      <w:r w:rsidR="009848CF">
        <w:rPr>
          <w:lang w:val="en-GB"/>
        </w:rPr>
        <w:t>,</w:t>
      </w:r>
      <w:r>
        <w:rPr>
          <w:lang w:val="en-GB"/>
        </w:rPr>
        <w:t xml:space="preserve"> </w:t>
      </w:r>
      <w:r w:rsidR="009848CF">
        <w:rPr>
          <w:lang w:val="en-GB"/>
        </w:rPr>
        <w:t>sub</w:t>
      </w:r>
      <w:r w:rsidR="003D4CCD">
        <w:rPr>
          <w:lang w:val="en-GB"/>
        </w:rPr>
        <w:t>sequently</w:t>
      </w:r>
      <w:r w:rsidR="009848CF">
        <w:rPr>
          <w:lang w:val="en-GB"/>
        </w:rPr>
        <w:t>,</w:t>
      </w:r>
      <w:r w:rsidR="003D4CCD">
        <w:rPr>
          <w:lang w:val="en-GB"/>
        </w:rPr>
        <w:t xml:space="preserve"> </w:t>
      </w:r>
      <w:r>
        <w:rPr>
          <w:lang w:val="en-GB"/>
        </w:rPr>
        <w:t>ion</w:t>
      </w:r>
      <w:r w:rsidR="003D4CCD">
        <w:rPr>
          <w:lang w:val="en-GB"/>
        </w:rPr>
        <w:t xml:space="preserve"> </w:t>
      </w:r>
      <w:r>
        <w:rPr>
          <w:lang w:val="en-GB"/>
        </w:rPr>
        <w:t xml:space="preserve">strength of the culture </w:t>
      </w:r>
      <w:r w:rsidR="003D4CCD">
        <w:rPr>
          <w:lang w:val="en-GB"/>
        </w:rPr>
        <w:fldChar w:fldCharType="begin" w:fldLock="1"/>
      </w:r>
      <w:r w:rsidR="00C04F8F">
        <w:rPr>
          <w:lang w:val="en-GB"/>
        </w:rPr>
        <w:instrText>ADDIN CSL_CITATION {"citationItems":[{"id":"ITEM-1","itemData":{"DOI":"10.1007/s12010-013-0515-5","ISSN":"02732289","PMID":"24092450","abstract":"Using microalgae to capture CO2 from flue gas is an ideal way to reduce CO2 emission, but this is challenged by the high cost of carbon capture and transportation. To address this problem, a bicarbonate-based integrated carbon capture and algae production system (BICCAPS) has been proposed, in which bicarbonate is used for algae culture, and the regenerated carbonate from this process can be used to capture more CO2. High-concentration bicarbonate is obligate for the BICCAPS. Thus, different strains of microalgae and cyanobacteria were tested in this study for their capability to grow in high-concentration NaHCO3. The highest NaHCO3 concentrations they are tolerant to were determined as 0.30 M for Synechocystis sp. PCC6803, 0.60 M for Cyanothece sp.; 0.10 M for Chlorella sorokiniana, 0.60 M for Dunaliella salina, and 0.30 M for Dunaliella viridis and Dunaliella primolecta. In further study, biomass production from culture of D. primolecta in an Erlenmeyer flask with either 0.30 M NaHCO3 or 2 % CO2 bubbling was compared, and no significant difference was detected. This indicates BICCAPS can reach the same biomass productivity as regular CO2 bubbling culture, and it is promising for future application. © 2013 Springer Science+Business Media New York.","author":[{"dropping-particle":"","family":"Chi","given":"Zhanyou","non-dropping-particle":"","parse-names":false,"suffix":""},{"dropping-particle":"","family":"Elloy","given":"Farah","non-dropping-particle":"","parse-names":false,"suffix":""},{"dropping-particle":"","family":"Xie","given":"Yuxiao","non-dropping-particle":"","parse-names":false,"suffix":""},{"dropping-particle":"","family":"Hu","given":"Yucai","non-dropping-particle":"","parse-names":false,"suffix":""},{"dropping-particle":"","family":"Chen","given":"Shulin","non-dropping-particle":"","parse-names":false,"suffix":""}],"container-title":"Applied Biochemistry and Biotechnology","id":"ITEM-1","issue":"1","issued":{"date-parts":[["2014","1"]]},"page":"447-457","title":"Selection of microalgae and cyanobacteria strains for bicarbonate-based integrated carbon capture and algae production system","type":"article-journal","volume":"172"},"uris":["http://www.mendeley.com/documents/?uuid=19c9c8cc-0d8d-35be-af64-bd18b83b635c"]}],"mendeley":{"formattedCitation":"(Chi et al. 2014)","plainTextFormattedCitation":"(Chi et al. 2014)","previouslyFormattedCitation":"(Chi et al. 2014)"},"properties":{"noteIndex":0},"schema":"https://github.com/citation-style-language/schema/raw/master/csl-citation.json"}</w:instrText>
      </w:r>
      <w:r w:rsidR="003D4CCD">
        <w:rPr>
          <w:lang w:val="en-GB"/>
        </w:rPr>
        <w:fldChar w:fldCharType="separate"/>
      </w:r>
      <w:r w:rsidR="003D4CCD" w:rsidRPr="003D4CCD">
        <w:rPr>
          <w:noProof/>
          <w:lang w:val="en-GB"/>
        </w:rPr>
        <w:t>(Chi et al. 2014)</w:t>
      </w:r>
      <w:r w:rsidR="003D4CCD">
        <w:rPr>
          <w:lang w:val="en-GB"/>
        </w:rPr>
        <w:fldChar w:fldCharType="end"/>
      </w:r>
      <w:r>
        <w:rPr>
          <w:lang w:val="en-GB"/>
        </w:rPr>
        <w:t xml:space="preserve">. </w:t>
      </w:r>
    </w:p>
    <w:p w14:paraId="73F4AE73" w14:textId="4CC16B6B" w:rsidR="005840B8" w:rsidRDefault="003A0B91" w:rsidP="00600535">
      <w:pPr>
        <w:pStyle w:val="CETBodytext"/>
        <w:rPr>
          <w:lang w:val="en-GB"/>
        </w:rPr>
      </w:pPr>
      <w:r>
        <w:rPr>
          <w:lang w:val="en-GB"/>
        </w:rPr>
        <w:t>H</w:t>
      </w:r>
      <w:r w:rsidR="00D22686">
        <w:rPr>
          <w:lang w:val="en-GB"/>
        </w:rPr>
        <w:t>owever</w:t>
      </w:r>
      <w:r w:rsidR="00272625">
        <w:rPr>
          <w:lang w:val="en-GB"/>
        </w:rPr>
        <w:t>, small differences can be seen in pH evolution over time</w:t>
      </w:r>
      <w:r w:rsidR="00522929">
        <w:rPr>
          <w:lang w:val="en-GB"/>
        </w:rPr>
        <w:t xml:space="preserve"> (Figure 1B). Control culture (5 g L</w:t>
      </w:r>
      <w:r w:rsidR="00522929" w:rsidRPr="0011059A">
        <w:rPr>
          <w:vertAlign w:val="superscript"/>
          <w:lang w:val="en-GB"/>
        </w:rPr>
        <w:t>-1</w:t>
      </w:r>
      <w:r w:rsidR="00522929">
        <w:rPr>
          <w:lang w:val="en-GB"/>
        </w:rPr>
        <w:t>) reached a pH of 9.75 at stationary phase, while</w:t>
      </w:r>
      <w:r w:rsidR="00272625">
        <w:rPr>
          <w:lang w:val="en-GB"/>
        </w:rPr>
        <w:t xml:space="preserve"> </w:t>
      </w:r>
      <w:r w:rsidR="00522929">
        <w:rPr>
          <w:lang w:val="en-GB"/>
        </w:rPr>
        <w:t>at</w:t>
      </w:r>
      <w:r w:rsidR="00272625">
        <w:rPr>
          <w:lang w:val="en-GB"/>
        </w:rPr>
        <w:t xml:space="preserve"> higher bicarbonate concentrations the final value established at 9.47. </w:t>
      </w:r>
      <w:r w:rsidR="00522929">
        <w:rPr>
          <w:lang w:val="en-GB"/>
        </w:rPr>
        <w:t>This result, as expected, is due to the higher buffer power exerted by an excess of HCO</w:t>
      </w:r>
      <w:r w:rsidR="00522929">
        <w:rPr>
          <w:vertAlign w:val="subscript"/>
          <w:lang w:val="en-GB"/>
        </w:rPr>
        <w:t>3</w:t>
      </w:r>
      <w:r w:rsidR="00522929">
        <w:rPr>
          <w:vertAlign w:val="superscript"/>
          <w:lang w:val="en-GB"/>
        </w:rPr>
        <w:t>-</w:t>
      </w:r>
      <w:r w:rsidR="00522929">
        <w:rPr>
          <w:lang w:val="en-GB"/>
        </w:rPr>
        <w:t xml:space="preserve"> in the culture. At 12 g L</w:t>
      </w:r>
      <w:r w:rsidR="00522929" w:rsidRPr="0011059A">
        <w:rPr>
          <w:vertAlign w:val="superscript"/>
          <w:lang w:val="en-GB"/>
        </w:rPr>
        <w:t>-1</w:t>
      </w:r>
      <w:r w:rsidR="00522929">
        <w:rPr>
          <w:lang w:val="en-GB"/>
        </w:rPr>
        <w:t xml:space="preserve"> pH evolution</w:t>
      </w:r>
      <w:r w:rsidR="00150C5F">
        <w:rPr>
          <w:lang w:val="en-GB"/>
        </w:rPr>
        <w:t xml:space="preserve"> rate</w:t>
      </w:r>
      <w:r w:rsidR="00522929">
        <w:rPr>
          <w:lang w:val="en-GB"/>
        </w:rPr>
        <w:t xml:space="preserve"> over time is lower but is probably </w:t>
      </w:r>
      <w:r w:rsidR="005840B8">
        <w:rPr>
          <w:lang w:val="en-GB"/>
        </w:rPr>
        <w:t>due</w:t>
      </w:r>
      <w:r w:rsidR="00522929">
        <w:rPr>
          <w:lang w:val="en-GB"/>
        </w:rPr>
        <w:t xml:space="preserve"> to the lack of cellular activity.</w:t>
      </w:r>
      <w:r w:rsidR="005840B8">
        <w:rPr>
          <w:lang w:val="en-GB"/>
        </w:rPr>
        <w:t xml:space="preserve"> </w:t>
      </w:r>
    </w:p>
    <w:p w14:paraId="15EC2956" w14:textId="462DBD8E" w:rsidR="00B40D9A" w:rsidRPr="00522929" w:rsidRDefault="005840B8" w:rsidP="00600535">
      <w:pPr>
        <w:pStyle w:val="CETBodytext"/>
        <w:rPr>
          <w:lang w:val="en-GB"/>
        </w:rPr>
      </w:pPr>
      <w:r>
        <w:rPr>
          <w:lang w:val="en-GB"/>
        </w:rPr>
        <w:t>Faster bicarbonate uptake and intracellular accumulation could be reasonably the main cause of the quick pH increase observe</w:t>
      </w:r>
      <w:r w:rsidR="0043545B">
        <w:rPr>
          <w:lang w:val="en-GB"/>
        </w:rPr>
        <w:t>d</w:t>
      </w:r>
      <w:r>
        <w:rPr>
          <w:lang w:val="en-GB"/>
        </w:rPr>
        <w:t xml:space="preserve">. Hence, </w:t>
      </w:r>
      <w:r w:rsidR="00B53775">
        <w:rPr>
          <w:lang w:val="en-GB"/>
        </w:rPr>
        <w:t xml:space="preserve">a fed batch protocol based on the </w:t>
      </w:r>
      <w:r>
        <w:rPr>
          <w:lang w:val="en-GB"/>
        </w:rPr>
        <w:t xml:space="preserve">daily </w:t>
      </w:r>
      <w:r w:rsidR="00B53775">
        <w:rPr>
          <w:lang w:val="en-GB"/>
        </w:rPr>
        <w:t xml:space="preserve">supply of small </w:t>
      </w:r>
      <w:r>
        <w:rPr>
          <w:lang w:val="en-GB"/>
        </w:rPr>
        <w:t>amounts of bicarbonate in batch cultures</w:t>
      </w:r>
      <w:r w:rsidR="00B53775">
        <w:rPr>
          <w:lang w:val="en-GB"/>
        </w:rPr>
        <w:t xml:space="preserve"> was applied</w:t>
      </w:r>
      <w:r>
        <w:rPr>
          <w:lang w:val="en-GB"/>
        </w:rPr>
        <w:t xml:space="preserve"> to verify this hypothesis (Figure 2). </w:t>
      </w:r>
    </w:p>
    <w:p w14:paraId="6885A6B6" w14:textId="336C3547" w:rsidR="00B40D9A" w:rsidRDefault="00B40D9A" w:rsidP="00600535">
      <w:pPr>
        <w:pStyle w:val="CETBodytext"/>
        <w:rPr>
          <w:lang w:val="en-GB"/>
        </w:rPr>
      </w:pPr>
    </w:p>
    <w:p w14:paraId="3D2271C0" w14:textId="77777777" w:rsidR="004E22C9" w:rsidRDefault="00D008F9" w:rsidP="004E22C9">
      <w:pPr>
        <w:pStyle w:val="CETBodytext"/>
        <w:jc w:val="center"/>
        <w:rPr>
          <w:rStyle w:val="CETCaptionCarattere"/>
        </w:rPr>
      </w:pPr>
      <w:r>
        <w:rPr>
          <w:noProof/>
          <w:lang w:val="en-GB"/>
        </w:rPr>
        <w:drawing>
          <wp:inline distT="0" distB="0" distL="0" distR="0" wp14:anchorId="0C3267C4" wp14:editId="586E9374">
            <wp:extent cx="5516880" cy="1619841"/>
            <wp:effectExtent l="0" t="0" r="0" b="0"/>
            <wp:docPr id="1762189204" name="Immagine 5" descr="Immagine che contiene diagramma,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189204" name="Immagine 5" descr="Immagine che contiene diagramma, testo&#10;&#10;Descrizione generata automaticamente"/>
                    <pic:cNvPicPr/>
                  </pic:nvPicPr>
                  <pic:blipFill rotWithShape="1">
                    <a:blip r:embed="rId12"/>
                    <a:srcRect t="20879" b="26926"/>
                    <a:stretch/>
                  </pic:blipFill>
                  <pic:spPr bwMode="auto">
                    <a:xfrm>
                      <a:off x="0" y="0"/>
                      <a:ext cx="5648365" cy="1658447"/>
                    </a:xfrm>
                    <a:prstGeom prst="rect">
                      <a:avLst/>
                    </a:prstGeom>
                    <a:ln>
                      <a:noFill/>
                    </a:ln>
                    <a:extLst>
                      <a:ext uri="{53640926-AAD7-44D8-BBD7-CCE9431645EC}">
                        <a14:shadowObscured xmlns:a14="http://schemas.microsoft.com/office/drawing/2010/main"/>
                      </a:ext>
                    </a:extLst>
                  </pic:spPr>
                </pic:pic>
              </a:graphicData>
            </a:graphic>
          </wp:inline>
        </w:drawing>
      </w:r>
    </w:p>
    <w:p w14:paraId="39B77E16" w14:textId="66A75987" w:rsidR="00B40D9A" w:rsidRDefault="00D008F9" w:rsidP="004E22C9">
      <w:pPr>
        <w:pStyle w:val="CETBodytext"/>
        <w:rPr>
          <w:lang w:val="en-GB"/>
        </w:rPr>
      </w:pPr>
      <w:r w:rsidRPr="00D008F9">
        <w:rPr>
          <w:rStyle w:val="CETCaptionCarattere"/>
        </w:rPr>
        <w:t>Figure</w:t>
      </w:r>
      <w:r>
        <w:rPr>
          <w:rStyle w:val="CETCaptionCarattere"/>
        </w:rPr>
        <w:t xml:space="preserve"> 2: </w:t>
      </w:r>
      <w:r w:rsidR="00D4407C">
        <w:rPr>
          <w:rStyle w:val="CETCaptionCarattere"/>
        </w:rPr>
        <w:t>(A) Biomass concentration (g</w:t>
      </w:r>
      <w:r w:rsidR="00D4407C" w:rsidRPr="00D4407C">
        <w:rPr>
          <w:rStyle w:val="CETCaptionCarattere"/>
          <w:vertAlign w:val="subscript"/>
        </w:rPr>
        <w:t>X</w:t>
      </w:r>
      <w:r w:rsidR="00D4407C">
        <w:rPr>
          <w:rStyle w:val="CETCaptionCarattere"/>
        </w:rPr>
        <w:t xml:space="preserve"> L</w:t>
      </w:r>
      <w:r w:rsidR="00D4407C" w:rsidRPr="00D4407C">
        <w:rPr>
          <w:rStyle w:val="CETCaptionCarattere"/>
          <w:vertAlign w:val="superscript"/>
        </w:rPr>
        <w:t>-1</w:t>
      </w:r>
      <w:r w:rsidR="00D4407C">
        <w:rPr>
          <w:rStyle w:val="CETCaptionCarattere"/>
        </w:rPr>
        <w:t>) and (B) pH measured in batch cul</w:t>
      </w:r>
      <w:r w:rsidR="0043545B">
        <w:rPr>
          <w:rStyle w:val="CETCaptionCarattere"/>
        </w:rPr>
        <w:t>tivation</w:t>
      </w:r>
      <w:r w:rsidR="00D4407C">
        <w:rPr>
          <w:rStyle w:val="CETCaptionCarattere"/>
        </w:rPr>
        <w:t xml:space="preserve"> with 2.5 g</w:t>
      </w:r>
      <w:r w:rsidR="00E3111F">
        <w:rPr>
          <w:rStyle w:val="CETCaptionCarattere"/>
        </w:rPr>
        <w:t xml:space="preserve"> </w:t>
      </w:r>
      <w:r w:rsidR="00D4407C">
        <w:rPr>
          <w:rStyle w:val="CETCaptionCarattere"/>
        </w:rPr>
        <w:t>L</w:t>
      </w:r>
      <w:r w:rsidR="00D4407C" w:rsidRPr="00D4407C">
        <w:rPr>
          <w:rStyle w:val="CETCaptionCarattere"/>
          <w:vertAlign w:val="superscript"/>
        </w:rPr>
        <w:t xml:space="preserve">-1 </w:t>
      </w:r>
      <w:r w:rsidR="00D4407C">
        <w:rPr>
          <w:rStyle w:val="CETCaptionCarattere"/>
        </w:rPr>
        <w:t>NaHCO</w:t>
      </w:r>
      <w:r w:rsidR="00D4407C" w:rsidRPr="00D4407C">
        <w:rPr>
          <w:rStyle w:val="CETCaptionCarattere"/>
          <w:vertAlign w:val="subscript"/>
        </w:rPr>
        <w:t>3</w:t>
      </w:r>
      <w:r w:rsidR="00D4407C">
        <w:rPr>
          <w:rStyle w:val="CETCaptionCarattere"/>
        </w:rPr>
        <w:t xml:space="preserve"> (black triangles), daily addition of 0.25 g L</w:t>
      </w:r>
      <w:r w:rsidR="00D4407C" w:rsidRPr="00D4407C">
        <w:rPr>
          <w:rStyle w:val="CETCaptionCarattere"/>
          <w:vertAlign w:val="superscript"/>
        </w:rPr>
        <w:t xml:space="preserve">-1 </w:t>
      </w:r>
      <w:r w:rsidR="00D4407C">
        <w:rPr>
          <w:rStyle w:val="CETCaptionCarattere"/>
        </w:rPr>
        <w:t>of NaHCO</w:t>
      </w:r>
      <w:r w:rsidR="00D4407C" w:rsidRPr="00D4407C">
        <w:rPr>
          <w:rStyle w:val="CETCaptionCarattere"/>
          <w:vertAlign w:val="subscript"/>
        </w:rPr>
        <w:t>3</w:t>
      </w:r>
      <w:r w:rsidR="00D4407C">
        <w:rPr>
          <w:rStyle w:val="CETCaptionCarattere"/>
        </w:rPr>
        <w:t xml:space="preserve"> </w:t>
      </w:r>
      <w:r w:rsidR="005840B8">
        <w:rPr>
          <w:rStyle w:val="CETCaptionCarattere"/>
        </w:rPr>
        <w:t>(FB</w:t>
      </w:r>
      <w:r w:rsidR="00CE72AF" w:rsidRPr="00CE72AF">
        <w:rPr>
          <w:rStyle w:val="CETCaptionCarattere"/>
          <w:vertAlign w:val="subscript"/>
        </w:rPr>
        <w:t>1</w:t>
      </w:r>
      <w:r w:rsidR="005840B8">
        <w:rPr>
          <w:rStyle w:val="CETCaptionCarattere"/>
        </w:rPr>
        <w:t xml:space="preserve">) </w:t>
      </w:r>
      <w:r w:rsidR="00D4407C">
        <w:rPr>
          <w:rStyle w:val="CETCaptionCarattere"/>
        </w:rPr>
        <w:t>(empty circles) and daily addition of 0.50 g L</w:t>
      </w:r>
      <w:r w:rsidR="00D4407C" w:rsidRPr="00D4407C">
        <w:rPr>
          <w:rStyle w:val="CETCaptionCarattere"/>
          <w:vertAlign w:val="superscript"/>
        </w:rPr>
        <w:t>-1</w:t>
      </w:r>
      <w:r w:rsidR="00D4407C">
        <w:rPr>
          <w:rStyle w:val="CETCaptionCarattere"/>
        </w:rPr>
        <w:t xml:space="preserve"> of NaHCO</w:t>
      </w:r>
      <w:r w:rsidR="00D4407C" w:rsidRPr="00D4407C">
        <w:rPr>
          <w:rStyle w:val="CETCaptionCarattere"/>
          <w:vertAlign w:val="subscript"/>
        </w:rPr>
        <w:t>3</w:t>
      </w:r>
      <w:r w:rsidR="00D4407C">
        <w:rPr>
          <w:rStyle w:val="CETCaptionCarattere"/>
        </w:rPr>
        <w:t xml:space="preserve"> </w:t>
      </w:r>
      <w:r w:rsidR="005840B8">
        <w:rPr>
          <w:rStyle w:val="CETCaptionCarattere"/>
        </w:rPr>
        <w:t>(FB</w:t>
      </w:r>
      <w:r w:rsidR="00CE72AF" w:rsidRPr="00CE72AF">
        <w:rPr>
          <w:rStyle w:val="CETCaptionCarattere"/>
          <w:vertAlign w:val="subscript"/>
        </w:rPr>
        <w:t>2</w:t>
      </w:r>
      <w:r w:rsidR="005840B8">
        <w:rPr>
          <w:rStyle w:val="CETCaptionCarattere"/>
        </w:rPr>
        <w:t xml:space="preserve">) </w:t>
      </w:r>
      <w:r w:rsidR="00D4407C">
        <w:rPr>
          <w:rStyle w:val="CETCaptionCarattere"/>
        </w:rPr>
        <w:t>(filled black circles).</w:t>
      </w:r>
    </w:p>
    <w:p w14:paraId="20B9FAE4" w14:textId="087535C6" w:rsidR="00B40D9A" w:rsidRDefault="00B40D9A" w:rsidP="00600535">
      <w:pPr>
        <w:pStyle w:val="CETBodytext"/>
        <w:rPr>
          <w:lang w:val="en-GB"/>
        </w:rPr>
      </w:pPr>
    </w:p>
    <w:p w14:paraId="3FD95FE0" w14:textId="24DA30A7" w:rsidR="0043545B" w:rsidRDefault="005840B8" w:rsidP="009B64B2">
      <w:pPr>
        <w:pStyle w:val="CETBodytext"/>
      </w:pPr>
      <w:r>
        <w:t>Small amounts of bicarbonate (0.25 and 0.50 g L</w:t>
      </w:r>
      <w:r w:rsidRPr="00221A44">
        <w:rPr>
          <w:vertAlign w:val="superscript"/>
        </w:rPr>
        <w:t>-1</w:t>
      </w:r>
      <w:r>
        <w:t xml:space="preserve"> daily for, respectively, FB</w:t>
      </w:r>
      <w:r w:rsidR="0001431A" w:rsidRPr="00DE719A">
        <w:rPr>
          <w:vertAlign w:val="subscript"/>
        </w:rPr>
        <w:t>1</w:t>
      </w:r>
      <w:r>
        <w:t xml:space="preserve"> and FB</w:t>
      </w:r>
      <w:r w:rsidR="0001431A" w:rsidRPr="00DE719A">
        <w:rPr>
          <w:vertAlign w:val="subscript"/>
        </w:rPr>
        <w:t>2</w:t>
      </w:r>
      <w:r>
        <w:t xml:space="preserve">) were supplied to avoid </w:t>
      </w:r>
      <w:r w:rsidR="000140B9">
        <w:t>its</w:t>
      </w:r>
      <w:r>
        <w:t xml:space="preserve"> fast uptaking and</w:t>
      </w:r>
      <w:r w:rsidR="000140B9">
        <w:t>,</w:t>
      </w:r>
      <w:r>
        <w:t xml:space="preserve"> subsequent</w:t>
      </w:r>
      <w:r w:rsidR="000140B9">
        <w:t>ly,</w:t>
      </w:r>
      <w:r>
        <w:t xml:space="preserve"> </w:t>
      </w:r>
      <w:r w:rsidR="0043545B">
        <w:t>pH increase</w:t>
      </w:r>
      <w:r>
        <w:t xml:space="preserve">. </w:t>
      </w:r>
      <w:r w:rsidR="00903A91">
        <w:t>FB</w:t>
      </w:r>
      <w:r w:rsidR="00903A91" w:rsidRPr="00DE719A">
        <w:rPr>
          <w:vertAlign w:val="subscript"/>
        </w:rPr>
        <w:t>1</w:t>
      </w:r>
      <w:r w:rsidR="00903A91">
        <w:t xml:space="preserve"> trials resulted in a maximum biomass concentration of 1.0</w:t>
      </w:r>
      <w:r w:rsidR="00CE72AF">
        <w:t>3</w:t>
      </w:r>
      <w:r w:rsidR="00903A91">
        <w:t xml:space="preserve"> g</w:t>
      </w:r>
      <w:r w:rsidR="00CE72AF" w:rsidRPr="005B1706">
        <w:rPr>
          <w:vertAlign w:val="subscript"/>
        </w:rPr>
        <w:t>X</w:t>
      </w:r>
      <w:r w:rsidR="00903A91">
        <w:t xml:space="preserve"> L</w:t>
      </w:r>
      <w:r w:rsidR="00903A91" w:rsidRPr="005B1706">
        <w:rPr>
          <w:vertAlign w:val="superscript"/>
        </w:rPr>
        <w:t>-1</w:t>
      </w:r>
      <w:r w:rsidR="00903A91">
        <w:t xml:space="preserve"> at the stationary phase, while higher daily a</w:t>
      </w:r>
      <w:r w:rsidR="0043545B">
        <w:t>ddition</w:t>
      </w:r>
      <w:r w:rsidR="00903A91">
        <w:t xml:space="preserve"> of NaHCO</w:t>
      </w:r>
      <w:r w:rsidR="00903A91" w:rsidRPr="005B1706">
        <w:rPr>
          <w:vertAlign w:val="subscript"/>
        </w:rPr>
        <w:t>3</w:t>
      </w:r>
      <w:r w:rsidR="00903A91">
        <w:t xml:space="preserve"> (FB</w:t>
      </w:r>
      <w:r w:rsidR="00903A91" w:rsidRPr="00DE719A">
        <w:rPr>
          <w:vertAlign w:val="subscript"/>
        </w:rPr>
        <w:t>2</w:t>
      </w:r>
      <w:r w:rsidR="00903A91">
        <w:t xml:space="preserve">) </w:t>
      </w:r>
      <w:r w:rsidR="0043545B">
        <w:t>led to lower values</w:t>
      </w:r>
      <w:r w:rsidR="00903A91">
        <w:t xml:space="preserve"> </w:t>
      </w:r>
      <w:r w:rsidR="0043545B">
        <w:t>(</w:t>
      </w:r>
      <w:r w:rsidR="00903A91">
        <w:t>0.70 g</w:t>
      </w:r>
      <w:r w:rsidR="00CE72AF" w:rsidRPr="005B1706">
        <w:rPr>
          <w:vertAlign w:val="subscript"/>
        </w:rPr>
        <w:t>X</w:t>
      </w:r>
      <w:r w:rsidR="00903A91">
        <w:t xml:space="preserve"> L</w:t>
      </w:r>
      <w:r w:rsidR="00903A91" w:rsidRPr="005B1706">
        <w:rPr>
          <w:vertAlign w:val="superscript"/>
        </w:rPr>
        <w:t>-1</w:t>
      </w:r>
      <w:r w:rsidR="0043545B">
        <w:t>)</w:t>
      </w:r>
      <w:r w:rsidR="00903A91">
        <w:t xml:space="preserve"> (Figure 2A). With respect to the control culture</w:t>
      </w:r>
      <w:r w:rsidR="002A29C0">
        <w:t xml:space="preserve"> (2.5 g L</w:t>
      </w:r>
      <w:r w:rsidR="002A29C0" w:rsidRPr="002A29C0">
        <w:rPr>
          <w:vertAlign w:val="superscript"/>
        </w:rPr>
        <w:t>-1</w:t>
      </w:r>
      <w:r w:rsidR="002A29C0">
        <w:t xml:space="preserve"> of NaHCO</w:t>
      </w:r>
      <w:r w:rsidR="002A29C0">
        <w:rPr>
          <w:vertAlign w:val="subscript"/>
        </w:rPr>
        <w:t>3</w:t>
      </w:r>
      <w:r w:rsidR="002A29C0">
        <w:t xml:space="preserve"> in batch mode)</w:t>
      </w:r>
      <w:r w:rsidR="00903A91">
        <w:t xml:space="preserve">, hence, </w:t>
      </w:r>
      <w:r w:rsidR="000140B9">
        <w:t>maximum biomass</w:t>
      </w:r>
      <w:r w:rsidR="00903A91">
        <w:t xml:space="preserve"> concentration </w:t>
      </w:r>
      <w:r w:rsidR="000140B9">
        <w:t xml:space="preserve">was </w:t>
      </w:r>
      <w:r w:rsidR="00903A91">
        <w:t>comparable when adding 0.25 g L</w:t>
      </w:r>
      <w:r w:rsidR="00903A91" w:rsidRPr="005B1706">
        <w:rPr>
          <w:vertAlign w:val="superscript"/>
        </w:rPr>
        <w:t>-1</w:t>
      </w:r>
      <w:r w:rsidR="00903A91">
        <w:t xml:space="preserve"> of bicarbonate daily. Anyway, productivity is significantly different. Considering the stationary phase, </w:t>
      </w:r>
      <w:r w:rsidR="0043545B">
        <w:t>fed-</w:t>
      </w:r>
      <w:r w:rsidR="00903A91">
        <w:t>batch supply of bicarbonate resulted in</w:t>
      </w:r>
      <w:r w:rsidR="0043545B">
        <w:t xml:space="preserve"> a biomass productivity of 0.125 g</w:t>
      </w:r>
      <w:r w:rsidR="0043545B" w:rsidRPr="006136C2">
        <w:rPr>
          <w:vertAlign w:val="subscript"/>
        </w:rPr>
        <w:t>X</w:t>
      </w:r>
      <w:r w:rsidR="0043545B">
        <w:t xml:space="preserve"> L</w:t>
      </w:r>
      <w:r w:rsidR="0043545B" w:rsidRPr="00BD6A86">
        <w:rPr>
          <w:vertAlign w:val="superscript"/>
        </w:rPr>
        <w:t>-1</w:t>
      </w:r>
      <w:r w:rsidR="0043545B">
        <w:t xml:space="preserve"> d</w:t>
      </w:r>
      <w:r w:rsidR="0043545B" w:rsidRPr="00BD6A86">
        <w:rPr>
          <w:vertAlign w:val="superscript"/>
        </w:rPr>
        <w:t>-1</w:t>
      </w:r>
      <w:r w:rsidR="0043545B">
        <w:t>, three times lower than that reached in batch mode</w:t>
      </w:r>
      <w:r w:rsidR="00903A91">
        <w:t xml:space="preserve"> </w:t>
      </w:r>
      <w:r w:rsidR="0043545B">
        <w:t>(</w:t>
      </w:r>
      <w:r w:rsidR="00CE72AF">
        <w:t>0.345 g</w:t>
      </w:r>
      <w:r w:rsidR="000C0F23" w:rsidRPr="000C0F23">
        <w:rPr>
          <w:vertAlign w:val="subscript"/>
        </w:rPr>
        <w:t>X</w:t>
      </w:r>
      <w:r w:rsidR="00CE72AF">
        <w:t xml:space="preserve"> L</w:t>
      </w:r>
      <w:r w:rsidR="00CE72AF" w:rsidRPr="005B1706">
        <w:rPr>
          <w:vertAlign w:val="superscript"/>
        </w:rPr>
        <w:t>-1</w:t>
      </w:r>
      <w:r w:rsidR="00CE72AF">
        <w:t xml:space="preserve"> d</w:t>
      </w:r>
      <w:r w:rsidR="00CE72AF" w:rsidRPr="005B1706">
        <w:rPr>
          <w:vertAlign w:val="superscript"/>
        </w:rPr>
        <w:t>-1</w:t>
      </w:r>
      <w:r w:rsidR="00CE72AF">
        <w:t>).</w:t>
      </w:r>
      <w:r w:rsidR="0043545B">
        <w:t xml:space="preserve"> This difference </w:t>
      </w:r>
      <w:r w:rsidR="002A29C0">
        <w:t>is</w:t>
      </w:r>
      <w:r w:rsidR="0043545B">
        <w:t xml:space="preserve"> due to the long</w:t>
      </w:r>
      <w:r w:rsidR="00D22686">
        <w:t>er</w:t>
      </w:r>
      <w:r w:rsidR="0043545B">
        <w:t xml:space="preserve"> lag-phase through which </w:t>
      </w:r>
      <w:r w:rsidR="0043545B">
        <w:rPr>
          <w:i/>
          <w:iCs/>
        </w:rPr>
        <w:t xml:space="preserve">P. tricornutum </w:t>
      </w:r>
      <w:r w:rsidR="0043545B">
        <w:t>underwent in both FB</w:t>
      </w:r>
      <w:r w:rsidR="0043545B">
        <w:rPr>
          <w:vertAlign w:val="subscript"/>
        </w:rPr>
        <w:t xml:space="preserve">1 </w:t>
      </w:r>
      <w:r w:rsidR="0043545B">
        <w:t>and FB</w:t>
      </w:r>
      <w:r w:rsidR="0043545B">
        <w:rPr>
          <w:vertAlign w:val="subscript"/>
        </w:rPr>
        <w:t>2</w:t>
      </w:r>
      <w:r w:rsidR="0043545B">
        <w:t>. As a comparison, a similar behavior was never recorded in previous batch cultivation</w:t>
      </w:r>
      <w:r w:rsidR="00CE72AF">
        <w:t xml:space="preserve"> </w:t>
      </w:r>
      <w:r w:rsidR="006136C2">
        <w:t xml:space="preserve">for this species </w:t>
      </w:r>
      <w:r w:rsidR="00CE72AF">
        <w:t>(</w:t>
      </w:r>
      <w:r w:rsidR="000140B9">
        <w:t xml:space="preserve">see </w:t>
      </w:r>
      <w:r w:rsidR="00CE72AF">
        <w:t xml:space="preserve">also Figure 1A). </w:t>
      </w:r>
      <w:r w:rsidR="0043545B">
        <w:t>Efficient external HCO</w:t>
      </w:r>
      <w:r w:rsidR="0043545B">
        <w:rPr>
          <w:vertAlign w:val="subscript"/>
        </w:rPr>
        <w:t>3</w:t>
      </w:r>
      <w:r w:rsidR="0043545B">
        <w:rPr>
          <w:vertAlign w:val="superscript"/>
        </w:rPr>
        <w:t>-</w:t>
      </w:r>
      <w:r w:rsidR="0043545B">
        <w:t xml:space="preserve"> uptake by means of carbonic anhydrase</w:t>
      </w:r>
      <w:r w:rsidR="00D81FBB">
        <w:t>s</w:t>
      </w:r>
      <w:r w:rsidR="0043545B">
        <w:t xml:space="preserve"> is strongly</w:t>
      </w:r>
      <w:r w:rsidR="00D81FBB">
        <w:t xml:space="preserve"> dependent on </w:t>
      </w:r>
      <w:r w:rsidR="002A29C0">
        <w:t xml:space="preserve">substrate </w:t>
      </w:r>
      <w:r w:rsidR="00D81FBB">
        <w:t>affinity. Hence, these results suggest that for a fast growing a certain initial carbon pool must be available from the beginning of the cultivation.</w:t>
      </w:r>
    </w:p>
    <w:p w14:paraId="57D401A0" w14:textId="0DC0C950" w:rsidR="00DB17E1" w:rsidRDefault="000140B9" w:rsidP="00D02C55">
      <w:pPr>
        <w:pStyle w:val="CETBodytext"/>
      </w:pPr>
      <w:r>
        <w:t xml:space="preserve">The study of pH increase during cellular growth shows small differences between fed-batch and batch addition of bicarbonate </w:t>
      </w:r>
      <w:r w:rsidR="0001431A">
        <w:t>(Figure 2</w:t>
      </w:r>
      <w:r w:rsidR="00221A44">
        <w:t>B</w:t>
      </w:r>
      <w:r w:rsidR="0001431A">
        <w:t>)</w:t>
      </w:r>
      <w:r w:rsidR="00CE72AF">
        <w:t xml:space="preserve">. </w:t>
      </w:r>
      <w:r w:rsidR="00D22686">
        <w:t>Still</w:t>
      </w:r>
      <w:r w:rsidR="00CE72AF">
        <w:t>,</w:t>
      </w:r>
      <w:r w:rsidR="00221A44">
        <w:t xml:space="preserve"> it should be not</w:t>
      </w:r>
      <w:r w:rsidR="00D81FBB">
        <w:t>iced</w:t>
      </w:r>
      <w:r w:rsidR="00221A44">
        <w:t xml:space="preserve"> that in FB</w:t>
      </w:r>
      <w:r w:rsidR="00221A44" w:rsidRPr="00DE719A">
        <w:rPr>
          <w:vertAlign w:val="subscript"/>
        </w:rPr>
        <w:t>1</w:t>
      </w:r>
      <w:r w:rsidR="00221A44">
        <w:t xml:space="preserve"> trials pH was buffered at about 9.0 from day 4 to day 7</w:t>
      </w:r>
      <w:r w:rsidR="00B32508">
        <w:t xml:space="preserve">. As mentioned in section 2.2, increased </w:t>
      </w:r>
      <w:r w:rsidR="00D81FBB">
        <w:t>doses</w:t>
      </w:r>
      <w:r w:rsidR="00B32508">
        <w:t xml:space="preserve"> of NaHCO</w:t>
      </w:r>
      <w:r w:rsidR="00B32508" w:rsidRPr="00D81FBB">
        <w:rPr>
          <w:vertAlign w:val="subscript"/>
        </w:rPr>
        <w:t>3</w:t>
      </w:r>
      <w:r w:rsidR="00B32508">
        <w:t xml:space="preserve"> were </w:t>
      </w:r>
      <w:r w:rsidR="00D81FBB">
        <w:t>fed</w:t>
      </w:r>
      <w:r w:rsidR="00B32508">
        <w:t xml:space="preserve"> </w:t>
      </w:r>
      <w:r>
        <w:t>on</w:t>
      </w:r>
      <w:r w:rsidR="00B32508">
        <w:t xml:space="preserve"> day four</w:t>
      </w:r>
      <w:r w:rsidR="00221A44">
        <w:t>.</w:t>
      </w:r>
      <w:r w:rsidR="00B32508">
        <w:t xml:space="preserve"> In the same days, </w:t>
      </w:r>
      <w:r w:rsidR="00B32508">
        <w:rPr>
          <w:i/>
          <w:iCs/>
        </w:rPr>
        <w:t xml:space="preserve">P. tricornutum </w:t>
      </w:r>
      <w:r w:rsidR="00B32508">
        <w:t>continued its growth trend consuming the whole carbon pool (data not shown here).</w:t>
      </w:r>
      <w:r w:rsidR="00221A44">
        <w:t xml:space="preserve"> </w:t>
      </w:r>
      <w:r w:rsidR="00DE719A">
        <w:t xml:space="preserve">It is reasonable to </w:t>
      </w:r>
      <w:r>
        <w:t xml:space="preserve">think that spike addition of </w:t>
      </w:r>
      <w:r w:rsidR="007D6378">
        <w:t>excess</w:t>
      </w:r>
      <w:r>
        <w:t xml:space="preserve"> bicarbonate</w:t>
      </w:r>
      <w:r w:rsidR="002A29C0">
        <w:t xml:space="preserve"> during cellular active growth</w:t>
      </w:r>
      <w:r w:rsidR="006D6BF5">
        <w:t xml:space="preserve"> possibly</w:t>
      </w:r>
      <w:r>
        <w:t xml:space="preserve"> contributed </w:t>
      </w:r>
      <w:r w:rsidR="006D6BF5">
        <w:t>to</w:t>
      </w:r>
      <w:r>
        <w:t xml:space="preserve"> pH buffering</w:t>
      </w:r>
      <w:r w:rsidR="00D81FBB">
        <w:t>, neutralizing OH</w:t>
      </w:r>
      <w:r w:rsidR="00D81FBB">
        <w:rPr>
          <w:vertAlign w:val="superscript"/>
        </w:rPr>
        <w:t xml:space="preserve">- </w:t>
      </w:r>
      <w:r w:rsidR="00D81FBB">
        <w:t>released by the cells to generate carbonate (CO</w:t>
      </w:r>
      <w:r w:rsidR="00D81FBB">
        <w:rPr>
          <w:vertAlign w:val="subscript"/>
        </w:rPr>
        <w:t>3</w:t>
      </w:r>
      <w:r w:rsidR="00D81FBB">
        <w:rPr>
          <w:vertAlign w:val="superscript"/>
        </w:rPr>
        <w:t>2-</w:t>
      </w:r>
      <w:r w:rsidR="00D81FBB">
        <w:t>) and water (H</w:t>
      </w:r>
      <w:r w:rsidR="00D81FBB">
        <w:rPr>
          <w:vertAlign w:val="subscript"/>
        </w:rPr>
        <w:t>2</w:t>
      </w:r>
      <w:r w:rsidR="00D81FBB">
        <w:t>O)</w:t>
      </w:r>
      <w:r>
        <w:t xml:space="preserve">. The same result </w:t>
      </w:r>
      <w:r w:rsidR="00D02C55">
        <w:t>cannot</w:t>
      </w:r>
      <w:r>
        <w:t xml:space="preserve"> be seen in FB</w:t>
      </w:r>
      <w:r w:rsidRPr="00D02C55">
        <w:rPr>
          <w:vertAlign w:val="subscript"/>
        </w:rPr>
        <w:t>2</w:t>
      </w:r>
      <w:r>
        <w:t xml:space="preserve">, where biomass concentration remained steady in the same </w:t>
      </w:r>
      <w:r w:rsidR="00D02C55">
        <w:t>period</w:t>
      </w:r>
      <w:r>
        <w:t>, while pH increased</w:t>
      </w:r>
      <w:r w:rsidR="00D02C55">
        <w:t xml:space="preserve"> to values up to 10. </w:t>
      </w:r>
    </w:p>
    <w:p w14:paraId="2738EF5D" w14:textId="2ADA80CE" w:rsidR="00DB17E1" w:rsidRDefault="00DB17E1" w:rsidP="00DB17E1">
      <w:pPr>
        <w:pStyle w:val="CETHeading1"/>
      </w:pPr>
      <w:r>
        <w:t>Conclusions</w:t>
      </w:r>
    </w:p>
    <w:p w14:paraId="669281F0" w14:textId="10106833" w:rsidR="00D179F0" w:rsidRDefault="00C96C14" w:rsidP="00C96C14">
      <w:pPr>
        <w:pStyle w:val="CETBodytext"/>
      </w:pPr>
      <w:r>
        <w:t>Bicarbonate-based batch cultivation of different commercially-relevant microalgal strains was addressed in this study. Significant biomass concentrations were reached at different bicarbonate concentrations</w:t>
      </w:r>
      <w:r w:rsidR="00C67036">
        <w:t xml:space="preserve">. </w:t>
      </w:r>
      <w:r>
        <w:rPr>
          <w:i/>
          <w:iCs/>
        </w:rPr>
        <w:t xml:space="preserve">Tetraselmis chuii </w:t>
      </w:r>
      <w:r>
        <w:t>(0.94 g</w:t>
      </w:r>
      <w:r w:rsidRPr="006D6BF5">
        <w:rPr>
          <w:vertAlign w:val="subscript"/>
        </w:rPr>
        <w:t>X</w:t>
      </w:r>
      <w:r>
        <w:t xml:space="preserve"> L</w:t>
      </w:r>
      <w:r w:rsidRPr="006D6BF5">
        <w:rPr>
          <w:vertAlign w:val="superscript"/>
        </w:rPr>
        <w:t>-1</w:t>
      </w:r>
      <w:r>
        <w:t xml:space="preserve">) and </w:t>
      </w:r>
      <w:r>
        <w:rPr>
          <w:i/>
          <w:iCs/>
        </w:rPr>
        <w:t xml:space="preserve">Phaeodactylum tricornutum </w:t>
      </w:r>
      <w:r>
        <w:t>(1.12 g</w:t>
      </w:r>
      <w:r w:rsidRPr="006D6BF5">
        <w:rPr>
          <w:vertAlign w:val="subscript"/>
        </w:rPr>
        <w:t>X</w:t>
      </w:r>
      <w:r>
        <w:t xml:space="preserve"> L</w:t>
      </w:r>
      <w:r w:rsidRPr="006D6BF5">
        <w:rPr>
          <w:vertAlign w:val="superscript"/>
        </w:rPr>
        <w:t>-1</w:t>
      </w:r>
      <w:r>
        <w:t>)</w:t>
      </w:r>
      <w:r w:rsidR="00C67036">
        <w:t xml:space="preserve"> performed the best</w:t>
      </w:r>
      <w:r>
        <w:t xml:space="preserve"> when supplying 2.5 g L</w:t>
      </w:r>
      <w:r w:rsidRPr="006D6BF5">
        <w:rPr>
          <w:vertAlign w:val="superscript"/>
        </w:rPr>
        <w:t>-1</w:t>
      </w:r>
      <w:r>
        <w:t xml:space="preserve"> of NaHCO</w:t>
      </w:r>
      <w:r>
        <w:rPr>
          <w:vertAlign w:val="subscript"/>
        </w:rPr>
        <w:t>3</w:t>
      </w:r>
      <w:r>
        <w:t>. The latter one resulted in the highest specific growth rate (0.85 d</w:t>
      </w:r>
      <w:r w:rsidRPr="006D6BF5">
        <w:rPr>
          <w:vertAlign w:val="superscript"/>
        </w:rPr>
        <w:t>-1</w:t>
      </w:r>
      <w:r>
        <w:t>) and, hence, in the highest biomass productivity (0.345 g</w:t>
      </w:r>
      <w:r w:rsidRPr="006D6BF5">
        <w:rPr>
          <w:vertAlign w:val="subscript"/>
        </w:rPr>
        <w:t>X</w:t>
      </w:r>
      <w:r>
        <w:t xml:space="preserve"> L</w:t>
      </w:r>
      <w:r w:rsidRPr="006D6BF5">
        <w:rPr>
          <w:vertAlign w:val="superscript"/>
        </w:rPr>
        <w:t>-1</w:t>
      </w:r>
      <w:r>
        <w:t xml:space="preserve"> d</w:t>
      </w:r>
      <w:r w:rsidRPr="006D6BF5">
        <w:rPr>
          <w:vertAlign w:val="superscript"/>
        </w:rPr>
        <w:t>-1</w:t>
      </w:r>
      <w:r>
        <w:t xml:space="preserve">), comparable to </w:t>
      </w:r>
      <w:r w:rsidR="006D6BF5">
        <w:t>that reached in CO</w:t>
      </w:r>
      <w:r w:rsidR="006D6BF5">
        <w:rPr>
          <w:vertAlign w:val="subscript"/>
        </w:rPr>
        <w:t>2</w:t>
      </w:r>
      <w:r w:rsidR="006D6BF5">
        <w:t>-based cultivations for this species.</w:t>
      </w:r>
      <w:r w:rsidR="007D6378">
        <w:t xml:space="preserve"> Moreover,</w:t>
      </w:r>
      <w:r w:rsidR="006D6BF5">
        <w:t xml:space="preserve"> </w:t>
      </w:r>
      <w:r w:rsidR="007D6378">
        <w:t>t</w:t>
      </w:r>
      <w:r w:rsidR="006D6BF5">
        <w:t>he diatom was able to grow at bicarbonate concentrations up to 8.0 g L</w:t>
      </w:r>
      <w:r w:rsidR="006D6BF5" w:rsidRPr="007D6378">
        <w:rPr>
          <w:vertAlign w:val="superscript"/>
        </w:rPr>
        <w:t>-1</w:t>
      </w:r>
      <w:r w:rsidR="006D6BF5">
        <w:t xml:space="preserve">. When addressing pH stabilization by alternative bicarbonate supply modes, we found that no significant improvements in pH mitigation can be seen when an excess of bicarbonate is supplied. The daily fed-batch addition of inorganic carbon, instead, showed a negative impact on biomass growth rate and overall process productivity. Nevertheless, some pH mitigation </w:t>
      </w:r>
      <w:r w:rsidR="006D6BF5">
        <w:lastRenderedPageBreak/>
        <w:t xml:space="preserve">occurred when spikes of inorganic carbon were supplied during linear growth of </w:t>
      </w:r>
      <w:r w:rsidR="006D6BF5">
        <w:rPr>
          <w:i/>
          <w:iCs/>
        </w:rPr>
        <w:t>P. tricornutum</w:t>
      </w:r>
      <w:r w:rsidR="006D6BF5">
        <w:t xml:space="preserve">. This result suggests that </w:t>
      </w:r>
      <w:r w:rsidR="00AA6A5C">
        <w:t xml:space="preserve">culture </w:t>
      </w:r>
      <w:r w:rsidR="006D6BF5">
        <w:t>alkalinization could be</w:t>
      </w:r>
      <w:r w:rsidR="00AA6A5C">
        <w:t xml:space="preserve"> reduced</w:t>
      </w:r>
      <w:r w:rsidR="006D6BF5">
        <w:t xml:space="preserve"> when </w:t>
      </w:r>
      <w:r w:rsidR="00AA6A5C">
        <w:t>delaying bicarbonate fed-</w:t>
      </w:r>
      <w:proofErr w:type="gramStart"/>
      <w:r w:rsidR="00AA6A5C">
        <w:t>batch</w:t>
      </w:r>
      <w:proofErr w:type="gramEnd"/>
      <w:r w:rsidR="00AA6A5C">
        <w:t xml:space="preserve"> addition to the active growth phase of culture. </w:t>
      </w:r>
      <w:r w:rsidR="00D22686">
        <w:t>However</w:t>
      </w:r>
      <w:r w:rsidR="00AA6A5C">
        <w:t>, to overcome smaller growth rate issues observed, the initial carbon concentration should be finely balanced to avoid both carbon limitation as well as growth inhibition.</w:t>
      </w:r>
    </w:p>
    <w:p w14:paraId="67D16CA2" w14:textId="681F47EE" w:rsidR="00272625" w:rsidRDefault="003A0B91" w:rsidP="003D4CCD">
      <w:pPr>
        <w:pStyle w:val="CETBodytext"/>
      </w:pPr>
      <w:r>
        <w:t>Finally, o</w:t>
      </w:r>
      <w:r w:rsidR="0039162B">
        <w:t>ur work pose</w:t>
      </w:r>
      <w:r w:rsidR="00B3745C">
        <w:t>s</w:t>
      </w:r>
      <w:r w:rsidR="0039162B">
        <w:t xml:space="preserve"> the basis for further experimentation</w:t>
      </w:r>
      <w:r w:rsidR="002A29C0">
        <w:t>s</w:t>
      </w:r>
      <w:r>
        <w:t xml:space="preserve"> aim</w:t>
      </w:r>
      <w:r w:rsidR="00390077">
        <w:t>ed</w:t>
      </w:r>
      <w:r>
        <w:t xml:space="preserve"> at stabiliz</w:t>
      </w:r>
      <w:r w:rsidR="00390077">
        <w:t>ing</w:t>
      </w:r>
      <w:r>
        <w:t xml:space="preserve"> the cultivation of environment to </w:t>
      </w:r>
      <w:r w:rsidR="00390077">
        <w:t>enhance</w:t>
      </w:r>
      <w:r>
        <w:t xml:space="preserve"> biomass productivity</w:t>
      </w:r>
      <w:r w:rsidR="00390077">
        <w:t>,</w:t>
      </w:r>
      <w:r w:rsidRPr="0016218B">
        <w:t xml:space="preserve"> extend th</w:t>
      </w:r>
      <w:r w:rsidR="00390077">
        <w:t>e</w:t>
      </w:r>
      <w:r w:rsidRPr="0016218B">
        <w:t xml:space="preserve"> application to several other</w:t>
      </w:r>
      <w:r>
        <w:t xml:space="preserve"> mesophilic</w:t>
      </w:r>
      <w:r w:rsidRPr="0016218B">
        <w:t xml:space="preserve"> strains a</w:t>
      </w:r>
      <w:r w:rsidR="00390077">
        <w:t>nd</w:t>
      </w:r>
      <w:r w:rsidRPr="0016218B">
        <w:t xml:space="preserve"> characterize biomass composition to validate</w:t>
      </w:r>
      <w:r w:rsidR="00390077">
        <w:t xml:space="preserve"> the</w:t>
      </w:r>
      <w:r w:rsidRPr="0016218B">
        <w:t xml:space="preserve"> industrial </w:t>
      </w:r>
      <w:r>
        <w:t>feasibility</w:t>
      </w:r>
      <w:r w:rsidRPr="0016218B">
        <w:t xml:space="preserve"> of BICCAPSO.</w:t>
      </w:r>
    </w:p>
    <w:p w14:paraId="06730E2C" w14:textId="77777777" w:rsidR="00EC75B9" w:rsidRDefault="00EC75B9" w:rsidP="003D4CCD">
      <w:pPr>
        <w:pStyle w:val="CETBodytext"/>
      </w:pPr>
    </w:p>
    <w:p w14:paraId="2A109988" w14:textId="77777777" w:rsidR="003D4CCD" w:rsidRDefault="009E1BB2" w:rsidP="003D4CCD">
      <w:pPr>
        <w:pStyle w:val="CETReference"/>
      </w:pPr>
      <w:r>
        <w:t>References</w:t>
      </w:r>
    </w:p>
    <w:p w14:paraId="6BDFA8A2" w14:textId="0F7CA0D4" w:rsidR="00965C57" w:rsidRPr="00965C57" w:rsidRDefault="009E1BB2" w:rsidP="00D009EA">
      <w:pPr>
        <w:pStyle w:val="CETReferencetext"/>
        <w:rPr>
          <w:noProof/>
        </w:rPr>
      </w:pPr>
      <w:r>
        <w:rPr>
          <w:b/>
        </w:rPr>
        <w:fldChar w:fldCharType="begin" w:fldLock="1"/>
      </w:r>
      <w:r>
        <w:instrText xml:space="preserve">ADDIN Mendeley Bibliography CSL_BIBLIOGRAPHY </w:instrText>
      </w:r>
      <w:r>
        <w:rPr>
          <w:b/>
        </w:rPr>
        <w:fldChar w:fldCharType="separate"/>
      </w:r>
      <w:r w:rsidR="00965C57" w:rsidRPr="00965C57">
        <w:rPr>
          <w:noProof/>
        </w:rPr>
        <w:t xml:space="preserve">Almutairi, Adel W., Abo El Khair B. El-Sayed, and Marwa M. Reda. 2020. “Combined Effect of Salinity and </w:t>
      </w:r>
      <w:r w:rsidR="00725C9C">
        <w:rPr>
          <w:noProof/>
        </w:rPr>
        <w:t>p</w:t>
      </w:r>
      <w:r w:rsidR="00965C57" w:rsidRPr="00965C57">
        <w:rPr>
          <w:noProof/>
        </w:rPr>
        <w:t xml:space="preserve">H on Lipid Content and Fatty Acid Composition of Tisochrysis Lutea.” </w:t>
      </w:r>
      <w:r w:rsidR="00965C57" w:rsidRPr="00A64910">
        <w:rPr>
          <w:noProof/>
        </w:rPr>
        <w:t>Saudi Journal of Biological Sciences</w:t>
      </w:r>
      <w:r w:rsidR="00965C57" w:rsidRPr="00965C57">
        <w:rPr>
          <w:noProof/>
        </w:rPr>
        <w:t xml:space="preserve"> 27(12): 3553–58.</w:t>
      </w:r>
    </w:p>
    <w:p w14:paraId="7E5535BA" w14:textId="77777777" w:rsidR="00965C57" w:rsidRPr="00965C57" w:rsidRDefault="00965C57" w:rsidP="00D009EA">
      <w:pPr>
        <w:pStyle w:val="CETReferencetext"/>
        <w:rPr>
          <w:noProof/>
        </w:rPr>
      </w:pPr>
      <w:r w:rsidRPr="00965C57">
        <w:rPr>
          <w:noProof/>
        </w:rPr>
        <w:t xml:space="preserve">Chi, Zhanyou et al. 2014. “Selection of Microalgae and Cyanobacteria Strains for Bicarbonate-Based Integrated Carbon Capture and Algae Production System.” </w:t>
      </w:r>
      <w:r w:rsidRPr="00A64910">
        <w:rPr>
          <w:noProof/>
        </w:rPr>
        <w:t>Applied Biochemistry and Biotechnology</w:t>
      </w:r>
      <w:r w:rsidRPr="00965C57">
        <w:rPr>
          <w:noProof/>
        </w:rPr>
        <w:t xml:space="preserve"> 172(1): 447–57.</w:t>
      </w:r>
    </w:p>
    <w:p w14:paraId="25FB098C" w14:textId="77777777" w:rsidR="00965C57" w:rsidRPr="00965C57" w:rsidRDefault="00965C57" w:rsidP="00D009EA">
      <w:pPr>
        <w:pStyle w:val="CETReferencetext"/>
        <w:rPr>
          <w:noProof/>
        </w:rPr>
      </w:pPr>
      <w:r w:rsidRPr="00965C57">
        <w:rPr>
          <w:noProof/>
        </w:rPr>
        <w:t xml:space="preserve">Chi, Zhanyou, James V. O’Fallon, and Shulin Chen. 2011. “Bicarbonate Produced from Carbon Capture for Algae Culture.” </w:t>
      </w:r>
      <w:r w:rsidRPr="00A64910">
        <w:rPr>
          <w:noProof/>
        </w:rPr>
        <w:t xml:space="preserve">Trends in Biotechnology </w:t>
      </w:r>
      <w:r w:rsidRPr="00965C57">
        <w:rPr>
          <w:noProof/>
        </w:rPr>
        <w:t>29(11): 537–41.</w:t>
      </w:r>
    </w:p>
    <w:p w14:paraId="2AAA05C5" w14:textId="77777777" w:rsidR="00965C57" w:rsidRPr="00965C57" w:rsidRDefault="00965C57" w:rsidP="00D009EA">
      <w:pPr>
        <w:pStyle w:val="CETReferencetext"/>
        <w:rPr>
          <w:noProof/>
        </w:rPr>
      </w:pPr>
      <w:r w:rsidRPr="00965C57">
        <w:rPr>
          <w:noProof/>
        </w:rPr>
        <w:t xml:space="preserve">Gao, Fengzheng, Iago Teles (Cabanelas, ITD), René H. Wijffels, and Maria J. Barbosa. 2020. “Process Optimization of Fucoxanthin Production with Tisochrysis Lutea.” </w:t>
      </w:r>
      <w:r w:rsidRPr="00A64910">
        <w:rPr>
          <w:noProof/>
        </w:rPr>
        <w:t>Bioresource Technology</w:t>
      </w:r>
      <w:r w:rsidRPr="00965C57">
        <w:rPr>
          <w:noProof/>
        </w:rPr>
        <w:t xml:space="preserve"> 315.</w:t>
      </w:r>
    </w:p>
    <w:p w14:paraId="57AC1C19" w14:textId="77777777" w:rsidR="00965C57" w:rsidRPr="00965C57" w:rsidRDefault="00965C57" w:rsidP="00D009EA">
      <w:pPr>
        <w:pStyle w:val="CETReferencetext"/>
        <w:rPr>
          <w:noProof/>
        </w:rPr>
      </w:pPr>
      <w:r w:rsidRPr="00965C57">
        <w:rPr>
          <w:noProof/>
        </w:rPr>
        <w:t xml:space="preserve">Guillard, Robert RL. 1975. “Culture of Phytoplankton for Feeding Marine Invertebrates.” In </w:t>
      </w:r>
      <w:r w:rsidRPr="00A64910">
        <w:rPr>
          <w:noProof/>
        </w:rPr>
        <w:t>Culture of Marine Invertebrate Animals: Proceedings—1st Conference on Culture of Marine Invertebrate Animals Greenport</w:t>
      </w:r>
      <w:r w:rsidRPr="00965C57">
        <w:rPr>
          <w:noProof/>
        </w:rPr>
        <w:t>, Springer, 29–30.</w:t>
      </w:r>
    </w:p>
    <w:p w14:paraId="00BEDA81" w14:textId="5D458229" w:rsidR="00965C57" w:rsidRPr="00965C57" w:rsidRDefault="00965C57" w:rsidP="00D009EA">
      <w:pPr>
        <w:pStyle w:val="CETReferencetext"/>
        <w:rPr>
          <w:noProof/>
        </w:rPr>
      </w:pPr>
      <w:r w:rsidRPr="00965C57">
        <w:rPr>
          <w:noProof/>
        </w:rPr>
        <w:t xml:space="preserve">Hopkinson, Brian M., Christopher L. Dupont, and Yusuke Matsuda. 2016. “The Physiology and Genetics of CO2 Concentrating Mechanisms in Model Diatoms.” </w:t>
      </w:r>
      <w:r w:rsidRPr="00A64910">
        <w:rPr>
          <w:noProof/>
        </w:rPr>
        <w:t>Current Opinion in Plant Biology</w:t>
      </w:r>
      <w:r w:rsidRPr="00965C57">
        <w:rPr>
          <w:noProof/>
        </w:rPr>
        <w:t xml:space="preserve"> 31: 51–57. </w:t>
      </w:r>
    </w:p>
    <w:p w14:paraId="34D13E29" w14:textId="77777777" w:rsidR="00965C57" w:rsidRPr="00965C57" w:rsidRDefault="00965C57" w:rsidP="00D009EA">
      <w:pPr>
        <w:pStyle w:val="CETReferencetext"/>
        <w:rPr>
          <w:noProof/>
        </w:rPr>
      </w:pPr>
      <w:r w:rsidRPr="00965C57">
        <w:rPr>
          <w:noProof/>
        </w:rPr>
        <w:t xml:space="preserve">Kim, Ga Yeong, Kosan Roh, and Jong In Han. 2019. “The Use of Bicarbonate for Microalgae Cultivation and Its Carbon Footprint Analysis.” </w:t>
      </w:r>
      <w:r w:rsidRPr="00A64910">
        <w:rPr>
          <w:noProof/>
        </w:rPr>
        <w:t xml:space="preserve">Green Chemistry </w:t>
      </w:r>
      <w:r w:rsidRPr="00965C57">
        <w:rPr>
          <w:noProof/>
        </w:rPr>
        <w:t>21(18): 5053–62.</w:t>
      </w:r>
    </w:p>
    <w:p w14:paraId="5A4A86AE" w14:textId="77777777" w:rsidR="00965C57" w:rsidRPr="00965C57" w:rsidRDefault="00965C57" w:rsidP="00D009EA">
      <w:pPr>
        <w:pStyle w:val="CETReferencetext"/>
        <w:rPr>
          <w:noProof/>
        </w:rPr>
      </w:pPr>
      <w:r w:rsidRPr="00965C57">
        <w:rPr>
          <w:noProof/>
        </w:rPr>
        <w:t xml:space="preserve">Kusi, Philip Asare, Donal McGee, Shamas Tabraiz, and Asma Ahmed. 2024. “Bicarbonate Concentration Influences Carbon Utilization Rates and Biochemical Profiles of Freshwater and Marine Microalgae.” </w:t>
      </w:r>
      <w:r w:rsidRPr="00A64910">
        <w:rPr>
          <w:noProof/>
        </w:rPr>
        <w:t xml:space="preserve">Biotechnology Journal </w:t>
      </w:r>
      <w:r w:rsidRPr="00965C57">
        <w:rPr>
          <w:noProof/>
        </w:rPr>
        <w:t>19(8): 1–12.</w:t>
      </w:r>
    </w:p>
    <w:p w14:paraId="781DBA1B" w14:textId="77777777" w:rsidR="00965C57" w:rsidRPr="00965C57" w:rsidRDefault="00965C57" w:rsidP="00D009EA">
      <w:pPr>
        <w:pStyle w:val="CETReferencetext"/>
        <w:rPr>
          <w:noProof/>
        </w:rPr>
      </w:pPr>
      <w:r w:rsidRPr="00965C57">
        <w:rPr>
          <w:noProof/>
        </w:rPr>
        <w:t xml:space="preserve">Latagan, Mary Joy D. et al. 2024. “Bicarbonate-Based Microalgal Cultivation Technologies: Mechanisms, Critical Strategies, and Future Perspectives.” </w:t>
      </w:r>
      <w:r w:rsidRPr="00A64910">
        <w:rPr>
          <w:noProof/>
        </w:rPr>
        <w:t>Chemical Engineering Journal</w:t>
      </w:r>
      <w:r w:rsidRPr="00965C57">
        <w:rPr>
          <w:noProof/>
        </w:rPr>
        <w:t xml:space="preserve"> 502(September).</w:t>
      </w:r>
    </w:p>
    <w:p w14:paraId="27798DC1" w14:textId="77777777" w:rsidR="00965C57" w:rsidRPr="00965C57" w:rsidRDefault="00965C57" w:rsidP="00D009EA">
      <w:pPr>
        <w:pStyle w:val="CETReferencetext"/>
        <w:rPr>
          <w:noProof/>
        </w:rPr>
      </w:pPr>
      <w:r w:rsidRPr="00965C57">
        <w:rPr>
          <w:noProof/>
        </w:rPr>
        <w:t>Llamas, Bernardo et al. 2021. “Techno-Economic Analysis of Microalgae Related Processes for CO</w:t>
      </w:r>
      <w:r w:rsidRPr="00725C9C">
        <w:rPr>
          <w:noProof/>
          <w:vertAlign w:val="subscript"/>
        </w:rPr>
        <w:t>2</w:t>
      </w:r>
      <w:r w:rsidRPr="00965C57">
        <w:rPr>
          <w:noProof/>
        </w:rPr>
        <w:t xml:space="preserve"> Bio-Fixation.” </w:t>
      </w:r>
      <w:r w:rsidRPr="00A64910">
        <w:rPr>
          <w:noProof/>
        </w:rPr>
        <w:t xml:space="preserve">Algal Research </w:t>
      </w:r>
      <w:r w:rsidRPr="00965C57">
        <w:rPr>
          <w:noProof/>
        </w:rPr>
        <w:t>57(December 2020).</w:t>
      </w:r>
    </w:p>
    <w:p w14:paraId="7D3FE6F9" w14:textId="67578EDD" w:rsidR="00965C57" w:rsidRPr="00965C57" w:rsidRDefault="00965C57" w:rsidP="00D009EA">
      <w:pPr>
        <w:pStyle w:val="CETReferencetext"/>
        <w:rPr>
          <w:noProof/>
        </w:rPr>
      </w:pPr>
      <w:r w:rsidRPr="00965C57">
        <w:rPr>
          <w:noProof/>
        </w:rPr>
        <w:t xml:space="preserve">Mohamadnia, Sonia, Omid Tavakoli, Mohammad Ali Faramarzi, and Zahra Shamsollahi. 2020. “Production of Fucoxanthin by the Microalga Tisochrysis Lutea: A Review of Recent Developments.” </w:t>
      </w:r>
      <w:r w:rsidRPr="00A64910">
        <w:rPr>
          <w:noProof/>
        </w:rPr>
        <w:t>Aquaculture</w:t>
      </w:r>
      <w:r w:rsidRPr="00965C57">
        <w:rPr>
          <w:noProof/>
        </w:rPr>
        <w:t xml:space="preserve"> 516(September 2019): 734637.</w:t>
      </w:r>
    </w:p>
    <w:p w14:paraId="10558198" w14:textId="0CC672A3" w:rsidR="00965C57" w:rsidRPr="00965C57" w:rsidRDefault="00965C57" w:rsidP="00D009EA">
      <w:pPr>
        <w:pStyle w:val="CETReferencetext"/>
        <w:rPr>
          <w:noProof/>
        </w:rPr>
      </w:pPr>
      <w:r w:rsidRPr="00965C57">
        <w:rPr>
          <w:noProof/>
        </w:rPr>
        <w:t xml:space="preserve">Moraes, L. et al. 2020. “Bioprocess Strategies for Enhancing the Outdoor Production of Nannochloropsis Gaditana: An Evaluation of the Effects of PH on Culture Performance in Tubular Photobioreactors.” </w:t>
      </w:r>
      <w:r w:rsidRPr="00A64910">
        <w:rPr>
          <w:noProof/>
        </w:rPr>
        <w:t>Bioprocess and Biosystems Engineering</w:t>
      </w:r>
      <w:r w:rsidRPr="00965C57">
        <w:rPr>
          <w:noProof/>
        </w:rPr>
        <w:t xml:space="preserve"> 43(10): 1823–32.</w:t>
      </w:r>
    </w:p>
    <w:p w14:paraId="3B595539" w14:textId="34289555" w:rsidR="00965C57" w:rsidRPr="00965C57" w:rsidRDefault="00965C57" w:rsidP="00D009EA">
      <w:pPr>
        <w:pStyle w:val="CETReferencetext"/>
        <w:rPr>
          <w:noProof/>
        </w:rPr>
      </w:pPr>
      <w:r w:rsidRPr="00965C57">
        <w:rPr>
          <w:noProof/>
        </w:rPr>
        <w:t xml:space="preserve">Nunez, Marcella, and Antonietta Quigg. 2016. “Changes in Growth and Composition of the Marine Microalgae Phaeodactylum Tricornutum and Nannochloropsis Salina in Response to Changing Sodium Bicarbonate Concentrations.” </w:t>
      </w:r>
      <w:r w:rsidRPr="00A64910">
        <w:rPr>
          <w:noProof/>
        </w:rPr>
        <w:t>Journal of Applied Phycology</w:t>
      </w:r>
      <w:r w:rsidRPr="00965C57">
        <w:rPr>
          <w:noProof/>
        </w:rPr>
        <w:t xml:space="preserve"> 28(4): 2123–38. </w:t>
      </w:r>
    </w:p>
    <w:p w14:paraId="6D273D9A" w14:textId="77777777" w:rsidR="00965C57" w:rsidRPr="00965C57" w:rsidRDefault="00965C57" w:rsidP="00D009EA">
      <w:pPr>
        <w:pStyle w:val="CETReferencetext"/>
        <w:rPr>
          <w:noProof/>
        </w:rPr>
      </w:pPr>
      <w:r w:rsidRPr="00965C57">
        <w:rPr>
          <w:noProof/>
        </w:rPr>
        <w:t xml:space="preserve">Pedersen, Todd C., Robert D. Gardner, Robin Gerlach, and Brent M. Peyton. 2018. “Assessment of Nannochloropsis Gaditana Growth and Lipid Accumulation with Increased Inorganic Carbon Delivery.” </w:t>
      </w:r>
      <w:r w:rsidRPr="00A64910">
        <w:rPr>
          <w:noProof/>
        </w:rPr>
        <w:t>Journal of Applied Phycology</w:t>
      </w:r>
      <w:r w:rsidRPr="00965C57">
        <w:rPr>
          <w:noProof/>
        </w:rPr>
        <w:t xml:space="preserve"> 30(4): 2155–66.</w:t>
      </w:r>
    </w:p>
    <w:p w14:paraId="15732B3E" w14:textId="77777777" w:rsidR="00965C57" w:rsidRPr="00965C57" w:rsidRDefault="00965C57" w:rsidP="00D009EA">
      <w:pPr>
        <w:pStyle w:val="CETReferencetext"/>
        <w:rPr>
          <w:noProof/>
        </w:rPr>
      </w:pPr>
      <w:r w:rsidRPr="00965C57">
        <w:rPr>
          <w:noProof/>
        </w:rPr>
        <w:t xml:space="preserve">Price, G. Dean, Murray R. Badger, Fiona J. Woodger, and Ben M. Long. 2008. “Advances in Understanding the Cyanobacterial CO2-Concentrating- Mechanism (CCM): Functional Components, Ci Transporters, Diversity, Genetic Regulation and Prospects for Engineering into Plants.” </w:t>
      </w:r>
      <w:r w:rsidRPr="00A64910">
        <w:rPr>
          <w:noProof/>
        </w:rPr>
        <w:t>Journal of Experimental Botany</w:t>
      </w:r>
      <w:r w:rsidRPr="00965C57">
        <w:rPr>
          <w:noProof/>
        </w:rPr>
        <w:t xml:space="preserve"> 59(7): 1441–61.</w:t>
      </w:r>
    </w:p>
    <w:p w14:paraId="7E4EAB62" w14:textId="522BDB52" w:rsidR="00965C57" w:rsidRPr="00965C57" w:rsidRDefault="00965C57" w:rsidP="00D009EA">
      <w:pPr>
        <w:pStyle w:val="CETReferencetext"/>
        <w:rPr>
          <w:noProof/>
        </w:rPr>
      </w:pPr>
      <w:r w:rsidRPr="00965C57">
        <w:rPr>
          <w:noProof/>
        </w:rPr>
        <w:t xml:space="preserve">Roy, Uttam K., Tanja Radu, and Jonathan L. Wagner. 2021. “Carbon-Negative Biomethane Fuel Production: Integrating Anaerobic Digestion with Algae-Assisted Biogas Purification and Hydrothermal Carbonisation of Digestate.” </w:t>
      </w:r>
      <w:r w:rsidRPr="00A64910">
        <w:rPr>
          <w:noProof/>
        </w:rPr>
        <w:t>Biomass and Bioenergy</w:t>
      </w:r>
      <w:r w:rsidRPr="00965C57">
        <w:rPr>
          <w:noProof/>
        </w:rPr>
        <w:t xml:space="preserve"> 148(September 2020): 106029.</w:t>
      </w:r>
    </w:p>
    <w:p w14:paraId="63463D07" w14:textId="3960C62C" w:rsidR="00965C57" w:rsidRPr="00965C57" w:rsidRDefault="00965C57" w:rsidP="00D009EA">
      <w:pPr>
        <w:pStyle w:val="CETReferencetext"/>
        <w:rPr>
          <w:noProof/>
        </w:rPr>
      </w:pPr>
      <w:r w:rsidRPr="00965C57">
        <w:rPr>
          <w:noProof/>
        </w:rPr>
        <w:t xml:space="preserve">Sathasivam, Ramaraj, and Niran Juntawong. 2013. “Modified Medium for Enhanced Growth of Dunaliella Strains.” </w:t>
      </w:r>
      <w:r w:rsidRPr="00A64910">
        <w:rPr>
          <w:noProof/>
        </w:rPr>
        <w:t>Int J Curr Sci</w:t>
      </w:r>
      <w:r w:rsidRPr="00965C57">
        <w:rPr>
          <w:noProof/>
        </w:rPr>
        <w:t xml:space="preserve"> 5(January): 67–73. </w:t>
      </w:r>
    </w:p>
    <w:p w14:paraId="18A03346" w14:textId="77777777" w:rsidR="00965C57" w:rsidRPr="00965C57" w:rsidRDefault="00965C57" w:rsidP="00D009EA">
      <w:pPr>
        <w:pStyle w:val="CETReferencetext"/>
        <w:rPr>
          <w:noProof/>
        </w:rPr>
      </w:pPr>
      <w:r w:rsidRPr="00965C57">
        <w:rPr>
          <w:noProof/>
        </w:rPr>
        <w:t xml:space="preserve">Zhu, Chenba, He Zhu, Longyan Cheng, and Zhanyou Chi. 2018. “Bicarbonate-Based Carbon Capture and Algal Production System on Ocean with Floating Inflatable-Membrane Photobioreactor.” </w:t>
      </w:r>
      <w:r w:rsidRPr="00A64910">
        <w:rPr>
          <w:noProof/>
        </w:rPr>
        <w:t xml:space="preserve">Journal of Applied Phycology </w:t>
      </w:r>
      <w:r w:rsidRPr="00965C57">
        <w:rPr>
          <w:noProof/>
        </w:rPr>
        <w:t>30(2): 875–85.</w:t>
      </w:r>
    </w:p>
    <w:p w14:paraId="1755EF0C" w14:textId="492989BD" w:rsidR="001A0A76" w:rsidRPr="00C04F8F" w:rsidRDefault="009E1BB2" w:rsidP="00D009EA">
      <w:pPr>
        <w:pStyle w:val="CETReferencetext"/>
        <w:ind w:left="0" w:firstLine="0"/>
      </w:pPr>
      <w:r>
        <w:fldChar w:fldCharType="end"/>
      </w:r>
    </w:p>
    <w:sectPr w:rsidR="001A0A76" w:rsidRPr="00C04F8F"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C668E" w14:textId="77777777" w:rsidR="000C41B8" w:rsidRDefault="000C41B8" w:rsidP="004F5E36">
      <w:r>
        <w:separator/>
      </w:r>
    </w:p>
  </w:endnote>
  <w:endnote w:type="continuationSeparator" w:id="0">
    <w:p w14:paraId="0EFDB698" w14:textId="77777777" w:rsidR="000C41B8" w:rsidRDefault="000C41B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8A386" w14:textId="77777777" w:rsidR="000C41B8" w:rsidRDefault="000C41B8" w:rsidP="004F5E36">
      <w:r>
        <w:separator/>
      </w:r>
    </w:p>
  </w:footnote>
  <w:footnote w:type="continuationSeparator" w:id="0">
    <w:p w14:paraId="44DAEDAF" w14:textId="77777777" w:rsidR="000C41B8" w:rsidRDefault="000C41B8"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BB3C80"/>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3142AE1"/>
    <w:multiLevelType w:val="hybridMultilevel"/>
    <w:tmpl w:val="5C3020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7A83BCA"/>
    <w:multiLevelType w:val="hybridMultilevel"/>
    <w:tmpl w:val="1D84BC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DC19F4"/>
    <w:multiLevelType w:val="multilevel"/>
    <w:tmpl w:val="BD68C624"/>
    <w:lvl w:ilvl="0">
      <w:start w:val="3"/>
      <w:numFmt w:val="decimal"/>
      <w:lvlText w:val="%1."/>
      <w:lvlJc w:val="left"/>
      <w:pPr>
        <w:ind w:left="720"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5"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270C412C"/>
    <w:multiLevelType w:val="multilevel"/>
    <w:tmpl w:val="BD68C624"/>
    <w:lvl w:ilvl="0">
      <w:start w:val="3"/>
      <w:numFmt w:val="decimal"/>
      <w:lvlText w:val="%1."/>
      <w:lvlJc w:val="left"/>
      <w:pPr>
        <w:ind w:left="720"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7" w15:restartNumberingAfterBreak="0">
    <w:nsid w:val="2D165171"/>
    <w:multiLevelType w:val="hybridMultilevel"/>
    <w:tmpl w:val="5498C2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122283D"/>
    <w:multiLevelType w:val="hybridMultilevel"/>
    <w:tmpl w:val="E8D4C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6A46FB"/>
    <w:multiLevelType w:val="multilevel"/>
    <w:tmpl w:val="85C8C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73C4521"/>
    <w:multiLevelType w:val="hybridMultilevel"/>
    <w:tmpl w:val="EAF0AE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95E7C1D"/>
    <w:multiLevelType w:val="multilevel"/>
    <w:tmpl w:val="49E6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3CD9011A"/>
    <w:multiLevelType w:val="multilevel"/>
    <w:tmpl w:val="AF142CE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2306B30"/>
    <w:multiLevelType w:val="hybridMultilevel"/>
    <w:tmpl w:val="D9844B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4F0630F"/>
    <w:multiLevelType w:val="hybridMultilevel"/>
    <w:tmpl w:val="8056FDDC"/>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9" w15:restartNumberingAfterBreak="0">
    <w:nsid w:val="48E07C4B"/>
    <w:multiLevelType w:val="multilevel"/>
    <w:tmpl w:val="1B8E8EE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C047E9E"/>
    <w:multiLevelType w:val="hybridMultilevel"/>
    <w:tmpl w:val="84ECE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45D3F48"/>
    <w:multiLevelType w:val="multilevel"/>
    <w:tmpl w:val="B7581E1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61A5AD3"/>
    <w:multiLevelType w:val="hybridMultilevel"/>
    <w:tmpl w:val="FD16E01C"/>
    <w:lvl w:ilvl="0" w:tplc="56BE3C84">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36" w15:restartNumberingAfterBreak="0">
    <w:nsid w:val="57A9362F"/>
    <w:multiLevelType w:val="hybridMultilevel"/>
    <w:tmpl w:val="90545E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9E57BFC"/>
    <w:multiLevelType w:val="hybridMultilevel"/>
    <w:tmpl w:val="E9C4A3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AEE3677"/>
    <w:multiLevelType w:val="hybridMultilevel"/>
    <w:tmpl w:val="3DA66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A2291B"/>
    <w:multiLevelType w:val="multilevel"/>
    <w:tmpl w:val="4796A7C4"/>
    <w:lvl w:ilvl="0">
      <w:start w:val="2"/>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1" w15:restartNumberingAfterBreak="0">
    <w:nsid w:val="622E48E4"/>
    <w:multiLevelType w:val="hybridMultilevel"/>
    <w:tmpl w:val="3980727E"/>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42" w15:restartNumberingAfterBreak="0">
    <w:nsid w:val="6260506B"/>
    <w:multiLevelType w:val="hybridMultilevel"/>
    <w:tmpl w:val="98F0AB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3B27E83"/>
    <w:multiLevelType w:val="multilevel"/>
    <w:tmpl w:val="B7581E1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60924F6"/>
    <w:multiLevelType w:val="multilevel"/>
    <w:tmpl w:val="BD68C624"/>
    <w:lvl w:ilvl="0">
      <w:start w:val="3"/>
      <w:numFmt w:val="decimal"/>
      <w:lvlText w:val="%1."/>
      <w:lvlJc w:val="left"/>
      <w:pPr>
        <w:ind w:left="720"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45"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6BF31351"/>
    <w:multiLevelType w:val="multilevel"/>
    <w:tmpl w:val="889E79C2"/>
    <w:lvl w:ilvl="0">
      <w:start w:val="2"/>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8" w15:restartNumberingAfterBreak="0">
    <w:nsid w:val="76642E44"/>
    <w:multiLevelType w:val="hybridMultilevel"/>
    <w:tmpl w:val="53206B8C"/>
    <w:lvl w:ilvl="0" w:tplc="FE3878DE">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B3F76B5"/>
    <w:multiLevelType w:val="hybridMultilevel"/>
    <w:tmpl w:val="B82E49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16882765">
    <w:abstractNumId w:val="15"/>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35"/>
  </w:num>
  <w:num w:numId="13" w16cid:durableId="695733619">
    <w:abstractNumId w:val="21"/>
  </w:num>
  <w:num w:numId="14" w16cid:durableId="145903400">
    <w:abstractNumId w:val="38"/>
  </w:num>
  <w:num w:numId="15" w16cid:durableId="19162326">
    <w:abstractNumId w:val="46"/>
  </w:num>
  <w:num w:numId="16" w16cid:durableId="1977102699">
    <w:abstractNumId w:val="45"/>
  </w:num>
  <w:num w:numId="17" w16cid:durableId="860774865">
    <w:abstractNumId w:val="20"/>
  </w:num>
  <w:num w:numId="18" w16cid:durableId="313221457">
    <w:abstractNumId w:val="21"/>
    <w:lvlOverride w:ilvl="0">
      <w:startOverride w:val="1"/>
    </w:lvlOverride>
  </w:num>
  <w:num w:numId="19" w16cid:durableId="534971577">
    <w:abstractNumId w:val="32"/>
  </w:num>
  <w:num w:numId="20" w16cid:durableId="1150947773">
    <w:abstractNumId w:val="31"/>
  </w:num>
  <w:num w:numId="21" w16cid:durableId="124660497">
    <w:abstractNumId w:val="25"/>
  </w:num>
  <w:num w:numId="22" w16cid:durableId="2099861471">
    <w:abstractNumId w:val="24"/>
  </w:num>
  <w:num w:numId="23" w16cid:durableId="84351335">
    <w:abstractNumId w:val="11"/>
  </w:num>
  <w:num w:numId="24" w16cid:durableId="149173415">
    <w:abstractNumId w:val="26"/>
  </w:num>
  <w:num w:numId="25" w16cid:durableId="324941541">
    <w:abstractNumId w:val="12"/>
  </w:num>
  <w:num w:numId="26" w16cid:durableId="1596669437">
    <w:abstractNumId w:val="17"/>
  </w:num>
  <w:num w:numId="27" w16cid:durableId="324477586">
    <w:abstractNumId w:val="27"/>
  </w:num>
  <w:num w:numId="28" w16cid:durableId="884757081">
    <w:abstractNumId w:val="49"/>
  </w:num>
  <w:num w:numId="29" w16cid:durableId="1570965713">
    <w:abstractNumId w:val="42"/>
  </w:num>
  <w:num w:numId="30" w16cid:durableId="1424373933">
    <w:abstractNumId w:val="23"/>
  </w:num>
  <w:num w:numId="31" w16cid:durableId="1864400607">
    <w:abstractNumId w:val="19"/>
  </w:num>
  <w:num w:numId="32" w16cid:durableId="5525419">
    <w:abstractNumId w:val="37"/>
  </w:num>
  <w:num w:numId="33" w16cid:durableId="422915033">
    <w:abstractNumId w:val="36"/>
  </w:num>
  <w:num w:numId="34" w16cid:durableId="2004776565">
    <w:abstractNumId w:val="33"/>
  </w:num>
  <w:num w:numId="35" w16cid:durableId="1944992793">
    <w:abstractNumId w:val="29"/>
  </w:num>
  <w:num w:numId="36" w16cid:durableId="1165558741">
    <w:abstractNumId w:val="10"/>
  </w:num>
  <w:num w:numId="37" w16cid:durableId="2039231184">
    <w:abstractNumId w:val="43"/>
  </w:num>
  <w:num w:numId="38" w16cid:durableId="554312472">
    <w:abstractNumId w:val="48"/>
  </w:num>
  <w:num w:numId="39" w16cid:durableId="1120369607">
    <w:abstractNumId w:val="34"/>
  </w:num>
  <w:num w:numId="40" w16cid:durableId="1689139641">
    <w:abstractNumId w:val="22"/>
  </w:num>
  <w:num w:numId="41" w16cid:durableId="88241035">
    <w:abstractNumId w:val="41"/>
  </w:num>
  <w:num w:numId="42" w16cid:durableId="221018357">
    <w:abstractNumId w:val="28"/>
  </w:num>
  <w:num w:numId="43" w16cid:durableId="1805344487">
    <w:abstractNumId w:val="39"/>
  </w:num>
  <w:num w:numId="44" w16cid:durableId="2038390654">
    <w:abstractNumId w:val="18"/>
  </w:num>
  <w:num w:numId="45" w16cid:durableId="1128858581">
    <w:abstractNumId w:val="13"/>
  </w:num>
  <w:num w:numId="46" w16cid:durableId="522287843">
    <w:abstractNumId w:val="16"/>
  </w:num>
  <w:num w:numId="47" w16cid:durableId="1025712050">
    <w:abstractNumId w:val="47"/>
  </w:num>
  <w:num w:numId="48" w16cid:durableId="1228565863">
    <w:abstractNumId w:val="40"/>
  </w:num>
  <w:num w:numId="49" w16cid:durableId="1436052794">
    <w:abstractNumId w:val="14"/>
  </w:num>
  <w:num w:numId="50" w16cid:durableId="621032465">
    <w:abstractNumId w:val="44"/>
  </w:num>
  <w:num w:numId="51" w16cid:durableId="145051412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140B9"/>
    <w:rsid w:val="0001431A"/>
    <w:rsid w:val="00027F6D"/>
    <w:rsid w:val="0003148D"/>
    <w:rsid w:val="00031EEC"/>
    <w:rsid w:val="00050CD3"/>
    <w:rsid w:val="00051566"/>
    <w:rsid w:val="000562A9"/>
    <w:rsid w:val="00062A9A"/>
    <w:rsid w:val="00065058"/>
    <w:rsid w:val="00072643"/>
    <w:rsid w:val="00076E6B"/>
    <w:rsid w:val="00086C39"/>
    <w:rsid w:val="00096F61"/>
    <w:rsid w:val="000A03B2"/>
    <w:rsid w:val="000A2585"/>
    <w:rsid w:val="000A6EC9"/>
    <w:rsid w:val="000B4822"/>
    <w:rsid w:val="000C0F23"/>
    <w:rsid w:val="000C41B8"/>
    <w:rsid w:val="000C565D"/>
    <w:rsid w:val="000C6F47"/>
    <w:rsid w:val="000C7B76"/>
    <w:rsid w:val="000D0268"/>
    <w:rsid w:val="000D34BE"/>
    <w:rsid w:val="000D6B0E"/>
    <w:rsid w:val="000D6CC8"/>
    <w:rsid w:val="000E0B3C"/>
    <w:rsid w:val="000E102F"/>
    <w:rsid w:val="000E36F1"/>
    <w:rsid w:val="000E3A73"/>
    <w:rsid w:val="000E414A"/>
    <w:rsid w:val="000E75FD"/>
    <w:rsid w:val="000F093C"/>
    <w:rsid w:val="000F0B2D"/>
    <w:rsid w:val="000F787B"/>
    <w:rsid w:val="0011059A"/>
    <w:rsid w:val="001120F5"/>
    <w:rsid w:val="001158EB"/>
    <w:rsid w:val="0011622F"/>
    <w:rsid w:val="0012091F"/>
    <w:rsid w:val="00120AD6"/>
    <w:rsid w:val="00126BC2"/>
    <w:rsid w:val="001308B6"/>
    <w:rsid w:val="0013121F"/>
    <w:rsid w:val="001316E5"/>
    <w:rsid w:val="00131FE6"/>
    <w:rsid w:val="0013263F"/>
    <w:rsid w:val="001331DF"/>
    <w:rsid w:val="00134DE4"/>
    <w:rsid w:val="0014019E"/>
    <w:rsid w:val="0014034D"/>
    <w:rsid w:val="001406B3"/>
    <w:rsid w:val="00140FE3"/>
    <w:rsid w:val="00142300"/>
    <w:rsid w:val="00144D16"/>
    <w:rsid w:val="00150151"/>
    <w:rsid w:val="00150C5F"/>
    <w:rsid w:val="00150E59"/>
    <w:rsid w:val="00152DE3"/>
    <w:rsid w:val="0016218B"/>
    <w:rsid w:val="00164CF9"/>
    <w:rsid w:val="001657A8"/>
    <w:rsid w:val="0016668E"/>
    <w:rsid w:val="001667A6"/>
    <w:rsid w:val="0018171E"/>
    <w:rsid w:val="001839D1"/>
    <w:rsid w:val="00184AD6"/>
    <w:rsid w:val="00187917"/>
    <w:rsid w:val="00193664"/>
    <w:rsid w:val="001A0A76"/>
    <w:rsid w:val="001A4AF7"/>
    <w:rsid w:val="001B0349"/>
    <w:rsid w:val="001B1E93"/>
    <w:rsid w:val="001B27E9"/>
    <w:rsid w:val="001B53F9"/>
    <w:rsid w:val="001B60B2"/>
    <w:rsid w:val="001B65C1"/>
    <w:rsid w:val="001C260F"/>
    <w:rsid w:val="001C5C3A"/>
    <w:rsid w:val="001C66AC"/>
    <w:rsid w:val="001C684B"/>
    <w:rsid w:val="001D0CFB"/>
    <w:rsid w:val="001D21AF"/>
    <w:rsid w:val="001D3D32"/>
    <w:rsid w:val="001D53FC"/>
    <w:rsid w:val="001D6E2E"/>
    <w:rsid w:val="001E4C8D"/>
    <w:rsid w:val="001F13A0"/>
    <w:rsid w:val="001F42A5"/>
    <w:rsid w:val="001F7B9D"/>
    <w:rsid w:val="00201C93"/>
    <w:rsid w:val="00214B90"/>
    <w:rsid w:val="00221A44"/>
    <w:rsid w:val="002224B4"/>
    <w:rsid w:val="002447EF"/>
    <w:rsid w:val="00250173"/>
    <w:rsid w:val="00250E1C"/>
    <w:rsid w:val="00251550"/>
    <w:rsid w:val="00253C93"/>
    <w:rsid w:val="00263B05"/>
    <w:rsid w:val="0027221A"/>
    <w:rsid w:val="00272625"/>
    <w:rsid w:val="00275B15"/>
    <w:rsid w:val="00275B61"/>
    <w:rsid w:val="00280FAF"/>
    <w:rsid w:val="00282656"/>
    <w:rsid w:val="0029205C"/>
    <w:rsid w:val="00296B83"/>
    <w:rsid w:val="002973D1"/>
    <w:rsid w:val="002A29C0"/>
    <w:rsid w:val="002B4015"/>
    <w:rsid w:val="002B78CE"/>
    <w:rsid w:val="002C2FB6"/>
    <w:rsid w:val="002C50E4"/>
    <w:rsid w:val="002E43AF"/>
    <w:rsid w:val="002E5FA7"/>
    <w:rsid w:val="002E5FE6"/>
    <w:rsid w:val="002F3309"/>
    <w:rsid w:val="003008CE"/>
    <w:rsid w:val="003009B7"/>
    <w:rsid w:val="00300E56"/>
    <w:rsid w:val="0030152C"/>
    <w:rsid w:val="00302335"/>
    <w:rsid w:val="0030469C"/>
    <w:rsid w:val="00304CE8"/>
    <w:rsid w:val="00321CA6"/>
    <w:rsid w:val="00323763"/>
    <w:rsid w:val="00323C5F"/>
    <w:rsid w:val="003279D8"/>
    <w:rsid w:val="00334C09"/>
    <w:rsid w:val="003356F1"/>
    <w:rsid w:val="003723D4"/>
    <w:rsid w:val="003755F7"/>
    <w:rsid w:val="00381905"/>
    <w:rsid w:val="00384CC8"/>
    <w:rsid w:val="0038580A"/>
    <w:rsid w:val="003871FD"/>
    <w:rsid w:val="00390077"/>
    <w:rsid w:val="0039162B"/>
    <w:rsid w:val="0039795A"/>
    <w:rsid w:val="003A0B91"/>
    <w:rsid w:val="003A1E30"/>
    <w:rsid w:val="003A2829"/>
    <w:rsid w:val="003A74DF"/>
    <w:rsid w:val="003A7D1C"/>
    <w:rsid w:val="003B304B"/>
    <w:rsid w:val="003B3146"/>
    <w:rsid w:val="003B49CD"/>
    <w:rsid w:val="003D1E02"/>
    <w:rsid w:val="003D4CCD"/>
    <w:rsid w:val="003E6102"/>
    <w:rsid w:val="003F015E"/>
    <w:rsid w:val="003F0289"/>
    <w:rsid w:val="003F49DE"/>
    <w:rsid w:val="00400414"/>
    <w:rsid w:val="0041446B"/>
    <w:rsid w:val="00433F30"/>
    <w:rsid w:val="0043545B"/>
    <w:rsid w:val="0044071E"/>
    <w:rsid w:val="0044329C"/>
    <w:rsid w:val="0044528A"/>
    <w:rsid w:val="00453E24"/>
    <w:rsid w:val="0045655D"/>
    <w:rsid w:val="004565DA"/>
    <w:rsid w:val="00457456"/>
    <w:rsid w:val="004577FE"/>
    <w:rsid w:val="00457B9C"/>
    <w:rsid w:val="0046164A"/>
    <w:rsid w:val="004628D2"/>
    <w:rsid w:val="00462DCD"/>
    <w:rsid w:val="004648AD"/>
    <w:rsid w:val="004703A9"/>
    <w:rsid w:val="004760DE"/>
    <w:rsid w:val="004763D7"/>
    <w:rsid w:val="00490945"/>
    <w:rsid w:val="004A004E"/>
    <w:rsid w:val="004A24CF"/>
    <w:rsid w:val="004A2BED"/>
    <w:rsid w:val="004A764C"/>
    <w:rsid w:val="004C3D1D"/>
    <w:rsid w:val="004C3D84"/>
    <w:rsid w:val="004C7913"/>
    <w:rsid w:val="004D7EF3"/>
    <w:rsid w:val="004E22C9"/>
    <w:rsid w:val="004E4DD6"/>
    <w:rsid w:val="004F5E36"/>
    <w:rsid w:val="00503A9C"/>
    <w:rsid w:val="00507B47"/>
    <w:rsid w:val="00507BEF"/>
    <w:rsid w:val="00507CC9"/>
    <w:rsid w:val="005119A5"/>
    <w:rsid w:val="00517FB1"/>
    <w:rsid w:val="00522929"/>
    <w:rsid w:val="005278B7"/>
    <w:rsid w:val="00532016"/>
    <w:rsid w:val="005346C8"/>
    <w:rsid w:val="00543E7D"/>
    <w:rsid w:val="00547A68"/>
    <w:rsid w:val="005531C9"/>
    <w:rsid w:val="00554879"/>
    <w:rsid w:val="005672CE"/>
    <w:rsid w:val="00570C43"/>
    <w:rsid w:val="0057101E"/>
    <w:rsid w:val="00573C5E"/>
    <w:rsid w:val="005840B8"/>
    <w:rsid w:val="00592274"/>
    <w:rsid w:val="005A39FF"/>
    <w:rsid w:val="005A45A9"/>
    <w:rsid w:val="005B1706"/>
    <w:rsid w:val="005B2110"/>
    <w:rsid w:val="005B350B"/>
    <w:rsid w:val="005B61E6"/>
    <w:rsid w:val="005C4816"/>
    <w:rsid w:val="005C77E1"/>
    <w:rsid w:val="005D668A"/>
    <w:rsid w:val="005D6A2F"/>
    <w:rsid w:val="005D78CA"/>
    <w:rsid w:val="005E0592"/>
    <w:rsid w:val="005E1A82"/>
    <w:rsid w:val="005E794C"/>
    <w:rsid w:val="005F0A28"/>
    <w:rsid w:val="005F0E5E"/>
    <w:rsid w:val="00600535"/>
    <w:rsid w:val="00610CD6"/>
    <w:rsid w:val="00611BB0"/>
    <w:rsid w:val="006136C2"/>
    <w:rsid w:val="00620DEE"/>
    <w:rsid w:val="00621F92"/>
    <w:rsid w:val="0062280A"/>
    <w:rsid w:val="006231E1"/>
    <w:rsid w:val="00625639"/>
    <w:rsid w:val="00626342"/>
    <w:rsid w:val="00626C9E"/>
    <w:rsid w:val="00631B33"/>
    <w:rsid w:val="0064184D"/>
    <w:rsid w:val="006422CC"/>
    <w:rsid w:val="00651D18"/>
    <w:rsid w:val="00660E3E"/>
    <w:rsid w:val="00662E74"/>
    <w:rsid w:val="00671B0E"/>
    <w:rsid w:val="00680B9D"/>
    <w:rsid w:val="00680C23"/>
    <w:rsid w:val="00683E23"/>
    <w:rsid w:val="00691FB2"/>
    <w:rsid w:val="00693766"/>
    <w:rsid w:val="00694608"/>
    <w:rsid w:val="00694D20"/>
    <w:rsid w:val="00696C96"/>
    <w:rsid w:val="006A09A7"/>
    <w:rsid w:val="006A1F7A"/>
    <w:rsid w:val="006A3281"/>
    <w:rsid w:val="006A6DE5"/>
    <w:rsid w:val="006B4888"/>
    <w:rsid w:val="006B6ED4"/>
    <w:rsid w:val="006C2E45"/>
    <w:rsid w:val="006C359C"/>
    <w:rsid w:val="006C5579"/>
    <w:rsid w:val="006C742E"/>
    <w:rsid w:val="006D0AED"/>
    <w:rsid w:val="006D6BF5"/>
    <w:rsid w:val="006D6E8B"/>
    <w:rsid w:val="006D7209"/>
    <w:rsid w:val="006E5460"/>
    <w:rsid w:val="006E737D"/>
    <w:rsid w:val="007046E4"/>
    <w:rsid w:val="00707DD1"/>
    <w:rsid w:val="00713973"/>
    <w:rsid w:val="00720A24"/>
    <w:rsid w:val="00725C9C"/>
    <w:rsid w:val="007263F7"/>
    <w:rsid w:val="00732386"/>
    <w:rsid w:val="0073514D"/>
    <w:rsid w:val="007447F3"/>
    <w:rsid w:val="00747D0F"/>
    <w:rsid w:val="0075499F"/>
    <w:rsid w:val="007579D7"/>
    <w:rsid w:val="00764857"/>
    <w:rsid w:val="007661C8"/>
    <w:rsid w:val="0077098D"/>
    <w:rsid w:val="0078304E"/>
    <w:rsid w:val="007850A6"/>
    <w:rsid w:val="00785BF9"/>
    <w:rsid w:val="007931FA"/>
    <w:rsid w:val="00797493"/>
    <w:rsid w:val="007A03BB"/>
    <w:rsid w:val="007A0F21"/>
    <w:rsid w:val="007A4861"/>
    <w:rsid w:val="007A488D"/>
    <w:rsid w:val="007A7BBA"/>
    <w:rsid w:val="007B0C50"/>
    <w:rsid w:val="007B48F9"/>
    <w:rsid w:val="007B591C"/>
    <w:rsid w:val="007C1A43"/>
    <w:rsid w:val="007C4E21"/>
    <w:rsid w:val="007C54B6"/>
    <w:rsid w:val="007D0156"/>
    <w:rsid w:val="007D0951"/>
    <w:rsid w:val="007D531D"/>
    <w:rsid w:val="007D610D"/>
    <w:rsid w:val="007D6378"/>
    <w:rsid w:val="007E0EE1"/>
    <w:rsid w:val="007E6084"/>
    <w:rsid w:val="0080013E"/>
    <w:rsid w:val="00801759"/>
    <w:rsid w:val="00813288"/>
    <w:rsid w:val="008168FC"/>
    <w:rsid w:val="008208B7"/>
    <w:rsid w:val="00830996"/>
    <w:rsid w:val="00834197"/>
    <w:rsid w:val="008345F1"/>
    <w:rsid w:val="008645C7"/>
    <w:rsid w:val="00865B07"/>
    <w:rsid w:val="008667EA"/>
    <w:rsid w:val="00871F48"/>
    <w:rsid w:val="00874ADA"/>
    <w:rsid w:val="0087637F"/>
    <w:rsid w:val="00892AD5"/>
    <w:rsid w:val="00896904"/>
    <w:rsid w:val="008A1512"/>
    <w:rsid w:val="008B7876"/>
    <w:rsid w:val="008C0D3D"/>
    <w:rsid w:val="008D0E25"/>
    <w:rsid w:val="008D32B9"/>
    <w:rsid w:val="008D433B"/>
    <w:rsid w:val="008D4A16"/>
    <w:rsid w:val="008D4EEE"/>
    <w:rsid w:val="008E5401"/>
    <w:rsid w:val="008E566E"/>
    <w:rsid w:val="008F2D12"/>
    <w:rsid w:val="00900A08"/>
    <w:rsid w:val="0090161A"/>
    <w:rsid w:val="00901EB6"/>
    <w:rsid w:val="00903A91"/>
    <w:rsid w:val="009041F8"/>
    <w:rsid w:val="00904C62"/>
    <w:rsid w:val="00914B53"/>
    <w:rsid w:val="009151F7"/>
    <w:rsid w:val="00922BA8"/>
    <w:rsid w:val="00924DAC"/>
    <w:rsid w:val="00926EBD"/>
    <w:rsid w:val="00927058"/>
    <w:rsid w:val="00935BD2"/>
    <w:rsid w:val="00936974"/>
    <w:rsid w:val="009409C0"/>
    <w:rsid w:val="00942750"/>
    <w:rsid w:val="009450CE"/>
    <w:rsid w:val="009459BB"/>
    <w:rsid w:val="00947179"/>
    <w:rsid w:val="0095164B"/>
    <w:rsid w:val="00954090"/>
    <w:rsid w:val="00956FD2"/>
    <w:rsid w:val="009573E7"/>
    <w:rsid w:val="0096342B"/>
    <w:rsid w:val="00963E05"/>
    <w:rsid w:val="00963EAA"/>
    <w:rsid w:val="00964A45"/>
    <w:rsid w:val="00965C57"/>
    <w:rsid w:val="00967843"/>
    <w:rsid w:val="00967D54"/>
    <w:rsid w:val="00971028"/>
    <w:rsid w:val="00971B6B"/>
    <w:rsid w:val="00975A67"/>
    <w:rsid w:val="009848CF"/>
    <w:rsid w:val="00993B84"/>
    <w:rsid w:val="00994C6A"/>
    <w:rsid w:val="00996483"/>
    <w:rsid w:val="00996F5A"/>
    <w:rsid w:val="0099798D"/>
    <w:rsid w:val="009A176E"/>
    <w:rsid w:val="009A18BC"/>
    <w:rsid w:val="009A5382"/>
    <w:rsid w:val="009B041A"/>
    <w:rsid w:val="009B64B2"/>
    <w:rsid w:val="009B6E57"/>
    <w:rsid w:val="009B73EE"/>
    <w:rsid w:val="009C37C3"/>
    <w:rsid w:val="009C7C86"/>
    <w:rsid w:val="009D2FF7"/>
    <w:rsid w:val="009E11F9"/>
    <w:rsid w:val="009E1BB2"/>
    <w:rsid w:val="009E7884"/>
    <w:rsid w:val="009E788A"/>
    <w:rsid w:val="009F0E08"/>
    <w:rsid w:val="00A03621"/>
    <w:rsid w:val="00A05510"/>
    <w:rsid w:val="00A079AE"/>
    <w:rsid w:val="00A1763D"/>
    <w:rsid w:val="00A17CEC"/>
    <w:rsid w:val="00A27EF0"/>
    <w:rsid w:val="00A3554B"/>
    <w:rsid w:val="00A3588A"/>
    <w:rsid w:val="00A3612F"/>
    <w:rsid w:val="00A369A8"/>
    <w:rsid w:val="00A42361"/>
    <w:rsid w:val="00A47DC9"/>
    <w:rsid w:val="00A50B20"/>
    <w:rsid w:val="00A51390"/>
    <w:rsid w:val="00A60D13"/>
    <w:rsid w:val="00A647D1"/>
    <w:rsid w:val="00A64910"/>
    <w:rsid w:val="00A7223D"/>
    <w:rsid w:val="00A72745"/>
    <w:rsid w:val="00A76EFC"/>
    <w:rsid w:val="00A77ABE"/>
    <w:rsid w:val="00A81184"/>
    <w:rsid w:val="00A87D50"/>
    <w:rsid w:val="00A91010"/>
    <w:rsid w:val="00A92DFA"/>
    <w:rsid w:val="00A97F29"/>
    <w:rsid w:val="00AA6A5C"/>
    <w:rsid w:val="00AA702E"/>
    <w:rsid w:val="00AA725F"/>
    <w:rsid w:val="00AA7D26"/>
    <w:rsid w:val="00AB0964"/>
    <w:rsid w:val="00AB5011"/>
    <w:rsid w:val="00AB60E5"/>
    <w:rsid w:val="00AC648B"/>
    <w:rsid w:val="00AC7368"/>
    <w:rsid w:val="00AD13D5"/>
    <w:rsid w:val="00AD16B9"/>
    <w:rsid w:val="00AD6CAE"/>
    <w:rsid w:val="00AE2EE8"/>
    <w:rsid w:val="00AE377D"/>
    <w:rsid w:val="00AF0EBA"/>
    <w:rsid w:val="00AF2463"/>
    <w:rsid w:val="00AF6C60"/>
    <w:rsid w:val="00B010E6"/>
    <w:rsid w:val="00B02C8A"/>
    <w:rsid w:val="00B106DB"/>
    <w:rsid w:val="00B17022"/>
    <w:rsid w:val="00B17FBD"/>
    <w:rsid w:val="00B315A6"/>
    <w:rsid w:val="00B31813"/>
    <w:rsid w:val="00B32508"/>
    <w:rsid w:val="00B32BDF"/>
    <w:rsid w:val="00B33365"/>
    <w:rsid w:val="00B34BBC"/>
    <w:rsid w:val="00B3745C"/>
    <w:rsid w:val="00B40D9A"/>
    <w:rsid w:val="00B53775"/>
    <w:rsid w:val="00B54B9C"/>
    <w:rsid w:val="00B5677C"/>
    <w:rsid w:val="00B57748"/>
    <w:rsid w:val="00B57AB2"/>
    <w:rsid w:val="00B57B36"/>
    <w:rsid w:val="00B57E6F"/>
    <w:rsid w:val="00B64AD3"/>
    <w:rsid w:val="00B77D17"/>
    <w:rsid w:val="00B84518"/>
    <w:rsid w:val="00B8686D"/>
    <w:rsid w:val="00B93D8D"/>
    <w:rsid w:val="00B93F69"/>
    <w:rsid w:val="00B95447"/>
    <w:rsid w:val="00B976D2"/>
    <w:rsid w:val="00BB1DDC"/>
    <w:rsid w:val="00BB34A8"/>
    <w:rsid w:val="00BC2359"/>
    <w:rsid w:val="00BC30C9"/>
    <w:rsid w:val="00BC4FDB"/>
    <w:rsid w:val="00BD077D"/>
    <w:rsid w:val="00BD662C"/>
    <w:rsid w:val="00BD6A86"/>
    <w:rsid w:val="00BE3E58"/>
    <w:rsid w:val="00BE516F"/>
    <w:rsid w:val="00BF13CE"/>
    <w:rsid w:val="00C01616"/>
    <w:rsid w:val="00C0162B"/>
    <w:rsid w:val="00C04F8F"/>
    <w:rsid w:val="00C068ED"/>
    <w:rsid w:val="00C15EE7"/>
    <w:rsid w:val="00C22E0C"/>
    <w:rsid w:val="00C33875"/>
    <w:rsid w:val="00C345B1"/>
    <w:rsid w:val="00C40142"/>
    <w:rsid w:val="00C404A5"/>
    <w:rsid w:val="00C52C3C"/>
    <w:rsid w:val="00C5643D"/>
    <w:rsid w:val="00C57182"/>
    <w:rsid w:val="00C57863"/>
    <w:rsid w:val="00C640AF"/>
    <w:rsid w:val="00C655FD"/>
    <w:rsid w:val="00C65BC1"/>
    <w:rsid w:val="00C67036"/>
    <w:rsid w:val="00C75407"/>
    <w:rsid w:val="00C841C6"/>
    <w:rsid w:val="00C870A8"/>
    <w:rsid w:val="00C872E4"/>
    <w:rsid w:val="00C94434"/>
    <w:rsid w:val="00C96C14"/>
    <w:rsid w:val="00C971EF"/>
    <w:rsid w:val="00CA0D75"/>
    <w:rsid w:val="00CA1C95"/>
    <w:rsid w:val="00CA5A9C"/>
    <w:rsid w:val="00CC4C20"/>
    <w:rsid w:val="00CD0449"/>
    <w:rsid w:val="00CD3517"/>
    <w:rsid w:val="00CD5FE2"/>
    <w:rsid w:val="00CE2B34"/>
    <w:rsid w:val="00CE72AF"/>
    <w:rsid w:val="00CE7C68"/>
    <w:rsid w:val="00CF7CC9"/>
    <w:rsid w:val="00D008F9"/>
    <w:rsid w:val="00D009EA"/>
    <w:rsid w:val="00D00E27"/>
    <w:rsid w:val="00D02B4C"/>
    <w:rsid w:val="00D02C55"/>
    <w:rsid w:val="00D040C4"/>
    <w:rsid w:val="00D04824"/>
    <w:rsid w:val="00D179F0"/>
    <w:rsid w:val="00D20AD1"/>
    <w:rsid w:val="00D22686"/>
    <w:rsid w:val="00D2582C"/>
    <w:rsid w:val="00D4407C"/>
    <w:rsid w:val="00D46B7E"/>
    <w:rsid w:val="00D55620"/>
    <w:rsid w:val="00D57C84"/>
    <w:rsid w:val="00D6057D"/>
    <w:rsid w:val="00D662FB"/>
    <w:rsid w:val="00D71640"/>
    <w:rsid w:val="00D81FBB"/>
    <w:rsid w:val="00D836C5"/>
    <w:rsid w:val="00D84576"/>
    <w:rsid w:val="00D879F5"/>
    <w:rsid w:val="00D9364D"/>
    <w:rsid w:val="00D936AF"/>
    <w:rsid w:val="00DA1399"/>
    <w:rsid w:val="00DA24C6"/>
    <w:rsid w:val="00DA4D7B"/>
    <w:rsid w:val="00DB17E1"/>
    <w:rsid w:val="00DB67A4"/>
    <w:rsid w:val="00DC2840"/>
    <w:rsid w:val="00DC73EE"/>
    <w:rsid w:val="00DD1FFF"/>
    <w:rsid w:val="00DD271C"/>
    <w:rsid w:val="00DD63F8"/>
    <w:rsid w:val="00DE08A9"/>
    <w:rsid w:val="00DE264A"/>
    <w:rsid w:val="00DE719A"/>
    <w:rsid w:val="00DF5072"/>
    <w:rsid w:val="00E02D18"/>
    <w:rsid w:val="00E041E7"/>
    <w:rsid w:val="00E23CA1"/>
    <w:rsid w:val="00E3111F"/>
    <w:rsid w:val="00E40089"/>
    <w:rsid w:val="00E409A8"/>
    <w:rsid w:val="00E450E7"/>
    <w:rsid w:val="00E50C12"/>
    <w:rsid w:val="00E5300B"/>
    <w:rsid w:val="00E533EA"/>
    <w:rsid w:val="00E65B91"/>
    <w:rsid w:val="00E7209D"/>
    <w:rsid w:val="00E72EAD"/>
    <w:rsid w:val="00E77223"/>
    <w:rsid w:val="00E800E8"/>
    <w:rsid w:val="00E8528B"/>
    <w:rsid w:val="00E85B94"/>
    <w:rsid w:val="00E978D0"/>
    <w:rsid w:val="00EA0044"/>
    <w:rsid w:val="00EA4613"/>
    <w:rsid w:val="00EA5E8B"/>
    <w:rsid w:val="00EA7F91"/>
    <w:rsid w:val="00EB1523"/>
    <w:rsid w:val="00EB2C2C"/>
    <w:rsid w:val="00EC0E49"/>
    <w:rsid w:val="00EC101F"/>
    <w:rsid w:val="00EC1D9F"/>
    <w:rsid w:val="00EC271A"/>
    <w:rsid w:val="00EC75B9"/>
    <w:rsid w:val="00ED70AD"/>
    <w:rsid w:val="00EE0131"/>
    <w:rsid w:val="00EE17B0"/>
    <w:rsid w:val="00EF06D9"/>
    <w:rsid w:val="00EF6776"/>
    <w:rsid w:val="00F21CE2"/>
    <w:rsid w:val="00F3049E"/>
    <w:rsid w:val="00F30C64"/>
    <w:rsid w:val="00F32BA2"/>
    <w:rsid w:val="00F32CDB"/>
    <w:rsid w:val="00F41EE4"/>
    <w:rsid w:val="00F565FE"/>
    <w:rsid w:val="00F63A70"/>
    <w:rsid w:val="00F63D8C"/>
    <w:rsid w:val="00F74292"/>
    <w:rsid w:val="00F7534E"/>
    <w:rsid w:val="00F81802"/>
    <w:rsid w:val="00F93EDF"/>
    <w:rsid w:val="00FA1802"/>
    <w:rsid w:val="00FA21D0"/>
    <w:rsid w:val="00FA5F5F"/>
    <w:rsid w:val="00FB16C8"/>
    <w:rsid w:val="00FB730C"/>
    <w:rsid w:val="00FB7E40"/>
    <w:rsid w:val="00FC2695"/>
    <w:rsid w:val="00FC3E03"/>
    <w:rsid w:val="00FC3FC1"/>
    <w:rsid w:val="00FC4F3D"/>
    <w:rsid w:val="00FE444E"/>
    <w:rsid w:val="00FE6913"/>
    <w:rsid w:val="00FF258E"/>
    <w:rsid w:val="00FF54A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qFormat/>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unhideWhenUsed/>
    <w:rsid w:val="0003148D"/>
    <w:pPr>
      <w:spacing w:after="100"/>
    </w:pPr>
  </w:style>
  <w:style w:type="paragraph" w:styleId="Sommario2">
    <w:name w:val="toc 2"/>
    <w:basedOn w:val="Normale"/>
    <w:next w:val="Normale"/>
    <w:autoRedefine/>
    <w:uiPriority w:val="39"/>
    <w:unhideWhenUsed/>
    <w:rsid w:val="0003148D"/>
    <w:pPr>
      <w:spacing w:after="100"/>
      <w:ind w:left="220"/>
    </w:pPr>
  </w:style>
  <w:style w:type="paragraph" w:styleId="Sommario3">
    <w:name w:val="toc 3"/>
    <w:basedOn w:val="Normale"/>
    <w:next w:val="Normale"/>
    <w:autoRedefine/>
    <w:uiPriority w:val="39"/>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1E4C8D"/>
    <w:rPr>
      <w:color w:val="605E5C"/>
      <w:shd w:val="clear" w:color="auto" w:fill="E1DFDD"/>
    </w:rPr>
  </w:style>
  <w:style w:type="paragraph" w:customStyle="1" w:styleId="Textbody">
    <w:name w:val="Text body"/>
    <w:basedOn w:val="Normale"/>
    <w:rsid w:val="000B4822"/>
    <w:pPr>
      <w:tabs>
        <w:tab w:val="clear" w:pos="7100"/>
      </w:tabs>
      <w:suppressAutoHyphens/>
      <w:autoSpaceDN w:val="0"/>
      <w:spacing w:after="140" w:line="288" w:lineRule="auto"/>
      <w:jc w:val="left"/>
    </w:pPr>
    <w:rPr>
      <w:rFonts w:ascii="Liberation Serif" w:eastAsia="SimSun" w:hAnsi="Liberation Serif" w:cs="Mangal"/>
      <w:kern w:val="3"/>
      <w:sz w:val="24"/>
      <w:szCs w:val="24"/>
      <w:lang w:val="en-US" w:eastAsia="zh-CN" w:bidi="hi-IN"/>
    </w:rPr>
  </w:style>
  <w:style w:type="character" w:styleId="Testosegnaposto">
    <w:name w:val="Placeholder Text"/>
    <w:basedOn w:val="Carpredefinitoparagrafo"/>
    <w:uiPriority w:val="99"/>
    <w:semiHidden/>
    <w:rsid w:val="000B4822"/>
    <w:rPr>
      <w:color w:val="808080"/>
    </w:rPr>
  </w:style>
  <w:style w:type="character" w:styleId="Riferimentointenso">
    <w:name w:val="Intense Reference"/>
    <w:basedOn w:val="Carpredefinitoparagrafo"/>
    <w:uiPriority w:val="32"/>
    <w:qFormat/>
    <w:rsid w:val="000B4822"/>
    <w:rPr>
      <w:b/>
      <w:bCs/>
      <w:smallCaps/>
      <w:color w:val="4F81BD" w:themeColor="accent1"/>
      <w:spacing w:val="5"/>
    </w:rPr>
  </w:style>
  <w:style w:type="paragraph" w:customStyle="1" w:styleId="paragraph">
    <w:name w:val="paragraph"/>
    <w:basedOn w:val="Normale"/>
    <w:rsid w:val="000B4822"/>
    <w:pPr>
      <w:tabs>
        <w:tab w:val="clear" w:pos="7100"/>
      </w:tabs>
      <w:spacing w:before="100" w:beforeAutospacing="1" w:after="100" w:afterAutospacing="1" w:line="240" w:lineRule="auto"/>
      <w:jc w:val="left"/>
    </w:pPr>
    <w:rPr>
      <w:rFonts w:ascii="Times New Roman" w:hAnsi="Times New Roman"/>
      <w:sz w:val="24"/>
      <w:szCs w:val="24"/>
      <w:lang w:val="it-IT" w:eastAsia="it-IT"/>
    </w:rPr>
  </w:style>
  <w:style w:type="character" w:customStyle="1" w:styleId="normaltextrun">
    <w:name w:val="normaltextrun"/>
    <w:basedOn w:val="Carpredefinitoparagrafo"/>
    <w:rsid w:val="000B4822"/>
  </w:style>
  <w:style w:type="character" w:customStyle="1" w:styleId="eop">
    <w:name w:val="eop"/>
    <w:basedOn w:val="Carpredefinitoparagrafo"/>
    <w:rsid w:val="000B4822"/>
  </w:style>
  <w:style w:type="character" w:customStyle="1" w:styleId="mathspan">
    <w:name w:val="mathspan"/>
    <w:basedOn w:val="Carpredefinitoparagrafo"/>
    <w:rsid w:val="000B4822"/>
  </w:style>
  <w:style w:type="character" w:customStyle="1" w:styleId="mi">
    <w:name w:val="mi"/>
    <w:basedOn w:val="Carpredefinitoparagrafo"/>
    <w:rsid w:val="000B4822"/>
  </w:style>
  <w:style w:type="character" w:customStyle="1" w:styleId="mjxassistivemathml">
    <w:name w:val="mjx_assistive_mathml"/>
    <w:basedOn w:val="Carpredefinitoparagrafo"/>
    <w:rsid w:val="000B4822"/>
  </w:style>
  <w:style w:type="character" w:customStyle="1" w:styleId="mo">
    <w:name w:val="mo"/>
    <w:basedOn w:val="Carpredefinitoparagrafo"/>
    <w:rsid w:val="000B4822"/>
  </w:style>
  <w:style w:type="paragraph" w:styleId="Nessunaspaziatura">
    <w:name w:val="No Spacing"/>
    <w:uiPriority w:val="1"/>
    <w:qFormat/>
    <w:rsid w:val="000B4822"/>
    <w:pPr>
      <w:spacing w:after="0" w:line="240" w:lineRule="auto"/>
    </w:pPr>
  </w:style>
  <w:style w:type="paragraph" w:styleId="Revisione">
    <w:name w:val="Revision"/>
    <w:hidden/>
    <w:uiPriority w:val="99"/>
    <w:semiHidden/>
    <w:rsid w:val="000B4822"/>
    <w:pPr>
      <w:spacing w:after="0" w:line="240" w:lineRule="auto"/>
    </w:pPr>
  </w:style>
  <w:style w:type="character" w:customStyle="1" w:styleId="Menzionenonrisolta1">
    <w:name w:val="Menzione non risolta1"/>
    <w:basedOn w:val="Carpredefinitoparagrafo"/>
    <w:uiPriority w:val="99"/>
    <w:semiHidden/>
    <w:unhideWhenUsed/>
    <w:rsid w:val="000B4822"/>
    <w:rPr>
      <w:color w:val="605E5C"/>
      <w:shd w:val="clear" w:color="auto" w:fill="E1DFDD"/>
    </w:rPr>
  </w:style>
  <w:style w:type="character" w:styleId="Numeroriga">
    <w:name w:val="line number"/>
    <w:basedOn w:val="Carpredefinitoparagrafo"/>
    <w:uiPriority w:val="99"/>
    <w:semiHidden/>
    <w:unhideWhenUsed/>
    <w:rsid w:val="000B4822"/>
  </w:style>
  <w:style w:type="paragraph" w:customStyle="1" w:styleId="Default">
    <w:name w:val="Default"/>
    <w:rsid w:val="000B482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color11">
    <w:name w:val="color_11"/>
    <w:basedOn w:val="Carpredefinitoparagrafo"/>
    <w:rsid w:val="000B4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danilo.marchese@phd.unipd.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6</Pages>
  <Words>15111</Words>
  <Characters>86133</Characters>
  <Application>Microsoft Office Word</Application>
  <DocSecurity>0</DocSecurity>
  <Lines>717</Lines>
  <Paragraphs>202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101042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Danilo Marchese</cp:lastModifiedBy>
  <cp:revision>50</cp:revision>
  <cp:lastPrinted>2015-05-12T18:31:00Z</cp:lastPrinted>
  <dcterms:created xsi:type="dcterms:W3CDTF">2024-12-13T15:55:00Z</dcterms:created>
  <dcterms:modified xsi:type="dcterms:W3CDTF">2025-01-27T18:15:00Z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2e1ef064-62f0-3c8b-bdaf-31ab96c07bb8</vt:lpwstr>
  </property>
  <property fmtid="{D5CDD505-2E9C-101B-9397-08002B2CF9AE}" pid="6" name="Mendeley Citation Style_1">
    <vt:lpwstr>http://www.zotero.org/styles/harvard-cite-them-right</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http://www.zotero.org/styles/harvard-cite-them-right</vt:lpwstr>
  </property>
  <property fmtid="{D5CDD505-2E9C-101B-9397-08002B2CF9AE}" pid="12" name="Mendeley Recent Style Name 2_1">
    <vt:lpwstr>Cite Them Right 12th edition - Harvard</vt:lpwstr>
  </property>
  <property fmtid="{D5CDD505-2E9C-101B-9397-08002B2CF9AE}" pid="13" name="Mendeley Recent Style Id 3_1">
    <vt:lpwstr>http://www.zotero.org/styles/elsevier-vancouver</vt:lpwstr>
  </property>
  <property fmtid="{D5CDD505-2E9C-101B-9397-08002B2CF9AE}" pid="14" name="Mendeley Recent Style Name 3_1">
    <vt:lpwstr>Elsevier - Vancouver</vt:lpwstr>
  </property>
  <property fmtid="{D5CDD505-2E9C-101B-9397-08002B2CF9AE}" pid="15" name="Mendeley Recent Style Id 4_1">
    <vt:lpwstr>http://www.zotero.org/styles/energy-conversion-and-management</vt:lpwstr>
  </property>
  <property fmtid="{D5CDD505-2E9C-101B-9397-08002B2CF9AE}" pid="16" name="Mendeley Recent Style Name 4_1">
    <vt:lpwstr>Energy Conversion and Management</vt:lpwstr>
  </property>
  <property fmtid="{D5CDD505-2E9C-101B-9397-08002B2CF9AE}" pid="17" name="Mendeley Recent Style Id 5_1">
    <vt:lpwstr>http://www.zotero.org/styles/ieee</vt:lpwstr>
  </property>
  <property fmtid="{D5CDD505-2E9C-101B-9397-08002B2CF9AE}" pid="18" name="Mendeley Recent Style Name 5_1">
    <vt:lpwstr>IEEE</vt:lpwstr>
  </property>
  <property fmtid="{D5CDD505-2E9C-101B-9397-08002B2CF9AE}" pid="19" name="Mendeley Recent Style Id 6_1">
    <vt:lpwstr>http://www.zotero.org/styles/industrial-and-engineering-chemistry-research</vt:lpwstr>
  </property>
  <property fmtid="{D5CDD505-2E9C-101B-9397-08002B2CF9AE}" pid="20" name="Mendeley Recent Style Name 6_1">
    <vt:lpwstr>Industrial &amp; Engineering Chemistry Research</vt:lpwstr>
  </property>
  <property fmtid="{D5CDD505-2E9C-101B-9397-08002B2CF9AE}" pid="21" name="Mendeley Recent Style Id 7_1">
    <vt:lpwstr>http://www.zotero.org/styles/journal-of-cleaner-production</vt:lpwstr>
  </property>
  <property fmtid="{D5CDD505-2E9C-101B-9397-08002B2CF9AE}" pid="22" name="Mendeley Recent Style Name 7_1">
    <vt:lpwstr>Journal of Cleaner Production</vt:lpwstr>
  </property>
  <property fmtid="{D5CDD505-2E9C-101B-9397-08002B2CF9AE}" pid="23" name="Mendeley Recent Style Id 8_1">
    <vt:lpwstr>http://www.zotero.org/styles/modern-humanities-research-association</vt:lpwstr>
  </property>
  <property fmtid="{D5CDD505-2E9C-101B-9397-08002B2CF9AE}" pid="24" name="Mendeley Recent Style Name 8_1">
    <vt:lpwstr>Modern Humanities Research Association 3rd edition (note with bibliography)</vt:lpwstr>
  </property>
  <property fmtid="{D5CDD505-2E9C-101B-9397-08002B2CF9AE}" pid="25" name="Mendeley Recent Style Id 9_1">
    <vt:lpwstr>http://www.zotero.org/styles/modern-language-association</vt:lpwstr>
  </property>
  <property fmtid="{D5CDD505-2E9C-101B-9397-08002B2CF9AE}" pid="26" name="Mendeley Recent Style Name 9_1">
    <vt:lpwstr>Modern Language Association 9th edition</vt:lpwstr>
  </property>
</Properties>
</file>