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45068772"/>
            <w:r w:rsidRPr="00B57B36">
              <w:rPr>
                <w:rFonts w:ascii="AdvP6960" w:hAnsi="AdvP6960" w:cs="AdvP6960"/>
                <w:noProof/>
                <w:color w:val="241F20"/>
                <w:szCs w:val="18"/>
                <w:lang w:val="fr-FR" w:eastAsia="fr-F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fr-FR" w:eastAsia="fr-F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0"/>
    <w:p w14:paraId="2E667253" w14:textId="05D28422" w:rsidR="00E978D0" w:rsidRPr="00B57B36" w:rsidRDefault="0037397B" w:rsidP="00E978D0">
      <w:pPr>
        <w:pStyle w:val="CETTitle"/>
      </w:pPr>
      <w:r w:rsidRPr="00C4528E">
        <w:t>Study of a dust explosion in a pharmaceutical production unit</w:t>
      </w:r>
    </w:p>
    <w:p w14:paraId="0488FED2" w14:textId="7ECA3B95" w:rsidR="00B57E6F" w:rsidRPr="00B57B36" w:rsidRDefault="0037397B" w:rsidP="00B57E6F">
      <w:pPr>
        <w:pStyle w:val="CETAuthors"/>
      </w:pPr>
      <w:r w:rsidRPr="00C4528E">
        <w:t>Karima Bitchikh</w:t>
      </w:r>
      <w:r w:rsidRPr="00C4528E">
        <w:rPr>
          <w:vertAlign w:val="superscript"/>
        </w:rPr>
        <w:t>a*</w:t>
      </w:r>
      <w:r w:rsidRPr="00C4528E">
        <w:t>, Rosa Haouche</w:t>
      </w:r>
      <w:r w:rsidRPr="00C4528E">
        <w:rPr>
          <w:vertAlign w:val="superscript"/>
        </w:rPr>
        <w:t>b</w:t>
      </w:r>
      <w:r w:rsidRPr="00C4528E">
        <w:t>, Yanis Bouhedda</w:t>
      </w:r>
      <w:r w:rsidRPr="00C4528E">
        <w:rPr>
          <w:vertAlign w:val="superscript"/>
        </w:rPr>
        <w:t>a</w:t>
      </w:r>
      <w:r w:rsidRPr="00C4528E">
        <w:t>, Yanis Yahi</w:t>
      </w:r>
      <w:r w:rsidRPr="00C4528E">
        <w:rPr>
          <w:vertAlign w:val="superscript"/>
        </w:rPr>
        <w:t>a</w:t>
      </w:r>
      <w:r w:rsidRPr="00C4528E">
        <w:t>, Nabil Smakghi</w:t>
      </w:r>
      <w:r w:rsidRPr="00C4528E">
        <w:rPr>
          <w:vertAlign w:val="superscript"/>
        </w:rPr>
        <w:t>c</w:t>
      </w:r>
    </w:p>
    <w:p w14:paraId="6B2D21B3" w14:textId="4242A6C9" w:rsidR="00B57E6F" w:rsidRPr="00EE32C7" w:rsidRDefault="00B57E6F" w:rsidP="0037397B">
      <w:pPr>
        <w:pStyle w:val="CETAddress"/>
        <w:rPr>
          <w:lang w:val="fr-FR"/>
        </w:rPr>
      </w:pPr>
      <w:r w:rsidRPr="00EE32C7">
        <w:rPr>
          <w:vertAlign w:val="superscript"/>
          <w:lang w:val="fr-FR"/>
        </w:rPr>
        <w:t>a</w:t>
      </w:r>
      <w:r w:rsidR="0037397B" w:rsidRPr="00EE32C7">
        <w:rPr>
          <w:lang w:val="fr-FR"/>
        </w:rPr>
        <w:t xml:space="preserve"> Laboratoire des Sciences et Techniques de l’Environnement (LSTE), Ecole Nationale Polytechnique, Algiers, Algeria.</w:t>
      </w:r>
      <w:r w:rsidRPr="00EE32C7">
        <w:rPr>
          <w:lang w:val="fr-FR"/>
        </w:rPr>
        <w:t xml:space="preserve"> </w:t>
      </w:r>
    </w:p>
    <w:p w14:paraId="3D72B0B0" w14:textId="0F3CDCF3" w:rsidR="00B57E6F" w:rsidRPr="00EE32C7" w:rsidRDefault="00B57E6F" w:rsidP="0037397B">
      <w:pPr>
        <w:pStyle w:val="CETAddress"/>
        <w:rPr>
          <w:lang w:val="fr-FR"/>
        </w:rPr>
      </w:pPr>
      <w:r w:rsidRPr="00EE32C7">
        <w:rPr>
          <w:vertAlign w:val="superscript"/>
          <w:lang w:val="fr-FR"/>
        </w:rPr>
        <w:t>b</w:t>
      </w:r>
      <w:r w:rsidR="0037397B" w:rsidRPr="00EE32C7">
        <w:rPr>
          <w:lang w:val="fr-FR"/>
        </w:rPr>
        <w:t xml:space="preserve"> Laboratoire d'hydrométallurgie et de chimie inorganique moléculaire, Université des sciences et Technologie Houari Boumediene (USTHB), Algiers, Algeria.</w:t>
      </w:r>
    </w:p>
    <w:p w14:paraId="2CF5148B" w14:textId="003CB461" w:rsidR="0037397B" w:rsidRPr="00EE32C7" w:rsidRDefault="0037397B" w:rsidP="0037397B">
      <w:pPr>
        <w:pStyle w:val="CETAddress"/>
        <w:rPr>
          <w:lang w:val="fr-FR"/>
        </w:rPr>
      </w:pPr>
      <w:r w:rsidRPr="00EE32C7">
        <w:rPr>
          <w:vertAlign w:val="superscript"/>
          <w:lang w:val="fr-FR"/>
        </w:rPr>
        <w:t>c</w:t>
      </w:r>
      <w:r w:rsidRPr="00EE32C7">
        <w:rPr>
          <w:lang w:val="fr-FR"/>
        </w:rPr>
        <w:t xml:space="preserve"> Laboratoire de Recherche en Sciences de l’Eau (LRSE), Ecole Nationale Polytechnique, Algiers, Algeria.</w:t>
      </w:r>
    </w:p>
    <w:p w14:paraId="73F1267A" w14:textId="6EE64631" w:rsidR="00B57E6F" w:rsidRPr="00482C05" w:rsidRDefault="0037397B" w:rsidP="0037397B">
      <w:pPr>
        <w:pStyle w:val="CETemail"/>
        <w:rPr>
          <w:lang w:val="fr-FR"/>
        </w:rPr>
      </w:pPr>
      <w:r w:rsidRPr="00EE32C7">
        <w:rPr>
          <w:lang w:val="fr-FR"/>
        </w:rPr>
        <w:t>*</w:t>
      </w:r>
      <w:r w:rsidR="00B57E6F" w:rsidRPr="00EE32C7">
        <w:rPr>
          <w:lang w:val="fr-FR"/>
        </w:rPr>
        <w:t xml:space="preserve"> </w:t>
      </w:r>
      <w:r w:rsidRPr="00EE32C7">
        <w:rPr>
          <w:lang w:val="fr-FR"/>
        </w:rPr>
        <w:t>karima.bitchikh@g.enp.edu.dz</w:t>
      </w:r>
    </w:p>
    <w:p w14:paraId="512E74D4" w14:textId="5CD886DE" w:rsidR="0037397B" w:rsidRPr="0037397B" w:rsidRDefault="0037397B" w:rsidP="0037397B">
      <w:pPr>
        <w:pStyle w:val="CETBodytext"/>
        <w:rPr>
          <w:lang w:val="en-GB"/>
        </w:rPr>
      </w:pPr>
      <w:r w:rsidRPr="0037397B">
        <w:rPr>
          <w:lang w:val="en-GB"/>
        </w:rPr>
        <w:t>Many industries, such as coal, food, paper, metals, plastics, etc</w:t>
      </w:r>
      <w:r>
        <w:rPr>
          <w:lang w:val="en-GB"/>
        </w:rPr>
        <w:t>…</w:t>
      </w:r>
      <w:r w:rsidRPr="0037397B">
        <w:rPr>
          <w:lang w:val="en-GB"/>
        </w:rPr>
        <w:t>, are exposed to the risk of dust explosions due to the specific characteristics of the powders handled. Companies need to understand these risks and the methods for preventing them in order to minimize their impact on people, the environment, and equipment.</w:t>
      </w:r>
    </w:p>
    <w:p w14:paraId="7E44D79B" w14:textId="77777777" w:rsidR="0037397B" w:rsidRPr="0037397B" w:rsidRDefault="0037397B" w:rsidP="0037397B">
      <w:pPr>
        <w:pStyle w:val="CETBodytext"/>
        <w:rPr>
          <w:lang w:val="en-GB"/>
        </w:rPr>
      </w:pPr>
      <w:r w:rsidRPr="0037397B">
        <w:rPr>
          <w:lang w:val="en-GB"/>
        </w:rPr>
        <w:t>To manage these risks, it is essential to understand the parameters associated with dust explosions, to identify the areas where explosive powder clouds can form under normal and abnormal conditions, and finally to identify potential sources of ignition. The study focuses on dust explosions in a pharmaceutical plant, analysing the conditions in which such phenomena occur and their consequences. The data collected was used firstly to characterize the dust explosion zones and then to apply the tools used to assess the risks of an explosion.</w:t>
      </w:r>
    </w:p>
    <w:p w14:paraId="15900577" w14:textId="32105969" w:rsidR="0037397B" w:rsidRDefault="0037397B" w:rsidP="0037397B">
      <w:pPr>
        <w:pStyle w:val="CETBodytext"/>
        <w:rPr>
          <w:lang w:val="en-GB"/>
        </w:rPr>
      </w:pPr>
      <w:r w:rsidRPr="0037397B">
        <w:rPr>
          <w:lang w:val="en-GB"/>
        </w:rPr>
        <w:t>Preventive measures have been proposed, including the selection of electrical equipment and the installation of an explosion vent.</w:t>
      </w:r>
    </w:p>
    <w:p w14:paraId="476B2F2E" w14:textId="52B36035" w:rsidR="00600535" w:rsidRPr="00B57B36" w:rsidRDefault="00600535" w:rsidP="00600535">
      <w:pPr>
        <w:pStyle w:val="CETHeading1"/>
        <w:rPr>
          <w:lang w:val="en-GB"/>
        </w:rPr>
      </w:pPr>
      <w:r w:rsidRPr="00B57B36">
        <w:rPr>
          <w:lang w:val="en-GB"/>
        </w:rPr>
        <w:t>Introduction</w:t>
      </w:r>
    </w:p>
    <w:p w14:paraId="10B9B588" w14:textId="12E2BCBD" w:rsidR="0037397B" w:rsidRPr="00EE32C7" w:rsidRDefault="0037397B" w:rsidP="00C50209">
      <w:pPr>
        <w:pStyle w:val="CETBodytext"/>
      </w:pPr>
      <w:r w:rsidRPr="00EE32C7">
        <w:t>A wide range of industries and industrial applications involving many varied products such as coal, cereals, paper, foodstuffs, metals, rubber, pharmaceuticals, plastics, textiles, etc. (</w:t>
      </w:r>
      <w:proofErr w:type="spellStart"/>
      <w:r w:rsidRPr="00EE32C7">
        <w:t>Abuswer</w:t>
      </w:r>
      <w:proofErr w:type="spellEnd"/>
      <w:r w:rsidRPr="00EE32C7">
        <w:t xml:space="preserve"> et al., 2013) are continuously exposed to the risk of dust explosions due to the intrinsic characteristics of certain powders produced in these types of industries (Davis et al., 2011). The companies in question must be aware of the undesirable events associated with the processing and handling of these powders, as well as the different existing methods and practices, in order to anticipate this type of accident and reduce the effects on people, their environment, and their equipment (Ebadat, 2010</w:t>
      </w:r>
      <w:r w:rsidR="00C50209" w:rsidRPr="00EE32C7">
        <w:t>).</w:t>
      </w:r>
    </w:p>
    <w:p w14:paraId="23F7F3BC" w14:textId="3272175F" w:rsidR="00C50209" w:rsidRPr="00EE32C7" w:rsidRDefault="00C50209" w:rsidP="00C50209">
      <w:pPr>
        <w:pStyle w:val="CETListbullets"/>
        <w:ind w:left="0" w:firstLine="0"/>
      </w:pPr>
      <w:r w:rsidRPr="00EE32C7">
        <w:t>To properly manage the risks of dust explosions, the following information are required (Ebadat, 2010): understanding the different parameters associated with dust explosions and identifying potential areas where explosive powder clouds may form under normal and abnormal working conditions.</w:t>
      </w:r>
    </w:p>
    <w:p w14:paraId="69E725BB" w14:textId="15B87705" w:rsidR="008177A4" w:rsidRDefault="008177A4" w:rsidP="008177A4">
      <w:pPr>
        <w:pStyle w:val="CETHeading1"/>
      </w:pPr>
      <w:r>
        <w:t xml:space="preserve">Definitions and basic concepts </w:t>
      </w:r>
    </w:p>
    <w:p w14:paraId="639F57E4" w14:textId="6387BAF4" w:rsidR="008177A4" w:rsidRDefault="008177A4" w:rsidP="008177A4">
      <w:pPr>
        <w:pStyle w:val="CETheadingx"/>
      </w:pPr>
      <w:r w:rsidRPr="00C0253F">
        <w:t>Explosions</w:t>
      </w:r>
      <w:r>
        <w:rPr>
          <w:bCs/>
          <w:lang w:val="en-GB"/>
        </w:rPr>
        <w:t xml:space="preserve"> and dust d</w:t>
      </w:r>
      <w:r w:rsidRPr="00426D59">
        <w:rPr>
          <w:bCs/>
          <w:lang w:val="en-GB"/>
        </w:rPr>
        <w:t>ynamics</w:t>
      </w:r>
    </w:p>
    <w:p w14:paraId="2BBE8A05" w14:textId="26BB9C65" w:rsidR="008177A4" w:rsidRPr="00EE32C7" w:rsidRDefault="00C23BC9" w:rsidP="00C23BC9">
      <w:pPr>
        <w:pStyle w:val="CETBodytext"/>
      </w:pPr>
      <w:r w:rsidRPr="00C23BC9">
        <w:rPr>
          <w:lang w:val="en-GB"/>
        </w:rPr>
        <w:t>Explosions can be defined in two ways: the first as "a rapid rise in temperature and pressure, generating an audible pressure wave with spherical propagation," and the second as a chemical explosion involving "a sudden increase in pressure and temperature due to oxidation or other exothermic reactions" (Russell, 2016). Particulate matter is crucial, with BS 2955: 1958 categorizing particles under 1000 µm as powders and those under 76 µm as dust (</w:t>
      </w:r>
      <w:proofErr w:type="spellStart"/>
      <w:r w:rsidRPr="00C23BC9">
        <w:rPr>
          <w:lang w:val="en-GB"/>
        </w:rPr>
        <w:t>Abassi</w:t>
      </w:r>
      <w:proofErr w:type="spellEnd"/>
      <w:r w:rsidRPr="00C23BC9">
        <w:rPr>
          <w:lang w:val="en-GB"/>
        </w:rPr>
        <w:t xml:space="preserve"> et </w:t>
      </w:r>
      <w:proofErr w:type="spellStart"/>
      <w:r w:rsidRPr="00C23BC9">
        <w:rPr>
          <w:lang w:val="en-GB"/>
        </w:rPr>
        <w:t>Abassi</w:t>
      </w:r>
      <w:proofErr w:type="spellEnd"/>
      <w:r w:rsidRPr="00C23BC9">
        <w:rPr>
          <w:lang w:val="en-GB"/>
        </w:rPr>
        <w:t>, 2007). NFPA 68 defines dust as particles with a diameter of 420 µm or less (BS, 1965), while this study adopts dust as any solid material under 1000 µm (ISO, 2016). Dust explosions occur when flammable particles combust rapidly in air, with their power linked to particle size (NFPA 68, 2022). Smaller particles, like wood under 1000 µm, burn faster due to increased surface area, making ignition easier with sufficient oxygen (</w:t>
      </w:r>
      <w:proofErr w:type="spellStart"/>
      <w:r w:rsidRPr="00C23BC9">
        <w:rPr>
          <w:lang w:val="en-GB"/>
        </w:rPr>
        <w:t>Eckhoff</w:t>
      </w:r>
      <w:proofErr w:type="spellEnd"/>
      <w:r w:rsidRPr="00C23BC9">
        <w:rPr>
          <w:lang w:val="en-GB"/>
        </w:rPr>
        <w:t>, 2003). Understanding these definitions is key to grasping dust explosion dynamics.</w:t>
      </w:r>
    </w:p>
    <w:p w14:paraId="4D5F5895" w14:textId="68C1825C" w:rsidR="008177A4" w:rsidRPr="00EE32C7" w:rsidRDefault="008177A4" w:rsidP="008177A4">
      <w:pPr>
        <w:pStyle w:val="CETheadingx"/>
      </w:pPr>
      <w:r w:rsidRPr="00EE32C7">
        <w:lastRenderedPageBreak/>
        <w:t>Dust explosion conditions and influencing properties</w:t>
      </w:r>
    </w:p>
    <w:p w14:paraId="5DD61AF4" w14:textId="775D0ACC" w:rsidR="008177A4" w:rsidRDefault="008177A4" w:rsidP="00EE32C7">
      <w:pPr>
        <w:pStyle w:val="CETBodytext"/>
      </w:pPr>
      <w:r w:rsidRPr="00EE32C7">
        <w:t>A dust explosion occurs when five conditions are met: combustible material, oxidizer, ignition source, dust suspension in the air, and confinement of the dust cloud (Ebadat, 2010). The first three form the 'fire triangle,' while the last two create a pentagon that aids pressure buildup (Russell, 2016). Dust properties, including composition and moisture, affect combustion dynamics, with smaller particles increasing explosion severity due to their larger surface area (</w:t>
      </w:r>
      <w:proofErr w:type="spellStart"/>
      <w:r w:rsidRPr="00EE32C7">
        <w:t>Eckhoff</w:t>
      </w:r>
      <w:proofErr w:type="spellEnd"/>
      <w:r w:rsidRPr="00EE32C7">
        <w:t>, 2003). Turbulence in dust clouds mixes hot and cold segments, accelerating combustion, and as the temperature rises, the lower explosive limit decreases, requiring less dust concentration for an explosion (</w:t>
      </w:r>
      <w:proofErr w:type="spellStart"/>
      <w:r w:rsidR="00EE32C7">
        <w:rPr>
          <w:lang w:val="en-GB"/>
        </w:rPr>
        <w:t>Skavland</w:t>
      </w:r>
      <w:proofErr w:type="spellEnd"/>
      <w:r w:rsidR="00C23AD3" w:rsidRPr="00EE32C7">
        <w:rPr>
          <w:lang w:val="en-GB"/>
        </w:rPr>
        <w:t>, 2018</w:t>
      </w:r>
      <w:r w:rsidRPr="00EE32C7">
        <w:t>).The dust can only explode if its concentration is between the lower and upper explosive limits (LEL and UEL), leading to combustion products of CO</w:t>
      </w:r>
      <w:r w:rsidRPr="00EE32C7">
        <w:rPr>
          <w:vertAlign w:val="subscript"/>
        </w:rPr>
        <w:t>2</w:t>
      </w:r>
      <w:r w:rsidRPr="00EE32C7">
        <w:t xml:space="preserve"> and water:</w:t>
      </w:r>
    </w:p>
    <w:tbl>
      <w:tblPr>
        <w:tblW w:w="5000" w:type="pct"/>
        <w:tblLook w:val="04A0" w:firstRow="1" w:lastRow="0" w:firstColumn="1" w:lastColumn="0" w:noHBand="0" w:noVBand="1"/>
      </w:tblPr>
      <w:tblGrid>
        <w:gridCol w:w="8188"/>
        <w:gridCol w:w="815"/>
      </w:tblGrid>
      <w:tr w:rsidR="008177A4" w:rsidRPr="00AB0FAA" w14:paraId="2A0C2F44" w14:textId="77777777" w:rsidTr="0047060A">
        <w:tc>
          <w:tcPr>
            <w:tcW w:w="8188" w:type="dxa"/>
            <w:shd w:val="clear" w:color="auto" w:fill="auto"/>
            <w:vAlign w:val="center"/>
          </w:tcPr>
          <w:p w14:paraId="4CEEBA12" w14:textId="1C14E81E" w:rsidR="008177A4" w:rsidRPr="00AB0FAA" w:rsidRDefault="00AB0FAA" w:rsidP="009E6B49">
            <w:pPr>
              <w:pStyle w:val="CETEquation"/>
            </w:pPr>
            <m:oMathPara>
              <m:oMathParaPr>
                <m:jc m:val="left"/>
              </m:oMathParaPr>
              <m:oMath>
                <m:r>
                  <w:rPr>
                    <w:rFonts w:ascii="Cambria Math" w:hAnsi="Cambria Math"/>
                  </w:rPr>
                  <m:t>Combustible</m:t>
                </m:r>
                <m:r>
                  <m:rPr>
                    <m:sty m:val="p"/>
                  </m:rPr>
                  <w:rPr>
                    <w:rFonts w:ascii="Cambria Math" w:hAnsi="Cambria Math"/>
                  </w:rPr>
                  <m:t>+</m:t>
                </m:r>
                <m:r>
                  <w:rPr>
                    <w:rFonts w:ascii="Cambria Math" w:hAnsi="Cambria Math"/>
                  </w:rPr>
                  <m:t>comburant</m:t>
                </m:r>
                <m:r>
                  <m:rPr>
                    <m:sty m:val="p"/>
                  </m:rPr>
                  <w:rPr>
                    <w:rFonts w:ascii="Cambria Math" w:hAnsi="Cambria Math"/>
                  </w:rPr>
                  <m:t xml:space="preserve"> →</m:t>
                </m:r>
                <m:sSub>
                  <m:sSubPr>
                    <m:ctrlPr>
                      <w:rPr>
                        <w:rFonts w:ascii="Cambria Math" w:hAnsi="Cambria Math"/>
                      </w:rPr>
                    </m:ctrlPr>
                  </m:sSubPr>
                  <m:e>
                    <m:r>
                      <w:rPr>
                        <w:rFonts w:ascii="Cambria Math" w:hAnsi="Cambria Math"/>
                      </w:rPr>
                      <m:t>H</m:t>
                    </m:r>
                  </m:e>
                  <m:sub>
                    <m:r>
                      <m:rPr>
                        <m:sty m:val="p"/>
                      </m:rPr>
                      <w:rPr>
                        <w:rFonts w:ascii="Cambria Math" w:hAnsi="Cambria Math"/>
                      </w:rPr>
                      <m:t>2</m:t>
                    </m:r>
                  </m:sub>
                </m:sSub>
                <m:r>
                  <w:rPr>
                    <w:rFonts w:ascii="Cambria Math" w:hAnsi="Cambria Math"/>
                  </w:rPr>
                  <m:t>O+</m:t>
                </m:r>
                <m:sSub>
                  <m:sSubPr>
                    <m:ctrlPr>
                      <w:rPr>
                        <w:rFonts w:ascii="Cambria Math" w:hAnsi="Cambria Math"/>
                        <w:i/>
                        <w:iCs/>
                      </w:rPr>
                    </m:ctrlPr>
                  </m:sSubPr>
                  <m:e>
                    <m:r>
                      <w:rPr>
                        <w:rFonts w:ascii="Cambria Math" w:hAnsi="Cambria Math"/>
                      </w:rPr>
                      <m:t>CO</m:t>
                    </m:r>
                  </m:e>
                  <m:sub>
                    <m:r>
                      <w:rPr>
                        <w:rFonts w:ascii="Cambria Math" w:hAnsi="Cambria Math"/>
                      </w:rPr>
                      <m:t>2</m:t>
                    </m:r>
                  </m:sub>
                </m:sSub>
              </m:oMath>
            </m:oMathPara>
          </w:p>
        </w:tc>
        <w:tc>
          <w:tcPr>
            <w:tcW w:w="815" w:type="dxa"/>
            <w:shd w:val="clear" w:color="auto" w:fill="auto"/>
            <w:vAlign w:val="center"/>
          </w:tcPr>
          <w:p w14:paraId="7D65160F" w14:textId="77777777" w:rsidR="008177A4" w:rsidRPr="00AB0FAA" w:rsidRDefault="008177A4" w:rsidP="00AB0FAA">
            <w:pPr>
              <w:pStyle w:val="CETEquation"/>
              <w:jc w:val="right"/>
            </w:pPr>
            <w:r w:rsidRPr="00AB0FAA">
              <w:t>(1)</w:t>
            </w:r>
          </w:p>
        </w:tc>
      </w:tr>
    </w:tbl>
    <w:p w14:paraId="7699A6A9" w14:textId="65F4DF9D" w:rsidR="008177A4" w:rsidRPr="008177A4" w:rsidRDefault="008177A4" w:rsidP="008177A4">
      <w:pPr>
        <w:pStyle w:val="CETBodytext"/>
      </w:pPr>
      <w:r w:rsidRPr="00EE32C7">
        <w:t>Dust concentration affects explosion severity and minimum ignition energy; as concentration increases, the explosion rate rises until it peaks and then declines to zero. Conversely, mid-range explosion concentration initially decreases with increasing dust concentration, then rises again after surpassing a favorable concentration (</w:t>
      </w:r>
      <w:proofErr w:type="spellStart"/>
      <w:r w:rsidRPr="00EE32C7">
        <w:t>C</w:t>
      </w:r>
      <w:r w:rsidRPr="00EE32C7">
        <w:rPr>
          <w:vertAlign w:val="subscript"/>
        </w:rPr>
        <w:t>def</w:t>
      </w:r>
      <w:proofErr w:type="spellEnd"/>
      <w:r w:rsidRPr="00EE32C7">
        <w:t>), eventually returning to its original level.</w:t>
      </w:r>
    </w:p>
    <w:p w14:paraId="7F9BABA2" w14:textId="5D123481" w:rsidR="008177A4" w:rsidRDefault="00136E9D" w:rsidP="00136E9D">
      <w:pPr>
        <w:pStyle w:val="CETHeading1"/>
      </w:pPr>
      <w:r>
        <w:t>Characteristic parameters</w:t>
      </w:r>
      <w:r w:rsidR="00D474B1" w:rsidRPr="00661B4D">
        <w:t xml:space="preserve"> of the </w:t>
      </w:r>
      <w:r>
        <w:t xml:space="preserve">severity </w:t>
      </w:r>
      <w:r w:rsidR="00D474B1" w:rsidRPr="00661B4D">
        <w:t>of an explosion</w:t>
      </w:r>
      <w:r w:rsidRPr="00136E9D">
        <w:rPr>
          <w:b w:val="0"/>
          <w:sz w:val="18"/>
          <w:lang w:val="en-GB"/>
        </w:rPr>
        <w:t xml:space="preserve"> </w:t>
      </w:r>
    </w:p>
    <w:p w14:paraId="67777FED" w14:textId="3D5C5206" w:rsidR="002A2852" w:rsidRPr="00EE32C7" w:rsidRDefault="002A2852" w:rsidP="00B05B93">
      <w:pPr>
        <w:pStyle w:val="CETheadingx"/>
      </w:pPr>
      <w:r w:rsidRPr="00EE32C7">
        <w:rPr>
          <w:lang w:val="en-GB"/>
        </w:rPr>
        <w:t xml:space="preserve">Maximum </w:t>
      </w:r>
      <w:r w:rsidR="00B05B93" w:rsidRPr="00EE32C7">
        <w:rPr>
          <w:lang w:val="en-GB"/>
        </w:rPr>
        <w:t>e</w:t>
      </w:r>
      <w:r w:rsidRPr="00EE32C7">
        <w:rPr>
          <w:lang w:val="en-GB"/>
        </w:rPr>
        <w:t xml:space="preserve">xplosion </w:t>
      </w:r>
      <w:r w:rsidR="00B05B93" w:rsidRPr="00EE32C7">
        <w:rPr>
          <w:lang w:val="en-GB"/>
        </w:rPr>
        <w:t>p</w:t>
      </w:r>
      <w:r w:rsidRPr="00EE32C7">
        <w:rPr>
          <w:lang w:val="en-GB"/>
        </w:rPr>
        <w:t>ressure (</w:t>
      </w:r>
      <w:proofErr w:type="spellStart"/>
      <w:r w:rsidRPr="00EE32C7">
        <w:rPr>
          <w:lang w:val="en-GB"/>
        </w:rPr>
        <w:t>P</w:t>
      </w:r>
      <w:r w:rsidRPr="00EE32C7">
        <w:rPr>
          <w:vertAlign w:val="subscript"/>
          <w:lang w:val="en-GB"/>
        </w:rPr>
        <w:t>max</w:t>
      </w:r>
      <w:proofErr w:type="spellEnd"/>
      <w:r w:rsidRPr="00EE32C7">
        <w:rPr>
          <w:lang w:val="en-GB"/>
        </w:rPr>
        <w:t xml:space="preserve">) and </w:t>
      </w:r>
      <w:r w:rsidR="00B05B93" w:rsidRPr="00EE32C7">
        <w:rPr>
          <w:lang w:val="en-GB"/>
        </w:rPr>
        <w:t>r</w:t>
      </w:r>
      <w:r w:rsidRPr="00EE32C7">
        <w:rPr>
          <w:lang w:val="en-GB"/>
        </w:rPr>
        <w:t xml:space="preserve">ate of </w:t>
      </w:r>
      <w:r w:rsidR="00B05B93" w:rsidRPr="00EE32C7">
        <w:rPr>
          <w:lang w:val="en-GB"/>
        </w:rPr>
        <w:t>p</w:t>
      </w:r>
      <w:r w:rsidRPr="00EE32C7">
        <w:rPr>
          <w:lang w:val="en-GB"/>
        </w:rPr>
        <w:t xml:space="preserve">ressure </w:t>
      </w:r>
      <w:r w:rsidR="00B05B93" w:rsidRPr="00EE32C7">
        <w:rPr>
          <w:lang w:val="en-GB"/>
        </w:rPr>
        <w:t>r</w:t>
      </w:r>
      <w:r w:rsidRPr="00EE32C7">
        <w:rPr>
          <w:lang w:val="en-GB"/>
        </w:rPr>
        <w:t>ise (</w:t>
      </w:r>
      <w:proofErr w:type="spellStart"/>
      <w:r w:rsidRPr="00EE32C7">
        <w:rPr>
          <w:lang w:val="en-GB"/>
        </w:rPr>
        <w:t>dp</w:t>
      </w:r>
      <w:proofErr w:type="spellEnd"/>
      <w:r w:rsidRPr="00EE32C7">
        <w:rPr>
          <w:lang w:val="en-GB"/>
        </w:rPr>
        <w:t>/</w:t>
      </w:r>
      <w:proofErr w:type="spellStart"/>
      <w:r w:rsidRPr="00EE32C7">
        <w:rPr>
          <w:lang w:val="en-GB"/>
        </w:rPr>
        <w:t>dt</w:t>
      </w:r>
      <w:proofErr w:type="spellEnd"/>
      <w:r w:rsidRPr="00EE32C7">
        <w:rPr>
          <w:lang w:val="en-GB"/>
        </w:rPr>
        <w:t>)</w:t>
      </w:r>
    </w:p>
    <w:p w14:paraId="06F4FBC0" w14:textId="0B6B1D87" w:rsidR="002A2852" w:rsidRPr="00EE32C7" w:rsidRDefault="002A2852" w:rsidP="002A2852">
      <w:pPr>
        <w:pStyle w:val="CETBodytext"/>
      </w:pPr>
      <w:r w:rsidRPr="00EE32C7">
        <w:rPr>
          <w:lang w:val="en-GB"/>
        </w:rPr>
        <w:t>In a closed enclosure, the pressure from a dust explosion rises over time until reaching a maximum value (</w:t>
      </w:r>
      <w:proofErr w:type="spellStart"/>
      <w:r w:rsidRPr="00EE32C7">
        <w:rPr>
          <w:lang w:val="en-GB"/>
        </w:rPr>
        <w:t>P</w:t>
      </w:r>
      <w:r w:rsidRPr="00EE32C7">
        <w:rPr>
          <w:vertAlign w:val="subscript"/>
          <w:lang w:val="en-GB"/>
        </w:rPr>
        <w:t>max</w:t>
      </w:r>
      <w:proofErr w:type="spellEnd"/>
      <w:r w:rsidRPr="00EE32C7">
        <w:rPr>
          <w:lang w:val="en-GB"/>
        </w:rPr>
        <w:t xml:space="preserve">), which indicates the explosion's severity; higher </w:t>
      </w:r>
      <w:proofErr w:type="spellStart"/>
      <w:r w:rsidRPr="00EE32C7">
        <w:rPr>
          <w:lang w:val="en-GB"/>
        </w:rPr>
        <w:t>P</w:t>
      </w:r>
      <w:r w:rsidRPr="00EE32C7">
        <w:rPr>
          <w:vertAlign w:val="subscript"/>
          <w:lang w:val="en-GB"/>
        </w:rPr>
        <w:t>max</w:t>
      </w:r>
      <w:proofErr w:type="spellEnd"/>
      <w:r w:rsidRPr="00EE32C7">
        <w:rPr>
          <w:lang w:val="en-GB"/>
        </w:rPr>
        <w:t xml:space="preserve"> values correspond to greater damage. The rate of pressure rise (</w:t>
      </w:r>
      <w:proofErr w:type="spellStart"/>
      <w:r w:rsidRPr="00EE32C7">
        <w:rPr>
          <w:lang w:val="en-GB"/>
        </w:rPr>
        <w:t>dp</w:t>
      </w:r>
      <w:proofErr w:type="spellEnd"/>
      <w:r w:rsidRPr="00EE32C7">
        <w:rPr>
          <w:lang w:val="en-GB"/>
        </w:rPr>
        <w:t>/</w:t>
      </w:r>
      <w:proofErr w:type="spellStart"/>
      <w:r w:rsidRPr="00EE32C7">
        <w:rPr>
          <w:lang w:val="en-GB"/>
        </w:rPr>
        <w:t>dt</w:t>
      </w:r>
      <w:proofErr w:type="spellEnd"/>
      <w:r w:rsidRPr="00EE32C7">
        <w:rPr>
          <w:lang w:val="en-GB"/>
        </w:rPr>
        <w:t xml:space="preserve">), influenced by factors such as the dust combustion rate and the material's characteristics, determines how quickly maximum pressure is reached. A higher pressure rise rate leads to more severe explosion effects, defined by the </w:t>
      </w:r>
      <w:proofErr w:type="spellStart"/>
      <w:r w:rsidRPr="00EE32C7">
        <w:rPr>
          <w:lang w:val="en-GB"/>
        </w:rPr>
        <w:t>P</w:t>
      </w:r>
      <w:r w:rsidRPr="00EE32C7">
        <w:rPr>
          <w:vertAlign w:val="subscript"/>
          <w:lang w:val="en-GB"/>
        </w:rPr>
        <w:t>max</w:t>
      </w:r>
      <w:proofErr w:type="spellEnd"/>
      <w:r w:rsidRPr="00EE32C7">
        <w:rPr>
          <w:lang w:val="en-GB"/>
        </w:rPr>
        <w:t xml:space="preserve"> value</w:t>
      </w:r>
      <w:r w:rsidR="00A3250B" w:rsidRPr="00EE32C7">
        <w:rPr>
          <w:lang w:val="en-GB"/>
        </w:rPr>
        <w:t xml:space="preserve"> </w:t>
      </w:r>
      <w:r w:rsidR="00A3250B" w:rsidRPr="00EE32C7">
        <w:t xml:space="preserve">(Petit et </w:t>
      </w:r>
      <w:proofErr w:type="spellStart"/>
      <w:r w:rsidR="00A3250B" w:rsidRPr="00EE32C7">
        <w:t>Poyard</w:t>
      </w:r>
      <w:proofErr w:type="spellEnd"/>
      <w:r w:rsidR="00A3250B" w:rsidRPr="00EE32C7">
        <w:t>, 2004).</w:t>
      </w:r>
    </w:p>
    <w:p w14:paraId="4ACF8C8B" w14:textId="2985A4C5" w:rsidR="00D474B1" w:rsidRDefault="00D474B1" w:rsidP="00D474B1">
      <w:pPr>
        <w:pStyle w:val="CETBodytext"/>
      </w:pPr>
      <w:r w:rsidRPr="00EE32C7">
        <w:t>The maximum rate of pressure increase is also related to the enclosure volume (V) through the cubic relationship:</w:t>
      </w:r>
    </w:p>
    <w:tbl>
      <w:tblPr>
        <w:tblW w:w="5000" w:type="pct"/>
        <w:tblLook w:val="04A0" w:firstRow="1" w:lastRow="0" w:firstColumn="1" w:lastColumn="0" w:noHBand="0" w:noVBand="1"/>
      </w:tblPr>
      <w:tblGrid>
        <w:gridCol w:w="8188"/>
        <w:gridCol w:w="815"/>
      </w:tblGrid>
      <w:tr w:rsidR="00E54AD9" w:rsidRPr="00B57B36" w14:paraId="444D67F6" w14:textId="77777777" w:rsidTr="0047060A">
        <w:tc>
          <w:tcPr>
            <w:tcW w:w="8188" w:type="dxa"/>
            <w:shd w:val="clear" w:color="auto" w:fill="auto"/>
            <w:vAlign w:val="center"/>
          </w:tcPr>
          <w:p w14:paraId="01E1E231" w14:textId="690895CC" w:rsidR="00E54AD9" w:rsidRPr="00E54AD9" w:rsidRDefault="001E42E5" w:rsidP="00E54AD9">
            <w:pPr>
              <w:pStyle w:val="CETEquation"/>
            </w:pPr>
            <m:oMathPara>
              <m:oMathParaPr>
                <m:jc m:val="left"/>
              </m:oMathParaP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dp</m:t>
                            </m:r>
                          </m:num>
                          <m:den>
                            <m:r>
                              <w:rPr>
                                <w:rFonts w:ascii="Cambria Math" w:hAnsi="Cambria Math"/>
                              </w:rPr>
                              <m:t>d</m:t>
                            </m:r>
                            <m:r>
                              <w:rPr>
                                <w:rFonts w:ascii="Cambria Math" w:hAnsi="Cambria Math"/>
                              </w:rPr>
                              <m:t>t</m:t>
                            </m:r>
                          </m:den>
                        </m:f>
                      </m:e>
                    </m:d>
                  </m:e>
                  <m:sub>
                    <m:r>
                      <w:rPr>
                        <w:rFonts w:ascii="Cambria Math" w:hAnsi="Cambria Math"/>
                      </w:rPr>
                      <m:t>max</m:t>
                    </m:r>
                  </m:sub>
                </m:sSub>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1/3</m:t>
                    </m:r>
                  </m:sup>
                </m:sSup>
                <m:r>
                  <w:rPr>
                    <w:rFonts w:ascii="Cambria Math" w:hAnsi="Cambria Math"/>
                  </w:rPr>
                  <m:t>=Kst</m:t>
                </m:r>
              </m:oMath>
            </m:oMathPara>
          </w:p>
        </w:tc>
        <w:tc>
          <w:tcPr>
            <w:tcW w:w="815" w:type="dxa"/>
            <w:shd w:val="clear" w:color="auto" w:fill="auto"/>
            <w:vAlign w:val="center"/>
          </w:tcPr>
          <w:p w14:paraId="51AF11DF" w14:textId="3A24017B" w:rsidR="00E54AD9" w:rsidRPr="00B57B36" w:rsidRDefault="00E54AD9" w:rsidP="0047060A">
            <w:pPr>
              <w:pStyle w:val="CETEquation"/>
              <w:jc w:val="right"/>
            </w:pPr>
            <w:r>
              <w:t>(2</w:t>
            </w:r>
            <w:r w:rsidRPr="00B57B36">
              <w:t>)</w:t>
            </w:r>
          </w:p>
        </w:tc>
      </w:tr>
    </w:tbl>
    <w:p w14:paraId="6CB978F2" w14:textId="6ACF854A" w:rsidR="00B05B93" w:rsidRDefault="00B05B93" w:rsidP="00B05B93">
      <w:pPr>
        <w:pStyle w:val="CETBodytext"/>
      </w:pPr>
      <w:proofErr w:type="spellStart"/>
      <w:r w:rsidRPr="00B05B93">
        <w:rPr>
          <w:lang w:val="en-GB"/>
        </w:rPr>
        <w:t>Kst</w:t>
      </w:r>
      <w:proofErr w:type="spellEnd"/>
      <w:r>
        <w:rPr>
          <w:lang w:val="en-GB"/>
        </w:rPr>
        <w:t>:</w:t>
      </w:r>
      <w:r w:rsidRPr="00B05B93">
        <w:rPr>
          <w:lang w:val="en-GB"/>
        </w:rPr>
        <w:t xml:space="preserve"> characterizes the severity of a dust explosion based on its particle size and moisture content, allowing combustible dust to be classified; the higher the </w:t>
      </w:r>
      <w:proofErr w:type="spellStart"/>
      <w:r w:rsidRPr="00B05B93">
        <w:rPr>
          <w:lang w:val="en-GB"/>
        </w:rPr>
        <w:t>Kst</w:t>
      </w:r>
      <w:proofErr w:type="spellEnd"/>
      <w:r w:rsidRPr="00B05B93">
        <w:rPr>
          <w:lang w:val="en-GB"/>
        </w:rPr>
        <w:t>, the more severe the explosion.</w:t>
      </w:r>
    </w:p>
    <w:p w14:paraId="7E3F78B7" w14:textId="77777777" w:rsidR="00D474B1" w:rsidRPr="00F649E8" w:rsidRDefault="00D474B1" w:rsidP="00D474B1">
      <w:pPr>
        <w:pStyle w:val="CETTabletitle"/>
        <w:rPr>
          <w:vertAlign w:val="subscript"/>
        </w:rPr>
      </w:pPr>
      <w:r w:rsidRPr="00D474B1">
        <w:t>Table</w:t>
      </w:r>
      <w:r w:rsidRPr="00F649E8">
        <w:t xml:space="preserve"> 1 - Classification of dust explosions as a function of </w:t>
      </w:r>
      <m:oMath>
        <m:r>
          <w:rPr>
            <w:rFonts w:ascii="Cambria Math" w:hAnsi="Cambria Math"/>
          </w:rPr>
          <m:t>Kst</m:t>
        </m:r>
      </m:oMath>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276"/>
        <w:gridCol w:w="2693"/>
      </w:tblGrid>
      <w:tr w:rsidR="00D474B1" w:rsidRPr="00C502AC" w14:paraId="49A96CD6" w14:textId="77777777" w:rsidTr="0047060A">
        <w:tc>
          <w:tcPr>
            <w:tcW w:w="1418" w:type="dxa"/>
            <w:tcBorders>
              <w:top w:val="single" w:sz="12" w:space="0" w:color="008000"/>
              <w:bottom w:val="single" w:sz="6" w:space="0" w:color="008000"/>
            </w:tcBorders>
            <w:shd w:val="clear" w:color="auto" w:fill="FFFFFF"/>
          </w:tcPr>
          <w:p w14:paraId="64070D86" w14:textId="77777777" w:rsidR="00D474B1" w:rsidRPr="00C502AC" w:rsidRDefault="00D474B1" w:rsidP="0047060A">
            <w:pPr>
              <w:pStyle w:val="CETBodytext"/>
            </w:pPr>
            <w:r w:rsidRPr="00C502AC">
              <w:rPr>
                <w:lang w:val="en-GB"/>
              </w:rPr>
              <w:t>Explosion class</w:t>
            </w:r>
          </w:p>
        </w:tc>
        <w:tc>
          <w:tcPr>
            <w:tcW w:w="1276" w:type="dxa"/>
            <w:tcBorders>
              <w:top w:val="single" w:sz="12" w:space="0" w:color="008000"/>
              <w:bottom w:val="single" w:sz="6" w:space="0" w:color="008000"/>
            </w:tcBorders>
            <w:shd w:val="clear" w:color="auto" w:fill="FFFFFF"/>
          </w:tcPr>
          <w:p w14:paraId="7D9EB00F" w14:textId="5DF899EC" w:rsidR="00D474B1" w:rsidRPr="00EE32C7" w:rsidRDefault="00446732" w:rsidP="0047060A">
            <w:pPr>
              <w:pStyle w:val="CETBodytext"/>
            </w:pPr>
            <w:proofErr w:type="spellStart"/>
            <w:r>
              <w:rPr>
                <w:lang w:val="en-GB"/>
              </w:rPr>
              <w:t>Kst</w:t>
            </w:r>
            <w:proofErr w:type="spellEnd"/>
            <w:r>
              <w:rPr>
                <w:lang w:val="en-GB"/>
              </w:rPr>
              <w:t xml:space="preserve"> </w:t>
            </w:r>
            <w:r w:rsidR="00D474B1" w:rsidRPr="00EE32C7">
              <w:rPr>
                <w:lang w:val="en-GB"/>
              </w:rPr>
              <w:t>(bar.ms</w:t>
            </w:r>
            <w:r w:rsidR="00D474B1" w:rsidRPr="00EE32C7">
              <w:rPr>
                <w:vertAlign w:val="superscript"/>
                <w:lang w:val="en-GB"/>
              </w:rPr>
              <w:t>-1</w:t>
            </w:r>
            <w:r w:rsidR="00D474B1" w:rsidRPr="00EE32C7">
              <w:rPr>
                <w:lang w:val="en-GB"/>
              </w:rPr>
              <w:t>)</w:t>
            </w:r>
          </w:p>
        </w:tc>
        <w:tc>
          <w:tcPr>
            <w:tcW w:w="2693" w:type="dxa"/>
            <w:tcBorders>
              <w:top w:val="single" w:sz="12" w:space="0" w:color="008000"/>
              <w:bottom w:val="single" w:sz="6" w:space="0" w:color="008000"/>
            </w:tcBorders>
            <w:shd w:val="clear" w:color="auto" w:fill="FFFFFF"/>
          </w:tcPr>
          <w:p w14:paraId="4BD51C3F" w14:textId="77777777" w:rsidR="00D474B1" w:rsidRPr="00C502AC" w:rsidRDefault="00D474B1" w:rsidP="0047060A">
            <w:pPr>
              <w:pStyle w:val="CETBodytext"/>
            </w:pPr>
            <w:r w:rsidRPr="00C502AC">
              <w:rPr>
                <w:lang w:val="en-GB"/>
              </w:rPr>
              <w:t>Characteristic of the explosion</w:t>
            </w:r>
          </w:p>
        </w:tc>
      </w:tr>
      <w:tr w:rsidR="00D474B1" w:rsidRPr="00C502AC" w14:paraId="7A8EE216" w14:textId="77777777" w:rsidTr="0047060A">
        <w:tc>
          <w:tcPr>
            <w:tcW w:w="1418" w:type="dxa"/>
            <w:shd w:val="clear" w:color="auto" w:fill="FFFFFF"/>
          </w:tcPr>
          <w:p w14:paraId="1A20F78D" w14:textId="77777777" w:rsidR="00D474B1" w:rsidRPr="00EA0C72" w:rsidRDefault="00D474B1" w:rsidP="0047060A">
            <w:pPr>
              <w:pStyle w:val="CETBodytext"/>
            </w:pPr>
            <w:r w:rsidRPr="00EA0C72">
              <w:rPr>
                <w:rFonts w:asciiTheme="minorBidi" w:hAnsiTheme="minorBidi" w:cstheme="minorBidi"/>
                <w:szCs w:val="18"/>
              </w:rPr>
              <w:t>S</w:t>
            </w:r>
            <w:r w:rsidRPr="00EA0C72">
              <w:rPr>
                <w:rFonts w:asciiTheme="minorBidi" w:hAnsiTheme="minorBidi" w:cstheme="minorBidi"/>
                <w:szCs w:val="18"/>
                <w:vertAlign w:val="subscript"/>
              </w:rPr>
              <w:t>t1</w:t>
            </w:r>
          </w:p>
        </w:tc>
        <w:tc>
          <w:tcPr>
            <w:tcW w:w="1276" w:type="dxa"/>
            <w:shd w:val="clear" w:color="auto" w:fill="FFFFFF"/>
          </w:tcPr>
          <w:p w14:paraId="7DC5AC05" w14:textId="77777777" w:rsidR="00D474B1" w:rsidRPr="00EE32C7" w:rsidRDefault="00D474B1" w:rsidP="0047060A">
            <w:pPr>
              <w:pStyle w:val="CETBodytext"/>
            </w:pPr>
            <w:r w:rsidRPr="00EE32C7">
              <w:rPr>
                <w:rFonts w:asciiTheme="minorBidi" w:hAnsiTheme="minorBidi" w:cstheme="minorBidi"/>
                <w:szCs w:val="18"/>
              </w:rPr>
              <w:t>1-200</w:t>
            </w:r>
          </w:p>
        </w:tc>
        <w:tc>
          <w:tcPr>
            <w:tcW w:w="2693" w:type="dxa"/>
            <w:shd w:val="clear" w:color="auto" w:fill="FFFFFF"/>
          </w:tcPr>
          <w:p w14:paraId="236526D1" w14:textId="77777777" w:rsidR="00D474B1" w:rsidRPr="00EA0C72" w:rsidRDefault="00D474B1" w:rsidP="0047060A">
            <w:pPr>
              <w:pStyle w:val="CETBodytext"/>
            </w:pPr>
            <w:r w:rsidRPr="00EA0C72">
              <w:rPr>
                <w:rFonts w:asciiTheme="minorBidi" w:hAnsiTheme="minorBidi" w:cstheme="minorBidi"/>
                <w:szCs w:val="18"/>
              </w:rPr>
              <w:t>Low-medium explosion</w:t>
            </w:r>
          </w:p>
        </w:tc>
      </w:tr>
      <w:tr w:rsidR="00D474B1" w:rsidRPr="00C502AC" w14:paraId="01823B1D" w14:textId="77777777" w:rsidTr="0047060A">
        <w:tc>
          <w:tcPr>
            <w:tcW w:w="1418" w:type="dxa"/>
            <w:shd w:val="clear" w:color="auto" w:fill="FFFFFF"/>
          </w:tcPr>
          <w:p w14:paraId="56844EBE" w14:textId="77777777" w:rsidR="00D474B1" w:rsidRPr="00EA0C72" w:rsidRDefault="00D474B1" w:rsidP="0047060A">
            <w:pPr>
              <w:pStyle w:val="CETBodytext"/>
            </w:pPr>
            <w:r w:rsidRPr="00EA0C72">
              <w:rPr>
                <w:rFonts w:asciiTheme="minorBidi" w:hAnsiTheme="minorBidi" w:cstheme="minorBidi"/>
                <w:szCs w:val="18"/>
              </w:rPr>
              <w:t>S</w:t>
            </w:r>
            <w:r w:rsidRPr="00EA0C72">
              <w:rPr>
                <w:rFonts w:asciiTheme="minorBidi" w:hAnsiTheme="minorBidi" w:cstheme="minorBidi"/>
                <w:szCs w:val="18"/>
                <w:vertAlign w:val="subscript"/>
              </w:rPr>
              <w:t>t2</w:t>
            </w:r>
          </w:p>
        </w:tc>
        <w:tc>
          <w:tcPr>
            <w:tcW w:w="1276" w:type="dxa"/>
            <w:shd w:val="clear" w:color="auto" w:fill="FFFFFF"/>
          </w:tcPr>
          <w:p w14:paraId="2CCDA651" w14:textId="77777777" w:rsidR="00D474B1" w:rsidRPr="00EE32C7" w:rsidRDefault="00D474B1" w:rsidP="0047060A">
            <w:pPr>
              <w:pStyle w:val="CETBodytext"/>
            </w:pPr>
            <w:r w:rsidRPr="00EE32C7">
              <w:rPr>
                <w:rFonts w:asciiTheme="minorBidi" w:hAnsiTheme="minorBidi" w:cstheme="minorBidi"/>
                <w:szCs w:val="18"/>
              </w:rPr>
              <w:t>201-300</w:t>
            </w:r>
          </w:p>
        </w:tc>
        <w:tc>
          <w:tcPr>
            <w:tcW w:w="2693" w:type="dxa"/>
            <w:shd w:val="clear" w:color="auto" w:fill="FFFFFF"/>
          </w:tcPr>
          <w:p w14:paraId="68723C5A" w14:textId="77777777" w:rsidR="00D474B1" w:rsidRPr="00EA0C72" w:rsidRDefault="00D474B1" w:rsidP="0047060A">
            <w:pPr>
              <w:pStyle w:val="CETBodytext"/>
            </w:pPr>
            <w:r w:rsidRPr="00EA0C72">
              <w:rPr>
                <w:rFonts w:asciiTheme="minorBidi" w:hAnsiTheme="minorBidi" w:cstheme="minorBidi"/>
                <w:szCs w:val="18"/>
              </w:rPr>
              <w:t>Strong explosion</w:t>
            </w:r>
          </w:p>
        </w:tc>
      </w:tr>
      <w:tr w:rsidR="00D474B1" w:rsidRPr="00C502AC" w14:paraId="24E35CCB" w14:textId="77777777" w:rsidTr="0047060A">
        <w:tc>
          <w:tcPr>
            <w:tcW w:w="1418" w:type="dxa"/>
            <w:shd w:val="clear" w:color="auto" w:fill="FFFFFF"/>
          </w:tcPr>
          <w:p w14:paraId="7C228905" w14:textId="77777777" w:rsidR="00D474B1" w:rsidRPr="00EA0C72" w:rsidRDefault="00D474B1" w:rsidP="0047060A">
            <w:pPr>
              <w:pStyle w:val="CETBodytext"/>
            </w:pPr>
            <w:r w:rsidRPr="00EA0C72">
              <w:rPr>
                <w:rFonts w:asciiTheme="minorBidi" w:hAnsiTheme="minorBidi" w:cstheme="minorBidi"/>
                <w:szCs w:val="18"/>
              </w:rPr>
              <w:t>S</w:t>
            </w:r>
            <w:r w:rsidRPr="00EA0C72">
              <w:rPr>
                <w:rFonts w:asciiTheme="minorBidi" w:hAnsiTheme="minorBidi" w:cstheme="minorBidi"/>
                <w:szCs w:val="18"/>
                <w:vertAlign w:val="subscript"/>
              </w:rPr>
              <w:t>t3</w:t>
            </w:r>
          </w:p>
        </w:tc>
        <w:tc>
          <w:tcPr>
            <w:tcW w:w="1276" w:type="dxa"/>
            <w:shd w:val="clear" w:color="auto" w:fill="FFFFFF"/>
          </w:tcPr>
          <w:p w14:paraId="53EF7B94" w14:textId="77777777" w:rsidR="00D474B1" w:rsidRPr="00EE32C7" w:rsidRDefault="00D474B1" w:rsidP="0047060A">
            <w:pPr>
              <w:pStyle w:val="CETBodytext"/>
            </w:pPr>
            <w:r w:rsidRPr="00EE32C7">
              <w:rPr>
                <w:rFonts w:asciiTheme="minorBidi" w:hAnsiTheme="minorBidi" w:cstheme="minorBidi"/>
                <w:szCs w:val="18"/>
              </w:rPr>
              <w:t>&gt;300</w:t>
            </w:r>
          </w:p>
        </w:tc>
        <w:tc>
          <w:tcPr>
            <w:tcW w:w="2693" w:type="dxa"/>
            <w:shd w:val="clear" w:color="auto" w:fill="FFFFFF"/>
          </w:tcPr>
          <w:p w14:paraId="2564BE40" w14:textId="77777777" w:rsidR="00D474B1" w:rsidRPr="00EA0C72" w:rsidRDefault="00D474B1" w:rsidP="0047060A">
            <w:pPr>
              <w:pStyle w:val="CETBodytext"/>
            </w:pPr>
            <w:r w:rsidRPr="00EA0C72">
              <w:rPr>
                <w:rFonts w:asciiTheme="minorBidi" w:hAnsiTheme="minorBidi" w:cstheme="minorBidi"/>
                <w:szCs w:val="18"/>
              </w:rPr>
              <w:t>Very loud explosion</w:t>
            </w:r>
          </w:p>
        </w:tc>
      </w:tr>
    </w:tbl>
    <w:p w14:paraId="3459B04C" w14:textId="3FB5B912" w:rsidR="008177A4" w:rsidRDefault="007B5CF8" w:rsidP="007B5CF8">
      <w:pPr>
        <w:pStyle w:val="CETHeading1"/>
      </w:pPr>
      <w:r w:rsidRPr="00A5200F">
        <w:t>Managing the risks associated with dust explosions</w:t>
      </w:r>
    </w:p>
    <w:p w14:paraId="3989B7A3" w14:textId="57241035" w:rsidR="007B5CF8" w:rsidRDefault="007B5CF8" w:rsidP="007B5CF8">
      <w:pPr>
        <w:pStyle w:val="CETheadingx"/>
      </w:pPr>
      <w:r w:rsidRPr="00A5200F">
        <w:t>Identifying places where explosive atmospheres can form</w:t>
      </w:r>
    </w:p>
    <w:p w14:paraId="1D8EB7CB" w14:textId="41CD5848" w:rsidR="007B5CF8" w:rsidRPr="00EE32C7" w:rsidRDefault="007B5CF8" w:rsidP="007B5CF8">
      <w:pPr>
        <w:pStyle w:val="CETBodytext"/>
      </w:pPr>
      <w:r w:rsidRPr="00A12285">
        <w:rPr>
          <w:lang w:val="en-GB"/>
        </w:rPr>
        <w:t xml:space="preserve">Before identifying potential explosive atmospheres, it is essential to have a document detailing all finely </w:t>
      </w:r>
      <w:r w:rsidRPr="00EE32C7">
        <w:rPr>
          <w:lang w:val="en-GB"/>
        </w:rPr>
        <w:t xml:space="preserve">divided flammable solids and their characteristics to assess their flammability and explosiveness (Petit </w:t>
      </w:r>
      <w:proofErr w:type="gramStart"/>
      <w:r w:rsidRPr="00EE32C7">
        <w:rPr>
          <w:lang w:val="en-GB"/>
        </w:rPr>
        <w:t>et</w:t>
      </w:r>
      <w:proofErr w:type="gramEnd"/>
      <w:r w:rsidRPr="00EE32C7">
        <w:rPr>
          <w:lang w:val="en-GB"/>
        </w:rPr>
        <w:t xml:space="preserve"> </w:t>
      </w:r>
      <w:proofErr w:type="spellStart"/>
      <w:r w:rsidRPr="00EE32C7">
        <w:rPr>
          <w:lang w:val="en-GB"/>
        </w:rPr>
        <w:t>Poyard</w:t>
      </w:r>
      <w:proofErr w:type="spellEnd"/>
      <w:r w:rsidRPr="00EE32C7">
        <w:rPr>
          <w:lang w:val="en-GB"/>
        </w:rPr>
        <w:t>, 2004).</w:t>
      </w:r>
    </w:p>
    <w:p w14:paraId="1C285D6D" w14:textId="274B51CC" w:rsidR="00D474B1" w:rsidRDefault="00AC4397" w:rsidP="007B5CF8">
      <w:pPr>
        <w:pStyle w:val="CETheadingx"/>
      </w:pPr>
      <w:r w:rsidRPr="00EE32C7">
        <w:t>ATEX zoning</w:t>
      </w:r>
      <w:r>
        <w:t xml:space="preserve"> and site data collection</w:t>
      </w:r>
    </w:p>
    <w:p w14:paraId="17D1DDFC" w14:textId="77777777" w:rsidR="00ED4675" w:rsidRPr="00ED4675" w:rsidRDefault="00ED4675" w:rsidP="00ED4675">
      <w:pPr>
        <w:pStyle w:val="CETBodytext"/>
      </w:pPr>
      <w:r w:rsidRPr="00ED4675">
        <w:t xml:space="preserve">Zone 20 is the area where a combustible dust cloud is always present; Zone 21 is where such an atmosphere may occur occasionally; and Zone 22 is where it is unlikely to occur or only for a brief period. Therefore, understanding these zones is essential for selecting the appropriate equipment and materials based on the characteristics of the dust. This work will also involve gathering the necessary data to study dust explosions in three critical areas within our company, as well as evaluating and determining the ATEX zoning for dust explosion risks. In light of this analysis, a primary area has been identified as presenting a significant risk of dust explosion: the weighing room. This room is used for weighing products and raw materials, quality control, and storage, with the upper zone being sensitive due to dust accumulation, which led the company to install a laminar flow ventilation system. The table includes all necessary study data for future calculations, focusing on amoxicillin </w:t>
      </w:r>
      <w:proofErr w:type="spellStart"/>
      <w:r w:rsidRPr="00ED4675">
        <w:t>trihydrate</w:t>
      </w:r>
      <w:proofErr w:type="spellEnd"/>
      <w:r w:rsidRPr="00ED4675">
        <w:t xml:space="preserve"> as the primary dust component.</w:t>
      </w:r>
    </w:p>
    <w:p w14:paraId="1FF3D648" w14:textId="6A1B7526" w:rsidR="00AC4397" w:rsidRDefault="00AC4397" w:rsidP="00AC4397">
      <w:pPr>
        <w:pStyle w:val="CETTabletitle"/>
      </w:pPr>
      <w:r w:rsidRPr="00BA7B36">
        <w:t>Table 2: Data table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828"/>
        <w:gridCol w:w="884"/>
        <w:gridCol w:w="992"/>
        <w:gridCol w:w="1134"/>
      </w:tblGrid>
      <w:tr w:rsidR="00AC4397" w:rsidRPr="00EE32C7" w14:paraId="036724F8" w14:textId="77777777" w:rsidTr="00AC4397">
        <w:tc>
          <w:tcPr>
            <w:tcW w:w="3828" w:type="dxa"/>
            <w:tcBorders>
              <w:top w:val="single" w:sz="12" w:space="0" w:color="008000"/>
              <w:bottom w:val="single" w:sz="6" w:space="0" w:color="008000"/>
            </w:tcBorders>
            <w:shd w:val="clear" w:color="auto" w:fill="FFFFFF"/>
          </w:tcPr>
          <w:p w14:paraId="6870515C" w14:textId="54B99463" w:rsidR="00AC4397" w:rsidRPr="00EE32C7" w:rsidRDefault="00AC4397" w:rsidP="0047060A">
            <w:pPr>
              <w:pStyle w:val="CETBodytext"/>
              <w:jc w:val="center"/>
              <w:rPr>
                <w:rFonts w:asciiTheme="minorBidi" w:hAnsiTheme="minorBidi" w:cstheme="minorBidi"/>
                <w:szCs w:val="18"/>
              </w:rPr>
            </w:pPr>
            <w:r w:rsidRPr="00EE32C7">
              <w:rPr>
                <w:rFonts w:asciiTheme="minorBidi" w:hAnsiTheme="minorBidi" w:cstheme="minorBidi"/>
                <w:szCs w:val="18"/>
              </w:rPr>
              <w:t>Data</w:t>
            </w:r>
          </w:p>
        </w:tc>
        <w:tc>
          <w:tcPr>
            <w:tcW w:w="884" w:type="dxa"/>
            <w:tcBorders>
              <w:top w:val="single" w:sz="12" w:space="0" w:color="008000"/>
              <w:bottom w:val="single" w:sz="6" w:space="0" w:color="008000"/>
            </w:tcBorders>
            <w:shd w:val="clear" w:color="auto" w:fill="FFFFFF"/>
          </w:tcPr>
          <w:p w14:paraId="37EE2205" w14:textId="77777777" w:rsidR="00AC4397" w:rsidRPr="00EE32C7" w:rsidRDefault="00AC4397" w:rsidP="0047060A">
            <w:pPr>
              <w:pStyle w:val="CETBodytext"/>
              <w:jc w:val="center"/>
              <w:rPr>
                <w:rFonts w:asciiTheme="minorBidi" w:hAnsiTheme="minorBidi" w:cstheme="minorBidi"/>
                <w:szCs w:val="18"/>
              </w:rPr>
            </w:pPr>
            <w:r w:rsidRPr="00EE32C7">
              <w:rPr>
                <w:rFonts w:asciiTheme="minorBidi" w:hAnsiTheme="minorBidi" w:cstheme="minorBidi"/>
                <w:szCs w:val="18"/>
              </w:rPr>
              <w:t>Symbol</w:t>
            </w:r>
          </w:p>
        </w:tc>
        <w:tc>
          <w:tcPr>
            <w:tcW w:w="992" w:type="dxa"/>
            <w:tcBorders>
              <w:top w:val="single" w:sz="12" w:space="0" w:color="008000"/>
              <w:bottom w:val="single" w:sz="6" w:space="0" w:color="008000"/>
            </w:tcBorders>
            <w:shd w:val="clear" w:color="auto" w:fill="FFFFFF"/>
          </w:tcPr>
          <w:p w14:paraId="459BED5D" w14:textId="77777777" w:rsidR="00AC4397" w:rsidRPr="00EE32C7" w:rsidRDefault="00AC4397" w:rsidP="0047060A">
            <w:pPr>
              <w:pStyle w:val="CETBodytext"/>
              <w:jc w:val="center"/>
              <w:rPr>
                <w:rFonts w:asciiTheme="minorBidi" w:hAnsiTheme="minorBidi" w:cstheme="minorBidi"/>
                <w:szCs w:val="18"/>
              </w:rPr>
            </w:pPr>
            <w:r w:rsidRPr="00EE32C7">
              <w:rPr>
                <w:rFonts w:asciiTheme="minorBidi" w:hAnsiTheme="minorBidi" w:cstheme="minorBidi"/>
                <w:szCs w:val="18"/>
              </w:rPr>
              <w:t>Value</w:t>
            </w:r>
          </w:p>
        </w:tc>
        <w:tc>
          <w:tcPr>
            <w:tcW w:w="1134" w:type="dxa"/>
            <w:tcBorders>
              <w:top w:val="single" w:sz="12" w:space="0" w:color="008000"/>
              <w:bottom w:val="single" w:sz="6" w:space="0" w:color="008000"/>
            </w:tcBorders>
            <w:shd w:val="clear" w:color="auto" w:fill="FFFFFF"/>
          </w:tcPr>
          <w:p w14:paraId="09EDD092" w14:textId="77777777" w:rsidR="00AC4397" w:rsidRPr="00EE32C7" w:rsidRDefault="00AC4397" w:rsidP="0047060A">
            <w:pPr>
              <w:pStyle w:val="CETBodytext"/>
              <w:jc w:val="center"/>
              <w:rPr>
                <w:rFonts w:asciiTheme="minorBidi" w:hAnsiTheme="minorBidi" w:cstheme="minorBidi"/>
                <w:szCs w:val="18"/>
              </w:rPr>
            </w:pPr>
            <w:r w:rsidRPr="00EE32C7">
              <w:rPr>
                <w:rFonts w:asciiTheme="minorBidi" w:hAnsiTheme="minorBidi" w:cstheme="minorBidi"/>
                <w:szCs w:val="18"/>
              </w:rPr>
              <w:t>Unit</w:t>
            </w:r>
          </w:p>
        </w:tc>
      </w:tr>
      <w:tr w:rsidR="00AC4397" w:rsidRPr="00EE32C7" w14:paraId="4AC744A5" w14:textId="77777777" w:rsidTr="00AC4397">
        <w:tc>
          <w:tcPr>
            <w:tcW w:w="3828" w:type="dxa"/>
            <w:shd w:val="clear" w:color="auto" w:fill="FFFFFF"/>
          </w:tcPr>
          <w:p w14:paraId="2701ECDA" w14:textId="00EE5FDC" w:rsidR="00AC4397" w:rsidRPr="00EE32C7" w:rsidRDefault="00AC4397" w:rsidP="0047060A">
            <w:pPr>
              <w:pStyle w:val="CETBodytext"/>
              <w:tabs>
                <w:tab w:val="clear" w:pos="7100"/>
                <w:tab w:val="left" w:pos="806"/>
              </w:tabs>
              <w:rPr>
                <w:rFonts w:asciiTheme="minorBidi" w:hAnsiTheme="minorBidi" w:cstheme="minorBidi"/>
                <w:szCs w:val="18"/>
              </w:rPr>
            </w:pPr>
            <w:proofErr w:type="spellStart"/>
            <w:r w:rsidRPr="00EE32C7">
              <w:rPr>
                <w:rFonts w:asciiTheme="minorBidi" w:hAnsiTheme="minorBidi" w:cstheme="minorBidi"/>
                <w:szCs w:val="18"/>
              </w:rPr>
              <w:t>Granulometry</w:t>
            </w:r>
            <w:proofErr w:type="spellEnd"/>
          </w:p>
        </w:tc>
        <w:tc>
          <w:tcPr>
            <w:tcW w:w="884" w:type="dxa"/>
            <w:shd w:val="clear" w:color="auto" w:fill="FFFFFF"/>
          </w:tcPr>
          <w:p w14:paraId="0FE827DD" w14:textId="77777777" w:rsidR="00AC4397" w:rsidRPr="00EE32C7" w:rsidRDefault="00AC4397" w:rsidP="0047060A">
            <w:pPr>
              <w:pStyle w:val="CETBodytext"/>
              <w:jc w:val="center"/>
              <w:rPr>
                <w:rFonts w:asciiTheme="minorBidi" w:hAnsiTheme="minorBidi" w:cstheme="minorBidi"/>
                <w:szCs w:val="18"/>
              </w:rPr>
            </w:pPr>
            <w:r w:rsidRPr="00EE32C7">
              <w:rPr>
                <w:rFonts w:asciiTheme="minorBidi" w:hAnsiTheme="minorBidi" w:cstheme="minorBidi"/>
                <w:szCs w:val="18"/>
              </w:rPr>
              <w:t>D</w:t>
            </w:r>
          </w:p>
        </w:tc>
        <w:tc>
          <w:tcPr>
            <w:tcW w:w="992" w:type="dxa"/>
            <w:shd w:val="clear" w:color="auto" w:fill="FFFFFF"/>
          </w:tcPr>
          <w:p w14:paraId="584DF365" w14:textId="77777777" w:rsidR="00AC4397" w:rsidRPr="00EE32C7" w:rsidRDefault="00AC4397" w:rsidP="0047060A">
            <w:pPr>
              <w:pStyle w:val="CETBodytext"/>
              <w:jc w:val="center"/>
              <w:rPr>
                <w:rFonts w:asciiTheme="minorBidi" w:hAnsiTheme="minorBidi" w:cstheme="minorBidi"/>
                <w:szCs w:val="18"/>
              </w:rPr>
            </w:pPr>
            <w:r w:rsidRPr="00EE32C7">
              <w:rPr>
                <w:rFonts w:asciiTheme="minorBidi" w:hAnsiTheme="minorBidi" w:cstheme="minorBidi"/>
                <w:szCs w:val="18"/>
              </w:rPr>
              <w:t>&lt;1</w:t>
            </w:r>
          </w:p>
        </w:tc>
        <w:tc>
          <w:tcPr>
            <w:tcW w:w="1134" w:type="dxa"/>
            <w:shd w:val="clear" w:color="auto" w:fill="FFFFFF"/>
          </w:tcPr>
          <w:p w14:paraId="417F46AD" w14:textId="77777777" w:rsidR="00AC4397" w:rsidRPr="00EE32C7" w:rsidRDefault="00AC4397" w:rsidP="0047060A">
            <w:pPr>
              <w:pStyle w:val="CETBodytext"/>
              <w:jc w:val="center"/>
              <w:rPr>
                <w:rFonts w:asciiTheme="minorBidi" w:hAnsiTheme="minorBidi" w:cstheme="minorBidi"/>
                <w:szCs w:val="18"/>
              </w:rPr>
            </w:pPr>
            <w:r w:rsidRPr="00EE32C7">
              <w:rPr>
                <w:rFonts w:asciiTheme="minorBidi" w:hAnsiTheme="minorBidi" w:cstheme="minorBidi"/>
                <w:szCs w:val="18"/>
                <w:lang w:val="en-GB"/>
              </w:rPr>
              <w:t>µm</w:t>
            </w:r>
          </w:p>
        </w:tc>
      </w:tr>
      <w:tr w:rsidR="00AC4397" w:rsidRPr="00EE32C7" w14:paraId="1F2EA704" w14:textId="77777777" w:rsidTr="00AC4397">
        <w:tc>
          <w:tcPr>
            <w:tcW w:w="3828" w:type="dxa"/>
            <w:shd w:val="clear" w:color="auto" w:fill="FFFFFF"/>
          </w:tcPr>
          <w:p w14:paraId="59A15A10" w14:textId="47929BD4" w:rsidR="00AC4397" w:rsidRPr="00EE32C7" w:rsidRDefault="00AC4397" w:rsidP="0047060A">
            <w:pPr>
              <w:pStyle w:val="CETBodytext"/>
              <w:rPr>
                <w:rFonts w:asciiTheme="minorBidi" w:hAnsiTheme="minorBidi" w:cstheme="minorBidi"/>
                <w:szCs w:val="18"/>
              </w:rPr>
            </w:pPr>
            <w:r w:rsidRPr="00EE32C7">
              <w:rPr>
                <w:rFonts w:asciiTheme="minorBidi" w:hAnsiTheme="minorBidi" w:cstheme="minorBidi"/>
                <w:szCs w:val="18"/>
              </w:rPr>
              <w:t>Minimum ignition temperature of a dust cloud</w:t>
            </w:r>
          </w:p>
        </w:tc>
        <w:tc>
          <w:tcPr>
            <w:tcW w:w="884" w:type="dxa"/>
            <w:shd w:val="clear" w:color="auto" w:fill="FFFFFF"/>
          </w:tcPr>
          <w:p w14:paraId="1E08F5C6" w14:textId="77777777" w:rsidR="00AC4397" w:rsidRPr="00EE32C7" w:rsidRDefault="00AC4397" w:rsidP="0047060A">
            <w:pPr>
              <w:pStyle w:val="CETBodytext"/>
              <w:jc w:val="center"/>
              <w:rPr>
                <w:rFonts w:asciiTheme="minorBidi" w:hAnsiTheme="minorBidi" w:cstheme="minorBidi"/>
                <w:szCs w:val="18"/>
              </w:rPr>
            </w:pPr>
            <w:r w:rsidRPr="00EE32C7">
              <w:rPr>
                <w:rFonts w:asciiTheme="minorBidi" w:hAnsiTheme="minorBidi" w:cstheme="minorBidi"/>
                <w:szCs w:val="18"/>
              </w:rPr>
              <w:t>MIT</w:t>
            </w:r>
          </w:p>
        </w:tc>
        <w:tc>
          <w:tcPr>
            <w:tcW w:w="992" w:type="dxa"/>
            <w:shd w:val="clear" w:color="auto" w:fill="FFFFFF"/>
          </w:tcPr>
          <w:p w14:paraId="58C97E3A" w14:textId="77777777" w:rsidR="00AC4397" w:rsidRPr="00EE32C7" w:rsidRDefault="00AC4397" w:rsidP="0047060A">
            <w:pPr>
              <w:pStyle w:val="CETBodytext"/>
              <w:jc w:val="center"/>
              <w:rPr>
                <w:rFonts w:asciiTheme="minorBidi" w:hAnsiTheme="minorBidi" w:cstheme="minorBidi"/>
                <w:szCs w:val="18"/>
              </w:rPr>
            </w:pPr>
            <w:r w:rsidRPr="00EE32C7">
              <w:rPr>
                <w:rFonts w:asciiTheme="minorBidi" w:hAnsiTheme="minorBidi" w:cstheme="minorBidi"/>
                <w:szCs w:val="18"/>
              </w:rPr>
              <w:t>520</w:t>
            </w:r>
          </w:p>
        </w:tc>
        <w:tc>
          <w:tcPr>
            <w:tcW w:w="1134" w:type="dxa"/>
            <w:shd w:val="clear" w:color="auto" w:fill="FFFFFF"/>
          </w:tcPr>
          <w:p w14:paraId="44FC53FB" w14:textId="025B5DBA" w:rsidR="00AC4397" w:rsidRPr="00EE32C7" w:rsidRDefault="00AC4397" w:rsidP="00B55B19">
            <w:pPr>
              <w:pStyle w:val="CETBodytext"/>
              <w:jc w:val="center"/>
              <w:rPr>
                <w:rFonts w:asciiTheme="minorBidi" w:hAnsiTheme="minorBidi" w:cstheme="minorBidi"/>
                <w:szCs w:val="18"/>
              </w:rPr>
            </w:pPr>
            <w:r w:rsidRPr="00EE32C7">
              <w:rPr>
                <w:rFonts w:asciiTheme="minorBidi" w:hAnsiTheme="minorBidi" w:cstheme="minorBidi"/>
                <w:szCs w:val="18"/>
              </w:rPr>
              <w:t>°</w:t>
            </w:r>
            <w:r w:rsidR="00B55B19">
              <w:rPr>
                <w:rFonts w:asciiTheme="minorBidi" w:hAnsiTheme="minorBidi" w:cstheme="minorBidi"/>
                <w:szCs w:val="18"/>
              </w:rPr>
              <w:t>C</w:t>
            </w:r>
          </w:p>
        </w:tc>
      </w:tr>
      <w:tr w:rsidR="00AC4397" w:rsidRPr="00EE32C7" w14:paraId="55940568" w14:textId="77777777" w:rsidTr="00AC4397">
        <w:tc>
          <w:tcPr>
            <w:tcW w:w="3828" w:type="dxa"/>
            <w:shd w:val="clear" w:color="auto" w:fill="FFFFFF"/>
          </w:tcPr>
          <w:p w14:paraId="5BCA0E55" w14:textId="7CC4EE16" w:rsidR="00AC4397" w:rsidRPr="00EE32C7" w:rsidRDefault="00AC4397" w:rsidP="0047060A">
            <w:pPr>
              <w:pStyle w:val="CETBodytext"/>
              <w:rPr>
                <w:rFonts w:asciiTheme="minorBidi" w:hAnsiTheme="minorBidi" w:cstheme="minorBidi"/>
                <w:szCs w:val="18"/>
              </w:rPr>
            </w:pPr>
            <w:r w:rsidRPr="00EE32C7">
              <w:rPr>
                <w:rFonts w:asciiTheme="minorBidi" w:hAnsiTheme="minorBidi" w:cstheme="minorBidi"/>
                <w:szCs w:val="18"/>
              </w:rPr>
              <w:t>Explosion severity</w:t>
            </w:r>
          </w:p>
        </w:tc>
        <w:tc>
          <w:tcPr>
            <w:tcW w:w="884" w:type="dxa"/>
            <w:shd w:val="clear" w:color="auto" w:fill="FFFFFF"/>
          </w:tcPr>
          <w:p w14:paraId="7194B076" w14:textId="77777777" w:rsidR="00AC4397" w:rsidRPr="00EE32C7" w:rsidRDefault="00AC4397" w:rsidP="0047060A">
            <w:pPr>
              <w:pStyle w:val="CETBodytext"/>
              <w:jc w:val="center"/>
              <w:rPr>
                <w:rFonts w:asciiTheme="minorBidi" w:hAnsiTheme="minorBidi" w:cstheme="minorBidi"/>
                <w:szCs w:val="18"/>
              </w:rPr>
            </w:pPr>
            <m:oMathPara>
              <m:oMath>
                <m:r>
                  <m:rPr>
                    <m:sty m:val="p"/>
                  </m:rPr>
                  <w:rPr>
                    <w:rFonts w:ascii="Cambria Math" w:hAnsi="Cambria Math" w:cstheme="minorBidi"/>
                    <w:szCs w:val="18"/>
                    <w:lang w:val="en-GB"/>
                  </w:rPr>
                  <m:t>Kst</m:t>
                </m:r>
              </m:oMath>
            </m:oMathPara>
          </w:p>
        </w:tc>
        <w:tc>
          <w:tcPr>
            <w:tcW w:w="992" w:type="dxa"/>
            <w:shd w:val="clear" w:color="auto" w:fill="FFFFFF"/>
          </w:tcPr>
          <w:p w14:paraId="70429A0C" w14:textId="77777777" w:rsidR="00AC4397" w:rsidRPr="00EE32C7" w:rsidRDefault="00AC4397" w:rsidP="0047060A">
            <w:pPr>
              <w:pStyle w:val="CETBodytext"/>
              <w:jc w:val="center"/>
              <w:rPr>
                <w:rFonts w:asciiTheme="minorBidi" w:hAnsiTheme="minorBidi" w:cstheme="minorBidi"/>
                <w:szCs w:val="18"/>
              </w:rPr>
            </w:pPr>
            <w:r w:rsidRPr="00EE32C7">
              <w:rPr>
                <w:rFonts w:asciiTheme="minorBidi" w:hAnsiTheme="minorBidi" w:cstheme="minorBidi"/>
                <w:szCs w:val="18"/>
              </w:rPr>
              <w:t>192</w:t>
            </w:r>
          </w:p>
        </w:tc>
        <w:tc>
          <w:tcPr>
            <w:tcW w:w="1134" w:type="dxa"/>
            <w:shd w:val="clear" w:color="auto" w:fill="FFFFFF"/>
          </w:tcPr>
          <w:p w14:paraId="461CAFE0" w14:textId="77777777" w:rsidR="00AC4397" w:rsidRPr="00EE32C7" w:rsidRDefault="00AC4397" w:rsidP="0047060A">
            <w:pPr>
              <w:pStyle w:val="CETBodytext"/>
              <w:jc w:val="center"/>
              <w:rPr>
                <w:rFonts w:asciiTheme="minorBidi" w:hAnsiTheme="minorBidi" w:cstheme="minorBidi"/>
                <w:szCs w:val="18"/>
              </w:rPr>
            </w:pPr>
            <w:r w:rsidRPr="00EE32C7">
              <w:rPr>
                <w:rFonts w:asciiTheme="minorBidi" w:hAnsiTheme="minorBidi" w:cstheme="minorBidi"/>
                <w:szCs w:val="18"/>
              </w:rPr>
              <w:t xml:space="preserve">bar/s </w:t>
            </w:r>
          </w:p>
        </w:tc>
      </w:tr>
      <w:tr w:rsidR="00AC4397" w:rsidRPr="00EE32C7" w14:paraId="2CC9C904" w14:textId="77777777" w:rsidTr="00AC4397">
        <w:tc>
          <w:tcPr>
            <w:tcW w:w="3828" w:type="dxa"/>
            <w:shd w:val="clear" w:color="auto" w:fill="FFFFFF"/>
          </w:tcPr>
          <w:p w14:paraId="2AA0493D" w14:textId="77777777" w:rsidR="00AC4397" w:rsidRPr="00EE32C7" w:rsidRDefault="00AC4397" w:rsidP="0047060A">
            <w:pPr>
              <w:pStyle w:val="CETBodytext"/>
              <w:rPr>
                <w:rFonts w:asciiTheme="minorBidi" w:hAnsiTheme="minorBidi" w:cstheme="minorBidi"/>
                <w:szCs w:val="18"/>
              </w:rPr>
            </w:pPr>
            <w:r w:rsidRPr="00EE32C7">
              <w:rPr>
                <w:rFonts w:asciiTheme="minorBidi" w:hAnsiTheme="minorBidi" w:cstheme="minorBidi"/>
                <w:szCs w:val="18"/>
              </w:rPr>
              <w:t>Minimum ignition energy of a dust cloud</w:t>
            </w:r>
          </w:p>
        </w:tc>
        <w:tc>
          <w:tcPr>
            <w:tcW w:w="884" w:type="dxa"/>
            <w:shd w:val="clear" w:color="auto" w:fill="FFFFFF"/>
          </w:tcPr>
          <w:p w14:paraId="6226768F" w14:textId="77777777" w:rsidR="00AC4397" w:rsidRPr="00EE32C7" w:rsidRDefault="00AC4397" w:rsidP="0047060A">
            <w:pPr>
              <w:pStyle w:val="CETBodytext"/>
              <w:jc w:val="center"/>
              <w:rPr>
                <w:rFonts w:asciiTheme="minorBidi" w:hAnsiTheme="minorBidi" w:cstheme="minorBidi"/>
                <w:szCs w:val="18"/>
              </w:rPr>
            </w:pPr>
            <w:r w:rsidRPr="00EE32C7">
              <w:rPr>
                <w:rFonts w:asciiTheme="minorBidi" w:hAnsiTheme="minorBidi" w:cstheme="minorBidi"/>
                <w:szCs w:val="18"/>
              </w:rPr>
              <w:t>MIE</w:t>
            </w:r>
          </w:p>
        </w:tc>
        <w:tc>
          <w:tcPr>
            <w:tcW w:w="992" w:type="dxa"/>
            <w:shd w:val="clear" w:color="auto" w:fill="FFFFFF"/>
          </w:tcPr>
          <w:p w14:paraId="789F3E23" w14:textId="77777777" w:rsidR="00AC4397" w:rsidRPr="00EE32C7" w:rsidRDefault="00AC4397" w:rsidP="0047060A">
            <w:pPr>
              <w:pStyle w:val="CETBodytext"/>
              <w:jc w:val="center"/>
              <w:rPr>
                <w:rFonts w:asciiTheme="minorBidi" w:hAnsiTheme="minorBidi" w:cstheme="minorBidi"/>
                <w:szCs w:val="18"/>
              </w:rPr>
            </w:pPr>
            <w:r w:rsidRPr="00EE32C7">
              <w:rPr>
                <w:rFonts w:asciiTheme="minorBidi" w:hAnsiTheme="minorBidi" w:cstheme="minorBidi"/>
                <w:szCs w:val="18"/>
              </w:rPr>
              <w:t>100-200</w:t>
            </w:r>
          </w:p>
        </w:tc>
        <w:tc>
          <w:tcPr>
            <w:tcW w:w="1134" w:type="dxa"/>
            <w:shd w:val="clear" w:color="auto" w:fill="FFFFFF"/>
          </w:tcPr>
          <w:p w14:paraId="101FBE07" w14:textId="77777777" w:rsidR="00AC4397" w:rsidRPr="00EE32C7" w:rsidRDefault="00AC4397" w:rsidP="0047060A">
            <w:pPr>
              <w:pStyle w:val="CETBodytext"/>
              <w:jc w:val="center"/>
              <w:rPr>
                <w:rFonts w:asciiTheme="minorBidi" w:hAnsiTheme="minorBidi" w:cstheme="minorBidi"/>
                <w:szCs w:val="18"/>
              </w:rPr>
            </w:pPr>
            <w:proofErr w:type="spellStart"/>
            <w:r w:rsidRPr="00EE32C7">
              <w:rPr>
                <w:rFonts w:asciiTheme="minorBidi" w:hAnsiTheme="minorBidi" w:cstheme="minorBidi"/>
                <w:szCs w:val="18"/>
              </w:rPr>
              <w:t>mJ</w:t>
            </w:r>
            <w:proofErr w:type="spellEnd"/>
          </w:p>
        </w:tc>
      </w:tr>
      <w:tr w:rsidR="00AC4397" w:rsidRPr="00EE32C7" w14:paraId="2DF467E5" w14:textId="77777777" w:rsidTr="00AC4397">
        <w:tc>
          <w:tcPr>
            <w:tcW w:w="3828" w:type="dxa"/>
            <w:shd w:val="clear" w:color="auto" w:fill="FFFFFF"/>
          </w:tcPr>
          <w:p w14:paraId="54317A50" w14:textId="77777777" w:rsidR="00AC4397" w:rsidRPr="00EE32C7" w:rsidRDefault="00AC4397" w:rsidP="0047060A">
            <w:pPr>
              <w:pStyle w:val="CETBodytext"/>
              <w:rPr>
                <w:rFonts w:asciiTheme="minorBidi" w:hAnsiTheme="minorBidi" w:cstheme="minorBidi"/>
                <w:szCs w:val="18"/>
              </w:rPr>
            </w:pPr>
            <w:r w:rsidRPr="00EE32C7">
              <w:rPr>
                <w:rFonts w:asciiTheme="minorBidi" w:hAnsiTheme="minorBidi" w:cstheme="minorBidi"/>
                <w:szCs w:val="18"/>
              </w:rPr>
              <w:t>Glass rupture pressure</w:t>
            </w:r>
          </w:p>
        </w:tc>
        <w:tc>
          <w:tcPr>
            <w:tcW w:w="884" w:type="dxa"/>
            <w:shd w:val="clear" w:color="auto" w:fill="FFFFFF"/>
          </w:tcPr>
          <w:p w14:paraId="092E436E" w14:textId="77777777" w:rsidR="00AC4397" w:rsidRPr="00EE32C7" w:rsidRDefault="00AC4397" w:rsidP="0047060A">
            <w:pPr>
              <w:pStyle w:val="CETBodytext"/>
              <w:jc w:val="center"/>
              <w:rPr>
                <w:rFonts w:asciiTheme="minorBidi" w:hAnsiTheme="minorBidi" w:cstheme="minorBidi"/>
                <w:szCs w:val="18"/>
                <w:vertAlign w:val="subscript"/>
              </w:rPr>
            </w:pPr>
            <w:proofErr w:type="spellStart"/>
            <w:r w:rsidRPr="00EE32C7">
              <w:rPr>
                <w:rFonts w:asciiTheme="minorBidi" w:hAnsiTheme="minorBidi" w:cstheme="minorBidi"/>
                <w:szCs w:val="18"/>
              </w:rPr>
              <w:t>P</w:t>
            </w:r>
            <w:r w:rsidRPr="00EE32C7">
              <w:rPr>
                <w:rFonts w:asciiTheme="minorBidi" w:hAnsiTheme="minorBidi" w:cstheme="minorBidi"/>
                <w:szCs w:val="18"/>
                <w:vertAlign w:val="subscript"/>
              </w:rPr>
              <w:t>rup</w:t>
            </w:r>
            <w:proofErr w:type="spellEnd"/>
          </w:p>
        </w:tc>
        <w:tc>
          <w:tcPr>
            <w:tcW w:w="992" w:type="dxa"/>
            <w:shd w:val="clear" w:color="auto" w:fill="FFFFFF"/>
          </w:tcPr>
          <w:p w14:paraId="4EDD89CF" w14:textId="77777777" w:rsidR="00AC4397" w:rsidRPr="00EE32C7" w:rsidRDefault="00AC4397" w:rsidP="0047060A">
            <w:pPr>
              <w:pStyle w:val="CETBodytext"/>
              <w:jc w:val="center"/>
              <w:rPr>
                <w:rFonts w:asciiTheme="minorBidi" w:hAnsiTheme="minorBidi" w:cstheme="minorBidi"/>
                <w:szCs w:val="18"/>
              </w:rPr>
            </w:pPr>
            <w:r w:rsidRPr="00EE32C7">
              <w:rPr>
                <w:rFonts w:asciiTheme="minorBidi" w:hAnsiTheme="minorBidi" w:cstheme="minorBidi"/>
                <w:szCs w:val="18"/>
              </w:rPr>
              <w:t>10</w:t>
            </w:r>
            <w:r w:rsidRPr="00EE32C7">
              <w:rPr>
                <w:rFonts w:asciiTheme="minorBidi" w:hAnsiTheme="minorBidi" w:cstheme="minorBidi"/>
                <w:szCs w:val="18"/>
                <w:vertAlign w:val="superscript"/>
              </w:rPr>
              <w:t>5</w:t>
            </w:r>
          </w:p>
        </w:tc>
        <w:tc>
          <w:tcPr>
            <w:tcW w:w="1134" w:type="dxa"/>
            <w:shd w:val="clear" w:color="auto" w:fill="FFFFFF"/>
          </w:tcPr>
          <w:p w14:paraId="23FCA28B" w14:textId="2CCFA362" w:rsidR="00AC4397" w:rsidRPr="00EE32C7" w:rsidRDefault="00B55B19" w:rsidP="0047060A">
            <w:pPr>
              <w:pStyle w:val="CETBodytext"/>
              <w:jc w:val="center"/>
              <w:rPr>
                <w:rFonts w:asciiTheme="minorBidi" w:hAnsiTheme="minorBidi" w:cstheme="minorBidi"/>
                <w:szCs w:val="18"/>
              </w:rPr>
            </w:pPr>
            <w:r>
              <w:rPr>
                <w:rFonts w:asciiTheme="minorBidi" w:hAnsiTheme="minorBidi" w:cstheme="minorBidi"/>
                <w:szCs w:val="18"/>
              </w:rPr>
              <w:t>B</w:t>
            </w:r>
            <w:r w:rsidR="00AC4397" w:rsidRPr="00EE32C7">
              <w:rPr>
                <w:rFonts w:asciiTheme="minorBidi" w:hAnsiTheme="minorBidi" w:cstheme="minorBidi"/>
                <w:szCs w:val="18"/>
              </w:rPr>
              <w:t>ar</w:t>
            </w:r>
          </w:p>
        </w:tc>
      </w:tr>
      <w:tr w:rsidR="00AC4397" w:rsidRPr="00C502AC" w14:paraId="085A2A23" w14:textId="77777777" w:rsidTr="00AC4397">
        <w:tc>
          <w:tcPr>
            <w:tcW w:w="3828" w:type="dxa"/>
            <w:shd w:val="clear" w:color="auto" w:fill="FFFFFF"/>
          </w:tcPr>
          <w:p w14:paraId="144274EA" w14:textId="77777777" w:rsidR="00AC4397" w:rsidRPr="00EE32C7" w:rsidRDefault="00AC4397" w:rsidP="0047060A">
            <w:pPr>
              <w:pStyle w:val="CETBodytext"/>
              <w:rPr>
                <w:rFonts w:asciiTheme="minorBidi" w:hAnsiTheme="minorBidi" w:cstheme="minorBidi"/>
                <w:szCs w:val="18"/>
              </w:rPr>
            </w:pPr>
            <w:r w:rsidRPr="00EE32C7">
              <w:rPr>
                <w:rFonts w:asciiTheme="minorBidi" w:hAnsiTheme="minorBidi" w:cstheme="minorBidi"/>
                <w:szCs w:val="18"/>
              </w:rPr>
              <w:t>Weighing room volume</w:t>
            </w:r>
          </w:p>
        </w:tc>
        <w:tc>
          <w:tcPr>
            <w:tcW w:w="884" w:type="dxa"/>
            <w:shd w:val="clear" w:color="auto" w:fill="FFFFFF"/>
          </w:tcPr>
          <w:p w14:paraId="548BFBBD" w14:textId="77777777" w:rsidR="00AC4397" w:rsidRPr="00EE32C7" w:rsidRDefault="00AC4397" w:rsidP="0047060A">
            <w:pPr>
              <w:pStyle w:val="CETBodytext"/>
              <w:jc w:val="center"/>
              <w:rPr>
                <w:rFonts w:asciiTheme="minorBidi" w:hAnsiTheme="minorBidi" w:cstheme="minorBidi"/>
                <w:szCs w:val="18"/>
              </w:rPr>
            </w:pPr>
            <w:r w:rsidRPr="00EE32C7">
              <w:rPr>
                <w:rFonts w:asciiTheme="minorBidi" w:hAnsiTheme="minorBidi" w:cstheme="minorBidi"/>
                <w:szCs w:val="18"/>
              </w:rPr>
              <w:t>V</w:t>
            </w:r>
          </w:p>
        </w:tc>
        <w:tc>
          <w:tcPr>
            <w:tcW w:w="992" w:type="dxa"/>
            <w:shd w:val="clear" w:color="auto" w:fill="FFFFFF"/>
          </w:tcPr>
          <w:p w14:paraId="19456D7C" w14:textId="77777777" w:rsidR="00AC4397" w:rsidRPr="00EE32C7" w:rsidRDefault="00AC4397" w:rsidP="0047060A">
            <w:pPr>
              <w:pStyle w:val="CETBodytext"/>
              <w:jc w:val="center"/>
              <w:rPr>
                <w:rFonts w:asciiTheme="minorBidi" w:hAnsiTheme="minorBidi" w:cstheme="minorBidi"/>
                <w:szCs w:val="18"/>
              </w:rPr>
            </w:pPr>
            <w:r w:rsidRPr="00EE32C7">
              <w:rPr>
                <w:rFonts w:asciiTheme="minorBidi" w:hAnsiTheme="minorBidi" w:cstheme="minorBidi"/>
                <w:szCs w:val="18"/>
              </w:rPr>
              <w:t>27.9</w:t>
            </w:r>
          </w:p>
        </w:tc>
        <w:tc>
          <w:tcPr>
            <w:tcW w:w="1134" w:type="dxa"/>
            <w:shd w:val="clear" w:color="auto" w:fill="FFFFFF"/>
          </w:tcPr>
          <w:p w14:paraId="1785F023" w14:textId="77777777" w:rsidR="00AC4397" w:rsidRPr="00EE32C7" w:rsidRDefault="00AC4397" w:rsidP="0047060A">
            <w:pPr>
              <w:pStyle w:val="CETBodytext"/>
              <w:jc w:val="center"/>
              <w:rPr>
                <w:rFonts w:asciiTheme="minorBidi" w:hAnsiTheme="minorBidi" w:cstheme="minorBidi"/>
                <w:szCs w:val="18"/>
              </w:rPr>
            </w:pPr>
            <w:r w:rsidRPr="00EE32C7">
              <w:rPr>
                <w:rFonts w:asciiTheme="minorBidi" w:hAnsiTheme="minorBidi" w:cstheme="minorBidi"/>
                <w:szCs w:val="18"/>
              </w:rPr>
              <w:t>m</w:t>
            </w:r>
            <w:r w:rsidRPr="00EE32C7">
              <w:rPr>
                <w:rFonts w:asciiTheme="minorBidi" w:hAnsiTheme="minorBidi" w:cstheme="minorBidi"/>
                <w:szCs w:val="18"/>
                <w:vertAlign w:val="superscript"/>
              </w:rPr>
              <w:t>3</w:t>
            </w:r>
          </w:p>
        </w:tc>
      </w:tr>
    </w:tbl>
    <w:p w14:paraId="0F8DC3AC" w14:textId="7D18D3B3" w:rsidR="00AC4397" w:rsidRDefault="00986063" w:rsidP="00986063">
      <w:pPr>
        <w:pStyle w:val="CETheadingx"/>
      </w:pPr>
      <w:r w:rsidRPr="00BA7B36">
        <w:t>Risk assessment and ATEX zoning</w:t>
      </w:r>
    </w:p>
    <w:p w14:paraId="794600BE" w14:textId="16C380CB" w:rsidR="00986063" w:rsidRPr="008B1896" w:rsidRDefault="00986063" w:rsidP="00EE32C7">
      <w:pPr>
        <w:pStyle w:val="CETBodytext"/>
      </w:pPr>
      <w:r w:rsidRPr="00EE32C7">
        <w:t>The data for our dust explosion risk assessment, based on an INRS model (</w:t>
      </w:r>
      <w:proofErr w:type="spellStart"/>
      <w:r w:rsidRPr="00EE32C7">
        <w:t>Skavlan</w:t>
      </w:r>
      <w:r w:rsidR="00EE32C7" w:rsidRPr="00EE32C7">
        <w:t>d</w:t>
      </w:r>
      <w:proofErr w:type="spellEnd"/>
      <w:r w:rsidR="00EE32C7" w:rsidRPr="00EE32C7">
        <w:t xml:space="preserve">, </w:t>
      </w:r>
      <w:r w:rsidRPr="00EE32C7">
        <w:t>2018), is sourced from on</w:t>
      </w:r>
      <w:r w:rsidRPr="008B1896">
        <w:t xml:space="preserve">-site surveys and the </w:t>
      </w:r>
      <w:proofErr w:type="spellStart"/>
      <w:r w:rsidRPr="008B1896">
        <w:t>Gestis-Caratex</w:t>
      </w:r>
      <w:proofErr w:type="spellEnd"/>
      <w:r w:rsidRPr="008B1896">
        <w:t xml:space="preserve"> </w:t>
      </w:r>
      <w:proofErr w:type="spellStart"/>
      <w:r w:rsidRPr="008B1896">
        <w:t>Poussieres</w:t>
      </w:r>
      <w:proofErr w:type="spellEnd"/>
      <w:r w:rsidRPr="008B1896">
        <w:t xml:space="preserve"> database:</w:t>
      </w:r>
    </w:p>
    <w:p w14:paraId="0D976BBE" w14:textId="0CF46561" w:rsidR="00986063" w:rsidRPr="008B1896" w:rsidRDefault="00986063" w:rsidP="00986063">
      <w:pPr>
        <w:pStyle w:val="CETListbullets"/>
        <w:numPr>
          <w:ilvl w:val="0"/>
          <w:numId w:val="13"/>
        </w:numPr>
      </w:pPr>
      <w:r w:rsidRPr="008B1896">
        <w:t>Preliminary analysis without taking into account existing prevention measures</w:t>
      </w:r>
      <w:r w:rsidR="008B1896">
        <w:t>;</w:t>
      </w:r>
    </w:p>
    <w:p w14:paraId="56F23910" w14:textId="5323DC9A" w:rsidR="008B1896" w:rsidRPr="008B1896" w:rsidRDefault="008B1896" w:rsidP="008B1896">
      <w:pPr>
        <w:pStyle w:val="CETListbullets"/>
        <w:numPr>
          <w:ilvl w:val="0"/>
          <w:numId w:val="13"/>
        </w:numPr>
      </w:pPr>
      <w:r w:rsidRPr="008B1896">
        <w:t>Estimate occurrence frequency, identify ignition sources, and implement prevention measures before second zoning based on these parameters</w:t>
      </w:r>
      <w:r>
        <w:t>;</w:t>
      </w:r>
    </w:p>
    <w:p w14:paraId="6108F8F6" w14:textId="21D2CFAC" w:rsidR="00986063" w:rsidRPr="008B1896" w:rsidRDefault="00986063" w:rsidP="00986063">
      <w:pPr>
        <w:pStyle w:val="CETListbullets"/>
        <w:numPr>
          <w:ilvl w:val="0"/>
          <w:numId w:val="13"/>
        </w:numPr>
      </w:pPr>
      <w:r w:rsidRPr="008B1896">
        <w:t>Estimation of severity and explosion protection system</w:t>
      </w:r>
      <w:r w:rsidR="008B1896">
        <w:t>.</w:t>
      </w:r>
    </w:p>
    <w:p w14:paraId="3043EF20" w14:textId="77777777" w:rsidR="00986063" w:rsidRPr="008B1896" w:rsidRDefault="00986063" w:rsidP="00986063">
      <w:pPr>
        <w:pStyle w:val="CETBodytext"/>
      </w:pPr>
      <w:r w:rsidRPr="008B1896">
        <w:t>Our assessment of the severity and explosion protection system identifies three possible cases for severity:</w:t>
      </w:r>
    </w:p>
    <w:p w14:paraId="39397ED5" w14:textId="2F75B727" w:rsidR="00986063" w:rsidRPr="008B1896" w:rsidRDefault="00986063" w:rsidP="00986063">
      <w:pPr>
        <w:pStyle w:val="CETListbullets"/>
        <w:numPr>
          <w:ilvl w:val="0"/>
          <w:numId w:val="13"/>
        </w:numPr>
      </w:pPr>
      <w:r w:rsidRPr="008B1896">
        <w:t>No staff</w:t>
      </w:r>
      <w:r w:rsidR="008B1896">
        <w:t>;</w:t>
      </w:r>
    </w:p>
    <w:p w14:paraId="6DC393E8" w14:textId="52001973" w:rsidR="00986063" w:rsidRPr="008B1896" w:rsidRDefault="00986063" w:rsidP="00986063">
      <w:pPr>
        <w:pStyle w:val="CETListbullets"/>
        <w:numPr>
          <w:ilvl w:val="0"/>
          <w:numId w:val="13"/>
        </w:numPr>
      </w:pPr>
      <w:r w:rsidRPr="008B1896">
        <w:t>Possibility of personnel</w:t>
      </w:r>
      <w:r w:rsidR="008B1896">
        <w:t>;</w:t>
      </w:r>
    </w:p>
    <w:p w14:paraId="030E2605" w14:textId="68DD3926" w:rsidR="00986063" w:rsidRPr="008B1896" w:rsidRDefault="00986063" w:rsidP="00986063">
      <w:pPr>
        <w:pStyle w:val="CETListbullets"/>
        <w:numPr>
          <w:ilvl w:val="0"/>
          <w:numId w:val="13"/>
        </w:numPr>
      </w:pPr>
      <w:r w:rsidRPr="008B1896">
        <w:t>Fixed position near the source</w:t>
      </w:r>
      <w:r w:rsidR="008B1896">
        <w:t>.</w:t>
      </w:r>
    </w:p>
    <w:p w14:paraId="50D52F29" w14:textId="5BED4AB0" w:rsidR="00986063" w:rsidRPr="008B1896" w:rsidRDefault="00986063" w:rsidP="00986063">
      <w:pPr>
        <w:pStyle w:val="CETBodytext"/>
      </w:pPr>
      <w:bookmarkStart w:id="1" w:name="page72"/>
      <w:bookmarkEnd w:id="1"/>
      <w:r w:rsidRPr="008B1896">
        <w:t>There are two possible cases for explosion protection systems:</w:t>
      </w:r>
    </w:p>
    <w:p w14:paraId="1D7F0B38" w14:textId="09E667FC" w:rsidR="00986063" w:rsidRPr="008B1896" w:rsidRDefault="00986063" w:rsidP="00986063">
      <w:pPr>
        <w:pStyle w:val="CETListbullets"/>
        <w:numPr>
          <w:ilvl w:val="0"/>
          <w:numId w:val="13"/>
        </w:numPr>
      </w:pPr>
      <w:r w:rsidRPr="008B1896">
        <w:t>Protected installation or equipment</w:t>
      </w:r>
      <w:r w:rsidR="008B1896">
        <w:t>;</w:t>
      </w:r>
    </w:p>
    <w:p w14:paraId="2DDE2D39" w14:textId="672FE7B7" w:rsidR="00986063" w:rsidRPr="008B1896" w:rsidRDefault="00986063" w:rsidP="00986063">
      <w:pPr>
        <w:pStyle w:val="CETListbullets"/>
        <w:numPr>
          <w:ilvl w:val="0"/>
          <w:numId w:val="13"/>
        </w:numPr>
      </w:pPr>
      <w:r w:rsidRPr="008B1896">
        <w:t>Unprotected installation or equipment</w:t>
      </w:r>
      <w:r w:rsidR="008B1896">
        <w:t>.</w:t>
      </w:r>
    </w:p>
    <w:p w14:paraId="3F79C14B" w14:textId="77777777" w:rsidR="00986063" w:rsidRPr="008B1896" w:rsidRDefault="00986063" w:rsidP="00986063">
      <w:pPr>
        <w:pStyle w:val="CETBodytext"/>
      </w:pPr>
      <w:r w:rsidRPr="008B1896">
        <w:t>This risk assessment study led us to:</w:t>
      </w:r>
    </w:p>
    <w:p w14:paraId="3CF92F11" w14:textId="77777777" w:rsidR="00986063" w:rsidRPr="008B1896" w:rsidRDefault="00986063" w:rsidP="00986063">
      <w:pPr>
        <w:pStyle w:val="CETListbullets"/>
        <w:numPr>
          <w:ilvl w:val="0"/>
          <w:numId w:val="13"/>
        </w:numPr>
      </w:pPr>
      <w:r w:rsidRPr="008B1896">
        <w:t>The frequency and severity of explosion risks are evaluated based on equipment, work processes, and prevention measures.</w:t>
      </w:r>
    </w:p>
    <w:p w14:paraId="3E8F6A54" w14:textId="77777777" w:rsidR="00986063" w:rsidRPr="008B1896" w:rsidRDefault="00986063" w:rsidP="00986063">
      <w:pPr>
        <w:pStyle w:val="CETListbullets"/>
        <w:numPr>
          <w:ilvl w:val="0"/>
          <w:numId w:val="13"/>
        </w:numPr>
      </w:pPr>
      <w:r w:rsidRPr="008B1896">
        <w:t>Risk zones are classified as 20, 21, or 22 based on exposure to ignition and explosion risks.</w:t>
      </w:r>
    </w:p>
    <w:p w14:paraId="1EEEF97A" w14:textId="77777777" w:rsidR="00986063" w:rsidRPr="008B1896" w:rsidRDefault="00986063" w:rsidP="00986063">
      <w:pPr>
        <w:pStyle w:val="CETBodytext"/>
      </w:pPr>
      <w:r w:rsidRPr="008B1896">
        <w:t>To achieve this, preventive measures are taken, such as:</w:t>
      </w:r>
    </w:p>
    <w:p w14:paraId="50E57272" w14:textId="77777777" w:rsidR="00986063" w:rsidRPr="008B1896" w:rsidRDefault="00986063" w:rsidP="00986063">
      <w:pPr>
        <w:pStyle w:val="CETListbullets"/>
        <w:numPr>
          <w:ilvl w:val="0"/>
          <w:numId w:val="13"/>
        </w:numPr>
      </w:pPr>
      <w:r w:rsidRPr="008B1896">
        <w:t xml:space="preserve">Devices such as switches, lighting systems, electric scales and pallet trucks. </w:t>
      </w:r>
    </w:p>
    <w:p w14:paraId="0D6450F1" w14:textId="77777777" w:rsidR="00986063" w:rsidRPr="008B1896" w:rsidRDefault="00986063" w:rsidP="00986063">
      <w:pPr>
        <w:pStyle w:val="CETListbullets"/>
        <w:numPr>
          <w:ilvl w:val="0"/>
          <w:numId w:val="13"/>
        </w:numPr>
      </w:pPr>
      <w:r w:rsidRPr="008B1896">
        <w:t xml:space="preserve">The first cleaning and maintenance procedures are part of the preventive actions to maintain a safe working environment, with </w:t>
      </w:r>
    </w:p>
    <w:p w14:paraId="5C81D2A4" w14:textId="77777777" w:rsidR="00986063" w:rsidRPr="008B1896" w:rsidRDefault="00986063" w:rsidP="00986063">
      <w:pPr>
        <w:pStyle w:val="CETListbullets"/>
        <w:numPr>
          <w:ilvl w:val="0"/>
          <w:numId w:val="13"/>
        </w:numPr>
      </w:pPr>
      <w:r w:rsidRPr="008B1896">
        <w:t>Specific zones classified according to risks.</w:t>
      </w:r>
    </w:p>
    <w:p w14:paraId="3C7E6DF1" w14:textId="7B7AB40B" w:rsidR="00986063" w:rsidRDefault="00986063" w:rsidP="00986063">
      <w:pPr>
        <w:pStyle w:val="CETBodytext"/>
      </w:pPr>
      <w:r w:rsidRPr="00196802">
        <w:t>Initial zones were redefined, allowing high-risk areas like Zone 20 to be reclassified as 'unclassified' once protected, with measures like ventilation systems to reduce ignition risk, and durability assessed in zone plans for worst-case scenarios,</w:t>
      </w:r>
      <w:r w:rsidRPr="00986063">
        <w:t xml:space="preserve"> as illustrated in the following figure.</w:t>
      </w:r>
    </w:p>
    <w:p w14:paraId="38A7748D" w14:textId="77777777" w:rsidR="00E91D5C" w:rsidRPr="00986063" w:rsidRDefault="00E91D5C" w:rsidP="00986063">
      <w:pPr>
        <w:pStyle w:val="CETBodytext"/>
      </w:pPr>
    </w:p>
    <w:p w14:paraId="1145DDD1" w14:textId="36E8812D" w:rsidR="00D474B1" w:rsidRPr="00AC4397" w:rsidRDefault="00EE4785" w:rsidP="008B1896">
      <w:pPr>
        <w:pStyle w:val="CETBodytext"/>
      </w:pPr>
      <w:r>
        <w:rPr>
          <w:noProof/>
          <w:lang w:val="fr-FR" w:eastAsia="fr-FR"/>
        </w:rPr>
        <mc:AlternateContent>
          <mc:Choice Requires="wpg">
            <w:drawing>
              <wp:inline distT="0" distB="0" distL="0" distR="0" wp14:anchorId="415F4D92" wp14:editId="31016203">
                <wp:extent cx="3589200" cy="1532946"/>
                <wp:effectExtent l="0" t="0" r="11430" b="0"/>
                <wp:docPr id="61" name="Groupe 6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3589200" cy="1532946"/>
                          <a:chOff x="0" y="-45051"/>
                          <a:chExt cx="2827735" cy="1208414"/>
                        </a:xfrm>
                      </wpg:grpSpPr>
                      <wps:wsp>
                        <wps:cNvPr id="307" name="Zone de texte 2"/>
                        <wps:cNvSpPr txBox="1">
                          <a:spLocks noChangeArrowheads="1"/>
                        </wps:cNvSpPr>
                        <wps:spPr bwMode="auto">
                          <a:xfrm>
                            <a:off x="1680435" y="903648"/>
                            <a:ext cx="815901" cy="259715"/>
                          </a:xfrm>
                          <a:prstGeom prst="rect">
                            <a:avLst/>
                          </a:prstGeom>
                          <a:noFill/>
                          <a:ln w="9525">
                            <a:noFill/>
                            <a:miter lim="800000"/>
                            <a:headEnd/>
                            <a:tailEnd/>
                          </a:ln>
                        </wps:spPr>
                        <wps:txbx>
                          <w:txbxContent>
                            <w:p w14:paraId="5ACAE48F" w14:textId="77777777" w:rsidR="00EE4785" w:rsidRPr="00E91D5C" w:rsidRDefault="00EE4785" w:rsidP="00EE4785">
                              <w:pPr>
                                <w:spacing w:line="240" w:lineRule="auto"/>
                                <w:jc w:val="center"/>
                                <w:rPr>
                                  <w:rFonts w:asciiTheme="minorBidi" w:hAnsiTheme="minorBidi" w:cstheme="minorBidi"/>
                                  <w:b/>
                                  <w:bCs/>
                                  <w:sz w:val="16"/>
                                  <w:szCs w:val="16"/>
                                </w:rPr>
                              </w:pPr>
                              <w:r w:rsidRPr="00E91D5C">
                                <w:rPr>
                                  <w:rFonts w:asciiTheme="minorBidi" w:hAnsiTheme="minorBidi" w:cstheme="minorBidi"/>
                                  <w:b/>
                                  <w:bCs/>
                                  <w:sz w:val="16"/>
                                  <w:szCs w:val="16"/>
                                </w:rPr>
                                <w:t xml:space="preserve">Raw materials </w:t>
                              </w:r>
                              <w:r w:rsidRPr="00E91D5C">
                                <w:rPr>
                                  <w:rFonts w:asciiTheme="minorBidi" w:hAnsiTheme="minorBidi"/>
                                  <w:b/>
                                  <w:bCs/>
                                  <w:sz w:val="16"/>
                                  <w:szCs w:val="16"/>
                                </w:rPr>
                                <w:t>receiving</w:t>
                              </w:r>
                              <w:r w:rsidRPr="00E91D5C">
                                <w:rPr>
                                  <w:rFonts w:asciiTheme="minorBidi" w:hAnsiTheme="minorBidi" w:cstheme="minorBidi"/>
                                  <w:b/>
                                  <w:bCs/>
                                  <w:sz w:val="16"/>
                                  <w:szCs w:val="16"/>
                                </w:rPr>
                                <w:t xml:space="preserve"> </w:t>
                              </w:r>
                              <w:r w:rsidRPr="00E91D5C">
                                <w:rPr>
                                  <w:rFonts w:asciiTheme="minorBidi" w:hAnsiTheme="minorBidi"/>
                                  <w:b/>
                                  <w:bCs/>
                                  <w:sz w:val="16"/>
                                  <w:szCs w:val="16"/>
                                </w:rPr>
                                <w:t>zone</w:t>
                              </w:r>
                            </w:p>
                          </w:txbxContent>
                        </wps:txbx>
                        <wps:bodyPr rot="0" vert="horz" wrap="square" lIns="91440" tIns="45720" rIns="91440" bIns="45720" anchor="t" anchorCtr="0">
                          <a:noAutofit/>
                        </wps:bodyPr>
                      </wps:wsp>
                      <wpg:grpSp>
                        <wpg:cNvPr id="60" name="Groupe 60"/>
                        <wpg:cNvGrpSpPr/>
                        <wpg:grpSpPr>
                          <a:xfrm>
                            <a:off x="0" y="-45051"/>
                            <a:ext cx="2827735" cy="1191716"/>
                            <a:chOff x="0" y="-45051"/>
                            <a:chExt cx="2827735" cy="1191716"/>
                          </a:xfrm>
                        </wpg:grpSpPr>
                        <wpg:grpSp>
                          <wpg:cNvPr id="59" name="Groupe 59"/>
                          <wpg:cNvGrpSpPr/>
                          <wpg:grpSpPr>
                            <a:xfrm>
                              <a:off x="0" y="-45051"/>
                              <a:ext cx="2827735" cy="1191716"/>
                              <a:chOff x="0" y="-45051"/>
                              <a:chExt cx="2827735" cy="1191716"/>
                            </a:xfrm>
                          </wpg:grpSpPr>
                          <wps:wsp>
                            <wps:cNvPr id="34" name="Connecteur droit avec flèche 34"/>
                            <wps:cNvCnPr/>
                            <wps:spPr>
                              <a:xfrm flipV="1">
                                <a:off x="1657761" y="894665"/>
                                <a:ext cx="0" cy="252000"/>
                              </a:xfrm>
                              <a:prstGeom prst="straightConnector1">
                                <a:avLst/>
                              </a:prstGeom>
                              <a:ln w="28575">
                                <a:solidFill>
                                  <a:schemeClr val="accent1">
                                    <a:lumMod val="75000"/>
                                  </a:schemeClr>
                                </a:solidFill>
                                <a:round/>
                                <a:tailEnd type="triangle"/>
                              </a:ln>
                            </wps:spPr>
                            <wps:style>
                              <a:lnRef idx="1">
                                <a:schemeClr val="accent1"/>
                              </a:lnRef>
                              <a:fillRef idx="0">
                                <a:schemeClr val="accent1"/>
                              </a:fillRef>
                              <a:effectRef idx="0">
                                <a:schemeClr val="accent1"/>
                              </a:effectRef>
                              <a:fontRef idx="minor">
                                <a:schemeClr val="tx1"/>
                              </a:fontRef>
                            </wps:style>
                            <wps:bodyPr/>
                          </wps:wsp>
                          <wpg:grpSp>
                            <wpg:cNvPr id="51" name="Groupe 51"/>
                            <wpg:cNvGrpSpPr/>
                            <wpg:grpSpPr>
                              <a:xfrm>
                                <a:off x="713758" y="-45051"/>
                                <a:ext cx="752309" cy="296511"/>
                                <a:chOff x="0" y="-45051"/>
                                <a:chExt cx="752309" cy="296511"/>
                              </a:xfrm>
                            </wpg:grpSpPr>
                            <wps:wsp>
                              <wps:cNvPr id="33" name="Connecteur droit avec flèche 33"/>
                              <wps:cNvCnPr/>
                              <wps:spPr>
                                <a:xfrm flipV="1">
                                  <a:off x="0" y="0"/>
                                  <a:ext cx="0" cy="251460"/>
                                </a:xfrm>
                                <a:prstGeom prst="straightConnector1">
                                  <a:avLst/>
                                </a:prstGeom>
                                <a:ln w="28575">
                                  <a:solidFill>
                                    <a:schemeClr val="accent1">
                                      <a:lumMod val="75000"/>
                                    </a:schemeClr>
                                  </a:solidFill>
                                  <a:round/>
                                  <a:tailEnd type="triangle"/>
                                </a:ln>
                              </wps:spPr>
                              <wps:style>
                                <a:lnRef idx="1">
                                  <a:schemeClr val="accent1"/>
                                </a:lnRef>
                                <a:fillRef idx="0">
                                  <a:schemeClr val="accent1"/>
                                </a:fillRef>
                                <a:effectRef idx="0">
                                  <a:schemeClr val="accent1"/>
                                </a:effectRef>
                                <a:fontRef idx="minor">
                                  <a:schemeClr val="tx1"/>
                                </a:fontRef>
                              </wps:style>
                              <wps:bodyPr/>
                            </wps:wsp>
                            <wps:wsp>
                              <wps:cNvPr id="35" name="Zone de texte 2"/>
                              <wps:cNvSpPr txBox="1">
                                <a:spLocks noChangeArrowheads="1"/>
                              </wps:cNvSpPr>
                              <wps:spPr bwMode="auto">
                                <a:xfrm>
                                  <a:off x="32854" y="-45051"/>
                                  <a:ext cx="719455" cy="288849"/>
                                </a:xfrm>
                                <a:prstGeom prst="rect">
                                  <a:avLst/>
                                </a:prstGeom>
                                <a:noFill/>
                                <a:ln w="9525">
                                  <a:noFill/>
                                  <a:miter lim="800000"/>
                                  <a:headEnd/>
                                  <a:tailEnd/>
                                </a:ln>
                              </wps:spPr>
                              <wps:txbx>
                                <w:txbxContent>
                                  <w:p w14:paraId="34AF1B7D" w14:textId="77777777" w:rsidR="00EE4785" w:rsidRPr="00E91D5C" w:rsidRDefault="00EE4785" w:rsidP="00EE4785">
                                    <w:pPr>
                                      <w:spacing w:line="240" w:lineRule="auto"/>
                                      <w:jc w:val="center"/>
                                      <w:rPr>
                                        <w:rFonts w:asciiTheme="minorBidi" w:hAnsiTheme="minorBidi" w:cstheme="minorBidi"/>
                                        <w:b/>
                                        <w:bCs/>
                                        <w:sz w:val="16"/>
                                        <w:szCs w:val="16"/>
                                      </w:rPr>
                                    </w:pPr>
                                    <w:r w:rsidRPr="00E91D5C">
                                      <w:rPr>
                                        <w:rFonts w:asciiTheme="minorBidi" w:hAnsiTheme="minorBidi" w:cstheme="minorBidi"/>
                                        <w:b/>
                                        <w:bCs/>
                                        <w:sz w:val="16"/>
                                        <w:szCs w:val="16"/>
                                      </w:rPr>
                                      <w:t xml:space="preserve">Entrance to the production </w:t>
                                    </w:r>
                                    <w:r w:rsidRPr="00E91D5C">
                                      <w:rPr>
                                        <w:rFonts w:asciiTheme="minorBidi" w:hAnsiTheme="minorBidi"/>
                                        <w:b/>
                                        <w:bCs/>
                                        <w:sz w:val="16"/>
                                        <w:szCs w:val="16"/>
                                      </w:rPr>
                                      <w:t>zone</w:t>
                                    </w:r>
                                  </w:p>
                                </w:txbxContent>
                              </wps:txbx>
                              <wps:bodyPr rot="0" vert="horz" wrap="square" lIns="91440" tIns="45720" rIns="91440" bIns="45720" anchor="t" anchorCtr="0">
                                <a:noAutofit/>
                              </wps:bodyPr>
                            </wps:wsp>
                          </wpg:grpSp>
                          <wpg:grpSp>
                            <wpg:cNvPr id="58" name="Groupe 58"/>
                            <wpg:cNvGrpSpPr/>
                            <wpg:grpSpPr>
                              <a:xfrm>
                                <a:off x="0" y="266426"/>
                                <a:ext cx="2827735" cy="589915"/>
                                <a:chOff x="0" y="0"/>
                                <a:chExt cx="2827735" cy="589915"/>
                              </a:xfrm>
                            </wpg:grpSpPr>
                            <wpg:grpSp>
                              <wpg:cNvPr id="48" name="Groupe 48"/>
                              <wpg:cNvGrpSpPr/>
                              <wpg:grpSpPr>
                                <a:xfrm>
                                  <a:off x="19735" y="0"/>
                                  <a:ext cx="2808000" cy="589915"/>
                                  <a:chOff x="0" y="0"/>
                                  <a:chExt cx="2808000" cy="589915"/>
                                </a:xfrm>
                              </wpg:grpSpPr>
                              <wpg:grpSp>
                                <wpg:cNvPr id="32" name="Groupe 32"/>
                                <wpg:cNvGrpSpPr/>
                                <wpg:grpSpPr>
                                  <a:xfrm>
                                    <a:off x="0" y="0"/>
                                    <a:ext cx="2808000" cy="589915"/>
                                    <a:chOff x="0" y="0"/>
                                    <a:chExt cx="2846868" cy="590288"/>
                                  </a:xfrm>
                                </wpg:grpSpPr>
                                <wpg:grpSp>
                                  <wpg:cNvPr id="17" name="Groupe 17"/>
                                  <wpg:cNvGrpSpPr/>
                                  <wpg:grpSpPr>
                                    <a:xfrm>
                                      <a:off x="0" y="14288"/>
                                      <a:ext cx="2840996" cy="576000"/>
                                      <a:chOff x="0" y="0"/>
                                      <a:chExt cx="2840996" cy="576000"/>
                                    </a:xfrm>
                                  </wpg:grpSpPr>
                                  <wps:wsp>
                                    <wps:cNvPr id="14" name="Rectangle 14"/>
                                    <wps:cNvSpPr/>
                                    <wps:spPr>
                                      <a:xfrm>
                                        <a:off x="0" y="0"/>
                                        <a:ext cx="1943100" cy="57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940996" y="0"/>
                                        <a:ext cx="900000" cy="57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 name="Groupe 23"/>
                                  <wpg:cNvGrpSpPr/>
                                  <wpg:grpSpPr>
                                    <a:xfrm>
                                      <a:off x="1921668" y="2381"/>
                                      <a:ext cx="925200" cy="581902"/>
                                      <a:chOff x="-14605" y="0"/>
                                      <a:chExt cx="925200" cy="581902"/>
                                    </a:xfrm>
                                  </wpg:grpSpPr>
                                  <wps:wsp>
                                    <wps:cNvPr id="18" name="Connecteur droit 18"/>
                                    <wps:cNvCnPr/>
                                    <wps:spPr>
                                      <a:xfrm>
                                        <a:off x="-14605" y="5957"/>
                                        <a:ext cx="925200" cy="0"/>
                                      </a:xfrm>
                                      <a:prstGeom prst="line">
                                        <a:avLst/>
                                      </a:prstGeom>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19" name="Connecteur droit 19"/>
                                    <wps:cNvCnPr/>
                                    <wps:spPr>
                                      <a:xfrm>
                                        <a:off x="899508" y="5957"/>
                                        <a:ext cx="0" cy="575945"/>
                                      </a:xfrm>
                                      <a:prstGeom prst="line">
                                        <a:avLst/>
                                      </a:prstGeom>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0" name="Connecteur droit 20"/>
                                    <wps:cNvCnPr/>
                                    <wps:spPr>
                                      <a:xfrm>
                                        <a:off x="5957" y="574851"/>
                                        <a:ext cx="899795" cy="0"/>
                                      </a:xfrm>
                                      <a:prstGeom prst="line">
                                        <a:avLst/>
                                      </a:prstGeom>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1" name="Connecteur droit 21"/>
                                    <wps:cNvCnPr/>
                                    <wps:spPr>
                                      <a:xfrm>
                                        <a:off x="0" y="0"/>
                                        <a:ext cx="0" cy="360000"/>
                                      </a:xfrm>
                                      <a:prstGeom prst="line">
                                        <a:avLst/>
                                      </a:prstGeom>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2" name="Connecteur droit 22"/>
                                    <wps:cNvCnPr/>
                                    <wps:spPr>
                                      <a:xfrm>
                                        <a:off x="5957" y="437840"/>
                                        <a:ext cx="0" cy="144000"/>
                                      </a:xfrm>
                                      <a:prstGeom prst="line">
                                        <a:avLst/>
                                      </a:prstGeom>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26" name="Connecteur droit 26"/>
                                  <wps:cNvCnPr/>
                                  <wps:spPr>
                                    <a:xfrm flipH="1">
                                      <a:off x="1007268" y="11906"/>
                                      <a:ext cx="936000" cy="0"/>
                                    </a:xfrm>
                                    <a:prstGeom prst="line">
                                      <a:avLst/>
                                    </a:prstGeom>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7" name="Connecteur droit 27"/>
                                  <wps:cNvCnPr/>
                                  <wps:spPr>
                                    <a:xfrm flipH="1">
                                      <a:off x="0" y="9525"/>
                                      <a:ext cx="331200" cy="0"/>
                                    </a:xfrm>
                                    <a:prstGeom prst="line">
                                      <a:avLst/>
                                    </a:prstGeom>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8" name="Connecteur droit 28"/>
                                  <wps:cNvCnPr/>
                                  <wps:spPr>
                                    <a:xfrm>
                                      <a:off x="14287" y="0"/>
                                      <a:ext cx="1270" cy="575945"/>
                                    </a:xfrm>
                                    <a:prstGeom prst="line">
                                      <a:avLst/>
                                    </a:prstGeom>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29" name="Connecteur droit 29"/>
                                  <wps:cNvCnPr/>
                                  <wps:spPr>
                                    <a:xfrm flipH="1">
                                      <a:off x="0" y="578644"/>
                                      <a:ext cx="1512000" cy="0"/>
                                    </a:xfrm>
                                    <a:prstGeom prst="line">
                                      <a:avLst/>
                                    </a:prstGeom>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0" name="Connecteur droit 30"/>
                                  <wps:cNvCnPr/>
                                  <wps:spPr>
                                    <a:xfrm flipH="1" flipV="1">
                                      <a:off x="1762125" y="576263"/>
                                      <a:ext cx="179705" cy="0"/>
                                    </a:xfrm>
                                    <a:prstGeom prst="line">
                                      <a:avLst/>
                                    </a:prstGeom>
                                    <a:ln w="28575">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grpSp>
                              <wps:wsp>
                                <wps:cNvPr id="36" name="Zone de texte 2"/>
                                <wps:cNvSpPr txBox="1">
                                  <a:spLocks noChangeArrowheads="1"/>
                                </wps:cNvSpPr>
                                <wps:spPr bwMode="auto">
                                  <a:xfrm>
                                    <a:off x="239611" y="199774"/>
                                    <a:ext cx="1365535" cy="251460"/>
                                  </a:xfrm>
                                  <a:prstGeom prst="rect">
                                    <a:avLst/>
                                  </a:prstGeom>
                                  <a:noFill/>
                                  <a:ln w="9525">
                                    <a:noFill/>
                                    <a:miter lim="800000"/>
                                    <a:headEnd/>
                                    <a:tailEnd/>
                                  </a:ln>
                                </wps:spPr>
                                <wps:txbx>
                                  <w:txbxContent>
                                    <w:p w14:paraId="3CBE6693" w14:textId="77777777" w:rsidR="00EE4785" w:rsidRPr="00E91D5C" w:rsidRDefault="00EE4785" w:rsidP="00EE4785">
                                      <w:pPr>
                                        <w:spacing w:line="240" w:lineRule="auto"/>
                                        <w:jc w:val="center"/>
                                        <w:rPr>
                                          <w:rFonts w:asciiTheme="minorBidi" w:hAnsiTheme="minorBidi" w:cstheme="minorBidi"/>
                                          <w:b/>
                                          <w:bCs/>
                                          <w:sz w:val="16"/>
                                          <w:szCs w:val="16"/>
                                        </w:rPr>
                                      </w:pPr>
                                      <w:r w:rsidRPr="00E91D5C">
                                        <w:rPr>
                                          <w:rFonts w:asciiTheme="minorBidi" w:hAnsiTheme="minorBidi" w:cstheme="minorBidi"/>
                                          <w:b/>
                                          <w:bCs/>
                                          <w:sz w:val="16"/>
                                          <w:szCs w:val="16"/>
                                        </w:rPr>
                                        <w:t xml:space="preserve">Weighing room storage </w:t>
                                      </w:r>
                                      <w:r w:rsidRPr="00E91D5C">
                                        <w:rPr>
                                          <w:rFonts w:asciiTheme="minorBidi" w:hAnsiTheme="minorBidi"/>
                                          <w:b/>
                                          <w:bCs/>
                                          <w:sz w:val="16"/>
                                          <w:szCs w:val="16"/>
                                        </w:rPr>
                                        <w:t>section</w:t>
                                      </w:r>
                                    </w:p>
                                  </w:txbxContent>
                                </wps:txbx>
                                <wps:bodyPr rot="0" vert="horz" wrap="square" lIns="91440" tIns="45720" rIns="91440" bIns="45720" anchor="t" anchorCtr="0">
                                  <a:noAutofit/>
                                </wps:bodyPr>
                              </wps:wsp>
                            </wpg:grpSp>
                            <wps:wsp>
                              <wps:cNvPr id="39" name="Zone de texte 2"/>
                              <wps:cNvSpPr txBox="1">
                                <a:spLocks noChangeArrowheads="1"/>
                              </wps:cNvSpPr>
                              <wps:spPr bwMode="auto">
                                <a:xfrm>
                                  <a:off x="0" y="9867"/>
                                  <a:ext cx="467995" cy="179705"/>
                                </a:xfrm>
                                <a:prstGeom prst="rect">
                                  <a:avLst/>
                                </a:prstGeom>
                                <a:noFill/>
                                <a:ln w="9525">
                                  <a:noFill/>
                                  <a:miter lim="800000"/>
                                  <a:headEnd/>
                                  <a:tailEnd/>
                                </a:ln>
                              </wps:spPr>
                              <wps:txbx>
                                <w:txbxContent>
                                  <w:p w14:paraId="6F71D8E9" w14:textId="77777777" w:rsidR="00EE4785" w:rsidRPr="00E91D5C" w:rsidRDefault="00EE4785" w:rsidP="00EE4785">
                                    <w:pPr>
                                      <w:spacing w:line="240" w:lineRule="auto"/>
                                      <w:rPr>
                                        <w:rFonts w:asciiTheme="minorBidi" w:hAnsiTheme="minorBidi" w:cstheme="minorBidi"/>
                                        <w:b/>
                                        <w:bCs/>
                                        <w:sz w:val="14"/>
                                        <w:szCs w:val="14"/>
                                      </w:rPr>
                                    </w:pPr>
                                    <w:r w:rsidRPr="00E91D5C">
                                      <w:rPr>
                                        <w:rFonts w:asciiTheme="minorBidi" w:hAnsiTheme="minorBidi" w:cstheme="minorBidi"/>
                                        <w:b/>
                                        <w:bCs/>
                                        <w:sz w:val="14"/>
                                        <w:szCs w:val="14"/>
                                      </w:rPr>
                                      <w:t>Zone 22</w:t>
                                    </w:r>
                                  </w:p>
                                </w:txbxContent>
                              </wps:txbx>
                              <wps:bodyPr rot="0" vert="horz" wrap="square" lIns="91440" tIns="45720" rIns="91440" bIns="45720" anchor="t" anchorCtr="0">
                                <a:noAutofit/>
                              </wps:bodyPr>
                            </wps:wsp>
                          </wpg:grpSp>
                        </wpg:grpSp>
                        <wpg:grpSp>
                          <wpg:cNvPr id="57" name="Groupe 57"/>
                          <wpg:cNvGrpSpPr/>
                          <wpg:grpSpPr>
                            <a:xfrm>
                              <a:off x="1878043" y="269703"/>
                              <a:ext cx="926222" cy="615617"/>
                              <a:chOff x="-95" y="-12"/>
                              <a:chExt cx="926222" cy="615617"/>
                            </a:xfrm>
                          </wpg:grpSpPr>
                          <wps:wsp>
                            <wps:cNvPr id="38" name="Zone de texte 2"/>
                            <wps:cNvSpPr txBox="1">
                              <a:spLocks noChangeArrowheads="1"/>
                            </wps:cNvSpPr>
                            <wps:spPr bwMode="auto">
                              <a:xfrm>
                                <a:off x="-95" y="-12"/>
                                <a:ext cx="485789" cy="169545"/>
                              </a:xfrm>
                              <a:prstGeom prst="rect">
                                <a:avLst/>
                              </a:prstGeom>
                              <a:noFill/>
                              <a:ln w="9525">
                                <a:noFill/>
                                <a:miter lim="800000"/>
                                <a:headEnd/>
                                <a:tailEnd/>
                              </a:ln>
                            </wps:spPr>
                            <wps:txbx>
                              <w:txbxContent>
                                <w:p w14:paraId="7D9B55BB" w14:textId="77777777" w:rsidR="00EE4785" w:rsidRPr="00E91D5C" w:rsidRDefault="00EE4785" w:rsidP="00EE4785">
                                  <w:pPr>
                                    <w:spacing w:line="240" w:lineRule="auto"/>
                                    <w:jc w:val="left"/>
                                    <w:rPr>
                                      <w:rFonts w:asciiTheme="minorBidi" w:hAnsiTheme="minorBidi" w:cstheme="minorBidi"/>
                                      <w:b/>
                                      <w:bCs/>
                                      <w:sz w:val="14"/>
                                      <w:szCs w:val="14"/>
                                    </w:rPr>
                                  </w:pPr>
                                  <w:r w:rsidRPr="00E91D5C">
                                    <w:rPr>
                                      <w:rFonts w:asciiTheme="minorBidi" w:hAnsiTheme="minorBidi" w:cstheme="minorBidi"/>
                                      <w:b/>
                                      <w:bCs/>
                                      <w:sz w:val="14"/>
                                      <w:szCs w:val="14"/>
                                    </w:rPr>
                                    <w:t>Zone 21</w:t>
                                  </w:r>
                                </w:p>
                              </w:txbxContent>
                            </wps:txbx>
                            <wps:bodyPr rot="0" vert="horz" wrap="square" lIns="91440" tIns="45720" rIns="91440" bIns="45720" anchor="t" anchorCtr="0">
                              <a:noAutofit/>
                            </wps:bodyPr>
                          </wps:wsp>
                          <wpg:grpSp>
                            <wpg:cNvPr id="56" name="Groupe 56"/>
                            <wpg:cNvGrpSpPr/>
                            <wpg:grpSpPr>
                              <a:xfrm>
                                <a:off x="72308" y="102769"/>
                                <a:ext cx="853819" cy="512836"/>
                                <a:chOff x="-55" y="50142"/>
                                <a:chExt cx="853819" cy="512836"/>
                              </a:xfrm>
                            </wpg:grpSpPr>
                            <wps:wsp>
                              <wps:cNvPr id="37" name="Zone de texte 2"/>
                              <wps:cNvSpPr txBox="1">
                                <a:spLocks noChangeArrowheads="1"/>
                              </wps:cNvSpPr>
                              <wps:spPr bwMode="auto">
                                <a:xfrm>
                                  <a:off x="-55" y="299985"/>
                                  <a:ext cx="853819" cy="262993"/>
                                </a:xfrm>
                                <a:prstGeom prst="rect">
                                  <a:avLst/>
                                </a:prstGeom>
                                <a:noFill/>
                                <a:ln w="9525">
                                  <a:noFill/>
                                  <a:miter lim="800000"/>
                                  <a:headEnd/>
                                  <a:tailEnd/>
                                </a:ln>
                              </wps:spPr>
                              <wps:txbx>
                                <w:txbxContent>
                                  <w:p w14:paraId="4B34E723" w14:textId="77777777" w:rsidR="00EE4785" w:rsidRPr="00E91D5C" w:rsidRDefault="00EE4785" w:rsidP="00EE4785">
                                    <w:pPr>
                                      <w:spacing w:line="240" w:lineRule="auto"/>
                                      <w:jc w:val="center"/>
                                      <w:rPr>
                                        <w:rFonts w:asciiTheme="minorBidi" w:hAnsiTheme="minorBidi" w:cstheme="minorBidi"/>
                                        <w:b/>
                                        <w:bCs/>
                                        <w:sz w:val="14"/>
                                        <w:szCs w:val="14"/>
                                      </w:rPr>
                                    </w:pPr>
                                    <w:r w:rsidRPr="00E91D5C">
                                      <w:rPr>
                                        <w:rFonts w:asciiTheme="minorBidi" w:hAnsiTheme="minorBidi"/>
                                        <w:b/>
                                        <w:bCs/>
                                        <w:sz w:val="14"/>
                                        <w:szCs w:val="14"/>
                                      </w:rPr>
                                      <w:t>W</w:t>
                                    </w:r>
                                    <w:r w:rsidRPr="00E91D5C">
                                      <w:rPr>
                                        <w:rFonts w:asciiTheme="minorBidi" w:hAnsiTheme="minorBidi" w:cstheme="minorBidi"/>
                                        <w:b/>
                                        <w:bCs/>
                                        <w:sz w:val="14"/>
                                        <w:szCs w:val="14"/>
                                      </w:rPr>
                                      <w:t>eighing</w:t>
                                    </w:r>
                                    <w:r w:rsidRPr="00E91D5C">
                                      <w:rPr>
                                        <w:rFonts w:asciiTheme="minorBidi" w:hAnsiTheme="minorBidi"/>
                                        <w:b/>
                                        <w:bCs/>
                                        <w:sz w:val="14"/>
                                        <w:szCs w:val="14"/>
                                      </w:rPr>
                                      <w:t xml:space="preserve"> and q</w:t>
                                    </w:r>
                                    <w:r w:rsidRPr="00E91D5C">
                                      <w:rPr>
                                        <w:rFonts w:asciiTheme="minorBidi" w:hAnsiTheme="minorBidi" w:cstheme="minorBidi"/>
                                        <w:b/>
                                        <w:bCs/>
                                        <w:sz w:val="14"/>
                                        <w:szCs w:val="14"/>
                                      </w:rPr>
                                      <w:t xml:space="preserve">uality control </w:t>
                                    </w:r>
                                    <w:r w:rsidRPr="00E91D5C">
                                      <w:rPr>
                                        <w:rFonts w:asciiTheme="minorBidi" w:hAnsiTheme="minorBidi"/>
                                        <w:b/>
                                        <w:bCs/>
                                        <w:sz w:val="14"/>
                                        <w:szCs w:val="14"/>
                                      </w:rPr>
                                      <w:t>zone</w:t>
                                    </w:r>
                                  </w:p>
                                </w:txbxContent>
                              </wps:txbx>
                              <wps:bodyPr rot="0" vert="horz" wrap="square" lIns="91440" tIns="45720" rIns="91440" bIns="45720" anchor="t" anchorCtr="0">
                                <a:noAutofit/>
                              </wps:bodyPr>
                            </wps:wsp>
                            <wpg:grpSp>
                              <wpg:cNvPr id="45" name="Groupe 45"/>
                              <wpg:cNvGrpSpPr/>
                              <wpg:grpSpPr>
                                <a:xfrm>
                                  <a:off x="216494" y="50142"/>
                                  <a:ext cx="417069" cy="283786"/>
                                  <a:chOff x="2699" y="50165"/>
                                  <a:chExt cx="417486" cy="283917"/>
                                </a:xfrm>
                              </wpg:grpSpPr>
                              <wps:wsp>
                                <wps:cNvPr id="43" name="Ellipse 43"/>
                                <wps:cNvSpPr/>
                                <wps:spPr>
                                  <a:xfrm>
                                    <a:off x="48462" y="50165"/>
                                    <a:ext cx="283908" cy="283917"/>
                                  </a:xfrm>
                                  <a:prstGeom prst="ellipse">
                                    <a:avLst/>
                                  </a:prstGeom>
                                  <a:noFill/>
                                  <a:ln w="222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Zone de texte 2"/>
                                <wps:cNvSpPr txBox="1">
                                  <a:spLocks noChangeArrowheads="1"/>
                                </wps:cNvSpPr>
                                <wps:spPr bwMode="auto">
                                  <a:xfrm>
                                    <a:off x="2699" y="109546"/>
                                    <a:ext cx="417486" cy="144000"/>
                                  </a:xfrm>
                                  <a:prstGeom prst="rect">
                                    <a:avLst/>
                                  </a:prstGeom>
                                  <a:noFill/>
                                  <a:ln w="9525">
                                    <a:noFill/>
                                    <a:miter lim="800000"/>
                                    <a:headEnd/>
                                    <a:tailEnd/>
                                  </a:ln>
                                </wps:spPr>
                                <wps:txbx>
                                  <w:txbxContent>
                                    <w:p w14:paraId="4793FB76" w14:textId="77777777" w:rsidR="00EE4785" w:rsidRPr="00E91D5C" w:rsidRDefault="00EE4785" w:rsidP="00EE4785">
                                      <w:pPr>
                                        <w:spacing w:line="240" w:lineRule="auto"/>
                                        <w:jc w:val="left"/>
                                        <w:rPr>
                                          <w:rFonts w:asciiTheme="minorBidi" w:hAnsiTheme="minorBidi" w:cstheme="minorBidi"/>
                                          <w:b/>
                                          <w:bCs/>
                                          <w:sz w:val="12"/>
                                          <w:szCs w:val="12"/>
                                        </w:rPr>
                                      </w:pPr>
                                      <w:r w:rsidRPr="00E91D5C">
                                        <w:rPr>
                                          <w:rFonts w:asciiTheme="minorBidi" w:hAnsiTheme="minorBidi" w:cstheme="minorBidi"/>
                                          <w:b/>
                                          <w:bCs/>
                                          <w:sz w:val="12"/>
                                          <w:szCs w:val="12"/>
                                        </w:rPr>
                                        <w:t>Zone 2</w:t>
                                      </w:r>
                                      <w:r w:rsidRPr="00E91D5C">
                                        <w:rPr>
                                          <w:rFonts w:asciiTheme="minorBidi" w:hAnsiTheme="minorBidi"/>
                                          <w:b/>
                                          <w:bCs/>
                                          <w:sz w:val="12"/>
                                          <w:szCs w:val="12"/>
                                        </w:rPr>
                                        <w:t>0</w:t>
                                      </w:r>
                                    </w:p>
                                    <w:p w14:paraId="1322BE3A" w14:textId="77777777" w:rsidR="00EE4785" w:rsidRPr="00D601DE" w:rsidRDefault="00EE4785" w:rsidP="00EE4785">
                                      <w:pPr>
                                        <w:spacing w:line="240" w:lineRule="auto"/>
                                        <w:jc w:val="left"/>
                                        <w:rPr>
                                          <w:rFonts w:asciiTheme="minorBidi" w:hAnsiTheme="minorBidi" w:cstheme="minorBidi"/>
                                          <w:b/>
                                          <w:bCs/>
                                          <w:color w:val="FFFFFF" w:themeColor="background1"/>
                                          <w:sz w:val="10"/>
                                          <w:szCs w:val="10"/>
                                        </w:rPr>
                                      </w:pPr>
                                    </w:p>
                                  </w:txbxContent>
                                </wps:txbx>
                                <wps:bodyPr rot="0" vert="horz" wrap="square" lIns="91440" tIns="45720" rIns="91440" bIns="45720" anchor="t" anchorCtr="0">
                                  <a:noAutofit/>
                                </wps:bodyPr>
                              </wps:wsp>
                            </wpg:grpSp>
                          </wpg:grpSp>
                        </wpg:grpSp>
                      </wpg:grpSp>
                    </wpg:wgp>
                  </a:graphicData>
                </a:graphic>
              </wp:inline>
            </w:drawing>
          </mc:Choice>
          <mc:Fallback>
            <w:pict>
              <v:group id="Groupe 61" o:spid="_x0000_s1026" style="width:282.6pt;height:120.7pt;mso-position-horizontal-relative:char;mso-position-vertical-relative:line" coordorigin=",-450" coordsize="28277,12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">
                <o:lock v:ext="edit" aspectratio="t"/>
                <v:shapetype id="_x0000_t202" coordsize="21600,21600" o:spt="202" path="m,l,21600r21600,l21600,xe">
                  <v:stroke joinstyle="miter"/>
                  <v:path gradientshapeok="t" o:connecttype="rect"/>
                </v:shapetype>
                <v:shape id="Zone de texte 2" o:spid="_x0000_s1027" type="#_x0000_t202" style="position:absolute;left:16804;top:9036;width:8159;height:2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filled="f" stroked="f">
                  <v:textbox>
                    <w:txbxContent>
                      <w:p w14:paraId="5ACAE48F" w14:textId="77777777" w:rsidR="00EE4785" w:rsidRPr="00E91D5C" w:rsidRDefault="00EE4785" w:rsidP="00EE4785">
                        <w:pPr>
                          <w:spacing w:line="240" w:lineRule="auto"/>
                          <w:jc w:val="center"/>
                          <w:rPr>
                            <w:rFonts w:asciiTheme="minorBidi" w:hAnsiTheme="minorBidi" w:cstheme="minorBidi"/>
                            <w:b/>
                            <w:bCs/>
                            <w:sz w:val="16"/>
                            <w:szCs w:val="16"/>
                          </w:rPr>
                        </w:pPr>
                        <w:r w:rsidRPr="00E91D5C">
                          <w:rPr>
                            <w:rFonts w:asciiTheme="minorBidi" w:hAnsiTheme="minorBidi" w:cstheme="minorBidi"/>
                            <w:b/>
                            <w:bCs/>
                            <w:sz w:val="16"/>
                            <w:szCs w:val="16"/>
                          </w:rPr>
                          <w:t xml:space="preserve">Raw materials </w:t>
                        </w:r>
                        <w:r w:rsidRPr="00E91D5C">
                          <w:rPr>
                            <w:rFonts w:asciiTheme="minorBidi" w:hAnsiTheme="minorBidi"/>
                            <w:b/>
                            <w:bCs/>
                            <w:sz w:val="16"/>
                            <w:szCs w:val="16"/>
                          </w:rPr>
                          <w:t>receiving</w:t>
                        </w:r>
                        <w:r w:rsidRPr="00E91D5C">
                          <w:rPr>
                            <w:rFonts w:asciiTheme="minorBidi" w:hAnsiTheme="minorBidi" w:cstheme="minorBidi"/>
                            <w:b/>
                            <w:bCs/>
                            <w:sz w:val="16"/>
                            <w:szCs w:val="16"/>
                          </w:rPr>
                          <w:t xml:space="preserve"> </w:t>
                        </w:r>
                        <w:r w:rsidRPr="00E91D5C">
                          <w:rPr>
                            <w:rFonts w:asciiTheme="minorBidi" w:hAnsiTheme="minorBidi"/>
                            <w:b/>
                            <w:bCs/>
                            <w:sz w:val="16"/>
                            <w:szCs w:val="16"/>
                          </w:rPr>
                          <w:t>zone</w:t>
                        </w:r>
                      </w:p>
                    </w:txbxContent>
                  </v:textbox>
                </v:shape>
                <v:group id="Groupe 60" o:spid="_x0000_s1028" style="position:absolute;top:-450;width:28277;height:11916" coordorigin=",-450" coordsize="28277,11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group id="Groupe 59" o:spid="_x0000_s1029" style="position:absolute;top:-450;width:28277;height:11916" coordorigin=",-450" coordsize="28277,11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type id="_x0000_t32" coordsize="21600,21600" o:spt="32" o:oned="t" path="m,l21600,21600e" filled="f">
                      <v:path arrowok="t" fillok="f" o:connecttype="none"/>
                      <o:lock v:ext="edit" shapetype="t"/>
                    </v:shapetype>
                    <v:shape id="Connecteur droit avec flèche 34" o:spid="_x0000_s1030" type="#_x0000_t32" style="position:absolute;left:16577;top:8946;width:0;height:25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E5cUAAADbAAAADwAAAGRycy9kb3ducmV2LnhtbESPQWsCMRSE70L/Q3gFL6VmW4stW6OU&#10;UtGDpe62vT82z83i5mVNoq7/3hQKHoeZ+YaZznvbiiP50DhW8DDKQBBXTjdcK/j5Xty/gAgRWWPr&#10;mBScKcB8djOYYq7diQs6lrEWCcIhRwUmxi6XMlSGLIaR64iTt3XeYkzS11J7PCW4beVjlk2kxYbT&#10;gsGO3g1Vu/JgFaw3xbZh3n+Vv/3Hfne39MtP86zU8LZ/ewURqY/X8H97pRWMn+Dv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LE5cUAAADbAAAADwAAAAAAAAAA&#10;AAAAAAChAgAAZHJzL2Rvd25yZXYueG1sUEsFBgAAAAAEAAQA+QAAAJMDAAAAAA==&#10;" strokecolor="#365f91 [2404]" strokeweight="2.25pt">
                      <v:stroke endarrow="block"/>
                    </v:shape>
                    <v:group id="Groupe 51" o:spid="_x0000_s1031" style="position:absolute;left:7137;top:-450;width:7523;height:2964" coordorigin=",-450" coordsize="7523,29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Connecteur droit avec flèche 33" o:spid="_x0000_s1032" type="#_x0000_t32" style="position:absolute;width:0;height:25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tckcQAAADbAAAADwAAAGRycy9kb3ducmV2LnhtbESPQWsCMRSE74X+h/CEXqRmrVBlNUqR&#10;FnuwqFu9PzbPzeLmZU1SXf99UxB6HGbmG2a26GwjLuRD7VjBcJCBIC6drrlSsP/+eJ6ACBFZY+OY&#10;FNwowGL++DDDXLsr7+hSxEokCIccFZgY21zKUBqyGAauJU7e0XmLMUlfSe3xmuC2kS9Z9iot1pwW&#10;DLa0NFSeih+rYL3dHWvm86Y4dO/nU3/lV19mrNRTr3ubgojUxf/wvf2pFYxG8Pcl/QA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K1yRxAAAANsAAAAPAAAAAAAAAAAA&#10;AAAAAKECAABkcnMvZG93bnJldi54bWxQSwUGAAAAAAQABAD5AAAAkgMAAAAA&#10;" strokecolor="#365f91 [2404]" strokeweight="2.25pt">
                        <v:stroke endarrow="block"/>
                      </v:shape>
                      <v:shape id="Zone de texte 2" o:spid="_x0000_s1033" type="#_x0000_t202" style="position:absolute;left:328;top:-450;width:7195;height:28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14:paraId="34AF1B7D" w14:textId="77777777" w:rsidR="00EE4785" w:rsidRPr="00E91D5C" w:rsidRDefault="00EE4785" w:rsidP="00EE4785">
                              <w:pPr>
                                <w:spacing w:line="240" w:lineRule="auto"/>
                                <w:jc w:val="center"/>
                                <w:rPr>
                                  <w:rFonts w:asciiTheme="minorBidi" w:hAnsiTheme="minorBidi" w:cstheme="minorBidi"/>
                                  <w:b/>
                                  <w:bCs/>
                                  <w:sz w:val="16"/>
                                  <w:szCs w:val="16"/>
                                </w:rPr>
                              </w:pPr>
                              <w:r w:rsidRPr="00E91D5C">
                                <w:rPr>
                                  <w:rFonts w:asciiTheme="minorBidi" w:hAnsiTheme="minorBidi" w:cstheme="minorBidi"/>
                                  <w:b/>
                                  <w:bCs/>
                                  <w:sz w:val="16"/>
                                  <w:szCs w:val="16"/>
                                </w:rPr>
                                <w:t xml:space="preserve">Entrance to the production </w:t>
                              </w:r>
                              <w:r w:rsidRPr="00E91D5C">
                                <w:rPr>
                                  <w:rFonts w:asciiTheme="minorBidi" w:hAnsiTheme="minorBidi"/>
                                  <w:b/>
                                  <w:bCs/>
                                  <w:sz w:val="16"/>
                                  <w:szCs w:val="16"/>
                                </w:rPr>
                                <w:t>zone</w:t>
                              </w:r>
                            </w:p>
                          </w:txbxContent>
                        </v:textbox>
                      </v:shape>
                    </v:group>
                    <v:group id="Groupe 58" o:spid="_x0000_s1034" style="position:absolute;top:2664;width:28277;height:5899" coordsize="28277,5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SF33MEAAADbAAAADwAAAGRycy9kb3ducmV2LnhtbERPy4rCMBTdD/gP4Qru&#10;xrSKg1RTEVFxIQOjgri7NLcPbG5KE9v695PFwCwP573eDKYWHbWusqwgnkYgiDOrKy4U3K6HzyUI&#10;55E11pZJwZscbNLRxxoTbXv+oe7iCxFC2CWooPS+SaR0WUkG3dQ2xIHLbWvQB9gWUrfYh3BTy1kU&#10;fUmDFYeGEhvalZQ9Ly+j4Nhjv53H++78zHfvx3XxfT/HpNRkPGxXIDwN/l/85z5pBYswN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hSF33MEAAADbAAAADwAA&#10;AAAAAAAAAAAAAACqAgAAZHJzL2Rvd25yZXYueG1sUEsFBgAAAAAEAAQA+gAAAJgDAAAAAA==&#10;">
                      <v:group id="Groupe 48" o:spid="_x0000_s1035" style="position:absolute;left:197;width:28080;height:5899" coordsize="28080,589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e 32" o:spid="_x0000_s1036" style="position:absolute;width:28080;height:5899" coordsize="28468,5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group id="Groupe 17" o:spid="_x0000_s1037" style="position:absolute;top:142;width:28409;height:5760" coordsize="28409,5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ect id="Rectangle 14" o:spid="_x0000_s1038" style="position:absolute;width:19431;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0qcEA&#10;AADbAAAADwAAAGRycy9kb3ducmV2LnhtbERPTWvCQBC9F/oflil4qxuLFIlZJUhb6rGJIN4m2TGJ&#10;ZmdDdhuTf+8WCt7m8T4n2Y6mFQP1rrGsYDGPQBCXVjdcKTjkn68rEM4ja2wtk4KJHGw3z08Jxtre&#10;+IeGzFcihLCLUUHtfRdL6cqaDLq57YgDd7a9QR9gX0nd4y2Em1a+RdG7NNhwaKixo11N5TX7NQpc&#10;MezzqUuPl5Mri/SDTb7cfyk1exnTNQhPo3+I/93fOsxfwt8v4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jNKnBAAAA2wAAAA8AAAAAAAAAAAAAAAAAmAIAAGRycy9kb3du&#10;cmV2LnhtbFBLBQYAAAAABAAEAPUAAACGAwAAAAA=&#10;" filled="f" stroked="f" strokeweight="2pt"/>
                            <v:rect id="Rectangle 15" o:spid="_x0000_s1039" style="position:absolute;left:19409;width:900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RMsAA&#10;AADbAAAADwAAAGRycy9kb3ducmV2LnhtbERPTYvCMBC9L/gfwgh7W1PFXaQapYjKetQK4m1sxrba&#10;TEoTa/33G2HB2zze58wWnalES40rLSsYDiIQxJnVJecKDun6awLCeWSNlWVS8CQHi3nvY4axtg/e&#10;Ubv3uQgh7GJUUHhfx1K6rCCDbmBr4sBdbGPQB9jkUjf4COGmkqMo+pEGSw4NBda0LCi77e9GgTu3&#10;2/RZJ8fryWXnZMUmHW83Sn32u2QKwlPn3+J/968O87/h9Us4QM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K+RMsAAAADbAAAADwAAAAAAAAAAAAAAAACYAgAAZHJzL2Rvd25y&#10;ZXYueG1sUEsFBgAAAAAEAAQA9QAAAIUDAAAAAA==&#10;" filled="f" stroked="f" strokeweight="2pt"/>
                          </v:group>
                          <v:group id="Groupe 23" o:spid="_x0000_s1040" style="position:absolute;left:19216;top:23;width:9252;height:5819" coordorigin="-146" coordsize="9252,58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Connecteur droit 18" o:spid="_x0000_s1041" style="position:absolute;visibility:visible;mso-wrap-style:square" from="-146,59" to="910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W66MUAAADbAAAADwAAAGRycy9kb3ducmV2LnhtbESPzWrDQAyE74W+w6JCbs06CYTGzSaU&#10;/EBzTNxSehNe1Tb1ah3v2rHfvjoEepOY0cyn9XZwteqpDZVnA7NpAoo497biwsBHdnx+ARUissXa&#10;MxkYKcB28/iwxtT6G5+pv8RCSQiHFA2UMTap1iEvyWGY+oZYtB/fOoyytoW2Ld4k3NV6niRL7bBi&#10;aSixoV1J+e+lcwYW2dfnqhs7Hld9fzp97698mC2NmTwNb6+gIg3x33y/freCL7Dyiwy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9W66MUAAADbAAAADwAAAAAAAAAA&#10;AAAAAAChAgAAZHJzL2Rvd25yZXYueG1sUEsFBgAAAAAEAAQA+QAAAJMDAAAAAA==&#10;" strokecolor="#5a5a5a [2109]" strokeweight="2.25pt"/>
                            <v:line id="Connecteur droit 19" o:spid="_x0000_s1042" style="position:absolute;visibility:visible;mso-wrap-style:square" from="8995,59" to="8995,5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kfc8IAAADbAAAADwAAAGRycy9kb3ducmV2LnhtbERPTWvCQBC9F/oflil4q5soSBNdQ6kK&#10;9ai2iLchOyah2dk0u4nJv+8KBW/zeJ+zygZTi55aV1lWEE8jEMS51RUXCr5Ou9c3EM4ja6wtk4KR&#10;HGTr56cVptre+ED90RcihLBLUUHpfZNK6fKSDLqpbYgDd7WtQR9gW0jd4i2Em1rOomghDVYcGkps&#10;6KOk/OfYGQXz0/k76caOx6Tv9/vL5pe38UKpycvwvgThafAP8b/7U4f5Cdx/C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Jkfc8IAAADbAAAADwAAAAAAAAAAAAAA&#10;AAChAgAAZHJzL2Rvd25yZXYueG1sUEsFBgAAAAAEAAQA+QAAAJADAAAAAA==&#10;" strokecolor="#5a5a5a [2109]" strokeweight="2.25pt"/>
                            <v:line id="Connecteur droit 20" o:spid="_x0000_s1043" style="position:absolute;visibility:visible;mso-wrap-style:square" from="59,5748" to="9057,57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98U8EAAADbAAAADwAAAGRycy9kb3ducmV2LnhtbERPyWrDMBC9F/IPYgq9NXJcMI0bJZQ0&#10;gfjYLITeBmtim1gj15K3v48OhR4fb19tRlOLnlpXWVawmEcgiHOrKy4UnE/713cQziNrrC2Tgokc&#10;bNazpxWm2g78Tf3RFyKEsEtRQel9k0rp8pIMurltiAN3s61BH2BbSN3iEMJNLeMoSqTBikNDiQ1t&#10;S8rvx84oeDtdL8tu6nha9n2W/Xz98m6RKPXyPH5+gPA0+n/xn/ugFcRhffgSfo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z3xTwQAAANsAAAAPAAAAAAAAAAAAAAAA&#10;AKECAABkcnMvZG93bnJldi54bWxQSwUGAAAAAAQABAD5AAAAjwMAAAAA&#10;" strokecolor="#5a5a5a [2109]" strokeweight="2.25pt"/>
                            <v:line id="Connecteur droit 21" o:spid="_x0000_s1044" style="position:absolute;visibility:visible;mso-wrap-style:square" from="0,0" to="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PZyMQAAADbAAAADwAAAGRycy9kb3ducmV2LnhtbESPQWvCQBSE7wX/w/IEb3UTBanRTRDb&#10;Qj1WK+LtkX0mwezbNLuJyb/vFgo9DjPzDbPNBlOLnlpXWVYQzyMQxLnVFRcKvk7vzy8gnEfWWFsm&#10;BSM5yNLJ0xYTbR/8Sf3RFyJA2CWooPS+SaR0eUkG3dw2xMG72dagD7ItpG7xEeCmlosoWkmDFYeF&#10;Ehval5Tfj51RsDxdzutu7Hhc9/3hcH395rd4pdRsOuw2IDwN/j/81/7QChYx/H4JP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g9nIxAAAANsAAAAPAAAAAAAAAAAA&#10;AAAAAKECAABkcnMvZG93bnJldi54bWxQSwUGAAAAAAQABAD5AAAAkgMAAAAA&#10;" strokecolor="#5a5a5a [2109]" strokeweight="2.25pt"/>
                            <v:line id="Connecteur droit 22" o:spid="_x0000_s1045" style="position:absolute;visibility:visible;mso-wrap-style:square" from="59,4378" to="59,5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FHv8QAAADbAAAADwAAAGRycy9kb3ducmV2LnhtbESPQWvCQBSE7wX/w/IEb3VjBKnRTRDb&#10;Qj1WK+LtkX0mwezbNLuJyb/vFgo9DjPzDbPNBlOLnlpXWVawmEcgiHOrKy4UfJ3en19AOI+ssbZM&#10;CkZykKWTpy0m2j74k/qjL0SAsEtQQel9k0jp8pIMurltiIN3s61BH2RbSN3iI8BNLeMoWkmDFYeF&#10;Ehval5Tfj51RsDxdzutu7Hhc9/3hcH395rfFSqnZdNhtQHga/H/4r/2hFcQx/H4JP0Cm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UUe/xAAAANsAAAAPAAAAAAAAAAAA&#10;AAAAAKECAABkcnMvZG93bnJldi54bWxQSwUGAAAAAAQABAD5AAAAkgMAAAAA&#10;" strokecolor="#5a5a5a [2109]" strokeweight="2.25pt"/>
                          </v:group>
                          <v:line id="Connecteur droit 26" o:spid="_x0000_s1046" style="position:absolute;flip:x;visibility:visible;mso-wrap-style:square" from="10072,119" to="19432,1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MK5cMAAADbAAAADwAAAGRycy9kb3ducmV2LnhtbESPwWrDMBBE74X+g9hCL6WRa0IoTpQQ&#10;UgI5FZr2A7bWxhKxVsba2E6+vioUehxm5g2z2kyhVQP1yUc28DIrQBHX0XpuDHx97p9fQSVBtthG&#10;JgNXSrBZ39+tsLJx5A8ajtKoDOFUoQEn0lVap9pRwDSLHXH2TrEPKFn2jbY9jhkeWl0WxUIH9JwX&#10;HHa0c1Sfj5dgYD4/ydPwVor/Hlx3u/mxObxvjXl8mLZLUEKT/If/2gdroFzA75f8A/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jCuXDAAAA2wAAAA8AAAAAAAAAAAAA&#10;AAAAoQIAAGRycy9kb3ducmV2LnhtbFBLBQYAAAAABAAEAPkAAACRAwAAAAA=&#10;" strokecolor="#5a5a5a [2109]" strokeweight="2.25pt"/>
                          <v:line id="Connecteur droit 27" o:spid="_x0000_s1047" style="position:absolute;flip:x;visibility:visible;mso-wrap-style:square" from="0,95" to="33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vfsQAAADbAAAADwAAAGRycy9kb3ducmV2LnhtbESPUUvDQBCE3wX/w7FCX8ReDEUl7bUU&#10;S6FPgtUfsOa2uaO5vZDbJrG/3hMEH4eZ+YZZbabQqoH65CMbeJwXoIjraD03Bj4/9g8voJIgW2wj&#10;k4FvSrBZ396ssLJx5HcajtKoDOFUoQEn0lVap9pRwDSPHXH2TrEPKFn2jbY9jhkeWl0WxZMO6Dkv&#10;OOzo1VF9Pl6CgcXiJPfDrhT/NbjuevVjc3jbGjO7m7ZLUEKT/If/2gdroHyG3y/5B+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r69+xAAAANsAAAAPAAAAAAAAAAAA&#10;AAAAAKECAABkcnMvZG93bnJldi54bWxQSwUGAAAAAAQABAD5AAAAkgMAAAAA&#10;" strokecolor="#5a5a5a [2109]" strokeweight="2.25pt"/>
                          <v:line id="Connecteur droit 28" o:spid="_x0000_s1048" style="position:absolute;visibility:visible;mso-wrap-style:square" from="142,0" to="155,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lwVcEAAADbAAAADwAAAGRycy9kb3ducmV2LnhtbERPyWrDMBC9F/IPYgq9NXJcMI0bJZQ0&#10;gfjYLITeBmtim1gj15K3v48OhR4fb19tRlOLnlpXWVawmEcgiHOrKy4UnE/713cQziNrrC2Tgokc&#10;bNazpxWm2g78Tf3RFyKEsEtRQel9k0rp8pIMurltiAN3s61BH2BbSN3iEMJNLeMoSqTBikNDiQ1t&#10;S8rvx84oeDtdL8tu6nha9n2W/Xz98m6RKPXyPH5+gPA0+n/xn/ugFcRhbPgSfoB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uXBVwQAAANsAAAAPAAAAAAAAAAAAAAAA&#10;AKECAABkcnMvZG93bnJldi54bWxQSwUGAAAAAAQABAD5AAAAjwMAAAAA&#10;" strokecolor="#5a5a5a [2109]" strokeweight="2.25pt"/>
                          <v:line id="Connecteur droit 29" o:spid="_x0000_s1049" style="position:absolute;flip:x;visibility:visible;mso-wrap-style:square" from="0,5786" to="15120,57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yel8QAAADbAAAADwAAAGRycy9kb3ducmV2LnhtbESPUUvDQBCE3wX/w7FCX8ReDEU07bUU&#10;S6FPgtUfsOa2uaO5vZDbJrG/3hMEH4eZ+YZZbabQqoH65CMbeJwXoIjraD03Bj4/9g/PoJIgW2wj&#10;k4FvSrBZ396ssLJx5HcajtKoDOFUoQEn0lVap9pRwDSPHXH2TrEPKFn2jbY9jhkeWl0WxZMO6Dkv&#10;OOzo1VF9Pl6CgcXiJPfDrhT/NbjuevVjc3jbGjO7m7ZLUEKT/If/2gdroHyB3y/5B+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fJ6XxAAAANsAAAAPAAAAAAAAAAAA&#10;AAAAAKECAABkcnMvZG93bnJldi54bWxQSwUGAAAAAAQABAD5AAAAkgMAAAAA&#10;" strokecolor="#5a5a5a [2109]" strokeweight="2.25pt"/>
                          <v:line id="Connecteur droit 30" o:spid="_x0000_s1050" style="position:absolute;flip:x y;visibility:visible;mso-wrap-style:square" from="17621,5762" to="19418,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DtAMEAAADbAAAADwAAAGRycy9kb3ducmV2LnhtbERPz2vCMBS+C/4P4QneNHXK6DqjyFBQ&#10;PK2TwW6P5K0tNi+1iW39781hsOPH93u9HWwtOmp95VjBYp6AINbOVFwouHwdZikIH5AN1o5JwYM8&#10;bDfj0Roz43r+pC4PhYgh7DNUUIbQZFJ6XZJFP3cNceR+XWsxRNgW0rTYx3Bby5ckeZUWK44NJTb0&#10;UZK+5nerYPej6XF561Z5f1p9n87pVZvbXqnpZNi9gwg0hH/xn/toFCzj+vgl/gC5e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kO0AwQAAANsAAAAPAAAAAAAAAAAAAAAA&#10;AKECAABkcnMvZG93bnJldi54bWxQSwUGAAAAAAQABAD5AAAAjwMAAAAA&#10;" strokecolor="#5a5a5a [2109]" strokeweight="2.25pt"/>
                        </v:group>
                        <v:shape id="Zone de texte 2" o:spid="_x0000_s1051" type="#_x0000_t202" style="position:absolute;left:2396;top:1997;width:13655;height:2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14:paraId="3CBE6693" w14:textId="77777777" w:rsidR="00EE4785" w:rsidRPr="00E91D5C" w:rsidRDefault="00EE4785" w:rsidP="00EE4785">
                                <w:pPr>
                                  <w:spacing w:line="240" w:lineRule="auto"/>
                                  <w:jc w:val="center"/>
                                  <w:rPr>
                                    <w:rFonts w:asciiTheme="minorBidi" w:hAnsiTheme="minorBidi" w:cstheme="minorBidi"/>
                                    <w:b/>
                                    <w:bCs/>
                                    <w:sz w:val="16"/>
                                    <w:szCs w:val="16"/>
                                  </w:rPr>
                                </w:pPr>
                                <w:r w:rsidRPr="00E91D5C">
                                  <w:rPr>
                                    <w:rFonts w:asciiTheme="minorBidi" w:hAnsiTheme="minorBidi" w:cstheme="minorBidi"/>
                                    <w:b/>
                                    <w:bCs/>
                                    <w:sz w:val="16"/>
                                    <w:szCs w:val="16"/>
                                  </w:rPr>
                                  <w:t xml:space="preserve">Weighing room storage </w:t>
                                </w:r>
                                <w:r w:rsidRPr="00E91D5C">
                                  <w:rPr>
                                    <w:rFonts w:asciiTheme="minorBidi" w:hAnsiTheme="minorBidi"/>
                                    <w:b/>
                                    <w:bCs/>
                                    <w:sz w:val="16"/>
                                    <w:szCs w:val="16"/>
                                  </w:rPr>
                                  <w:t>section</w:t>
                                </w:r>
                              </w:p>
                            </w:txbxContent>
                          </v:textbox>
                        </v:shape>
                      </v:group>
                      <v:shape id="Zone de texte 2" o:spid="_x0000_s1052" type="#_x0000_t202" style="position:absolute;top:98;width:4679;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14:paraId="6F71D8E9" w14:textId="77777777" w:rsidR="00EE4785" w:rsidRPr="00E91D5C" w:rsidRDefault="00EE4785" w:rsidP="00EE4785">
                              <w:pPr>
                                <w:spacing w:line="240" w:lineRule="auto"/>
                                <w:rPr>
                                  <w:rFonts w:asciiTheme="minorBidi" w:hAnsiTheme="minorBidi" w:cstheme="minorBidi"/>
                                  <w:b/>
                                  <w:bCs/>
                                  <w:sz w:val="14"/>
                                  <w:szCs w:val="14"/>
                                </w:rPr>
                              </w:pPr>
                              <w:r w:rsidRPr="00E91D5C">
                                <w:rPr>
                                  <w:rFonts w:asciiTheme="minorBidi" w:hAnsiTheme="minorBidi" w:cstheme="minorBidi"/>
                                  <w:b/>
                                  <w:bCs/>
                                  <w:sz w:val="14"/>
                                  <w:szCs w:val="14"/>
                                </w:rPr>
                                <w:t>Zone 22</w:t>
                              </w:r>
                            </w:p>
                          </w:txbxContent>
                        </v:textbox>
                      </v:shape>
                    </v:group>
                  </v:group>
                  <v:group id="Groupe 57" o:spid="_x0000_s1053" style="position:absolute;left:18780;top:2697;width:9262;height:6156" coordorigin="" coordsize="9262,61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Zone de texte 2" o:spid="_x0000_s1054" type="#_x0000_t202" style="position:absolute;width:4856;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14:paraId="7D9B55BB" w14:textId="77777777" w:rsidR="00EE4785" w:rsidRPr="00E91D5C" w:rsidRDefault="00EE4785" w:rsidP="00EE4785">
                            <w:pPr>
                              <w:spacing w:line="240" w:lineRule="auto"/>
                              <w:jc w:val="left"/>
                              <w:rPr>
                                <w:rFonts w:asciiTheme="minorBidi" w:hAnsiTheme="minorBidi" w:cstheme="minorBidi"/>
                                <w:b/>
                                <w:bCs/>
                                <w:sz w:val="14"/>
                                <w:szCs w:val="14"/>
                              </w:rPr>
                            </w:pPr>
                            <w:r w:rsidRPr="00E91D5C">
                              <w:rPr>
                                <w:rFonts w:asciiTheme="minorBidi" w:hAnsiTheme="minorBidi" w:cstheme="minorBidi"/>
                                <w:b/>
                                <w:bCs/>
                                <w:sz w:val="14"/>
                                <w:szCs w:val="14"/>
                              </w:rPr>
                              <w:t>Zone 21</w:t>
                            </w:r>
                          </w:p>
                        </w:txbxContent>
                      </v:textbox>
                    </v:shape>
                    <v:group id="Groupe 56" o:spid="_x0000_s1055" style="position:absolute;left:723;top:1027;width:8538;height:5129" coordorigin=",501" coordsize="8538,51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Zone de texte 2" o:spid="_x0000_s1056" type="#_x0000_t202" style="position:absolute;top:2999;width:8537;height:2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14:paraId="4B34E723" w14:textId="77777777" w:rsidR="00EE4785" w:rsidRPr="00E91D5C" w:rsidRDefault="00EE4785" w:rsidP="00EE4785">
                              <w:pPr>
                                <w:spacing w:line="240" w:lineRule="auto"/>
                                <w:jc w:val="center"/>
                                <w:rPr>
                                  <w:rFonts w:asciiTheme="minorBidi" w:hAnsiTheme="minorBidi" w:cstheme="minorBidi"/>
                                  <w:b/>
                                  <w:bCs/>
                                  <w:sz w:val="14"/>
                                  <w:szCs w:val="14"/>
                                </w:rPr>
                              </w:pPr>
                              <w:r w:rsidRPr="00E91D5C">
                                <w:rPr>
                                  <w:rFonts w:asciiTheme="minorBidi" w:hAnsiTheme="minorBidi"/>
                                  <w:b/>
                                  <w:bCs/>
                                  <w:sz w:val="14"/>
                                  <w:szCs w:val="14"/>
                                </w:rPr>
                                <w:t>W</w:t>
                              </w:r>
                              <w:r w:rsidRPr="00E91D5C">
                                <w:rPr>
                                  <w:rFonts w:asciiTheme="minorBidi" w:hAnsiTheme="minorBidi" w:cstheme="minorBidi"/>
                                  <w:b/>
                                  <w:bCs/>
                                  <w:sz w:val="14"/>
                                  <w:szCs w:val="14"/>
                                </w:rPr>
                                <w:t>eighing</w:t>
                              </w:r>
                              <w:r w:rsidRPr="00E91D5C">
                                <w:rPr>
                                  <w:rFonts w:asciiTheme="minorBidi" w:hAnsiTheme="minorBidi"/>
                                  <w:b/>
                                  <w:bCs/>
                                  <w:sz w:val="14"/>
                                  <w:szCs w:val="14"/>
                                </w:rPr>
                                <w:t xml:space="preserve"> and q</w:t>
                              </w:r>
                              <w:r w:rsidRPr="00E91D5C">
                                <w:rPr>
                                  <w:rFonts w:asciiTheme="minorBidi" w:hAnsiTheme="minorBidi" w:cstheme="minorBidi"/>
                                  <w:b/>
                                  <w:bCs/>
                                  <w:sz w:val="14"/>
                                  <w:szCs w:val="14"/>
                                </w:rPr>
                                <w:t xml:space="preserve">uality control </w:t>
                              </w:r>
                              <w:r w:rsidRPr="00E91D5C">
                                <w:rPr>
                                  <w:rFonts w:asciiTheme="minorBidi" w:hAnsiTheme="minorBidi"/>
                                  <w:b/>
                                  <w:bCs/>
                                  <w:sz w:val="14"/>
                                  <w:szCs w:val="14"/>
                                </w:rPr>
                                <w:t>zone</w:t>
                              </w:r>
                            </w:p>
                          </w:txbxContent>
                        </v:textbox>
                      </v:shape>
                      <v:group id="Groupe 45" o:spid="_x0000_s1057" style="position:absolute;left:2164;top:501;width:4171;height:2838" coordorigin="2699,50165" coordsize="417486,283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oval id="Ellipse 43" o:spid="_x0000_s1058" style="position:absolute;left:48462;top:50165;width:283908;height:2839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z2U8QA&#10;AADbAAAADwAAAGRycy9kb3ducmV2LnhtbESPT2sCMRTE74V+h/AEb5pVi8jWKCIIFTzUPxdvr5vX&#10;ZOvmZZuk6/bbN4VCj8PM/IZZrnvXiI5CrD0rmIwLEMSV1zUbBZfzbrQAEROyxsYzKfimCOvV48MS&#10;S+3vfKTulIzIEI4lKrAptaWUsbLkMI59S5y9dx8cpiyDkTrgPcNdI6dFMZcOa84LFlvaWqpupy+n&#10;YDuxYWE+jnztPt+cPWyMkftXpYaDfvMMIlGf/sN/7Ret4GkGv1/y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M9lPEAAAA2wAAAA8AAAAAAAAAAAAAAAAAmAIAAGRycy9k&#10;b3ducmV2LnhtbFBLBQYAAAAABAAEAPUAAACJAwAAAAA=&#10;" filled="f" strokecolor="red" strokeweight="1.75pt"/>
                        <v:shape id="Zone de texte 2" o:spid="_x0000_s1059" type="#_x0000_t202" style="position:absolute;left:2699;top:109546;width:417486;height:14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14:paraId="4793FB76" w14:textId="77777777" w:rsidR="00EE4785" w:rsidRPr="00E91D5C" w:rsidRDefault="00EE4785" w:rsidP="00EE4785">
                                <w:pPr>
                                  <w:spacing w:line="240" w:lineRule="auto"/>
                                  <w:jc w:val="left"/>
                                  <w:rPr>
                                    <w:rFonts w:asciiTheme="minorBidi" w:hAnsiTheme="minorBidi" w:cstheme="minorBidi"/>
                                    <w:b/>
                                    <w:bCs/>
                                    <w:sz w:val="12"/>
                                    <w:szCs w:val="12"/>
                                  </w:rPr>
                                </w:pPr>
                                <w:r w:rsidRPr="00E91D5C">
                                  <w:rPr>
                                    <w:rFonts w:asciiTheme="minorBidi" w:hAnsiTheme="minorBidi" w:cstheme="minorBidi"/>
                                    <w:b/>
                                    <w:bCs/>
                                    <w:sz w:val="12"/>
                                    <w:szCs w:val="12"/>
                                  </w:rPr>
                                  <w:t>Zone 2</w:t>
                                </w:r>
                                <w:r w:rsidRPr="00E91D5C">
                                  <w:rPr>
                                    <w:rFonts w:asciiTheme="minorBidi" w:hAnsiTheme="minorBidi"/>
                                    <w:b/>
                                    <w:bCs/>
                                    <w:sz w:val="12"/>
                                    <w:szCs w:val="12"/>
                                  </w:rPr>
                                  <w:t>0</w:t>
                                </w:r>
                              </w:p>
                              <w:p w14:paraId="1322BE3A" w14:textId="77777777" w:rsidR="00EE4785" w:rsidRPr="00D601DE" w:rsidRDefault="00EE4785" w:rsidP="00EE4785">
                                <w:pPr>
                                  <w:spacing w:line="240" w:lineRule="auto"/>
                                  <w:jc w:val="left"/>
                                  <w:rPr>
                                    <w:rFonts w:asciiTheme="minorBidi" w:hAnsiTheme="minorBidi" w:cstheme="minorBidi"/>
                                    <w:b/>
                                    <w:bCs/>
                                    <w:color w:val="FFFFFF" w:themeColor="background1"/>
                                    <w:sz w:val="10"/>
                                    <w:szCs w:val="10"/>
                                  </w:rPr>
                                </w:pPr>
                              </w:p>
                            </w:txbxContent>
                          </v:textbox>
                        </v:shape>
                      </v:group>
                    </v:group>
                  </v:group>
                </v:group>
                <w10:anchorlock/>
              </v:group>
            </w:pict>
          </mc:Fallback>
        </mc:AlternateContent>
      </w:r>
    </w:p>
    <w:p w14:paraId="405B518C" w14:textId="5DB1842C" w:rsidR="00D474B1" w:rsidRPr="00986063" w:rsidRDefault="00986063" w:rsidP="00986063">
      <w:pPr>
        <w:pStyle w:val="CETCaption"/>
      </w:pPr>
      <w:r w:rsidRPr="00196802">
        <w:rPr>
          <w:rStyle w:val="CETCaptionCarattere"/>
          <w:i/>
        </w:rPr>
        <w:t>Figure</w:t>
      </w:r>
      <w:r w:rsidRPr="00196802">
        <w:t xml:space="preserve"> </w:t>
      </w:r>
      <w:r w:rsidR="00C77D61" w:rsidRPr="00196802">
        <w:t>1:</w:t>
      </w:r>
      <w:r w:rsidRPr="00196802">
        <w:t xml:space="preserve"> ATEX zoning for weighing rooms</w:t>
      </w:r>
    </w:p>
    <w:p w14:paraId="0A5451A9" w14:textId="12D3EACD" w:rsidR="00D474B1" w:rsidRPr="00986063" w:rsidRDefault="00986063" w:rsidP="00986063">
      <w:pPr>
        <w:pStyle w:val="CETBodytext"/>
      </w:pPr>
      <w:r w:rsidRPr="00986063">
        <w:rPr>
          <w:rFonts w:eastAsia="Calibri"/>
        </w:rPr>
        <w:t>The collected data on explosion risks and zoning will form the basis for the impact study and analysis of mitigation measures.</w:t>
      </w:r>
    </w:p>
    <w:p w14:paraId="6FCD3085" w14:textId="0BF211F5" w:rsidR="008177A4" w:rsidRDefault="00986063" w:rsidP="00986063">
      <w:pPr>
        <w:pStyle w:val="CETHeading1"/>
      </w:pPr>
      <w:r w:rsidRPr="00DF30B4">
        <w:t>Explosion calculations, impact and recommendations</w:t>
      </w:r>
    </w:p>
    <w:p w14:paraId="66E384CD" w14:textId="25D84E12" w:rsidR="00986063" w:rsidRPr="00986063" w:rsidRDefault="00986063" w:rsidP="00986063">
      <w:pPr>
        <w:pStyle w:val="CETBodytext"/>
      </w:pPr>
      <w:r w:rsidRPr="0017146C">
        <w:t>This section focuses on evaluating the consequences of a dust explosion in the three selected zones, followed by recommendations for equipment and materials based on the disaster's scale.</w:t>
      </w:r>
    </w:p>
    <w:p w14:paraId="416A8D81" w14:textId="3021F5EE" w:rsidR="00986063" w:rsidRDefault="00986063" w:rsidP="00986063">
      <w:pPr>
        <w:pStyle w:val="CETheadingx"/>
      </w:pPr>
      <w:r w:rsidRPr="00DF30B4">
        <w:t xml:space="preserve">Calculating the power and </w:t>
      </w:r>
      <w:r w:rsidRPr="009E6B49">
        <w:t>effects</w:t>
      </w:r>
      <w:r w:rsidRPr="00DF30B4">
        <w:t xml:space="preserve"> of the explosion</w:t>
      </w:r>
    </w:p>
    <w:p w14:paraId="3B78D38C" w14:textId="57D188D4" w:rsidR="00136E9D" w:rsidRDefault="00136E9D" w:rsidP="00136E9D">
      <w:pPr>
        <w:pStyle w:val="CETBodytext"/>
      </w:pPr>
      <w:r w:rsidRPr="00136E9D">
        <w:rPr>
          <w:lang w:val="en-GB"/>
        </w:rPr>
        <w:t>The KINSELLA method determines the severity index based on three parameters, including ignition energy: High for primary ex</w:t>
      </w:r>
      <w:r>
        <w:rPr>
          <w:lang w:val="en-GB"/>
        </w:rPr>
        <w:t>plosions or condensed explosive</w:t>
      </w:r>
      <w:r w:rsidRPr="00136E9D">
        <w:rPr>
          <w:lang w:val="en-GB"/>
        </w:rPr>
        <w:t>, and Low for common ignition sources (hot surfaces, sparks).</w:t>
      </w:r>
    </w:p>
    <w:p w14:paraId="21E466CE" w14:textId="40760DC8" w:rsidR="00986063" w:rsidRPr="00986063" w:rsidRDefault="00986063" w:rsidP="00986063">
      <w:pPr>
        <w:pStyle w:val="CETBodytext"/>
      </w:pPr>
      <w:r w:rsidRPr="00EE32C7">
        <w:rPr>
          <w:rFonts w:eastAsia="Calibri"/>
        </w:rPr>
        <w:t>The degree of containment is classified as: 1. Existing (open environment) and 2. Non-existent (closed environment).</w:t>
      </w:r>
    </w:p>
    <w:p w14:paraId="6F92C228" w14:textId="77777777" w:rsidR="00986063" w:rsidRDefault="00986063" w:rsidP="00986063">
      <w:pPr>
        <w:pStyle w:val="CETTabletitle"/>
      </w:pPr>
      <w:r w:rsidRPr="006B65C7">
        <w:t>Table 3: Kinsella grill</w:t>
      </w:r>
    </w:p>
    <w:tbl>
      <w:tblPr>
        <w:tblStyle w:val="Grilledutableau"/>
        <w:tblW w:w="6912" w:type="dxa"/>
        <w:tblBorders>
          <w:top w:val="single" w:sz="12" w:space="0" w:color="008000"/>
          <w:left w:val="none" w:sz="0" w:space="0" w:color="auto"/>
          <w:bottom w:val="single" w:sz="12" w:space="0" w:color="008000"/>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851"/>
        <w:gridCol w:w="850"/>
        <w:gridCol w:w="993"/>
        <w:gridCol w:w="708"/>
        <w:gridCol w:w="993"/>
        <w:gridCol w:w="1134"/>
        <w:gridCol w:w="708"/>
      </w:tblGrid>
      <w:tr w:rsidR="00986063" w14:paraId="0C63B96F" w14:textId="77777777" w:rsidTr="0047060A">
        <w:tc>
          <w:tcPr>
            <w:tcW w:w="1526" w:type="dxa"/>
            <w:gridSpan w:val="2"/>
            <w:tcBorders>
              <w:top w:val="single" w:sz="12" w:space="0" w:color="008000"/>
              <w:bottom w:val="single" w:sz="8" w:space="0" w:color="008000"/>
            </w:tcBorders>
          </w:tcPr>
          <w:p w14:paraId="6C2F73F0" w14:textId="77777777" w:rsidR="00986063" w:rsidRPr="00986063" w:rsidRDefault="00986063" w:rsidP="00986063">
            <w:pPr>
              <w:pStyle w:val="CETBodytext"/>
            </w:pPr>
            <w:r w:rsidRPr="00986063">
              <w:t>Ignition energy</w:t>
            </w:r>
          </w:p>
        </w:tc>
        <w:tc>
          <w:tcPr>
            <w:tcW w:w="1843" w:type="dxa"/>
            <w:gridSpan w:val="2"/>
            <w:tcBorders>
              <w:top w:val="single" w:sz="12" w:space="0" w:color="008000"/>
              <w:bottom w:val="single" w:sz="8" w:space="0" w:color="008000"/>
            </w:tcBorders>
          </w:tcPr>
          <w:p w14:paraId="737F9E51" w14:textId="77777777" w:rsidR="00986063" w:rsidRPr="00986063" w:rsidRDefault="00986063" w:rsidP="00986063">
            <w:pPr>
              <w:pStyle w:val="CETBodytext"/>
            </w:pPr>
            <w:r w:rsidRPr="00986063">
              <w:t>Space requirements</w:t>
            </w:r>
          </w:p>
        </w:tc>
        <w:tc>
          <w:tcPr>
            <w:tcW w:w="708" w:type="dxa"/>
            <w:tcBorders>
              <w:top w:val="single" w:sz="12" w:space="0" w:color="008000"/>
              <w:bottom w:val="single" w:sz="8" w:space="0" w:color="008000"/>
            </w:tcBorders>
          </w:tcPr>
          <w:p w14:paraId="01E98B6E" w14:textId="77777777" w:rsidR="00986063" w:rsidRPr="00986063" w:rsidRDefault="00986063" w:rsidP="00986063">
            <w:pPr>
              <w:pStyle w:val="CETBodytext"/>
            </w:pPr>
            <w:r w:rsidRPr="00986063">
              <w:t xml:space="preserve">                </w:t>
            </w:r>
          </w:p>
        </w:tc>
        <w:tc>
          <w:tcPr>
            <w:tcW w:w="2127" w:type="dxa"/>
            <w:gridSpan w:val="2"/>
            <w:tcBorders>
              <w:top w:val="single" w:sz="12" w:space="0" w:color="008000"/>
              <w:bottom w:val="single" w:sz="8" w:space="0" w:color="008000"/>
            </w:tcBorders>
          </w:tcPr>
          <w:p w14:paraId="7796B421" w14:textId="77777777" w:rsidR="00986063" w:rsidRPr="00986063" w:rsidRDefault="00986063" w:rsidP="00986063">
            <w:pPr>
              <w:pStyle w:val="CETBodytext"/>
            </w:pPr>
            <w:r w:rsidRPr="00986063">
              <w:t>Degree of containment</w:t>
            </w:r>
          </w:p>
        </w:tc>
        <w:tc>
          <w:tcPr>
            <w:tcW w:w="708" w:type="dxa"/>
            <w:tcBorders>
              <w:top w:val="single" w:sz="12" w:space="0" w:color="008000"/>
              <w:bottom w:val="single" w:sz="8" w:space="0" w:color="008000"/>
            </w:tcBorders>
          </w:tcPr>
          <w:p w14:paraId="6B894688" w14:textId="77777777" w:rsidR="00986063" w:rsidRPr="00986063" w:rsidRDefault="00986063" w:rsidP="00986063">
            <w:pPr>
              <w:pStyle w:val="CETBodytext"/>
            </w:pPr>
            <w:r w:rsidRPr="00986063">
              <w:t>Index</w:t>
            </w:r>
          </w:p>
        </w:tc>
      </w:tr>
      <w:tr w:rsidR="00986063" w14:paraId="7D0BCCEC" w14:textId="77777777" w:rsidTr="0047060A">
        <w:trPr>
          <w:trHeight w:val="259"/>
        </w:trPr>
        <w:tc>
          <w:tcPr>
            <w:tcW w:w="675" w:type="dxa"/>
            <w:tcBorders>
              <w:top w:val="single" w:sz="8" w:space="0" w:color="008000"/>
            </w:tcBorders>
          </w:tcPr>
          <w:p w14:paraId="68CD8BB2" w14:textId="77777777" w:rsidR="00986063" w:rsidRPr="00986063" w:rsidRDefault="00986063" w:rsidP="00986063">
            <w:pPr>
              <w:pStyle w:val="CETBodytext"/>
            </w:pPr>
            <w:r w:rsidRPr="00986063">
              <w:t>Low</w:t>
            </w:r>
          </w:p>
        </w:tc>
        <w:tc>
          <w:tcPr>
            <w:tcW w:w="851" w:type="dxa"/>
            <w:tcBorders>
              <w:top w:val="single" w:sz="8" w:space="0" w:color="008000"/>
            </w:tcBorders>
          </w:tcPr>
          <w:p w14:paraId="30752A98" w14:textId="77777777" w:rsidR="00986063" w:rsidRPr="00986063" w:rsidRDefault="00986063" w:rsidP="00986063">
            <w:pPr>
              <w:pStyle w:val="CETBodytext"/>
            </w:pPr>
            <w:r w:rsidRPr="00986063">
              <w:t>Strong</w:t>
            </w:r>
          </w:p>
        </w:tc>
        <w:tc>
          <w:tcPr>
            <w:tcW w:w="850" w:type="dxa"/>
            <w:tcBorders>
              <w:top w:val="single" w:sz="8" w:space="0" w:color="008000"/>
            </w:tcBorders>
          </w:tcPr>
          <w:p w14:paraId="19EFD785" w14:textId="77777777" w:rsidR="00986063" w:rsidRPr="00986063" w:rsidRDefault="00986063" w:rsidP="00986063">
            <w:pPr>
              <w:pStyle w:val="CETBodytext"/>
            </w:pPr>
            <w:r w:rsidRPr="00986063">
              <w:t>Strong</w:t>
            </w:r>
          </w:p>
        </w:tc>
        <w:tc>
          <w:tcPr>
            <w:tcW w:w="993" w:type="dxa"/>
            <w:tcBorders>
              <w:top w:val="single" w:sz="8" w:space="0" w:color="008000"/>
            </w:tcBorders>
          </w:tcPr>
          <w:p w14:paraId="212BDC0A" w14:textId="77777777" w:rsidR="00986063" w:rsidRPr="00986063" w:rsidRDefault="00986063" w:rsidP="00986063">
            <w:pPr>
              <w:pStyle w:val="CETBodytext"/>
            </w:pPr>
            <w:r w:rsidRPr="00986063">
              <w:t>Low</w:t>
            </w:r>
          </w:p>
        </w:tc>
        <w:tc>
          <w:tcPr>
            <w:tcW w:w="708" w:type="dxa"/>
            <w:tcBorders>
              <w:top w:val="single" w:sz="8" w:space="0" w:color="008000"/>
            </w:tcBorders>
          </w:tcPr>
          <w:p w14:paraId="2AA5337E" w14:textId="77777777" w:rsidR="00986063" w:rsidRPr="00986063" w:rsidRDefault="00986063" w:rsidP="00986063">
            <w:pPr>
              <w:pStyle w:val="CETBodytext"/>
            </w:pPr>
            <w:r w:rsidRPr="00986063">
              <w:t>None</w:t>
            </w:r>
          </w:p>
        </w:tc>
        <w:tc>
          <w:tcPr>
            <w:tcW w:w="993" w:type="dxa"/>
            <w:tcBorders>
              <w:top w:val="single" w:sz="8" w:space="0" w:color="008000"/>
            </w:tcBorders>
          </w:tcPr>
          <w:p w14:paraId="1EB523AB" w14:textId="77777777" w:rsidR="00986063" w:rsidRPr="00986063" w:rsidRDefault="00986063" w:rsidP="00986063">
            <w:pPr>
              <w:pStyle w:val="CETBodytext"/>
            </w:pPr>
            <w:r w:rsidRPr="00986063">
              <w:t>Existing</w:t>
            </w:r>
          </w:p>
        </w:tc>
        <w:tc>
          <w:tcPr>
            <w:tcW w:w="1134" w:type="dxa"/>
            <w:tcBorders>
              <w:top w:val="single" w:sz="8" w:space="0" w:color="008000"/>
            </w:tcBorders>
          </w:tcPr>
          <w:p w14:paraId="2626281F" w14:textId="77777777" w:rsidR="00986063" w:rsidRPr="00986063" w:rsidRDefault="00986063" w:rsidP="00986063">
            <w:pPr>
              <w:pStyle w:val="CETBodytext"/>
            </w:pPr>
            <w:r w:rsidRPr="00986063">
              <w:t>None</w:t>
            </w:r>
          </w:p>
        </w:tc>
        <w:tc>
          <w:tcPr>
            <w:tcW w:w="708" w:type="dxa"/>
            <w:tcBorders>
              <w:top w:val="single" w:sz="8" w:space="0" w:color="008000"/>
            </w:tcBorders>
          </w:tcPr>
          <w:p w14:paraId="20DDEE4D" w14:textId="77777777" w:rsidR="00986063" w:rsidRPr="00986063" w:rsidRDefault="00986063" w:rsidP="00986063">
            <w:pPr>
              <w:pStyle w:val="CETBodytext"/>
            </w:pPr>
          </w:p>
        </w:tc>
      </w:tr>
      <w:tr w:rsidR="00986063" w14:paraId="367DCD78" w14:textId="77777777" w:rsidTr="0047060A">
        <w:tc>
          <w:tcPr>
            <w:tcW w:w="675" w:type="dxa"/>
          </w:tcPr>
          <w:p w14:paraId="48C1687A" w14:textId="77777777" w:rsidR="00986063" w:rsidRPr="00986063" w:rsidRDefault="00986063" w:rsidP="00986063">
            <w:pPr>
              <w:pStyle w:val="CETBodytext"/>
            </w:pPr>
          </w:p>
        </w:tc>
        <w:tc>
          <w:tcPr>
            <w:tcW w:w="851" w:type="dxa"/>
          </w:tcPr>
          <w:p w14:paraId="3ED1FBFE" w14:textId="77777777" w:rsidR="00986063" w:rsidRPr="00986063" w:rsidRDefault="00986063" w:rsidP="00986063">
            <w:pPr>
              <w:pStyle w:val="CETBodytext"/>
            </w:pPr>
            <w:r w:rsidRPr="00986063">
              <w:t>*</w:t>
            </w:r>
          </w:p>
        </w:tc>
        <w:tc>
          <w:tcPr>
            <w:tcW w:w="850" w:type="dxa"/>
          </w:tcPr>
          <w:p w14:paraId="18BD19CA" w14:textId="77777777" w:rsidR="00986063" w:rsidRPr="00986063" w:rsidRDefault="00986063" w:rsidP="00986063">
            <w:pPr>
              <w:pStyle w:val="CETBodytext"/>
            </w:pPr>
            <w:r w:rsidRPr="00986063">
              <w:t>*</w:t>
            </w:r>
          </w:p>
        </w:tc>
        <w:tc>
          <w:tcPr>
            <w:tcW w:w="993" w:type="dxa"/>
          </w:tcPr>
          <w:p w14:paraId="29931E0B" w14:textId="77777777" w:rsidR="00986063" w:rsidRPr="00986063" w:rsidRDefault="00986063" w:rsidP="00986063">
            <w:pPr>
              <w:pStyle w:val="CETBodytext"/>
            </w:pPr>
          </w:p>
        </w:tc>
        <w:tc>
          <w:tcPr>
            <w:tcW w:w="708" w:type="dxa"/>
          </w:tcPr>
          <w:p w14:paraId="0BF466AA" w14:textId="77777777" w:rsidR="00986063" w:rsidRPr="00986063" w:rsidRDefault="00986063" w:rsidP="00986063">
            <w:pPr>
              <w:pStyle w:val="CETBodytext"/>
            </w:pPr>
          </w:p>
        </w:tc>
        <w:tc>
          <w:tcPr>
            <w:tcW w:w="993" w:type="dxa"/>
          </w:tcPr>
          <w:p w14:paraId="3A1332FE" w14:textId="77777777" w:rsidR="00986063" w:rsidRPr="00986063" w:rsidRDefault="00986063" w:rsidP="00986063">
            <w:pPr>
              <w:pStyle w:val="CETBodytext"/>
            </w:pPr>
            <w:r w:rsidRPr="00986063">
              <w:t>*</w:t>
            </w:r>
          </w:p>
        </w:tc>
        <w:tc>
          <w:tcPr>
            <w:tcW w:w="1134" w:type="dxa"/>
          </w:tcPr>
          <w:p w14:paraId="0D980CB3" w14:textId="77777777" w:rsidR="00986063" w:rsidRPr="00986063" w:rsidRDefault="00986063" w:rsidP="00986063">
            <w:pPr>
              <w:pStyle w:val="CETBodytext"/>
            </w:pPr>
          </w:p>
        </w:tc>
        <w:tc>
          <w:tcPr>
            <w:tcW w:w="708" w:type="dxa"/>
          </w:tcPr>
          <w:p w14:paraId="1D2BDB03" w14:textId="77777777" w:rsidR="00986063" w:rsidRPr="00986063" w:rsidRDefault="00986063" w:rsidP="00986063">
            <w:pPr>
              <w:pStyle w:val="CETBodytext"/>
            </w:pPr>
            <w:r w:rsidRPr="00986063">
              <w:t>7-10</w:t>
            </w:r>
          </w:p>
        </w:tc>
      </w:tr>
      <w:tr w:rsidR="00986063" w14:paraId="5F2CE022" w14:textId="77777777" w:rsidTr="0047060A">
        <w:tc>
          <w:tcPr>
            <w:tcW w:w="675" w:type="dxa"/>
          </w:tcPr>
          <w:p w14:paraId="13404419" w14:textId="77777777" w:rsidR="00986063" w:rsidRPr="00986063" w:rsidRDefault="00986063" w:rsidP="00986063">
            <w:pPr>
              <w:pStyle w:val="CETBodytext"/>
            </w:pPr>
          </w:p>
        </w:tc>
        <w:tc>
          <w:tcPr>
            <w:tcW w:w="851" w:type="dxa"/>
          </w:tcPr>
          <w:p w14:paraId="23811BD8" w14:textId="77777777" w:rsidR="00986063" w:rsidRPr="00986063" w:rsidRDefault="00986063" w:rsidP="00986063">
            <w:pPr>
              <w:pStyle w:val="CETBodytext"/>
            </w:pPr>
            <w:r w:rsidRPr="00986063">
              <w:t>*</w:t>
            </w:r>
          </w:p>
        </w:tc>
        <w:tc>
          <w:tcPr>
            <w:tcW w:w="850" w:type="dxa"/>
          </w:tcPr>
          <w:p w14:paraId="2B16001E" w14:textId="77777777" w:rsidR="00986063" w:rsidRPr="00986063" w:rsidRDefault="00986063" w:rsidP="00986063">
            <w:pPr>
              <w:pStyle w:val="CETBodytext"/>
            </w:pPr>
            <w:r w:rsidRPr="00986063">
              <w:t>*</w:t>
            </w:r>
          </w:p>
        </w:tc>
        <w:tc>
          <w:tcPr>
            <w:tcW w:w="993" w:type="dxa"/>
          </w:tcPr>
          <w:p w14:paraId="060F3FCA" w14:textId="77777777" w:rsidR="00986063" w:rsidRPr="00986063" w:rsidRDefault="00986063" w:rsidP="00986063">
            <w:pPr>
              <w:pStyle w:val="CETBodytext"/>
            </w:pPr>
          </w:p>
        </w:tc>
        <w:tc>
          <w:tcPr>
            <w:tcW w:w="708" w:type="dxa"/>
          </w:tcPr>
          <w:p w14:paraId="120EE767" w14:textId="77777777" w:rsidR="00986063" w:rsidRPr="00986063" w:rsidRDefault="00986063" w:rsidP="00986063">
            <w:pPr>
              <w:pStyle w:val="CETBodytext"/>
            </w:pPr>
          </w:p>
        </w:tc>
        <w:tc>
          <w:tcPr>
            <w:tcW w:w="993" w:type="dxa"/>
          </w:tcPr>
          <w:p w14:paraId="60D004AD" w14:textId="77777777" w:rsidR="00986063" w:rsidRPr="00986063" w:rsidRDefault="00986063" w:rsidP="00986063">
            <w:pPr>
              <w:pStyle w:val="CETBodytext"/>
            </w:pPr>
          </w:p>
        </w:tc>
        <w:tc>
          <w:tcPr>
            <w:tcW w:w="1134" w:type="dxa"/>
          </w:tcPr>
          <w:p w14:paraId="27504BC6" w14:textId="77777777" w:rsidR="00986063" w:rsidRPr="00986063" w:rsidRDefault="00986063" w:rsidP="00986063">
            <w:pPr>
              <w:pStyle w:val="CETBodytext"/>
            </w:pPr>
            <w:r w:rsidRPr="00986063">
              <w:t>*</w:t>
            </w:r>
          </w:p>
        </w:tc>
        <w:tc>
          <w:tcPr>
            <w:tcW w:w="708" w:type="dxa"/>
          </w:tcPr>
          <w:p w14:paraId="4E77A61F" w14:textId="77777777" w:rsidR="00986063" w:rsidRPr="00986063" w:rsidRDefault="00986063" w:rsidP="00986063">
            <w:pPr>
              <w:pStyle w:val="CETBodytext"/>
            </w:pPr>
            <w:r w:rsidRPr="00986063">
              <w:t>7-10</w:t>
            </w:r>
          </w:p>
        </w:tc>
      </w:tr>
      <w:tr w:rsidR="00986063" w14:paraId="4278CB20" w14:textId="77777777" w:rsidTr="0047060A">
        <w:tc>
          <w:tcPr>
            <w:tcW w:w="675" w:type="dxa"/>
          </w:tcPr>
          <w:p w14:paraId="579F4F44" w14:textId="77777777" w:rsidR="00986063" w:rsidRPr="00986063" w:rsidRDefault="00986063" w:rsidP="00986063">
            <w:pPr>
              <w:pStyle w:val="CETBodytext"/>
            </w:pPr>
            <w:r w:rsidRPr="00986063">
              <w:t>*</w:t>
            </w:r>
          </w:p>
        </w:tc>
        <w:tc>
          <w:tcPr>
            <w:tcW w:w="851" w:type="dxa"/>
          </w:tcPr>
          <w:p w14:paraId="15B0D885" w14:textId="77777777" w:rsidR="00986063" w:rsidRPr="00986063" w:rsidRDefault="00986063" w:rsidP="00986063">
            <w:pPr>
              <w:pStyle w:val="CETBodytext"/>
            </w:pPr>
          </w:p>
        </w:tc>
        <w:tc>
          <w:tcPr>
            <w:tcW w:w="850" w:type="dxa"/>
          </w:tcPr>
          <w:p w14:paraId="3C6F209C" w14:textId="77777777" w:rsidR="00986063" w:rsidRPr="00986063" w:rsidRDefault="00986063" w:rsidP="00986063">
            <w:pPr>
              <w:pStyle w:val="CETBodytext"/>
            </w:pPr>
            <w:r w:rsidRPr="00986063">
              <w:t>*</w:t>
            </w:r>
          </w:p>
        </w:tc>
        <w:tc>
          <w:tcPr>
            <w:tcW w:w="993" w:type="dxa"/>
          </w:tcPr>
          <w:p w14:paraId="0E42E6A7" w14:textId="77777777" w:rsidR="00986063" w:rsidRPr="00986063" w:rsidRDefault="00986063" w:rsidP="00986063">
            <w:pPr>
              <w:pStyle w:val="CETBodytext"/>
            </w:pPr>
          </w:p>
        </w:tc>
        <w:tc>
          <w:tcPr>
            <w:tcW w:w="708" w:type="dxa"/>
          </w:tcPr>
          <w:p w14:paraId="37975050" w14:textId="77777777" w:rsidR="00986063" w:rsidRPr="00986063" w:rsidRDefault="00986063" w:rsidP="00986063">
            <w:pPr>
              <w:pStyle w:val="CETBodytext"/>
            </w:pPr>
          </w:p>
        </w:tc>
        <w:tc>
          <w:tcPr>
            <w:tcW w:w="993" w:type="dxa"/>
          </w:tcPr>
          <w:p w14:paraId="42F0D704" w14:textId="77777777" w:rsidR="00986063" w:rsidRPr="00986063" w:rsidRDefault="00986063" w:rsidP="00986063">
            <w:pPr>
              <w:pStyle w:val="CETBodytext"/>
            </w:pPr>
            <w:r w:rsidRPr="00986063">
              <w:t>*</w:t>
            </w:r>
          </w:p>
        </w:tc>
        <w:tc>
          <w:tcPr>
            <w:tcW w:w="1134" w:type="dxa"/>
          </w:tcPr>
          <w:p w14:paraId="2C759902" w14:textId="77777777" w:rsidR="00986063" w:rsidRPr="00986063" w:rsidRDefault="00986063" w:rsidP="00986063">
            <w:pPr>
              <w:pStyle w:val="CETBodytext"/>
            </w:pPr>
          </w:p>
        </w:tc>
        <w:tc>
          <w:tcPr>
            <w:tcW w:w="708" w:type="dxa"/>
          </w:tcPr>
          <w:p w14:paraId="367BB26D" w14:textId="77777777" w:rsidR="00986063" w:rsidRPr="00986063" w:rsidRDefault="00986063" w:rsidP="00986063">
            <w:pPr>
              <w:pStyle w:val="CETBodytext"/>
            </w:pPr>
            <w:r w:rsidRPr="00986063">
              <w:t>5-7</w:t>
            </w:r>
          </w:p>
        </w:tc>
      </w:tr>
      <w:tr w:rsidR="00986063" w14:paraId="0259C1C4" w14:textId="77777777" w:rsidTr="0047060A">
        <w:tc>
          <w:tcPr>
            <w:tcW w:w="675" w:type="dxa"/>
          </w:tcPr>
          <w:p w14:paraId="2F156810" w14:textId="77777777" w:rsidR="00986063" w:rsidRPr="00986063" w:rsidRDefault="00986063" w:rsidP="00986063">
            <w:pPr>
              <w:pStyle w:val="CETBodytext"/>
            </w:pPr>
          </w:p>
        </w:tc>
        <w:tc>
          <w:tcPr>
            <w:tcW w:w="851" w:type="dxa"/>
          </w:tcPr>
          <w:p w14:paraId="6345F4B1" w14:textId="77777777" w:rsidR="00986063" w:rsidRPr="00986063" w:rsidRDefault="00986063" w:rsidP="00986063">
            <w:pPr>
              <w:pStyle w:val="CETBodytext"/>
            </w:pPr>
            <w:r w:rsidRPr="00986063">
              <w:t>*</w:t>
            </w:r>
          </w:p>
        </w:tc>
        <w:tc>
          <w:tcPr>
            <w:tcW w:w="850" w:type="dxa"/>
          </w:tcPr>
          <w:p w14:paraId="0DC92410" w14:textId="77777777" w:rsidR="00986063" w:rsidRPr="00986063" w:rsidRDefault="00986063" w:rsidP="00986063">
            <w:pPr>
              <w:pStyle w:val="CETBodytext"/>
            </w:pPr>
          </w:p>
        </w:tc>
        <w:tc>
          <w:tcPr>
            <w:tcW w:w="993" w:type="dxa"/>
          </w:tcPr>
          <w:p w14:paraId="787933A7" w14:textId="77777777" w:rsidR="00986063" w:rsidRPr="00986063" w:rsidRDefault="00986063" w:rsidP="00986063">
            <w:pPr>
              <w:pStyle w:val="CETBodytext"/>
            </w:pPr>
            <w:r w:rsidRPr="00986063">
              <w:t>*</w:t>
            </w:r>
          </w:p>
        </w:tc>
        <w:tc>
          <w:tcPr>
            <w:tcW w:w="708" w:type="dxa"/>
          </w:tcPr>
          <w:p w14:paraId="5CBF968F" w14:textId="77777777" w:rsidR="00986063" w:rsidRPr="00986063" w:rsidRDefault="00986063" w:rsidP="00986063">
            <w:pPr>
              <w:pStyle w:val="CETBodytext"/>
            </w:pPr>
          </w:p>
        </w:tc>
        <w:tc>
          <w:tcPr>
            <w:tcW w:w="993" w:type="dxa"/>
          </w:tcPr>
          <w:p w14:paraId="3CFFE6C2" w14:textId="77777777" w:rsidR="00986063" w:rsidRPr="00986063" w:rsidRDefault="00986063" w:rsidP="00986063">
            <w:pPr>
              <w:pStyle w:val="CETBodytext"/>
            </w:pPr>
            <w:r w:rsidRPr="00986063">
              <w:t>*</w:t>
            </w:r>
          </w:p>
        </w:tc>
        <w:tc>
          <w:tcPr>
            <w:tcW w:w="1134" w:type="dxa"/>
          </w:tcPr>
          <w:p w14:paraId="40446F27" w14:textId="77777777" w:rsidR="00986063" w:rsidRPr="00986063" w:rsidRDefault="00986063" w:rsidP="00986063">
            <w:pPr>
              <w:pStyle w:val="CETBodytext"/>
            </w:pPr>
          </w:p>
        </w:tc>
        <w:tc>
          <w:tcPr>
            <w:tcW w:w="708" w:type="dxa"/>
          </w:tcPr>
          <w:p w14:paraId="1C68FA5F" w14:textId="77777777" w:rsidR="00986063" w:rsidRPr="00986063" w:rsidRDefault="00986063" w:rsidP="00986063">
            <w:pPr>
              <w:pStyle w:val="CETBodytext"/>
            </w:pPr>
            <w:r w:rsidRPr="00986063">
              <w:t>5-7</w:t>
            </w:r>
          </w:p>
        </w:tc>
      </w:tr>
      <w:tr w:rsidR="00986063" w14:paraId="6454B918" w14:textId="77777777" w:rsidTr="0047060A">
        <w:tc>
          <w:tcPr>
            <w:tcW w:w="675" w:type="dxa"/>
          </w:tcPr>
          <w:p w14:paraId="486B38F8" w14:textId="77777777" w:rsidR="00986063" w:rsidRPr="00986063" w:rsidRDefault="00986063" w:rsidP="00986063">
            <w:pPr>
              <w:pStyle w:val="CETBodytext"/>
            </w:pPr>
          </w:p>
        </w:tc>
        <w:tc>
          <w:tcPr>
            <w:tcW w:w="851" w:type="dxa"/>
          </w:tcPr>
          <w:p w14:paraId="547567D9" w14:textId="77777777" w:rsidR="00986063" w:rsidRPr="00986063" w:rsidRDefault="00986063" w:rsidP="00986063">
            <w:pPr>
              <w:pStyle w:val="CETBodytext"/>
            </w:pPr>
            <w:r w:rsidRPr="00986063">
              <w:t>*</w:t>
            </w:r>
          </w:p>
        </w:tc>
        <w:tc>
          <w:tcPr>
            <w:tcW w:w="850" w:type="dxa"/>
          </w:tcPr>
          <w:p w14:paraId="371DD3F0" w14:textId="77777777" w:rsidR="00986063" w:rsidRPr="00986063" w:rsidRDefault="00986063" w:rsidP="00986063">
            <w:pPr>
              <w:pStyle w:val="CETBodytext"/>
            </w:pPr>
          </w:p>
        </w:tc>
        <w:tc>
          <w:tcPr>
            <w:tcW w:w="993" w:type="dxa"/>
          </w:tcPr>
          <w:p w14:paraId="0E586B71" w14:textId="77777777" w:rsidR="00986063" w:rsidRPr="00986063" w:rsidRDefault="00986063" w:rsidP="00986063">
            <w:pPr>
              <w:pStyle w:val="CETBodytext"/>
            </w:pPr>
            <w:r w:rsidRPr="00986063">
              <w:t>*</w:t>
            </w:r>
          </w:p>
        </w:tc>
        <w:tc>
          <w:tcPr>
            <w:tcW w:w="708" w:type="dxa"/>
          </w:tcPr>
          <w:p w14:paraId="711E8BF0" w14:textId="77777777" w:rsidR="00986063" w:rsidRPr="00986063" w:rsidRDefault="00986063" w:rsidP="00986063">
            <w:pPr>
              <w:pStyle w:val="CETBodytext"/>
            </w:pPr>
          </w:p>
        </w:tc>
        <w:tc>
          <w:tcPr>
            <w:tcW w:w="993" w:type="dxa"/>
          </w:tcPr>
          <w:p w14:paraId="3BEB77BD" w14:textId="77777777" w:rsidR="00986063" w:rsidRPr="00986063" w:rsidRDefault="00986063" w:rsidP="00986063">
            <w:pPr>
              <w:pStyle w:val="CETBodytext"/>
            </w:pPr>
          </w:p>
        </w:tc>
        <w:tc>
          <w:tcPr>
            <w:tcW w:w="1134" w:type="dxa"/>
          </w:tcPr>
          <w:p w14:paraId="535D69BF" w14:textId="77777777" w:rsidR="00986063" w:rsidRPr="00986063" w:rsidRDefault="00986063" w:rsidP="00986063">
            <w:pPr>
              <w:pStyle w:val="CETBodytext"/>
            </w:pPr>
            <w:r w:rsidRPr="00986063">
              <w:t>*</w:t>
            </w:r>
          </w:p>
        </w:tc>
        <w:tc>
          <w:tcPr>
            <w:tcW w:w="708" w:type="dxa"/>
          </w:tcPr>
          <w:p w14:paraId="41AEA74B" w14:textId="77777777" w:rsidR="00986063" w:rsidRPr="00986063" w:rsidRDefault="00986063" w:rsidP="00986063">
            <w:pPr>
              <w:pStyle w:val="CETBodytext"/>
            </w:pPr>
            <w:r w:rsidRPr="00986063">
              <w:t>4-6</w:t>
            </w:r>
          </w:p>
        </w:tc>
      </w:tr>
      <w:tr w:rsidR="00986063" w14:paraId="03C9333E" w14:textId="77777777" w:rsidTr="0047060A">
        <w:tc>
          <w:tcPr>
            <w:tcW w:w="675" w:type="dxa"/>
          </w:tcPr>
          <w:p w14:paraId="214DA72F" w14:textId="77777777" w:rsidR="00986063" w:rsidRPr="00986063" w:rsidRDefault="00986063" w:rsidP="00986063">
            <w:pPr>
              <w:pStyle w:val="CETBodytext"/>
            </w:pPr>
          </w:p>
        </w:tc>
        <w:tc>
          <w:tcPr>
            <w:tcW w:w="851" w:type="dxa"/>
          </w:tcPr>
          <w:p w14:paraId="3B138B45" w14:textId="77777777" w:rsidR="00986063" w:rsidRPr="00986063" w:rsidRDefault="00986063" w:rsidP="00986063">
            <w:pPr>
              <w:pStyle w:val="CETBodytext"/>
            </w:pPr>
            <w:r w:rsidRPr="00986063">
              <w:t>*</w:t>
            </w:r>
          </w:p>
        </w:tc>
        <w:tc>
          <w:tcPr>
            <w:tcW w:w="850" w:type="dxa"/>
          </w:tcPr>
          <w:p w14:paraId="77D29DB2" w14:textId="77777777" w:rsidR="00986063" w:rsidRPr="00986063" w:rsidRDefault="00986063" w:rsidP="00986063">
            <w:pPr>
              <w:pStyle w:val="CETBodytext"/>
            </w:pPr>
          </w:p>
        </w:tc>
        <w:tc>
          <w:tcPr>
            <w:tcW w:w="993" w:type="dxa"/>
          </w:tcPr>
          <w:p w14:paraId="65F8A861" w14:textId="77777777" w:rsidR="00986063" w:rsidRPr="00986063" w:rsidRDefault="00986063" w:rsidP="00986063">
            <w:pPr>
              <w:pStyle w:val="CETBodytext"/>
            </w:pPr>
          </w:p>
        </w:tc>
        <w:tc>
          <w:tcPr>
            <w:tcW w:w="708" w:type="dxa"/>
          </w:tcPr>
          <w:p w14:paraId="0F606EAD" w14:textId="77777777" w:rsidR="00986063" w:rsidRPr="00986063" w:rsidRDefault="00986063" w:rsidP="00986063">
            <w:pPr>
              <w:pStyle w:val="CETBodytext"/>
            </w:pPr>
            <w:r w:rsidRPr="00986063">
              <w:t>*</w:t>
            </w:r>
          </w:p>
        </w:tc>
        <w:tc>
          <w:tcPr>
            <w:tcW w:w="993" w:type="dxa"/>
          </w:tcPr>
          <w:p w14:paraId="0182A9BC" w14:textId="77777777" w:rsidR="00986063" w:rsidRPr="00986063" w:rsidRDefault="00986063" w:rsidP="00986063">
            <w:pPr>
              <w:pStyle w:val="CETBodytext"/>
            </w:pPr>
            <w:r w:rsidRPr="00986063">
              <w:t>*</w:t>
            </w:r>
          </w:p>
        </w:tc>
        <w:tc>
          <w:tcPr>
            <w:tcW w:w="1134" w:type="dxa"/>
          </w:tcPr>
          <w:p w14:paraId="0CB63E55" w14:textId="77777777" w:rsidR="00986063" w:rsidRPr="00986063" w:rsidRDefault="00986063" w:rsidP="00986063">
            <w:pPr>
              <w:pStyle w:val="CETBodytext"/>
            </w:pPr>
          </w:p>
        </w:tc>
        <w:tc>
          <w:tcPr>
            <w:tcW w:w="708" w:type="dxa"/>
          </w:tcPr>
          <w:p w14:paraId="4681FCBA" w14:textId="77777777" w:rsidR="00986063" w:rsidRPr="00986063" w:rsidRDefault="00986063" w:rsidP="00986063">
            <w:pPr>
              <w:pStyle w:val="CETBodytext"/>
            </w:pPr>
            <w:r w:rsidRPr="00986063">
              <w:t>4-6</w:t>
            </w:r>
          </w:p>
        </w:tc>
      </w:tr>
      <w:tr w:rsidR="00986063" w14:paraId="369E3C73" w14:textId="77777777" w:rsidTr="0047060A">
        <w:tc>
          <w:tcPr>
            <w:tcW w:w="675" w:type="dxa"/>
          </w:tcPr>
          <w:p w14:paraId="58BF8E37" w14:textId="77777777" w:rsidR="00986063" w:rsidRPr="00986063" w:rsidRDefault="00986063" w:rsidP="00986063">
            <w:pPr>
              <w:pStyle w:val="CETBodytext"/>
            </w:pPr>
            <w:r w:rsidRPr="00986063">
              <w:t>*</w:t>
            </w:r>
          </w:p>
        </w:tc>
        <w:tc>
          <w:tcPr>
            <w:tcW w:w="851" w:type="dxa"/>
          </w:tcPr>
          <w:p w14:paraId="47BFB2C4" w14:textId="77777777" w:rsidR="00986063" w:rsidRPr="00986063" w:rsidRDefault="00986063" w:rsidP="00986063">
            <w:pPr>
              <w:pStyle w:val="CETBodytext"/>
            </w:pPr>
          </w:p>
        </w:tc>
        <w:tc>
          <w:tcPr>
            <w:tcW w:w="850" w:type="dxa"/>
          </w:tcPr>
          <w:p w14:paraId="2039DA6D" w14:textId="77777777" w:rsidR="00986063" w:rsidRPr="00986063" w:rsidRDefault="00986063" w:rsidP="00986063">
            <w:pPr>
              <w:pStyle w:val="CETBodytext"/>
            </w:pPr>
            <w:r w:rsidRPr="00986063">
              <w:t>*</w:t>
            </w:r>
          </w:p>
        </w:tc>
        <w:tc>
          <w:tcPr>
            <w:tcW w:w="993" w:type="dxa"/>
          </w:tcPr>
          <w:p w14:paraId="667D5D8A" w14:textId="77777777" w:rsidR="00986063" w:rsidRPr="00986063" w:rsidRDefault="00986063" w:rsidP="00986063">
            <w:pPr>
              <w:pStyle w:val="CETBodytext"/>
            </w:pPr>
          </w:p>
        </w:tc>
        <w:tc>
          <w:tcPr>
            <w:tcW w:w="708" w:type="dxa"/>
          </w:tcPr>
          <w:p w14:paraId="727A5E15" w14:textId="77777777" w:rsidR="00986063" w:rsidRPr="00986063" w:rsidRDefault="00986063" w:rsidP="00986063">
            <w:pPr>
              <w:pStyle w:val="CETBodytext"/>
            </w:pPr>
          </w:p>
        </w:tc>
        <w:tc>
          <w:tcPr>
            <w:tcW w:w="993" w:type="dxa"/>
          </w:tcPr>
          <w:p w14:paraId="5B783B7F" w14:textId="77777777" w:rsidR="00986063" w:rsidRPr="00986063" w:rsidRDefault="00986063" w:rsidP="00986063">
            <w:pPr>
              <w:pStyle w:val="CETBodytext"/>
            </w:pPr>
          </w:p>
        </w:tc>
        <w:tc>
          <w:tcPr>
            <w:tcW w:w="1134" w:type="dxa"/>
          </w:tcPr>
          <w:p w14:paraId="2E8F5852" w14:textId="77777777" w:rsidR="00986063" w:rsidRPr="00986063" w:rsidRDefault="00986063" w:rsidP="00986063">
            <w:pPr>
              <w:pStyle w:val="CETBodytext"/>
            </w:pPr>
            <w:r w:rsidRPr="00986063">
              <w:t>*</w:t>
            </w:r>
          </w:p>
        </w:tc>
        <w:tc>
          <w:tcPr>
            <w:tcW w:w="708" w:type="dxa"/>
          </w:tcPr>
          <w:p w14:paraId="4C3C0BD1" w14:textId="77777777" w:rsidR="00986063" w:rsidRPr="00986063" w:rsidRDefault="00986063" w:rsidP="00986063">
            <w:pPr>
              <w:pStyle w:val="CETBodytext"/>
            </w:pPr>
            <w:r w:rsidRPr="00986063">
              <w:t>4-5</w:t>
            </w:r>
          </w:p>
        </w:tc>
      </w:tr>
      <w:tr w:rsidR="00986063" w14:paraId="59DED6BB" w14:textId="77777777" w:rsidTr="0047060A">
        <w:tc>
          <w:tcPr>
            <w:tcW w:w="675" w:type="dxa"/>
          </w:tcPr>
          <w:p w14:paraId="6F81D45A" w14:textId="77777777" w:rsidR="00986063" w:rsidRPr="00986063" w:rsidRDefault="00986063" w:rsidP="00986063">
            <w:pPr>
              <w:pStyle w:val="CETBodytext"/>
            </w:pPr>
          </w:p>
        </w:tc>
        <w:tc>
          <w:tcPr>
            <w:tcW w:w="851" w:type="dxa"/>
          </w:tcPr>
          <w:p w14:paraId="62BC72F6" w14:textId="77777777" w:rsidR="00986063" w:rsidRPr="00986063" w:rsidRDefault="00986063" w:rsidP="00986063">
            <w:pPr>
              <w:pStyle w:val="CETBodytext"/>
            </w:pPr>
            <w:r w:rsidRPr="00986063">
              <w:t>*</w:t>
            </w:r>
          </w:p>
        </w:tc>
        <w:tc>
          <w:tcPr>
            <w:tcW w:w="850" w:type="dxa"/>
          </w:tcPr>
          <w:p w14:paraId="7293215A" w14:textId="77777777" w:rsidR="00986063" w:rsidRPr="00986063" w:rsidRDefault="00986063" w:rsidP="00986063">
            <w:pPr>
              <w:pStyle w:val="CETBodytext"/>
            </w:pPr>
          </w:p>
        </w:tc>
        <w:tc>
          <w:tcPr>
            <w:tcW w:w="993" w:type="dxa"/>
          </w:tcPr>
          <w:p w14:paraId="11737FAC" w14:textId="77777777" w:rsidR="00986063" w:rsidRPr="00986063" w:rsidRDefault="00986063" w:rsidP="00986063">
            <w:pPr>
              <w:pStyle w:val="CETBodytext"/>
            </w:pPr>
          </w:p>
        </w:tc>
        <w:tc>
          <w:tcPr>
            <w:tcW w:w="708" w:type="dxa"/>
          </w:tcPr>
          <w:p w14:paraId="16F59445" w14:textId="77777777" w:rsidR="00986063" w:rsidRPr="00986063" w:rsidRDefault="00986063" w:rsidP="00986063">
            <w:pPr>
              <w:pStyle w:val="CETBodytext"/>
            </w:pPr>
            <w:r w:rsidRPr="00986063">
              <w:t>*</w:t>
            </w:r>
          </w:p>
        </w:tc>
        <w:tc>
          <w:tcPr>
            <w:tcW w:w="993" w:type="dxa"/>
          </w:tcPr>
          <w:p w14:paraId="6645EA0A" w14:textId="77777777" w:rsidR="00986063" w:rsidRPr="00986063" w:rsidRDefault="00986063" w:rsidP="00986063">
            <w:pPr>
              <w:pStyle w:val="CETBodytext"/>
            </w:pPr>
          </w:p>
        </w:tc>
        <w:tc>
          <w:tcPr>
            <w:tcW w:w="1134" w:type="dxa"/>
          </w:tcPr>
          <w:p w14:paraId="23306CB5" w14:textId="77777777" w:rsidR="00986063" w:rsidRPr="00986063" w:rsidRDefault="00986063" w:rsidP="00986063">
            <w:pPr>
              <w:pStyle w:val="CETBodytext"/>
            </w:pPr>
            <w:r w:rsidRPr="00986063">
              <w:t>*</w:t>
            </w:r>
          </w:p>
        </w:tc>
        <w:tc>
          <w:tcPr>
            <w:tcW w:w="708" w:type="dxa"/>
          </w:tcPr>
          <w:p w14:paraId="13C724E3" w14:textId="77777777" w:rsidR="00986063" w:rsidRPr="00986063" w:rsidRDefault="00986063" w:rsidP="00986063">
            <w:pPr>
              <w:pStyle w:val="CETBodytext"/>
            </w:pPr>
            <w:r w:rsidRPr="00986063">
              <w:t>4-5</w:t>
            </w:r>
          </w:p>
        </w:tc>
      </w:tr>
      <w:tr w:rsidR="00986063" w14:paraId="65BD05CF" w14:textId="77777777" w:rsidTr="0047060A">
        <w:tc>
          <w:tcPr>
            <w:tcW w:w="675" w:type="dxa"/>
          </w:tcPr>
          <w:p w14:paraId="54E09B99" w14:textId="77777777" w:rsidR="00986063" w:rsidRPr="00986063" w:rsidRDefault="00986063" w:rsidP="00986063">
            <w:pPr>
              <w:pStyle w:val="CETBodytext"/>
            </w:pPr>
            <w:r w:rsidRPr="00986063">
              <w:t>*</w:t>
            </w:r>
          </w:p>
        </w:tc>
        <w:tc>
          <w:tcPr>
            <w:tcW w:w="851" w:type="dxa"/>
          </w:tcPr>
          <w:p w14:paraId="47BE2A5A" w14:textId="77777777" w:rsidR="00986063" w:rsidRPr="00986063" w:rsidRDefault="00986063" w:rsidP="00986063">
            <w:pPr>
              <w:pStyle w:val="CETBodytext"/>
            </w:pPr>
          </w:p>
        </w:tc>
        <w:tc>
          <w:tcPr>
            <w:tcW w:w="850" w:type="dxa"/>
          </w:tcPr>
          <w:p w14:paraId="656B9C81" w14:textId="77777777" w:rsidR="00986063" w:rsidRPr="00986063" w:rsidRDefault="00986063" w:rsidP="00986063">
            <w:pPr>
              <w:pStyle w:val="CETBodytext"/>
            </w:pPr>
          </w:p>
        </w:tc>
        <w:tc>
          <w:tcPr>
            <w:tcW w:w="993" w:type="dxa"/>
          </w:tcPr>
          <w:p w14:paraId="6C5FEA96" w14:textId="77777777" w:rsidR="00986063" w:rsidRPr="00986063" w:rsidRDefault="00986063" w:rsidP="00986063">
            <w:pPr>
              <w:pStyle w:val="CETBodytext"/>
            </w:pPr>
            <w:r w:rsidRPr="00986063">
              <w:t>*</w:t>
            </w:r>
          </w:p>
        </w:tc>
        <w:tc>
          <w:tcPr>
            <w:tcW w:w="708" w:type="dxa"/>
          </w:tcPr>
          <w:p w14:paraId="36B761A5" w14:textId="77777777" w:rsidR="00986063" w:rsidRPr="00986063" w:rsidRDefault="00986063" w:rsidP="00986063">
            <w:pPr>
              <w:pStyle w:val="CETBodytext"/>
            </w:pPr>
          </w:p>
        </w:tc>
        <w:tc>
          <w:tcPr>
            <w:tcW w:w="993" w:type="dxa"/>
          </w:tcPr>
          <w:p w14:paraId="3429D906" w14:textId="77777777" w:rsidR="00986063" w:rsidRPr="00986063" w:rsidRDefault="00986063" w:rsidP="00986063">
            <w:pPr>
              <w:pStyle w:val="CETBodytext"/>
            </w:pPr>
            <w:r w:rsidRPr="00986063">
              <w:t>*</w:t>
            </w:r>
          </w:p>
        </w:tc>
        <w:tc>
          <w:tcPr>
            <w:tcW w:w="1134" w:type="dxa"/>
          </w:tcPr>
          <w:p w14:paraId="44778C1A" w14:textId="77777777" w:rsidR="00986063" w:rsidRPr="00986063" w:rsidRDefault="00986063" w:rsidP="00986063">
            <w:pPr>
              <w:pStyle w:val="CETBodytext"/>
            </w:pPr>
          </w:p>
        </w:tc>
        <w:tc>
          <w:tcPr>
            <w:tcW w:w="708" w:type="dxa"/>
          </w:tcPr>
          <w:p w14:paraId="3946A1E1" w14:textId="77777777" w:rsidR="00986063" w:rsidRPr="00986063" w:rsidRDefault="00986063" w:rsidP="00986063">
            <w:pPr>
              <w:pStyle w:val="CETBodytext"/>
            </w:pPr>
            <w:r w:rsidRPr="00986063">
              <w:t>3-5</w:t>
            </w:r>
          </w:p>
        </w:tc>
      </w:tr>
      <w:tr w:rsidR="00986063" w14:paraId="3C00BF31" w14:textId="77777777" w:rsidTr="0047060A">
        <w:tc>
          <w:tcPr>
            <w:tcW w:w="675" w:type="dxa"/>
          </w:tcPr>
          <w:p w14:paraId="1F94C492" w14:textId="77777777" w:rsidR="00986063" w:rsidRPr="00986063" w:rsidRDefault="00986063" w:rsidP="00986063">
            <w:pPr>
              <w:pStyle w:val="CETBodytext"/>
            </w:pPr>
            <w:r w:rsidRPr="00986063">
              <w:t>*</w:t>
            </w:r>
          </w:p>
        </w:tc>
        <w:tc>
          <w:tcPr>
            <w:tcW w:w="851" w:type="dxa"/>
          </w:tcPr>
          <w:p w14:paraId="2945DDDF" w14:textId="77777777" w:rsidR="00986063" w:rsidRPr="00986063" w:rsidRDefault="00986063" w:rsidP="00986063">
            <w:pPr>
              <w:pStyle w:val="CETBodytext"/>
            </w:pPr>
          </w:p>
        </w:tc>
        <w:tc>
          <w:tcPr>
            <w:tcW w:w="850" w:type="dxa"/>
          </w:tcPr>
          <w:p w14:paraId="785D7CC4" w14:textId="77777777" w:rsidR="00986063" w:rsidRPr="00986063" w:rsidRDefault="00986063" w:rsidP="00986063">
            <w:pPr>
              <w:pStyle w:val="CETBodytext"/>
            </w:pPr>
          </w:p>
        </w:tc>
        <w:tc>
          <w:tcPr>
            <w:tcW w:w="993" w:type="dxa"/>
          </w:tcPr>
          <w:p w14:paraId="3588535B" w14:textId="77777777" w:rsidR="00986063" w:rsidRPr="00986063" w:rsidRDefault="00986063" w:rsidP="00986063">
            <w:pPr>
              <w:pStyle w:val="CETBodytext"/>
            </w:pPr>
            <w:r w:rsidRPr="00986063">
              <w:t>*</w:t>
            </w:r>
          </w:p>
        </w:tc>
        <w:tc>
          <w:tcPr>
            <w:tcW w:w="708" w:type="dxa"/>
          </w:tcPr>
          <w:p w14:paraId="49F28FF7" w14:textId="77777777" w:rsidR="00986063" w:rsidRPr="00986063" w:rsidRDefault="00986063" w:rsidP="00986063">
            <w:pPr>
              <w:pStyle w:val="CETBodytext"/>
            </w:pPr>
          </w:p>
        </w:tc>
        <w:tc>
          <w:tcPr>
            <w:tcW w:w="993" w:type="dxa"/>
          </w:tcPr>
          <w:p w14:paraId="7989E2A0" w14:textId="77777777" w:rsidR="00986063" w:rsidRPr="00986063" w:rsidRDefault="00986063" w:rsidP="00986063">
            <w:pPr>
              <w:pStyle w:val="CETBodytext"/>
            </w:pPr>
          </w:p>
        </w:tc>
        <w:tc>
          <w:tcPr>
            <w:tcW w:w="1134" w:type="dxa"/>
          </w:tcPr>
          <w:p w14:paraId="39C8038B" w14:textId="77777777" w:rsidR="00986063" w:rsidRPr="00986063" w:rsidRDefault="00986063" w:rsidP="00986063">
            <w:pPr>
              <w:pStyle w:val="CETBodytext"/>
            </w:pPr>
            <w:r w:rsidRPr="00986063">
              <w:t>*</w:t>
            </w:r>
          </w:p>
        </w:tc>
        <w:tc>
          <w:tcPr>
            <w:tcW w:w="708" w:type="dxa"/>
          </w:tcPr>
          <w:p w14:paraId="493CC93B" w14:textId="77777777" w:rsidR="00986063" w:rsidRPr="00986063" w:rsidRDefault="00986063" w:rsidP="00986063">
            <w:pPr>
              <w:pStyle w:val="CETBodytext"/>
            </w:pPr>
            <w:r w:rsidRPr="00986063">
              <w:t>2-3</w:t>
            </w:r>
          </w:p>
        </w:tc>
      </w:tr>
      <w:tr w:rsidR="00986063" w14:paraId="34AB41A2" w14:textId="77777777" w:rsidTr="0047060A">
        <w:tc>
          <w:tcPr>
            <w:tcW w:w="675" w:type="dxa"/>
          </w:tcPr>
          <w:p w14:paraId="03B37DB7" w14:textId="77777777" w:rsidR="00986063" w:rsidRPr="00986063" w:rsidRDefault="00986063" w:rsidP="00986063">
            <w:pPr>
              <w:pStyle w:val="CETBodytext"/>
            </w:pPr>
            <w:r w:rsidRPr="00986063">
              <w:t>*</w:t>
            </w:r>
          </w:p>
        </w:tc>
        <w:tc>
          <w:tcPr>
            <w:tcW w:w="851" w:type="dxa"/>
          </w:tcPr>
          <w:p w14:paraId="17EA90D4" w14:textId="77777777" w:rsidR="00986063" w:rsidRPr="00986063" w:rsidRDefault="00986063" w:rsidP="00986063">
            <w:pPr>
              <w:pStyle w:val="CETBodytext"/>
            </w:pPr>
          </w:p>
        </w:tc>
        <w:tc>
          <w:tcPr>
            <w:tcW w:w="850" w:type="dxa"/>
          </w:tcPr>
          <w:p w14:paraId="1CC2C319" w14:textId="77777777" w:rsidR="00986063" w:rsidRPr="00986063" w:rsidRDefault="00986063" w:rsidP="00986063">
            <w:pPr>
              <w:pStyle w:val="CETBodytext"/>
            </w:pPr>
          </w:p>
        </w:tc>
        <w:tc>
          <w:tcPr>
            <w:tcW w:w="993" w:type="dxa"/>
          </w:tcPr>
          <w:p w14:paraId="76C364C1" w14:textId="77777777" w:rsidR="00986063" w:rsidRPr="00986063" w:rsidRDefault="00986063" w:rsidP="00986063">
            <w:pPr>
              <w:pStyle w:val="CETBodytext"/>
            </w:pPr>
          </w:p>
        </w:tc>
        <w:tc>
          <w:tcPr>
            <w:tcW w:w="708" w:type="dxa"/>
          </w:tcPr>
          <w:p w14:paraId="40FD35AD" w14:textId="77777777" w:rsidR="00986063" w:rsidRPr="00986063" w:rsidRDefault="00986063" w:rsidP="00986063">
            <w:pPr>
              <w:pStyle w:val="CETBodytext"/>
            </w:pPr>
            <w:r w:rsidRPr="00986063">
              <w:t>*</w:t>
            </w:r>
          </w:p>
        </w:tc>
        <w:tc>
          <w:tcPr>
            <w:tcW w:w="993" w:type="dxa"/>
          </w:tcPr>
          <w:p w14:paraId="4D010789" w14:textId="77777777" w:rsidR="00986063" w:rsidRPr="00986063" w:rsidRDefault="00986063" w:rsidP="00986063">
            <w:pPr>
              <w:pStyle w:val="CETBodytext"/>
            </w:pPr>
            <w:r w:rsidRPr="00986063">
              <w:t>*</w:t>
            </w:r>
          </w:p>
        </w:tc>
        <w:tc>
          <w:tcPr>
            <w:tcW w:w="1134" w:type="dxa"/>
          </w:tcPr>
          <w:p w14:paraId="3B8AFCDE" w14:textId="77777777" w:rsidR="00986063" w:rsidRPr="00986063" w:rsidRDefault="00986063" w:rsidP="00986063">
            <w:pPr>
              <w:pStyle w:val="CETBodytext"/>
            </w:pPr>
          </w:p>
        </w:tc>
        <w:tc>
          <w:tcPr>
            <w:tcW w:w="708" w:type="dxa"/>
          </w:tcPr>
          <w:p w14:paraId="5E13B247" w14:textId="77777777" w:rsidR="00986063" w:rsidRPr="00986063" w:rsidRDefault="00986063" w:rsidP="00986063">
            <w:pPr>
              <w:pStyle w:val="CETBodytext"/>
            </w:pPr>
            <w:r w:rsidRPr="00986063">
              <w:t>1-2</w:t>
            </w:r>
          </w:p>
        </w:tc>
      </w:tr>
      <w:tr w:rsidR="00986063" w14:paraId="22E95806" w14:textId="77777777" w:rsidTr="0047060A">
        <w:tc>
          <w:tcPr>
            <w:tcW w:w="675" w:type="dxa"/>
          </w:tcPr>
          <w:p w14:paraId="2901B6A6" w14:textId="77777777" w:rsidR="00986063" w:rsidRPr="00986063" w:rsidRDefault="00986063" w:rsidP="00986063">
            <w:pPr>
              <w:pStyle w:val="CETBodytext"/>
            </w:pPr>
            <w:r w:rsidRPr="00986063">
              <w:t>*</w:t>
            </w:r>
          </w:p>
        </w:tc>
        <w:tc>
          <w:tcPr>
            <w:tcW w:w="851" w:type="dxa"/>
          </w:tcPr>
          <w:p w14:paraId="41C8CD21" w14:textId="77777777" w:rsidR="00986063" w:rsidRPr="00986063" w:rsidRDefault="00986063" w:rsidP="00986063">
            <w:pPr>
              <w:pStyle w:val="CETBodytext"/>
            </w:pPr>
          </w:p>
        </w:tc>
        <w:tc>
          <w:tcPr>
            <w:tcW w:w="850" w:type="dxa"/>
          </w:tcPr>
          <w:p w14:paraId="4F724820" w14:textId="77777777" w:rsidR="00986063" w:rsidRPr="00986063" w:rsidRDefault="00986063" w:rsidP="00986063">
            <w:pPr>
              <w:pStyle w:val="CETBodytext"/>
            </w:pPr>
          </w:p>
        </w:tc>
        <w:tc>
          <w:tcPr>
            <w:tcW w:w="993" w:type="dxa"/>
          </w:tcPr>
          <w:p w14:paraId="6E45C4FF" w14:textId="77777777" w:rsidR="00986063" w:rsidRPr="00986063" w:rsidRDefault="00986063" w:rsidP="00986063">
            <w:pPr>
              <w:pStyle w:val="CETBodytext"/>
            </w:pPr>
          </w:p>
        </w:tc>
        <w:tc>
          <w:tcPr>
            <w:tcW w:w="708" w:type="dxa"/>
          </w:tcPr>
          <w:p w14:paraId="05A34E85" w14:textId="77777777" w:rsidR="00986063" w:rsidRPr="00986063" w:rsidRDefault="00986063" w:rsidP="00986063">
            <w:pPr>
              <w:pStyle w:val="CETBodytext"/>
            </w:pPr>
            <w:r w:rsidRPr="00986063">
              <w:t>*</w:t>
            </w:r>
          </w:p>
        </w:tc>
        <w:tc>
          <w:tcPr>
            <w:tcW w:w="993" w:type="dxa"/>
          </w:tcPr>
          <w:p w14:paraId="6507FCBC" w14:textId="77777777" w:rsidR="00986063" w:rsidRPr="00986063" w:rsidRDefault="00986063" w:rsidP="00986063">
            <w:pPr>
              <w:pStyle w:val="CETBodytext"/>
            </w:pPr>
          </w:p>
        </w:tc>
        <w:tc>
          <w:tcPr>
            <w:tcW w:w="1134" w:type="dxa"/>
          </w:tcPr>
          <w:p w14:paraId="7E77AFE1" w14:textId="77777777" w:rsidR="00986063" w:rsidRPr="00986063" w:rsidRDefault="00986063" w:rsidP="00986063">
            <w:pPr>
              <w:pStyle w:val="CETBodytext"/>
            </w:pPr>
            <w:r w:rsidRPr="00986063">
              <w:t>*</w:t>
            </w:r>
          </w:p>
        </w:tc>
        <w:tc>
          <w:tcPr>
            <w:tcW w:w="708" w:type="dxa"/>
          </w:tcPr>
          <w:p w14:paraId="50A3470B" w14:textId="77777777" w:rsidR="00986063" w:rsidRPr="00986063" w:rsidRDefault="00986063" w:rsidP="00986063">
            <w:pPr>
              <w:pStyle w:val="CETBodytext"/>
            </w:pPr>
            <w:r w:rsidRPr="00986063">
              <w:t>1</w:t>
            </w:r>
          </w:p>
        </w:tc>
      </w:tr>
    </w:tbl>
    <w:p w14:paraId="6CE2AEA6" w14:textId="4F55D928" w:rsidR="00986063" w:rsidRPr="004B2AD0" w:rsidRDefault="00986063" w:rsidP="00BD1F6A">
      <w:pPr>
        <w:pStyle w:val="CETBodytext"/>
      </w:pPr>
      <w:r w:rsidRPr="00EE32C7">
        <w:t>The severity index is 7 in the weighing room, with the higher index being selected in both cases.</w:t>
      </w:r>
    </w:p>
    <w:p w14:paraId="420C058B" w14:textId="4BE46044" w:rsidR="00986063" w:rsidRDefault="00986063" w:rsidP="00BD1F6A">
      <w:pPr>
        <w:pStyle w:val="CETBodytext"/>
      </w:pPr>
      <w:r w:rsidRPr="004B2AD0">
        <w:t>D</w:t>
      </w:r>
      <w:r w:rsidR="00BD1F6A">
        <w:t xml:space="preserve">etermining the energy released: </w:t>
      </w:r>
      <w:r w:rsidRPr="004B2AD0">
        <w:t xml:space="preserve">The energy released by an explosion is calculated using the simplified </w:t>
      </w:r>
      <w:proofErr w:type="spellStart"/>
      <w:r w:rsidRPr="004B2AD0">
        <w:t>Brode</w:t>
      </w:r>
      <w:proofErr w:type="spellEnd"/>
      <w:r w:rsidRPr="004B2AD0">
        <w:t xml:space="preserve"> method</w:t>
      </w:r>
      <w:r w:rsidR="00EE32C7">
        <w:t>:</w:t>
      </w:r>
    </w:p>
    <w:tbl>
      <w:tblPr>
        <w:tblW w:w="5000" w:type="pct"/>
        <w:tblLook w:val="04A0" w:firstRow="1" w:lastRow="0" w:firstColumn="1" w:lastColumn="0" w:noHBand="0" w:noVBand="1"/>
      </w:tblPr>
      <w:tblGrid>
        <w:gridCol w:w="8188"/>
        <w:gridCol w:w="815"/>
      </w:tblGrid>
      <w:tr w:rsidR="00E54AD9" w:rsidRPr="00B57B36" w14:paraId="15E0C354" w14:textId="77777777" w:rsidTr="0047060A">
        <w:tc>
          <w:tcPr>
            <w:tcW w:w="8188" w:type="dxa"/>
            <w:shd w:val="clear" w:color="auto" w:fill="auto"/>
            <w:vAlign w:val="center"/>
          </w:tcPr>
          <w:p w14:paraId="6FC1BE8E" w14:textId="4741C442" w:rsidR="00E54AD9" w:rsidRPr="00E54AD9" w:rsidRDefault="00E54AD9" w:rsidP="00E54AD9">
            <w:pPr>
              <w:pStyle w:val="CETEquation"/>
            </w:pPr>
            <m:oMathPara>
              <m:oMathParaPr>
                <m:jc m:val="left"/>
              </m:oMathParaPr>
              <m:oMath>
                <m:r>
                  <w:rPr>
                    <w:rFonts w:ascii="Cambria Math" w:hAnsi="Cambria Math"/>
                  </w:rPr>
                  <m:t>E=3.</m:t>
                </m:r>
                <m:sSub>
                  <m:sSubPr>
                    <m:ctrlPr>
                      <w:rPr>
                        <w:rFonts w:ascii="Cambria Math" w:hAnsi="Cambria Math"/>
                        <w:i/>
                      </w:rPr>
                    </m:ctrlPr>
                  </m:sSubPr>
                  <m:e>
                    <m:r>
                      <w:rPr>
                        <w:rFonts w:ascii="Cambria Math" w:hAnsi="Cambria Math"/>
                      </w:rPr>
                      <m:t>P</m:t>
                    </m:r>
                  </m:e>
                  <m:sub>
                    <m:r>
                      <w:rPr>
                        <w:rFonts w:ascii="Cambria Math" w:hAnsi="Cambria Math"/>
                      </w:rPr>
                      <m:t>s</m:t>
                    </m:r>
                  </m:sub>
                </m:sSub>
                <m:r>
                  <w:rPr>
                    <w:rFonts w:ascii="Cambria Math" w:hAnsi="Cambria Math"/>
                  </w:rPr>
                  <m:t>.V</m:t>
                </m:r>
              </m:oMath>
            </m:oMathPara>
          </w:p>
        </w:tc>
        <w:tc>
          <w:tcPr>
            <w:tcW w:w="815" w:type="dxa"/>
            <w:shd w:val="clear" w:color="auto" w:fill="auto"/>
            <w:vAlign w:val="center"/>
          </w:tcPr>
          <w:p w14:paraId="76B8429F" w14:textId="4885C154" w:rsidR="00E54AD9" w:rsidRPr="00B57B36" w:rsidRDefault="00E54AD9" w:rsidP="00E54AD9">
            <w:pPr>
              <w:pStyle w:val="CETEquation"/>
              <w:jc w:val="right"/>
            </w:pPr>
            <w:r w:rsidRPr="00B57B36">
              <w:t>(</w:t>
            </w:r>
            <w:r>
              <w:t>3</w:t>
            </w:r>
            <w:r w:rsidRPr="00B57B36">
              <w:t>)</w:t>
            </w:r>
          </w:p>
        </w:tc>
      </w:tr>
    </w:tbl>
    <w:p w14:paraId="6A53CE8B" w14:textId="39745347" w:rsidR="00986063" w:rsidRPr="00EE32C7" w:rsidRDefault="00986063" w:rsidP="00C54E2C">
      <w:pPr>
        <w:pStyle w:val="CETEquation"/>
        <w:jc w:val="both"/>
      </w:pPr>
      <w:r w:rsidRPr="00EE32C7">
        <w:t>Such as: E: Energy released by the explosion (J)</w:t>
      </w:r>
      <w:r w:rsidR="00C54E2C" w:rsidRPr="00EE32C7">
        <w:t>, P</w:t>
      </w:r>
      <w:r w:rsidR="00C54E2C" w:rsidRPr="00EE32C7">
        <w:rPr>
          <w:vertAlign w:val="subscript"/>
        </w:rPr>
        <w:t>S</w:t>
      </w:r>
      <w:r w:rsidRPr="00EE32C7">
        <w:t>: Explosion overpressure (bar), V: Volume of the enclosure (m</w:t>
      </w:r>
      <w:r w:rsidRPr="00EE32C7">
        <w:rPr>
          <w:vertAlign w:val="superscript"/>
        </w:rPr>
        <w:t>3</w:t>
      </w:r>
      <w:r w:rsidRPr="00EE32C7">
        <w:t>).</w:t>
      </w:r>
    </w:p>
    <w:p w14:paraId="134E0046" w14:textId="77777777" w:rsidR="00EE32C7" w:rsidRDefault="00986063" w:rsidP="00C54E2C">
      <w:pPr>
        <w:pStyle w:val="CETBodytext"/>
      </w:pPr>
      <w:r w:rsidRPr="00EE32C7">
        <w:t>Knowing that: Ps= 2</w:t>
      </w:r>
      <w:r w:rsidR="00C54E2C" w:rsidRPr="00EE32C7">
        <w:t>*</w:t>
      </w:r>
      <w:proofErr w:type="spellStart"/>
      <w:r w:rsidRPr="00EE32C7">
        <w:t>P</w:t>
      </w:r>
      <w:r w:rsidRPr="00EE32C7">
        <w:rPr>
          <w:vertAlign w:val="subscript"/>
        </w:rPr>
        <w:t>rup</w:t>
      </w:r>
      <w:proofErr w:type="spellEnd"/>
      <w:r w:rsidR="00C54E2C" w:rsidRPr="00EE32C7">
        <w:t xml:space="preserve">, </w:t>
      </w:r>
    </w:p>
    <w:p w14:paraId="5E5A42FE" w14:textId="5597CAE3" w:rsidR="00986063" w:rsidRPr="00EE32C7" w:rsidRDefault="00EE32C7" w:rsidP="00C54E2C">
      <w:pPr>
        <w:pStyle w:val="CETBodytext"/>
      </w:pPr>
      <w:r w:rsidRPr="00EE32C7">
        <w:t xml:space="preserve">Where </w:t>
      </w:r>
      <w:proofErr w:type="spellStart"/>
      <w:r w:rsidRPr="00EE32C7">
        <w:t>P</w:t>
      </w:r>
      <w:r w:rsidRPr="00644C95">
        <w:rPr>
          <w:vertAlign w:val="subscript"/>
        </w:rPr>
        <w:t>rup</w:t>
      </w:r>
      <w:proofErr w:type="spellEnd"/>
      <w:r w:rsidR="00986063" w:rsidRPr="00EE32C7">
        <w:t xml:space="preserve"> </w:t>
      </w:r>
      <w:r w:rsidR="00C54E2C" w:rsidRPr="00EE32C7">
        <w:t>is</w:t>
      </w:r>
      <w:r w:rsidR="00986063" w:rsidRPr="00EE32C7">
        <w:t xml:space="preserve"> the rupture pressure of the enclosure (bar)</w:t>
      </w:r>
      <w:r w:rsidR="00C54E2C" w:rsidRPr="00EE32C7">
        <w:t>, the followin</w:t>
      </w:r>
      <w:r w:rsidR="00644C95">
        <w:t>g numerical application is made</w:t>
      </w:r>
      <w:r w:rsidR="00C54E2C" w:rsidRPr="00EE32C7">
        <w:t xml:space="preserve"> for the </w:t>
      </w:r>
      <w:r w:rsidR="00986063" w:rsidRPr="00EE32C7">
        <w:t xml:space="preserve">Weighing room: </w:t>
      </w:r>
      <w:r w:rsidRPr="00EE32C7">
        <w:t>E =</w:t>
      </w:r>
      <w:r w:rsidR="00986063" w:rsidRPr="00EE32C7">
        <w:t xml:space="preserve"> 3 *2 * 105 * </w:t>
      </w:r>
      <w:r w:rsidRPr="00EE32C7">
        <w:t>27.9 =</w:t>
      </w:r>
      <w:r w:rsidR="00986063" w:rsidRPr="00EE32C7">
        <w:t xml:space="preserve"> 16740</w:t>
      </w:r>
      <w:r w:rsidR="00C54E2C" w:rsidRPr="00EE32C7">
        <w:t>*</w:t>
      </w:r>
      <w:r w:rsidR="00986063" w:rsidRPr="00EE32C7">
        <w:t>10</w:t>
      </w:r>
      <w:r w:rsidR="00986063" w:rsidRPr="00EE32C7">
        <w:rPr>
          <w:vertAlign w:val="superscript"/>
        </w:rPr>
        <w:t>3</w:t>
      </w:r>
      <w:r w:rsidR="00986063" w:rsidRPr="00EE32C7">
        <w:t>J</w:t>
      </w:r>
      <w:r w:rsidR="00C54E2C" w:rsidRPr="00EE32C7">
        <w:t>.</w:t>
      </w:r>
    </w:p>
    <w:p w14:paraId="048FF3EC" w14:textId="19AAF0FD" w:rsidR="00986063" w:rsidRDefault="00C54E2C" w:rsidP="00E6010B">
      <w:pPr>
        <w:pStyle w:val="CETBodytext"/>
      </w:pPr>
      <w:r w:rsidRPr="00EE32C7">
        <w:t>The c</w:t>
      </w:r>
      <w:r w:rsidR="00986063" w:rsidRPr="00EE32C7">
        <w:t>alculation of excess pressure e</w:t>
      </w:r>
      <w:r w:rsidR="00986063" w:rsidRPr="00EE32C7">
        <w:rPr>
          <w:rFonts w:ascii="Cambria Math" w:hAnsi="Cambria Math" w:cs="Cambria Math"/>
        </w:rPr>
        <w:t>ﬀ</w:t>
      </w:r>
      <w:r w:rsidR="00986063" w:rsidRPr="00EE32C7">
        <w:t>ects</w:t>
      </w:r>
      <w:r w:rsidR="00E6010B" w:rsidRPr="00EE32C7">
        <w:t xml:space="preserve"> is then carried out </w:t>
      </w:r>
      <w:r w:rsidR="00986063" w:rsidRPr="00EE32C7">
        <w:t>using the 'multi-energy' method and the previously mentioned data are shown in the following table.</w:t>
      </w:r>
    </w:p>
    <w:p w14:paraId="218D52E4" w14:textId="77777777" w:rsidR="00986063" w:rsidRDefault="00986063" w:rsidP="004B2AD0">
      <w:pPr>
        <w:pStyle w:val="CETTabletitle"/>
      </w:pPr>
      <w:r w:rsidRPr="004B2AD0">
        <w:t>Table</w:t>
      </w:r>
      <w:r w:rsidRPr="003A34DD">
        <w:t xml:space="preserve"> 4: Distances from excess pressure </w:t>
      </w:r>
      <w:r w:rsidRPr="009E6B49">
        <w:t>e</w:t>
      </w:r>
      <w:r w:rsidRPr="009E6B49">
        <w:rPr>
          <w:rFonts w:ascii="Cambria Math" w:hAnsi="Cambria Math" w:cs="Cambria Math"/>
        </w:rPr>
        <w:t>ﬀ</w:t>
      </w:r>
      <w:r w:rsidRPr="009E6B49">
        <w:t>ects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851"/>
        <w:gridCol w:w="709"/>
        <w:gridCol w:w="567"/>
        <w:gridCol w:w="567"/>
        <w:gridCol w:w="710"/>
      </w:tblGrid>
      <w:tr w:rsidR="00986063" w:rsidRPr="00B57B36" w14:paraId="50B14F09" w14:textId="77777777" w:rsidTr="0047060A">
        <w:tc>
          <w:tcPr>
            <w:tcW w:w="3404" w:type="dxa"/>
            <w:gridSpan w:val="5"/>
            <w:tcBorders>
              <w:top w:val="single" w:sz="12" w:space="0" w:color="008000"/>
              <w:bottom w:val="single" w:sz="6" w:space="0" w:color="008000"/>
            </w:tcBorders>
            <w:shd w:val="clear" w:color="auto" w:fill="FFFFFF"/>
          </w:tcPr>
          <w:p w14:paraId="45B1CA79" w14:textId="77777777" w:rsidR="00986063" w:rsidRPr="004B2AD0" w:rsidRDefault="00986063" w:rsidP="004B2AD0">
            <w:pPr>
              <w:pStyle w:val="CETBodytext"/>
            </w:pPr>
            <w:r w:rsidRPr="004B2AD0">
              <w:t>weighing room</w:t>
            </w:r>
          </w:p>
        </w:tc>
      </w:tr>
      <w:tr w:rsidR="00986063" w:rsidRPr="00B57B36" w14:paraId="3D5F12BD" w14:textId="77777777" w:rsidTr="0047060A">
        <w:tc>
          <w:tcPr>
            <w:tcW w:w="851" w:type="dxa"/>
            <w:shd w:val="clear" w:color="auto" w:fill="FFFFFF"/>
          </w:tcPr>
          <w:p w14:paraId="3D31E642" w14:textId="161A9EB2" w:rsidR="00986063" w:rsidRPr="004B2AD0" w:rsidRDefault="00986063" w:rsidP="0047060A">
            <w:pPr>
              <w:pStyle w:val="CETBodytext"/>
            </w:pPr>
            <w:r w:rsidRPr="004B2AD0">
              <w:t>x</w:t>
            </w:r>
          </w:p>
        </w:tc>
        <w:tc>
          <w:tcPr>
            <w:tcW w:w="709" w:type="dxa"/>
            <w:shd w:val="clear" w:color="auto" w:fill="FFFFFF"/>
          </w:tcPr>
          <w:p w14:paraId="3E5B5196" w14:textId="77777777" w:rsidR="00986063" w:rsidRPr="004B2AD0" w:rsidRDefault="00986063" w:rsidP="0047060A">
            <w:pPr>
              <w:pStyle w:val="CETBodytext"/>
              <w:jc w:val="center"/>
            </w:pPr>
            <w:r w:rsidRPr="004B2AD0">
              <w:t>1.5</w:t>
            </w:r>
          </w:p>
        </w:tc>
        <w:tc>
          <w:tcPr>
            <w:tcW w:w="567" w:type="dxa"/>
            <w:shd w:val="clear" w:color="auto" w:fill="FFFFFF"/>
          </w:tcPr>
          <w:p w14:paraId="5055B8A4" w14:textId="77777777" w:rsidR="00986063" w:rsidRPr="004B2AD0" w:rsidRDefault="00986063" w:rsidP="0047060A">
            <w:pPr>
              <w:pStyle w:val="CETBodytext"/>
              <w:jc w:val="center"/>
            </w:pPr>
            <w:r w:rsidRPr="004B2AD0">
              <w:t>3</w:t>
            </w:r>
          </w:p>
        </w:tc>
        <w:tc>
          <w:tcPr>
            <w:tcW w:w="567" w:type="dxa"/>
            <w:shd w:val="clear" w:color="auto" w:fill="FFFFFF"/>
          </w:tcPr>
          <w:p w14:paraId="03993A8E" w14:textId="77777777" w:rsidR="00986063" w:rsidRPr="004B2AD0" w:rsidRDefault="00986063" w:rsidP="0047060A">
            <w:pPr>
              <w:pStyle w:val="CETBodytext"/>
              <w:ind w:right="-1"/>
              <w:jc w:val="center"/>
            </w:pPr>
            <w:r w:rsidRPr="004B2AD0">
              <w:t>5</w:t>
            </w:r>
          </w:p>
        </w:tc>
        <w:tc>
          <w:tcPr>
            <w:tcW w:w="710" w:type="dxa"/>
            <w:shd w:val="clear" w:color="auto" w:fill="FFFFFF"/>
          </w:tcPr>
          <w:p w14:paraId="28681E4C" w14:textId="77777777" w:rsidR="00986063" w:rsidRPr="004B2AD0" w:rsidRDefault="00986063" w:rsidP="0047060A">
            <w:pPr>
              <w:pStyle w:val="CETBodytext"/>
              <w:ind w:right="-1"/>
              <w:jc w:val="center"/>
            </w:pPr>
            <w:r w:rsidRPr="004B2AD0">
              <w:t>8</w:t>
            </w:r>
          </w:p>
        </w:tc>
      </w:tr>
      <w:tr w:rsidR="00986063" w:rsidRPr="00B57B36" w14:paraId="4E968C08" w14:textId="77777777" w:rsidTr="0047060A">
        <w:tc>
          <w:tcPr>
            <w:tcW w:w="851" w:type="dxa"/>
            <w:shd w:val="clear" w:color="auto" w:fill="FFFFFF"/>
          </w:tcPr>
          <w:p w14:paraId="035EC14B" w14:textId="77777777" w:rsidR="00986063" w:rsidRPr="004B2AD0" w:rsidRDefault="00986063" w:rsidP="004B2AD0">
            <w:pPr>
              <w:pStyle w:val="CETBodytext"/>
            </w:pPr>
            <w:r w:rsidRPr="004B2AD0">
              <w:t>r1</w:t>
            </w:r>
          </w:p>
        </w:tc>
        <w:tc>
          <w:tcPr>
            <w:tcW w:w="709" w:type="dxa"/>
            <w:shd w:val="clear" w:color="auto" w:fill="FFFFFF"/>
          </w:tcPr>
          <w:p w14:paraId="652A0B8C" w14:textId="77777777" w:rsidR="00986063" w:rsidRPr="004B2AD0" w:rsidRDefault="00986063" w:rsidP="004B2AD0">
            <w:pPr>
              <w:pStyle w:val="CETBodytext"/>
              <w:jc w:val="center"/>
            </w:pPr>
            <w:r w:rsidRPr="004B2AD0">
              <w:t>1.26</w:t>
            </w:r>
          </w:p>
        </w:tc>
        <w:tc>
          <w:tcPr>
            <w:tcW w:w="567" w:type="dxa"/>
            <w:shd w:val="clear" w:color="auto" w:fill="FFFFFF"/>
          </w:tcPr>
          <w:p w14:paraId="1909E7A2" w14:textId="77777777" w:rsidR="00986063" w:rsidRPr="004B2AD0" w:rsidRDefault="00986063" w:rsidP="004B2AD0">
            <w:pPr>
              <w:pStyle w:val="CETBodytext"/>
              <w:jc w:val="center"/>
            </w:pPr>
            <w:r w:rsidRPr="004B2AD0">
              <w:t>2.52</w:t>
            </w:r>
          </w:p>
        </w:tc>
        <w:tc>
          <w:tcPr>
            <w:tcW w:w="567" w:type="dxa"/>
            <w:shd w:val="clear" w:color="auto" w:fill="FFFFFF"/>
          </w:tcPr>
          <w:p w14:paraId="2C07E94D" w14:textId="77777777" w:rsidR="00986063" w:rsidRPr="004B2AD0" w:rsidRDefault="00986063" w:rsidP="004B2AD0">
            <w:pPr>
              <w:pStyle w:val="CETBodytext"/>
              <w:jc w:val="center"/>
            </w:pPr>
            <w:r w:rsidRPr="004B2AD0">
              <w:t>4.20</w:t>
            </w:r>
          </w:p>
        </w:tc>
        <w:tc>
          <w:tcPr>
            <w:tcW w:w="710" w:type="dxa"/>
            <w:shd w:val="clear" w:color="auto" w:fill="FFFFFF"/>
          </w:tcPr>
          <w:p w14:paraId="468DF255" w14:textId="77777777" w:rsidR="00986063" w:rsidRPr="004B2AD0" w:rsidRDefault="00986063" w:rsidP="004B2AD0">
            <w:pPr>
              <w:pStyle w:val="CETBodytext"/>
              <w:jc w:val="center"/>
            </w:pPr>
            <w:r w:rsidRPr="004B2AD0">
              <w:t>6.73</w:t>
            </w:r>
          </w:p>
        </w:tc>
      </w:tr>
      <w:tr w:rsidR="00986063" w:rsidRPr="00B57B36" w14:paraId="2205BAD0" w14:textId="77777777" w:rsidTr="0047060A">
        <w:tc>
          <w:tcPr>
            <w:tcW w:w="851" w:type="dxa"/>
            <w:shd w:val="clear" w:color="auto" w:fill="FFFFFF"/>
          </w:tcPr>
          <w:p w14:paraId="0086F0FE" w14:textId="775E88A8" w:rsidR="00986063" w:rsidRPr="004B2AD0" w:rsidRDefault="00986063" w:rsidP="003429F5">
            <w:pPr>
              <w:pStyle w:val="CETBodytext"/>
            </w:pPr>
            <w:r w:rsidRPr="004B2AD0">
              <w:t>Ps</w:t>
            </w:r>
            <w:r w:rsidR="003429F5">
              <w:t>’</w:t>
            </w:r>
          </w:p>
        </w:tc>
        <w:tc>
          <w:tcPr>
            <w:tcW w:w="709" w:type="dxa"/>
            <w:shd w:val="clear" w:color="auto" w:fill="FFFFFF"/>
          </w:tcPr>
          <w:p w14:paraId="53D7EAD5" w14:textId="77777777" w:rsidR="00986063" w:rsidRPr="004B2AD0" w:rsidRDefault="00986063" w:rsidP="004B2AD0">
            <w:pPr>
              <w:pStyle w:val="CETBodytext"/>
              <w:jc w:val="center"/>
            </w:pPr>
            <w:r w:rsidRPr="004B2AD0">
              <w:t>0.35</w:t>
            </w:r>
          </w:p>
        </w:tc>
        <w:tc>
          <w:tcPr>
            <w:tcW w:w="567" w:type="dxa"/>
            <w:shd w:val="clear" w:color="auto" w:fill="FFFFFF"/>
          </w:tcPr>
          <w:p w14:paraId="1D58CDD1" w14:textId="77777777" w:rsidR="00986063" w:rsidRPr="004B2AD0" w:rsidRDefault="00986063" w:rsidP="004B2AD0">
            <w:pPr>
              <w:pStyle w:val="CETBodytext"/>
              <w:jc w:val="center"/>
            </w:pPr>
            <w:r w:rsidRPr="004B2AD0">
              <w:t>0.15</w:t>
            </w:r>
          </w:p>
        </w:tc>
        <w:tc>
          <w:tcPr>
            <w:tcW w:w="567" w:type="dxa"/>
            <w:shd w:val="clear" w:color="auto" w:fill="FFFFFF"/>
          </w:tcPr>
          <w:p w14:paraId="72DC8119" w14:textId="77777777" w:rsidR="00986063" w:rsidRPr="004B2AD0" w:rsidRDefault="00986063" w:rsidP="004B2AD0">
            <w:pPr>
              <w:pStyle w:val="CETBodytext"/>
              <w:jc w:val="center"/>
            </w:pPr>
            <w:r w:rsidRPr="004B2AD0">
              <w:t>0.055</w:t>
            </w:r>
          </w:p>
        </w:tc>
        <w:tc>
          <w:tcPr>
            <w:tcW w:w="710" w:type="dxa"/>
            <w:shd w:val="clear" w:color="auto" w:fill="FFFFFF"/>
          </w:tcPr>
          <w:p w14:paraId="10518270" w14:textId="77777777" w:rsidR="00986063" w:rsidRPr="004B2AD0" w:rsidRDefault="00986063" w:rsidP="004B2AD0">
            <w:pPr>
              <w:pStyle w:val="CETBodytext"/>
              <w:jc w:val="center"/>
            </w:pPr>
            <w:r w:rsidRPr="004B2AD0">
              <w:t>0.03</w:t>
            </w:r>
          </w:p>
        </w:tc>
      </w:tr>
      <w:tr w:rsidR="00986063" w:rsidRPr="00B57B36" w14:paraId="0D3C7BED" w14:textId="77777777" w:rsidTr="0047060A">
        <w:tc>
          <w:tcPr>
            <w:tcW w:w="851" w:type="dxa"/>
            <w:shd w:val="clear" w:color="auto" w:fill="FFFFFF"/>
          </w:tcPr>
          <w:p w14:paraId="50DC72E9" w14:textId="77777777" w:rsidR="00986063" w:rsidRPr="004B2AD0" w:rsidRDefault="00986063" w:rsidP="004B2AD0">
            <w:pPr>
              <w:pStyle w:val="CETBodytext"/>
            </w:pPr>
            <w:r w:rsidRPr="004B2AD0">
              <w:t>tp1</w:t>
            </w:r>
          </w:p>
        </w:tc>
        <w:tc>
          <w:tcPr>
            <w:tcW w:w="709" w:type="dxa"/>
            <w:shd w:val="clear" w:color="auto" w:fill="FFFFFF"/>
          </w:tcPr>
          <w:p w14:paraId="34313B13" w14:textId="77777777" w:rsidR="00986063" w:rsidRPr="004B2AD0" w:rsidRDefault="00986063" w:rsidP="004B2AD0">
            <w:pPr>
              <w:pStyle w:val="CETBodytext"/>
              <w:jc w:val="center"/>
            </w:pPr>
            <w:r w:rsidRPr="004B2AD0">
              <w:t>350</w:t>
            </w:r>
          </w:p>
        </w:tc>
        <w:tc>
          <w:tcPr>
            <w:tcW w:w="567" w:type="dxa"/>
            <w:shd w:val="clear" w:color="auto" w:fill="FFFFFF"/>
          </w:tcPr>
          <w:p w14:paraId="5FB406FE" w14:textId="77777777" w:rsidR="00986063" w:rsidRPr="004B2AD0" w:rsidRDefault="00986063" w:rsidP="004B2AD0">
            <w:pPr>
              <w:pStyle w:val="CETBodytext"/>
              <w:jc w:val="center"/>
            </w:pPr>
            <w:r w:rsidRPr="004B2AD0">
              <w:t>150</w:t>
            </w:r>
          </w:p>
        </w:tc>
        <w:tc>
          <w:tcPr>
            <w:tcW w:w="567" w:type="dxa"/>
            <w:shd w:val="clear" w:color="auto" w:fill="FFFFFF"/>
          </w:tcPr>
          <w:p w14:paraId="187D15DE" w14:textId="77777777" w:rsidR="00986063" w:rsidRPr="004B2AD0" w:rsidRDefault="00986063" w:rsidP="004B2AD0">
            <w:pPr>
              <w:pStyle w:val="CETBodytext"/>
              <w:jc w:val="center"/>
            </w:pPr>
            <w:r w:rsidRPr="004B2AD0">
              <w:t>55</w:t>
            </w:r>
          </w:p>
        </w:tc>
        <w:tc>
          <w:tcPr>
            <w:tcW w:w="710" w:type="dxa"/>
            <w:shd w:val="clear" w:color="auto" w:fill="FFFFFF"/>
          </w:tcPr>
          <w:p w14:paraId="11BCA617" w14:textId="77777777" w:rsidR="00986063" w:rsidRPr="004B2AD0" w:rsidRDefault="00986063" w:rsidP="004B2AD0">
            <w:pPr>
              <w:pStyle w:val="CETBodytext"/>
              <w:jc w:val="center"/>
            </w:pPr>
            <w:r w:rsidRPr="004B2AD0">
              <w:t>30</w:t>
            </w:r>
          </w:p>
        </w:tc>
      </w:tr>
      <w:tr w:rsidR="00986063" w:rsidRPr="00B57B36" w14:paraId="6B4178BA" w14:textId="77777777" w:rsidTr="0047060A">
        <w:tc>
          <w:tcPr>
            <w:tcW w:w="851" w:type="dxa"/>
            <w:shd w:val="clear" w:color="auto" w:fill="FFFFFF"/>
          </w:tcPr>
          <w:p w14:paraId="646AF615" w14:textId="361C97E0" w:rsidR="00986063" w:rsidRPr="004B2AD0" w:rsidRDefault="00986063" w:rsidP="004B2AD0">
            <w:pPr>
              <w:pStyle w:val="CETBodytext"/>
            </w:pPr>
            <w:proofErr w:type="spellStart"/>
            <w:r w:rsidRPr="004B2AD0">
              <w:t>tp</w:t>
            </w:r>
            <w:proofErr w:type="spellEnd"/>
          </w:p>
        </w:tc>
        <w:tc>
          <w:tcPr>
            <w:tcW w:w="709" w:type="dxa"/>
            <w:shd w:val="clear" w:color="auto" w:fill="FFFFFF"/>
          </w:tcPr>
          <w:p w14:paraId="766F6C4D" w14:textId="77777777" w:rsidR="00986063" w:rsidRPr="004B2AD0" w:rsidRDefault="00986063" w:rsidP="004B2AD0">
            <w:pPr>
              <w:pStyle w:val="CETBodytext"/>
              <w:jc w:val="center"/>
            </w:pPr>
            <w:r w:rsidRPr="004B2AD0">
              <w:t>1.22</w:t>
            </w:r>
          </w:p>
        </w:tc>
        <w:tc>
          <w:tcPr>
            <w:tcW w:w="567" w:type="dxa"/>
            <w:shd w:val="clear" w:color="auto" w:fill="FFFFFF"/>
          </w:tcPr>
          <w:p w14:paraId="2B9ABCA9" w14:textId="77777777" w:rsidR="00986063" w:rsidRPr="004B2AD0" w:rsidRDefault="00986063" w:rsidP="004B2AD0">
            <w:pPr>
              <w:pStyle w:val="CETBodytext"/>
              <w:jc w:val="center"/>
            </w:pPr>
            <w:r w:rsidRPr="004B2AD0">
              <w:t>1.40</w:t>
            </w:r>
          </w:p>
        </w:tc>
        <w:tc>
          <w:tcPr>
            <w:tcW w:w="567" w:type="dxa"/>
            <w:shd w:val="clear" w:color="auto" w:fill="FFFFFF"/>
          </w:tcPr>
          <w:p w14:paraId="6A446E71" w14:textId="77777777" w:rsidR="00986063" w:rsidRPr="004B2AD0" w:rsidRDefault="00986063" w:rsidP="004B2AD0">
            <w:pPr>
              <w:pStyle w:val="CETBodytext"/>
              <w:jc w:val="center"/>
            </w:pPr>
            <w:r w:rsidRPr="004B2AD0">
              <w:t>1.57</w:t>
            </w:r>
          </w:p>
        </w:tc>
        <w:tc>
          <w:tcPr>
            <w:tcW w:w="710" w:type="dxa"/>
            <w:shd w:val="clear" w:color="auto" w:fill="FFFFFF"/>
          </w:tcPr>
          <w:p w14:paraId="5E4DD717" w14:textId="77777777" w:rsidR="00986063" w:rsidRPr="004B2AD0" w:rsidRDefault="00986063" w:rsidP="004B2AD0">
            <w:pPr>
              <w:pStyle w:val="CETBodytext"/>
              <w:jc w:val="center"/>
            </w:pPr>
            <w:r w:rsidRPr="004B2AD0">
              <w:t>1.75</w:t>
            </w:r>
          </w:p>
        </w:tc>
      </w:tr>
    </w:tbl>
    <w:p w14:paraId="51344BB7" w14:textId="3140CF1E" w:rsidR="003429F5" w:rsidRDefault="003429F5" w:rsidP="003429F5">
      <w:pPr>
        <w:pStyle w:val="CETBodytext"/>
      </w:pPr>
      <w:r w:rsidRPr="003429F5">
        <w:rPr>
          <w:lang w:val="en-GB"/>
        </w:rPr>
        <w:t>Where</w:t>
      </w:r>
      <w:r>
        <w:rPr>
          <w:lang w:val="en-GB"/>
        </w:rPr>
        <w:t>:</w:t>
      </w:r>
      <w:r w:rsidRPr="003429F5">
        <w:rPr>
          <w:lang w:val="en-GB"/>
        </w:rPr>
        <w:t xml:space="preserve"> r1 is the dimensionless distance, Ps' the relative overpressure</w:t>
      </w:r>
      <w:r w:rsidR="00D95B26">
        <w:rPr>
          <w:lang w:val="en-GB"/>
        </w:rPr>
        <w:t xml:space="preserve"> (bar)</w:t>
      </w:r>
      <w:r w:rsidRPr="003429F5">
        <w:rPr>
          <w:lang w:val="en-GB"/>
        </w:rPr>
        <w:t xml:space="preserve">, and </w:t>
      </w:r>
      <w:proofErr w:type="spellStart"/>
      <w:r w:rsidRPr="003429F5">
        <w:rPr>
          <w:lang w:val="en-GB"/>
        </w:rPr>
        <w:t>t</w:t>
      </w:r>
      <w:r w:rsidR="00D95B26">
        <w:rPr>
          <w:lang w:val="en-GB"/>
        </w:rPr>
        <w:t>p</w:t>
      </w:r>
      <w:proofErr w:type="spellEnd"/>
      <w:r w:rsidR="00D95B26">
        <w:rPr>
          <w:lang w:val="en-GB"/>
        </w:rPr>
        <w:t xml:space="preserve"> the explosion phase duration (s).</w:t>
      </w:r>
    </w:p>
    <w:p w14:paraId="3ED42E44" w14:textId="236CE13C" w:rsidR="0018164D" w:rsidRPr="00EE32C7" w:rsidRDefault="0018164D" w:rsidP="0018164D">
      <w:pPr>
        <w:pStyle w:val="CETBodytext"/>
      </w:pPr>
      <w:r w:rsidRPr="00EE32C7">
        <w:rPr>
          <w:lang w:val="en-GB"/>
        </w:rPr>
        <w:t>Based on the calculations, employees in the weighing room are exposed to overpressures exceeding 350 bar, while those more than 5 meters away may be affected by glass shards from the explosion.</w:t>
      </w:r>
    </w:p>
    <w:p w14:paraId="77B8C730" w14:textId="5089913A" w:rsidR="00986063" w:rsidRPr="00EE32C7" w:rsidRDefault="004B2AD0" w:rsidP="004B2AD0">
      <w:pPr>
        <w:pStyle w:val="CETheadingx"/>
      </w:pPr>
      <w:r w:rsidRPr="00EE32C7">
        <w:t>Improvement measures to be implemented</w:t>
      </w:r>
    </w:p>
    <w:p w14:paraId="7B61BE36" w14:textId="3B4F44A6" w:rsidR="00BA62A9" w:rsidRPr="00EE32C7" w:rsidRDefault="00BA62A9" w:rsidP="00BA62A9">
      <w:pPr>
        <w:pStyle w:val="CETListbullets"/>
        <w:ind w:left="0" w:firstLine="0"/>
        <w:rPr>
          <w:lang w:val="en-US"/>
        </w:rPr>
      </w:pPr>
      <w:r w:rsidRPr="00EE32C7">
        <w:rPr>
          <w:lang w:val="en-US"/>
        </w:rPr>
        <w:t>After assessing the risks, we recommend analyzing equipment in high-risk areas to prevent explosions.</w:t>
      </w:r>
      <w:r w:rsidR="00644C95">
        <w:rPr>
          <w:lang w:val="en-US"/>
        </w:rPr>
        <w:t xml:space="preserve"> </w:t>
      </w:r>
      <w:r w:rsidRPr="00EE32C7">
        <w:rPr>
          <w:lang w:val="en-US"/>
        </w:rPr>
        <w:t xml:space="preserve">When choosing equipment in these </w:t>
      </w:r>
      <w:r w:rsidR="00EE32C7" w:rsidRPr="00EE32C7">
        <w:rPr>
          <w:lang w:val="en-US"/>
        </w:rPr>
        <w:t>areas;</w:t>
      </w:r>
      <w:r w:rsidRPr="00EE32C7">
        <w:rPr>
          <w:lang w:val="en-US"/>
        </w:rPr>
        <w:t xml:space="preserve"> it is selected based on its category (electrical or non-electrical) and temperature class, while zoning is defined to classify equipment according to its explosion risk (zones 20, 21, and 22).</w:t>
      </w:r>
    </w:p>
    <w:p w14:paraId="6FCB0670" w14:textId="77777777" w:rsidR="00BA62A9" w:rsidRPr="00EE32C7" w:rsidRDefault="00BA62A9" w:rsidP="00BA62A9">
      <w:pPr>
        <w:pStyle w:val="CETListbullets"/>
        <w:ind w:left="0" w:firstLine="0"/>
        <w:rPr>
          <w:lang w:val="en-US"/>
        </w:rPr>
      </w:pPr>
      <w:r w:rsidRPr="00EE32C7">
        <w:rPr>
          <w:lang w:val="en-US"/>
        </w:rPr>
        <w:t>To protect equipment, strategies to prevent dust layer formation include sealing (IP6X) and internal overpressure systems. Additionally, annual cleaning of surfaces is recommended to eliminate potential ignition sources.</w:t>
      </w:r>
    </w:p>
    <w:p w14:paraId="5AC2FB62" w14:textId="77777777" w:rsidR="00BA62A9" w:rsidRPr="00EE32C7" w:rsidRDefault="00BA62A9" w:rsidP="00BA62A9">
      <w:pPr>
        <w:pStyle w:val="CETListbullets"/>
        <w:ind w:left="0" w:firstLine="0"/>
        <w:rPr>
          <w:lang w:val="en-US"/>
        </w:rPr>
      </w:pPr>
      <w:r w:rsidRPr="00EE32C7">
        <w:rPr>
          <w:lang w:val="en-US"/>
        </w:rPr>
        <w:t>Expected improvements focus on enhancing equipment protection by isolating ignition sources and reducing explosion severity, particularly in mixers.</w:t>
      </w:r>
    </w:p>
    <w:p w14:paraId="0532D2D2" w14:textId="77777777" w:rsidR="00BA62A9" w:rsidRPr="00EE32C7" w:rsidRDefault="00BA62A9" w:rsidP="00BA62A9">
      <w:pPr>
        <w:pStyle w:val="CETListbullets"/>
        <w:ind w:left="0" w:firstLine="0"/>
        <w:rPr>
          <w:lang w:val="en-US"/>
        </w:rPr>
      </w:pPr>
      <w:r w:rsidRPr="00EE32C7">
        <w:rPr>
          <w:lang w:val="en-US"/>
        </w:rPr>
        <w:t>Examples of protected equipment include ventilation systems, motors, and mixers, which require specific protection levels such as IP6X, while devices like lighting and ventilation systems are specially designed for explosive environments (ATEX zones).</w:t>
      </w:r>
    </w:p>
    <w:p w14:paraId="27BAFD48" w14:textId="5019BE47" w:rsidR="003429F5" w:rsidRDefault="003429F5" w:rsidP="003429F5">
      <w:pPr>
        <w:rPr>
          <w:lang w:val="en-US"/>
        </w:rPr>
      </w:pPr>
      <w:r w:rsidRPr="003429F5">
        <w:t>Protection measures for equipment in high explosion risk areas include equipment selection, sealing, internal overpressure, and safety recommendations based on INRS data.</w:t>
      </w:r>
    </w:p>
    <w:p w14:paraId="3DB915B2" w14:textId="77777777" w:rsidR="004B2AD0" w:rsidRDefault="004B2AD0" w:rsidP="004B2AD0">
      <w:pPr>
        <w:pStyle w:val="CETTabletitle"/>
      </w:pPr>
      <w:r w:rsidRPr="00675F06">
        <w:t>Table 5: Category of equipment</w:t>
      </w:r>
    </w:p>
    <w:tbl>
      <w:tblPr>
        <w:tblW w:w="893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26"/>
        <w:gridCol w:w="731"/>
        <w:gridCol w:w="1537"/>
        <w:gridCol w:w="6237"/>
      </w:tblGrid>
      <w:tr w:rsidR="004B2AD0" w:rsidRPr="004008B0" w14:paraId="37419090" w14:textId="77777777" w:rsidTr="0047060A">
        <w:tc>
          <w:tcPr>
            <w:tcW w:w="426" w:type="dxa"/>
            <w:tcBorders>
              <w:top w:val="single" w:sz="12" w:space="0" w:color="008000"/>
              <w:bottom w:val="single" w:sz="6" w:space="0" w:color="008000"/>
            </w:tcBorders>
            <w:shd w:val="clear" w:color="auto" w:fill="FFFFFF"/>
          </w:tcPr>
          <w:p w14:paraId="008211DA" w14:textId="77777777" w:rsidR="004B2AD0" w:rsidRPr="004008B0" w:rsidRDefault="004B2AD0" w:rsidP="0047060A">
            <w:pPr>
              <w:pStyle w:val="CETBodytext"/>
              <w:rPr>
                <w:rFonts w:asciiTheme="minorBidi" w:hAnsiTheme="minorBidi" w:cstheme="minorBidi"/>
                <w:szCs w:val="18"/>
                <w:lang w:val="en-GB"/>
              </w:rPr>
            </w:pPr>
            <w:r w:rsidRPr="004008B0">
              <w:rPr>
                <w:rFonts w:asciiTheme="minorBidi" w:hAnsiTheme="minorBidi" w:cstheme="minorBidi"/>
                <w:szCs w:val="18"/>
              </w:rPr>
              <w:t>Zone</w:t>
            </w:r>
          </w:p>
        </w:tc>
        <w:tc>
          <w:tcPr>
            <w:tcW w:w="731" w:type="dxa"/>
            <w:tcBorders>
              <w:top w:val="single" w:sz="12" w:space="0" w:color="008000"/>
              <w:bottom w:val="single" w:sz="6" w:space="0" w:color="008000"/>
            </w:tcBorders>
            <w:shd w:val="clear" w:color="auto" w:fill="FFFFFF"/>
          </w:tcPr>
          <w:p w14:paraId="18F396EA" w14:textId="77777777" w:rsidR="004B2AD0" w:rsidRPr="004008B0" w:rsidRDefault="004B2AD0" w:rsidP="0047060A">
            <w:pPr>
              <w:pStyle w:val="CETBodytext"/>
              <w:rPr>
                <w:rFonts w:asciiTheme="minorBidi" w:hAnsiTheme="minorBidi" w:cstheme="minorBidi"/>
                <w:szCs w:val="18"/>
                <w:lang w:val="en-GB"/>
              </w:rPr>
            </w:pPr>
            <w:r w:rsidRPr="004008B0">
              <w:rPr>
                <w:rFonts w:asciiTheme="minorBidi" w:hAnsiTheme="minorBidi" w:cstheme="minorBidi"/>
                <w:szCs w:val="18"/>
              </w:rPr>
              <w:t>Category</w:t>
            </w:r>
          </w:p>
        </w:tc>
        <w:tc>
          <w:tcPr>
            <w:tcW w:w="1537" w:type="dxa"/>
            <w:tcBorders>
              <w:top w:val="single" w:sz="12" w:space="0" w:color="008000"/>
              <w:bottom w:val="single" w:sz="6" w:space="0" w:color="008000"/>
            </w:tcBorders>
            <w:shd w:val="clear" w:color="auto" w:fill="FFFFFF"/>
          </w:tcPr>
          <w:p w14:paraId="53F143C2" w14:textId="77777777" w:rsidR="004B2AD0" w:rsidRPr="004008B0" w:rsidRDefault="004B2AD0" w:rsidP="0047060A">
            <w:pPr>
              <w:pStyle w:val="CETBodytext"/>
              <w:rPr>
                <w:rFonts w:asciiTheme="minorBidi" w:hAnsiTheme="minorBidi" w:cstheme="minorBidi"/>
                <w:szCs w:val="18"/>
                <w:lang w:val="en-GB"/>
              </w:rPr>
            </w:pPr>
            <w:r w:rsidRPr="004008B0">
              <w:rPr>
                <w:rFonts w:asciiTheme="minorBidi" w:hAnsiTheme="minorBidi" w:cstheme="minorBidi"/>
                <w:szCs w:val="18"/>
              </w:rPr>
              <w:t>Level of protection</w:t>
            </w:r>
          </w:p>
        </w:tc>
        <w:tc>
          <w:tcPr>
            <w:tcW w:w="6237" w:type="dxa"/>
            <w:tcBorders>
              <w:top w:val="single" w:sz="12" w:space="0" w:color="008000"/>
              <w:bottom w:val="single" w:sz="6" w:space="0" w:color="008000"/>
            </w:tcBorders>
            <w:shd w:val="clear" w:color="auto" w:fill="FFFFFF"/>
          </w:tcPr>
          <w:p w14:paraId="69C14A05" w14:textId="77777777" w:rsidR="004B2AD0" w:rsidRPr="004008B0" w:rsidRDefault="004B2AD0" w:rsidP="0047060A">
            <w:pPr>
              <w:pStyle w:val="CETBodytext"/>
              <w:ind w:right="-1"/>
              <w:rPr>
                <w:rFonts w:asciiTheme="minorBidi" w:hAnsiTheme="minorBidi" w:cstheme="minorBidi"/>
                <w:szCs w:val="18"/>
                <w:lang w:val="en-GB"/>
              </w:rPr>
            </w:pPr>
            <w:r>
              <w:rPr>
                <w:rFonts w:asciiTheme="minorBidi" w:hAnsiTheme="minorBidi" w:cstheme="minorBidi"/>
                <w:szCs w:val="18"/>
              </w:rPr>
              <w:t>E</w:t>
            </w:r>
            <w:r w:rsidRPr="004008B0">
              <w:rPr>
                <w:rFonts w:asciiTheme="minorBidi" w:hAnsiTheme="minorBidi" w:cstheme="minorBidi"/>
                <w:szCs w:val="18"/>
              </w:rPr>
              <w:t>quipment</w:t>
            </w:r>
          </w:p>
        </w:tc>
      </w:tr>
      <w:tr w:rsidR="004B2AD0" w:rsidRPr="004008B0" w14:paraId="376DBA6F" w14:textId="77777777" w:rsidTr="0047060A">
        <w:tc>
          <w:tcPr>
            <w:tcW w:w="426" w:type="dxa"/>
            <w:shd w:val="clear" w:color="auto" w:fill="FFFFFF"/>
          </w:tcPr>
          <w:p w14:paraId="6953A99E" w14:textId="77777777" w:rsidR="004B2AD0" w:rsidRPr="004008B0" w:rsidRDefault="004B2AD0" w:rsidP="0047060A">
            <w:pPr>
              <w:pStyle w:val="CETBodytext"/>
              <w:rPr>
                <w:rFonts w:asciiTheme="minorBidi" w:hAnsiTheme="minorBidi" w:cstheme="minorBidi"/>
                <w:szCs w:val="18"/>
                <w:lang w:val="en-GB"/>
              </w:rPr>
            </w:pPr>
            <w:r w:rsidRPr="004008B0">
              <w:rPr>
                <w:rFonts w:asciiTheme="minorBidi" w:hAnsiTheme="minorBidi" w:cstheme="minorBidi"/>
                <w:szCs w:val="18"/>
              </w:rPr>
              <w:t>20</w:t>
            </w:r>
          </w:p>
        </w:tc>
        <w:tc>
          <w:tcPr>
            <w:tcW w:w="731" w:type="dxa"/>
            <w:shd w:val="clear" w:color="auto" w:fill="FFFFFF"/>
          </w:tcPr>
          <w:p w14:paraId="499F1346" w14:textId="77777777" w:rsidR="004B2AD0" w:rsidRPr="004008B0" w:rsidRDefault="004B2AD0" w:rsidP="0047060A">
            <w:pPr>
              <w:pStyle w:val="CETBodytext"/>
              <w:rPr>
                <w:rFonts w:asciiTheme="minorBidi" w:hAnsiTheme="minorBidi" w:cstheme="minorBidi"/>
                <w:szCs w:val="18"/>
                <w:lang w:val="en-GB"/>
              </w:rPr>
            </w:pPr>
            <w:r w:rsidRPr="004008B0">
              <w:rPr>
                <w:rFonts w:asciiTheme="minorBidi" w:hAnsiTheme="minorBidi" w:cstheme="minorBidi"/>
                <w:szCs w:val="18"/>
              </w:rPr>
              <w:t>1D</w:t>
            </w:r>
          </w:p>
        </w:tc>
        <w:tc>
          <w:tcPr>
            <w:tcW w:w="1537" w:type="dxa"/>
            <w:shd w:val="clear" w:color="auto" w:fill="FFFFFF"/>
          </w:tcPr>
          <w:p w14:paraId="76B34E73" w14:textId="77777777" w:rsidR="004B2AD0" w:rsidRPr="004008B0" w:rsidRDefault="004B2AD0" w:rsidP="0047060A">
            <w:pPr>
              <w:pStyle w:val="CETBodytext"/>
              <w:rPr>
                <w:rFonts w:asciiTheme="minorBidi" w:hAnsiTheme="minorBidi" w:cstheme="minorBidi"/>
                <w:szCs w:val="18"/>
                <w:lang w:val="en-GB"/>
              </w:rPr>
            </w:pPr>
            <w:r w:rsidRPr="004008B0">
              <w:rPr>
                <w:rFonts w:asciiTheme="minorBidi" w:hAnsiTheme="minorBidi" w:cstheme="minorBidi"/>
                <w:szCs w:val="18"/>
              </w:rPr>
              <w:t>Very high</w:t>
            </w:r>
          </w:p>
        </w:tc>
        <w:tc>
          <w:tcPr>
            <w:tcW w:w="6237" w:type="dxa"/>
            <w:shd w:val="clear" w:color="auto" w:fill="FFFFFF"/>
          </w:tcPr>
          <w:p w14:paraId="57D592CD" w14:textId="36E1020E" w:rsidR="004B2AD0" w:rsidRPr="00644C95" w:rsidRDefault="004B2AD0" w:rsidP="00B73E1E">
            <w:pPr>
              <w:pStyle w:val="CETBodytext"/>
              <w:ind w:right="-1"/>
              <w:rPr>
                <w:rFonts w:asciiTheme="minorBidi" w:hAnsiTheme="minorBidi" w:cstheme="minorBidi"/>
                <w:szCs w:val="18"/>
              </w:rPr>
            </w:pPr>
            <w:r w:rsidRPr="00644C95">
              <w:rPr>
                <w:rFonts w:asciiTheme="minorBidi" w:hAnsiTheme="minorBidi" w:cstheme="minorBidi"/>
                <w:szCs w:val="18"/>
              </w:rPr>
              <w:t>Possessing two independent safety measures that remain effective even</w:t>
            </w:r>
            <w:r w:rsidR="00C77D61" w:rsidRPr="00644C95">
              <w:rPr>
                <w:rFonts w:asciiTheme="minorBidi" w:hAnsiTheme="minorBidi" w:cstheme="minorBidi"/>
                <w:szCs w:val="18"/>
              </w:rPr>
              <w:t>t</w:t>
            </w:r>
            <w:r w:rsidRPr="00644C95">
              <w:rPr>
                <w:rFonts w:asciiTheme="minorBidi" w:hAnsiTheme="minorBidi" w:cstheme="minorBidi"/>
                <w:szCs w:val="18"/>
              </w:rPr>
              <w:t xml:space="preserve"> during simultaneous independent failures.</w:t>
            </w:r>
          </w:p>
        </w:tc>
      </w:tr>
      <w:tr w:rsidR="004B2AD0" w:rsidRPr="004008B0" w14:paraId="6B957B74" w14:textId="77777777" w:rsidTr="0047060A">
        <w:tc>
          <w:tcPr>
            <w:tcW w:w="426" w:type="dxa"/>
            <w:shd w:val="clear" w:color="auto" w:fill="FFFFFF"/>
          </w:tcPr>
          <w:p w14:paraId="079606C0" w14:textId="77777777" w:rsidR="004B2AD0" w:rsidRPr="004008B0" w:rsidRDefault="004B2AD0" w:rsidP="0047060A">
            <w:pPr>
              <w:pStyle w:val="CETBodytext"/>
              <w:ind w:right="-1"/>
              <w:rPr>
                <w:rFonts w:asciiTheme="minorBidi" w:hAnsiTheme="minorBidi" w:cstheme="minorBidi"/>
                <w:szCs w:val="18"/>
                <w:lang w:val="en-GB"/>
              </w:rPr>
            </w:pPr>
            <w:r w:rsidRPr="004008B0">
              <w:rPr>
                <w:rFonts w:asciiTheme="minorBidi" w:hAnsiTheme="minorBidi" w:cstheme="minorBidi"/>
                <w:szCs w:val="18"/>
              </w:rPr>
              <w:t>21</w:t>
            </w:r>
          </w:p>
        </w:tc>
        <w:tc>
          <w:tcPr>
            <w:tcW w:w="731" w:type="dxa"/>
            <w:shd w:val="clear" w:color="auto" w:fill="FFFFFF"/>
          </w:tcPr>
          <w:p w14:paraId="218D9FBC" w14:textId="77777777" w:rsidR="004B2AD0" w:rsidRPr="004008B0" w:rsidRDefault="004B2AD0" w:rsidP="0047060A">
            <w:pPr>
              <w:pStyle w:val="CETBodytext"/>
              <w:ind w:right="-1"/>
              <w:rPr>
                <w:rFonts w:asciiTheme="minorBidi" w:hAnsiTheme="minorBidi" w:cstheme="minorBidi"/>
                <w:szCs w:val="18"/>
                <w:lang w:val="en-GB"/>
              </w:rPr>
            </w:pPr>
            <w:r w:rsidRPr="004008B0">
              <w:rPr>
                <w:rFonts w:asciiTheme="minorBidi" w:hAnsiTheme="minorBidi" w:cstheme="minorBidi"/>
                <w:szCs w:val="18"/>
              </w:rPr>
              <w:t>2D</w:t>
            </w:r>
          </w:p>
        </w:tc>
        <w:tc>
          <w:tcPr>
            <w:tcW w:w="1537" w:type="dxa"/>
            <w:shd w:val="clear" w:color="auto" w:fill="FFFFFF"/>
          </w:tcPr>
          <w:p w14:paraId="5135BAAD" w14:textId="77777777" w:rsidR="004B2AD0" w:rsidRPr="004008B0" w:rsidRDefault="004B2AD0" w:rsidP="0047060A">
            <w:pPr>
              <w:pStyle w:val="CETBodytext"/>
              <w:ind w:right="-1"/>
              <w:rPr>
                <w:rFonts w:asciiTheme="minorBidi" w:hAnsiTheme="minorBidi" w:cstheme="minorBidi"/>
                <w:szCs w:val="18"/>
                <w:lang w:val="en-GB"/>
              </w:rPr>
            </w:pPr>
            <w:r w:rsidRPr="004008B0">
              <w:rPr>
                <w:rFonts w:asciiTheme="minorBidi" w:hAnsiTheme="minorBidi" w:cstheme="minorBidi"/>
                <w:szCs w:val="18"/>
              </w:rPr>
              <w:t>High</w:t>
            </w:r>
          </w:p>
        </w:tc>
        <w:tc>
          <w:tcPr>
            <w:tcW w:w="6237" w:type="dxa"/>
            <w:shd w:val="clear" w:color="auto" w:fill="FFFFFF"/>
          </w:tcPr>
          <w:p w14:paraId="589C2CFC" w14:textId="77777777" w:rsidR="00C77D61" w:rsidRPr="00644C95" w:rsidRDefault="004B2AD0" w:rsidP="00644C95">
            <w:pPr>
              <w:pStyle w:val="CETBodytext"/>
              <w:ind w:right="-1"/>
              <w:rPr>
                <w:rFonts w:asciiTheme="minorBidi" w:hAnsiTheme="minorBidi" w:cstheme="minorBidi"/>
                <w:szCs w:val="18"/>
              </w:rPr>
            </w:pPr>
            <w:r w:rsidRPr="00644C95">
              <w:rPr>
                <w:rFonts w:asciiTheme="minorBidi" w:hAnsiTheme="minorBidi" w:cstheme="minorBidi"/>
                <w:szCs w:val="18"/>
              </w:rPr>
              <w:t>Suitable for normal operation and common disturbances, or for equipment</w:t>
            </w:r>
          </w:p>
          <w:p w14:paraId="15474E59" w14:textId="71189E03" w:rsidR="004B2AD0" w:rsidRPr="00644C95" w:rsidRDefault="004B2AD0" w:rsidP="00644C95">
            <w:pPr>
              <w:pStyle w:val="CETBodytext"/>
              <w:ind w:right="-1"/>
              <w:rPr>
                <w:rFonts w:asciiTheme="minorBidi" w:hAnsiTheme="minorBidi" w:cstheme="minorBidi"/>
                <w:szCs w:val="18"/>
              </w:rPr>
            </w:pPr>
            <w:bookmarkStart w:id="2" w:name="_GoBack"/>
            <w:bookmarkEnd w:id="2"/>
            <w:r w:rsidRPr="00644C95">
              <w:rPr>
                <w:rFonts w:asciiTheme="minorBidi" w:hAnsiTheme="minorBidi" w:cstheme="minorBidi"/>
                <w:szCs w:val="18"/>
              </w:rPr>
              <w:t>that anticipates malfunctions.</w:t>
            </w:r>
          </w:p>
        </w:tc>
      </w:tr>
      <w:tr w:rsidR="004B2AD0" w:rsidRPr="004008B0" w14:paraId="35666C52" w14:textId="77777777" w:rsidTr="0047060A">
        <w:tc>
          <w:tcPr>
            <w:tcW w:w="426" w:type="dxa"/>
            <w:shd w:val="clear" w:color="auto" w:fill="FFFFFF"/>
          </w:tcPr>
          <w:p w14:paraId="60AE0A26" w14:textId="77777777" w:rsidR="004B2AD0" w:rsidRPr="004008B0" w:rsidRDefault="004B2AD0" w:rsidP="0047060A">
            <w:pPr>
              <w:pStyle w:val="CETBodytext"/>
              <w:ind w:right="-1"/>
              <w:rPr>
                <w:rFonts w:asciiTheme="minorBidi" w:hAnsiTheme="minorBidi" w:cstheme="minorBidi"/>
                <w:szCs w:val="18"/>
              </w:rPr>
            </w:pPr>
            <w:r w:rsidRPr="004008B0">
              <w:rPr>
                <w:rFonts w:asciiTheme="minorBidi" w:hAnsiTheme="minorBidi" w:cstheme="minorBidi"/>
                <w:szCs w:val="18"/>
              </w:rPr>
              <w:t>22</w:t>
            </w:r>
          </w:p>
        </w:tc>
        <w:tc>
          <w:tcPr>
            <w:tcW w:w="731" w:type="dxa"/>
            <w:shd w:val="clear" w:color="auto" w:fill="FFFFFF"/>
          </w:tcPr>
          <w:p w14:paraId="0FC83B22" w14:textId="77777777" w:rsidR="004B2AD0" w:rsidRPr="004008B0" w:rsidRDefault="004B2AD0" w:rsidP="0047060A">
            <w:pPr>
              <w:pStyle w:val="CETBodytext"/>
              <w:ind w:right="-1"/>
              <w:rPr>
                <w:rFonts w:asciiTheme="minorBidi" w:hAnsiTheme="minorBidi" w:cstheme="minorBidi"/>
                <w:szCs w:val="18"/>
              </w:rPr>
            </w:pPr>
            <w:r w:rsidRPr="004008B0">
              <w:rPr>
                <w:rFonts w:asciiTheme="minorBidi" w:hAnsiTheme="minorBidi" w:cstheme="minorBidi"/>
                <w:szCs w:val="18"/>
              </w:rPr>
              <w:t>3D</w:t>
            </w:r>
          </w:p>
        </w:tc>
        <w:tc>
          <w:tcPr>
            <w:tcW w:w="1537" w:type="dxa"/>
            <w:shd w:val="clear" w:color="auto" w:fill="FFFFFF"/>
          </w:tcPr>
          <w:p w14:paraId="0F914D56" w14:textId="77777777" w:rsidR="004B2AD0" w:rsidRPr="004008B0" w:rsidRDefault="004B2AD0" w:rsidP="0047060A">
            <w:pPr>
              <w:pStyle w:val="CETBodytext"/>
              <w:ind w:right="-1"/>
              <w:rPr>
                <w:rFonts w:asciiTheme="minorBidi" w:hAnsiTheme="minorBidi" w:cstheme="minorBidi"/>
                <w:szCs w:val="18"/>
              </w:rPr>
            </w:pPr>
            <w:r w:rsidRPr="004008B0">
              <w:rPr>
                <w:rFonts w:asciiTheme="minorBidi" w:hAnsiTheme="minorBidi" w:cstheme="minorBidi"/>
                <w:szCs w:val="18"/>
              </w:rPr>
              <w:t>Normal</w:t>
            </w:r>
          </w:p>
        </w:tc>
        <w:tc>
          <w:tcPr>
            <w:tcW w:w="6237" w:type="dxa"/>
            <w:shd w:val="clear" w:color="auto" w:fill="FFFFFF"/>
          </w:tcPr>
          <w:p w14:paraId="5450A8BE" w14:textId="77777777" w:rsidR="004B2AD0" w:rsidRPr="004008B0" w:rsidRDefault="004B2AD0" w:rsidP="0047060A">
            <w:pPr>
              <w:pStyle w:val="CETBodytext"/>
              <w:ind w:right="-1"/>
              <w:rPr>
                <w:rFonts w:asciiTheme="minorBidi" w:hAnsiTheme="minorBidi" w:cstheme="minorBidi"/>
                <w:szCs w:val="18"/>
              </w:rPr>
            </w:pPr>
            <w:r w:rsidRPr="004008B0">
              <w:rPr>
                <w:rFonts w:asciiTheme="minorBidi" w:hAnsiTheme="minorBidi" w:cstheme="minorBidi"/>
                <w:szCs w:val="18"/>
              </w:rPr>
              <w:t>Suitable for normal operation</w:t>
            </w:r>
          </w:p>
        </w:tc>
      </w:tr>
    </w:tbl>
    <w:p w14:paraId="355663D3" w14:textId="77777777" w:rsidR="004B2AD0" w:rsidRDefault="004B2AD0" w:rsidP="004B2AD0">
      <w:pPr>
        <w:pStyle w:val="CETTabletitle"/>
      </w:pPr>
      <w:r w:rsidRPr="00675F06">
        <w:t>Table 6:  Dust-tight equipment</w:t>
      </w:r>
    </w:p>
    <w:tbl>
      <w:tblPr>
        <w:tblW w:w="6663"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3969"/>
      </w:tblGrid>
      <w:tr w:rsidR="004B2AD0" w:rsidRPr="004008B0" w14:paraId="71F76D19" w14:textId="77777777" w:rsidTr="0047060A">
        <w:tc>
          <w:tcPr>
            <w:tcW w:w="2694" w:type="dxa"/>
            <w:tcBorders>
              <w:top w:val="single" w:sz="12" w:space="0" w:color="008000"/>
              <w:bottom w:val="single" w:sz="6" w:space="0" w:color="008000"/>
            </w:tcBorders>
            <w:shd w:val="clear" w:color="auto" w:fill="FFFFFF"/>
          </w:tcPr>
          <w:p w14:paraId="4E406DEB" w14:textId="77777777" w:rsidR="004B2AD0" w:rsidRPr="00DE0FB4" w:rsidRDefault="004B2AD0" w:rsidP="0047060A">
            <w:pPr>
              <w:pStyle w:val="CETBodytext"/>
              <w:rPr>
                <w:rFonts w:asciiTheme="minorBidi" w:hAnsiTheme="minorBidi" w:cstheme="minorBidi"/>
                <w:szCs w:val="18"/>
                <w:lang w:val="en-GB"/>
              </w:rPr>
            </w:pPr>
            <w:r w:rsidRPr="00DE0FB4">
              <w:rPr>
                <w:rFonts w:asciiTheme="minorBidi" w:hAnsiTheme="minorBidi" w:cstheme="minorBidi"/>
                <w:szCs w:val="18"/>
              </w:rPr>
              <w:t>Equipment that may be used</w:t>
            </w:r>
          </w:p>
        </w:tc>
        <w:tc>
          <w:tcPr>
            <w:tcW w:w="3969" w:type="dxa"/>
            <w:tcBorders>
              <w:top w:val="single" w:sz="12" w:space="0" w:color="008000"/>
              <w:bottom w:val="single" w:sz="6" w:space="0" w:color="008000"/>
            </w:tcBorders>
            <w:shd w:val="clear" w:color="auto" w:fill="FFFFFF"/>
          </w:tcPr>
          <w:p w14:paraId="18C5A92A" w14:textId="77777777" w:rsidR="004B2AD0" w:rsidRPr="00DE0FB4" w:rsidRDefault="004B2AD0" w:rsidP="0047060A">
            <w:pPr>
              <w:pStyle w:val="CETBodytext"/>
              <w:rPr>
                <w:rFonts w:asciiTheme="minorBidi" w:hAnsiTheme="minorBidi" w:cstheme="minorBidi"/>
                <w:szCs w:val="18"/>
                <w:lang w:val="en-GB"/>
              </w:rPr>
            </w:pPr>
            <w:r w:rsidRPr="00DE0FB4">
              <w:rPr>
                <w:rFonts w:asciiTheme="minorBidi" w:hAnsiTheme="minorBidi" w:cstheme="minorBidi"/>
                <w:szCs w:val="18"/>
              </w:rPr>
              <w:t>R</w:t>
            </w:r>
            <w:r>
              <w:rPr>
                <w:rFonts w:asciiTheme="minorBidi" w:hAnsiTheme="minorBidi" w:cstheme="minorBidi"/>
                <w:szCs w:val="18"/>
              </w:rPr>
              <w:t xml:space="preserve">equired </w:t>
            </w:r>
            <w:r>
              <w:rPr>
                <w:rFonts w:asciiTheme="minorBidi" w:hAnsiTheme="minorBidi" w:cstheme="minorBidi"/>
                <w:szCs w:val="18"/>
                <w:lang w:val="en-GB"/>
              </w:rPr>
              <w:t>sealing</w:t>
            </w:r>
          </w:p>
        </w:tc>
      </w:tr>
      <w:tr w:rsidR="004B2AD0" w:rsidRPr="004008B0" w14:paraId="7627177C" w14:textId="77777777" w:rsidTr="0047060A">
        <w:trPr>
          <w:trHeight w:val="125"/>
        </w:trPr>
        <w:tc>
          <w:tcPr>
            <w:tcW w:w="2694" w:type="dxa"/>
            <w:shd w:val="clear" w:color="auto" w:fill="FFFFFF"/>
          </w:tcPr>
          <w:p w14:paraId="3C2144CE" w14:textId="77777777" w:rsidR="004B2AD0" w:rsidRPr="00DE0FB4" w:rsidRDefault="004B2AD0" w:rsidP="0047060A">
            <w:pPr>
              <w:pStyle w:val="CETBodytext"/>
              <w:rPr>
                <w:rFonts w:asciiTheme="minorBidi" w:hAnsiTheme="minorBidi" w:cstheme="minorBidi"/>
                <w:szCs w:val="18"/>
                <w:lang w:val="en-GB"/>
              </w:rPr>
            </w:pPr>
            <w:r w:rsidRPr="00DE0FB4">
              <w:rPr>
                <w:rFonts w:asciiTheme="minorBidi" w:hAnsiTheme="minorBidi" w:cstheme="minorBidi"/>
                <w:szCs w:val="18"/>
              </w:rPr>
              <w:t>Zone 20</w:t>
            </w:r>
            <w:r>
              <w:rPr>
                <w:rFonts w:asciiTheme="minorBidi" w:hAnsiTheme="minorBidi" w:cstheme="minorBidi"/>
                <w:szCs w:val="18"/>
              </w:rPr>
              <w:t>/ Zone 21</w:t>
            </w:r>
          </w:p>
        </w:tc>
        <w:tc>
          <w:tcPr>
            <w:tcW w:w="3969" w:type="dxa"/>
            <w:shd w:val="clear" w:color="auto" w:fill="FFFFFF"/>
          </w:tcPr>
          <w:p w14:paraId="63595BE4" w14:textId="77777777" w:rsidR="004B2AD0" w:rsidRPr="00DE0FB4" w:rsidRDefault="004B2AD0" w:rsidP="0047060A">
            <w:pPr>
              <w:pStyle w:val="CETBodytext"/>
              <w:rPr>
                <w:rFonts w:asciiTheme="minorBidi" w:hAnsiTheme="minorBidi" w:cstheme="minorBidi"/>
                <w:szCs w:val="18"/>
                <w:lang w:val="en-GB"/>
              </w:rPr>
            </w:pPr>
            <w:r w:rsidRPr="00DE0FB4">
              <w:rPr>
                <w:rFonts w:asciiTheme="minorBidi" w:hAnsiTheme="minorBidi" w:cstheme="minorBidi"/>
                <w:szCs w:val="18"/>
              </w:rPr>
              <w:t>IP6X</w:t>
            </w:r>
            <w:r w:rsidRPr="00DE0FB4">
              <w:rPr>
                <w:rFonts w:asciiTheme="minorBidi" w:hAnsiTheme="minorBidi" w:cstheme="minorBidi"/>
                <w:szCs w:val="18"/>
                <w:lang w:val="en-GB"/>
              </w:rPr>
              <w:t xml:space="preserve"> </w:t>
            </w:r>
          </w:p>
        </w:tc>
      </w:tr>
      <w:tr w:rsidR="004B2AD0" w:rsidRPr="004008B0" w14:paraId="0E761028" w14:textId="77777777" w:rsidTr="0047060A">
        <w:tc>
          <w:tcPr>
            <w:tcW w:w="2694" w:type="dxa"/>
            <w:shd w:val="clear" w:color="auto" w:fill="FFFFFF"/>
          </w:tcPr>
          <w:p w14:paraId="54BCF232" w14:textId="77777777" w:rsidR="004B2AD0" w:rsidRPr="00DE0FB4" w:rsidRDefault="004B2AD0" w:rsidP="0047060A">
            <w:pPr>
              <w:pStyle w:val="CETBodytext"/>
              <w:ind w:right="-1"/>
              <w:rPr>
                <w:rFonts w:asciiTheme="minorBidi" w:hAnsiTheme="minorBidi" w:cstheme="minorBidi"/>
                <w:szCs w:val="18"/>
                <w:lang w:val="en-GB"/>
              </w:rPr>
            </w:pPr>
            <w:r w:rsidRPr="002D6FB9">
              <w:rPr>
                <w:rFonts w:asciiTheme="minorBidi" w:hAnsiTheme="minorBidi" w:cstheme="minorBidi"/>
                <w:szCs w:val="18"/>
                <w:lang w:val="fr-FR"/>
              </w:rPr>
              <w:t xml:space="preserve">Zone 22       </w:t>
            </w:r>
          </w:p>
        </w:tc>
        <w:tc>
          <w:tcPr>
            <w:tcW w:w="3969" w:type="dxa"/>
            <w:shd w:val="clear" w:color="auto" w:fill="FFFFFF"/>
          </w:tcPr>
          <w:p w14:paraId="6FA455A2" w14:textId="77777777" w:rsidR="004B2AD0" w:rsidRPr="00DE0FB4" w:rsidRDefault="004B2AD0" w:rsidP="0047060A">
            <w:pPr>
              <w:pStyle w:val="CETBodytext"/>
              <w:ind w:right="-1"/>
              <w:rPr>
                <w:rFonts w:asciiTheme="minorBidi" w:hAnsiTheme="minorBidi" w:cstheme="minorBidi"/>
                <w:szCs w:val="18"/>
                <w:lang w:val="en-GB"/>
              </w:rPr>
            </w:pPr>
            <w:r>
              <w:rPr>
                <w:rFonts w:asciiTheme="minorBidi" w:hAnsiTheme="minorBidi" w:cstheme="minorBidi"/>
                <w:szCs w:val="18"/>
                <w:lang w:val="fr-FR"/>
              </w:rPr>
              <w:t>(</w:t>
            </w:r>
            <w:proofErr w:type="spellStart"/>
            <w:r w:rsidRPr="002D6FB9">
              <w:rPr>
                <w:rFonts w:asciiTheme="minorBidi" w:hAnsiTheme="minorBidi" w:cstheme="minorBidi"/>
                <w:szCs w:val="18"/>
                <w:lang w:val="fr-FR"/>
              </w:rPr>
              <w:t>Conductive</w:t>
            </w:r>
            <w:proofErr w:type="spellEnd"/>
            <w:r w:rsidRPr="002D6FB9">
              <w:rPr>
                <w:rFonts w:asciiTheme="minorBidi" w:hAnsiTheme="minorBidi" w:cstheme="minorBidi"/>
                <w:szCs w:val="18"/>
                <w:lang w:val="fr-FR"/>
              </w:rPr>
              <w:t xml:space="preserve"> </w:t>
            </w:r>
            <w:proofErr w:type="spellStart"/>
            <w:r w:rsidRPr="002D6FB9">
              <w:rPr>
                <w:rFonts w:asciiTheme="minorBidi" w:hAnsiTheme="minorBidi" w:cstheme="minorBidi"/>
                <w:szCs w:val="18"/>
                <w:lang w:val="fr-FR"/>
              </w:rPr>
              <w:t>dust</w:t>
            </w:r>
            <w:proofErr w:type="spellEnd"/>
            <w:r>
              <w:rPr>
                <w:rFonts w:asciiTheme="minorBidi" w:hAnsiTheme="minorBidi" w:cstheme="minorBidi"/>
                <w:szCs w:val="18"/>
                <w:lang w:val="fr-FR"/>
              </w:rPr>
              <w:t>)</w:t>
            </w:r>
            <w:r w:rsidRPr="00DE0FB4">
              <w:rPr>
                <w:rFonts w:asciiTheme="minorBidi" w:hAnsiTheme="minorBidi" w:cstheme="minorBidi"/>
                <w:szCs w:val="18"/>
                <w:lang w:val="en-GB"/>
              </w:rPr>
              <w:t xml:space="preserve"> IP6X</w:t>
            </w:r>
            <w:r>
              <w:rPr>
                <w:rFonts w:asciiTheme="minorBidi" w:hAnsiTheme="minorBidi" w:cstheme="minorBidi"/>
                <w:szCs w:val="18"/>
                <w:lang w:val="en-GB"/>
              </w:rPr>
              <w:t>/</w:t>
            </w:r>
            <w:r w:rsidRPr="002D6FB9">
              <w:rPr>
                <w:rFonts w:asciiTheme="minorBidi" w:hAnsiTheme="minorBidi" w:cstheme="minorBidi"/>
                <w:szCs w:val="18"/>
                <w:lang w:val="fr-FR"/>
              </w:rPr>
              <w:t xml:space="preserve"> </w:t>
            </w:r>
            <w:r>
              <w:rPr>
                <w:rFonts w:asciiTheme="minorBidi" w:hAnsiTheme="minorBidi" w:cstheme="minorBidi"/>
                <w:szCs w:val="18"/>
                <w:lang w:val="fr-FR"/>
              </w:rPr>
              <w:t>(</w:t>
            </w:r>
            <w:proofErr w:type="spellStart"/>
            <w:r w:rsidRPr="002D6FB9">
              <w:rPr>
                <w:rFonts w:asciiTheme="minorBidi" w:hAnsiTheme="minorBidi" w:cstheme="minorBidi"/>
                <w:szCs w:val="18"/>
                <w:lang w:val="fr-FR"/>
              </w:rPr>
              <w:t>Isolating</w:t>
            </w:r>
            <w:proofErr w:type="spellEnd"/>
            <w:r w:rsidRPr="002D6FB9">
              <w:rPr>
                <w:rFonts w:asciiTheme="minorBidi" w:hAnsiTheme="minorBidi" w:cstheme="minorBidi"/>
                <w:szCs w:val="18"/>
                <w:lang w:val="fr-FR"/>
              </w:rPr>
              <w:t xml:space="preserve"> </w:t>
            </w:r>
            <w:proofErr w:type="spellStart"/>
            <w:r w:rsidRPr="002D6FB9">
              <w:rPr>
                <w:rFonts w:asciiTheme="minorBidi" w:hAnsiTheme="minorBidi" w:cstheme="minorBidi"/>
                <w:szCs w:val="18"/>
                <w:lang w:val="fr-FR"/>
              </w:rPr>
              <w:t>dust</w:t>
            </w:r>
            <w:proofErr w:type="spellEnd"/>
            <w:r>
              <w:rPr>
                <w:rFonts w:asciiTheme="minorBidi" w:hAnsiTheme="minorBidi" w:cstheme="minorBidi"/>
                <w:szCs w:val="18"/>
                <w:lang w:val="fr-FR"/>
              </w:rPr>
              <w:t>)</w:t>
            </w:r>
            <w:r>
              <w:rPr>
                <w:rFonts w:asciiTheme="minorBidi" w:hAnsiTheme="minorBidi" w:cstheme="minorBidi"/>
                <w:szCs w:val="18"/>
              </w:rPr>
              <w:t xml:space="preserve"> IP5X</w:t>
            </w:r>
          </w:p>
        </w:tc>
      </w:tr>
    </w:tbl>
    <w:p w14:paraId="62567C03" w14:textId="77777777" w:rsidR="004B2AD0" w:rsidRDefault="004B2AD0" w:rsidP="004B2AD0">
      <w:pPr>
        <w:pStyle w:val="CETTabletitle"/>
        <w:rPr>
          <w:lang w:val="fr-FR"/>
        </w:rPr>
      </w:pPr>
      <w:r w:rsidRPr="00675F06">
        <w:rPr>
          <w:lang w:val="fr-FR"/>
        </w:rPr>
        <w:t xml:space="preserve">Table 7: </w:t>
      </w:r>
      <w:proofErr w:type="spellStart"/>
      <w:r w:rsidRPr="00675F06">
        <w:rPr>
          <w:lang w:val="fr-FR"/>
        </w:rPr>
        <w:t>Temperature</w:t>
      </w:r>
      <w:proofErr w:type="spellEnd"/>
      <w:r w:rsidRPr="00675F06">
        <w:rPr>
          <w:lang w:val="fr-FR"/>
        </w:rPr>
        <w:t xml:space="preserve"> class</w:t>
      </w:r>
    </w:p>
    <w:tbl>
      <w:tblPr>
        <w:tblW w:w="623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1559"/>
        <w:gridCol w:w="1559"/>
        <w:gridCol w:w="1559"/>
      </w:tblGrid>
      <w:tr w:rsidR="004B2AD0" w:rsidRPr="004008B0" w14:paraId="2E52E058" w14:textId="77777777" w:rsidTr="0047060A">
        <w:tc>
          <w:tcPr>
            <w:tcW w:w="1560" w:type="dxa"/>
            <w:tcBorders>
              <w:top w:val="single" w:sz="12" w:space="0" w:color="008000"/>
              <w:bottom w:val="single" w:sz="6" w:space="0" w:color="008000"/>
            </w:tcBorders>
            <w:shd w:val="clear" w:color="auto" w:fill="FFFFFF"/>
          </w:tcPr>
          <w:p w14:paraId="2AE062BF" w14:textId="77777777" w:rsidR="004B2AD0" w:rsidRPr="00DE0FB4" w:rsidRDefault="004B2AD0" w:rsidP="0047060A">
            <w:pPr>
              <w:pStyle w:val="CETBodytext"/>
              <w:rPr>
                <w:rFonts w:asciiTheme="minorBidi" w:hAnsiTheme="minorBidi" w:cstheme="minorBidi"/>
                <w:szCs w:val="18"/>
                <w:lang w:val="en-GB"/>
              </w:rPr>
            </w:pPr>
            <w:r w:rsidRPr="00DE0FB4">
              <w:rPr>
                <w:rFonts w:asciiTheme="minorBidi" w:hAnsiTheme="minorBidi" w:cstheme="minorBidi"/>
                <w:szCs w:val="18"/>
              </w:rPr>
              <w:t>Temperature class</w:t>
            </w:r>
          </w:p>
        </w:tc>
        <w:tc>
          <w:tcPr>
            <w:tcW w:w="1559" w:type="dxa"/>
            <w:tcBorders>
              <w:top w:val="single" w:sz="12" w:space="0" w:color="008000"/>
              <w:bottom w:val="single" w:sz="6" w:space="0" w:color="008000"/>
            </w:tcBorders>
            <w:shd w:val="clear" w:color="auto" w:fill="FFFFFF"/>
          </w:tcPr>
          <w:p w14:paraId="7D390330" w14:textId="1FC44A63" w:rsidR="004B2AD0" w:rsidRPr="00DE0FB4" w:rsidRDefault="004B2AD0" w:rsidP="00B55B19">
            <w:pPr>
              <w:pStyle w:val="CETBodytext"/>
              <w:rPr>
                <w:rFonts w:asciiTheme="minorBidi" w:hAnsiTheme="minorBidi" w:cstheme="minorBidi"/>
                <w:szCs w:val="18"/>
                <w:lang w:val="en-GB"/>
              </w:rPr>
            </w:pPr>
            <w:r w:rsidRPr="00DE0FB4">
              <w:rPr>
                <w:rFonts w:asciiTheme="minorBidi" w:hAnsiTheme="minorBidi" w:cstheme="minorBidi"/>
                <w:szCs w:val="18"/>
              </w:rPr>
              <w:t>Maximal value (°</w:t>
            </w:r>
            <w:r w:rsidR="00B55B19">
              <w:rPr>
                <w:rFonts w:asciiTheme="minorBidi" w:hAnsiTheme="minorBidi" w:cstheme="minorBidi"/>
                <w:szCs w:val="18"/>
              </w:rPr>
              <w:t>C</w:t>
            </w:r>
            <w:r w:rsidRPr="00DE0FB4">
              <w:rPr>
                <w:rFonts w:asciiTheme="minorBidi" w:hAnsiTheme="minorBidi" w:cstheme="minorBidi"/>
                <w:szCs w:val="18"/>
              </w:rPr>
              <w:t>)</w:t>
            </w:r>
          </w:p>
        </w:tc>
        <w:tc>
          <w:tcPr>
            <w:tcW w:w="1559" w:type="dxa"/>
            <w:tcBorders>
              <w:top w:val="single" w:sz="12" w:space="0" w:color="008000"/>
              <w:bottom w:val="single" w:sz="6" w:space="0" w:color="008000"/>
            </w:tcBorders>
            <w:shd w:val="clear" w:color="auto" w:fill="FFFFFF"/>
          </w:tcPr>
          <w:p w14:paraId="0F3C456C" w14:textId="77777777" w:rsidR="004B2AD0" w:rsidRPr="00DE0FB4" w:rsidRDefault="004B2AD0" w:rsidP="0047060A">
            <w:pPr>
              <w:pStyle w:val="CETBodytext"/>
              <w:rPr>
                <w:rFonts w:asciiTheme="minorBidi" w:hAnsiTheme="minorBidi" w:cstheme="minorBidi"/>
                <w:szCs w:val="18"/>
              </w:rPr>
            </w:pPr>
            <w:r w:rsidRPr="004742C3">
              <w:rPr>
                <w:rFonts w:asciiTheme="minorBidi" w:hAnsiTheme="minorBidi" w:cstheme="minorBidi"/>
                <w:szCs w:val="18"/>
                <w:lang w:val="en-GB"/>
              </w:rPr>
              <w:t>Temperature class</w:t>
            </w:r>
          </w:p>
        </w:tc>
        <w:tc>
          <w:tcPr>
            <w:tcW w:w="1559" w:type="dxa"/>
            <w:tcBorders>
              <w:top w:val="single" w:sz="12" w:space="0" w:color="008000"/>
              <w:bottom w:val="single" w:sz="6" w:space="0" w:color="008000"/>
            </w:tcBorders>
            <w:shd w:val="clear" w:color="auto" w:fill="FFFFFF"/>
          </w:tcPr>
          <w:p w14:paraId="163FF2D0" w14:textId="1CE3F7D6" w:rsidR="004B2AD0" w:rsidRPr="00DE0FB4" w:rsidRDefault="004B2AD0" w:rsidP="00B55B19">
            <w:pPr>
              <w:pStyle w:val="CETBodytext"/>
              <w:rPr>
                <w:rFonts w:asciiTheme="minorBidi" w:hAnsiTheme="minorBidi" w:cstheme="minorBidi"/>
                <w:szCs w:val="18"/>
              </w:rPr>
            </w:pPr>
            <w:r w:rsidRPr="004742C3">
              <w:rPr>
                <w:rFonts w:asciiTheme="minorBidi" w:hAnsiTheme="minorBidi" w:cstheme="minorBidi"/>
                <w:szCs w:val="18"/>
                <w:lang w:val="en-GB"/>
              </w:rPr>
              <w:t>Maximal value (°</w:t>
            </w:r>
            <w:r w:rsidR="00B55B19">
              <w:rPr>
                <w:rFonts w:asciiTheme="minorBidi" w:hAnsiTheme="minorBidi" w:cstheme="minorBidi"/>
                <w:szCs w:val="18"/>
                <w:lang w:val="en-GB"/>
              </w:rPr>
              <w:t>C</w:t>
            </w:r>
            <w:r w:rsidRPr="004742C3">
              <w:rPr>
                <w:rFonts w:asciiTheme="minorBidi" w:hAnsiTheme="minorBidi" w:cstheme="minorBidi"/>
                <w:szCs w:val="18"/>
                <w:lang w:val="en-GB"/>
              </w:rPr>
              <w:t>)</w:t>
            </w:r>
          </w:p>
        </w:tc>
      </w:tr>
      <w:tr w:rsidR="004B2AD0" w:rsidRPr="004008B0" w14:paraId="2EAD930A" w14:textId="77777777" w:rsidTr="0047060A">
        <w:trPr>
          <w:trHeight w:val="125"/>
        </w:trPr>
        <w:tc>
          <w:tcPr>
            <w:tcW w:w="1560" w:type="dxa"/>
            <w:shd w:val="clear" w:color="auto" w:fill="FFFFFF"/>
          </w:tcPr>
          <w:p w14:paraId="3C754E16" w14:textId="77777777" w:rsidR="004B2AD0" w:rsidRPr="00DE0FB4" w:rsidRDefault="004B2AD0" w:rsidP="0047060A">
            <w:pPr>
              <w:pStyle w:val="CETBodytext"/>
              <w:rPr>
                <w:rFonts w:asciiTheme="minorBidi" w:hAnsiTheme="minorBidi" w:cstheme="minorBidi"/>
                <w:szCs w:val="18"/>
                <w:lang w:val="en-GB"/>
              </w:rPr>
            </w:pPr>
            <w:r w:rsidRPr="00DE0FB4">
              <w:rPr>
                <w:rFonts w:asciiTheme="minorBidi" w:hAnsiTheme="minorBidi" w:cstheme="minorBidi"/>
                <w:szCs w:val="18"/>
              </w:rPr>
              <w:t>T1</w:t>
            </w:r>
          </w:p>
        </w:tc>
        <w:tc>
          <w:tcPr>
            <w:tcW w:w="1559" w:type="dxa"/>
            <w:shd w:val="clear" w:color="auto" w:fill="FFFFFF"/>
          </w:tcPr>
          <w:p w14:paraId="7B416BB8" w14:textId="77777777" w:rsidR="004B2AD0" w:rsidRPr="00DE0FB4" w:rsidRDefault="004B2AD0" w:rsidP="0047060A">
            <w:pPr>
              <w:pStyle w:val="CETBodytext"/>
              <w:rPr>
                <w:rFonts w:asciiTheme="minorBidi" w:hAnsiTheme="minorBidi" w:cstheme="minorBidi"/>
                <w:szCs w:val="18"/>
                <w:lang w:val="en-GB"/>
              </w:rPr>
            </w:pPr>
            <w:r w:rsidRPr="00DE0FB4">
              <w:rPr>
                <w:rFonts w:asciiTheme="minorBidi" w:hAnsiTheme="minorBidi" w:cstheme="minorBidi"/>
                <w:szCs w:val="18"/>
              </w:rPr>
              <w:t>450</w:t>
            </w:r>
          </w:p>
        </w:tc>
        <w:tc>
          <w:tcPr>
            <w:tcW w:w="1559" w:type="dxa"/>
            <w:shd w:val="clear" w:color="auto" w:fill="FFFFFF"/>
          </w:tcPr>
          <w:p w14:paraId="17CE67DC" w14:textId="77777777" w:rsidR="004B2AD0" w:rsidRPr="00DE0FB4" w:rsidRDefault="004B2AD0" w:rsidP="0047060A">
            <w:pPr>
              <w:pStyle w:val="CETBodytext"/>
              <w:rPr>
                <w:rFonts w:asciiTheme="minorBidi" w:hAnsiTheme="minorBidi" w:cstheme="minorBidi"/>
                <w:szCs w:val="18"/>
              </w:rPr>
            </w:pPr>
            <w:r w:rsidRPr="00DE0FB4">
              <w:rPr>
                <w:rFonts w:asciiTheme="minorBidi" w:hAnsiTheme="minorBidi" w:cstheme="minorBidi"/>
                <w:szCs w:val="18"/>
              </w:rPr>
              <w:t>T4</w:t>
            </w:r>
          </w:p>
        </w:tc>
        <w:tc>
          <w:tcPr>
            <w:tcW w:w="1559" w:type="dxa"/>
            <w:shd w:val="clear" w:color="auto" w:fill="FFFFFF"/>
          </w:tcPr>
          <w:p w14:paraId="647319B1" w14:textId="77777777" w:rsidR="004B2AD0" w:rsidRPr="00DE0FB4" w:rsidRDefault="004B2AD0" w:rsidP="0047060A">
            <w:pPr>
              <w:pStyle w:val="CETBodytext"/>
              <w:rPr>
                <w:rFonts w:asciiTheme="minorBidi" w:hAnsiTheme="minorBidi" w:cstheme="minorBidi"/>
                <w:szCs w:val="18"/>
              </w:rPr>
            </w:pPr>
            <w:r w:rsidRPr="00DE0FB4">
              <w:rPr>
                <w:rFonts w:asciiTheme="minorBidi" w:hAnsiTheme="minorBidi" w:cstheme="minorBidi"/>
                <w:szCs w:val="18"/>
              </w:rPr>
              <w:t>135</w:t>
            </w:r>
          </w:p>
        </w:tc>
      </w:tr>
      <w:tr w:rsidR="004B2AD0" w:rsidRPr="004008B0" w14:paraId="0FD21F02" w14:textId="77777777" w:rsidTr="0047060A">
        <w:tc>
          <w:tcPr>
            <w:tcW w:w="1560" w:type="dxa"/>
            <w:shd w:val="clear" w:color="auto" w:fill="FFFFFF"/>
          </w:tcPr>
          <w:p w14:paraId="53EEA426" w14:textId="77777777" w:rsidR="004B2AD0" w:rsidRPr="00DE0FB4" w:rsidRDefault="004B2AD0" w:rsidP="0047060A">
            <w:pPr>
              <w:pStyle w:val="CETBodytext"/>
              <w:ind w:right="-1"/>
              <w:rPr>
                <w:rFonts w:asciiTheme="minorBidi" w:hAnsiTheme="minorBidi" w:cstheme="minorBidi"/>
                <w:szCs w:val="18"/>
                <w:lang w:val="en-GB"/>
              </w:rPr>
            </w:pPr>
            <w:r w:rsidRPr="00DE0FB4">
              <w:rPr>
                <w:rFonts w:asciiTheme="minorBidi" w:hAnsiTheme="minorBidi" w:cstheme="minorBidi"/>
                <w:szCs w:val="18"/>
              </w:rPr>
              <w:t>T2</w:t>
            </w:r>
          </w:p>
        </w:tc>
        <w:tc>
          <w:tcPr>
            <w:tcW w:w="1559" w:type="dxa"/>
            <w:shd w:val="clear" w:color="auto" w:fill="FFFFFF"/>
          </w:tcPr>
          <w:p w14:paraId="051C2485" w14:textId="77777777" w:rsidR="004B2AD0" w:rsidRPr="00DE0FB4" w:rsidRDefault="004B2AD0" w:rsidP="0047060A">
            <w:pPr>
              <w:pStyle w:val="CETBodytext"/>
              <w:ind w:right="-1"/>
              <w:rPr>
                <w:rFonts w:asciiTheme="minorBidi" w:hAnsiTheme="minorBidi" w:cstheme="minorBidi"/>
                <w:szCs w:val="18"/>
                <w:lang w:val="en-GB"/>
              </w:rPr>
            </w:pPr>
            <w:r w:rsidRPr="00DE0FB4">
              <w:rPr>
                <w:rFonts w:asciiTheme="minorBidi" w:hAnsiTheme="minorBidi" w:cstheme="minorBidi"/>
                <w:szCs w:val="18"/>
              </w:rPr>
              <w:t>300</w:t>
            </w:r>
          </w:p>
        </w:tc>
        <w:tc>
          <w:tcPr>
            <w:tcW w:w="1559" w:type="dxa"/>
            <w:shd w:val="clear" w:color="auto" w:fill="FFFFFF"/>
          </w:tcPr>
          <w:p w14:paraId="23B1A636" w14:textId="77777777" w:rsidR="004B2AD0" w:rsidRPr="00DE0FB4" w:rsidRDefault="004B2AD0" w:rsidP="0047060A">
            <w:pPr>
              <w:pStyle w:val="CETBodytext"/>
              <w:ind w:right="-1"/>
              <w:rPr>
                <w:rFonts w:asciiTheme="minorBidi" w:hAnsiTheme="minorBidi" w:cstheme="minorBidi"/>
                <w:szCs w:val="18"/>
              </w:rPr>
            </w:pPr>
            <w:r w:rsidRPr="00DE0FB4">
              <w:rPr>
                <w:rFonts w:asciiTheme="minorBidi" w:hAnsiTheme="minorBidi" w:cstheme="minorBidi"/>
                <w:szCs w:val="18"/>
              </w:rPr>
              <w:t>T5</w:t>
            </w:r>
          </w:p>
        </w:tc>
        <w:tc>
          <w:tcPr>
            <w:tcW w:w="1559" w:type="dxa"/>
            <w:shd w:val="clear" w:color="auto" w:fill="FFFFFF"/>
          </w:tcPr>
          <w:p w14:paraId="71421951" w14:textId="77777777" w:rsidR="004B2AD0" w:rsidRPr="00DE0FB4" w:rsidRDefault="004B2AD0" w:rsidP="0047060A">
            <w:pPr>
              <w:pStyle w:val="CETBodytext"/>
              <w:ind w:right="-1"/>
              <w:rPr>
                <w:rFonts w:asciiTheme="minorBidi" w:hAnsiTheme="minorBidi" w:cstheme="minorBidi"/>
                <w:szCs w:val="18"/>
              </w:rPr>
            </w:pPr>
            <w:r w:rsidRPr="00DE0FB4">
              <w:rPr>
                <w:rFonts w:asciiTheme="minorBidi" w:hAnsiTheme="minorBidi" w:cstheme="minorBidi"/>
                <w:szCs w:val="18"/>
              </w:rPr>
              <w:t>100</w:t>
            </w:r>
          </w:p>
        </w:tc>
      </w:tr>
      <w:tr w:rsidR="004B2AD0" w:rsidRPr="004008B0" w14:paraId="1102136D" w14:textId="77777777" w:rsidTr="0047060A">
        <w:tc>
          <w:tcPr>
            <w:tcW w:w="1560" w:type="dxa"/>
            <w:shd w:val="clear" w:color="auto" w:fill="FFFFFF"/>
          </w:tcPr>
          <w:p w14:paraId="0AFC3678" w14:textId="77777777" w:rsidR="004B2AD0" w:rsidRPr="00DE0FB4" w:rsidRDefault="004B2AD0" w:rsidP="0047060A">
            <w:pPr>
              <w:pStyle w:val="CETBodytext"/>
              <w:ind w:right="-1"/>
              <w:rPr>
                <w:rFonts w:asciiTheme="minorBidi" w:hAnsiTheme="minorBidi" w:cstheme="minorBidi"/>
                <w:szCs w:val="18"/>
                <w:lang w:val="en-GB"/>
              </w:rPr>
            </w:pPr>
            <w:r w:rsidRPr="00DE0FB4">
              <w:rPr>
                <w:rFonts w:asciiTheme="minorBidi" w:hAnsiTheme="minorBidi" w:cstheme="minorBidi"/>
                <w:szCs w:val="18"/>
              </w:rPr>
              <w:t>T3</w:t>
            </w:r>
          </w:p>
        </w:tc>
        <w:tc>
          <w:tcPr>
            <w:tcW w:w="1559" w:type="dxa"/>
            <w:shd w:val="clear" w:color="auto" w:fill="FFFFFF"/>
          </w:tcPr>
          <w:p w14:paraId="08C2498D" w14:textId="77777777" w:rsidR="004B2AD0" w:rsidRPr="00DE0FB4" w:rsidRDefault="004B2AD0" w:rsidP="0047060A">
            <w:pPr>
              <w:pStyle w:val="CETBodytext"/>
              <w:ind w:right="-1"/>
              <w:rPr>
                <w:rFonts w:asciiTheme="minorBidi" w:hAnsiTheme="minorBidi" w:cstheme="minorBidi"/>
                <w:szCs w:val="18"/>
                <w:lang w:val="en-GB"/>
              </w:rPr>
            </w:pPr>
            <w:r w:rsidRPr="00DE0FB4">
              <w:rPr>
                <w:rFonts w:asciiTheme="minorBidi" w:hAnsiTheme="minorBidi" w:cstheme="minorBidi"/>
                <w:szCs w:val="18"/>
              </w:rPr>
              <w:t>200</w:t>
            </w:r>
          </w:p>
        </w:tc>
        <w:tc>
          <w:tcPr>
            <w:tcW w:w="1559" w:type="dxa"/>
            <w:shd w:val="clear" w:color="auto" w:fill="FFFFFF"/>
          </w:tcPr>
          <w:p w14:paraId="208C634B" w14:textId="77777777" w:rsidR="004B2AD0" w:rsidRPr="00DE0FB4" w:rsidRDefault="004B2AD0" w:rsidP="0047060A">
            <w:pPr>
              <w:pStyle w:val="CETBodytext"/>
              <w:ind w:right="-1"/>
              <w:rPr>
                <w:rFonts w:asciiTheme="minorBidi" w:hAnsiTheme="minorBidi" w:cstheme="minorBidi"/>
                <w:szCs w:val="18"/>
              </w:rPr>
            </w:pPr>
            <w:r w:rsidRPr="00DE0FB4">
              <w:rPr>
                <w:rFonts w:asciiTheme="minorBidi" w:hAnsiTheme="minorBidi" w:cstheme="minorBidi"/>
                <w:szCs w:val="18"/>
              </w:rPr>
              <w:t>T6</w:t>
            </w:r>
          </w:p>
        </w:tc>
        <w:tc>
          <w:tcPr>
            <w:tcW w:w="1559" w:type="dxa"/>
            <w:shd w:val="clear" w:color="auto" w:fill="FFFFFF"/>
          </w:tcPr>
          <w:p w14:paraId="44C9E925" w14:textId="77777777" w:rsidR="004B2AD0" w:rsidRPr="00DE0FB4" w:rsidRDefault="004B2AD0" w:rsidP="0047060A">
            <w:pPr>
              <w:pStyle w:val="CETBodytext"/>
              <w:ind w:right="-1"/>
              <w:rPr>
                <w:rFonts w:asciiTheme="minorBidi" w:hAnsiTheme="minorBidi" w:cstheme="minorBidi"/>
                <w:szCs w:val="18"/>
              </w:rPr>
            </w:pPr>
            <w:r w:rsidRPr="00DE0FB4">
              <w:rPr>
                <w:rFonts w:asciiTheme="minorBidi" w:hAnsiTheme="minorBidi" w:cstheme="minorBidi"/>
                <w:szCs w:val="18"/>
              </w:rPr>
              <w:t>85</w:t>
            </w:r>
          </w:p>
        </w:tc>
      </w:tr>
    </w:tbl>
    <w:p w14:paraId="168AEBFB" w14:textId="417951E5" w:rsidR="003429F5" w:rsidRPr="00CE5590" w:rsidRDefault="003429F5" w:rsidP="00E91D5C">
      <w:pPr>
        <w:pStyle w:val="CETBodytext"/>
        <w:spacing w:before="120"/>
      </w:pPr>
      <w:r w:rsidRPr="003429F5">
        <w:rPr>
          <w:lang w:val="en-GB"/>
        </w:rPr>
        <w:t>Differentiating protection modes for electrical and non-electrical materials during selection is crucial."</w:t>
      </w:r>
    </w:p>
    <w:p w14:paraId="534C3E11" w14:textId="77777777" w:rsidR="004B2AD0" w:rsidRDefault="004B2AD0" w:rsidP="004B2AD0">
      <w:pPr>
        <w:pStyle w:val="CETTabletitle"/>
      </w:pPr>
      <w:r w:rsidRPr="00675F06">
        <w:t>Table 8: Suppression of the explosive atmosphere</w:t>
      </w:r>
    </w:p>
    <w:tbl>
      <w:tblPr>
        <w:tblW w:w="893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268"/>
        <w:gridCol w:w="6663"/>
      </w:tblGrid>
      <w:tr w:rsidR="004B2AD0" w:rsidRPr="00AD5E2D" w14:paraId="61783C3F" w14:textId="77777777" w:rsidTr="0047060A">
        <w:trPr>
          <w:trHeight w:val="125"/>
        </w:trPr>
        <w:tc>
          <w:tcPr>
            <w:tcW w:w="2268" w:type="dxa"/>
            <w:shd w:val="clear" w:color="auto" w:fill="FFFFFF"/>
          </w:tcPr>
          <w:p w14:paraId="2EF5E7BF" w14:textId="77777777" w:rsidR="004B2AD0" w:rsidRPr="00AD5E2D" w:rsidRDefault="004B2AD0" w:rsidP="0047060A">
            <w:pPr>
              <w:pStyle w:val="CETBodytext"/>
              <w:rPr>
                <w:rFonts w:asciiTheme="minorBidi" w:hAnsiTheme="minorBidi" w:cstheme="minorBidi"/>
                <w:szCs w:val="18"/>
                <w:lang w:val="en-GB"/>
              </w:rPr>
            </w:pPr>
            <w:r w:rsidRPr="00AD5E2D">
              <w:rPr>
                <w:rFonts w:asciiTheme="minorBidi" w:hAnsiTheme="minorBidi" w:cstheme="minorBidi"/>
                <w:szCs w:val="18"/>
              </w:rPr>
              <w:t>Internal deletion -symbol (p)</w:t>
            </w:r>
          </w:p>
        </w:tc>
        <w:tc>
          <w:tcPr>
            <w:tcW w:w="6663" w:type="dxa"/>
            <w:shd w:val="clear" w:color="auto" w:fill="FFFFFF"/>
          </w:tcPr>
          <w:p w14:paraId="2AC84E80" w14:textId="51558919" w:rsidR="004B2AD0" w:rsidRPr="00644C95" w:rsidRDefault="004B2AD0" w:rsidP="0047060A">
            <w:pPr>
              <w:pStyle w:val="CETBodytext"/>
              <w:rPr>
                <w:rFonts w:asciiTheme="minorBidi" w:hAnsiTheme="minorBidi" w:cstheme="minorBidi"/>
                <w:szCs w:val="18"/>
              </w:rPr>
            </w:pPr>
            <w:r w:rsidRPr="00644C95">
              <w:rPr>
                <w:rFonts w:asciiTheme="minorBidi" w:hAnsiTheme="minorBidi" w:cstheme="minorBidi"/>
                <w:szCs w:val="18"/>
              </w:rPr>
              <w:t>The penetration of surrounding atmosphere into electrical equipment enclosure</w:t>
            </w:r>
            <w:r w:rsidR="00644C95">
              <w:rPr>
                <w:rFonts w:asciiTheme="minorBidi" w:hAnsiTheme="minorBidi" w:cstheme="minorBidi"/>
                <w:szCs w:val="18"/>
              </w:rPr>
              <w:t>s is prevented by maintaining.</w:t>
            </w:r>
          </w:p>
        </w:tc>
      </w:tr>
      <w:tr w:rsidR="004B2AD0" w:rsidRPr="00AD5E2D" w14:paraId="404D7F0A" w14:textId="77777777" w:rsidTr="0047060A">
        <w:tc>
          <w:tcPr>
            <w:tcW w:w="2268" w:type="dxa"/>
            <w:shd w:val="clear" w:color="auto" w:fill="FFFFFF"/>
          </w:tcPr>
          <w:p w14:paraId="5CAC1C1F" w14:textId="77777777" w:rsidR="004B2AD0" w:rsidRPr="00AD5E2D" w:rsidRDefault="004B2AD0" w:rsidP="0047060A">
            <w:pPr>
              <w:pStyle w:val="CETBodytext"/>
              <w:ind w:right="-1"/>
              <w:rPr>
                <w:rFonts w:asciiTheme="minorBidi" w:hAnsiTheme="minorBidi" w:cstheme="minorBidi"/>
                <w:szCs w:val="18"/>
                <w:lang w:val="en-GB"/>
              </w:rPr>
            </w:pPr>
            <w:r w:rsidRPr="00AD5E2D">
              <w:rPr>
                <w:rFonts w:asciiTheme="minorBidi" w:hAnsiTheme="minorBidi" w:cstheme="minorBidi"/>
                <w:szCs w:val="18"/>
              </w:rPr>
              <w:t>Oil immersion -symbol (o)</w:t>
            </w:r>
          </w:p>
        </w:tc>
        <w:tc>
          <w:tcPr>
            <w:tcW w:w="6663" w:type="dxa"/>
            <w:shd w:val="clear" w:color="auto" w:fill="FFFFFF"/>
          </w:tcPr>
          <w:p w14:paraId="51BFA5EE" w14:textId="77777777" w:rsidR="004B2AD0" w:rsidRPr="00644C95" w:rsidRDefault="004B2AD0" w:rsidP="0047060A">
            <w:pPr>
              <w:pStyle w:val="CETBodytext"/>
              <w:ind w:right="-1"/>
              <w:rPr>
                <w:rFonts w:asciiTheme="minorBidi" w:hAnsiTheme="minorBidi" w:cstheme="minorBidi"/>
                <w:szCs w:val="18"/>
              </w:rPr>
            </w:pPr>
            <w:r w:rsidRPr="00644C95">
              <w:rPr>
                <w:rFonts w:asciiTheme="minorBidi" w:hAnsiTheme="minorBidi" w:cstheme="minorBidi"/>
                <w:szCs w:val="18"/>
              </w:rPr>
              <w:t>The electrical equipment is submerged in oil to prevent the penetration and ignition of an explosive atmosphere above the oil level or outside the enclosure.</w:t>
            </w:r>
          </w:p>
        </w:tc>
      </w:tr>
      <w:tr w:rsidR="004B2AD0" w:rsidRPr="00AD5E2D" w14:paraId="128C688B" w14:textId="77777777" w:rsidTr="0047060A">
        <w:tc>
          <w:tcPr>
            <w:tcW w:w="2268" w:type="dxa"/>
            <w:shd w:val="clear" w:color="auto" w:fill="FFFFFF"/>
          </w:tcPr>
          <w:p w14:paraId="780F8BD4" w14:textId="77777777" w:rsidR="004B2AD0" w:rsidRPr="00AD5E2D" w:rsidRDefault="004B2AD0" w:rsidP="0047060A">
            <w:pPr>
              <w:pStyle w:val="CETBodytext"/>
              <w:ind w:right="-1"/>
              <w:rPr>
                <w:rFonts w:asciiTheme="minorBidi" w:hAnsiTheme="minorBidi" w:cstheme="minorBidi"/>
                <w:szCs w:val="18"/>
              </w:rPr>
            </w:pPr>
            <w:r w:rsidRPr="00AD5E2D">
              <w:rPr>
                <w:rFonts w:asciiTheme="minorBidi" w:hAnsiTheme="minorBidi" w:cstheme="minorBidi"/>
                <w:szCs w:val="18"/>
              </w:rPr>
              <w:t>Encapsulation symbol (m)</w:t>
            </w:r>
          </w:p>
        </w:tc>
        <w:tc>
          <w:tcPr>
            <w:tcW w:w="6663" w:type="dxa"/>
            <w:shd w:val="clear" w:color="auto" w:fill="FFFFFF"/>
          </w:tcPr>
          <w:p w14:paraId="0774451F" w14:textId="77777777" w:rsidR="004B2AD0" w:rsidRPr="00644C95" w:rsidRDefault="004B2AD0" w:rsidP="0047060A">
            <w:pPr>
              <w:pStyle w:val="CETBodytext"/>
              <w:ind w:right="-1"/>
              <w:rPr>
                <w:rFonts w:asciiTheme="minorBidi" w:hAnsiTheme="minorBidi" w:cstheme="minorBidi"/>
                <w:szCs w:val="18"/>
              </w:rPr>
            </w:pPr>
            <w:r w:rsidRPr="00644C95">
              <w:rPr>
                <w:rFonts w:asciiTheme="minorBidi" w:hAnsiTheme="minorBidi" w:cstheme="minorBidi"/>
                <w:szCs w:val="18"/>
              </w:rPr>
              <w:t>Parts that could spark and ignite an explosive atmosphere are encapsulated in resin to prevent penetration and ignition.</w:t>
            </w:r>
          </w:p>
        </w:tc>
      </w:tr>
    </w:tbl>
    <w:p w14:paraId="2F934B67" w14:textId="77777777" w:rsidR="004B2AD0" w:rsidRDefault="004B2AD0" w:rsidP="004B2AD0">
      <w:pPr>
        <w:pStyle w:val="CETTabletitle"/>
      </w:pPr>
      <w:r w:rsidRPr="00675F06">
        <w:t>Table 9: Eliminating the source of ignition</w:t>
      </w:r>
    </w:p>
    <w:tbl>
      <w:tblPr>
        <w:tblW w:w="893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6521"/>
      </w:tblGrid>
      <w:tr w:rsidR="004B2AD0" w:rsidRPr="00AD5E2D" w14:paraId="7C127679" w14:textId="77777777" w:rsidTr="00644C95">
        <w:trPr>
          <w:trHeight w:val="125"/>
        </w:trPr>
        <w:tc>
          <w:tcPr>
            <w:tcW w:w="2410" w:type="dxa"/>
            <w:shd w:val="clear" w:color="auto" w:fill="FFFFFF"/>
          </w:tcPr>
          <w:p w14:paraId="40C07D05" w14:textId="619B63AD" w:rsidR="004B2AD0" w:rsidRPr="00911D4C" w:rsidRDefault="004B2AD0" w:rsidP="00644C95">
            <w:pPr>
              <w:jc w:val="left"/>
              <w:rPr>
                <w:rFonts w:asciiTheme="minorBidi" w:hAnsiTheme="minorBidi" w:cstheme="minorBidi"/>
                <w:szCs w:val="18"/>
              </w:rPr>
            </w:pPr>
            <w:r w:rsidRPr="00911D4C">
              <w:rPr>
                <w:rFonts w:asciiTheme="minorBidi" w:hAnsiTheme="minorBidi" w:cstheme="minorBidi"/>
                <w:szCs w:val="18"/>
              </w:rPr>
              <w:t xml:space="preserve">Increased safety </w:t>
            </w:r>
            <w:r w:rsidR="00644C95">
              <w:rPr>
                <w:rFonts w:asciiTheme="minorBidi" w:hAnsiTheme="minorBidi" w:cstheme="minorBidi"/>
                <w:szCs w:val="18"/>
              </w:rPr>
              <w:t>-</w:t>
            </w:r>
            <w:r w:rsidRPr="00911D4C">
              <w:rPr>
                <w:rFonts w:asciiTheme="minorBidi" w:hAnsiTheme="minorBidi" w:cstheme="minorBidi"/>
                <w:szCs w:val="18"/>
              </w:rPr>
              <w:t>symbol (e)</w:t>
            </w:r>
          </w:p>
          <w:p w14:paraId="3388F10C" w14:textId="77777777" w:rsidR="004B2AD0" w:rsidRPr="00911D4C" w:rsidRDefault="004B2AD0" w:rsidP="0047060A">
            <w:pPr>
              <w:pStyle w:val="CETBodytext"/>
              <w:rPr>
                <w:rFonts w:asciiTheme="minorBidi" w:hAnsiTheme="minorBidi" w:cstheme="minorBidi"/>
                <w:szCs w:val="18"/>
                <w:lang w:val="en-GB"/>
              </w:rPr>
            </w:pPr>
          </w:p>
        </w:tc>
        <w:tc>
          <w:tcPr>
            <w:tcW w:w="6521" w:type="dxa"/>
            <w:shd w:val="clear" w:color="auto" w:fill="FFFFFF"/>
          </w:tcPr>
          <w:p w14:paraId="27943719" w14:textId="77777777" w:rsidR="004B2AD0" w:rsidRPr="00644C95" w:rsidRDefault="004B2AD0" w:rsidP="0047060A">
            <w:pPr>
              <w:pStyle w:val="CETBodytext"/>
              <w:rPr>
                <w:rFonts w:asciiTheme="minorBidi" w:hAnsiTheme="minorBidi" w:cstheme="minorBidi"/>
                <w:szCs w:val="18"/>
                <w:lang w:val="en-GB"/>
              </w:rPr>
            </w:pPr>
            <w:r w:rsidRPr="00644C95">
              <w:rPr>
                <w:rFonts w:asciiTheme="minorBidi" w:hAnsiTheme="minorBidi" w:cstheme="minorBidi"/>
                <w:szCs w:val="18"/>
                <w:lang w:val="en-GB"/>
              </w:rPr>
              <w:t>A protection method that implements measures to prevent excessive temperatures and arcs or sparks in electrical equipment during normal operation</w:t>
            </w:r>
          </w:p>
        </w:tc>
      </w:tr>
      <w:tr w:rsidR="004B2AD0" w:rsidRPr="00AD5E2D" w14:paraId="317A3F78" w14:textId="77777777" w:rsidTr="00644C95">
        <w:tc>
          <w:tcPr>
            <w:tcW w:w="2410" w:type="dxa"/>
            <w:shd w:val="clear" w:color="auto" w:fill="FFFFFF"/>
          </w:tcPr>
          <w:p w14:paraId="6B57E93B" w14:textId="214BCE66" w:rsidR="004B2AD0" w:rsidRPr="00911D4C" w:rsidRDefault="004B2AD0" w:rsidP="0047060A">
            <w:pPr>
              <w:pStyle w:val="CETBodytext"/>
              <w:ind w:right="-1"/>
              <w:rPr>
                <w:rFonts w:asciiTheme="minorBidi" w:hAnsiTheme="minorBidi" w:cstheme="minorBidi"/>
                <w:szCs w:val="18"/>
                <w:lang w:val="en-GB"/>
              </w:rPr>
            </w:pPr>
            <w:r w:rsidRPr="00911D4C">
              <w:rPr>
                <w:rFonts w:asciiTheme="minorBidi" w:hAnsiTheme="minorBidi" w:cstheme="minorBidi"/>
                <w:szCs w:val="18"/>
              </w:rPr>
              <w:t xml:space="preserve">Intrinsic safety </w:t>
            </w:r>
            <w:r w:rsidR="00644C95">
              <w:rPr>
                <w:rFonts w:asciiTheme="minorBidi" w:hAnsiTheme="minorBidi" w:cstheme="minorBidi"/>
                <w:szCs w:val="18"/>
              </w:rPr>
              <w:t>-</w:t>
            </w:r>
            <w:r w:rsidRPr="00911D4C">
              <w:rPr>
                <w:rFonts w:asciiTheme="minorBidi" w:hAnsiTheme="minorBidi" w:cstheme="minorBidi"/>
                <w:szCs w:val="18"/>
              </w:rPr>
              <w:t>symbol (i)</w:t>
            </w:r>
          </w:p>
        </w:tc>
        <w:tc>
          <w:tcPr>
            <w:tcW w:w="6521" w:type="dxa"/>
            <w:shd w:val="clear" w:color="auto" w:fill="FFFFFF"/>
          </w:tcPr>
          <w:p w14:paraId="269B5E38" w14:textId="77777777" w:rsidR="004B2AD0" w:rsidRPr="00644C95" w:rsidRDefault="004B2AD0" w:rsidP="0047060A">
            <w:pPr>
              <w:pStyle w:val="CETBodytext"/>
              <w:ind w:right="-1"/>
              <w:rPr>
                <w:rFonts w:asciiTheme="minorBidi" w:hAnsiTheme="minorBidi" w:cstheme="minorBidi"/>
                <w:szCs w:val="18"/>
              </w:rPr>
            </w:pPr>
            <w:r w:rsidRPr="00644C95">
              <w:rPr>
                <w:rFonts w:asciiTheme="minorBidi" w:hAnsiTheme="minorBidi" w:cstheme="minorBidi"/>
                <w:szCs w:val="18"/>
              </w:rPr>
              <w:t>An intrinsically safe circuit cannot ignite an explosive atmosphere under standard test conditions.</w:t>
            </w:r>
          </w:p>
        </w:tc>
      </w:tr>
    </w:tbl>
    <w:p w14:paraId="39E1B01E" w14:textId="5CA79E6C" w:rsidR="004B2AD0" w:rsidRPr="001A708E" w:rsidRDefault="004B2AD0" w:rsidP="004B2AD0">
      <w:pPr>
        <w:pStyle w:val="CETTabletitle"/>
        <w:rPr>
          <w:lang w:val="en-US"/>
        </w:rPr>
      </w:pPr>
      <w:r w:rsidRPr="001A708E">
        <w:rPr>
          <w:lang w:val="en-US"/>
        </w:rPr>
        <w:t xml:space="preserve">Table </w:t>
      </w:r>
      <w:r w:rsidR="00136E9D" w:rsidRPr="001A708E">
        <w:rPr>
          <w:lang w:val="en-US"/>
        </w:rPr>
        <w:t>10:</w:t>
      </w:r>
      <w:r w:rsidRPr="001A708E">
        <w:rPr>
          <w:lang w:val="en-US"/>
        </w:rPr>
        <w:t xml:space="preserve"> Non-propagation of inflammation and internal security.</w:t>
      </w:r>
    </w:p>
    <w:tbl>
      <w:tblPr>
        <w:tblW w:w="893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410"/>
        <w:gridCol w:w="6521"/>
      </w:tblGrid>
      <w:tr w:rsidR="004B2AD0" w:rsidRPr="00A54158" w14:paraId="1912C744" w14:textId="77777777" w:rsidTr="0047060A">
        <w:trPr>
          <w:trHeight w:val="125"/>
        </w:trPr>
        <w:tc>
          <w:tcPr>
            <w:tcW w:w="2410" w:type="dxa"/>
            <w:shd w:val="clear" w:color="auto" w:fill="FFFFFF"/>
          </w:tcPr>
          <w:p w14:paraId="222E3A5A" w14:textId="77777777" w:rsidR="004B2AD0" w:rsidRPr="00A54158" w:rsidRDefault="004B2AD0" w:rsidP="004B2AD0">
            <w:pPr>
              <w:pStyle w:val="CETBodytext"/>
              <w:jc w:val="left"/>
              <w:rPr>
                <w:rFonts w:asciiTheme="minorBidi" w:hAnsiTheme="minorBidi" w:cstheme="minorBidi"/>
                <w:szCs w:val="18"/>
                <w:lang w:val="en-GB"/>
              </w:rPr>
            </w:pPr>
            <w:r w:rsidRPr="00A54158">
              <w:rPr>
                <w:rFonts w:asciiTheme="minorBidi" w:hAnsiTheme="minorBidi" w:cstheme="minorBidi"/>
                <w:szCs w:val="18"/>
              </w:rPr>
              <w:t>Explosion-proof envelope - symbol (d)</w:t>
            </w:r>
          </w:p>
        </w:tc>
        <w:tc>
          <w:tcPr>
            <w:tcW w:w="6521" w:type="dxa"/>
            <w:shd w:val="clear" w:color="auto" w:fill="FFFFFF"/>
          </w:tcPr>
          <w:p w14:paraId="62816529" w14:textId="77777777" w:rsidR="004B2AD0" w:rsidRPr="00A54158" w:rsidRDefault="004B2AD0" w:rsidP="0047060A">
            <w:pPr>
              <w:pStyle w:val="CETBodytext"/>
              <w:rPr>
                <w:rFonts w:asciiTheme="minorBidi" w:hAnsiTheme="minorBidi" w:cstheme="minorBidi"/>
                <w:szCs w:val="18"/>
              </w:rPr>
            </w:pPr>
            <w:r w:rsidRPr="00A54158">
              <w:rPr>
                <w:rFonts w:asciiTheme="minorBidi" w:hAnsiTheme="minorBidi" w:cstheme="minorBidi"/>
                <w:szCs w:val="18"/>
              </w:rPr>
              <w:t>Ignition-prone parts are enclosed in a casing that contains internal explosions, similar to protection mode (d) for electrical equipment.</w:t>
            </w:r>
          </w:p>
        </w:tc>
      </w:tr>
      <w:tr w:rsidR="004B2AD0" w:rsidRPr="00A54158" w14:paraId="2063E9F2" w14:textId="77777777" w:rsidTr="0047060A">
        <w:tc>
          <w:tcPr>
            <w:tcW w:w="2410" w:type="dxa"/>
            <w:shd w:val="clear" w:color="auto" w:fill="FFFFFF"/>
          </w:tcPr>
          <w:p w14:paraId="0073285D" w14:textId="77777777" w:rsidR="004B2AD0" w:rsidRPr="00A54158" w:rsidRDefault="004B2AD0" w:rsidP="0047060A">
            <w:pPr>
              <w:pStyle w:val="CETBodytext"/>
              <w:ind w:right="-1"/>
              <w:rPr>
                <w:rFonts w:asciiTheme="minorBidi" w:hAnsiTheme="minorBidi" w:cstheme="minorBidi"/>
                <w:szCs w:val="18"/>
                <w:lang w:val="en-GB"/>
              </w:rPr>
            </w:pPr>
            <w:r w:rsidRPr="00A54158">
              <w:rPr>
                <w:rFonts w:asciiTheme="minorBidi" w:hAnsiTheme="minorBidi" w:cstheme="minorBidi"/>
                <w:szCs w:val="18"/>
              </w:rPr>
              <w:t xml:space="preserve">Powder filling -symbol (q) </w:t>
            </w:r>
          </w:p>
        </w:tc>
        <w:tc>
          <w:tcPr>
            <w:tcW w:w="6521" w:type="dxa"/>
            <w:shd w:val="clear" w:color="auto" w:fill="FFFFFF"/>
          </w:tcPr>
          <w:p w14:paraId="5CE03526" w14:textId="77777777" w:rsidR="004B2AD0" w:rsidRPr="00A54158" w:rsidRDefault="004B2AD0" w:rsidP="0047060A">
            <w:pPr>
              <w:pStyle w:val="CETBodytext"/>
              <w:ind w:right="-1"/>
              <w:rPr>
                <w:rFonts w:asciiTheme="minorBidi" w:hAnsiTheme="minorBidi" w:cstheme="minorBidi"/>
                <w:szCs w:val="18"/>
              </w:rPr>
            </w:pPr>
            <w:r w:rsidRPr="00A54158">
              <w:rPr>
                <w:rFonts w:asciiTheme="minorBidi" w:hAnsiTheme="minorBidi" w:cstheme="minorBidi"/>
                <w:szCs w:val="18"/>
              </w:rPr>
              <w:t>Ignition-prone parts are fixed and fully embedded in filling material to prevent ignition of the surrounding explosive atmosphere.</w:t>
            </w:r>
          </w:p>
        </w:tc>
      </w:tr>
      <w:tr w:rsidR="004B2AD0" w:rsidRPr="00A54158" w14:paraId="49A3EB60" w14:textId="77777777" w:rsidTr="0047060A">
        <w:tc>
          <w:tcPr>
            <w:tcW w:w="2410" w:type="dxa"/>
            <w:shd w:val="clear" w:color="auto" w:fill="FFFFFF"/>
          </w:tcPr>
          <w:p w14:paraId="3412A083" w14:textId="77777777" w:rsidR="004B2AD0" w:rsidRPr="00A54158" w:rsidRDefault="004B2AD0" w:rsidP="0047060A">
            <w:pPr>
              <w:pStyle w:val="CETBodytext"/>
              <w:ind w:right="-1"/>
              <w:rPr>
                <w:rFonts w:asciiTheme="minorBidi" w:hAnsiTheme="minorBidi" w:cstheme="minorBidi"/>
                <w:szCs w:val="18"/>
              </w:rPr>
            </w:pPr>
            <w:r w:rsidRPr="00A54158">
              <w:rPr>
                <w:rFonts w:asciiTheme="minorBidi" w:hAnsiTheme="minorBidi" w:cstheme="minorBidi"/>
                <w:szCs w:val="18"/>
              </w:rPr>
              <w:t>Limited circulation envelope -symbol (</w:t>
            </w:r>
            <w:proofErr w:type="spellStart"/>
            <w:r w:rsidRPr="00A54158">
              <w:rPr>
                <w:rFonts w:asciiTheme="minorBidi" w:hAnsiTheme="minorBidi" w:cstheme="minorBidi"/>
                <w:szCs w:val="18"/>
              </w:rPr>
              <w:t>fr</w:t>
            </w:r>
            <w:proofErr w:type="spellEnd"/>
            <w:r w:rsidRPr="00A54158">
              <w:rPr>
                <w:rFonts w:asciiTheme="minorBidi" w:hAnsiTheme="minorBidi" w:cstheme="minorBidi"/>
                <w:szCs w:val="18"/>
              </w:rPr>
              <w:t>)</w:t>
            </w:r>
          </w:p>
        </w:tc>
        <w:tc>
          <w:tcPr>
            <w:tcW w:w="6521" w:type="dxa"/>
            <w:shd w:val="clear" w:color="auto" w:fill="FFFFFF"/>
          </w:tcPr>
          <w:p w14:paraId="49A492E3" w14:textId="77777777" w:rsidR="004B2AD0" w:rsidRPr="00A54158" w:rsidRDefault="004B2AD0" w:rsidP="0047060A">
            <w:pPr>
              <w:pStyle w:val="CETBodytext"/>
              <w:ind w:right="-1"/>
              <w:rPr>
                <w:rFonts w:asciiTheme="minorBidi" w:hAnsiTheme="minorBidi" w:cstheme="minorBidi"/>
                <w:szCs w:val="18"/>
              </w:rPr>
            </w:pPr>
            <w:r w:rsidRPr="00A54158">
              <w:rPr>
                <w:rFonts w:asciiTheme="minorBidi" w:hAnsiTheme="minorBidi" w:cstheme="minorBidi"/>
                <w:szCs w:val="18"/>
              </w:rPr>
              <w:t>Flow restriction protects by limiting the entry of explosive atmospheres into enclosures (concentration &lt; LEL), applicable to equipment with ignition sources</w:t>
            </w:r>
          </w:p>
        </w:tc>
      </w:tr>
      <w:tr w:rsidR="004B2AD0" w:rsidRPr="00A54158" w14:paraId="7B608D6F" w14:textId="77777777" w:rsidTr="0047060A">
        <w:tc>
          <w:tcPr>
            <w:tcW w:w="2410" w:type="dxa"/>
            <w:shd w:val="clear" w:color="auto" w:fill="FFFFFF"/>
          </w:tcPr>
          <w:p w14:paraId="3089A4B5" w14:textId="77777777" w:rsidR="004B2AD0" w:rsidRPr="00A54158" w:rsidRDefault="004B2AD0" w:rsidP="0047060A">
            <w:pPr>
              <w:pStyle w:val="CETBodytext"/>
              <w:ind w:right="-1"/>
              <w:rPr>
                <w:rFonts w:asciiTheme="minorBidi" w:hAnsiTheme="minorBidi" w:cstheme="minorBidi"/>
                <w:szCs w:val="18"/>
              </w:rPr>
            </w:pPr>
            <w:r w:rsidRPr="00A54158">
              <w:rPr>
                <w:rFonts w:asciiTheme="minorBidi" w:hAnsiTheme="minorBidi" w:cstheme="minorBidi"/>
                <w:szCs w:val="18"/>
              </w:rPr>
              <w:t>Integrated safety</w:t>
            </w:r>
          </w:p>
        </w:tc>
        <w:tc>
          <w:tcPr>
            <w:tcW w:w="6521" w:type="dxa"/>
            <w:shd w:val="clear" w:color="auto" w:fill="FFFFFF"/>
          </w:tcPr>
          <w:p w14:paraId="2B807DA3" w14:textId="77777777" w:rsidR="004B2AD0" w:rsidRPr="00A54158" w:rsidRDefault="004B2AD0" w:rsidP="0047060A">
            <w:pPr>
              <w:pStyle w:val="CETBodytext"/>
              <w:ind w:right="-1"/>
              <w:rPr>
                <w:rFonts w:asciiTheme="minorBidi" w:hAnsiTheme="minorBidi" w:cstheme="minorBidi"/>
                <w:szCs w:val="18"/>
              </w:rPr>
            </w:pPr>
            <w:r w:rsidRPr="00A54158">
              <w:rPr>
                <w:rFonts w:asciiTheme="minorBidi" w:hAnsiTheme="minorBidi" w:cstheme="minorBidi"/>
                <w:szCs w:val="18"/>
              </w:rPr>
              <w:t>The principle is to set maximum criteria for speeds, materials, and energies to prevent ignition sources.</w:t>
            </w:r>
          </w:p>
        </w:tc>
      </w:tr>
    </w:tbl>
    <w:p w14:paraId="421ED682" w14:textId="35D2140B" w:rsidR="004B2AD0" w:rsidRDefault="004B2AD0" w:rsidP="00136E9D">
      <w:pPr>
        <w:pStyle w:val="CETTabletitle"/>
        <w:rPr>
          <w:rFonts w:eastAsia="Calibri"/>
          <w:lang w:val="fr-FR"/>
        </w:rPr>
      </w:pPr>
      <w:r w:rsidRPr="00A54158">
        <w:rPr>
          <w:rFonts w:eastAsia="Calibri"/>
          <w:lang w:val="fr-FR"/>
        </w:rPr>
        <w:t>Table 1</w:t>
      </w:r>
      <w:r w:rsidR="00136E9D" w:rsidRPr="00A54158">
        <w:rPr>
          <w:rFonts w:eastAsia="Calibri"/>
          <w:lang w:val="fr-FR"/>
        </w:rPr>
        <w:t>1</w:t>
      </w:r>
      <w:r w:rsidRPr="00A54158">
        <w:rPr>
          <w:rFonts w:eastAsia="Calibri"/>
          <w:lang w:val="fr-FR"/>
        </w:rPr>
        <w:t> : Construction safety</w:t>
      </w:r>
    </w:p>
    <w:tbl>
      <w:tblPr>
        <w:tblW w:w="8931"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119"/>
        <w:gridCol w:w="5812"/>
      </w:tblGrid>
      <w:tr w:rsidR="004B2AD0" w:rsidRPr="00AD5E2D" w14:paraId="26207B31" w14:textId="77777777" w:rsidTr="0047060A">
        <w:trPr>
          <w:trHeight w:val="125"/>
        </w:trPr>
        <w:tc>
          <w:tcPr>
            <w:tcW w:w="3119" w:type="dxa"/>
            <w:shd w:val="clear" w:color="auto" w:fill="FFFFFF"/>
          </w:tcPr>
          <w:p w14:paraId="34180461" w14:textId="77777777" w:rsidR="004B2AD0" w:rsidRPr="00911D4C" w:rsidRDefault="004B2AD0" w:rsidP="0047060A">
            <w:pPr>
              <w:rPr>
                <w:rFonts w:asciiTheme="minorBidi" w:hAnsiTheme="minorBidi" w:cstheme="minorBidi"/>
                <w:szCs w:val="18"/>
                <w:lang w:val="en-US"/>
              </w:rPr>
            </w:pPr>
            <w:r w:rsidRPr="00911D4C">
              <w:rPr>
                <w:rFonts w:asciiTheme="minorBidi" w:hAnsiTheme="minorBidi" w:cstheme="minorBidi"/>
                <w:szCs w:val="18"/>
                <w:lang w:val="en-US"/>
              </w:rPr>
              <w:t>Construction safety -symbol ( c)</w:t>
            </w:r>
          </w:p>
          <w:p w14:paraId="186CDE33" w14:textId="77777777" w:rsidR="004B2AD0" w:rsidRPr="00911D4C" w:rsidRDefault="004B2AD0" w:rsidP="0047060A">
            <w:pPr>
              <w:pStyle w:val="CETBodytext"/>
              <w:rPr>
                <w:rFonts w:asciiTheme="minorBidi" w:hAnsiTheme="minorBidi" w:cstheme="minorBidi"/>
                <w:szCs w:val="18"/>
                <w:lang w:val="en-GB"/>
              </w:rPr>
            </w:pPr>
          </w:p>
        </w:tc>
        <w:tc>
          <w:tcPr>
            <w:tcW w:w="5812" w:type="dxa"/>
            <w:shd w:val="clear" w:color="auto" w:fill="FFFFFF"/>
          </w:tcPr>
          <w:p w14:paraId="2394FFA7" w14:textId="77777777" w:rsidR="004B2AD0" w:rsidRPr="00911D4C" w:rsidRDefault="004B2AD0" w:rsidP="0047060A">
            <w:pPr>
              <w:pStyle w:val="CETBodytext"/>
              <w:rPr>
                <w:rFonts w:asciiTheme="minorBidi" w:hAnsiTheme="minorBidi" w:cstheme="minorBidi"/>
                <w:szCs w:val="18"/>
                <w:lang w:val="en-GB"/>
              </w:rPr>
            </w:pPr>
            <w:r w:rsidRPr="00911D4C">
              <w:rPr>
                <w:rFonts w:asciiTheme="minorBidi" w:hAnsiTheme="minorBidi" w:cstheme="minorBidi"/>
                <w:szCs w:val="18"/>
              </w:rPr>
              <w:t>The basic principle of this type of protection is to select equipment that does not normally contain a source of ignition.</w:t>
            </w:r>
          </w:p>
        </w:tc>
      </w:tr>
      <w:tr w:rsidR="004B2AD0" w:rsidRPr="00AD5E2D" w14:paraId="574B97DF" w14:textId="77777777" w:rsidTr="0047060A">
        <w:tc>
          <w:tcPr>
            <w:tcW w:w="3119" w:type="dxa"/>
            <w:shd w:val="clear" w:color="auto" w:fill="FFFFFF"/>
          </w:tcPr>
          <w:p w14:paraId="4722D241" w14:textId="77777777" w:rsidR="004B2AD0" w:rsidRPr="00911D4C" w:rsidRDefault="004B2AD0" w:rsidP="0047060A">
            <w:pPr>
              <w:rPr>
                <w:rFonts w:asciiTheme="minorBidi" w:hAnsiTheme="minorBidi" w:cstheme="minorBidi"/>
                <w:szCs w:val="18"/>
                <w:lang w:val="en-US"/>
              </w:rPr>
            </w:pPr>
            <w:r w:rsidRPr="00911D4C">
              <w:rPr>
                <w:rFonts w:asciiTheme="minorBidi" w:hAnsiTheme="minorBidi" w:cstheme="minorBidi"/>
                <w:szCs w:val="18"/>
                <w:lang w:val="en-US"/>
              </w:rPr>
              <w:t>Control of ignition source-symbol (b)</w:t>
            </w:r>
          </w:p>
          <w:p w14:paraId="1DE8DE15" w14:textId="77777777" w:rsidR="004B2AD0" w:rsidRPr="00911D4C" w:rsidRDefault="004B2AD0" w:rsidP="0047060A">
            <w:pPr>
              <w:pStyle w:val="CETBodytext"/>
              <w:ind w:right="-1"/>
              <w:rPr>
                <w:rFonts w:asciiTheme="minorBidi" w:hAnsiTheme="minorBidi" w:cstheme="minorBidi"/>
                <w:szCs w:val="18"/>
                <w:lang w:val="en-GB"/>
              </w:rPr>
            </w:pPr>
          </w:p>
        </w:tc>
        <w:tc>
          <w:tcPr>
            <w:tcW w:w="5812" w:type="dxa"/>
            <w:shd w:val="clear" w:color="auto" w:fill="FFFFFF"/>
          </w:tcPr>
          <w:p w14:paraId="099C96A3" w14:textId="77777777" w:rsidR="004B2AD0" w:rsidRPr="00A54158" w:rsidRDefault="004B2AD0" w:rsidP="0047060A">
            <w:pPr>
              <w:pStyle w:val="CETBodytext"/>
              <w:ind w:right="-1"/>
              <w:rPr>
                <w:rFonts w:asciiTheme="minorBidi" w:hAnsiTheme="minorBidi" w:cstheme="minorBidi"/>
                <w:szCs w:val="18"/>
              </w:rPr>
            </w:pPr>
            <w:r w:rsidRPr="00A54158">
              <w:rPr>
                <w:rFonts w:asciiTheme="minorBidi" w:hAnsiTheme="minorBidi" w:cstheme="minorBidi"/>
                <w:szCs w:val="18"/>
              </w:rPr>
              <w:t>Install a control system with sensors to shut down the appliance if safety limits are exceeded.</w:t>
            </w:r>
          </w:p>
        </w:tc>
      </w:tr>
      <w:tr w:rsidR="004B2AD0" w:rsidRPr="00AD5E2D" w14:paraId="0A641A9C" w14:textId="77777777" w:rsidTr="0047060A">
        <w:tc>
          <w:tcPr>
            <w:tcW w:w="3119" w:type="dxa"/>
            <w:shd w:val="clear" w:color="auto" w:fill="FFFFFF"/>
          </w:tcPr>
          <w:p w14:paraId="0A0E29BF" w14:textId="77777777" w:rsidR="004B2AD0" w:rsidRPr="0060009A" w:rsidRDefault="004B2AD0" w:rsidP="0047060A">
            <w:pPr>
              <w:rPr>
                <w:rFonts w:asciiTheme="minorBidi" w:hAnsiTheme="minorBidi" w:cstheme="minorBidi"/>
                <w:szCs w:val="18"/>
                <w:lang w:val="en-US"/>
              </w:rPr>
            </w:pPr>
            <w:r>
              <w:rPr>
                <w:rFonts w:asciiTheme="minorBidi" w:hAnsiTheme="minorBidi" w:cstheme="minorBidi"/>
                <w:szCs w:val="18"/>
                <w:lang w:val="en-US"/>
              </w:rPr>
              <w:t>Internal overpressure</w:t>
            </w:r>
          </w:p>
        </w:tc>
        <w:tc>
          <w:tcPr>
            <w:tcW w:w="5812" w:type="dxa"/>
            <w:shd w:val="clear" w:color="auto" w:fill="FFFFFF"/>
          </w:tcPr>
          <w:p w14:paraId="5C642ECB" w14:textId="77777777" w:rsidR="004B2AD0" w:rsidRPr="00A54158" w:rsidRDefault="004B2AD0" w:rsidP="0047060A">
            <w:pPr>
              <w:pStyle w:val="CETBodytext"/>
              <w:ind w:right="-1"/>
              <w:rPr>
                <w:rFonts w:asciiTheme="minorBidi" w:hAnsiTheme="minorBidi" w:cstheme="minorBidi"/>
                <w:szCs w:val="18"/>
              </w:rPr>
            </w:pPr>
            <w:proofErr w:type="spellStart"/>
            <w:r w:rsidRPr="00A54158">
              <w:rPr>
                <w:rFonts w:asciiTheme="minorBidi" w:hAnsiTheme="minorBidi" w:cstheme="minorBidi"/>
                <w:szCs w:val="18"/>
              </w:rPr>
              <w:t>St.rongly</w:t>
            </w:r>
            <w:proofErr w:type="spellEnd"/>
            <w:r w:rsidRPr="00A54158">
              <w:rPr>
                <w:rFonts w:asciiTheme="minorBidi" w:hAnsiTheme="minorBidi" w:cstheme="minorBidi"/>
                <w:szCs w:val="18"/>
              </w:rPr>
              <w:t xml:space="preserve"> inspired by the protection mode </w:t>
            </w:r>
            <w:proofErr w:type="gramStart"/>
            <w:r w:rsidRPr="00A54158">
              <w:rPr>
                <w:rFonts w:asciiTheme="minorBidi" w:hAnsiTheme="minorBidi" w:cstheme="minorBidi"/>
                <w:szCs w:val="18"/>
              </w:rPr>
              <w:t>( p</w:t>
            </w:r>
            <w:proofErr w:type="gramEnd"/>
            <w:r w:rsidRPr="00A54158">
              <w:rPr>
                <w:rFonts w:asciiTheme="minorBidi" w:hAnsiTheme="minorBidi" w:cstheme="minorBidi"/>
                <w:szCs w:val="18"/>
              </w:rPr>
              <w:t>) for electrical equipment.</w:t>
            </w:r>
          </w:p>
        </w:tc>
      </w:tr>
      <w:tr w:rsidR="004B2AD0" w:rsidRPr="00AD5E2D" w14:paraId="60BA0979" w14:textId="77777777" w:rsidTr="0047060A">
        <w:tc>
          <w:tcPr>
            <w:tcW w:w="3119" w:type="dxa"/>
            <w:shd w:val="clear" w:color="auto" w:fill="FFFFFF"/>
          </w:tcPr>
          <w:p w14:paraId="3D5D85A0" w14:textId="77777777" w:rsidR="004B2AD0" w:rsidRPr="00911D4C" w:rsidRDefault="004B2AD0" w:rsidP="0047060A">
            <w:pPr>
              <w:rPr>
                <w:rFonts w:asciiTheme="minorBidi" w:hAnsiTheme="minorBidi" w:cstheme="minorBidi"/>
                <w:szCs w:val="18"/>
                <w:lang w:val="en-US"/>
              </w:rPr>
            </w:pPr>
            <w:r w:rsidRPr="00911D4C">
              <w:rPr>
                <w:rFonts w:asciiTheme="minorBidi" w:hAnsiTheme="minorBidi" w:cstheme="minorBidi"/>
                <w:szCs w:val="18"/>
                <w:lang w:val="en-US"/>
              </w:rPr>
              <w:t>Immersion in liquid-symbol (k)</w:t>
            </w:r>
          </w:p>
        </w:tc>
        <w:tc>
          <w:tcPr>
            <w:tcW w:w="5812" w:type="dxa"/>
            <w:shd w:val="clear" w:color="auto" w:fill="FFFFFF"/>
          </w:tcPr>
          <w:p w14:paraId="47DC1262" w14:textId="77777777" w:rsidR="004B2AD0" w:rsidRPr="00911D4C" w:rsidRDefault="004B2AD0" w:rsidP="0047060A">
            <w:pPr>
              <w:pStyle w:val="CETBodytext"/>
              <w:ind w:right="-1"/>
              <w:rPr>
                <w:rFonts w:asciiTheme="minorBidi" w:hAnsiTheme="minorBidi" w:cstheme="minorBidi"/>
                <w:szCs w:val="18"/>
              </w:rPr>
            </w:pPr>
            <w:r w:rsidRPr="00DD2DD3">
              <w:rPr>
                <w:rFonts w:asciiTheme="minorBidi" w:hAnsiTheme="minorBidi" w:cstheme="minorBidi"/>
                <w:szCs w:val="18"/>
              </w:rPr>
              <w:t>The standard adopts the protection principle mode for electrical equipment, considering partial immersion and liquids other than oil.</w:t>
            </w:r>
          </w:p>
        </w:tc>
      </w:tr>
    </w:tbl>
    <w:p w14:paraId="5A942E0F" w14:textId="77777777" w:rsidR="004B2AD0" w:rsidRDefault="004B2AD0" w:rsidP="004B2AD0">
      <w:pPr>
        <w:pStyle w:val="CETBodytext"/>
      </w:pPr>
    </w:p>
    <w:p w14:paraId="48954A6B" w14:textId="5C0A58EC" w:rsidR="004B2AD0" w:rsidRPr="004B2AD0" w:rsidRDefault="004B2AD0" w:rsidP="004B2AD0">
      <w:pPr>
        <w:pStyle w:val="CETBodytext"/>
      </w:pPr>
      <w:r w:rsidRPr="00F07FAE">
        <w:t>Finally, by classifying ATEX zones and calculating the impact of such explosions, we were able to propose preventive measures to avoid ignition by selecting electrical equipment or installing protective vents.</w:t>
      </w:r>
    </w:p>
    <w:p w14:paraId="06BE6EA2" w14:textId="0A850DA2" w:rsidR="00986063" w:rsidRDefault="004B2AD0" w:rsidP="004B2AD0">
      <w:pPr>
        <w:pStyle w:val="CETHeading1"/>
      </w:pPr>
      <w:r>
        <w:t xml:space="preserve">Conclusion </w:t>
      </w:r>
    </w:p>
    <w:p w14:paraId="50265DA2" w14:textId="77777777" w:rsidR="004B2AD0" w:rsidRPr="00EE32C7" w:rsidRDefault="004B2AD0" w:rsidP="004B2AD0">
      <w:pPr>
        <w:pStyle w:val="CETBodytext"/>
      </w:pPr>
      <w:r w:rsidRPr="00EE32C7">
        <w:t>The study focused on assessing the risks of dust explosions in critical areas of the installation. To achieve this, we first had to examine the company's activities by answering the question: How do you assess the risks associated with an explosive dust atmosphere?</w:t>
      </w:r>
    </w:p>
    <w:p w14:paraId="6AE2F574" w14:textId="77777777" w:rsidR="004B2AD0" w:rsidRPr="00EE32C7" w:rsidRDefault="004B2AD0" w:rsidP="004B2AD0">
      <w:pPr>
        <w:pStyle w:val="CETBodytext"/>
      </w:pPr>
      <w:r w:rsidRPr="00EE32C7">
        <w:t>We began by assessing the risks of dust explosions within the production unit. Based on the data collected, we were able to analyze the zones as well as the frequency and severity of such explosions, which subsequently led to their classification.</w:t>
      </w:r>
    </w:p>
    <w:p w14:paraId="623AAB33" w14:textId="1FEF48AC" w:rsidR="004B2AD0" w:rsidRPr="004B2AD0" w:rsidRDefault="004B2AD0" w:rsidP="004B2AD0">
      <w:pPr>
        <w:pStyle w:val="CETBodytext"/>
      </w:pPr>
      <w:r w:rsidRPr="00EE32C7">
        <w:t>Using the results obtained, we calculated the effects induced by such explosions, including the affected radius, the mortality zone, and the congestion zone. We then proposed technical means of controlling the risks by selecting electrical equipment according to their protection category in line with the ATEX zoning or by installing an explosion vent.</w:t>
      </w:r>
    </w:p>
    <w:p w14:paraId="71BFB9E8" w14:textId="77777777" w:rsidR="004B2AD0" w:rsidRPr="00B55B19" w:rsidRDefault="004B2AD0" w:rsidP="004B2AD0">
      <w:pPr>
        <w:pStyle w:val="CETHeadingxx"/>
        <w:sectPr w:rsidR="004B2AD0" w:rsidRPr="00B55B19" w:rsidSect="00DC73EE">
          <w:type w:val="continuous"/>
          <w:pgSz w:w="11906" w:h="16838" w:code="9"/>
          <w:pgMar w:top="1701" w:right="1418" w:bottom="1701" w:left="1701" w:header="1701" w:footer="0" w:gutter="0"/>
          <w:cols w:space="708"/>
          <w:formProt w:val="0"/>
          <w:titlePg/>
          <w:docGrid w:linePitch="360"/>
        </w:sectPr>
      </w:pPr>
      <w:r w:rsidRPr="00B55B19">
        <w:t>Nomenclature</w:t>
      </w:r>
    </w:p>
    <w:p w14:paraId="542628AD" w14:textId="56773AEB" w:rsidR="004B2AD0" w:rsidRPr="00B55B19" w:rsidRDefault="004B2AD0" w:rsidP="004B2AD0">
      <w:pPr>
        <w:pStyle w:val="CETBodytext"/>
        <w:jc w:val="left"/>
        <w:rPr>
          <w:rFonts w:eastAsia="SimSun"/>
        </w:rPr>
      </w:pPr>
      <w:r w:rsidRPr="00B55B19">
        <w:rPr>
          <w:szCs w:val="18"/>
        </w:rPr>
        <w:t>ATEX: Explosive Atmospheres</w:t>
      </w:r>
    </w:p>
    <w:p w14:paraId="56F35820" w14:textId="4554C45B" w:rsidR="004B2AD0" w:rsidRPr="00B55B19" w:rsidRDefault="004B2AD0" w:rsidP="004B2AD0">
      <w:pPr>
        <w:pStyle w:val="CETBodytext"/>
        <w:jc w:val="left"/>
        <w:rPr>
          <w:rFonts w:eastAsia="SimSun"/>
        </w:rPr>
      </w:pPr>
      <w:r w:rsidRPr="00B55B19">
        <w:rPr>
          <w:szCs w:val="18"/>
        </w:rPr>
        <w:t>BS: British Standards Institution.</w:t>
      </w:r>
    </w:p>
    <w:p w14:paraId="5088B750" w14:textId="307FB8AF" w:rsidR="004B2AD0" w:rsidRPr="00B55B19" w:rsidRDefault="00C23AD3" w:rsidP="00A54158">
      <w:pPr>
        <w:pStyle w:val="CETBodytext"/>
        <w:ind w:left="567" w:hanging="567"/>
        <w:jc w:val="left"/>
        <w:rPr>
          <w:rFonts w:eastAsia="SimSun"/>
        </w:rPr>
      </w:pPr>
      <w:r w:rsidRPr="00A54158">
        <w:rPr>
          <w:szCs w:val="18"/>
        </w:rPr>
        <w:t>INRS</w:t>
      </w:r>
      <w:r w:rsidRPr="00B55B19">
        <w:rPr>
          <w:szCs w:val="18"/>
        </w:rPr>
        <w:t>:</w:t>
      </w:r>
      <w:r w:rsidRPr="00B55B19">
        <w:rPr>
          <w:rFonts w:cs="Arial"/>
          <w:color w:val="474747"/>
          <w:shd w:val="clear" w:color="auto" w:fill="FFFFFF"/>
        </w:rPr>
        <w:t xml:space="preserve"> </w:t>
      </w:r>
      <w:r w:rsidR="00A54158" w:rsidRPr="00B55B19">
        <w:rPr>
          <w:rFonts w:cs="Arial"/>
          <w:shd w:val="clear" w:color="auto" w:fill="FFFFFF"/>
        </w:rPr>
        <w:t>National Institute for Research and Safety.</w:t>
      </w:r>
    </w:p>
    <w:p w14:paraId="0AE50E28" w14:textId="4AD1817E" w:rsidR="004B2AD0" w:rsidRPr="00280FAF" w:rsidRDefault="00C23AD3" w:rsidP="00C23AD3">
      <w:pPr>
        <w:pStyle w:val="CETBodytext"/>
        <w:ind w:left="426" w:hanging="426"/>
        <w:jc w:val="left"/>
        <w:rPr>
          <w:rFonts w:eastAsia="SimSun"/>
        </w:rPr>
      </w:pPr>
      <w:r>
        <w:rPr>
          <w:szCs w:val="18"/>
        </w:rPr>
        <w:t>ISO: International Organization for Standardization.</w:t>
      </w:r>
    </w:p>
    <w:p w14:paraId="105CDBA4" w14:textId="24AAFE48" w:rsidR="004B2AD0" w:rsidRPr="00280FAF" w:rsidRDefault="00C23AD3" w:rsidP="004B2AD0">
      <w:pPr>
        <w:pStyle w:val="CETBodytext"/>
        <w:jc w:val="left"/>
        <w:rPr>
          <w:rFonts w:eastAsia="SimSun"/>
        </w:rPr>
      </w:pPr>
      <w:r w:rsidRPr="008D6163">
        <w:rPr>
          <w:szCs w:val="18"/>
          <w:lang w:val="fr-FR"/>
        </w:rPr>
        <w:t xml:space="preserve">NFPA: National </w:t>
      </w:r>
      <w:proofErr w:type="spellStart"/>
      <w:r w:rsidRPr="008D6163">
        <w:rPr>
          <w:szCs w:val="18"/>
          <w:lang w:val="fr-FR"/>
        </w:rPr>
        <w:t>Fire</w:t>
      </w:r>
      <w:proofErr w:type="spellEnd"/>
      <w:r w:rsidRPr="008D6163">
        <w:rPr>
          <w:szCs w:val="18"/>
          <w:lang w:val="fr-FR"/>
        </w:rPr>
        <w:t xml:space="preserve"> Protection Association</w:t>
      </w:r>
      <w:r>
        <w:rPr>
          <w:szCs w:val="18"/>
          <w:lang w:val="fr-FR"/>
        </w:rPr>
        <w:t>.</w:t>
      </w:r>
    </w:p>
    <w:p w14:paraId="1FADB8C8" w14:textId="7C41AA25" w:rsidR="004B2AD0" w:rsidRPr="00E377D0" w:rsidRDefault="004B2AD0" w:rsidP="004B2AD0">
      <w:pPr>
        <w:pStyle w:val="CETBodytext"/>
        <w:jc w:val="left"/>
        <w:rPr>
          <w:rFonts w:eastAsia="SimSun"/>
        </w:rPr>
        <w:sectPr w:rsidR="004B2AD0" w:rsidRPr="00E377D0" w:rsidSect="00DC73EE">
          <w:type w:val="continuous"/>
          <w:pgSz w:w="11906" w:h="16838" w:code="9"/>
          <w:pgMar w:top="1701" w:right="1418" w:bottom="1701" w:left="1701" w:header="1701" w:footer="0" w:gutter="0"/>
          <w:cols w:num="2" w:space="708"/>
          <w:formProt w:val="0"/>
          <w:titlePg/>
          <w:docGrid w:linePitch="360"/>
        </w:sectPr>
      </w:pPr>
    </w:p>
    <w:p w14:paraId="7FC6B650" w14:textId="797ABEBF" w:rsidR="004B2AD0" w:rsidRDefault="00C23AD3" w:rsidP="00C23AD3">
      <w:pPr>
        <w:pStyle w:val="CETHeading1"/>
      </w:pPr>
      <w:r>
        <w:t xml:space="preserve">References </w:t>
      </w:r>
    </w:p>
    <w:p w14:paraId="773C4C91" w14:textId="6481451C" w:rsidR="00C23AD3" w:rsidRPr="00C23AD3" w:rsidRDefault="00C23AD3" w:rsidP="00C23AD3">
      <w:pPr>
        <w:pStyle w:val="CETReferencetext"/>
      </w:pPr>
      <w:proofErr w:type="spellStart"/>
      <w:r w:rsidRPr="00C23AD3">
        <w:t>Abassi</w:t>
      </w:r>
      <w:proofErr w:type="spellEnd"/>
      <w:r w:rsidRPr="00C23AD3">
        <w:t xml:space="preserve"> T., </w:t>
      </w:r>
      <w:proofErr w:type="spellStart"/>
      <w:r w:rsidRPr="00C23AD3">
        <w:t>Abassi</w:t>
      </w:r>
      <w:proofErr w:type="spellEnd"/>
      <w:r w:rsidRPr="00C23AD3">
        <w:t xml:space="preserve"> </w:t>
      </w:r>
      <w:r w:rsidR="00086EBB" w:rsidRPr="00C23AD3">
        <w:t>S.A.</w:t>
      </w:r>
      <w:r w:rsidRPr="00C23AD3">
        <w:t>, 2007, Dust explosions–Cases, causes, consequences, and control. Journal of Hazardous Materials</w:t>
      </w:r>
      <w:r w:rsidR="00086EBB" w:rsidRPr="00C23AD3">
        <w:t>, 140</w:t>
      </w:r>
      <w:r w:rsidRPr="00C23AD3">
        <w:t>, 7-44. DOI: 10.1016/j.jhazmat.2006.11.007</w:t>
      </w:r>
    </w:p>
    <w:p w14:paraId="74A24A12" w14:textId="77777777" w:rsidR="00C23AD3" w:rsidRPr="00C23AD3" w:rsidRDefault="00C23AD3" w:rsidP="00C23AD3">
      <w:pPr>
        <w:pStyle w:val="CETReferencetext"/>
      </w:pPr>
      <w:proofErr w:type="spellStart"/>
      <w:r w:rsidRPr="00C23AD3">
        <w:t>Abuswer</w:t>
      </w:r>
      <w:proofErr w:type="spellEnd"/>
      <w:r w:rsidRPr="00C23AD3">
        <w:t xml:space="preserve"> M., </w:t>
      </w:r>
      <w:proofErr w:type="spellStart"/>
      <w:r w:rsidRPr="00C23AD3">
        <w:t>Amyotte</w:t>
      </w:r>
      <w:proofErr w:type="spellEnd"/>
      <w:r w:rsidRPr="00C23AD3">
        <w:t xml:space="preserve"> P., Khan F., 2013, </w:t>
      </w:r>
      <w:proofErr w:type="gramStart"/>
      <w:r w:rsidRPr="00C23AD3">
        <w:t>A</w:t>
      </w:r>
      <w:proofErr w:type="gramEnd"/>
      <w:r w:rsidRPr="00C23AD3">
        <w:t xml:space="preserve"> quantitative risk management framework for dust and hybrid mixture explosions. Journal of loss prevention in the process industries, 26 (2), 283-289. DOI: </w:t>
      </w:r>
      <w:hyperlink r:id="rId11" w:tgtFrame="_blank" w:history="1">
        <w:r w:rsidRPr="00C23AD3">
          <w:t>10.1016/j.jlp.2011.08.010</w:t>
        </w:r>
      </w:hyperlink>
    </w:p>
    <w:p w14:paraId="5A6BDBD4" w14:textId="66663473" w:rsidR="00C23AD3" w:rsidRPr="00C23AD3" w:rsidRDefault="00C23AD3" w:rsidP="00D44CA3">
      <w:pPr>
        <w:pStyle w:val="CETReferencetext"/>
      </w:pPr>
      <w:r w:rsidRPr="00086EBB">
        <w:t>BS, 1965</w:t>
      </w:r>
      <w:r w:rsidRPr="00C23AD3">
        <w:t xml:space="preserve">, BS 2955:1958. Glossary of terms relating to powders. </w:t>
      </w:r>
      <w:r w:rsidR="00D44CA3" w:rsidRPr="00D44CA3">
        <w:rPr>
          <w:lang w:val="en-US"/>
        </w:rPr>
        <w:t>British Standards Institution</w:t>
      </w:r>
    </w:p>
    <w:p w14:paraId="7B20941B" w14:textId="4E4165DC" w:rsidR="00C23AD3" w:rsidRPr="00C23AD3" w:rsidRDefault="00C23AD3" w:rsidP="00C23AD3">
      <w:pPr>
        <w:pStyle w:val="CETReferencetext"/>
      </w:pPr>
      <w:r w:rsidRPr="00C23AD3">
        <w:t xml:space="preserve">Davis G.S., </w:t>
      </w:r>
      <w:proofErr w:type="spellStart"/>
      <w:r w:rsidRPr="00C23AD3">
        <w:t>Hinze</w:t>
      </w:r>
      <w:proofErr w:type="spellEnd"/>
      <w:r w:rsidRPr="00C23AD3">
        <w:t xml:space="preserve"> C.P., Olav R.H., </w:t>
      </w:r>
      <w:proofErr w:type="spellStart"/>
      <w:r w:rsidRPr="00C23AD3">
        <w:t>Kees</w:t>
      </w:r>
      <w:proofErr w:type="spellEnd"/>
      <w:r w:rsidRPr="00C23AD3">
        <w:t xml:space="preserve"> V.W., 2011, Does your facility have a dust problem: Methods for evaluating dust explosion hazards. Journal of Loss Prevention in the Process Industries, 24, 837-846.</w:t>
      </w:r>
      <w:r>
        <w:t xml:space="preserve"> </w:t>
      </w:r>
      <w:r w:rsidRPr="00C23AD3">
        <w:t xml:space="preserve"> DOI: 10.1016/j.jlp.2011.06.010</w:t>
      </w:r>
    </w:p>
    <w:p w14:paraId="24F22FD8" w14:textId="7901B39B" w:rsidR="00C23AD3" w:rsidRPr="00C23AD3" w:rsidRDefault="00C23AD3" w:rsidP="00C23AD3">
      <w:pPr>
        <w:pStyle w:val="CETReferencetext"/>
      </w:pPr>
      <w:proofErr w:type="spellStart"/>
      <w:r w:rsidRPr="00C23AD3">
        <w:t>Ebadat</w:t>
      </w:r>
      <w:proofErr w:type="spellEnd"/>
      <w:r w:rsidRPr="00C23AD3">
        <w:t xml:space="preserve"> V., 2010, Dust explosion hazard assessment, </w:t>
      </w:r>
      <w:hyperlink r:id="rId12" w:history="1">
        <w:r w:rsidRPr="00C23AD3">
          <w:t>Journal of Loss Prevention in the Process Industries</w:t>
        </w:r>
      </w:hyperlink>
      <w:r w:rsidRPr="00C23AD3">
        <w:t>,</w:t>
      </w:r>
      <w:r w:rsidR="00D44CA3">
        <w:t xml:space="preserve"> </w:t>
      </w:r>
      <w:r w:rsidRPr="00C23AD3">
        <w:t>23, 907-912. DOI</w:t>
      </w:r>
      <w:r w:rsidR="00D44CA3" w:rsidRPr="00C23AD3">
        <w:t xml:space="preserve">: </w:t>
      </w:r>
      <w:hyperlink r:id="rId13" w:tgtFrame="_blank" w:history="1">
        <w:r w:rsidRPr="00C23AD3">
          <w:t>10.1016/j.jlp.2010.05.006</w:t>
        </w:r>
      </w:hyperlink>
    </w:p>
    <w:p w14:paraId="0FF50FC8" w14:textId="77777777" w:rsidR="00C23AD3" w:rsidRPr="00C23AD3" w:rsidRDefault="00C23AD3" w:rsidP="00C23AD3">
      <w:pPr>
        <w:pStyle w:val="CETReferencetext"/>
      </w:pPr>
      <w:proofErr w:type="spellStart"/>
      <w:r w:rsidRPr="00C23AD3">
        <w:t>Eckhoff</w:t>
      </w:r>
      <w:proofErr w:type="spellEnd"/>
      <w:r w:rsidRPr="00C23AD3">
        <w:t>, R. K. (Ed 3), 2003, Dust explosions in the process industries, British Library Cat</w:t>
      </w:r>
    </w:p>
    <w:p w14:paraId="5B704E19" w14:textId="79F7042E" w:rsidR="00C23AD3" w:rsidRPr="00C23AD3" w:rsidRDefault="00C23AD3" w:rsidP="00C23AD3">
      <w:pPr>
        <w:pStyle w:val="CETReferencetext"/>
      </w:pPr>
      <w:r w:rsidRPr="00C23AD3">
        <w:t>International Organization for Standardization. 2016, Explosive atmospheres:</w:t>
      </w:r>
      <w:r w:rsidR="00D44CA3">
        <w:t xml:space="preserve"> </w:t>
      </w:r>
      <w:r w:rsidRPr="00C23AD3">
        <w:t>Non-electrical equipment for explosive atmospheres, Basic method and requirements," ISO 80079-36:2016.</w:t>
      </w:r>
    </w:p>
    <w:p w14:paraId="50C68029" w14:textId="1299C2B9" w:rsidR="00C23AD3" w:rsidRPr="00C23AD3" w:rsidRDefault="00C23AD3" w:rsidP="00C23AD3">
      <w:pPr>
        <w:pStyle w:val="CETReferencetext"/>
      </w:pPr>
      <w:r w:rsidRPr="00C23AD3">
        <w:t>NFPA 68</w:t>
      </w:r>
      <w:r w:rsidR="003A1176" w:rsidRPr="00C23AD3">
        <w:t>,</w:t>
      </w:r>
      <w:r w:rsidRPr="00C23AD3">
        <w:t xml:space="preserve"> 2023, Standard on Explosion Protection by Deflagration Venting</w:t>
      </w:r>
    </w:p>
    <w:p w14:paraId="331A9BA4" w14:textId="77777777" w:rsidR="00C23AD3" w:rsidRPr="00C23AD3" w:rsidRDefault="00C23AD3" w:rsidP="00C23AD3">
      <w:pPr>
        <w:pStyle w:val="CETReferencetext"/>
      </w:pPr>
      <w:r w:rsidRPr="00C23AD3">
        <w:t xml:space="preserve">Russell A.O. (Ed.1), 2016, Dust Explosion Dynamics, Butterworth-Heinemann. </w:t>
      </w:r>
    </w:p>
    <w:p w14:paraId="2D6ABC67" w14:textId="689C333D" w:rsidR="003A1176" w:rsidRDefault="003A1176" w:rsidP="003A1176">
      <w:pPr>
        <w:pStyle w:val="CETReferencetext"/>
      </w:pPr>
      <w:proofErr w:type="spellStart"/>
      <w:r w:rsidRPr="003A1176">
        <w:rPr>
          <w:lang w:val="en-US"/>
        </w:rPr>
        <w:t>Petit</w:t>
      </w:r>
      <w:proofErr w:type="gramStart"/>
      <w:r>
        <w:rPr>
          <w:lang w:val="en-US"/>
        </w:rPr>
        <w:t>,</w:t>
      </w:r>
      <w:r w:rsidRPr="003A1176">
        <w:rPr>
          <w:lang w:val="en-US"/>
        </w:rPr>
        <w:t>J.M</w:t>
      </w:r>
      <w:proofErr w:type="spellEnd"/>
      <w:proofErr w:type="gramEnd"/>
      <w:r w:rsidRPr="003A1176">
        <w:rPr>
          <w:lang w:val="en-US"/>
        </w:rPr>
        <w:t xml:space="preserve">., </w:t>
      </w:r>
      <w:proofErr w:type="spellStart"/>
      <w:r w:rsidRPr="003A1176">
        <w:rPr>
          <w:lang w:val="en-US"/>
        </w:rPr>
        <w:t>Poyard</w:t>
      </w:r>
      <w:r>
        <w:rPr>
          <w:lang w:val="en-US"/>
        </w:rPr>
        <w:t>,</w:t>
      </w:r>
      <w:r w:rsidR="00C23AD3" w:rsidRPr="003A1176">
        <w:rPr>
          <w:lang w:val="en-US"/>
        </w:rPr>
        <w:t>J.L</w:t>
      </w:r>
      <w:proofErr w:type="spellEnd"/>
      <w:r>
        <w:rPr>
          <w:lang w:val="en-US"/>
        </w:rPr>
        <w:t>.</w:t>
      </w:r>
      <w:r w:rsidR="00C23AD3" w:rsidRPr="003A1176">
        <w:rPr>
          <w:lang w:val="en-US"/>
        </w:rPr>
        <w:t>, 2004</w:t>
      </w:r>
      <w:r w:rsidRPr="003A1176">
        <w:rPr>
          <w:lang w:val="en-US"/>
        </w:rPr>
        <w:t>,</w:t>
      </w:r>
      <w:r>
        <w:rPr>
          <w:lang w:val="en-US"/>
        </w:rPr>
        <w:t xml:space="preserve"> </w:t>
      </w:r>
      <w:r w:rsidRPr="003A1176">
        <w:t xml:space="preserve">Explosive gas and </w:t>
      </w:r>
      <w:proofErr w:type="spellStart"/>
      <w:r w:rsidRPr="003A1176">
        <w:t>vapor</w:t>
      </w:r>
      <w:proofErr w:type="spellEnd"/>
      <w:r w:rsidRPr="003A1176">
        <w:t xml:space="preserve"> mixtures</w:t>
      </w:r>
      <w:r>
        <w:rPr>
          <w:lang w:val="en-US"/>
        </w:rPr>
        <w:t>,</w:t>
      </w:r>
      <w:r w:rsidR="00C23AD3" w:rsidRPr="003A1176">
        <w:rPr>
          <w:lang w:val="en-US"/>
        </w:rPr>
        <w:t xml:space="preserve"> </w:t>
      </w:r>
      <w:r w:rsidR="00C23AD3" w:rsidRPr="003A1176">
        <w:t xml:space="preserve">National Institute research and security for prevention work accidents and occupational diseases, </w:t>
      </w:r>
      <w:r w:rsidRPr="003A1176">
        <w:t>ED911. , e.g. (in French)</w:t>
      </w:r>
    </w:p>
    <w:p w14:paraId="5ABFC676" w14:textId="0A2D9548" w:rsidR="00C27AB9" w:rsidRPr="00C27AB9" w:rsidRDefault="00C23AD3" w:rsidP="00C27AB9">
      <w:pPr>
        <w:pStyle w:val="CETBodytext"/>
        <w:ind w:left="284" w:hanging="284"/>
      </w:pPr>
      <w:proofErr w:type="spellStart"/>
      <w:r w:rsidRPr="00C23AD3">
        <w:t>S</w:t>
      </w:r>
      <w:r w:rsidR="00C27AB9">
        <w:t>kavland</w:t>
      </w:r>
      <w:proofErr w:type="gramStart"/>
      <w:r w:rsidR="00C27AB9">
        <w:t>,</w:t>
      </w:r>
      <w:r w:rsidRPr="00C23AD3">
        <w:t>C.</w:t>
      </w:r>
      <w:r w:rsidR="00C27AB9">
        <w:t>E</w:t>
      </w:r>
      <w:proofErr w:type="spellEnd"/>
      <w:proofErr w:type="gramEnd"/>
      <w:r w:rsidR="00C27AB9">
        <w:t>.,</w:t>
      </w:r>
      <w:r w:rsidRPr="00C23AD3">
        <w:t xml:space="preserve"> 2018, Pressure Development in Dust Explosions An experimental study in the 20-liter </w:t>
      </w:r>
      <w:proofErr w:type="spellStart"/>
      <w:r w:rsidRPr="00C23AD3">
        <w:t>Siwek</w:t>
      </w:r>
      <w:proofErr w:type="spellEnd"/>
      <w:r w:rsidRPr="00C23AD3">
        <w:t xml:space="preserve"> sphere and a 0.5 m3 non-standardized vessel, </w:t>
      </w:r>
      <w:r w:rsidR="00C27AB9" w:rsidRPr="00C27AB9">
        <w:t>Engineering, Environmental Science, Physics</w:t>
      </w:r>
      <w:r w:rsidR="00C27AB9">
        <w:t>.</w:t>
      </w:r>
    </w:p>
    <w:p w14:paraId="6B781998" w14:textId="77777777" w:rsidR="00C23AD3" w:rsidRPr="00C23AD3" w:rsidRDefault="00C23AD3" w:rsidP="00C23AD3">
      <w:pPr>
        <w:pStyle w:val="CETReferencetext"/>
      </w:pPr>
    </w:p>
    <w:p w14:paraId="4320C0E0" w14:textId="77777777" w:rsidR="004B2AD0" w:rsidRDefault="004B2AD0" w:rsidP="008177A4">
      <w:pPr>
        <w:pStyle w:val="CETBodytext"/>
      </w:pPr>
    </w:p>
    <w:sectPr w:rsidR="004B2AD0"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B2D24" w14:textId="77777777" w:rsidR="001E42E5" w:rsidRDefault="001E42E5" w:rsidP="004F5E36">
      <w:r>
        <w:separator/>
      </w:r>
    </w:p>
  </w:endnote>
  <w:endnote w:type="continuationSeparator" w:id="0">
    <w:p w14:paraId="444588F1" w14:textId="77777777" w:rsidR="001E42E5" w:rsidRDefault="001E42E5"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1A7D70" w14:textId="77777777" w:rsidR="001E42E5" w:rsidRDefault="001E42E5" w:rsidP="004F5E36">
      <w:r>
        <w:separator/>
      </w:r>
    </w:p>
  </w:footnote>
  <w:footnote w:type="continuationSeparator" w:id="0">
    <w:p w14:paraId="13969ECD" w14:textId="77777777" w:rsidR="001E42E5" w:rsidRDefault="001E42E5"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1444C71"/>
    <w:multiLevelType w:val="hybridMultilevel"/>
    <w:tmpl w:val="937ED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0A4D5C60"/>
    <w:multiLevelType w:val="hybridMultilevel"/>
    <w:tmpl w:val="1270BB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06C3856"/>
    <w:multiLevelType w:val="multilevel"/>
    <w:tmpl w:val="094A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E36F06"/>
    <w:multiLevelType w:val="multilevel"/>
    <w:tmpl w:val="0BBEE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5">
    <w:nsid w:val="1EDA3B90"/>
    <w:multiLevelType w:val="hybridMultilevel"/>
    <w:tmpl w:val="A24849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438217E"/>
    <w:multiLevelType w:val="multilevel"/>
    <w:tmpl w:val="F7DEA11C"/>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26C17F03"/>
    <w:multiLevelType w:val="multilevel"/>
    <w:tmpl w:val="0652C07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892278E"/>
    <w:multiLevelType w:val="multilevel"/>
    <w:tmpl w:val="407C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nsid w:val="47863098"/>
    <w:multiLevelType w:val="hybridMultilevel"/>
    <w:tmpl w:val="E0468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5490A71"/>
    <w:multiLevelType w:val="hybridMultilevel"/>
    <w:tmpl w:val="9CDE57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31C7A0A"/>
    <w:multiLevelType w:val="hybridMultilevel"/>
    <w:tmpl w:val="6E7282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8026A7"/>
    <w:multiLevelType w:val="hybridMultilevel"/>
    <w:tmpl w:val="1E841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95E5287"/>
    <w:multiLevelType w:val="hybridMultilevel"/>
    <w:tmpl w:val="AFAC0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F65076E"/>
    <w:multiLevelType w:val="hybridMultilevel"/>
    <w:tmpl w:val="B1DCE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7"/>
  </w:num>
  <w:num w:numId="13">
    <w:abstractNumId w:val="20"/>
  </w:num>
  <w:num w:numId="14">
    <w:abstractNumId w:val="28"/>
  </w:num>
  <w:num w:numId="15">
    <w:abstractNumId w:val="31"/>
  </w:num>
  <w:num w:numId="16">
    <w:abstractNumId w:val="30"/>
  </w:num>
  <w:num w:numId="17">
    <w:abstractNumId w:val="19"/>
  </w:num>
  <w:num w:numId="18">
    <w:abstractNumId w:val="20"/>
    <w:lvlOverride w:ilvl="0">
      <w:startOverride w:val="1"/>
    </w:lvlOverride>
  </w:num>
  <w:num w:numId="19">
    <w:abstractNumId w:val="25"/>
  </w:num>
  <w:num w:numId="20">
    <w:abstractNumId w:val="24"/>
  </w:num>
  <w:num w:numId="21">
    <w:abstractNumId w:val="22"/>
  </w:num>
  <w:num w:numId="22">
    <w:abstractNumId w:val="21"/>
  </w:num>
  <w:num w:numId="23">
    <w:abstractNumId w:val="14"/>
  </w:num>
  <w:num w:numId="24">
    <w:abstractNumId w:val="23"/>
  </w:num>
  <w:num w:numId="25">
    <w:abstractNumId w:val="10"/>
  </w:num>
  <w:num w:numId="26">
    <w:abstractNumId w:val="26"/>
  </w:num>
  <w:num w:numId="27">
    <w:abstractNumId w:val="34"/>
  </w:num>
  <w:num w:numId="28">
    <w:abstractNumId w:val="29"/>
  </w:num>
  <w:num w:numId="29">
    <w:abstractNumId w:val="32"/>
  </w:num>
  <w:num w:numId="30">
    <w:abstractNumId w:val="17"/>
  </w:num>
  <w:num w:numId="31">
    <w:abstractNumId w:val="11"/>
  </w:num>
  <w:num w:numId="32">
    <w:abstractNumId w:val="15"/>
  </w:num>
  <w:num w:numId="33">
    <w:abstractNumId w:val="33"/>
  </w:num>
  <w:num w:numId="34">
    <w:abstractNumId w:val="12"/>
  </w:num>
  <w:num w:numId="35">
    <w:abstractNumId w:val="13"/>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4A1D"/>
    <w:rsid w:val="000052FB"/>
    <w:rsid w:val="00005A19"/>
    <w:rsid w:val="000117CB"/>
    <w:rsid w:val="0003148D"/>
    <w:rsid w:val="00031EEC"/>
    <w:rsid w:val="00051566"/>
    <w:rsid w:val="000562A9"/>
    <w:rsid w:val="00062A9A"/>
    <w:rsid w:val="00065058"/>
    <w:rsid w:val="00080D2E"/>
    <w:rsid w:val="00086C39"/>
    <w:rsid w:val="00086EBB"/>
    <w:rsid w:val="000A03B2"/>
    <w:rsid w:val="000D0268"/>
    <w:rsid w:val="000D34BE"/>
    <w:rsid w:val="000E0B3C"/>
    <w:rsid w:val="000E102F"/>
    <w:rsid w:val="000E36F1"/>
    <w:rsid w:val="000E3A73"/>
    <w:rsid w:val="000E414A"/>
    <w:rsid w:val="000E75FD"/>
    <w:rsid w:val="000F093C"/>
    <w:rsid w:val="000F787B"/>
    <w:rsid w:val="0012091F"/>
    <w:rsid w:val="00126BC2"/>
    <w:rsid w:val="001308B6"/>
    <w:rsid w:val="0013121F"/>
    <w:rsid w:val="00131FE6"/>
    <w:rsid w:val="0013263F"/>
    <w:rsid w:val="001331DF"/>
    <w:rsid w:val="00134DE4"/>
    <w:rsid w:val="00136E9D"/>
    <w:rsid w:val="0014034D"/>
    <w:rsid w:val="00140FE3"/>
    <w:rsid w:val="00144D16"/>
    <w:rsid w:val="00150E59"/>
    <w:rsid w:val="00152DE3"/>
    <w:rsid w:val="00164CF9"/>
    <w:rsid w:val="0016668E"/>
    <w:rsid w:val="001667A6"/>
    <w:rsid w:val="0017146C"/>
    <w:rsid w:val="001744FB"/>
    <w:rsid w:val="0018164D"/>
    <w:rsid w:val="0018171E"/>
    <w:rsid w:val="00184AD6"/>
    <w:rsid w:val="00196802"/>
    <w:rsid w:val="001A4AF7"/>
    <w:rsid w:val="001B0349"/>
    <w:rsid w:val="001B1E93"/>
    <w:rsid w:val="001B65C1"/>
    <w:rsid w:val="001C260F"/>
    <w:rsid w:val="001C5C3A"/>
    <w:rsid w:val="001C684B"/>
    <w:rsid w:val="001D0CFB"/>
    <w:rsid w:val="001D21AF"/>
    <w:rsid w:val="001D3D32"/>
    <w:rsid w:val="001D53FC"/>
    <w:rsid w:val="001E42E5"/>
    <w:rsid w:val="001F42A5"/>
    <w:rsid w:val="001F7B9D"/>
    <w:rsid w:val="00201C93"/>
    <w:rsid w:val="002224B4"/>
    <w:rsid w:val="002224DC"/>
    <w:rsid w:val="0023450C"/>
    <w:rsid w:val="002348FC"/>
    <w:rsid w:val="002447EF"/>
    <w:rsid w:val="00251550"/>
    <w:rsid w:val="00263B05"/>
    <w:rsid w:val="0027221A"/>
    <w:rsid w:val="00275B61"/>
    <w:rsid w:val="00280FAF"/>
    <w:rsid w:val="00282656"/>
    <w:rsid w:val="00296B83"/>
    <w:rsid w:val="002A2852"/>
    <w:rsid w:val="002B4015"/>
    <w:rsid w:val="002B78CE"/>
    <w:rsid w:val="002C2FB6"/>
    <w:rsid w:val="002E5FA7"/>
    <w:rsid w:val="002F3309"/>
    <w:rsid w:val="003008CE"/>
    <w:rsid w:val="003009B7"/>
    <w:rsid w:val="00300E56"/>
    <w:rsid w:val="0030152C"/>
    <w:rsid w:val="0030469C"/>
    <w:rsid w:val="00304CE8"/>
    <w:rsid w:val="00315021"/>
    <w:rsid w:val="00321CA6"/>
    <w:rsid w:val="00323763"/>
    <w:rsid w:val="00323C5F"/>
    <w:rsid w:val="00334C09"/>
    <w:rsid w:val="003429F5"/>
    <w:rsid w:val="00350FE9"/>
    <w:rsid w:val="003723D4"/>
    <w:rsid w:val="0037397B"/>
    <w:rsid w:val="00381905"/>
    <w:rsid w:val="00384CC8"/>
    <w:rsid w:val="003871FD"/>
    <w:rsid w:val="003A1176"/>
    <w:rsid w:val="003A1E30"/>
    <w:rsid w:val="003A2829"/>
    <w:rsid w:val="003A7D1C"/>
    <w:rsid w:val="003B304B"/>
    <w:rsid w:val="003B3146"/>
    <w:rsid w:val="003B49CD"/>
    <w:rsid w:val="003D1E02"/>
    <w:rsid w:val="003D7BE6"/>
    <w:rsid w:val="003F015E"/>
    <w:rsid w:val="003F6149"/>
    <w:rsid w:val="00400414"/>
    <w:rsid w:val="0041446B"/>
    <w:rsid w:val="0044071E"/>
    <w:rsid w:val="0044329C"/>
    <w:rsid w:val="00446732"/>
    <w:rsid w:val="00453E24"/>
    <w:rsid w:val="00457456"/>
    <w:rsid w:val="004577FE"/>
    <w:rsid w:val="00457B9C"/>
    <w:rsid w:val="0046164A"/>
    <w:rsid w:val="004628D2"/>
    <w:rsid w:val="00462DCD"/>
    <w:rsid w:val="004648AD"/>
    <w:rsid w:val="004703A9"/>
    <w:rsid w:val="0047060A"/>
    <w:rsid w:val="004760DE"/>
    <w:rsid w:val="004763D7"/>
    <w:rsid w:val="00482C05"/>
    <w:rsid w:val="004A004E"/>
    <w:rsid w:val="004A24CF"/>
    <w:rsid w:val="004B2AD0"/>
    <w:rsid w:val="004C3D1D"/>
    <w:rsid w:val="004C3D84"/>
    <w:rsid w:val="004C7913"/>
    <w:rsid w:val="004E4DD6"/>
    <w:rsid w:val="004F5D86"/>
    <w:rsid w:val="004F5E36"/>
    <w:rsid w:val="00507B47"/>
    <w:rsid w:val="00507BEF"/>
    <w:rsid w:val="00507CC9"/>
    <w:rsid w:val="005119A5"/>
    <w:rsid w:val="005278B7"/>
    <w:rsid w:val="00532016"/>
    <w:rsid w:val="005346C8"/>
    <w:rsid w:val="0054372E"/>
    <w:rsid w:val="00543E7D"/>
    <w:rsid w:val="00547A68"/>
    <w:rsid w:val="005531C9"/>
    <w:rsid w:val="00554879"/>
    <w:rsid w:val="00570C43"/>
    <w:rsid w:val="00592274"/>
    <w:rsid w:val="005B0B68"/>
    <w:rsid w:val="005B2110"/>
    <w:rsid w:val="005B2BAA"/>
    <w:rsid w:val="005B350B"/>
    <w:rsid w:val="005B61E6"/>
    <w:rsid w:val="005C77E1"/>
    <w:rsid w:val="005D668A"/>
    <w:rsid w:val="005D6A2F"/>
    <w:rsid w:val="005E0592"/>
    <w:rsid w:val="005E1A82"/>
    <w:rsid w:val="005E794C"/>
    <w:rsid w:val="005F0A28"/>
    <w:rsid w:val="005F0E5E"/>
    <w:rsid w:val="00600535"/>
    <w:rsid w:val="00610CD6"/>
    <w:rsid w:val="00620DEE"/>
    <w:rsid w:val="00621F92"/>
    <w:rsid w:val="0062280A"/>
    <w:rsid w:val="006231E1"/>
    <w:rsid w:val="00623DFD"/>
    <w:rsid w:val="00625639"/>
    <w:rsid w:val="00626342"/>
    <w:rsid w:val="00631B33"/>
    <w:rsid w:val="0064184D"/>
    <w:rsid w:val="006422CC"/>
    <w:rsid w:val="00644C95"/>
    <w:rsid w:val="00651D18"/>
    <w:rsid w:val="006545A7"/>
    <w:rsid w:val="00660E3E"/>
    <w:rsid w:val="00662E74"/>
    <w:rsid w:val="00680C23"/>
    <w:rsid w:val="00683E23"/>
    <w:rsid w:val="00693766"/>
    <w:rsid w:val="006A3281"/>
    <w:rsid w:val="006A6DE5"/>
    <w:rsid w:val="006B4888"/>
    <w:rsid w:val="006C2E45"/>
    <w:rsid w:val="006C359C"/>
    <w:rsid w:val="006C50F1"/>
    <w:rsid w:val="006C5579"/>
    <w:rsid w:val="006D6E8B"/>
    <w:rsid w:val="006D7209"/>
    <w:rsid w:val="006E737D"/>
    <w:rsid w:val="00707DD1"/>
    <w:rsid w:val="00713973"/>
    <w:rsid w:val="00720A24"/>
    <w:rsid w:val="00732386"/>
    <w:rsid w:val="0073514D"/>
    <w:rsid w:val="007447F3"/>
    <w:rsid w:val="0075499F"/>
    <w:rsid w:val="007661C8"/>
    <w:rsid w:val="0077098D"/>
    <w:rsid w:val="00785BF9"/>
    <w:rsid w:val="007931FA"/>
    <w:rsid w:val="007A4861"/>
    <w:rsid w:val="007A7BBA"/>
    <w:rsid w:val="007B0C50"/>
    <w:rsid w:val="007B48F9"/>
    <w:rsid w:val="007B5CF8"/>
    <w:rsid w:val="007C1A43"/>
    <w:rsid w:val="007D0951"/>
    <w:rsid w:val="007D610D"/>
    <w:rsid w:val="0080013E"/>
    <w:rsid w:val="00801759"/>
    <w:rsid w:val="00807288"/>
    <w:rsid w:val="00813288"/>
    <w:rsid w:val="008168FC"/>
    <w:rsid w:val="008177A4"/>
    <w:rsid w:val="00830996"/>
    <w:rsid w:val="008345F1"/>
    <w:rsid w:val="00865B07"/>
    <w:rsid w:val="008667EA"/>
    <w:rsid w:val="0087637F"/>
    <w:rsid w:val="00892AD5"/>
    <w:rsid w:val="008A1512"/>
    <w:rsid w:val="008B1896"/>
    <w:rsid w:val="008B31D8"/>
    <w:rsid w:val="008D32B9"/>
    <w:rsid w:val="008D433B"/>
    <w:rsid w:val="008D4A16"/>
    <w:rsid w:val="008E1CEF"/>
    <w:rsid w:val="008E5401"/>
    <w:rsid w:val="008E566E"/>
    <w:rsid w:val="0090161A"/>
    <w:rsid w:val="00901EB6"/>
    <w:rsid w:val="009041F8"/>
    <w:rsid w:val="00904C62"/>
    <w:rsid w:val="00922BA8"/>
    <w:rsid w:val="00924DAC"/>
    <w:rsid w:val="00927058"/>
    <w:rsid w:val="00942750"/>
    <w:rsid w:val="0094408E"/>
    <w:rsid w:val="009450CE"/>
    <w:rsid w:val="009459BB"/>
    <w:rsid w:val="00947179"/>
    <w:rsid w:val="0095164B"/>
    <w:rsid w:val="00954090"/>
    <w:rsid w:val="009573E7"/>
    <w:rsid w:val="00963E05"/>
    <w:rsid w:val="00964A45"/>
    <w:rsid w:val="00967843"/>
    <w:rsid w:val="00967D54"/>
    <w:rsid w:val="00971028"/>
    <w:rsid w:val="00971BDF"/>
    <w:rsid w:val="00986063"/>
    <w:rsid w:val="00993B84"/>
    <w:rsid w:val="00994C6A"/>
    <w:rsid w:val="00996483"/>
    <w:rsid w:val="00996F5A"/>
    <w:rsid w:val="009B041A"/>
    <w:rsid w:val="009B22F7"/>
    <w:rsid w:val="009B6E57"/>
    <w:rsid w:val="009C1499"/>
    <w:rsid w:val="009C37C3"/>
    <w:rsid w:val="009C7C86"/>
    <w:rsid w:val="009D2FF7"/>
    <w:rsid w:val="009E6B49"/>
    <w:rsid w:val="009E7884"/>
    <w:rsid w:val="009E788A"/>
    <w:rsid w:val="009F0E08"/>
    <w:rsid w:val="00A079AE"/>
    <w:rsid w:val="00A1763D"/>
    <w:rsid w:val="00A17CEC"/>
    <w:rsid w:val="00A27EF0"/>
    <w:rsid w:val="00A30C6F"/>
    <w:rsid w:val="00A3250B"/>
    <w:rsid w:val="00A42361"/>
    <w:rsid w:val="00A50B20"/>
    <w:rsid w:val="00A51390"/>
    <w:rsid w:val="00A54158"/>
    <w:rsid w:val="00A60D13"/>
    <w:rsid w:val="00A7223D"/>
    <w:rsid w:val="00A72745"/>
    <w:rsid w:val="00A76EFC"/>
    <w:rsid w:val="00A87D50"/>
    <w:rsid w:val="00A91010"/>
    <w:rsid w:val="00A97F29"/>
    <w:rsid w:val="00AA702E"/>
    <w:rsid w:val="00AA7D26"/>
    <w:rsid w:val="00AB0964"/>
    <w:rsid w:val="00AB0FAA"/>
    <w:rsid w:val="00AB5011"/>
    <w:rsid w:val="00AC4397"/>
    <w:rsid w:val="00AC7368"/>
    <w:rsid w:val="00AD16B9"/>
    <w:rsid w:val="00AD2C5D"/>
    <w:rsid w:val="00AE377D"/>
    <w:rsid w:val="00AF0EBA"/>
    <w:rsid w:val="00AF2463"/>
    <w:rsid w:val="00AF5FF4"/>
    <w:rsid w:val="00B02C8A"/>
    <w:rsid w:val="00B05B93"/>
    <w:rsid w:val="00B17FBD"/>
    <w:rsid w:val="00B315A6"/>
    <w:rsid w:val="00B31813"/>
    <w:rsid w:val="00B33365"/>
    <w:rsid w:val="00B55B19"/>
    <w:rsid w:val="00B57B36"/>
    <w:rsid w:val="00B57E6F"/>
    <w:rsid w:val="00B73E1E"/>
    <w:rsid w:val="00B8686D"/>
    <w:rsid w:val="00B9068E"/>
    <w:rsid w:val="00B93F69"/>
    <w:rsid w:val="00BA62A9"/>
    <w:rsid w:val="00BB1DDC"/>
    <w:rsid w:val="00BC30C9"/>
    <w:rsid w:val="00BD077D"/>
    <w:rsid w:val="00BD1F6A"/>
    <w:rsid w:val="00BE3E58"/>
    <w:rsid w:val="00BF13CE"/>
    <w:rsid w:val="00C01616"/>
    <w:rsid w:val="00C0162B"/>
    <w:rsid w:val="00C068ED"/>
    <w:rsid w:val="00C22E0C"/>
    <w:rsid w:val="00C23AD3"/>
    <w:rsid w:val="00C23BC9"/>
    <w:rsid w:val="00C27AB9"/>
    <w:rsid w:val="00C345B1"/>
    <w:rsid w:val="00C40142"/>
    <w:rsid w:val="00C50209"/>
    <w:rsid w:val="00C52C3C"/>
    <w:rsid w:val="00C54E2C"/>
    <w:rsid w:val="00C57182"/>
    <w:rsid w:val="00C57863"/>
    <w:rsid w:val="00C640AF"/>
    <w:rsid w:val="00C655FD"/>
    <w:rsid w:val="00C75407"/>
    <w:rsid w:val="00C77D61"/>
    <w:rsid w:val="00C841C6"/>
    <w:rsid w:val="00C870A8"/>
    <w:rsid w:val="00C94434"/>
    <w:rsid w:val="00CA0D75"/>
    <w:rsid w:val="00CA1C95"/>
    <w:rsid w:val="00CA5A9C"/>
    <w:rsid w:val="00CB1A22"/>
    <w:rsid w:val="00CC1914"/>
    <w:rsid w:val="00CC4C20"/>
    <w:rsid w:val="00CD3517"/>
    <w:rsid w:val="00CD5FE2"/>
    <w:rsid w:val="00CE7C68"/>
    <w:rsid w:val="00D02B4C"/>
    <w:rsid w:val="00D040C4"/>
    <w:rsid w:val="00D20AD1"/>
    <w:rsid w:val="00D2582C"/>
    <w:rsid w:val="00D35D57"/>
    <w:rsid w:val="00D44CA3"/>
    <w:rsid w:val="00D46B7E"/>
    <w:rsid w:val="00D474B1"/>
    <w:rsid w:val="00D57C84"/>
    <w:rsid w:val="00D6057D"/>
    <w:rsid w:val="00D71640"/>
    <w:rsid w:val="00D836C5"/>
    <w:rsid w:val="00D84576"/>
    <w:rsid w:val="00D95B26"/>
    <w:rsid w:val="00DA1399"/>
    <w:rsid w:val="00DA24C6"/>
    <w:rsid w:val="00DA4D7B"/>
    <w:rsid w:val="00DC2840"/>
    <w:rsid w:val="00DC73EE"/>
    <w:rsid w:val="00DD271C"/>
    <w:rsid w:val="00DE264A"/>
    <w:rsid w:val="00DF5072"/>
    <w:rsid w:val="00E02D18"/>
    <w:rsid w:val="00E041E7"/>
    <w:rsid w:val="00E23CA1"/>
    <w:rsid w:val="00E409A8"/>
    <w:rsid w:val="00E50C12"/>
    <w:rsid w:val="00E54AD9"/>
    <w:rsid w:val="00E6010B"/>
    <w:rsid w:val="00E65B91"/>
    <w:rsid w:val="00E7209D"/>
    <w:rsid w:val="00E72EAD"/>
    <w:rsid w:val="00E77223"/>
    <w:rsid w:val="00E8528B"/>
    <w:rsid w:val="00E85B94"/>
    <w:rsid w:val="00E91D5C"/>
    <w:rsid w:val="00E978D0"/>
    <w:rsid w:val="00EA4613"/>
    <w:rsid w:val="00EA6A36"/>
    <w:rsid w:val="00EA7F91"/>
    <w:rsid w:val="00EB1523"/>
    <w:rsid w:val="00EC0E49"/>
    <w:rsid w:val="00EC101F"/>
    <w:rsid w:val="00EC1D9F"/>
    <w:rsid w:val="00ED4675"/>
    <w:rsid w:val="00EE0131"/>
    <w:rsid w:val="00EE17B0"/>
    <w:rsid w:val="00EE32C7"/>
    <w:rsid w:val="00EE4785"/>
    <w:rsid w:val="00EF06D9"/>
    <w:rsid w:val="00F3049E"/>
    <w:rsid w:val="00F30C64"/>
    <w:rsid w:val="00F32BA2"/>
    <w:rsid w:val="00F32CDB"/>
    <w:rsid w:val="00F41EE4"/>
    <w:rsid w:val="00F565FE"/>
    <w:rsid w:val="00F63A70"/>
    <w:rsid w:val="00F63D8C"/>
    <w:rsid w:val="00F7534E"/>
    <w:rsid w:val="00F93EDF"/>
    <w:rsid w:val="00FA1802"/>
    <w:rsid w:val="00FA21D0"/>
    <w:rsid w:val="00FA5F5F"/>
    <w:rsid w:val="00FB730C"/>
    <w:rsid w:val="00FC2695"/>
    <w:rsid w:val="00FC3E03"/>
    <w:rsid w:val="00FC3FC1"/>
    <w:rsid w:val="00FE1DFB"/>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474B1"/>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474B1"/>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qFormat/>
    <w:rsid w:val="00280FAF"/>
    <w:pPr>
      <w:ind w:left="720"/>
      <w:contextualSpacing/>
    </w:pPr>
  </w:style>
  <w:style w:type="character" w:customStyle="1" w:styleId="gmail-apple-converted-space">
    <w:name w:val="gmail-apple-converted-space"/>
    <w:basedOn w:val="Policepardfaut"/>
    <w:rsid w:val="00005A19"/>
  </w:style>
  <w:style w:type="character" w:styleId="Textedelespacerserv">
    <w:name w:val="Placeholder Text"/>
    <w:basedOn w:val="Policepardfaut"/>
    <w:uiPriority w:val="99"/>
    <w:semiHidden/>
    <w:rsid w:val="00AB0FA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D474B1"/>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D474B1"/>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phedeliste">
    <w:name w:val="List Paragraph"/>
    <w:basedOn w:val="Normal"/>
    <w:uiPriority w:val="34"/>
    <w:qFormat/>
    <w:rsid w:val="00280FAF"/>
    <w:pPr>
      <w:ind w:left="720"/>
      <w:contextualSpacing/>
    </w:pPr>
  </w:style>
  <w:style w:type="character" w:customStyle="1" w:styleId="gmail-apple-converted-space">
    <w:name w:val="gmail-apple-converted-space"/>
    <w:basedOn w:val="Policepardfaut"/>
    <w:rsid w:val="00005A19"/>
  </w:style>
  <w:style w:type="character" w:styleId="Textedelespacerserv">
    <w:name w:val="Placeholder Text"/>
    <w:basedOn w:val="Policepardfaut"/>
    <w:uiPriority w:val="99"/>
    <w:semiHidden/>
    <w:rsid w:val="00AB0FA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14212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06361">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8696152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800761109">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016/j.jlp.2010.05.00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searchgate.net/journal/Journal-of-Loss-Prevention-in-the-Process-Industries-0950-42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016/j.jlp.2011.08.01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981C5-8BCC-49AF-BABC-78F3BF98C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3006</Words>
  <Characters>16534</Characters>
  <Application>Microsoft Office Word</Application>
  <DocSecurity>0</DocSecurity>
  <Lines>137</Lines>
  <Paragraphs>39</Paragraphs>
  <ScaleCrop>false</ScaleCrop>
  <HeadingPairs>
    <vt:vector size="8" baseType="variant">
      <vt:variant>
        <vt:lpstr>Titre</vt:lpstr>
      </vt:variant>
      <vt:variant>
        <vt:i4>1</vt:i4>
      </vt:variant>
      <vt:variant>
        <vt:lpstr>Titres</vt:lpstr>
      </vt:variant>
      <vt:variant>
        <vt:i4>1</vt:i4>
      </vt:variant>
      <vt:variant>
        <vt:lpstr>Titolo</vt:lpstr>
      </vt:variant>
      <vt:variant>
        <vt:i4>1</vt:i4>
      </vt:variant>
      <vt:variant>
        <vt:lpstr>Title</vt:lpstr>
      </vt:variant>
      <vt:variant>
        <vt:i4>1</vt:i4>
      </vt:variant>
    </vt:vector>
  </HeadingPairs>
  <TitlesOfParts>
    <vt:vector size="4" baseType="lpstr">
      <vt:lpstr/>
      <vt:lpstr>Study of a dust explosion in a pharmaceutical production unit</vt:lpstr>
      <vt:lpstr/>
      <vt:lpstr/>
    </vt:vector>
  </TitlesOfParts>
  <Company>Dipartimento CMIC - Politecnico di Milano</Company>
  <LinksUpToDate>false</LinksUpToDate>
  <CharactersWithSpaces>19501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Lenovo</cp:lastModifiedBy>
  <cp:revision>2</cp:revision>
  <cp:lastPrinted>2015-05-12T18:31:00Z</cp:lastPrinted>
  <dcterms:created xsi:type="dcterms:W3CDTF">2025-01-17T20:45:00Z</dcterms:created>
  <dcterms:modified xsi:type="dcterms:W3CDTF">2025-01-17T20:45:00Z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