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951A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951A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951AD">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13E144A" w:rsidR="00E978D0" w:rsidRPr="00B57B36" w:rsidRDefault="006951AD" w:rsidP="00E978D0">
      <w:pPr>
        <w:pStyle w:val="CETTitle"/>
      </w:pPr>
      <w:r>
        <w:t>Polymer composites fabricated</w:t>
      </w:r>
      <w:r w:rsidR="00F269A7">
        <w:t xml:space="preserve"> with </w:t>
      </w:r>
      <w:r w:rsidR="00A73B8C">
        <w:t xml:space="preserve">calcium carbonate recovered from Acid Mine Drainage of the Witwatersrand Eastern basin </w:t>
      </w:r>
    </w:p>
    <w:p w14:paraId="0488FED2" w14:textId="6479DBA9" w:rsidR="00B57E6F" w:rsidRPr="00B57B36" w:rsidRDefault="00A73B8C" w:rsidP="00B57E6F">
      <w:pPr>
        <w:pStyle w:val="CETAuthors"/>
      </w:pPr>
      <w:r>
        <w:t>Recardo D.S. Khumalo</w:t>
      </w:r>
      <w:r w:rsidR="00B57E6F" w:rsidRPr="00B57B36">
        <w:rPr>
          <w:vertAlign w:val="superscript"/>
        </w:rPr>
        <w:t>a</w:t>
      </w:r>
      <w:r>
        <w:rPr>
          <w:vertAlign w:val="superscript"/>
        </w:rPr>
        <w:t>*</w:t>
      </w:r>
      <w:r w:rsidR="00B57E6F" w:rsidRPr="00B57B36">
        <w:t xml:space="preserve">, </w:t>
      </w:r>
      <w:r>
        <w:t>Raymond S. Mohlamonyane</w:t>
      </w:r>
      <w:r w:rsidR="00B57E6F" w:rsidRPr="00B57B36">
        <w:rPr>
          <w:vertAlign w:val="superscript"/>
        </w:rPr>
        <w:t>b</w:t>
      </w:r>
      <w:r w:rsidR="00B57E6F" w:rsidRPr="00A73B8C">
        <w:t>,</w:t>
      </w:r>
      <w:r w:rsidR="00B57E6F" w:rsidRPr="00B57B36">
        <w:t xml:space="preserve"> </w:t>
      </w:r>
      <w:r>
        <w:t>Washington Mhike</w:t>
      </w:r>
      <w:r w:rsidRPr="00B57B36">
        <w:rPr>
          <w:vertAlign w:val="superscript"/>
        </w:rPr>
        <w:t>b</w:t>
      </w:r>
      <w:r w:rsidRPr="00A73B8C">
        <w:t>,</w:t>
      </w:r>
      <w:r w:rsidRPr="00B57B36">
        <w:t xml:space="preserve"> </w:t>
      </w:r>
      <w:r>
        <w:t>Liezl Matthews</w:t>
      </w:r>
      <w:r>
        <w:rPr>
          <w:vertAlign w:val="superscript"/>
        </w:rPr>
        <w:t>c</w:t>
      </w:r>
      <w:r w:rsidRPr="00A73B8C">
        <w:t>,</w:t>
      </w:r>
      <w:r w:rsidRPr="00B57B36">
        <w:t xml:space="preserve"> </w:t>
      </w:r>
      <w:r>
        <w:t>Xandri van Niekerk</w:t>
      </w:r>
      <w:r>
        <w:rPr>
          <w:vertAlign w:val="superscript"/>
        </w:rPr>
        <w:t>c</w:t>
      </w:r>
      <w:r w:rsidRPr="00A73B8C">
        <w:t>,</w:t>
      </w:r>
      <w:r w:rsidRPr="00B57B36">
        <w:t xml:space="preserve"> </w:t>
      </w:r>
      <w:r w:rsidR="00FD3FCF">
        <w:t>Hendrik G. Brink</w:t>
      </w:r>
      <w:r w:rsidR="00FD3FCF">
        <w:rPr>
          <w:vertAlign w:val="superscript"/>
        </w:rPr>
        <w:t>a</w:t>
      </w:r>
      <w:r w:rsidRPr="00A73B8C">
        <w:t>,</w:t>
      </w:r>
      <w:r w:rsidRPr="00B57B36">
        <w:t xml:space="preserve"> </w:t>
      </w:r>
      <w:r w:rsidR="00FD3FCF">
        <w:t>Evans</w:t>
      </w:r>
      <w:r>
        <w:t xml:space="preserve"> M</w:t>
      </w:r>
      <w:r w:rsidR="00FD3FCF">
        <w:t>.N. Chirwa</w:t>
      </w:r>
      <w:r w:rsidR="00FD3FCF">
        <w:rPr>
          <w:vertAlign w:val="superscript"/>
        </w:rPr>
        <w:t>a</w:t>
      </w:r>
    </w:p>
    <w:p w14:paraId="6B2D21B3" w14:textId="1B3254CE" w:rsidR="00B57E6F" w:rsidRPr="00B57B36" w:rsidRDefault="00B57E6F" w:rsidP="00B57E6F">
      <w:pPr>
        <w:pStyle w:val="CETAddress"/>
      </w:pPr>
      <w:r w:rsidRPr="00B57B36">
        <w:rPr>
          <w:vertAlign w:val="superscript"/>
        </w:rPr>
        <w:t>a</w:t>
      </w:r>
      <w:r w:rsidR="00FD3FCF">
        <w:t>Water Utilisation and Environmental Engineering Division, Department of Chemical Engineering, University of Pretoria, Hatfield Campus, Pretoria, 0002, South Africa</w:t>
      </w:r>
      <w:r w:rsidRPr="00B57B36">
        <w:t xml:space="preserve"> </w:t>
      </w:r>
    </w:p>
    <w:p w14:paraId="368D8361" w14:textId="2E714F5A" w:rsidR="00A73B8C" w:rsidRDefault="00B57E6F" w:rsidP="00B57E6F">
      <w:pPr>
        <w:pStyle w:val="CETAddress"/>
      </w:pPr>
      <w:r w:rsidRPr="00B57B36">
        <w:rPr>
          <w:vertAlign w:val="superscript"/>
        </w:rPr>
        <w:t>b</w:t>
      </w:r>
      <w:r w:rsidR="00FD3FCF">
        <w:t>Department of Chemical, Metallurgical and Materials Engineering (Polymer Technology Division), Tshwane University of Technology, Pretoria, 0183, South Africa</w:t>
      </w:r>
    </w:p>
    <w:p w14:paraId="3D72B0B0" w14:textId="6D74E552" w:rsidR="00B57E6F" w:rsidRPr="00B57B36" w:rsidRDefault="00FD3FCF" w:rsidP="00B57E6F">
      <w:pPr>
        <w:pStyle w:val="CETAddress"/>
      </w:pPr>
      <w:r>
        <w:rPr>
          <w:vertAlign w:val="superscript"/>
        </w:rPr>
        <w:t>c</w:t>
      </w:r>
      <w:r>
        <w:t>Nelson Mandela University, eNtsa North Campus, Summerstrand, Gqeberha, 6001, South Africa</w:t>
      </w:r>
      <w:r w:rsidR="00B57E6F" w:rsidRPr="00B57B36">
        <w:t xml:space="preserve"> </w:t>
      </w:r>
    </w:p>
    <w:p w14:paraId="73F1267A" w14:textId="61A248FB" w:rsidR="00B57E6F" w:rsidRPr="00B57B36" w:rsidRDefault="00B57E6F" w:rsidP="00B57E6F">
      <w:pPr>
        <w:pStyle w:val="CETemail"/>
      </w:pPr>
      <w:r>
        <w:t xml:space="preserve"> </w:t>
      </w:r>
      <w:r w:rsidR="00B25991">
        <w:t>rds.khumalo@outloo</w:t>
      </w:r>
      <w:r w:rsidR="00B069D3">
        <w:t>k</w:t>
      </w:r>
      <w:r w:rsidR="00B25991">
        <w:t>.com</w:t>
      </w:r>
    </w:p>
    <w:p w14:paraId="6893AF25" w14:textId="568E87BF" w:rsidR="00600535" w:rsidRPr="00B57B36" w:rsidRDefault="00514EAD" w:rsidP="00600535">
      <w:pPr>
        <w:pStyle w:val="CETBodytext"/>
        <w:rPr>
          <w:lang w:val="en-GB"/>
        </w:rPr>
      </w:pPr>
      <w:r>
        <w:rPr>
          <w:rFonts w:cs="Arial"/>
        </w:rPr>
        <w:t>An environmentally benign hydrothermal urea hydrolysis method for treat</w:t>
      </w:r>
      <w:r w:rsidR="0069696C">
        <w:rPr>
          <w:rFonts w:cs="Arial"/>
        </w:rPr>
        <w:t>ing</w:t>
      </w:r>
      <w:r>
        <w:rPr>
          <w:rFonts w:cs="Arial"/>
        </w:rPr>
        <w:t xml:space="preserve"> acid mine drainage has been developed</w:t>
      </w:r>
      <w:r w:rsidR="006D3FD2">
        <w:rPr>
          <w:rFonts w:cs="Arial"/>
        </w:rPr>
        <w:t xml:space="preserve">, enabling the recovery </w:t>
      </w:r>
      <w:r w:rsidR="00DA55AA">
        <w:rPr>
          <w:rFonts w:cs="Arial"/>
        </w:rPr>
        <w:t>of the aragonite polymorph of</w:t>
      </w:r>
      <w:r>
        <w:rPr>
          <w:rFonts w:cs="Arial"/>
        </w:rPr>
        <w:t xml:space="preserve"> calcium carbonate from the three basins in the Witwatersrand region</w:t>
      </w:r>
      <w:r w:rsidR="003F1A28">
        <w:rPr>
          <w:rFonts w:cs="Arial"/>
        </w:rPr>
        <w:t xml:space="preserve"> (</w:t>
      </w:r>
      <w:r>
        <w:rPr>
          <w:rFonts w:cs="Arial"/>
        </w:rPr>
        <w:t>Gauteng, South Africa</w:t>
      </w:r>
      <w:r w:rsidR="003F1A28">
        <w:rPr>
          <w:rFonts w:cs="Arial"/>
        </w:rPr>
        <w:t>)</w:t>
      </w:r>
      <w:r>
        <w:rPr>
          <w:rFonts w:cs="Arial"/>
        </w:rPr>
        <w:t xml:space="preserve">. Of the three </w:t>
      </w:r>
      <w:r w:rsidR="00EC23D7">
        <w:rPr>
          <w:rFonts w:cs="Arial"/>
        </w:rPr>
        <w:t>basins investigated</w:t>
      </w:r>
      <w:r>
        <w:rPr>
          <w:rFonts w:cs="Arial"/>
        </w:rPr>
        <w:t>, the calcium carbonate recovered from the Eastern basin displayed the highest crystallinity and average aspect ratio when compared to the other basins. This made it an interesting candidate for the preparation of polymer composites. In this preliminary study, the aragonite particles recovered from the Eastern basin acid mine drainage (with and without the suspended solids) were incorporate</w:t>
      </w:r>
      <w:r w:rsidR="0050638D">
        <w:rPr>
          <w:rFonts w:cs="Arial"/>
        </w:rPr>
        <w:t>d</w:t>
      </w:r>
      <w:r>
        <w:rPr>
          <w:rFonts w:cs="Arial"/>
        </w:rPr>
        <w:t xml:space="preserve"> at 5 </w:t>
      </w:r>
      <w:r w:rsidR="00421EB9">
        <w:rPr>
          <w:rFonts w:cs="Arial"/>
        </w:rPr>
        <w:t>wt.</w:t>
      </w:r>
      <w:r>
        <w:rPr>
          <w:rFonts w:cs="Arial"/>
        </w:rPr>
        <w:t xml:space="preserve">% into </w:t>
      </w:r>
      <w:r w:rsidR="00EE2840">
        <w:rPr>
          <w:rFonts w:cs="Arial"/>
        </w:rPr>
        <w:t xml:space="preserve">an </w:t>
      </w:r>
      <w:r>
        <w:rPr>
          <w:rFonts w:cs="Arial"/>
        </w:rPr>
        <w:t xml:space="preserve">ethylene propylene copolymer via melt compounding. The resulting composites were then investigated for their </w:t>
      </w:r>
      <w:r w:rsidR="0050638D">
        <w:rPr>
          <w:rFonts w:cs="Arial"/>
        </w:rPr>
        <w:t xml:space="preserve">morphologies, </w:t>
      </w:r>
      <w:r>
        <w:rPr>
          <w:rFonts w:cs="Arial"/>
        </w:rPr>
        <w:t xml:space="preserve">thermal and mechanical properties to establish the influence of particles on the polymer matrix. The results showed that the particles had a heterogeneous nucleating effect on the polymer matrix. The particles imparted a good balance </w:t>
      </w:r>
      <w:r w:rsidR="0050638D">
        <w:rPr>
          <w:rFonts w:cs="Arial"/>
        </w:rPr>
        <w:t>between</w:t>
      </w:r>
      <w:r>
        <w:rPr>
          <w:rFonts w:cs="Arial"/>
        </w:rPr>
        <w:t xml:space="preserve"> the </w:t>
      </w:r>
      <w:r w:rsidR="0050638D">
        <w:rPr>
          <w:rFonts w:cs="Arial"/>
        </w:rPr>
        <w:t>toughness</w:t>
      </w:r>
      <w:r>
        <w:rPr>
          <w:rFonts w:cs="Arial"/>
        </w:rPr>
        <w:t xml:space="preserve"> and stiffness of the ethylene propylene copolymer. The study demonstrated the possible industrial utility of the calcium carbonate recovered from the acid mine drainage, thus the self-sustaining viability of the treatment method.</w:t>
      </w:r>
    </w:p>
    <w:p w14:paraId="476B2F2E" w14:textId="52B36035" w:rsidR="00600535" w:rsidRPr="00B57B36" w:rsidRDefault="00600535" w:rsidP="00600535">
      <w:pPr>
        <w:pStyle w:val="CETHeading1"/>
        <w:rPr>
          <w:lang w:val="en-GB"/>
        </w:rPr>
      </w:pPr>
      <w:r w:rsidRPr="00B57B36">
        <w:rPr>
          <w:lang w:val="en-GB"/>
        </w:rPr>
        <w:t>Introduction</w:t>
      </w:r>
    </w:p>
    <w:p w14:paraId="33CBE756" w14:textId="3EB5B96B" w:rsidR="00C24439" w:rsidRDefault="002A78B0" w:rsidP="002A78B0">
      <w:pPr>
        <w:pStyle w:val="CETBodytext"/>
        <w:rPr>
          <w:rFonts w:eastAsiaTheme="minorEastAsia"/>
        </w:rPr>
      </w:pPr>
      <w:r w:rsidRPr="002A78B0">
        <w:t>Particulate fillers in polymers have been used for a variety of reasons ranging from cost reduction to functional fillers, tailoring the matrix for specific performances</w:t>
      </w:r>
      <w:sdt>
        <w:sdtPr>
          <w:id w:val="1283231133"/>
          <w:citation/>
        </w:sdtPr>
        <w:sdtEndPr/>
        <w:sdtContent>
          <w:r w:rsidRPr="002A78B0">
            <w:fldChar w:fldCharType="begin"/>
          </w:r>
          <w:r w:rsidRPr="002A78B0">
            <w:instrText xml:space="preserve">CITATION Rot17 \l 7177 </w:instrText>
          </w:r>
          <w:r w:rsidRPr="002A78B0">
            <w:fldChar w:fldCharType="separate"/>
          </w:r>
          <w:r w:rsidR="00926F11">
            <w:rPr>
              <w:noProof/>
            </w:rPr>
            <w:t xml:space="preserve"> (Rothon &amp; DeArmitt, 2017)</w:t>
          </w:r>
          <w:r w:rsidRPr="002A78B0">
            <w:fldChar w:fldCharType="end"/>
          </w:r>
        </w:sdtContent>
      </w:sdt>
      <w:r w:rsidRPr="002A78B0">
        <w:t>. That is, the final performance of the polymer composite (e.g. optical, thermal, mechanical properties, etc.) is governed by the filler’s chemical composition, particle size, shape and surface characteristics, concentration as well as its dispersion in the polymer matrix</w:t>
      </w:r>
      <w:sdt>
        <w:sdtPr>
          <w:id w:val="-1383938819"/>
          <w:citation/>
        </w:sdtPr>
        <w:sdtEndPr/>
        <w:sdtContent>
          <w:r w:rsidRPr="002A78B0">
            <w:fldChar w:fldCharType="begin"/>
          </w:r>
          <w:r w:rsidRPr="002A78B0">
            <w:instrText xml:space="preserve"> CITATION Lia13 \l 7177 </w:instrText>
          </w:r>
          <w:r w:rsidRPr="002A78B0">
            <w:fldChar w:fldCharType="separate"/>
          </w:r>
          <w:r w:rsidR="00926F11">
            <w:rPr>
              <w:noProof/>
            </w:rPr>
            <w:t xml:space="preserve"> (Liang, 2013)</w:t>
          </w:r>
          <w:r w:rsidRPr="002A78B0">
            <w:fldChar w:fldCharType="end"/>
          </w:r>
        </w:sdtContent>
      </w:sdt>
      <w:r w:rsidRPr="002A78B0">
        <w:t xml:space="preserve">. The filler also has a significant impact on the polymer composite’s processing </w:t>
      </w:r>
      <w:r w:rsidRPr="00514EAD">
        <w:t>parameters like viscosity, heat transfer, etc.</w:t>
      </w:r>
      <w:sdt>
        <w:sdtPr>
          <w:id w:val="2141758933"/>
          <w:citation/>
        </w:sdtPr>
        <w:sdtEndPr/>
        <w:sdtContent>
          <w:r w:rsidRPr="00514EAD">
            <w:fldChar w:fldCharType="begin"/>
          </w:r>
          <w:r w:rsidR="00582C18">
            <w:instrText xml:space="preserve">CITATION Mal18 \l 7177 </w:instrText>
          </w:r>
          <w:r w:rsidRPr="00514EAD">
            <w:fldChar w:fldCharType="separate"/>
          </w:r>
          <w:r w:rsidR="00926F11">
            <w:rPr>
              <w:noProof/>
            </w:rPr>
            <w:t xml:space="preserve"> (Mallick, 2018)</w:t>
          </w:r>
          <w:r w:rsidRPr="00514EAD">
            <w:fldChar w:fldCharType="end"/>
          </w:r>
        </w:sdtContent>
      </w:sdt>
      <w:r w:rsidRPr="00514EAD">
        <w:t>.</w:t>
      </w:r>
      <w:r w:rsidR="002E7869">
        <w:t xml:space="preserve"> On the other hand,</w:t>
      </w:r>
      <w:r w:rsidR="000A6ADD">
        <w:t xml:space="preserve"> </w:t>
      </w:r>
      <w:r w:rsidR="000A6ADD">
        <w:rPr>
          <w:rFonts w:eastAsiaTheme="minorEastAsia"/>
        </w:rPr>
        <w:t>polypropylene (</w:t>
      </w:r>
      <w:r w:rsidR="000A6ADD" w:rsidRPr="00514EAD">
        <w:rPr>
          <w:rFonts w:eastAsiaTheme="minorEastAsia"/>
        </w:rPr>
        <w:t>PP</w:t>
      </w:r>
      <w:r w:rsidR="000A6ADD">
        <w:rPr>
          <w:rFonts w:eastAsiaTheme="minorEastAsia"/>
        </w:rPr>
        <w:t>)</w:t>
      </w:r>
      <w:r w:rsidR="000A6ADD" w:rsidRPr="00514EAD">
        <w:rPr>
          <w:rFonts w:eastAsiaTheme="minorEastAsia"/>
        </w:rPr>
        <w:t xml:space="preserve"> </w:t>
      </w:r>
      <w:r w:rsidR="00DA6627">
        <w:rPr>
          <w:rFonts w:eastAsiaTheme="minorEastAsia"/>
        </w:rPr>
        <w:t>has see</w:t>
      </w:r>
      <w:r w:rsidR="008A7730">
        <w:rPr>
          <w:rFonts w:eastAsiaTheme="minorEastAsia"/>
        </w:rPr>
        <w:t>n</w:t>
      </w:r>
      <w:r w:rsidR="00DA6627">
        <w:rPr>
          <w:rFonts w:eastAsiaTheme="minorEastAsia"/>
        </w:rPr>
        <w:t xml:space="preserve"> tremendous growth in</w:t>
      </w:r>
      <w:r w:rsidR="008A7730">
        <w:rPr>
          <w:rFonts w:eastAsiaTheme="minorEastAsia"/>
        </w:rPr>
        <w:t xml:space="preserve"> demanding applications especially where light weighting </w:t>
      </w:r>
      <w:r w:rsidR="00B92135">
        <w:rPr>
          <w:rFonts w:eastAsiaTheme="minorEastAsia"/>
        </w:rPr>
        <w:t>and high strengths are required</w:t>
      </w:r>
      <w:r w:rsidR="00886B01">
        <w:rPr>
          <w:rFonts w:eastAsiaTheme="minorEastAsia"/>
        </w:rPr>
        <w:t>, like automotive applications</w:t>
      </w:r>
      <w:r w:rsidR="002021FA">
        <w:rPr>
          <w:rFonts w:eastAsiaTheme="minorEastAsia"/>
        </w:rPr>
        <w:t xml:space="preserve"> and others</w:t>
      </w:r>
      <w:r w:rsidR="00525793">
        <w:rPr>
          <w:rFonts w:eastAsiaTheme="minorEastAsia"/>
        </w:rPr>
        <w:t>.</w:t>
      </w:r>
      <w:r w:rsidR="00E300CC">
        <w:rPr>
          <w:rFonts w:eastAsiaTheme="minorEastAsia"/>
        </w:rPr>
        <w:t xml:space="preserve"> This has</w:t>
      </w:r>
      <w:r w:rsidR="0073070B">
        <w:rPr>
          <w:rFonts w:eastAsiaTheme="minorEastAsia"/>
        </w:rPr>
        <w:t xml:space="preserve"> </w:t>
      </w:r>
      <w:r w:rsidR="00BC0365">
        <w:rPr>
          <w:rFonts w:eastAsiaTheme="minorEastAsia"/>
        </w:rPr>
        <w:t>continued stimulate</w:t>
      </w:r>
      <w:r w:rsidR="00110962">
        <w:rPr>
          <w:rFonts w:eastAsiaTheme="minorEastAsia"/>
        </w:rPr>
        <w:t xml:space="preserve"> research in</w:t>
      </w:r>
      <w:r w:rsidR="00E300CC">
        <w:rPr>
          <w:rFonts w:eastAsiaTheme="minorEastAsia"/>
        </w:rPr>
        <w:t xml:space="preserve"> </w:t>
      </w:r>
      <w:r w:rsidR="00A3298E">
        <w:rPr>
          <w:rFonts w:eastAsiaTheme="minorEastAsia"/>
        </w:rPr>
        <w:t>developing PP compo</w:t>
      </w:r>
      <w:r w:rsidR="00834962">
        <w:rPr>
          <w:rFonts w:eastAsiaTheme="minorEastAsia"/>
        </w:rPr>
        <w:t>sites in search of novel properties</w:t>
      </w:r>
      <w:sdt>
        <w:sdtPr>
          <w:rPr>
            <w:rFonts w:eastAsiaTheme="minorEastAsia"/>
          </w:rPr>
          <w:id w:val="-312175396"/>
          <w:citation/>
        </w:sdtPr>
        <w:sdtEndPr/>
        <w:sdtContent>
          <w:r w:rsidR="00EF6370">
            <w:rPr>
              <w:rFonts w:eastAsiaTheme="minorEastAsia"/>
            </w:rPr>
            <w:fldChar w:fldCharType="begin"/>
          </w:r>
          <w:r w:rsidR="00EF6370">
            <w:rPr>
              <w:rFonts w:eastAsiaTheme="minorEastAsia"/>
            </w:rPr>
            <w:instrText xml:space="preserve"> CITATION Mur23 \l 1033 </w:instrText>
          </w:r>
          <w:r w:rsidR="00EF6370">
            <w:rPr>
              <w:rFonts w:eastAsiaTheme="minorEastAsia"/>
            </w:rPr>
            <w:fldChar w:fldCharType="separate"/>
          </w:r>
          <w:r w:rsidR="00926F11">
            <w:rPr>
              <w:rFonts w:eastAsiaTheme="minorEastAsia"/>
              <w:noProof/>
            </w:rPr>
            <w:t xml:space="preserve"> </w:t>
          </w:r>
          <w:r w:rsidR="00926F11" w:rsidRPr="00926F11">
            <w:rPr>
              <w:rFonts w:eastAsiaTheme="minorEastAsia"/>
              <w:noProof/>
            </w:rPr>
            <w:t>(Murariu et al., 2023)</w:t>
          </w:r>
          <w:r w:rsidR="00EF6370">
            <w:rPr>
              <w:rFonts w:eastAsiaTheme="minorEastAsia"/>
            </w:rPr>
            <w:fldChar w:fldCharType="end"/>
          </w:r>
        </w:sdtContent>
      </w:sdt>
      <w:r w:rsidR="00886B01">
        <w:rPr>
          <w:rFonts w:eastAsiaTheme="minorEastAsia"/>
        </w:rPr>
        <w:t>.</w:t>
      </w:r>
      <w:r w:rsidR="00DA6627">
        <w:rPr>
          <w:rFonts w:eastAsiaTheme="minorEastAsia"/>
        </w:rPr>
        <w:t xml:space="preserve"> </w:t>
      </w:r>
      <w:r w:rsidRPr="00514EAD">
        <w:t xml:space="preserve"> </w:t>
      </w:r>
      <w:r w:rsidR="00514EAD" w:rsidRPr="00514EAD">
        <w:t>Calcium carbonate</w:t>
      </w:r>
      <w:r w:rsidRPr="00514EAD">
        <w:t xml:space="preserve"> </w:t>
      </w:r>
      <w:r w:rsidR="00514EAD" w:rsidRPr="00514EAD">
        <w:t>(</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514EAD" w:rsidRPr="00514EAD">
        <w:t>)</w:t>
      </w:r>
      <w:r w:rsidRPr="00514EAD">
        <w:rPr>
          <w:rFonts w:eastAsiaTheme="minorEastAsia"/>
        </w:rPr>
        <w:t xml:space="preserve"> has been extensively employed as a </w:t>
      </w:r>
      <w:r w:rsidR="001B3EBF" w:rsidRPr="00514EAD">
        <w:rPr>
          <w:rFonts w:eastAsiaTheme="minorEastAsia"/>
        </w:rPr>
        <w:t>discontin</w:t>
      </w:r>
      <w:r w:rsidR="001B3EBF">
        <w:rPr>
          <w:rFonts w:eastAsiaTheme="minorEastAsia"/>
        </w:rPr>
        <w:t>u</w:t>
      </w:r>
      <w:r w:rsidR="001B3EBF" w:rsidRPr="00514EAD">
        <w:rPr>
          <w:rFonts w:eastAsiaTheme="minorEastAsia"/>
        </w:rPr>
        <w:t>ous</w:t>
      </w:r>
      <w:r w:rsidRPr="00514EAD">
        <w:rPr>
          <w:rFonts w:eastAsiaTheme="minorEastAsia"/>
        </w:rPr>
        <w:t xml:space="preserve"> phase in the </w:t>
      </w:r>
      <w:r w:rsidR="001B3EBF">
        <w:rPr>
          <w:rFonts w:eastAsiaTheme="minorEastAsia"/>
        </w:rPr>
        <w:t>polypropylene (</w:t>
      </w:r>
      <w:r w:rsidRPr="00514EAD">
        <w:rPr>
          <w:rFonts w:eastAsiaTheme="minorEastAsia"/>
        </w:rPr>
        <w:t>PP</w:t>
      </w:r>
      <w:r w:rsidR="001B3EBF">
        <w:rPr>
          <w:rFonts w:eastAsiaTheme="minorEastAsia"/>
        </w:rPr>
        <w:t>)</w:t>
      </w:r>
      <w:r w:rsidRPr="00514EAD">
        <w:rPr>
          <w:rFonts w:eastAsiaTheme="minorEastAsia"/>
        </w:rPr>
        <w:t xml:space="preserve"> matrix, with the resulting</w:t>
      </w:r>
      <w:r w:rsidRPr="002A78B0">
        <w:rPr>
          <w:rFonts w:eastAsiaTheme="minorEastAsia"/>
        </w:rPr>
        <w:t xml:space="preserve"> composites showing a variety of enhanced properties like improved impact strength</w:t>
      </w:r>
      <w:sdt>
        <w:sdtPr>
          <w:rPr>
            <w:rFonts w:eastAsiaTheme="minorEastAsia"/>
          </w:rPr>
          <w:id w:val="-1297678824"/>
          <w:citation/>
        </w:sdtPr>
        <w:sdtEndPr/>
        <w:sdtContent>
          <w:r w:rsidRPr="002A78B0">
            <w:rPr>
              <w:rFonts w:eastAsiaTheme="minorEastAsia"/>
            </w:rPr>
            <w:fldChar w:fldCharType="begin"/>
          </w:r>
          <w:r w:rsidRPr="002A78B0">
            <w:rPr>
              <w:rFonts w:eastAsiaTheme="minorEastAsia"/>
            </w:rPr>
            <w:instrText xml:space="preserve"> CITATION Cha02 \l 7177  \m Cha16 \m doN16</w:instrText>
          </w:r>
          <w:r w:rsidRPr="002A78B0">
            <w:rPr>
              <w:rFonts w:eastAsiaTheme="minorEastAsia"/>
            </w:rPr>
            <w:fldChar w:fldCharType="separate"/>
          </w:r>
          <w:r w:rsidR="00926F11">
            <w:rPr>
              <w:rFonts w:eastAsiaTheme="minorEastAsia"/>
              <w:noProof/>
            </w:rPr>
            <w:t xml:space="preserve"> </w:t>
          </w:r>
          <w:r w:rsidR="00926F11" w:rsidRPr="00926F11">
            <w:rPr>
              <w:rFonts w:eastAsiaTheme="minorEastAsia"/>
              <w:noProof/>
            </w:rPr>
            <w:t>(Chan et al., 2002; Chafidz et al., 2016; do Nascimento et al., 2016)</w:t>
          </w:r>
          <w:r w:rsidRPr="002A78B0">
            <w:rPr>
              <w:rFonts w:eastAsiaTheme="minorEastAsia"/>
            </w:rPr>
            <w:fldChar w:fldCharType="end"/>
          </w:r>
        </w:sdtContent>
      </w:sdt>
      <w:r w:rsidRPr="002A78B0">
        <w:rPr>
          <w:rFonts w:eastAsiaTheme="minorEastAsia"/>
        </w:rPr>
        <w:t>, fracture toughness</w:t>
      </w:r>
      <w:sdt>
        <w:sdtPr>
          <w:rPr>
            <w:rFonts w:eastAsiaTheme="minorEastAsia"/>
          </w:rPr>
          <w:id w:val="-778186722"/>
          <w:citation/>
        </w:sdtPr>
        <w:sdtEndPr/>
        <w:sdtContent>
          <w:r w:rsidRPr="002A78B0">
            <w:rPr>
              <w:rFonts w:eastAsiaTheme="minorEastAsia"/>
            </w:rPr>
            <w:fldChar w:fldCharType="begin"/>
          </w:r>
          <w:r w:rsidRPr="002A78B0">
            <w:rPr>
              <w:rFonts w:eastAsiaTheme="minorEastAsia"/>
            </w:rPr>
            <w:instrText xml:space="preserve"> CITATION Afs10 \l 7177 </w:instrText>
          </w:r>
          <w:r w:rsidRPr="002A78B0">
            <w:rPr>
              <w:rFonts w:eastAsiaTheme="minorEastAsia"/>
            </w:rPr>
            <w:fldChar w:fldCharType="separate"/>
          </w:r>
          <w:r w:rsidR="00926F11">
            <w:rPr>
              <w:rFonts w:eastAsiaTheme="minorEastAsia"/>
              <w:noProof/>
            </w:rPr>
            <w:t xml:space="preserve"> </w:t>
          </w:r>
          <w:r w:rsidR="00926F11" w:rsidRPr="00926F11">
            <w:rPr>
              <w:rFonts w:eastAsiaTheme="minorEastAsia"/>
              <w:noProof/>
            </w:rPr>
            <w:t>(Afshar et al., 2010)</w:t>
          </w:r>
          <w:r w:rsidRPr="002A78B0">
            <w:rPr>
              <w:rFonts w:eastAsiaTheme="minorEastAsia"/>
            </w:rPr>
            <w:fldChar w:fldCharType="end"/>
          </w:r>
        </w:sdtContent>
      </w:sdt>
      <w:r w:rsidRPr="002A78B0">
        <w:rPr>
          <w:rFonts w:eastAsiaTheme="minorEastAsia"/>
        </w:rPr>
        <w:t>, elastic modulus</w:t>
      </w:r>
      <w:sdt>
        <w:sdtPr>
          <w:rPr>
            <w:rFonts w:eastAsiaTheme="minorEastAsia"/>
          </w:rPr>
          <w:id w:val="-425496924"/>
          <w:citation/>
        </w:sdtPr>
        <w:sdtEndPr/>
        <w:sdtContent>
          <w:r w:rsidRPr="002A78B0">
            <w:rPr>
              <w:rFonts w:eastAsiaTheme="minorEastAsia"/>
            </w:rPr>
            <w:fldChar w:fldCharType="begin"/>
          </w:r>
          <w:r w:rsidRPr="002A78B0">
            <w:rPr>
              <w:rFonts w:eastAsiaTheme="minorEastAsia"/>
            </w:rPr>
            <w:instrText xml:space="preserve"> CITATION Eir09 \l 7177 </w:instrText>
          </w:r>
          <w:r w:rsidRPr="002A78B0">
            <w:rPr>
              <w:rFonts w:eastAsiaTheme="minorEastAsia"/>
            </w:rPr>
            <w:fldChar w:fldCharType="separate"/>
          </w:r>
          <w:r w:rsidR="00926F11">
            <w:rPr>
              <w:rFonts w:eastAsiaTheme="minorEastAsia"/>
              <w:noProof/>
            </w:rPr>
            <w:t xml:space="preserve"> </w:t>
          </w:r>
          <w:r w:rsidR="00926F11" w:rsidRPr="00926F11">
            <w:rPr>
              <w:rFonts w:eastAsiaTheme="minorEastAsia"/>
              <w:noProof/>
            </w:rPr>
            <w:t>(Eiras &amp; Pessan, 2009)</w:t>
          </w:r>
          <w:r w:rsidRPr="002A78B0">
            <w:rPr>
              <w:rFonts w:eastAsiaTheme="minorEastAsia"/>
            </w:rPr>
            <w:fldChar w:fldCharType="end"/>
          </w:r>
        </w:sdtContent>
      </w:sdt>
      <w:r w:rsidR="00EE116D">
        <w:rPr>
          <w:rFonts w:eastAsiaTheme="minorEastAsia"/>
        </w:rPr>
        <w:t>,</w:t>
      </w:r>
      <w:r w:rsidRPr="002A78B0">
        <w:rPr>
          <w:rFonts w:eastAsiaTheme="minorEastAsia"/>
        </w:rPr>
        <w:t xml:space="preserve"> </w:t>
      </w:r>
      <w:r w:rsidR="009C0543">
        <w:rPr>
          <w:rFonts w:eastAsiaTheme="minorEastAsia"/>
        </w:rPr>
        <w:t>have a</w:t>
      </w:r>
      <w:r w:rsidRPr="002A78B0">
        <w:rPr>
          <w:rFonts w:eastAsiaTheme="minorEastAsia"/>
        </w:rPr>
        <w:t xml:space="preserve"> synergistic effect with carbon nanotubes (CNTs) to enhance electrical conductivity of PP</w:t>
      </w:r>
      <w:sdt>
        <w:sdtPr>
          <w:rPr>
            <w:rFonts w:eastAsiaTheme="minorEastAsia"/>
          </w:rPr>
          <w:id w:val="-1521775851"/>
          <w:citation/>
        </w:sdtPr>
        <w:sdtEndPr/>
        <w:sdtContent>
          <w:r w:rsidRPr="002A78B0">
            <w:rPr>
              <w:rFonts w:eastAsiaTheme="minorEastAsia"/>
            </w:rPr>
            <w:fldChar w:fldCharType="begin"/>
          </w:r>
          <w:r w:rsidRPr="002A78B0">
            <w:rPr>
              <w:rFonts w:eastAsiaTheme="minorEastAsia"/>
            </w:rPr>
            <w:instrText xml:space="preserve"> CITATION LiX17 \l 7177 </w:instrText>
          </w:r>
          <w:r w:rsidRPr="002A78B0">
            <w:rPr>
              <w:rFonts w:eastAsiaTheme="minorEastAsia"/>
            </w:rPr>
            <w:fldChar w:fldCharType="separate"/>
          </w:r>
          <w:r w:rsidR="00926F11">
            <w:rPr>
              <w:rFonts w:eastAsiaTheme="minorEastAsia"/>
              <w:noProof/>
            </w:rPr>
            <w:t xml:space="preserve"> </w:t>
          </w:r>
          <w:r w:rsidR="00926F11" w:rsidRPr="00926F11">
            <w:rPr>
              <w:rFonts w:eastAsiaTheme="minorEastAsia"/>
              <w:noProof/>
            </w:rPr>
            <w:t>(Li et al., 2017)</w:t>
          </w:r>
          <w:r w:rsidRPr="002A78B0">
            <w:rPr>
              <w:rFonts w:eastAsiaTheme="minorEastAsia"/>
            </w:rPr>
            <w:fldChar w:fldCharType="end"/>
          </w:r>
        </w:sdtContent>
      </w:sdt>
      <w:r w:rsidRPr="002A78B0">
        <w:rPr>
          <w:rFonts w:eastAsiaTheme="minorEastAsia"/>
        </w:rPr>
        <w:t xml:space="preserve">, </w:t>
      </w:r>
      <w:r w:rsidR="00EE116D">
        <w:rPr>
          <w:rFonts w:eastAsiaTheme="minorEastAsia"/>
        </w:rPr>
        <w:t>and recentl</w:t>
      </w:r>
      <w:r w:rsidR="001D421D">
        <w:rPr>
          <w:rFonts w:eastAsiaTheme="minorEastAsia"/>
        </w:rPr>
        <w:t>y</w:t>
      </w:r>
      <w:r w:rsidR="004D7FC7">
        <w:rPr>
          <w:rFonts w:eastAsiaTheme="minorEastAsia"/>
        </w:rPr>
        <w:t xml:space="preserve">, environmental saving by reducing the </w:t>
      </w:r>
      <w:r w:rsidR="00857E2B">
        <w:rPr>
          <w:rFonts w:eastAsiaTheme="minorEastAsia"/>
        </w:rPr>
        <w:t xml:space="preserve">global warming potential by reducing the </w:t>
      </w:r>
      <w:r w:rsidR="007B56C0">
        <w:rPr>
          <w:rFonts w:eastAsiaTheme="minorEastAsia"/>
        </w:rPr>
        <w:t>fossil fuel based</w:t>
      </w:r>
      <w:r w:rsidR="00BA5727">
        <w:rPr>
          <w:rFonts w:eastAsiaTheme="minorEastAsia"/>
        </w:rPr>
        <w:t xml:space="preserve"> component of the composite</w:t>
      </w:r>
      <w:sdt>
        <w:sdtPr>
          <w:rPr>
            <w:rFonts w:eastAsiaTheme="minorEastAsia"/>
          </w:rPr>
          <w:id w:val="-1124301720"/>
          <w:citation/>
        </w:sdtPr>
        <w:sdtEndPr/>
        <w:sdtContent>
          <w:r w:rsidR="000E6724">
            <w:rPr>
              <w:rFonts w:eastAsiaTheme="minorEastAsia"/>
            </w:rPr>
            <w:fldChar w:fldCharType="begin"/>
          </w:r>
          <w:r w:rsidR="000E6724">
            <w:rPr>
              <w:rFonts w:eastAsiaTheme="minorEastAsia"/>
            </w:rPr>
            <w:instrText xml:space="preserve"> CITATION Web24 \l 1033 </w:instrText>
          </w:r>
          <w:r w:rsidR="000E6724">
            <w:rPr>
              <w:rFonts w:eastAsiaTheme="minorEastAsia"/>
            </w:rPr>
            <w:fldChar w:fldCharType="separate"/>
          </w:r>
          <w:r w:rsidR="00926F11">
            <w:rPr>
              <w:rFonts w:eastAsiaTheme="minorEastAsia"/>
              <w:noProof/>
            </w:rPr>
            <w:t xml:space="preserve"> </w:t>
          </w:r>
          <w:r w:rsidR="00926F11" w:rsidRPr="00926F11">
            <w:rPr>
              <w:rFonts w:eastAsiaTheme="minorEastAsia"/>
              <w:noProof/>
            </w:rPr>
            <w:t>(Webb et al., 2024)</w:t>
          </w:r>
          <w:r w:rsidR="000E6724">
            <w:rPr>
              <w:rFonts w:eastAsiaTheme="minorEastAsia"/>
            </w:rPr>
            <w:fldChar w:fldCharType="end"/>
          </w:r>
        </w:sdtContent>
      </w:sdt>
      <w:r w:rsidR="00BA5727">
        <w:rPr>
          <w:rFonts w:eastAsiaTheme="minorEastAsia"/>
        </w:rPr>
        <w:t xml:space="preserve">, </w:t>
      </w:r>
      <w:r w:rsidRPr="002A78B0">
        <w:rPr>
          <w:rFonts w:eastAsiaTheme="minorEastAsia"/>
        </w:rPr>
        <w:t xml:space="preserve">to name but a few. </w:t>
      </w:r>
      <w:r w:rsidR="00FA7A9F">
        <w:rPr>
          <w:rFonts w:eastAsiaTheme="minorEastAsia"/>
        </w:rPr>
        <w:t>P</w:t>
      </w:r>
      <w:r w:rsidRPr="002A78B0">
        <w:rPr>
          <w:rFonts w:eastAsiaTheme="minorEastAsia"/>
        </w:rPr>
        <w:t xml:space="preserve">roperty enhancements have been </w:t>
      </w:r>
      <w:r w:rsidR="00D7677E" w:rsidRPr="002A78B0">
        <w:rPr>
          <w:rFonts w:eastAsiaTheme="minorEastAsia"/>
        </w:rPr>
        <w:t>showed</w:t>
      </w:r>
      <w:r w:rsidRPr="002A78B0">
        <w:rPr>
          <w:rFonts w:eastAsiaTheme="minorEastAsia"/>
        </w:rPr>
        <w:t xml:space="preserve"> </w:t>
      </w:r>
      <w:r w:rsidRPr="00514EAD">
        <w:rPr>
          <w:rFonts w:eastAsiaTheme="minorEastAsia"/>
        </w:rPr>
        <w:t xml:space="preserve">to be facilitated by the method of composite preparation </w:t>
      </w:r>
      <w:r w:rsidR="00687D45">
        <w:rPr>
          <w:rFonts w:eastAsiaTheme="minorEastAsia"/>
        </w:rPr>
        <w:t>such as</w:t>
      </w:r>
      <w:r w:rsidRPr="00514EAD">
        <w:rPr>
          <w:rFonts w:eastAsiaTheme="minorEastAsia"/>
        </w:rPr>
        <w:t xml:space="preserve"> the treatment of</w:t>
      </w:r>
      <w:r w:rsidR="005D5B54">
        <w:rPr>
          <w:rFonts w:eastAsiaTheme="minorEastAsia"/>
        </w:rPr>
        <w:t xml:space="preserve"> the</w:t>
      </w:r>
      <w:r w:rsidRPr="00514EAD">
        <w:rPr>
          <w:rFonts w:eastAsiaTheme="minorEastAsia"/>
        </w:rPr>
        <w:t xml:space="preserve"> </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Pr="00514EAD">
        <w:rPr>
          <w:rFonts w:eastAsiaTheme="minorEastAsia"/>
        </w:rPr>
        <w:t xml:space="preserve"> particle surface</w:t>
      </w:r>
      <w:sdt>
        <w:sdtPr>
          <w:rPr>
            <w:rFonts w:eastAsiaTheme="minorEastAsia"/>
          </w:rPr>
          <w:id w:val="-2055839264"/>
          <w:citation/>
        </w:sdtPr>
        <w:sdtEndPr/>
        <w:sdtContent>
          <w:r w:rsidRPr="00514EAD">
            <w:rPr>
              <w:rFonts w:eastAsiaTheme="minorEastAsia"/>
            </w:rPr>
            <w:fldChar w:fldCharType="begin"/>
          </w:r>
          <w:r w:rsidR="00195107">
            <w:rPr>
              <w:rFonts w:eastAsiaTheme="minorEastAsia"/>
            </w:rPr>
            <w:instrText xml:space="preserve">CITATION LiL11 \l 7177 </w:instrText>
          </w:r>
          <w:r w:rsidRPr="00514EAD">
            <w:rPr>
              <w:rFonts w:eastAsiaTheme="minorEastAsia"/>
            </w:rPr>
            <w:fldChar w:fldCharType="separate"/>
          </w:r>
          <w:r w:rsidR="00926F11">
            <w:rPr>
              <w:rFonts w:eastAsiaTheme="minorEastAsia"/>
              <w:noProof/>
            </w:rPr>
            <w:t xml:space="preserve"> </w:t>
          </w:r>
          <w:r w:rsidR="00926F11" w:rsidRPr="00926F11">
            <w:rPr>
              <w:rFonts w:eastAsiaTheme="minorEastAsia"/>
              <w:noProof/>
            </w:rPr>
            <w:t>(Li &amp; Dou, 2011)</w:t>
          </w:r>
          <w:r w:rsidRPr="00514EAD">
            <w:rPr>
              <w:rFonts w:eastAsiaTheme="minorEastAsia"/>
            </w:rPr>
            <w:fldChar w:fldCharType="end"/>
          </w:r>
        </w:sdtContent>
      </w:sdt>
      <w:r w:rsidRPr="00514EAD">
        <w:rPr>
          <w:rFonts w:eastAsiaTheme="minorEastAsia"/>
        </w:rPr>
        <w:t>; processing technique</w:t>
      </w:r>
      <w:sdt>
        <w:sdtPr>
          <w:rPr>
            <w:rFonts w:eastAsiaTheme="minorEastAsia"/>
          </w:rPr>
          <w:id w:val="-1016467289"/>
          <w:citation/>
        </w:sdtPr>
        <w:sdtEndPr/>
        <w:sdtContent>
          <w:r w:rsidRPr="00514EAD">
            <w:rPr>
              <w:rFonts w:eastAsiaTheme="minorEastAsia"/>
            </w:rPr>
            <w:fldChar w:fldCharType="begin"/>
          </w:r>
          <w:r w:rsidRPr="00514EAD">
            <w:rPr>
              <w:rFonts w:eastAsiaTheme="minorEastAsia"/>
            </w:rPr>
            <w:instrText xml:space="preserve"> CITATION Fau10 \l 7177 </w:instrText>
          </w:r>
          <w:r w:rsidRPr="00514EAD">
            <w:rPr>
              <w:rFonts w:eastAsiaTheme="minorEastAsia"/>
            </w:rPr>
            <w:fldChar w:fldCharType="separate"/>
          </w:r>
          <w:r w:rsidR="00926F11">
            <w:rPr>
              <w:rFonts w:eastAsiaTheme="minorEastAsia"/>
              <w:noProof/>
            </w:rPr>
            <w:t xml:space="preserve"> </w:t>
          </w:r>
          <w:r w:rsidR="00926F11" w:rsidRPr="00926F11">
            <w:rPr>
              <w:rFonts w:eastAsiaTheme="minorEastAsia"/>
              <w:noProof/>
            </w:rPr>
            <w:t>(Faud et al., 2010)</w:t>
          </w:r>
          <w:r w:rsidRPr="00514EAD">
            <w:rPr>
              <w:rFonts w:eastAsiaTheme="minorEastAsia"/>
            </w:rPr>
            <w:fldChar w:fldCharType="end"/>
          </w:r>
        </w:sdtContent>
      </w:sdt>
      <w:r w:rsidRPr="00514EAD">
        <w:rPr>
          <w:rFonts w:eastAsiaTheme="minorEastAsia"/>
        </w:rPr>
        <w:t xml:space="preserve"> and the level of dispersion of the particles</w:t>
      </w:r>
      <w:sdt>
        <w:sdtPr>
          <w:rPr>
            <w:rFonts w:eastAsiaTheme="minorEastAsia"/>
          </w:rPr>
          <w:id w:val="-2012590919"/>
          <w:citation/>
        </w:sdtPr>
        <w:sdtEndPr/>
        <w:sdtContent>
          <w:r w:rsidRPr="00514EAD">
            <w:rPr>
              <w:rFonts w:eastAsiaTheme="minorEastAsia"/>
            </w:rPr>
            <w:fldChar w:fldCharType="begin"/>
          </w:r>
          <w:r w:rsidRPr="00514EAD">
            <w:rPr>
              <w:rFonts w:eastAsiaTheme="minorEastAsia"/>
            </w:rPr>
            <w:instrText>CITATION Lin08 \l 7177  \m Zhu14</w:instrText>
          </w:r>
          <w:r w:rsidRPr="00514EAD">
            <w:rPr>
              <w:rFonts w:eastAsiaTheme="minorEastAsia"/>
            </w:rPr>
            <w:fldChar w:fldCharType="separate"/>
          </w:r>
          <w:r w:rsidR="00926F11">
            <w:rPr>
              <w:rFonts w:eastAsiaTheme="minorEastAsia"/>
              <w:noProof/>
            </w:rPr>
            <w:t xml:space="preserve"> </w:t>
          </w:r>
          <w:r w:rsidR="00926F11" w:rsidRPr="00926F11">
            <w:rPr>
              <w:rFonts w:eastAsiaTheme="minorEastAsia"/>
              <w:noProof/>
            </w:rPr>
            <w:t xml:space="preserve">(Lin et al., 2008; Zhu </w:t>
          </w:r>
          <w:r w:rsidR="00926F11" w:rsidRPr="00926F11">
            <w:rPr>
              <w:rFonts w:eastAsiaTheme="minorEastAsia"/>
              <w:noProof/>
            </w:rPr>
            <w:lastRenderedPageBreak/>
            <w:t>et al., 2014)</w:t>
          </w:r>
          <w:r w:rsidRPr="00514EAD">
            <w:rPr>
              <w:rFonts w:eastAsiaTheme="minorEastAsia"/>
            </w:rPr>
            <w:fldChar w:fldCharType="end"/>
          </w:r>
        </w:sdtContent>
      </w:sdt>
      <w:r w:rsidRPr="00514EAD">
        <w:rPr>
          <w:rFonts w:eastAsiaTheme="minorEastAsia"/>
        </w:rPr>
        <w:t xml:space="preserve">, </w:t>
      </w:r>
      <w:r w:rsidR="009C0543">
        <w:rPr>
          <w:rFonts w:eastAsiaTheme="minorEastAsia"/>
        </w:rPr>
        <w:t>in the polymer matrix</w:t>
      </w:r>
      <w:r w:rsidRPr="00514EAD">
        <w:rPr>
          <w:rFonts w:eastAsiaTheme="minorEastAsia"/>
        </w:rPr>
        <w:t>.</w:t>
      </w:r>
      <w:r w:rsidR="001B3EBF">
        <w:rPr>
          <w:rFonts w:eastAsiaTheme="minorEastAsia"/>
        </w:rPr>
        <w:t xml:space="preserve"> These factors are critical as composite preparation is a balancing act where one or more matrix properties can be degraded while improving on another</w:t>
      </w:r>
      <w:sdt>
        <w:sdtPr>
          <w:rPr>
            <w:rFonts w:eastAsiaTheme="minorEastAsia"/>
          </w:rPr>
          <w:id w:val="822388681"/>
          <w:citation/>
        </w:sdtPr>
        <w:sdtEndPr/>
        <w:sdtContent>
          <w:r w:rsidR="00220F03">
            <w:rPr>
              <w:rFonts w:eastAsiaTheme="minorEastAsia"/>
            </w:rPr>
            <w:fldChar w:fldCharType="begin"/>
          </w:r>
          <w:r w:rsidR="00220F03">
            <w:rPr>
              <w:rFonts w:eastAsiaTheme="minorEastAsia"/>
              <w:noProof/>
              <w:lang w:val="en-ZA"/>
            </w:rPr>
            <w:instrText xml:space="preserve"> CITATION Eze21 \l 7177 </w:instrText>
          </w:r>
          <w:r w:rsidR="00220F03">
            <w:rPr>
              <w:rFonts w:eastAsiaTheme="minorEastAsia"/>
            </w:rPr>
            <w:fldChar w:fldCharType="separate"/>
          </w:r>
          <w:r w:rsidR="00926F11">
            <w:rPr>
              <w:rFonts w:eastAsiaTheme="minorEastAsia"/>
              <w:noProof/>
              <w:lang w:val="en-ZA"/>
            </w:rPr>
            <w:t xml:space="preserve"> </w:t>
          </w:r>
          <w:r w:rsidR="00926F11" w:rsidRPr="00926F11">
            <w:rPr>
              <w:rFonts w:eastAsiaTheme="minorEastAsia"/>
              <w:noProof/>
              <w:lang w:val="en-ZA"/>
            </w:rPr>
            <w:t>(Ezenkwa et al., 2021)</w:t>
          </w:r>
          <w:r w:rsidR="00220F03">
            <w:rPr>
              <w:rFonts w:eastAsiaTheme="minorEastAsia"/>
            </w:rPr>
            <w:fldChar w:fldCharType="end"/>
          </w:r>
        </w:sdtContent>
      </w:sdt>
      <w:r w:rsidR="001B3EBF">
        <w:rPr>
          <w:rFonts w:eastAsiaTheme="minorEastAsia"/>
        </w:rPr>
        <w:t>.</w:t>
      </w:r>
      <w:r w:rsidRPr="00514EAD">
        <w:rPr>
          <w:rFonts w:eastAsiaTheme="minorEastAsia"/>
        </w:rPr>
        <w:t xml:space="preserve"> </w:t>
      </w:r>
      <w:r w:rsidR="00B10FEC">
        <w:rPr>
          <w:rFonts w:eastAsiaTheme="minorEastAsia"/>
        </w:rPr>
        <w:t>The b</w:t>
      </w:r>
      <w:r w:rsidR="006A7622">
        <w:rPr>
          <w:rFonts w:eastAsiaTheme="minorEastAsia"/>
        </w:rPr>
        <w:t>ulk</w:t>
      </w:r>
      <w:r w:rsidRPr="00514EAD">
        <w:rPr>
          <w:rFonts w:eastAsiaTheme="minorEastAsia"/>
        </w:rPr>
        <w:t xml:space="preserve"> of the reported </w:t>
      </w:r>
      <w:r w:rsidR="00A62044">
        <w:rPr>
          <w:rFonts w:eastAsiaTheme="minorEastAsia"/>
        </w:rPr>
        <w:t>literature</w:t>
      </w:r>
      <w:r w:rsidRPr="00514EAD">
        <w:rPr>
          <w:rFonts w:eastAsiaTheme="minorEastAsia"/>
        </w:rPr>
        <w:t xml:space="preserve"> on PP/</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Pr="00514EAD">
        <w:rPr>
          <w:rFonts w:eastAsiaTheme="minorEastAsia"/>
        </w:rPr>
        <w:t xml:space="preserve"> composites </w:t>
      </w:r>
      <w:r w:rsidR="00232CE9" w:rsidRPr="00514EAD">
        <w:rPr>
          <w:rFonts w:eastAsiaTheme="minorEastAsia"/>
        </w:rPr>
        <w:t>are</w:t>
      </w:r>
      <w:r w:rsidRPr="00514EAD">
        <w:rPr>
          <w:rFonts w:eastAsiaTheme="minorEastAsia"/>
        </w:rPr>
        <w:t xml:space="preserve"> based on </w:t>
      </w:r>
      <w:r w:rsidR="00232CE9">
        <w:rPr>
          <w:rFonts w:eastAsiaTheme="minorEastAsia"/>
        </w:rPr>
        <w:t>ground and/</w:t>
      </w:r>
      <w:r w:rsidRPr="00514EAD">
        <w:rPr>
          <w:rFonts w:eastAsiaTheme="minorEastAsia"/>
        </w:rPr>
        <w:t xml:space="preserve">or </w:t>
      </w:r>
      <w:r w:rsidR="00EB410D">
        <w:rPr>
          <w:rFonts w:eastAsiaTheme="minorEastAsia"/>
        </w:rPr>
        <w:t xml:space="preserve">precipitated </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EB410D">
        <w:rPr>
          <w:rFonts w:eastAsiaTheme="minorEastAsia"/>
        </w:rPr>
        <w:t>,</w:t>
      </w:r>
      <w:r w:rsidR="009C0543">
        <w:rPr>
          <w:rFonts w:eastAsiaTheme="minorEastAsia"/>
        </w:rPr>
        <w:t xml:space="preserve"> </w:t>
      </w:r>
      <w:r w:rsidR="00DB1232">
        <w:rPr>
          <w:rFonts w:eastAsiaTheme="minorEastAsia"/>
        </w:rPr>
        <w:t>pred</w:t>
      </w:r>
      <w:r w:rsidR="00DA2FA3">
        <w:rPr>
          <w:rFonts w:eastAsiaTheme="minorEastAsia"/>
        </w:rPr>
        <w:t xml:space="preserve">ominantly </w:t>
      </w:r>
      <w:r w:rsidR="009C0543">
        <w:rPr>
          <w:rFonts w:eastAsiaTheme="minorEastAsia"/>
        </w:rPr>
        <w:t>the</w:t>
      </w:r>
      <w:r w:rsidRPr="00514EAD">
        <w:rPr>
          <w:rFonts w:eastAsiaTheme="minorEastAsia"/>
        </w:rPr>
        <w:t xml:space="preserve"> calcite polymorph</w:t>
      </w:r>
      <w:sdt>
        <w:sdtPr>
          <w:rPr>
            <w:rFonts w:eastAsiaTheme="minorEastAsia"/>
          </w:rPr>
          <w:id w:val="423003718"/>
          <w:citation/>
        </w:sdtPr>
        <w:sdtEndPr/>
        <w:sdtContent>
          <w:r w:rsidR="00220F03">
            <w:rPr>
              <w:rFonts w:eastAsiaTheme="minorEastAsia"/>
            </w:rPr>
            <w:fldChar w:fldCharType="begin"/>
          </w:r>
          <w:r w:rsidR="00220F03">
            <w:rPr>
              <w:rFonts w:eastAsiaTheme="minorEastAsia"/>
              <w:lang w:val="en-ZA"/>
            </w:rPr>
            <w:instrText xml:space="preserve"> CITATION The15 \l 7177  \m Jim18</w:instrText>
          </w:r>
          <w:r w:rsidR="00220F03">
            <w:rPr>
              <w:rFonts w:eastAsiaTheme="minorEastAsia"/>
            </w:rPr>
            <w:fldChar w:fldCharType="separate"/>
          </w:r>
          <w:r w:rsidR="00926F11">
            <w:rPr>
              <w:rFonts w:eastAsiaTheme="minorEastAsia"/>
              <w:noProof/>
              <w:lang w:val="en-ZA"/>
            </w:rPr>
            <w:t xml:space="preserve"> </w:t>
          </w:r>
          <w:r w:rsidR="00926F11" w:rsidRPr="00926F11">
            <w:rPr>
              <w:rFonts w:eastAsiaTheme="minorEastAsia"/>
              <w:noProof/>
              <w:lang w:val="en-ZA"/>
            </w:rPr>
            <w:t>(Thenepalli et al., 2015; Jimoh et al., 2018)</w:t>
          </w:r>
          <w:r w:rsidR="00220F03">
            <w:rPr>
              <w:rFonts w:eastAsiaTheme="minorEastAsia"/>
            </w:rPr>
            <w:fldChar w:fldCharType="end"/>
          </w:r>
        </w:sdtContent>
      </w:sdt>
      <w:r w:rsidR="00EB410D">
        <w:rPr>
          <w:rFonts w:eastAsiaTheme="minorEastAsia"/>
        </w:rPr>
        <w:t>.</w:t>
      </w:r>
      <w:r w:rsidRPr="00514EAD">
        <w:rPr>
          <w:rFonts w:eastAsiaTheme="minorEastAsia"/>
        </w:rPr>
        <w:t xml:space="preserve"> </w:t>
      </w:r>
      <w:r w:rsidR="00220F03">
        <w:rPr>
          <w:rFonts w:eastAsiaTheme="minorEastAsia"/>
        </w:rPr>
        <w:t>H</w:t>
      </w:r>
      <w:r w:rsidRPr="00514EAD">
        <w:rPr>
          <w:rFonts w:eastAsiaTheme="minorEastAsia"/>
        </w:rPr>
        <w:t xml:space="preserve">owever, </w:t>
      </w:r>
      <w:r w:rsidR="00E17066">
        <w:rPr>
          <w:rFonts w:eastAsiaTheme="minorEastAsia"/>
        </w:rPr>
        <w:t>in</w:t>
      </w:r>
      <w:r w:rsidRPr="00514EAD">
        <w:rPr>
          <w:rFonts w:eastAsiaTheme="minorEastAsia"/>
        </w:rPr>
        <w:t xml:space="preserve"> this work </w:t>
      </w:r>
      <w:r w:rsidR="006A7622">
        <w:rPr>
          <w:rFonts w:eastAsiaTheme="minorEastAsia"/>
        </w:rPr>
        <w:t>we focus</w:t>
      </w:r>
      <w:r w:rsidR="009C0543">
        <w:rPr>
          <w:rFonts w:eastAsiaTheme="minorEastAsia"/>
        </w:rPr>
        <w:t>ed</w:t>
      </w:r>
      <w:r w:rsidR="006A7622">
        <w:rPr>
          <w:rFonts w:eastAsiaTheme="minorEastAsia"/>
        </w:rPr>
        <w:t xml:space="preserve"> on the aragonite</w:t>
      </w:r>
      <w:r w:rsidRPr="00514EAD">
        <w:rPr>
          <w:rFonts w:eastAsiaTheme="minorEastAsia"/>
        </w:rPr>
        <w:t xml:space="preserve"> polymorph of the mineral, </w:t>
      </w:r>
      <w:r w:rsidR="006A7622">
        <w:rPr>
          <w:rFonts w:eastAsiaTheme="minorEastAsia"/>
        </w:rPr>
        <w:t>not only because of its unique morphology (high aspect ratio)</w:t>
      </w:r>
      <w:r w:rsidR="001C7E44">
        <w:rPr>
          <w:rFonts w:eastAsiaTheme="minorEastAsia"/>
        </w:rPr>
        <w:t xml:space="preserve"> and highest density</w:t>
      </w:r>
      <w:r w:rsidR="00484AB3" w:rsidRPr="00484AB3">
        <w:rPr>
          <w:rFonts w:eastAsiaTheme="minorEastAsia"/>
        </w:rPr>
        <w:t xml:space="preserve"> </w:t>
      </w:r>
      <w:r w:rsidR="00484AB3">
        <w:rPr>
          <w:rFonts w:eastAsiaTheme="minorEastAsia"/>
        </w:rPr>
        <w:t>when compared to the other polymorphs</w:t>
      </w:r>
      <w:r w:rsidRPr="00514EAD">
        <w:rPr>
          <w:rFonts w:eastAsiaTheme="minorEastAsia"/>
        </w:rPr>
        <w:t>.</w:t>
      </w:r>
      <w:r w:rsidR="006A7622">
        <w:rPr>
          <w:rFonts w:eastAsiaTheme="minorEastAsia"/>
        </w:rPr>
        <w:t xml:space="preserve"> </w:t>
      </w:r>
      <w:r w:rsidR="009C0543">
        <w:rPr>
          <w:rFonts w:eastAsiaTheme="minorEastAsia"/>
        </w:rPr>
        <w:t>This was m</w:t>
      </w:r>
      <w:r w:rsidR="006A7622">
        <w:rPr>
          <w:rFonts w:eastAsiaTheme="minorEastAsia"/>
        </w:rPr>
        <w:t xml:space="preserve">ainly because a method was developed to recover </w:t>
      </w:r>
      <w:r w:rsidR="00582EE1">
        <w:rPr>
          <w:rFonts w:eastAsiaTheme="minorEastAsia"/>
        </w:rPr>
        <w:t>aragonite</w:t>
      </w:r>
      <w:r w:rsidR="006A7622">
        <w:rPr>
          <w:rFonts w:eastAsiaTheme="minorEastAsia"/>
        </w:rPr>
        <w:t xml:space="preserve"> from acid mine drainage (AMD) of the three goldfields of the Witwatersrand basin</w:t>
      </w:r>
      <w:r w:rsidR="008830E1">
        <w:rPr>
          <w:rFonts w:eastAsiaTheme="minorEastAsia"/>
        </w:rPr>
        <w:t xml:space="preserve"> (</w:t>
      </w:r>
      <w:r w:rsidR="006A7622">
        <w:rPr>
          <w:rFonts w:eastAsiaTheme="minorEastAsia"/>
        </w:rPr>
        <w:t>Gauteng, South Africa</w:t>
      </w:r>
      <w:r w:rsidR="00475227">
        <w:rPr>
          <w:rFonts w:eastAsiaTheme="minorEastAsia"/>
        </w:rPr>
        <w:t>)</w:t>
      </w:r>
      <w:r w:rsidR="006A7622">
        <w:rPr>
          <w:rFonts w:eastAsiaTheme="minorEastAsia"/>
        </w:rPr>
        <w:t xml:space="preserve"> using an environmentally benign synthesis method.</w:t>
      </w:r>
      <w:r w:rsidR="00904300">
        <w:rPr>
          <w:rFonts w:eastAsiaTheme="minorEastAsia"/>
        </w:rPr>
        <w:t xml:space="preserve"> The preliminary study demonstrated that of the three basins evaluated, the Eastern basin AMD gave the particles with the highest aspect ratio and these particles were selected to </w:t>
      </w:r>
      <w:r w:rsidR="00A62044">
        <w:rPr>
          <w:rFonts w:eastAsiaTheme="minorEastAsia"/>
        </w:rPr>
        <w:t>evaluate</w:t>
      </w:r>
      <w:r w:rsidR="00904300">
        <w:rPr>
          <w:rFonts w:eastAsiaTheme="minorEastAsia"/>
        </w:rPr>
        <w:t xml:space="preserve"> the utility of the recovered mineral in polymer composite applications</w:t>
      </w:r>
      <w:sdt>
        <w:sdtPr>
          <w:rPr>
            <w:rFonts w:eastAsiaTheme="minorEastAsia"/>
          </w:rPr>
          <w:id w:val="442804675"/>
          <w:citation/>
        </w:sdtPr>
        <w:sdtEndPr/>
        <w:sdtContent>
          <w:r w:rsidR="0004657B">
            <w:rPr>
              <w:rFonts w:eastAsiaTheme="minorEastAsia"/>
            </w:rPr>
            <w:fldChar w:fldCharType="begin"/>
          </w:r>
          <w:r w:rsidR="00BC4A63">
            <w:rPr>
              <w:rFonts w:eastAsiaTheme="minorEastAsia"/>
              <w:lang w:val="en-ZA"/>
            </w:rPr>
            <w:instrText xml:space="preserve">CITATION Khued \t  \l 7177 </w:instrText>
          </w:r>
          <w:r w:rsidR="0004657B">
            <w:rPr>
              <w:rFonts w:eastAsiaTheme="minorEastAsia"/>
            </w:rPr>
            <w:fldChar w:fldCharType="separate"/>
          </w:r>
          <w:r w:rsidR="00926F11">
            <w:rPr>
              <w:rFonts w:eastAsiaTheme="minorEastAsia"/>
              <w:noProof/>
              <w:lang w:val="en-ZA"/>
            </w:rPr>
            <w:t xml:space="preserve"> </w:t>
          </w:r>
          <w:r w:rsidR="00926F11" w:rsidRPr="00926F11">
            <w:rPr>
              <w:rFonts w:eastAsiaTheme="minorEastAsia"/>
              <w:noProof/>
              <w:lang w:val="en-ZA"/>
            </w:rPr>
            <w:t>(Khumalo et al., submitted)</w:t>
          </w:r>
          <w:r w:rsidR="0004657B">
            <w:rPr>
              <w:rFonts w:eastAsiaTheme="minorEastAsia"/>
            </w:rPr>
            <w:fldChar w:fldCharType="end"/>
          </w:r>
        </w:sdtContent>
      </w:sdt>
      <w:r w:rsidR="00904300">
        <w:rPr>
          <w:rFonts w:eastAsiaTheme="minorEastAsia"/>
        </w:rPr>
        <w:t>.</w:t>
      </w:r>
      <w:r w:rsidR="003B5599">
        <w:rPr>
          <w:rFonts w:eastAsiaTheme="minorEastAsia"/>
        </w:rPr>
        <w:t xml:space="preserve"> </w:t>
      </w:r>
      <w:r w:rsidR="00790DCB">
        <w:rPr>
          <w:rFonts w:eastAsiaTheme="minorEastAsia"/>
        </w:rPr>
        <w:t>The use of a</w:t>
      </w:r>
      <w:r w:rsidR="00624B10">
        <w:rPr>
          <w:rFonts w:eastAsiaTheme="minorEastAsia"/>
        </w:rPr>
        <w:t xml:space="preserve">ragonite </w:t>
      </w:r>
      <w:r w:rsidR="00790DCB">
        <w:rPr>
          <w:rFonts w:eastAsiaTheme="minorEastAsia"/>
        </w:rPr>
        <w:t>for PP reinforce</w:t>
      </w:r>
      <w:r w:rsidR="00F907D9">
        <w:rPr>
          <w:rFonts w:eastAsiaTheme="minorEastAsia"/>
        </w:rPr>
        <w:t>ment has</w:t>
      </w:r>
      <w:r w:rsidR="00624B10">
        <w:rPr>
          <w:rFonts w:eastAsiaTheme="minorEastAsia"/>
        </w:rPr>
        <w:t xml:space="preserve"> been </w:t>
      </w:r>
      <w:r w:rsidR="00F907D9">
        <w:rPr>
          <w:rFonts w:eastAsiaTheme="minorEastAsia"/>
        </w:rPr>
        <w:t xml:space="preserve">reported </w:t>
      </w:r>
      <w:r w:rsidR="002222A0">
        <w:rPr>
          <w:rFonts w:eastAsiaTheme="minorEastAsia"/>
        </w:rPr>
        <w:t xml:space="preserve">where it </w:t>
      </w:r>
      <w:r w:rsidR="008E3DD5">
        <w:rPr>
          <w:rFonts w:eastAsiaTheme="minorEastAsia"/>
        </w:rPr>
        <w:t>imparted</w:t>
      </w:r>
      <w:r w:rsidR="00BD2702">
        <w:rPr>
          <w:rFonts w:eastAsiaTheme="minorEastAsia"/>
        </w:rPr>
        <w:t xml:space="preserve"> better </w:t>
      </w:r>
      <w:r w:rsidR="00E7253F">
        <w:rPr>
          <w:rFonts w:eastAsiaTheme="minorEastAsia"/>
        </w:rPr>
        <w:t xml:space="preserve">composite </w:t>
      </w:r>
      <w:r w:rsidR="00BD2702">
        <w:rPr>
          <w:rFonts w:eastAsiaTheme="minorEastAsia"/>
        </w:rPr>
        <w:t xml:space="preserve">performance </w:t>
      </w:r>
      <w:r w:rsidR="00E7253F">
        <w:rPr>
          <w:rFonts w:eastAsiaTheme="minorEastAsia"/>
        </w:rPr>
        <w:t xml:space="preserve">when </w:t>
      </w:r>
      <w:r w:rsidR="0016479C">
        <w:rPr>
          <w:rFonts w:eastAsiaTheme="minorEastAsia"/>
        </w:rPr>
        <w:t xml:space="preserve">compared </w:t>
      </w:r>
      <w:r w:rsidR="00BD2702">
        <w:rPr>
          <w:rFonts w:eastAsiaTheme="minorEastAsia"/>
        </w:rPr>
        <w:t>to</w:t>
      </w:r>
      <w:r w:rsidR="008A5CD5">
        <w:rPr>
          <w:rFonts w:eastAsiaTheme="minorEastAsia"/>
        </w:rPr>
        <w:t xml:space="preserve"> conventional cal</w:t>
      </w:r>
      <w:r w:rsidR="00E65091">
        <w:rPr>
          <w:rFonts w:eastAsiaTheme="minorEastAsia"/>
        </w:rPr>
        <w:t>cite</w:t>
      </w:r>
      <w:sdt>
        <w:sdtPr>
          <w:rPr>
            <w:rFonts w:eastAsiaTheme="minorEastAsia"/>
          </w:rPr>
          <w:id w:val="164061763"/>
          <w:citation/>
        </w:sdtPr>
        <w:sdtEndPr/>
        <w:sdtContent>
          <w:r w:rsidR="00E65091">
            <w:rPr>
              <w:rFonts w:eastAsiaTheme="minorEastAsia"/>
            </w:rPr>
            <w:fldChar w:fldCharType="begin"/>
          </w:r>
          <w:r w:rsidR="00446D5B">
            <w:rPr>
              <w:rFonts w:eastAsiaTheme="minorEastAsia"/>
            </w:rPr>
            <w:instrText xml:space="preserve">CITATION Jin18 \l 1033 </w:instrText>
          </w:r>
          <w:r w:rsidR="00E65091">
            <w:rPr>
              <w:rFonts w:eastAsiaTheme="minorEastAsia"/>
            </w:rPr>
            <w:fldChar w:fldCharType="separate"/>
          </w:r>
          <w:r w:rsidR="00926F11">
            <w:rPr>
              <w:rFonts w:eastAsiaTheme="minorEastAsia"/>
              <w:noProof/>
            </w:rPr>
            <w:t xml:space="preserve"> </w:t>
          </w:r>
          <w:r w:rsidR="00926F11" w:rsidRPr="00926F11">
            <w:rPr>
              <w:rFonts w:eastAsiaTheme="minorEastAsia"/>
              <w:noProof/>
            </w:rPr>
            <w:t>(Jing et al., 2018a)</w:t>
          </w:r>
          <w:r w:rsidR="00E65091">
            <w:rPr>
              <w:rFonts w:eastAsiaTheme="minorEastAsia"/>
            </w:rPr>
            <w:fldChar w:fldCharType="end"/>
          </w:r>
        </w:sdtContent>
      </w:sdt>
      <w:r w:rsidR="00E65091">
        <w:rPr>
          <w:rFonts w:eastAsiaTheme="minorEastAsia"/>
        </w:rPr>
        <w:t>.</w:t>
      </w:r>
      <w:r w:rsidR="00BD2702">
        <w:rPr>
          <w:rFonts w:eastAsiaTheme="minorEastAsia"/>
        </w:rPr>
        <w:t xml:space="preserve"> </w:t>
      </w:r>
      <w:r w:rsidR="003D7B60">
        <w:rPr>
          <w:rFonts w:eastAsiaTheme="minorEastAsia"/>
        </w:rPr>
        <w:t>However, PP reinforced with aragonite recovered from AMD has not been published</w:t>
      </w:r>
      <w:r w:rsidR="00500351">
        <w:rPr>
          <w:rFonts w:eastAsiaTheme="minorEastAsia"/>
        </w:rPr>
        <w:t xml:space="preserve"> and this is endeavored here.</w:t>
      </w:r>
    </w:p>
    <w:p w14:paraId="23F86FEF" w14:textId="040EC985" w:rsidR="00600535" w:rsidRPr="00514EAD" w:rsidRDefault="00C24439" w:rsidP="002A78B0">
      <w:pPr>
        <w:pStyle w:val="CETBodytext"/>
      </w:pPr>
      <w:r>
        <w:rPr>
          <w:rFonts w:eastAsiaTheme="minorEastAsia"/>
        </w:rPr>
        <w:t xml:space="preserve">In this </w:t>
      </w:r>
      <w:r w:rsidR="00E17066">
        <w:rPr>
          <w:rFonts w:eastAsiaTheme="minorEastAsia"/>
        </w:rPr>
        <w:t>study</w:t>
      </w:r>
      <w:r>
        <w:rPr>
          <w:rFonts w:eastAsiaTheme="minorEastAsia"/>
        </w:rPr>
        <w:t xml:space="preserve">, we present the results of </w:t>
      </w:r>
      <w:r w:rsidR="00504DC0">
        <w:rPr>
          <w:rFonts w:eastAsiaTheme="minorEastAsia"/>
        </w:rPr>
        <w:t xml:space="preserve">ethylene </w:t>
      </w:r>
      <w:r>
        <w:rPr>
          <w:rFonts w:eastAsiaTheme="minorEastAsia"/>
        </w:rPr>
        <w:t>polypropylene composites prepared using two aragonite samples recovered from the</w:t>
      </w:r>
      <w:r w:rsidR="00D02DFC">
        <w:rPr>
          <w:rFonts w:eastAsiaTheme="minorEastAsia"/>
        </w:rPr>
        <w:t xml:space="preserve"> </w:t>
      </w:r>
      <w:r>
        <w:rPr>
          <w:rFonts w:eastAsiaTheme="minorEastAsia"/>
        </w:rPr>
        <w:t>Eastern basin</w:t>
      </w:r>
      <w:r w:rsidR="005C638D">
        <w:rPr>
          <w:rFonts w:eastAsiaTheme="minorEastAsia"/>
        </w:rPr>
        <w:t xml:space="preserve"> mine wastewater</w:t>
      </w:r>
      <w:r>
        <w:rPr>
          <w:rFonts w:eastAsiaTheme="minorEastAsia"/>
        </w:rPr>
        <w:t xml:space="preserve"> under slightly different method conditions</w:t>
      </w:r>
      <w:r w:rsidR="00511779">
        <w:rPr>
          <w:rFonts w:eastAsiaTheme="minorEastAsia"/>
        </w:rPr>
        <w:t>.</w:t>
      </w:r>
      <w:r w:rsidR="00BE02A0">
        <w:rPr>
          <w:rFonts w:eastAsiaTheme="minorEastAsia"/>
        </w:rPr>
        <w:t xml:space="preserve"> That is</w:t>
      </w:r>
      <w:r>
        <w:rPr>
          <w:rFonts w:eastAsiaTheme="minorEastAsia"/>
        </w:rPr>
        <w:t xml:space="preserve">, one </w:t>
      </w:r>
      <w:r w:rsidR="007B288A">
        <w:rPr>
          <w:rFonts w:eastAsiaTheme="minorEastAsia"/>
        </w:rPr>
        <w:t>method (</w:t>
      </w:r>
      <w:r>
        <w:rPr>
          <w:rFonts w:eastAsiaTheme="minorEastAsia"/>
        </w:rPr>
        <w:t>proprietary</w:t>
      </w:r>
      <w:r w:rsidR="007B288A">
        <w:rPr>
          <w:rFonts w:eastAsiaTheme="minorEastAsia"/>
        </w:rPr>
        <w:t>)</w:t>
      </w:r>
      <w:r w:rsidR="009C0543">
        <w:rPr>
          <w:rFonts w:eastAsiaTheme="minorEastAsia"/>
        </w:rPr>
        <w:t>,</w:t>
      </w:r>
      <w:r>
        <w:rPr>
          <w:rFonts w:eastAsiaTheme="minorEastAsia"/>
        </w:rPr>
        <w:t xml:space="preserve"> </w:t>
      </w:r>
      <w:r w:rsidR="00504DC0">
        <w:rPr>
          <w:rFonts w:eastAsiaTheme="minorEastAsia"/>
        </w:rPr>
        <w:t xml:space="preserve">which </w:t>
      </w:r>
      <w:r w:rsidR="0077774B">
        <w:rPr>
          <w:rFonts w:eastAsiaTheme="minorEastAsia"/>
        </w:rPr>
        <w:t>involves the pretreatment of the AMD</w:t>
      </w:r>
      <w:r w:rsidR="005F527B">
        <w:rPr>
          <w:rFonts w:eastAsiaTheme="minorEastAsia"/>
        </w:rPr>
        <w:t xml:space="preserve"> to determine if this w</w:t>
      </w:r>
      <w:r w:rsidR="001317FC">
        <w:rPr>
          <w:rFonts w:eastAsiaTheme="minorEastAsia"/>
        </w:rPr>
        <w:t>ould</w:t>
      </w:r>
      <w:r w:rsidR="005F527B">
        <w:rPr>
          <w:rFonts w:eastAsiaTheme="minorEastAsia"/>
        </w:rPr>
        <w:t xml:space="preserve"> </w:t>
      </w:r>
      <w:r w:rsidR="008A6208">
        <w:rPr>
          <w:rFonts w:eastAsiaTheme="minorEastAsia"/>
        </w:rPr>
        <w:t xml:space="preserve">have an impact on the morphology </w:t>
      </w:r>
      <w:r w:rsidR="00EC3467">
        <w:rPr>
          <w:rFonts w:eastAsiaTheme="minorEastAsia"/>
        </w:rPr>
        <w:t>and purity</w:t>
      </w:r>
      <w:r w:rsidR="001A7F6F">
        <w:rPr>
          <w:rFonts w:eastAsiaTheme="minorEastAsia"/>
        </w:rPr>
        <w:t xml:space="preserve"> </w:t>
      </w:r>
      <w:r w:rsidR="008A6208">
        <w:rPr>
          <w:rFonts w:eastAsiaTheme="minorEastAsia"/>
        </w:rPr>
        <w:t>of the resulting particles</w:t>
      </w:r>
      <w:r w:rsidR="007B288A">
        <w:rPr>
          <w:rFonts w:eastAsiaTheme="minorEastAsia"/>
        </w:rPr>
        <w:t xml:space="preserve"> while</w:t>
      </w:r>
      <w:r w:rsidR="0077774B">
        <w:rPr>
          <w:rFonts w:eastAsiaTheme="minorEastAsia"/>
        </w:rPr>
        <w:t xml:space="preserve"> the </w:t>
      </w:r>
      <w:r>
        <w:rPr>
          <w:rFonts w:eastAsiaTheme="minorEastAsia"/>
        </w:rPr>
        <w:t xml:space="preserve">other </w:t>
      </w:r>
      <w:r w:rsidR="003B57AF">
        <w:rPr>
          <w:rFonts w:eastAsiaTheme="minorEastAsia"/>
        </w:rPr>
        <w:t>met</w:t>
      </w:r>
      <w:r w:rsidR="00E10DD3">
        <w:rPr>
          <w:rFonts w:eastAsiaTheme="minorEastAsia"/>
        </w:rPr>
        <w:t>hod</w:t>
      </w:r>
      <w:r w:rsidR="007C03E5">
        <w:rPr>
          <w:rFonts w:eastAsiaTheme="minorEastAsia"/>
        </w:rPr>
        <w:t xml:space="preserve"> </w:t>
      </w:r>
      <w:r w:rsidR="0077774B">
        <w:rPr>
          <w:rFonts w:eastAsiaTheme="minorEastAsia"/>
        </w:rPr>
        <w:t>does not, the AM</w:t>
      </w:r>
      <w:r w:rsidR="00A62044">
        <w:rPr>
          <w:rFonts w:eastAsiaTheme="minorEastAsia"/>
        </w:rPr>
        <w:t xml:space="preserve">D </w:t>
      </w:r>
      <w:r w:rsidR="007C03E5">
        <w:rPr>
          <w:rFonts w:eastAsiaTheme="minorEastAsia"/>
        </w:rPr>
        <w:t>wa</w:t>
      </w:r>
      <w:r w:rsidR="0077774B">
        <w:rPr>
          <w:rFonts w:eastAsiaTheme="minorEastAsia"/>
        </w:rPr>
        <w:t xml:space="preserve">s reacted </w:t>
      </w:r>
      <w:r w:rsidR="00A62044">
        <w:rPr>
          <w:rFonts w:eastAsiaTheme="minorEastAsia"/>
        </w:rPr>
        <w:t>as received</w:t>
      </w:r>
      <w:r w:rsidR="00E10DD3">
        <w:rPr>
          <w:rFonts w:eastAsiaTheme="minorEastAsia"/>
        </w:rPr>
        <w:t xml:space="preserve"> as reported previously</w:t>
      </w:r>
      <w:sdt>
        <w:sdtPr>
          <w:rPr>
            <w:rFonts w:eastAsiaTheme="minorEastAsia"/>
          </w:rPr>
          <w:id w:val="-1347091563"/>
          <w:citation/>
        </w:sdtPr>
        <w:sdtEndPr/>
        <w:sdtContent>
          <w:r w:rsidR="008D1CA5">
            <w:rPr>
              <w:rFonts w:eastAsiaTheme="minorEastAsia"/>
            </w:rPr>
            <w:fldChar w:fldCharType="begin"/>
          </w:r>
          <w:r w:rsidR="00CF104E">
            <w:rPr>
              <w:rFonts w:eastAsiaTheme="minorEastAsia"/>
            </w:rPr>
            <w:instrText xml:space="preserve">CITATION Khu24 \t  \l 1033 </w:instrText>
          </w:r>
          <w:r w:rsidR="008D1CA5">
            <w:rPr>
              <w:rFonts w:eastAsiaTheme="minorEastAsia"/>
            </w:rPr>
            <w:fldChar w:fldCharType="separate"/>
          </w:r>
          <w:r w:rsidR="00926F11">
            <w:rPr>
              <w:rFonts w:eastAsiaTheme="minorEastAsia"/>
              <w:noProof/>
            </w:rPr>
            <w:t xml:space="preserve"> </w:t>
          </w:r>
          <w:r w:rsidR="00926F11" w:rsidRPr="00926F11">
            <w:rPr>
              <w:rFonts w:eastAsiaTheme="minorEastAsia"/>
              <w:noProof/>
            </w:rPr>
            <w:t>(Khumalo &amp; Chirwa, 2024)</w:t>
          </w:r>
          <w:r w:rsidR="008D1CA5">
            <w:rPr>
              <w:rFonts w:eastAsiaTheme="minorEastAsia"/>
            </w:rPr>
            <w:fldChar w:fldCharType="end"/>
          </w:r>
        </w:sdtContent>
      </w:sdt>
      <w:r w:rsidR="00A62044">
        <w:rPr>
          <w:rFonts w:eastAsiaTheme="minorEastAsia"/>
        </w:rPr>
        <w:t>.</w:t>
      </w:r>
      <w:r>
        <w:rPr>
          <w:rFonts w:eastAsiaTheme="minorEastAsia"/>
        </w:rPr>
        <w:t xml:space="preserve">  </w:t>
      </w:r>
      <w:r w:rsidR="006A7622">
        <w:rPr>
          <w:rFonts w:eastAsiaTheme="minorEastAsia"/>
        </w:rPr>
        <w:t xml:space="preserve"> </w:t>
      </w:r>
      <w:r w:rsidR="00600535" w:rsidRPr="00514EAD">
        <w:t xml:space="preserve"> </w:t>
      </w:r>
    </w:p>
    <w:p w14:paraId="5741900F" w14:textId="115C4676" w:rsidR="00453E24" w:rsidRDefault="00A62044" w:rsidP="00453E24">
      <w:pPr>
        <w:pStyle w:val="CETHeading1"/>
      </w:pPr>
      <w:r>
        <w:t>Experimental</w:t>
      </w:r>
    </w:p>
    <w:p w14:paraId="0636B784" w14:textId="28158172" w:rsidR="00453E24" w:rsidRDefault="00A62044" w:rsidP="00453E24">
      <w:pPr>
        <w:pStyle w:val="CETheadingx"/>
      </w:pPr>
      <w:r>
        <w:t>Materials</w:t>
      </w:r>
    </w:p>
    <w:p w14:paraId="7C2B0064" w14:textId="19EF8A6D" w:rsidR="00453E24" w:rsidRDefault="00AA2458" w:rsidP="00453E24">
      <w:pPr>
        <w:pStyle w:val="CETBodytext"/>
      </w:pPr>
      <w:r>
        <w:t xml:space="preserve">A natural ethylene propylene copolymer </w:t>
      </w:r>
      <w:r w:rsidR="00F94769">
        <w:t>(</w:t>
      </w:r>
      <w:r w:rsidRPr="005D6905">
        <w:rPr>
          <w:i/>
          <w:iCs/>
        </w:rPr>
        <w:t>Safron</w:t>
      </w:r>
      <w:r>
        <w:t>®C765-15NA</w:t>
      </w:r>
      <w:r w:rsidR="00F94769">
        <w:t xml:space="preserve">), a </w:t>
      </w:r>
      <w:r w:rsidR="00C03A6D">
        <w:t>commercial product</w:t>
      </w:r>
      <w:r w:rsidR="00F94769">
        <w:t xml:space="preserve"> </w:t>
      </w:r>
      <w:r>
        <w:t xml:space="preserve">(Safripol Pty Ltd, Sasolburg, South Africa) with a melt flow rate 15 g/10min (230 </w:t>
      </w:r>
      <w:r>
        <w:sym w:font="Symbol" w:char="F0B0"/>
      </w:r>
      <w:r>
        <w:t>C/2.16 kg) and density 0.9 g/cm</w:t>
      </w:r>
      <w:r w:rsidRPr="00AA2458">
        <w:rPr>
          <w:vertAlign w:val="superscript"/>
        </w:rPr>
        <w:t>3</w:t>
      </w:r>
      <w:r>
        <w:t xml:space="preserve"> was supplied and used to preparer the composites</w:t>
      </w:r>
      <w:r w:rsidR="00453E24">
        <w:t>.</w:t>
      </w:r>
      <w:r>
        <w:t xml:space="preserve"> The </w:t>
      </w:r>
      <w:r w:rsidR="0077774B">
        <w:t>calcium stearate</w:t>
      </w:r>
      <w:r w:rsidR="00BE1FDE">
        <w:t xml:space="preserve"> (CaSt)</w:t>
      </w:r>
      <w:r w:rsidR="0077774B">
        <w:t xml:space="preserve"> and urea, analytical reagents were purchased from Sigma-Aldrich South Africa. The AMD was collected in Springs (EB) from the shaft</w:t>
      </w:r>
      <w:r w:rsidR="00A43411">
        <w:t xml:space="preserve"> pump</w:t>
      </w:r>
      <w:r w:rsidR="0077774B">
        <w:t xml:space="preserve"> before it enters the treatment plant.</w:t>
      </w:r>
      <w:r w:rsidR="00600402">
        <w:t xml:space="preserve"> The </w:t>
      </w:r>
      <w:r w:rsidR="00531F71">
        <w:t>aragonite</w:t>
      </w:r>
      <w:r w:rsidR="00600402">
        <w:t xml:space="preserve"> </w:t>
      </w:r>
      <w:r w:rsidR="00163503">
        <w:t xml:space="preserve">samples </w:t>
      </w:r>
      <w:r w:rsidR="00291A24">
        <w:t>w</w:t>
      </w:r>
      <w:r w:rsidR="00163503">
        <w:t>ere</w:t>
      </w:r>
      <w:r w:rsidR="00291A24">
        <w:t xml:space="preserve"> </w:t>
      </w:r>
      <w:r w:rsidR="00600402">
        <w:t xml:space="preserve">recovered using the highest urea-to-metal ratio </w:t>
      </w:r>
      <w:r w:rsidR="008B2152">
        <w:t>(</w:t>
      </w:r>
      <w:r w:rsidR="00600402">
        <w:t>concentration</w:t>
      </w:r>
      <w:r w:rsidR="008B2152">
        <w:t>)</w:t>
      </w:r>
      <w:r w:rsidR="00600402">
        <w:t xml:space="preserve"> as previously reported</w:t>
      </w:r>
      <w:sdt>
        <w:sdtPr>
          <w:id w:val="948975961"/>
          <w:citation/>
        </w:sdtPr>
        <w:sdtEndPr/>
        <w:sdtContent>
          <w:r w:rsidR="00600402">
            <w:fldChar w:fldCharType="begin"/>
          </w:r>
          <w:r w:rsidR="00600402">
            <w:rPr>
              <w:lang w:val="en-ZA"/>
            </w:rPr>
            <w:instrText xml:space="preserve">CITATION Khu24 \t  \l 7177 </w:instrText>
          </w:r>
          <w:r w:rsidR="00600402">
            <w:fldChar w:fldCharType="separate"/>
          </w:r>
          <w:r w:rsidR="00926F11">
            <w:rPr>
              <w:noProof/>
              <w:lang w:val="en-ZA"/>
            </w:rPr>
            <w:t xml:space="preserve"> </w:t>
          </w:r>
          <w:r w:rsidR="00926F11" w:rsidRPr="00926F11">
            <w:rPr>
              <w:noProof/>
              <w:lang w:val="en-ZA"/>
            </w:rPr>
            <w:t>(Khumalo &amp; Chirwa, 2024)</w:t>
          </w:r>
          <w:r w:rsidR="00600402">
            <w:fldChar w:fldCharType="end"/>
          </w:r>
        </w:sdtContent>
      </w:sdt>
      <w:r w:rsidR="00600402">
        <w:t>.</w:t>
      </w:r>
      <w:r w:rsidR="0077774B">
        <w:t xml:space="preserve"> </w:t>
      </w:r>
      <w:r w:rsidR="00600402">
        <w:t xml:space="preserve">The main difference was that for one sample (Eastern basin no-sludge – EBNS), the AMD was pretreated </w:t>
      </w:r>
      <w:r w:rsidR="00163503">
        <w:t xml:space="preserve">using a proprietary method </w:t>
      </w:r>
      <w:r w:rsidR="00600402">
        <w:t>to remove the suspended solids before the reaction, while the other sample (Eastern basin with-sludge – EBWS) was reacted with</w:t>
      </w:r>
      <w:r w:rsidR="00163503">
        <w:t>out</w:t>
      </w:r>
      <w:r w:rsidR="00600402">
        <w:t xml:space="preserve"> any pretreatment.</w:t>
      </w:r>
      <w:r w:rsidR="00FA0BA5">
        <w:t xml:space="preserve"> The recovery reactions were </w:t>
      </w:r>
      <w:r w:rsidR="00660DBF">
        <w:t>performed in triplicates.</w:t>
      </w:r>
      <w:r w:rsidR="00600402">
        <w:t xml:space="preserve">  </w:t>
      </w:r>
      <w:r w:rsidR="0077774B">
        <w:t xml:space="preserve">  </w:t>
      </w:r>
    </w:p>
    <w:p w14:paraId="18BAFA6F" w14:textId="08CE1071" w:rsidR="00453E24" w:rsidRPr="00B57B36" w:rsidRDefault="003049B6" w:rsidP="00453E24">
      <w:pPr>
        <w:pStyle w:val="CETheadingx"/>
      </w:pPr>
      <w:r>
        <w:t>Composite preparation</w:t>
      </w:r>
    </w:p>
    <w:p w14:paraId="5620A8F9" w14:textId="0DA85500" w:rsidR="00A608BE" w:rsidRDefault="00897A64" w:rsidP="00453E24">
      <w:pPr>
        <w:pStyle w:val="CETBodytext"/>
        <w:rPr>
          <w:lang w:val="en-GB"/>
        </w:rPr>
      </w:pPr>
      <w:r>
        <w:rPr>
          <w:lang w:val="en-GB"/>
        </w:rPr>
        <w:t xml:space="preserve">The composites were premixed as 500 g batches and dried </w:t>
      </w:r>
      <w:r w:rsidR="00D07FBC">
        <w:rPr>
          <w:lang w:val="en-GB"/>
        </w:rPr>
        <w:t>overnight</w:t>
      </w:r>
      <w:r>
        <w:rPr>
          <w:lang w:val="en-GB"/>
        </w:rPr>
        <w:t xml:space="preserve"> in an oven at 60 </w:t>
      </w:r>
      <w:r>
        <w:rPr>
          <w:lang w:val="en-GB"/>
        </w:rPr>
        <w:sym w:font="Symbol" w:char="F0B0"/>
      </w:r>
      <w:r>
        <w:rPr>
          <w:lang w:val="en-GB"/>
        </w:rPr>
        <w:t xml:space="preserve">C prior to melt mixing (see Table 1 for compositions). </w:t>
      </w:r>
      <w:r w:rsidR="002A68B9">
        <w:rPr>
          <w:lang w:val="en-GB"/>
        </w:rPr>
        <w:t>T</w:t>
      </w:r>
      <w:r w:rsidR="00A93C98">
        <w:rPr>
          <w:lang w:val="en-GB"/>
        </w:rPr>
        <w:t>he</w:t>
      </w:r>
      <w:r w:rsidR="00A43C1F">
        <w:rPr>
          <w:lang w:val="en-GB"/>
        </w:rPr>
        <w:t xml:space="preserve"> </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A43C1F">
        <w:rPr>
          <w:lang w:val="en-GB"/>
        </w:rPr>
        <w:t xml:space="preserve"> was</w:t>
      </w:r>
      <w:r w:rsidR="00B74622">
        <w:rPr>
          <w:lang w:val="en-GB"/>
        </w:rPr>
        <w:t xml:space="preserve"> loaded at 5 wt.%</w:t>
      </w:r>
      <w:r w:rsidR="00B579B4">
        <w:rPr>
          <w:lang w:val="en-GB"/>
        </w:rPr>
        <w:t xml:space="preserve"> </w:t>
      </w:r>
      <w:r w:rsidR="00ED633B">
        <w:rPr>
          <w:lang w:val="en-GB"/>
        </w:rPr>
        <w:t>in t</w:t>
      </w:r>
      <w:r w:rsidR="00D12F62">
        <w:rPr>
          <w:lang w:val="en-GB"/>
        </w:rPr>
        <w:t>he composites</w:t>
      </w:r>
      <w:r w:rsidR="009265BA">
        <w:rPr>
          <w:lang w:val="en-GB"/>
        </w:rPr>
        <w:t>,</w:t>
      </w:r>
      <w:r w:rsidR="00D12F62">
        <w:rPr>
          <w:lang w:val="en-GB"/>
        </w:rPr>
        <w:t xml:space="preserve"> </w:t>
      </w:r>
      <w:r w:rsidR="009265BA">
        <w:rPr>
          <w:lang w:val="en-GB"/>
        </w:rPr>
        <w:t xml:space="preserve">firstly </w:t>
      </w:r>
      <w:r w:rsidR="00CA3ABB">
        <w:rPr>
          <w:lang w:val="en-GB"/>
        </w:rPr>
        <w:t>to</w:t>
      </w:r>
      <w:r w:rsidR="00800571">
        <w:rPr>
          <w:lang w:val="en-GB"/>
        </w:rPr>
        <w:t xml:space="preserve"> evaluate the</w:t>
      </w:r>
      <w:r w:rsidR="001E4CC7">
        <w:rPr>
          <w:lang w:val="en-GB"/>
        </w:rPr>
        <w:t xml:space="preserve"> </w:t>
      </w:r>
      <w:r w:rsidR="00B45DCA">
        <w:rPr>
          <w:lang w:val="en-GB"/>
        </w:rPr>
        <w:t>effect</w:t>
      </w:r>
      <w:r w:rsidR="001E4CC7">
        <w:rPr>
          <w:lang w:val="en-GB"/>
        </w:rPr>
        <w:t xml:space="preserve"> </w:t>
      </w:r>
      <w:r w:rsidR="009265BA">
        <w:rPr>
          <w:lang w:val="en-GB"/>
        </w:rPr>
        <w:t>of the filler as a preliminary study</w:t>
      </w:r>
      <w:r w:rsidR="003845C8">
        <w:rPr>
          <w:lang w:val="en-GB"/>
        </w:rPr>
        <w:t>. S</w:t>
      </w:r>
      <w:r w:rsidR="00B45DCA">
        <w:rPr>
          <w:lang w:val="en-GB"/>
        </w:rPr>
        <w:t>econdly</w:t>
      </w:r>
      <w:r w:rsidR="003845C8">
        <w:rPr>
          <w:lang w:val="en-GB"/>
        </w:rPr>
        <w:t xml:space="preserve">, in another study, </w:t>
      </w:r>
      <w:r w:rsidR="0054495E">
        <w:rPr>
          <w:lang w:val="en-GB"/>
        </w:rPr>
        <w:t xml:space="preserve">this level of loading was reported to give the highest tensile </w:t>
      </w:r>
      <w:r w:rsidR="00876D29">
        <w:rPr>
          <w:lang w:val="en-GB"/>
        </w:rPr>
        <w:t xml:space="preserve">and flexural </w:t>
      </w:r>
      <w:r w:rsidR="0054495E">
        <w:rPr>
          <w:lang w:val="en-GB"/>
        </w:rPr>
        <w:t>stren</w:t>
      </w:r>
      <w:r w:rsidR="00BB1700">
        <w:rPr>
          <w:lang w:val="en-GB"/>
        </w:rPr>
        <w:t xml:space="preserve">gth </w:t>
      </w:r>
      <w:r w:rsidR="00876D29">
        <w:rPr>
          <w:lang w:val="en-GB"/>
        </w:rPr>
        <w:t>values</w:t>
      </w:r>
      <w:r w:rsidR="007A7080">
        <w:rPr>
          <w:lang w:val="en-GB"/>
        </w:rPr>
        <w:t xml:space="preserve"> of the composites</w:t>
      </w:r>
      <w:sdt>
        <w:sdtPr>
          <w:rPr>
            <w:lang w:val="en-GB"/>
          </w:rPr>
          <w:id w:val="-1305625945"/>
          <w:citation/>
        </w:sdtPr>
        <w:sdtEndPr/>
        <w:sdtContent>
          <w:r w:rsidR="00183699">
            <w:rPr>
              <w:lang w:val="en-GB"/>
            </w:rPr>
            <w:fldChar w:fldCharType="begin"/>
          </w:r>
          <w:r w:rsidR="00446D5B">
            <w:instrText xml:space="preserve">CITATION Jin18 \l 1033 </w:instrText>
          </w:r>
          <w:r w:rsidR="00183699">
            <w:rPr>
              <w:lang w:val="en-GB"/>
            </w:rPr>
            <w:fldChar w:fldCharType="separate"/>
          </w:r>
          <w:r w:rsidR="00926F11">
            <w:rPr>
              <w:noProof/>
            </w:rPr>
            <w:t xml:space="preserve"> (Jing et al., 2018a)</w:t>
          </w:r>
          <w:r w:rsidR="00183699">
            <w:rPr>
              <w:lang w:val="en-GB"/>
            </w:rPr>
            <w:fldChar w:fldCharType="end"/>
          </w:r>
        </w:sdtContent>
      </w:sdt>
      <w:r w:rsidR="00876D29">
        <w:rPr>
          <w:lang w:val="en-GB"/>
        </w:rPr>
        <w:t xml:space="preserve">. </w:t>
      </w:r>
      <w:r>
        <w:rPr>
          <w:lang w:val="en-GB"/>
        </w:rPr>
        <w:t xml:space="preserve">The </w:t>
      </w:r>
      <w:r w:rsidR="00183699">
        <w:rPr>
          <w:lang w:val="en-GB"/>
        </w:rPr>
        <w:t>control</w:t>
      </w:r>
      <w:r>
        <w:rPr>
          <w:lang w:val="en-GB"/>
        </w:rPr>
        <w:t xml:space="preserve"> sample was subjected to the same processing as the </w:t>
      </w:r>
      <w:r w:rsidRPr="00514EAD">
        <w:rPr>
          <w:rFonts w:eastAsiaTheme="minorEastAsia"/>
        </w:rPr>
        <w:t>PP/</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Pr>
          <w:lang w:val="en-GB"/>
        </w:rPr>
        <w:t xml:space="preserve"> composites. The samples were extruded using a Ninjing Giant A SHJ-20 co-rotating twin screw</w:t>
      </w:r>
      <w:r w:rsidR="00235F85">
        <w:rPr>
          <w:lang w:val="en-GB"/>
        </w:rPr>
        <w:t xml:space="preserve"> (China)</w:t>
      </w:r>
      <w:r>
        <w:rPr>
          <w:lang w:val="en-GB"/>
        </w:rPr>
        <w:t>, screw L/D ratio of 40.</w:t>
      </w:r>
      <w:r w:rsidR="00090C7F">
        <w:rPr>
          <w:lang w:val="en-GB"/>
        </w:rPr>
        <w:t xml:space="preserve"> A screw speed of 20 rpm was used with a temperature profile starting at 140 </w:t>
      </w:r>
      <w:r w:rsidR="00090C7F">
        <w:rPr>
          <w:lang w:val="en-GB"/>
        </w:rPr>
        <w:sym w:font="Symbol" w:char="F0B0"/>
      </w:r>
      <w:r w:rsidR="00090C7F">
        <w:rPr>
          <w:lang w:val="en-GB"/>
        </w:rPr>
        <w:t xml:space="preserve">C in the feeder zone, going up to 180 </w:t>
      </w:r>
      <w:r w:rsidR="00090C7F">
        <w:rPr>
          <w:lang w:val="en-GB"/>
        </w:rPr>
        <w:sym w:font="Symbol" w:char="F0B0"/>
      </w:r>
      <w:r w:rsidR="00090C7F">
        <w:rPr>
          <w:lang w:val="en-GB"/>
        </w:rPr>
        <w:t xml:space="preserve">C at the die. The resulting extrudates, were granulated and dried in the oven at 60 </w:t>
      </w:r>
      <w:r w:rsidR="00090C7F">
        <w:rPr>
          <w:lang w:val="en-GB"/>
        </w:rPr>
        <w:sym w:font="Symbol" w:char="F0B0"/>
      </w:r>
      <w:r w:rsidR="00090C7F">
        <w:rPr>
          <w:lang w:val="en-GB"/>
        </w:rPr>
        <w:t xml:space="preserve">C overnight prior to injection moulding for </w:t>
      </w:r>
      <w:r w:rsidR="00B37256">
        <w:rPr>
          <w:lang w:val="en-GB"/>
        </w:rPr>
        <w:t>tensile</w:t>
      </w:r>
      <w:r w:rsidR="00090C7F">
        <w:rPr>
          <w:lang w:val="en-GB"/>
        </w:rPr>
        <w:t xml:space="preserve"> test specimen preparation. The test specimens were injection moulded using</w:t>
      </w:r>
      <w:r w:rsidR="00A608BE">
        <w:rPr>
          <w:lang w:val="en-GB"/>
        </w:rPr>
        <w:t xml:space="preserve"> a TMC-30H injection moulding machine</w:t>
      </w:r>
      <w:r w:rsidR="00235F85">
        <w:rPr>
          <w:lang w:val="en-GB"/>
        </w:rPr>
        <w:t xml:space="preserve"> (China)</w:t>
      </w:r>
      <w:r w:rsidR="00A608BE">
        <w:rPr>
          <w:lang w:val="en-GB"/>
        </w:rPr>
        <w:t xml:space="preserve"> with a temperature profile between 190 and 240 </w:t>
      </w:r>
      <w:r w:rsidR="00A608BE">
        <w:rPr>
          <w:lang w:val="en-GB"/>
        </w:rPr>
        <w:sym w:font="Symbol" w:char="F0B0"/>
      </w:r>
      <w:r w:rsidR="00A608BE">
        <w:rPr>
          <w:lang w:val="en-GB"/>
        </w:rPr>
        <w:t xml:space="preserve">C, as well as the mould temperature between 50 and 60 </w:t>
      </w:r>
      <w:r w:rsidR="00A608BE">
        <w:rPr>
          <w:lang w:val="en-GB"/>
        </w:rPr>
        <w:sym w:font="Symbol" w:char="F0B0"/>
      </w:r>
      <w:r w:rsidR="00A608BE">
        <w:rPr>
          <w:lang w:val="en-GB"/>
        </w:rPr>
        <w:t>C.</w:t>
      </w:r>
      <w:r w:rsidR="00090C7F">
        <w:rPr>
          <w:lang w:val="en-GB"/>
        </w:rPr>
        <w:t xml:space="preserve"> </w:t>
      </w:r>
    </w:p>
    <w:p w14:paraId="5EF6EC37" w14:textId="6C6F56F2" w:rsidR="00101E92" w:rsidRPr="00B57B36" w:rsidRDefault="00101E92" w:rsidP="00101E92">
      <w:pPr>
        <w:pStyle w:val="CETTabletitle"/>
      </w:pPr>
      <w:r w:rsidRPr="00B57B36">
        <w:t xml:space="preserve">Table 1: </w:t>
      </w:r>
      <w:r w:rsidR="007737AE">
        <w:t>Composite formulations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101E92" w:rsidRPr="00B57B36" w14:paraId="035650F5" w14:textId="77777777" w:rsidTr="002F14F3">
        <w:tc>
          <w:tcPr>
            <w:tcW w:w="1134" w:type="dxa"/>
            <w:tcBorders>
              <w:top w:val="single" w:sz="12" w:space="0" w:color="008000"/>
              <w:bottom w:val="single" w:sz="6" w:space="0" w:color="008000"/>
            </w:tcBorders>
            <w:shd w:val="clear" w:color="auto" w:fill="FFFFFF"/>
          </w:tcPr>
          <w:p w14:paraId="41D0F516" w14:textId="439C6069" w:rsidR="00101E92" w:rsidRPr="00B57B36" w:rsidRDefault="00BE1FDE" w:rsidP="002F14F3">
            <w:pPr>
              <w:pStyle w:val="CETBodytext"/>
              <w:rPr>
                <w:lang w:val="en-GB"/>
              </w:rPr>
            </w:pPr>
            <w:r>
              <w:rPr>
                <w:lang w:val="en-GB"/>
              </w:rPr>
              <w:t>Sample</w:t>
            </w:r>
            <w:r w:rsidR="00101E92" w:rsidRPr="00B57B36">
              <w:rPr>
                <w:lang w:val="en-GB"/>
              </w:rPr>
              <w:t xml:space="preserve"> </w:t>
            </w:r>
          </w:p>
        </w:tc>
        <w:tc>
          <w:tcPr>
            <w:tcW w:w="1134" w:type="dxa"/>
            <w:tcBorders>
              <w:top w:val="single" w:sz="12" w:space="0" w:color="008000"/>
              <w:bottom w:val="single" w:sz="6" w:space="0" w:color="008000"/>
            </w:tcBorders>
            <w:shd w:val="clear" w:color="auto" w:fill="FFFFFF"/>
          </w:tcPr>
          <w:p w14:paraId="0857378B" w14:textId="696A2374" w:rsidR="00101E92" w:rsidRPr="00B57B36" w:rsidRDefault="00BE1FDE" w:rsidP="002F14F3">
            <w:pPr>
              <w:pStyle w:val="CETBodytext"/>
              <w:rPr>
                <w:lang w:val="en-GB"/>
              </w:rPr>
            </w:pPr>
            <w:r>
              <w:rPr>
                <w:lang w:val="en-GB"/>
              </w:rPr>
              <w:t>PP (wt</w:t>
            </w:r>
            <w:r w:rsidR="00EE5F18">
              <w:rPr>
                <w:lang w:val="en-GB"/>
              </w:rPr>
              <w:t>.</w:t>
            </w:r>
            <w:r>
              <w:rPr>
                <w:lang w:val="en-GB"/>
              </w:rPr>
              <w:t>%)</w:t>
            </w:r>
          </w:p>
        </w:tc>
        <w:tc>
          <w:tcPr>
            <w:tcW w:w="1134" w:type="dxa"/>
            <w:tcBorders>
              <w:top w:val="single" w:sz="12" w:space="0" w:color="008000"/>
              <w:bottom w:val="single" w:sz="6" w:space="0" w:color="008000"/>
            </w:tcBorders>
            <w:shd w:val="clear" w:color="auto" w:fill="FFFFFF"/>
          </w:tcPr>
          <w:p w14:paraId="14FA8E37" w14:textId="27DF1839" w:rsidR="00101E92" w:rsidRPr="00B57B36" w:rsidRDefault="00BE1FDE" w:rsidP="002F14F3">
            <w:pPr>
              <w:pStyle w:val="CETBodytext"/>
              <w:rPr>
                <w:lang w:val="en-GB"/>
              </w:rPr>
            </w:pPr>
            <w:r>
              <w:rPr>
                <w:lang w:val="en-GB"/>
              </w:rPr>
              <w:t>CaSt</w:t>
            </w:r>
            <w:r w:rsidR="007737AE">
              <w:rPr>
                <w:lang w:val="en-GB"/>
              </w:rPr>
              <w:t xml:space="preserve"> (wt</w:t>
            </w:r>
            <w:r w:rsidR="00EE5F18">
              <w:rPr>
                <w:lang w:val="en-GB"/>
              </w:rPr>
              <w:t>.</w:t>
            </w:r>
            <w:r w:rsidR="007737AE">
              <w:rPr>
                <w:lang w:val="en-GB"/>
              </w:rPr>
              <w:t>%)</w:t>
            </w:r>
          </w:p>
        </w:tc>
        <w:tc>
          <w:tcPr>
            <w:tcW w:w="1134" w:type="dxa"/>
            <w:tcBorders>
              <w:top w:val="single" w:sz="12" w:space="0" w:color="008000"/>
              <w:bottom w:val="single" w:sz="6" w:space="0" w:color="008000"/>
            </w:tcBorders>
            <w:shd w:val="clear" w:color="auto" w:fill="FFFFFF"/>
          </w:tcPr>
          <w:p w14:paraId="6B2E88BA" w14:textId="34B0F895" w:rsidR="00101E92" w:rsidRPr="00B57B36" w:rsidRDefault="00FF7C28" w:rsidP="007737AE">
            <w:pPr>
              <w:pStyle w:val="CETBodytext"/>
              <w:ind w:right="-1"/>
              <w:rPr>
                <w:rFonts w:cs="Arial"/>
                <w:szCs w:val="18"/>
                <w:lang w:val="en-GB"/>
              </w:rPr>
            </w:pP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7737AE">
              <w:rPr>
                <w:rFonts w:cs="Arial"/>
              </w:rPr>
              <w:t xml:space="preserve"> (wt</w:t>
            </w:r>
            <w:r w:rsidR="00EE5F18">
              <w:rPr>
                <w:rFonts w:cs="Arial"/>
              </w:rPr>
              <w:t>.</w:t>
            </w:r>
            <w:r w:rsidR="007737AE">
              <w:rPr>
                <w:rFonts w:cs="Arial"/>
              </w:rPr>
              <w:t>%)</w:t>
            </w:r>
          </w:p>
        </w:tc>
        <w:tc>
          <w:tcPr>
            <w:tcW w:w="1134" w:type="dxa"/>
            <w:tcBorders>
              <w:top w:val="single" w:sz="12" w:space="0" w:color="008000"/>
              <w:bottom w:val="single" w:sz="6" w:space="0" w:color="008000"/>
            </w:tcBorders>
            <w:shd w:val="clear" w:color="auto" w:fill="FFFFFF"/>
          </w:tcPr>
          <w:p w14:paraId="734042F9" w14:textId="77777777" w:rsidR="00101E92" w:rsidRPr="00B57B36" w:rsidRDefault="00101E92" w:rsidP="002F14F3">
            <w:pPr>
              <w:pStyle w:val="CETBodytext"/>
              <w:ind w:right="-1"/>
              <w:rPr>
                <w:rFonts w:cs="Arial"/>
                <w:szCs w:val="18"/>
                <w:lang w:val="en-GB"/>
              </w:rPr>
            </w:pPr>
          </w:p>
        </w:tc>
      </w:tr>
      <w:tr w:rsidR="00101E92" w:rsidRPr="00B57B36" w14:paraId="3CEBF2A1" w14:textId="77777777" w:rsidTr="002F14F3">
        <w:tc>
          <w:tcPr>
            <w:tcW w:w="1134" w:type="dxa"/>
            <w:shd w:val="clear" w:color="auto" w:fill="FFFFFF"/>
          </w:tcPr>
          <w:p w14:paraId="216C7C48" w14:textId="77D9262C" w:rsidR="00101E92" w:rsidRPr="00B57B36" w:rsidRDefault="007737AE" w:rsidP="002F14F3">
            <w:pPr>
              <w:pStyle w:val="CETBodytext"/>
              <w:rPr>
                <w:lang w:val="en-GB"/>
              </w:rPr>
            </w:pPr>
            <w:r>
              <w:rPr>
                <w:lang w:val="en-GB"/>
              </w:rPr>
              <w:t>PP</w:t>
            </w:r>
          </w:p>
        </w:tc>
        <w:tc>
          <w:tcPr>
            <w:tcW w:w="1134" w:type="dxa"/>
            <w:shd w:val="clear" w:color="auto" w:fill="FFFFFF"/>
          </w:tcPr>
          <w:p w14:paraId="59E88F40" w14:textId="71E0D839" w:rsidR="00101E92" w:rsidRPr="00B57B36" w:rsidRDefault="007737AE" w:rsidP="002F14F3">
            <w:pPr>
              <w:pStyle w:val="CETBodytext"/>
              <w:rPr>
                <w:lang w:val="en-GB"/>
              </w:rPr>
            </w:pPr>
            <w:r>
              <w:rPr>
                <w:lang w:val="en-GB"/>
              </w:rPr>
              <w:t>99.7</w:t>
            </w:r>
          </w:p>
        </w:tc>
        <w:tc>
          <w:tcPr>
            <w:tcW w:w="1134" w:type="dxa"/>
            <w:shd w:val="clear" w:color="auto" w:fill="FFFFFF"/>
          </w:tcPr>
          <w:p w14:paraId="49CC73D3" w14:textId="4BE1EDEE" w:rsidR="00101E92" w:rsidRPr="00B57B36" w:rsidRDefault="007737AE" w:rsidP="002F14F3">
            <w:pPr>
              <w:pStyle w:val="CETBodytext"/>
              <w:rPr>
                <w:lang w:val="en-GB"/>
              </w:rPr>
            </w:pPr>
            <w:r>
              <w:rPr>
                <w:lang w:val="en-GB"/>
              </w:rPr>
              <w:t>0.3</w:t>
            </w:r>
          </w:p>
        </w:tc>
        <w:tc>
          <w:tcPr>
            <w:tcW w:w="1134" w:type="dxa"/>
            <w:shd w:val="clear" w:color="auto" w:fill="FFFFFF"/>
          </w:tcPr>
          <w:p w14:paraId="43843CDE" w14:textId="3571985B" w:rsidR="00101E92" w:rsidRPr="00B57B36" w:rsidRDefault="007737AE" w:rsidP="007737AE">
            <w:pPr>
              <w:pStyle w:val="CETBodytext"/>
              <w:ind w:right="-1"/>
              <w:rPr>
                <w:rFonts w:cs="Arial"/>
                <w:szCs w:val="18"/>
                <w:lang w:val="en-GB"/>
              </w:rPr>
            </w:pPr>
            <w:r>
              <w:rPr>
                <w:rFonts w:cs="Arial"/>
                <w:szCs w:val="18"/>
                <w:lang w:val="en-GB"/>
              </w:rPr>
              <w:t>0</w:t>
            </w:r>
          </w:p>
        </w:tc>
        <w:tc>
          <w:tcPr>
            <w:tcW w:w="1134" w:type="dxa"/>
            <w:shd w:val="clear" w:color="auto" w:fill="FFFFFF"/>
          </w:tcPr>
          <w:p w14:paraId="431FFAF9" w14:textId="77777777" w:rsidR="00101E92" w:rsidRPr="00B57B36" w:rsidRDefault="00101E92" w:rsidP="002F14F3">
            <w:pPr>
              <w:pStyle w:val="CETBodytext"/>
              <w:ind w:right="-1"/>
              <w:rPr>
                <w:rFonts w:cs="Arial"/>
                <w:szCs w:val="18"/>
                <w:lang w:val="en-GB"/>
              </w:rPr>
            </w:pPr>
          </w:p>
        </w:tc>
      </w:tr>
      <w:tr w:rsidR="00BE1FDE" w:rsidRPr="00B57B36" w14:paraId="55FF28C8" w14:textId="77777777" w:rsidTr="002F14F3">
        <w:tc>
          <w:tcPr>
            <w:tcW w:w="1134" w:type="dxa"/>
            <w:shd w:val="clear" w:color="auto" w:fill="FFFFFF"/>
          </w:tcPr>
          <w:p w14:paraId="6ED84F26" w14:textId="1F400671" w:rsidR="00BE1FDE" w:rsidRPr="00B57B36" w:rsidRDefault="00BE1FDE" w:rsidP="002F14F3">
            <w:pPr>
              <w:pStyle w:val="CETBodytext"/>
              <w:rPr>
                <w:lang w:val="en-GB"/>
              </w:rPr>
            </w:pPr>
            <w:r>
              <w:rPr>
                <w:lang w:val="en-GB"/>
              </w:rPr>
              <w:t>PP-EBNS</w:t>
            </w:r>
          </w:p>
        </w:tc>
        <w:tc>
          <w:tcPr>
            <w:tcW w:w="1134" w:type="dxa"/>
            <w:shd w:val="clear" w:color="auto" w:fill="FFFFFF"/>
          </w:tcPr>
          <w:p w14:paraId="7B6163A8" w14:textId="4B082F35" w:rsidR="00BE1FDE" w:rsidRPr="00B57B36" w:rsidRDefault="007737AE" w:rsidP="002F14F3">
            <w:pPr>
              <w:pStyle w:val="CETBodytext"/>
              <w:rPr>
                <w:lang w:val="en-GB"/>
              </w:rPr>
            </w:pPr>
            <w:r>
              <w:rPr>
                <w:lang w:val="en-GB"/>
              </w:rPr>
              <w:t>94.7</w:t>
            </w:r>
          </w:p>
        </w:tc>
        <w:tc>
          <w:tcPr>
            <w:tcW w:w="1134" w:type="dxa"/>
            <w:shd w:val="clear" w:color="auto" w:fill="FFFFFF"/>
          </w:tcPr>
          <w:p w14:paraId="623911CD" w14:textId="6D4242CC" w:rsidR="00BE1FDE" w:rsidRPr="00B57B36" w:rsidRDefault="007737AE" w:rsidP="002F14F3">
            <w:pPr>
              <w:pStyle w:val="CETBodytext"/>
              <w:rPr>
                <w:lang w:val="en-GB"/>
              </w:rPr>
            </w:pPr>
            <w:r>
              <w:rPr>
                <w:lang w:val="en-GB"/>
              </w:rPr>
              <w:t>0.3</w:t>
            </w:r>
          </w:p>
        </w:tc>
        <w:tc>
          <w:tcPr>
            <w:tcW w:w="1134" w:type="dxa"/>
            <w:shd w:val="clear" w:color="auto" w:fill="FFFFFF"/>
          </w:tcPr>
          <w:p w14:paraId="426CC35C" w14:textId="22096B32" w:rsidR="00BE1FDE" w:rsidRPr="00B57B36" w:rsidRDefault="007737AE" w:rsidP="007737AE">
            <w:pPr>
              <w:pStyle w:val="CETBodytext"/>
              <w:ind w:right="-1"/>
              <w:rPr>
                <w:rFonts w:cs="Arial"/>
                <w:szCs w:val="18"/>
                <w:lang w:val="en-GB"/>
              </w:rPr>
            </w:pPr>
            <w:r>
              <w:rPr>
                <w:rFonts w:cs="Arial"/>
                <w:szCs w:val="18"/>
                <w:lang w:val="en-GB"/>
              </w:rPr>
              <w:t>5</w:t>
            </w:r>
          </w:p>
        </w:tc>
        <w:tc>
          <w:tcPr>
            <w:tcW w:w="1134" w:type="dxa"/>
            <w:shd w:val="clear" w:color="auto" w:fill="FFFFFF"/>
          </w:tcPr>
          <w:p w14:paraId="618F6AC0" w14:textId="77777777" w:rsidR="00BE1FDE" w:rsidRPr="00B57B36" w:rsidRDefault="00BE1FDE" w:rsidP="002F14F3">
            <w:pPr>
              <w:pStyle w:val="CETBodytext"/>
              <w:ind w:right="-1"/>
              <w:rPr>
                <w:rFonts w:cs="Arial"/>
                <w:szCs w:val="18"/>
                <w:lang w:val="en-GB"/>
              </w:rPr>
            </w:pPr>
          </w:p>
        </w:tc>
      </w:tr>
      <w:tr w:rsidR="00101E92" w:rsidRPr="00B57B36" w14:paraId="79E397BD" w14:textId="77777777" w:rsidTr="002F14F3">
        <w:tc>
          <w:tcPr>
            <w:tcW w:w="1134" w:type="dxa"/>
            <w:shd w:val="clear" w:color="auto" w:fill="FFFFFF"/>
          </w:tcPr>
          <w:p w14:paraId="42C7F1F7" w14:textId="75CFC5D1" w:rsidR="00101E92" w:rsidRPr="00B57B36" w:rsidRDefault="00BE1FDE" w:rsidP="002F14F3">
            <w:pPr>
              <w:pStyle w:val="CETBodytext"/>
              <w:ind w:right="-1"/>
              <w:rPr>
                <w:rFonts w:cs="Arial"/>
                <w:szCs w:val="18"/>
                <w:lang w:val="en-GB"/>
              </w:rPr>
            </w:pPr>
            <w:r>
              <w:rPr>
                <w:rFonts w:cs="Arial"/>
                <w:szCs w:val="18"/>
                <w:lang w:val="en-GB"/>
              </w:rPr>
              <w:t>PP-EBWS</w:t>
            </w:r>
          </w:p>
        </w:tc>
        <w:tc>
          <w:tcPr>
            <w:tcW w:w="1134" w:type="dxa"/>
            <w:shd w:val="clear" w:color="auto" w:fill="FFFFFF"/>
          </w:tcPr>
          <w:p w14:paraId="0B9A64A7" w14:textId="052C8332" w:rsidR="00101E92" w:rsidRPr="00B57B36" w:rsidRDefault="007737AE" w:rsidP="002F14F3">
            <w:pPr>
              <w:pStyle w:val="CETBodytext"/>
              <w:ind w:right="-1"/>
              <w:rPr>
                <w:rFonts w:cs="Arial"/>
                <w:szCs w:val="18"/>
                <w:lang w:val="en-GB"/>
              </w:rPr>
            </w:pPr>
            <w:r>
              <w:rPr>
                <w:rFonts w:cs="Arial"/>
                <w:szCs w:val="18"/>
                <w:lang w:val="en-GB"/>
              </w:rPr>
              <w:t>94.7</w:t>
            </w:r>
          </w:p>
        </w:tc>
        <w:tc>
          <w:tcPr>
            <w:tcW w:w="1134" w:type="dxa"/>
            <w:shd w:val="clear" w:color="auto" w:fill="FFFFFF"/>
          </w:tcPr>
          <w:p w14:paraId="3D141EEE" w14:textId="7455E050" w:rsidR="00101E92" w:rsidRPr="00B57B36" w:rsidRDefault="007737AE" w:rsidP="002F14F3">
            <w:pPr>
              <w:pStyle w:val="CETBodytext"/>
              <w:ind w:right="-1"/>
              <w:rPr>
                <w:rFonts w:cs="Arial"/>
                <w:szCs w:val="18"/>
                <w:lang w:val="en-GB"/>
              </w:rPr>
            </w:pPr>
            <w:r>
              <w:rPr>
                <w:rFonts w:cs="Arial"/>
                <w:szCs w:val="18"/>
                <w:lang w:val="en-GB"/>
              </w:rPr>
              <w:t>0.3</w:t>
            </w:r>
          </w:p>
        </w:tc>
        <w:tc>
          <w:tcPr>
            <w:tcW w:w="1134" w:type="dxa"/>
            <w:shd w:val="clear" w:color="auto" w:fill="FFFFFF"/>
          </w:tcPr>
          <w:p w14:paraId="47F35625" w14:textId="1D8B4464" w:rsidR="00101E92" w:rsidRPr="00B57B36" w:rsidRDefault="007737AE" w:rsidP="007737AE">
            <w:pPr>
              <w:pStyle w:val="CETBodytext"/>
              <w:ind w:right="-1"/>
              <w:rPr>
                <w:rFonts w:cs="Arial"/>
                <w:szCs w:val="18"/>
                <w:lang w:val="en-GB"/>
              </w:rPr>
            </w:pPr>
            <w:r>
              <w:rPr>
                <w:rFonts w:cs="Arial"/>
                <w:szCs w:val="18"/>
                <w:lang w:val="en-GB"/>
              </w:rPr>
              <w:t>5</w:t>
            </w:r>
          </w:p>
        </w:tc>
        <w:tc>
          <w:tcPr>
            <w:tcW w:w="1134" w:type="dxa"/>
            <w:shd w:val="clear" w:color="auto" w:fill="FFFFFF"/>
          </w:tcPr>
          <w:p w14:paraId="5D3CA06F" w14:textId="77777777" w:rsidR="00101E92" w:rsidRPr="00B57B36" w:rsidRDefault="00101E92" w:rsidP="002F14F3">
            <w:pPr>
              <w:pStyle w:val="CETBodytext"/>
              <w:ind w:right="-1"/>
              <w:rPr>
                <w:rFonts w:cs="Arial"/>
                <w:szCs w:val="18"/>
                <w:lang w:val="en-GB"/>
              </w:rPr>
            </w:pPr>
          </w:p>
        </w:tc>
      </w:tr>
    </w:tbl>
    <w:p w14:paraId="059A985C" w14:textId="77777777" w:rsidR="00A608BE" w:rsidRDefault="00A608BE" w:rsidP="00453E24">
      <w:pPr>
        <w:pStyle w:val="CETBodytext"/>
        <w:rPr>
          <w:lang w:val="en-GB"/>
        </w:rPr>
      </w:pPr>
    </w:p>
    <w:p w14:paraId="50C5E979" w14:textId="2DDCCC37" w:rsidR="00A608BE" w:rsidRPr="00B57B36" w:rsidRDefault="00A608BE" w:rsidP="00A608BE">
      <w:pPr>
        <w:pStyle w:val="CETheadingx"/>
      </w:pPr>
      <w:r>
        <w:t>Sample characterization</w:t>
      </w:r>
    </w:p>
    <w:p w14:paraId="582642C6" w14:textId="5657D3DD" w:rsidR="00453E24" w:rsidRDefault="00A608BE" w:rsidP="000913E5">
      <w:pPr>
        <w:pStyle w:val="CETBodytextItalic"/>
      </w:pPr>
      <w:r w:rsidRPr="00235F85">
        <w:rPr>
          <w:rStyle w:val="CETBodytextCarattere"/>
          <w:i w:val="0"/>
          <w:iCs/>
        </w:rPr>
        <w:t>The</w:t>
      </w:r>
      <w:r w:rsidR="00235F85" w:rsidRPr="00235F85">
        <w:rPr>
          <w:rStyle w:val="CETBodytextCarattere"/>
          <w:i w:val="0"/>
          <w:iCs/>
        </w:rPr>
        <w:t xml:space="preserve"> morphologies of the </w:t>
      </w:r>
      <w:r w:rsidR="00235F85">
        <w:rPr>
          <w:rStyle w:val="CETBodytextCarattere"/>
          <w:i w:val="0"/>
          <w:iCs/>
        </w:rPr>
        <w:t>obtained precipitates and the fractured surfaces of the composites</w:t>
      </w:r>
      <w:r w:rsidR="00235F85" w:rsidRPr="00235F85">
        <w:rPr>
          <w:rStyle w:val="CETBodytextCarattere"/>
          <w:i w:val="0"/>
          <w:iCs/>
        </w:rPr>
        <w:t xml:space="preserve"> were determined using images taken on the </w:t>
      </w:r>
      <w:r w:rsidR="001E61C3">
        <w:rPr>
          <w:rStyle w:val="CETBodytextCarattere"/>
          <w:i w:val="0"/>
          <w:iCs/>
        </w:rPr>
        <w:t>Joel</w:t>
      </w:r>
      <w:r w:rsidR="004B198E">
        <w:rPr>
          <w:rStyle w:val="CETBodytextCarattere"/>
          <w:i w:val="0"/>
          <w:iCs/>
        </w:rPr>
        <w:t xml:space="preserve"> JSM-IT100</w:t>
      </w:r>
      <w:r w:rsidR="00235F85" w:rsidRPr="00235F85">
        <w:rPr>
          <w:rStyle w:val="CETBodytextCarattere"/>
          <w:i w:val="0"/>
          <w:iCs/>
        </w:rPr>
        <w:t xml:space="preserve"> </w:t>
      </w:r>
      <w:r w:rsidR="00103575">
        <w:rPr>
          <w:rStyle w:val="CETBodytextCarattere"/>
          <w:i w:val="0"/>
          <w:iCs/>
        </w:rPr>
        <w:t>InTouchScope</w:t>
      </w:r>
      <w:r w:rsidR="004201FB">
        <w:rPr>
          <w:rStyle w:val="CETBodytextCarattere"/>
          <w:i w:val="0"/>
          <w:iCs/>
        </w:rPr>
        <w:t>™</w:t>
      </w:r>
      <w:r w:rsidR="00103575">
        <w:rPr>
          <w:rStyle w:val="CETBodytextCarattere"/>
          <w:i w:val="0"/>
          <w:iCs/>
        </w:rPr>
        <w:t xml:space="preserve"> </w:t>
      </w:r>
      <w:r w:rsidR="00235F85">
        <w:rPr>
          <w:rStyle w:val="CETBodytextCarattere"/>
          <w:i w:val="0"/>
          <w:iCs/>
        </w:rPr>
        <w:t>Scanning Electron Microscope (</w:t>
      </w:r>
      <w:r w:rsidR="00235F85" w:rsidRPr="00235F85">
        <w:rPr>
          <w:rStyle w:val="CETBodytextCarattere"/>
          <w:i w:val="0"/>
          <w:iCs/>
        </w:rPr>
        <w:t>SEM</w:t>
      </w:r>
      <w:r w:rsidR="00235F85">
        <w:rPr>
          <w:rStyle w:val="CETBodytextCarattere"/>
          <w:i w:val="0"/>
          <w:iCs/>
        </w:rPr>
        <w:t>)</w:t>
      </w:r>
      <w:r w:rsidR="00235F85" w:rsidRPr="00235F85">
        <w:rPr>
          <w:rStyle w:val="CETBodytextCarattere"/>
          <w:i w:val="0"/>
          <w:iCs/>
        </w:rPr>
        <w:t xml:space="preserve"> (</w:t>
      </w:r>
      <w:r w:rsidR="00282838">
        <w:rPr>
          <w:rStyle w:val="CETBodytextCarattere"/>
          <w:i w:val="0"/>
          <w:iCs/>
        </w:rPr>
        <w:t>Japan</w:t>
      </w:r>
      <w:r w:rsidR="00235F85" w:rsidRPr="00235F85">
        <w:rPr>
          <w:rStyle w:val="CETBodytextCarattere"/>
          <w:i w:val="0"/>
          <w:iCs/>
        </w:rPr>
        <w:t xml:space="preserve">) at different </w:t>
      </w:r>
      <w:r w:rsidR="00235F85" w:rsidRPr="00D11D18">
        <w:rPr>
          <w:rStyle w:val="CETBodytextCarattere"/>
          <w:i w:val="0"/>
          <w:iCs/>
        </w:rPr>
        <w:t xml:space="preserve">magnifications. </w:t>
      </w:r>
      <w:r w:rsidR="00D11D18" w:rsidRPr="00D11D18">
        <w:rPr>
          <w:rStyle w:val="CETBodytextCarattere"/>
          <w:i w:val="0"/>
          <w:iCs/>
        </w:rPr>
        <w:t xml:space="preserve">The elemental </w:t>
      </w:r>
      <w:r w:rsidR="00D11D18">
        <w:rPr>
          <w:rStyle w:val="CETBodytextCarattere"/>
          <w:i w:val="0"/>
          <w:iCs/>
        </w:rPr>
        <w:t>mapping of the composites</w:t>
      </w:r>
      <w:r w:rsidR="009009AA">
        <w:rPr>
          <w:rStyle w:val="CETBodytextCarattere"/>
          <w:i w:val="0"/>
          <w:iCs/>
        </w:rPr>
        <w:t>’</w:t>
      </w:r>
      <w:r w:rsidR="00D11D18">
        <w:rPr>
          <w:rStyle w:val="CETBodytextCarattere"/>
          <w:i w:val="0"/>
          <w:iCs/>
        </w:rPr>
        <w:t xml:space="preserve"> fractured surface</w:t>
      </w:r>
      <w:r w:rsidR="009009AA">
        <w:rPr>
          <w:rStyle w:val="CETBodytextCarattere"/>
          <w:i w:val="0"/>
          <w:iCs/>
        </w:rPr>
        <w:t>s</w:t>
      </w:r>
      <w:r w:rsidR="00D11D18" w:rsidRPr="00D11D18">
        <w:rPr>
          <w:rStyle w:val="CETBodytextCarattere"/>
          <w:i w:val="0"/>
          <w:iCs/>
        </w:rPr>
        <w:t xml:space="preserve"> </w:t>
      </w:r>
      <w:r w:rsidR="00D07FBC" w:rsidRPr="00D11D18">
        <w:rPr>
          <w:rStyle w:val="CETBodytextCarattere"/>
          <w:i w:val="0"/>
          <w:iCs/>
        </w:rPr>
        <w:t>was</w:t>
      </w:r>
      <w:r w:rsidR="00D11D18" w:rsidRPr="00D11D18">
        <w:rPr>
          <w:rStyle w:val="CETBodytextCarattere"/>
          <w:i w:val="0"/>
          <w:iCs/>
        </w:rPr>
        <w:t xml:space="preserve"> </w:t>
      </w:r>
      <w:r w:rsidR="005C7E1B">
        <w:rPr>
          <w:rStyle w:val="CETBodytextCarattere"/>
          <w:i w:val="0"/>
          <w:iCs/>
        </w:rPr>
        <w:t>performed on</w:t>
      </w:r>
      <w:r w:rsidR="00D11D18" w:rsidRPr="00D11D18">
        <w:rPr>
          <w:rStyle w:val="CETBodytextCarattere"/>
          <w:i w:val="0"/>
          <w:iCs/>
        </w:rPr>
        <w:t xml:space="preserve"> </w:t>
      </w:r>
      <w:r w:rsidR="0043000A">
        <w:rPr>
          <w:rStyle w:val="CETBodytextCarattere"/>
          <w:i w:val="0"/>
          <w:iCs/>
        </w:rPr>
        <w:t xml:space="preserve">the Thermo Fischer Scientific </w:t>
      </w:r>
      <w:r w:rsidR="00D11D18" w:rsidRPr="00D11D18">
        <w:rPr>
          <w:rStyle w:val="CETBodytextCarattere"/>
          <w:i w:val="0"/>
          <w:iCs/>
        </w:rPr>
        <w:t xml:space="preserve">energy dispersive X-Ray (EDS) </w:t>
      </w:r>
      <w:r w:rsidR="0043000A" w:rsidRPr="00D11D18">
        <w:rPr>
          <w:rStyle w:val="CETBodytextCarattere"/>
          <w:i w:val="0"/>
          <w:iCs/>
        </w:rPr>
        <w:t>(United States)</w:t>
      </w:r>
      <w:r w:rsidR="00D11D18" w:rsidRPr="00D11D18">
        <w:rPr>
          <w:rStyle w:val="CETBodytextCarattere"/>
          <w:i w:val="0"/>
          <w:iCs/>
        </w:rPr>
        <w:t>.</w:t>
      </w:r>
      <w:r w:rsidR="009009AA">
        <w:rPr>
          <w:rStyle w:val="CETBodytextCarattere"/>
          <w:i w:val="0"/>
          <w:iCs/>
        </w:rPr>
        <w:t xml:space="preserve"> </w:t>
      </w:r>
      <w:r w:rsidR="00235F85" w:rsidRPr="00D11D18">
        <w:rPr>
          <w:rStyle w:val="CETBodytextCarattere"/>
          <w:i w:val="0"/>
          <w:iCs/>
        </w:rPr>
        <w:t xml:space="preserve">The crystalline phase determinations </w:t>
      </w:r>
      <w:r w:rsidR="00235F85" w:rsidRPr="00D11D18">
        <w:rPr>
          <w:rStyle w:val="CETBodytextCarattere"/>
          <w:i w:val="0"/>
          <w:iCs/>
        </w:rPr>
        <w:lastRenderedPageBreak/>
        <w:t>of the composites were measured</w:t>
      </w:r>
      <w:r w:rsidR="00235F85" w:rsidRPr="00235F85">
        <w:rPr>
          <w:rStyle w:val="CETBodytextCarattere"/>
          <w:i w:val="0"/>
          <w:iCs/>
        </w:rPr>
        <w:t xml:space="preserve"> on the PANalytical</w:t>
      </w:r>
      <w:r w:rsidR="00A57C46">
        <w:rPr>
          <w:rStyle w:val="CETBodytextCarattere"/>
          <w:i w:val="0"/>
          <w:iCs/>
        </w:rPr>
        <w:t xml:space="preserve"> </w:t>
      </w:r>
      <w:r w:rsidR="00174B62">
        <w:rPr>
          <w:rStyle w:val="CETBodytextCarattere"/>
          <w:i w:val="0"/>
          <w:iCs/>
        </w:rPr>
        <w:t>Aeris Research</w:t>
      </w:r>
      <w:r w:rsidR="00235F85" w:rsidRPr="00235F85">
        <w:rPr>
          <w:rStyle w:val="CETBodytextCarattere"/>
          <w:i w:val="0"/>
          <w:iCs/>
        </w:rPr>
        <w:t xml:space="preserve"> XRD system (United Kingdom), using </w:t>
      </w:r>
      <w:r w:rsidR="008D6963">
        <w:rPr>
          <w:rStyle w:val="CETBodytextCarattere"/>
          <w:i w:val="0"/>
          <w:iCs/>
        </w:rPr>
        <w:t>Cobalt</w:t>
      </w:r>
      <w:r w:rsidR="00235F85" w:rsidRPr="00235F85">
        <w:rPr>
          <w:rStyle w:val="CETBodytextCarattere"/>
          <w:i w:val="0"/>
          <w:iCs/>
        </w:rPr>
        <w:t xml:space="preserve"> radiation at </w:t>
      </w:r>
      <w:r w:rsidR="0084453B">
        <w:rPr>
          <w:rStyle w:val="CETBodytextCarattere"/>
          <w:i w:val="0"/>
          <w:iCs/>
        </w:rPr>
        <w:t xml:space="preserve">36 </w:t>
      </w:r>
      <w:r w:rsidR="00235F85" w:rsidRPr="00235F85">
        <w:rPr>
          <w:rStyle w:val="CETBodytextCarattere"/>
          <w:i w:val="0"/>
          <w:iCs/>
        </w:rPr>
        <w:t>kV/</w:t>
      </w:r>
      <w:r w:rsidR="0084453B">
        <w:rPr>
          <w:rStyle w:val="CETBodytextCarattere"/>
          <w:i w:val="0"/>
          <w:iCs/>
        </w:rPr>
        <w:t>36</w:t>
      </w:r>
      <w:r w:rsidR="00235F85" w:rsidRPr="00235F85">
        <w:rPr>
          <w:rStyle w:val="CETBodytextCarattere"/>
          <w:i w:val="0"/>
          <w:iCs/>
        </w:rPr>
        <w:t xml:space="preserve"> mA. </w:t>
      </w:r>
      <w:r w:rsidR="00235F85">
        <w:rPr>
          <w:rStyle w:val="CETBodytextCarattere"/>
          <w:i w:val="0"/>
          <w:iCs/>
        </w:rPr>
        <w:t>The me</w:t>
      </w:r>
      <w:r w:rsidR="00363D6F">
        <w:rPr>
          <w:rStyle w:val="CETBodytextCarattere"/>
          <w:i w:val="0"/>
          <w:iCs/>
        </w:rPr>
        <w:t>l</w:t>
      </w:r>
      <w:r w:rsidR="00235F85">
        <w:rPr>
          <w:rStyle w:val="CETBodytextCarattere"/>
          <w:i w:val="0"/>
          <w:iCs/>
        </w:rPr>
        <w:t>ting and crysta</w:t>
      </w:r>
      <w:r w:rsidR="00363D6F">
        <w:rPr>
          <w:rStyle w:val="CETBodytextCarattere"/>
          <w:i w:val="0"/>
          <w:iCs/>
        </w:rPr>
        <w:t>llization properties of the composites were measured on the TA Instruments Q2000 differential scanning colorimeter (DSC) (U</w:t>
      </w:r>
      <w:r w:rsidR="00AF3F6F">
        <w:rPr>
          <w:rStyle w:val="CETBodytextCarattere"/>
          <w:i w:val="0"/>
          <w:iCs/>
        </w:rPr>
        <w:t xml:space="preserve">nited </w:t>
      </w:r>
      <w:r w:rsidR="00363D6F">
        <w:rPr>
          <w:rStyle w:val="CETBodytextCarattere"/>
          <w:i w:val="0"/>
          <w:iCs/>
        </w:rPr>
        <w:t>S</w:t>
      </w:r>
      <w:r w:rsidR="00AF3F6F">
        <w:rPr>
          <w:rStyle w:val="CETBodytextCarattere"/>
          <w:i w:val="0"/>
          <w:iCs/>
        </w:rPr>
        <w:t>tates</w:t>
      </w:r>
      <w:r w:rsidR="00363D6F">
        <w:rPr>
          <w:rStyle w:val="CETBodytextCarattere"/>
          <w:i w:val="0"/>
          <w:iCs/>
        </w:rPr>
        <w:t xml:space="preserve">) after removing their thermal history using a heating and cooling rate of 10 </w:t>
      </w:r>
      <w:r w:rsidR="00363D6F">
        <w:rPr>
          <w:rStyle w:val="CETBodytextCarattere"/>
          <w:i w:val="0"/>
          <w:iCs/>
        </w:rPr>
        <w:sym w:font="Symbol" w:char="F0B0"/>
      </w:r>
      <w:r w:rsidR="00363D6F">
        <w:rPr>
          <w:rStyle w:val="CETBodytextCarattere"/>
          <w:i w:val="0"/>
          <w:iCs/>
        </w:rPr>
        <w:t xml:space="preserve">C/min under nitrogen atmosphere. The decomposition profiles of the composites were measured using a TA Instruments thermogravimetric analyzer (TGA) Q5500 </w:t>
      </w:r>
      <w:r w:rsidR="00AF3F6F">
        <w:rPr>
          <w:rStyle w:val="CETBodytextCarattere"/>
          <w:i w:val="0"/>
          <w:iCs/>
        </w:rPr>
        <w:t xml:space="preserve">(United States) </w:t>
      </w:r>
      <w:r w:rsidR="00363D6F">
        <w:rPr>
          <w:rStyle w:val="CETBodytextCarattere"/>
          <w:i w:val="0"/>
          <w:iCs/>
        </w:rPr>
        <w:t xml:space="preserve">at a heating rate of </w:t>
      </w:r>
      <w:r w:rsidR="00B37236">
        <w:rPr>
          <w:rStyle w:val="CETBodytextCarattere"/>
          <w:i w:val="0"/>
          <w:iCs/>
        </w:rPr>
        <w:t xml:space="preserve">10 </w:t>
      </w:r>
      <w:r w:rsidR="00B37236">
        <w:rPr>
          <w:rStyle w:val="CETBodytextCarattere"/>
          <w:i w:val="0"/>
          <w:iCs/>
        </w:rPr>
        <w:sym w:font="Symbol" w:char="F0B0"/>
      </w:r>
      <w:r w:rsidR="00B37236">
        <w:rPr>
          <w:rStyle w:val="CETBodytextCarattere"/>
          <w:i w:val="0"/>
          <w:iCs/>
        </w:rPr>
        <w:t xml:space="preserve">C/min under nitrogen atmosphere from ambient temperature to 700 </w:t>
      </w:r>
      <w:r w:rsidRPr="00235F85">
        <w:rPr>
          <w:rStyle w:val="CETBodytextCarattere"/>
          <w:i w:val="0"/>
          <w:iCs/>
        </w:rPr>
        <w:sym w:font="Symbol" w:char="F0B0"/>
      </w:r>
      <w:r w:rsidRPr="00235F85">
        <w:rPr>
          <w:rStyle w:val="CETBodytextCarattere"/>
          <w:i w:val="0"/>
          <w:iCs/>
        </w:rPr>
        <w:t>C</w:t>
      </w:r>
      <w:r w:rsidR="00B37236">
        <w:rPr>
          <w:rStyle w:val="CETBodytextCarattere"/>
          <w:i w:val="0"/>
          <w:iCs/>
        </w:rPr>
        <w:t>.</w:t>
      </w:r>
      <w:r w:rsidRPr="00235F85">
        <w:rPr>
          <w:rStyle w:val="CETBodytextCarattere"/>
          <w:i w:val="0"/>
          <w:iCs/>
        </w:rPr>
        <w:t xml:space="preserve"> </w:t>
      </w:r>
      <w:r w:rsidR="00B37236">
        <w:rPr>
          <w:rStyle w:val="CETBodytextCarattere"/>
          <w:i w:val="0"/>
          <w:iCs/>
        </w:rPr>
        <w:t>The flexural modulus and impact properties of the composites were determined according to ISO 178 and ISO 179 standard test methods, respectively</w:t>
      </w:r>
      <w:r w:rsidRPr="00235F85">
        <w:rPr>
          <w:rStyle w:val="CETBodytextCarattere"/>
          <w:i w:val="0"/>
          <w:iCs/>
        </w:rPr>
        <w:t>.</w:t>
      </w:r>
      <w:r w:rsidR="00090C7F">
        <w:t xml:space="preserve"> </w:t>
      </w:r>
    </w:p>
    <w:p w14:paraId="677EBFF0" w14:textId="65DB129D" w:rsidR="00600535" w:rsidRPr="00B57B36" w:rsidRDefault="00B37236" w:rsidP="00600535">
      <w:pPr>
        <w:pStyle w:val="CETHeading1"/>
        <w:tabs>
          <w:tab w:val="clear" w:pos="360"/>
          <w:tab w:val="right" w:pos="7100"/>
        </w:tabs>
        <w:jc w:val="both"/>
        <w:rPr>
          <w:lang w:val="en-GB"/>
        </w:rPr>
      </w:pPr>
      <w:r>
        <w:rPr>
          <w:lang w:val="en-GB"/>
        </w:rPr>
        <w:t>Results and discussion</w:t>
      </w:r>
    </w:p>
    <w:p w14:paraId="04963A06" w14:textId="3444C59F" w:rsidR="00600535" w:rsidRPr="00B57B36" w:rsidRDefault="00B80683" w:rsidP="00FA5F5F">
      <w:pPr>
        <w:pStyle w:val="CETheadingx"/>
      </w:pPr>
      <w:r>
        <w:t>Morphology and thermal properties</w:t>
      </w:r>
    </w:p>
    <w:p w14:paraId="69E892CE" w14:textId="7E26E68E" w:rsidR="00B37236" w:rsidRPr="00D76B71" w:rsidRDefault="00B37236" w:rsidP="00D76B71">
      <w:pPr>
        <w:pStyle w:val="CETBodytext"/>
      </w:pPr>
      <w:r w:rsidRPr="00D76B71">
        <w:t xml:space="preserve">The images of the precipitates, EBNS and EBWS are shown in Figure 1. The </w:t>
      </w:r>
      <w:r w:rsidR="00D76B71">
        <w:t xml:space="preserve">dimensions of the particles were </w:t>
      </w:r>
      <w:r w:rsidR="00D76B71" w:rsidRPr="00D76B71">
        <w:t>measured using the image analysis software, ImageJ2, where ten particle</w:t>
      </w:r>
      <w:r w:rsidR="00AF3F6F">
        <w:t>s</w:t>
      </w:r>
      <w:r w:rsidR="00D76B71" w:rsidRPr="00D76B71">
        <w:t xml:space="preserve"> were </w:t>
      </w:r>
      <w:r w:rsidR="00D07FBC" w:rsidRPr="00D76B71">
        <w:t>measured</w:t>
      </w:r>
      <w:r w:rsidR="00D76B71" w:rsidRPr="00D76B71">
        <w:t xml:space="preserve"> </w:t>
      </w:r>
      <w:r w:rsidR="00157486">
        <w:t>from</w:t>
      </w:r>
      <w:r w:rsidR="00D76B71" w:rsidRPr="00D76B71">
        <w:t xml:space="preserve"> </w:t>
      </w:r>
      <w:r w:rsidR="00D76B71">
        <w:t xml:space="preserve">a minimum of </w:t>
      </w:r>
      <w:r w:rsidR="00D76B71" w:rsidRPr="00D76B71">
        <w:t>t</w:t>
      </w:r>
      <w:r w:rsidR="00D76B71">
        <w:t>wo</w:t>
      </w:r>
      <w:r w:rsidR="00D76B71" w:rsidRPr="00D76B71">
        <w:t xml:space="preserve"> different SEM images of each sample</w:t>
      </w:r>
      <w:sdt>
        <w:sdtPr>
          <w:id w:val="1612938823"/>
          <w:citation/>
        </w:sdtPr>
        <w:sdtEndPr/>
        <w:sdtContent>
          <w:r w:rsidR="00D76B71" w:rsidRPr="00D76B71">
            <w:fldChar w:fldCharType="begin"/>
          </w:r>
          <w:r w:rsidR="00D76B71" w:rsidRPr="00D76B71">
            <w:instrText xml:space="preserve"> CITATION Rue17 \l 7177 </w:instrText>
          </w:r>
          <w:r w:rsidR="00D76B71" w:rsidRPr="00D76B71">
            <w:fldChar w:fldCharType="separate"/>
          </w:r>
          <w:r w:rsidR="00926F11">
            <w:rPr>
              <w:noProof/>
            </w:rPr>
            <w:t xml:space="preserve"> (Rueden et al., 2017)</w:t>
          </w:r>
          <w:r w:rsidR="00D76B71" w:rsidRPr="00D76B71">
            <w:fldChar w:fldCharType="end"/>
          </w:r>
        </w:sdtContent>
      </w:sdt>
      <w:r w:rsidR="00D76B71" w:rsidRPr="00D76B71">
        <w:t>. The samples were found to have</w:t>
      </w:r>
      <w:r w:rsidR="00D76B71">
        <w:t xml:space="preserve"> slightly </w:t>
      </w:r>
      <w:r w:rsidR="00D76B71" w:rsidRPr="00D76B71">
        <w:t>different aspect ratios</w:t>
      </w:r>
      <w:r w:rsidR="00D76B71">
        <w:t xml:space="preserve"> with the EBNS being higher on average than that of EBWS, 8.7 vs. 7.2, respectively.</w:t>
      </w:r>
      <w:r w:rsidR="00AF3F6F">
        <w:t xml:space="preserve"> The EBNS sample was characterized by uniform thin particles while the EBWS sample ha</w:t>
      </w:r>
      <w:r w:rsidR="00F450B3">
        <w:t>d</w:t>
      </w:r>
      <w:r w:rsidR="00AF3F6F">
        <w:t xml:space="preserve"> wide range of particle thickness and some irregular/spherical particles</w:t>
      </w:r>
      <w:r w:rsidR="001F6030">
        <w:t xml:space="preserve"> (Figure 1b)</w:t>
      </w:r>
      <w:r w:rsidR="00AF3F6F">
        <w:t>.</w:t>
      </w:r>
      <w:r w:rsidR="005353CE">
        <w:t xml:space="preserve"> The observed differences</w:t>
      </w:r>
      <w:r w:rsidR="00B23BC8">
        <w:t xml:space="preserve"> could be attributed to</w:t>
      </w:r>
      <w:r w:rsidR="00C73D08">
        <w:t xml:space="preserve"> the</w:t>
      </w:r>
    </w:p>
    <w:p w14:paraId="7B50013B" w14:textId="0F9C52B7" w:rsidR="00D76B71" w:rsidRPr="00D76B71" w:rsidRDefault="00587DD9" w:rsidP="00D76B71">
      <w:pPr>
        <w:pStyle w:val="CETCaption"/>
        <w:rPr>
          <w:i w:val="0"/>
          <w:iCs/>
        </w:rPr>
      </w:pPr>
      <w:r>
        <w:rPr>
          <w:noProof/>
        </w:rPr>
        <mc:AlternateContent>
          <mc:Choice Requires="wps">
            <w:drawing>
              <wp:anchor distT="0" distB="0" distL="114300" distR="114300" simplePos="0" relativeHeight="251685888" behindDoc="0" locked="0" layoutInCell="1" allowOverlap="1" wp14:anchorId="7B1DF3C5" wp14:editId="3C458099">
                <wp:simplePos x="0" y="0"/>
                <wp:positionH relativeFrom="column">
                  <wp:posOffset>4460649</wp:posOffset>
                </wp:positionH>
                <wp:positionV relativeFrom="paragraph">
                  <wp:posOffset>1880346</wp:posOffset>
                </wp:positionV>
                <wp:extent cx="334429" cy="101005"/>
                <wp:effectExtent l="0" t="76200" r="8890" b="89535"/>
                <wp:wrapNone/>
                <wp:docPr id="1288927275" name="Arrow: Right 8"/>
                <wp:cNvGraphicFramePr/>
                <a:graphic xmlns:a="http://schemas.openxmlformats.org/drawingml/2006/main">
                  <a:graphicData uri="http://schemas.microsoft.com/office/word/2010/wordprocessingShape">
                    <wps:wsp>
                      <wps:cNvSpPr/>
                      <wps:spPr>
                        <a:xfrm rot="12742996">
                          <a:off x="0" y="0"/>
                          <a:ext cx="334429" cy="101005"/>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AED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351.25pt;margin-top:148.05pt;width:26.35pt;height:7.95pt;rotation:-967421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" adj="18338" fillcolor="black [3213]" strokecolor="black [3213]" strokeweight="2pt"/>
            </w:pict>
          </mc:Fallback>
        </mc:AlternateContent>
      </w:r>
      <w:r>
        <w:rPr>
          <w:noProof/>
        </w:rPr>
        <mc:AlternateContent>
          <mc:Choice Requires="wps">
            <w:drawing>
              <wp:anchor distT="0" distB="0" distL="114300" distR="114300" simplePos="0" relativeHeight="251683840" behindDoc="0" locked="0" layoutInCell="1" allowOverlap="1" wp14:anchorId="164B71EC" wp14:editId="1FDD4D18">
                <wp:simplePos x="0" y="0"/>
                <wp:positionH relativeFrom="column">
                  <wp:posOffset>4701692</wp:posOffset>
                </wp:positionH>
                <wp:positionV relativeFrom="paragraph">
                  <wp:posOffset>1148508</wp:posOffset>
                </wp:positionV>
                <wp:extent cx="334429" cy="101005"/>
                <wp:effectExtent l="21272" t="16828" r="49213" b="30162"/>
                <wp:wrapNone/>
                <wp:docPr id="1006930500" name="Arrow: Right 8"/>
                <wp:cNvGraphicFramePr/>
                <a:graphic xmlns:a="http://schemas.openxmlformats.org/drawingml/2006/main">
                  <a:graphicData uri="http://schemas.microsoft.com/office/word/2010/wordprocessingShape">
                    <wps:wsp>
                      <wps:cNvSpPr/>
                      <wps:spPr>
                        <a:xfrm rot="4739432">
                          <a:off x="0" y="0"/>
                          <a:ext cx="334429" cy="101005"/>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EC8F" id="Arrow: Right 8" o:spid="_x0000_s1026" type="#_x0000_t13" style="position:absolute;margin-left:370.2pt;margin-top:90.45pt;width:26.35pt;height:7.95pt;rotation:517672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" adj="18338" fillcolor="black [3213]" strokecolor="black [3213]" strokeweight="2pt"/>
            </w:pict>
          </mc:Fallback>
        </mc:AlternateContent>
      </w:r>
      <w:r w:rsidR="00E15729">
        <w:rPr>
          <w:noProof/>
        </w:rPr>
        <mc:AlternateContent>
          <mc:Choice Requires="wps">
            <w:drawing>
              <wp:anchor distT="0" distB="0" distL="114300" distR="114300" simplePos="0" relativeHeight="251681792" behindDoc="0" locked="0" layoutInCell="1" allowOverlap="1" wp14:anchorId="178E48DD" wp14:editId="7268A770">
                <wp:simplePos x="0" y="0"/>
                <wp:positionH relativeFrom="column">
                  <wp:posOffset>4645826</wp:posOffset>
                </wp:positionH>
                <wp:positionV relativeFrom="paragraph">
                  <wp:posOffset>568821</wp:posOffset>
                </wp:positionV>
                <wp:extent cx="334429" cy="101005"/>
                <wp:effectExtent l="0" t="76200" r="8890" b="89535"/>
                <wp:wrapNone/>
                <wp:docPr id="1675236759" name="Arrow: Right 8"/>
                <wp:cNvGraphicFramePr/>
                <a:graphic xmlns:a="http://schemas.openxmlformats.org/drawingml/2006/main">
                  <a:graphicData uri="http://schemas.microsoft.com/office/word/2010/wordprocessingShape">
                    <wps:wsp>
                      <wps:cNvSpPr/>
                      <wps:spPr>
                        <a:xfrm rot="12742996">
                          <a:off x="0" y="0"/>
                          <a:ext cx="334429" cy="101005"/>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7F32" id="Arrow: Right 8" o:spid="_x0000_s1026" type="#_x0000_t13" style="position:absolute;margin-left:365.8pt;margin-top:44.8pt;width:26.35pt;height:7.95pt;rotation:-967421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" adj="18338" fillcolor="black [3213]" strokecolor="black [3213]" strokeweight="2pt"/>
            </w:pict>
          </mc:Fallback>
        </mc:AlternateContent>
      </w:r>
      <w:r w:rsidR="00064A0A">
        <w:rPr>
          <w:noProof/>
        </w:rPr>
        <mc:AlternateContent>
          <mc:Choice Requires="wps">
            <w:drawing>
              <wp:anchor distT="0" distB="0" distL="114300" distR="114300" simplePos="0" relativeHeight="251679744" behindDoc="0" locked="0" layoutInCell="1" allowOverlap="1" wp14:anchorId="4CF0AFA2" wp14:editId="3B35A33A">
                <wp:simplePos x="0" y="0"/>
                <wp:positionH relativeFrom="column">
                  <wp:posOffset>4395110</wp:posOffset>
                </wp:positionH>
                <wp:positionV relativeFrom="paragraph">
                  <wp:posOffset>1047860</wp:posOffset>
                </wp:positionV>
                <wp:extent cx="334429" cy="101005"/>
                <wp:effectExtent l="0" t="76200" r="8890" b="89535"/>
                <wp:wrapNone/>
                <wp:docPr id="1002999666" name="Arrow: Right 8"/>
                <wp:cNvGraphicFramePr/>
                <a:graphic xmlns:a="http://schemas.openxmlformats.org/drawingml/2006/main">
                  <a:graphicData uri="http://schemas.microsoft.com/office/word/2010/wordprocessingShape">
                    <wps:wsp>
                      <wps:cNvSpPr/>
                      <wps:spPr>
                        <a:xfrm rot="12742996">
                          <a:off x="0" y="0"/>
                          <a:ext cx="334429" cy="101005"/>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627F0" id="Arrow: Right 8" o:spid="_x0000_s1026" type="#_x0000_t13" style="position:absolute;margin-left:346.05pt;margin-top:82.5pt;width:26.35pt;height:7.95pt;rotation:-967421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" adj="18338" fillcolor="black [3213]" strokecolor="black [3213]" strokeweight="2pt"/>
            </w:pict>
          </mc:Fallback>
        </mc:AlternateContent>
      </w:r>
      <w:r w:rsidR="003878EC">
        <w:rPr>
          <w:noProof/>
        </w:rPr>
        <mc:AlternateContent>
          <mc:Choice Requires="wps">
            <w:drawing>
              <wp:anchor distT="0" distB="0" distL="114300" distR="114300" simplePos="0" relativeHeight="251661312" behindDoc="0" locked="0" layoutInCell="1" allowOverlap="1" wp14:anchorId="56904035" wp14:editId="0A4C53C5">
                <wp:simplePos x="0" y="0"/>
                <wp:positionH relativeFrom="column">
                  <wp:posOffset>4862830</wp:posOffset>
                </wp:positionH>
                <wp:positionV relativeFrom="paragraph">
                  <wp:posOffset>170180</wp:posOffset>
                </wp:positionV>
                <wp:extent cx="914400" cy="330200"/>
                <wp:effectExtent l="0" t="0" r="0" b="0"/>
                <wp:wrapNone/>
                <wp:docPr id="103007184" name="Text Box 3"/>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wps:spPr>
                      <wps:txbx>
                        <w:txbxContent>
                          <w:p w14:paraId="632DBBF6" w14:textId="0A289219" w:rsidR="003878EC" w:rsidRPr="003878EC" w:rsidRDefault="003878EC" w:rsidP="003878EC">
                            <w:pPr>
                              <w:rPr>
                                <w:b/>
                                <w:bCs/>
                                <w:color w:val="FFFFFF" w:themeColor="background1"/>
                                <w:sz w:val="28"/>
                                <w:szCs w:val="28"/>
                                <w:lang w:val="en-ZA"/>
                              </w:rPr>
                            </w:pPr>
                            <w:r w:rsidRPr="003878EC">
                              <w:rPr>
                                <w:b/>
                                <w:bCs/>
                                <w:color w:val="FFFFFF" w:themeColor="background1"/>
                                <w:sz w:val="28"/>
                                <w:szCs w:val="28"/>
                                <w:lang w:val="en-ZA"/>
                              </w:rPr>
                              <w:t>(</w:t>
                            </w:r>
                            <w:r>
                              <w:rPr>
                                <w:b/>
                                <w:bCs/>
                                <w:color w:val="FFFFFF" w:themeColor="background1"/>
                                <w:sz w:val="28"/>
                                <w:szCs w:val="28"/>
                                <w:lang w:val="en-ZA"/>
                              </w:rPr>
                              <w:t>b</w:t>
                            </w:r>
                            <w:r w:rsidRPr="003878EC">
                              <w:rPr>
                                <w:b/>
                                <w:bCs/>
                                <w:color w:val="FFFFFF" w:themeColor="background1"/>
                                <w:sz w:val="28"/>
                                <w:szCs w:val="28"/>
                                <w:lang w:val="en-Z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904035" id="_x0000_t202" coordsize="21600,21600" o:spt="202" path="m,l,21600r21600,l21600,xe">
                <v:stroke joinstyle="miter"/>
                <v:path gradientshapeok="t" o:connecttype="rect"/>
              </v:shapetype>
              <v:shape id="Text Box 3" o:spid="_x0000_s1026" type="#_x0000_t202" style="position:absolute;left:0;text-align:left;margin-left:382.9pt;margin-top:13.4pt;width:1in;height:2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" filled="f" stroked="f" strokeweight=".5pt">
                <v:textbox>
                  <w:txbxContent>
                    <w:p w14:paraId="632DBBF6" w14:textId="0A289219" w:rsidR="003878EC" w:rsidRPr="003878EC" w:rsidRDefault="003878EC" w:rsidP="003878EC">
                      <w:pPr>
                        <w:rPr>
                          <w:b/>
                          <w:bCs/>
                          <w:color w:val="FFFFFF" w:themeColor="background1"/>
                          <w:sz w:val="28"/>
                          <w:szCs w:val="28"/>
                          <w:lang w:val="en-ZA"/>
                        </w:rPr>
                      </w:pPr>
                      <w:r w:rsidRPr="003878EC">
                        <w:rPr>
                          <w:b/>
                          <w:bCs/>
                          <w:color w:val="FFFFFF" w:themeColor="background1"/>
                          <w:sz w:val="28"/>
                          <w:szCs w:val="28"/>
                          <w:lang w:val="en-ZA"/>
                        </w:rPr>
                        <w:t>(</w:t>
                      </w:r>
                      <w:r>
                        <w:rPr>
                          <w:b/>
                          <w:bCs/>
                          <w:color w:val="FFFFFF" w:themeColor="background1"/>
                          <w:sz w:val="28"/>
                          <w:szCs w:val="28"/>
                          <w:lang w:val="en-ZA"/>
                        </w:rPr>
                        <w:t>b</w:t>
                      </w:r>
                      <w:r w:rsidRPr="003878EC">
                        <w:rPr>
                          <w:b/>
                          <w:bCs/>
                          <w:color w:val="FFFFFF" w:themeColor="background1"/>
                          <w:sz w:val="28"/>
                          <w:szCs w:val="28"/>
                          <w:lang w:val="en-ZA"/>
                        </w:rPr>
                        <w:t>)</w:t>
                      </w:r>
                    </w:p>
                  </w:txbxContent>
                </v:textbox>
              </v:shape>
            </w:pict>
          </mc:Fallback>
        </mc:AlternateContent>
      </w:r>
      <w:r w:rsidR="003878EC">
        <w:rPr>
          <w:noProof/>
        </w:rPr>
        <mc:AlternateContent>
          <mc:Choice Requires="wps">
            <w:drawing>
              <wp:anchor distT="0" distB="0" distL="114300" distR="114300" simplePos="0" relativeHeight="251659264" behindDoc="0" locked="0" layoutInCell="1" allowOverlap="1" wp14:anchorId="2EB14964" wp14:editId="0E346A59">
                <wp:simplePos x="0" y="0"/>
                <wp:positionH relativeFrom="column">
                  <wp:posOffset>2164715</wp:posOffset>
                </wp:positionH>
                <wp:positionV relativeFrom="paragraph">
                  <wp:posOffset>170180</wp:posOffset>
                </wp:positionV>
                <wp:extent cx="914400" cy="330200"/>
                <wp:effectExtent l="0" t="0" r="0" b="0"/>
                <wp:wrapNone/>
                <wp:docPr id="1951220803" name="Text Box 3"/>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wps:spPr>
                      <wps:txbx>
                        <w:txbxContent>
                          <w:p w14:paraId="49CA65DF" w14:textId="03A7500D" w:rsidR="003878EC" w:rsidRPr="003878EC" w:rsidRDefault="003878EC">
                            <w:pPr>
                              <w:rPr>
                                <w:b/>
                                <w:bCs/>
                                <w:color w:val="FFFFFF" w:themeColor="background1"/>
                                <w:sz w:val="28"/>
                                <w:szCs w:val="28"/>
                                <w:lang w:val="en-ZA"/>
                              </w:rPr>
                            </w:pPr>
                            <w:r w:rsidRPr="003878EC">
                              <w:rPr>
                                <w:b/>
                                <w:bCs/>
                                <w:color w:val="FFFFFF" w:themeColor="background1"/>
                                <w:sz w:val="28"/>
                                <w:szCs w:val="28"/>
                                <w:lang w:val="en-Z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14964" id="_x0000_s1027" type="#_x0000_t202" style="position:absolute;left:0;text-align:left;margin-left:170.45pt;margin-top:13.4pt;width:1in;height:2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" filled="f" stroked="f" strokeweight=".5pt">
                <v:textbox>
                  <w:txbxContent>
                    <w:p w14:paraId="49CA65DF" w14:textId="03A7500D" w:rsidR="003878EC" w:rsidRPr="003878EC" w:rsidRDefault="003878EC">
                      <w:pPr>
                        <w:rPr>
                          <w:b/>
                          <w:bCs/>
                          <w:color w:val="FFFFFF" w:themeColor="background1"/>
                          <w:sz w:val="28"/>
                          <w:szCs w:val="28"/>
                          <w:lang w:val="en-ZA"/>
                        </w:rPr>
                      </w:pPr>
                      <w:r w:rsidRPr="003878EC">
                        <w:rPr>
                          <w:b/>
                          <w:bCs/>
                          <w:color w:val="FFFFFF" w:themeColor="background1"/>
                          <w:sz w:val="28"/>
                          <w:szCs w:val="28"/>
                          <w:lang w:val="en-ZA"/>
                        </w:rPr>
                        <w:t>(a)</w:t>
                      </w:r>
                    </w:p>
                  </w:txbxContent>
                </v:textbox>
              </v:shape>
            </w:pict>
          </mc:Fallback>
        </mc:AlternateContent>
      </w:r>
      <w:r w:rsidR="00D76B71">
        <w:rPr>
          <w:noProof/>
        </w:rPr>
        <w:drawing>
          <wp:inline distT="0" distB="0" distL="0" distR="0" wp14:anchorId="1B1B7811" wp14:editId="34DC2648">
            <wp:extent cx="2622550" cy="2528515"/>
            <wp:effectExtent l="0" t="0" r="6350" b="5715"/>
            <wp:docPr id="38465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821" cy="2549988"/>
                    </a:xfrm>
                    <a:prstGeom prst="rect">
                      <a:avLst/>
                    </a:prstGeom>
                    <a:noFill/>
                    <a:ln>
                      <a:noFill/>
                    </a:ln>
                  </pic:spPr>
                </pic:pic>
              </a:graphicData>
            </a:graphic>
          </wp:inline>
        </w:drawing>
      </w:r>
      <w:r w:rsidR="00D76B71">
        <w:rPr>
          <w:noProof/>
        </w:rPr>
        <w:drawing>
          <wp:inline distT="0" distB="0" distL="0" distR="0" wp14:anchorId="1EEDD3DA" wp14:editId="316F1DCA">
            <wp:extent cx="2640965" cy="2528515"/>
            <wp:effectExtent l="0" t="0" r="6985" b="5715"/>
            <wp:docPr id="1047468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9133" cy="2555483"/>
                    </a:xfrm>
                    <a:prstGeom prst="rect">
                      <a:avLst/>
                    </a:prstGeom>
                    <a:noFill/>
                    <a:ln>
                      <a:noFill/>
                    </a:ln>
                  </pic:spPr>
                </pic:pic>
              </a:graphicData>
            </a:graphic>
          </wp:inline>
        </w:drawing>
      </w:r>
    </w:p>
    <w:p w14:paraId="474C3F5A" w14:textId="6DB7A0A1" w:rsidR="00D76B71" w:rsidRPr="00BD077D" w:rsidRDefault="00E915B8" w:rsidP="00D76B71">
      <w:pPr>
        <w:pStyle w:val="CETCaption"/>
      </w:pPr>
      <w:r>
        <w:rPr>
          <w:noProof/>
        </w:rPr>
        <mc:AlternateContent>
          <mc:Choice Requires="wps">
            <w:drawing>
              <wp:anchor distT="0" distB="0" distL="114300" distR="114300" simplePos="0" relativeHeight="251672576" behindDoc="0" locked="0" layoutInCell="1" allowOverlap="1" wp14:anchorId="5F10354B" wp14:editId="0F3433AC">
                <wp:simplePos x="0" y="0"/>
                <wp:positionH relativeFrom="margin">
                  <wp:posOffset>2581275</wp:posOffset>
                </wp:positionH>
                <wp:positionV relativeFrom="paragraph">
                  <wp:posOffset>139700</wp:posOffset>
                </wp:positionV>
                <wp:extent cx="914400" cy="330200"/>
                <wp:effectExtent l="0" t="0" r="2540" b="0"/>
                <wp:wrapNone/>
                <wp:docPr id="1730840709" name="Text Box 3"/>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chemeClr val="bg1"/>
                        </a:solidFill>
                        <a:ln w="6350">
                          <a:noFill/>
                        </a:ln>
                      </wps:spPr>
                      <wps:txbx>
                        <w:txbxContent>
                          <w:p w14:paraId="3EE2D534" w14:textId="188E1B52" w:rsidR="00E915B8" w:rsidRPr="00E915B8" w:rsidRDefault="00E915B8" w:rsidP="00E915B8">
                            <w:pPr>
                              <w:rPr>
                                <w:b/>
                                <w:bCs/>
                                <w:sz w:val="28"/>
                                <w:szCs w:val="28"/>
                                <w:lang w:val="en-ZA"/>
                              </w:rPr>
                            </w:pPr>
                            <w:r w:rsidRPr="00E915B8">
                              <w:rPr>
                                <w:b/>
                                <w:bCs/>
                                <w:sz w:val="28"/>
                                <w:szCs w:val="28"/>
                                <w:lang w:val="en-ZA"/>
                              </w:rPr>
                              <w:t>(</w:t>
                            </w:r>
                            <w:r>
                              <w:rPr>
                                <w:b/>
                                <w:bCs/>
                                <w:sz w:val="28"/>
                                <w:szCs w:val="28"/>
                                <w:lang w:val="en-ZA"/>
                              </w:rPr>
                              <w:t>b</w:t>
                            </w:r>
                            <w:r w:rsidRPr="00E915B8">
                              <w:rPr>
                                <w:b/>
                                <w:bCs/>
                                <w:sz w:val="28"/>
                                <w:szCs w:val="28"/>
                                <w:lang w:val="en-Z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0354B" id="_x0000_s1028" type="#_x0000_t202" style="position:absolute;left:0;text-align:left;margin-left:203.25pt;margin-top:11pt;width:1in;height:26pt;z-index:2516725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" fillcolor="white [3212]" stroked="f" strokeweight=".5pt">
                <v:textbox>
                  <w:txbxContent>
                    <w:p w14:paraId="3EE2D534" w14:textId="188E1B52" w:rsidR="00E915B8" w:rsidRPr="00E915B8" w:rsidRDefault="00E915B8" w:rsidP="00E915B8">
                      <w:pPr>
                        <w:rPr>
                          <w:b/>
                          <w:bCs/>
                          <w:sz w:val="28"/>
                          <w:szCs w:val="28"/>
                          <w:lang w:val="en-ZA"/>
                        </w:rPr>
                      </w:pPr>
                      <w:r w:rsidRPr="00E915B8">
                        <w:rPr>
                          <w:b/>
                          <w:bCs/>
                          <w:sz w:val="28"/>
                          <w:szCs w:val="28"/>
                          <w:lang w:val="en-ZA"/>
                        </w:rPr>
                        <w:t>(</w:t>
                      </w:r>
                      <w:r>
                        <w:rPr>
                          <w:b/>
                          <w:bCs/>
                          <w:sz w:val="28"/>
                          <w:szCs w:val="28"/>
                          <w:lang w:val="en-ZA"/>
                        </w:rPr>
                        <w:t>b</w:t>
                      </w:r>
                      <w:r w:rsidRPr="00E915B8">
                        <w:rPr>
                          <w:b/>
                          <w:bCs/>
                          <w:sz w:val="28"/>
                          <w:szCs w:val="28"/>
                          <w:lang w:val="en-ZA"/>
                        </w:rPr>
                        <w:t>)</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4F1A684" wp14:editId="27AA7920">
                <wp:simplePos x="0" y="0"/>
                <wp:positionH relativeFrom="column">
                  <wp:posOffset>767715</wp:posOffset>
                </wp:positionH>
                <wp:positionV relativeFrom="paragraph">
                  <wp:posOffset>158750</wp:posOffset>
                </wp:positionV>
                <wp:extent cx="914400" cy="330200"/>
                <wp:effectExtent l="0" t="0" r="0" b="0"/>
                <wp:wrapNone/>
                <wp:docPr id="1536706163" name="Text Box 3"/>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chemeClr val="bg1"/>
                        </a:solidFill>
                        <a:ln w="6350">
                          <a:noFill/>
                        </a:ln>
                      </wps:spPr>
                      <wps:txbx>
                        <w:txbxContent>
                          <w:p w14:paraId="0CF6A33D" w14:textId="77777777" w:rsidR="00E915B8" w:rsidRPr="00E915B8" w:rsidRDefault="00E915B8" w:rsidP="00E915B8">
                            <w:pPr>
                              <w:rPr>
                                <w:b/>
                                <w:bCs/>
                                <w:sz w:val="28"/>
                                <w:szCs w:val="28"/>
                                <w:lang w:val="en-ZA"/>
                              </w:rPr>
                            </w:pPr>
                            <w:r w:rsidRPr="00E915B8">
                              <w:rPr>
                                <w:b/>
                                <w:bCs/>
                                <w:sz w:val="28"/>
                                <w:szCs w:val="28"/>
                                <w:lang w:val="en-Z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1A684" id="_x0000_s1029" type="#_x0000_t202" style="position:absolute;left:0;text-align:left;margin-left:60.45pt;margin-top:12.5pt;width:1in;height:26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" fillcolor="white [3212]" stroked="f" strokeweight=".5pt">
                <v:textbox>
                  <w:txbxContent>
                    <w:p w14:paraId="0CF6A33D" w14:textId="77777777" w:rsidR="00E915B8" w:rsidRPr="00E915B8" w:rsidRDefault="00E915B8" w:rsidP="00E915B8">
                      <w:pPr>
                        <w:rPr>
                          <w:b/>
                          <w:bCs/>
                          <w:sz w:val="28"/>
                          <w:szCs w:val="28"/>
                          <w:lang w:val="en-ZA"/>
                        </w:rPr>
                      </w:pPr>
                      <w:r w:rsidRPr="00E915B8">
                        <w:rPr>
                          <w:b/>
                          <w:bCs/>
                          <w:sz w:val="28"/>
                          <w:szCs w:val="28"/>
                          <w:lang w:val="en-ZA"/>
                        </w:rPr>
                        <w:t>(a)</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A08B073" wp14:editId="4B88BFF7">
                <wp:simplePos x="0" y="0"/>
                <wp:positionH relativeFrom="column">
                  <wp:posOffset>4470400</wp:posOffset>
                </wp:positionH>
                <wp:positionV relativeFrom="paragraph">
                  <wp:posOffset>147955</wp:posOffset>
                </wp:positionV>
                <wp:extent cx="914400" cy="330200"/>
                <wp:effectExtent l="0" t="0" r="0" b="0"/>
                <wp:wrapNone/>
                <wp:docPr id="1081176621" name="Text Box 3"/>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chemeClr val="bg1"/>
                        </a:solidFill>
                        <a:ln w="6350">
                          <a:noFill/>
                        </a:ln>
                      </wps:spPr>
                      <wps:txbx>
                        <w:txbxContent>
                          <w:p w14:paraId="1EBAD4F5" w14:textId="04C3BDAB" w:rsidR="00E915B8" w:rsidRPr="00E915B8" w:rsidRDefault="00E915B8" w:rsidP="00E915B8">
                            <w:pPr>
                              <w:rPr>
                                <w:b/>
                                <w:bCs/>
                                <w:sz w:val="28"/>
                                <w:szCs w:val="28"/>
                                <w:lang w:val="en-ZA"/>
                              </w:rPr>
                            </w:pPr>
                            <w:r w:rsidRPr="00E915B8">
                              <w:rPr>
                                <w:b/>
                                <w:bCs/>
                                <w:sz w:val="28"/>
                                <w:szCs w:val="28"/>
                                <w:lang w:val="en-ZA"/>
                              </w:rPr>
                              <w:t>(</w:t>
                            </w:r>
                            <w:r>
                              <w:rPr>
                                <w:b/>
                                <w:bCs/>
                                <w:sz w:val="28"/>
                                <w:szCs w:val="28"/>
                                <w:lang w:val="en-ZA"/>
                              </w:rPr>
                              <w:t>c</w:t>
                            </w:r>
                            <w:r w:rsidRPr="00E915B8">
                              <w:rPr>
                                <w:b/>
                                <w:bCs/>
                                <w:sz w:val="28"/>
                                <w:szCs w:val="28"/>
                                <w:lang w:val="en-Z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8B073" id="_x0000_s1030" type="#_x0000_t202" style="position:absolute;left:0;text-align:left;margin-left:352pt;margin-top:11.65pt;width:1in;height:26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" fillcolor="white [3212]" stroked="f" strokeweight=".5pt">
                <v:textbox>
                  <w:txbxContent>
                    <w:p w14:paraId="1EBAD4F5" w14:textId="04C3BDAB" w:rsidR="00E915B8" w:rsidRPr="00E915B8" w:rsidRDefault="00E915B8" w:rsidP="00E915B8">
                      <w:pPr>
                        <w:rPr>
                          <w:b/>
                          <w:bCs/>
                          <w:sz w:val="28"/>
                          <w:szCs w:val="28"/>
                          <w:lang w:val="en-ZA"/>
                        </w:rPr>
                      </w:pPr>
                      <w:r w:rsidRPr="00E915B8">
                        <w:rPr>
                          <w:b/>
                          <w:bCs/>
                          <w:sz w:val="28"/>
                          <w:szCs w:val="28"/>
                          <w:lang w:val="en-ZA"/>
                        </w:rPr>
                        <w:t>(</w:t>
                      </w:r>
                      <w:r>
                        <w:rPr>
                          <w:b/>
                          <w:bCs/>
                          <w:sz w:val="28"/>
                          <w:szCs w:val="28"/>
                          <w:lang w:val="en-ZA"/>
                        </w:rPr>
                        <w:t>c</w:t>
                      </w:r>
                      <w:r w:rsidRPr="00E915B8">
                        <w:rPr>
                          <w:b/>
                          <w:bCs/>
                          <w:sz w:val="28"/>
                          <w:szCs w:val="28"/>
                          <w:lang w:val="en-ZA"/>
                        </w:rPr>
                        <w:t>)</w:t>
                      </w:r>
                    </w:p>
                  </w:txbxContent>
                </v:textbox>
              </v:shape>
            </w:pict>
          </mc:Fallback>
        </mc:AlternateContent>
      </w:r>
      <w:r w:rsidRPr="00AF3F6F">
        <w:rPr>
          <w:noProof/>
        </w:rPr>
        <w:drawing>
          <wp:anchor distT="0" distB="0" distL="114300" distR="114300" simplePos="0" relativeHeight="251665408" behindDoc="1" locked="0" layoutInCell="1" allowOverlap="1" wp14:anchorId="3F1FD44C" wp14:editId="789A545D">
            <wp:simplePos x="0" y="0"/>
            <wp:positionH relativeFrom="column">
              <wp:posOffset>1901190</wp:posOffset>
            </wp:positionH>
            <wp:positionV relativeFrom="paragraph">
              <wp:posOffset>201295</wp:posOffset>
            </wp:positionV>
            <wp:extent cx="1860550" cy="2127250"/>
            <wp:effectExtent l="0" t="0" r="6350" b="6350"/>
            <wp:wrapNone/>
            <wp:docPr id="8" name="Picture 7">
              <a:extLst xmlns:a="http://schemas.openxmlformats.org/drawingml/2006/main">
                <a:ext uri="{FF2B5EF4-FFF2-40B4-BE49-F238E27FC236}">
                  <a16:creationId xmlns:a16="http://schemas.microsoft.com/office/drawing/2014/main" id="{808BC272-C001-E072-DCCD-FF4D9FEC9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8BC272-C001-E072-DCCD-FF4D9FEC90C4}"/>
                        </a:ext>
                      </a:extLst>
                    </pic:cNvPr>
                    <pic:cNvPicPr>
                      <a:picLocks noChangeAspect="1"/>
                    </pic:cNvPicPr>
                  </pic:nvPicPr>
                  <pic:blipFill>
                    <a:blip r:embed="rId12"/>
                    <a:stretch>
                      <a:fillRect/>
                    </a:stretch>
                  </pic:blipFill>
                  <pic:spPr>
                    <a:xfrm>
                      <a:off x="0" y="0"/>
                      <a:ext cx="1860550" cy="2127250"/>
                    </a:xfrm>
                    <a:prstGeom prst="rect">
                      <a:avLst/>
                    </a:prstGeom>
                  </pic:spPr>
                </pic:pic>
              </a:graphicData>
            </a:graphic>
            <wp14:sizeRelH relativeFrom="margin">
              <wp14:pctWidth>0</wp14:pctWidth>
            </wp14:sizeRelH>
            <wp14:sizeRelV relativeFrom="margin">
              <wp14:pctHeight>0</wp14:pctHeight>
            </wp14:sizeRelV>
          </wp:anchor>
        </w:drawing>
      </w:r>
      <w:r w:rsidRPr="00AF3F6F">
        <w:rPr>
          <w:noProof/>
        </w:rPr>
        <w:drawing>
          <wp:anchor distT="0" distB="0" distL="114300" distR="114300" simplePos="0" relativeHeight="251663360" behindDoc="1" locked="0" layoutInCell="1" allowOverlap="1" wp14:anchorId="0B1CDEE6" wp14:editId="53A378EF">
            <wp:simplePos x="0" y="0"/>
            <wp:positionH relativeFrom="margin">
              <wp:posOffset>635</wp:posOffset>
            </wp:positionH>
            <wp:positionV relativeFrom="paragraph">
              <wp:posOffset>224790</wp:posOffset>
            </wp:positionV>
            <wp:extent cx="1930400" cy="2114550"/>
            <wp:effectExtent l="0" t="0" r="0" b="0"/>
            <wp:wrapNone/>
            <wp:docPr id="3" name="Picture 2">
              <a:extLst xmlns:a="http://schemas.openxmlformats.org/drawingml/2006/main">
                <a:ext uri="{FF2B5EF4-FFF2-40B4-BE49-F238E27FC236}">
                  <a16:creationId xmlns:a16="http://schemas.microsoft.com/office/drawing/2014/main" id="{9CFAF6A0-14C0-F476-322C-CF0B23625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CFAF6A0-14C0-F476-322C-CF0B2362534A}"/>
                        </a:ext>
                      </a:extLst>
                    </pic:cNvPr>
                    <pic:cNvPicPr>
                      <a:picLocks noChangeAspect="1"/>
                    </pic:cNvPicPr>
                  </pic:nvPicPr>
                  <pic:blipFill>
                    <a:blip r:embed="rId13"/>
                    <a:stretch>
                      <a:fillRect/>
                    </a:stretch>
                  </pic:blipFill>
                  <pic:spPr>
                    <a:xfrm>
                      <a:off x="0" y="0"/>
                      <a:ext cx="1930400" cy="2114550"/>
                    </a:xfrm>
                    <a:prstGeom prst="rect">
                      <a:avLst/>
                    </a:prstGeom>
                  </pic:spPr>
                </pic:pic>
              </a:graphicData>
            </a:graphic>
            <wp14:sizeRelH relativeFrom="margin">
              <wp14:pctWidth>0</wp14:pctWidth>
            </wp14:sizeRelH>
            <wp14:sizeRelV relativeFrom="margin">
              <wp14:pctHeight>0</wp14:pctHeight>
            </wp14:sizeRelV>
          </wp:anchor>
        </w:drawing>
      </w:r>
      <w:r w:rsidR="00AF3F6F" w:rsidRPr="00AF3F6F">
        <w:rPr>
          <w:noProof/>
        </w:rPr>
        <w:drawing>
          <wp:anchor distT="0" distB="0" distL="114300" distR="114300" simplePos="0" relativeHeight="251667456" behindDoc="1" locked="0" layoutInCell="1" allowOverlap="1" wp14:anchorId="2EE49383" wp14:editId="41633A1F">
            <wp:simplePos x="0" y="0"/>
            <wp:positionH relativeFrom="margin">
              <wp:align>right</wp:align>
            </wp:positionH>
            <wp:positionV relativeFrom="paragraph">
              <wp:posOffset>215900</wp:posOffset>
            </wp:positionV>
            <wp:extent cx="1860550" cy="2114550"/>
            <wp:effectExtent l="0" t="0" r="6350" b="0"/>
            <wp:wrapNone/>
            <wp:docPr id="10" name="Picture 9">
              <a:extLst xmlns:a="http://schemas.openxmlformats.org/drawingml/2006/main">
                <a:ext uri="{FF2B5EF4-FFF2-40B4-BE49-F238E27FC236}">
                  <a16:creationId xmlns:a16="http://schemas.microsoft.com/office/drawing/2014/main" id="{4FA1F19E-771F-C45F-2EE6-2553ACD09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FA1F19E-771F-C45F-2EE6-2553ACD0924F}"/>
                        </a:ext>
                      </a:extLst>
                    </pic:cNvPr>
                    <pic:cNvPicPr>
                      <a:picLocks noChangeAspect="1"/>
                    </pic:cNvPicPr>
                  </pic:nvPicPr>
                  <pic:blipFill>
                    <a:blip r:embed="rId14"/>
                    <a:stretch>
                      <a:fillRect/>
                    </a:stretch>
                  </pic:blipFill>
                  <pic:spPr>
                    <a:xfrm>
                      <a:off x="0" y="0"/>
                      <a:ext cx="1860550" cy="2114550"/>
                    </a:xfrm>
                    <a:prstGeom prst="rect">
                      <a:avLst/>
                    </a:prstGeom>
                  </pic:spPr>
                </pic:pic>
              </a:graphicData>
            </a:graphic>
            <wp14:sizeRelH relativeFrom="margin">
              <wp14:pctWidth>0</wp14:pctWidth>
            </wp14:sizeRelH>
            <wp14:sizeRelV relativeFrom="margin">
              <wp14:pctHeight>0</wp14:pctHeight>
            </wp14:sizeRelV>
          </wp:anchor>
        </w:drawing>
      </w:r>
      <w:r w:rsidR="00D76B71" w:rsidRPr="00BD077D">
        <w:rPr>
          <w:rStyle w:val="CETCaptionCarattere"/>
          <w:i/>
        </w:rPr>
        <w:t xml:space="preserve">Figure 1: </w:t>
      </w:r>
      <w:r w:rsidR="00D76B71">
        <w:rPr>
          <w:rStyle w:val="CETCaptionCarattere"/>
          <w:i/>
        </w:rPr>
        <w:t xml:space="preserve">SEM images of the </w:t>
      </w:r>
      <w:r w:rsidR="00E915B6">
        <w:rPr>
          <w:rStyle w:val="CETCaptionCarattere"/>
          <w:i/>
        </w:rPr>
        <w:t>particles</w:t>
      </w:r>
      <w:r w:rsidR="00D76B71">
        <w:rPr>
          <w:rStyle w:val="CETCaptionCarattere"/>
          <w:i/>
        </w:rPr>
        <w:t xml:space="preserve"> recovered from the Eastern basin AMD (a) EBNS and (b) EBWS</w:t>
      </w:r>
      <w:r w:rsidR="00D76B71" w:rsidRPr="00BD077D">
        <w:t xml:space="preserve"> </w:t>
      </w:r>
    </w:p>
    <w:p w14:paraId="15550FE8" w14:textId="7E60AD64" w:rsidR="00D76B71" w:rsidRDefault="00D76B71" w:rsidP="00600535">
      <w:pPr>
        <w:pStyle w:val="CETBodytext"/>
        <w:rPr>
          <w:lang w:val="en-GB"/>
        </w:rPr>
      </w:pPr>
    </w:p>
    <w:p w14:paraId="2BA68461" w14:textId="625D8788" w:rsidR="00AF3F6F" w:rsidRDefault="00AF3F6F" w:rsidP="00600535">
      <w:pPr>
        <w:pStyle w:val="CETBodytext"/>
        <w:rPr>
          <w:lang w:val="en-GB"/>
        </w:rPr>
      </w:pPr>
    </w:p>
    <w:p w14:paraId="3193BDBB" w14:textId="2BB02925" w:rsidR="00AF3F6F" w:rsidRDefault="00AF3F6F" w:rsidP="00600535">
      <w:pPr>
        <w:pStyle w:val="CETBodytext"/>
        <w:rPr>
          <w:lang w:val="en-GB"/>
        </w:rPr>
      </w:pPr>
    </w:p>
    <w:p w14:paraId="08E2F0EE" w14:textId="7E068268" w:rsidR="00AF3F6F" w:rsidRDefault="00AF3F6F" w:rsidP="00600535">
      <w:pPr>
        <w:pStyle w:val="CETBodytext"/>
        <w:rPr>
          <w:lang w:val="en-GB"/>
        </w:rPr>
      </w:pPr>
    </w:p>
    <w:p w14:paraId="3EC9A38A" w14:textId="0FEE1E6D" w:rsidR="00AF3F6F" w:rsidRDefault="00AF3F6F" w:rsidP="00600535">
      <w:pPr>
        <w:pStyle w:val="CETBodytext"/>
        <w:rPr>
          <w:lang w:val="en-GB"/>
        </w:rPr>
      </w:pPr>
    </w:p>
    <w:p w14:paraId="39486EA7" w14:textId="0E039A75" w:rsidR="00AF3F6F" w:rsidRDefault="00AF3F6F" w:rsidP="00600535">
      <w:pPr>
        <w:pStyle w:val="CETBodytext"/>
        <w:rPr>
          <w:lang w:val="en-GB"/>
        </w:rPr>
      </w:pPr>
    </w:p>
    <w:p w14:paraId="1B521A18" w14:textId="633962E3" w:rsidR="00AF3F6F" w:rsidRDefault="00AF3F6F" w:rsidP="00600535">
      <w:pPr>
        <w:pStyle w:val="CETBodytext"/>
        <w:rPr>
          <w:lang w:val="en-GB"/>
        </w:rPr>
      </w:pPr>
    </w:p>
    <w:p w14:paraId="568DC0AF" w14:textId="5056AA3B" w:rsidR="00AF3F6F" w:rsidRDefault="00AF3F6F" w:rsidP="00600535">
      <w:pPr>
        <w:pStyle w:val="CETBodytext"/>
        <w:rPr>
          <w:lang w:val="en-GB"/>
        </w:rPr>
      </w:pPr>
    </w:p>
    <w:p w14:paraId="6951E604" w14:textId="6C97B15B" w:rsidR="00AF3F6F" w:rsidRDefault="00AF3F6F" w:rsidP="00600535">
      <w:pPr>
        <w:pStyle w:val="CETBodytext"/>
        <w:rPr>
          <w:lang w:val="en-GB"/>
        </w:rPr>
      </w:pPr>
    </w:p>
    <w:p w14:paraId="31591E36" w14:textId="78F12D79" w:rsidR="00AF3F6F" w:rsidRDefault="00931171" w:rsidP="00600535">
      <w:pPr>
        <w:pStyle w:val="CETBodytext"/>
        <w:rPr>
          <w:lang w:val="en-GB"/>
        </w:rPr>
      </w:pPr>
      <w:r w:rsidRPr="00AF3F6F">
        <w:rPr>
          <w:noProof/>
          <w:lang w:val="en-GB"/>
        </w:rPr>
        <w:drawing>
          <wp:anchor distT="0" distB="0" distL="114300" distR="114300" simplePos="0" relativeHeight="251668480" behindDoc="1" locked="0" layoutInCell="1" allowOverlap="1" wp14:anchorId="03F44CA0" wp14:editId="16B9942D">
            <wp:simplePos x="0" y="0"/>
            <wp:positionH relativeFrom="column">
              <wp:posOffset>3754258</wp:posOffset>
            </wp:positionH>
            <wp:positionV relativeFrom="paragraph">
              <wp:posOffset>10574</wp:posOffset>
            </wp:positionV>
            <wp:extent cx="1758950" cy="1398905"/>
            <wp:effectExtent l="0" t="0" r="0" b="0"/>
            <wp:wrapNone/>
            <wp:docPr id="11" name="Picture 10">
              <a:extLst xmlns:a="http://schemas.openxmlformats.org/drawingml/2006/main">
                <a:ext uri="{FF2B5EF4-FFF2-40B4-BE49-F238E27FC236}">
                  <a16:creationId xmlns:a16="http://schemas.microsoft.com/office/drawing/2014/main" id="{BB8119FB-6BDD-1AE7-54E3-4F3A30EA8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B8119FB-6BDD-1AE7-54E3-4F3A30EA8BE5}"/>
                        </a:ext>
                      </a:extLst>
                    </pic:cNvPr>
                    <pic:cNvPicPr>
                      <a:picLocks noChangeAspect="1"/>
                    </pic:cNvPicPr>
                  </pic:nvPicPr>
                  <pic:blipFill>
                    <a:blip r:embed="rId15"/>
                    <a:stretch>
                      <a:fillRect/>
                    </a:stretch>
                  </pic:blipFill>
                  <pic:spPr>
                    <a:xfrm>
                      <a:off x="0" y="0"/>
                      <a:ext cx="1758950" cy="1398905"/>
                    </a:xfrm>
                    <a:prstGeom prst="rect">
                      <a:avLst/>
                    </a:prstGeom>
                  </pic:spPr>
                </pic:pic>
              </a:graphicData>
            </a:graphic>
            <wp14:sizeRelH relativeFrom="margin">
              <wp14:pctWidth>0</wp14:pctWidth>
            </wp14:sizeRelH>
            <wp14:sizeRelV relativeFrom="margin">
              <wp14:pctHeight>0</wp14:pctHeight>
            </wp14:sizeRelV>
          </wp:anchor>
        </w:drawing>
      </w:r>
      <w:r w:rsidRPr="00AF3F6F">
        <w:rPr>
          <w:noProof/>
          <w:lang w:val="en-GB"/>
        </w:rPr>
        <w:drawing>
          <wp:anchor distT="0" distB="0" distL="114300" distR="114300" simplePos="0" relativeHeight="251666432" behindDoc="1" locked="0" layoutInCell="1" allowOverlap="1" wp14:anchorId="454E038A" wp14:editId="68763ED0">
            <wp:simplePos x="0" y="0"/>
            <wp:positionH relativeFrom="column">
              <wp:posOffset>1932940</wp:posOffset>
            </wp:positionH>
            <wp:positionV relativeFrom="paragraph">
              <wp:posOffset>10160</wp:posOffset>
            </wp:positionV>
            <wp:extent cx="1758950" cy="1398905"/>
            <wp:effectExtent l="0" t="0" r="0" b="0"/>
            <wp:wrapNone/>
            <wp:docPr id="9" name="Picture 8">
              <a:extLst xmlns:a="http://schemas.openxmlformats.org/drawingml/2006/main">
                <a:ext uri="{FF2B5EF4-FFF2-40B4-BE49-F238E27FC236}">
                  <a16:creationId xmlns:a16="http://schemas.microsoft.com/office/drawing/2014/main" id="{4241392E-5B5C-0F6E-0051-5F82AFB78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241392E-5B5C-0F6E-0051-5F82AFB78F23}"/>
                        </a:ext>
                      </a:extLst>
                    </pic:cNvPr>
                    <pic:cNvPicPr>
                      <a:picLocks noChangeAspect="1"/>
                    </pic:cNvPicPr>
                  </pic:nvPicPr>
                  <pic:blipFill>
                    <a:blip r:embed="rId16"/>
                    <a:stretch>
                      <a:fillRect/>
                    </a:stretch>
                  </pic:blipFill>
                  <pic:spPr>
                    <a:xfrm>
                      <a:off x="0" y="0"/>
                      <a:ext cx="1758950" cy="1398905"/>
                    </a:xfrm>
                    <a:prstGeom prst="rect">
                      <a:avLst/>
                    </a:prstGeom>
                  </pic:spPr>
                </pic:pic>
              </a:graphicData>
            </a:graphic>
            <wp14:sizeRelH relativeFrom="margin">
              <wp14:pctWidth>0</wp14:pctWidth>
            </wp14:sizeRelH>
            <wp14:sizeRelV relativeFrom="margin">
              <wp14:pctHeight>0</wp14:pctHeight>
            </wp14:sizeRelV>
          </wp:anchor>
        </w:drawing>
      </w:r>
      <w:r w:rsidRPr="00AF3F6F">
        <w:rPr>
          <w:noProof/>
          <w:lang w:val="en-GB"/>
        </w:rPr>
        <w:drawing>
          <wp:anchor distT="0" distB="0" distL="114300" distR="114300" simplePos="0" relativeHeight="251664384" behindDoc="1" locked="0" layoutInCell="1" allowOverlap="1" wp14:anchorId="2839C509" wp14:editId="1B54A1CF">
            <wp:simplePos x="0" y="0"/>
            <wp:positionH relativeFrom="margin">
              <wp:posOffset>40640</wp:posOffset>
            </wp:positionH>
            <wp:positionV relativeFrom="paragraph">
              <wp:posOffset>41910</wp:posOffset>
            </wp:positionV>
            <wp:extent cx="1816100" cy="1335405"/>
            <wp:effectExtent l="0" t="0" r="0" b="0"/>
            <wp:wrapNone/>
            <wp:docPr id="7" name="Picture 6">
              <a:extLst xmlns:a="http://schemas.openxmlformats.org/drawingml/2006/main">
                <a:ext uri="{FF2B5EF4-FFF2-40B4-BE49-F238E27FC236}">
                  <a16:creationId xmlns:a16="http://schemas.microsoft.com/office/drawing/2014/main" id="{17F13D58-F380-1C68-B1DF-1E7899ABD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7F13D58-F380-1C68-B1DF-1E7899ABD5AE}"/>
                        </a:ext>
                      </a:extLst>
                    </pic:cNvPr>
                    <pic:cNvPicPr>
                      <a:picLocks noChangeAspect="1"/>
                    </pic:cNvPicPr>
                  </pic:nvPicPr>
                  <pic:blipFill>
                    <a:blip r:embed="rId17"/>
                    <a:stretch>
                      <a:fillRect/>
                    </a:stretch>
                  </pic:blipFill>
                  <pic:spPr>
                    <a:xfrm>
                      <a:off x="0" y="0"/>
                      <a:ext cx="1816100" cy="1335405"/>
                    </a:xfrm>
                    <a:prstGeom prst="rect">
                      <a:avLst/>
                    </a:prstGeom>
                  </pic:spPr>
                </pic:pic>
              </a:graphicData>
            </a:graphic>
            <wp14:sizeRelH relativeFrom="margin">
              <wp14:pctWidth>0</wp14:pctWidth>
            </wp14:sizeRelH>
            <wp14:sizeRelV relativeFrom="margin">
              <wp14:pctHeight>0</wp14:pctHeight>
            </wp14:sizeRelV>
          </wp:anchor>
        </w:drawing>
      </w:r>
    </w:p>
    <w:p w14:paraId="77540F8E" w14:textId="29A72072" w:rsidR="00AF3F6F" w:rsidRDefault="00AF3F6F" w:rsidP="00600535">
      <w:pPr>
        <w:pStyle w:val="CETBodytext"/>
        <w:rPr>
          <w:lang w:val="en-GB"/>
        </w:rPr>
      </w:pPr>
    </w:p>
    <w:p w14:paraId="7DABEF98" w14:textId="1D16754F" w:rsidR="00AF3F6F" w:rsidRDefault="00AF3F6F" w:rsidP="00600535">
      <w:pPr>
        <w:pStyle w:val="CETBodytext"/>
        <w:rPr>
          <w:lang w:val="en-GB"/>
        </w:rPr>
      </w:pPr>
    </w:p>
    <w:p w14:paraId="3077513F" w14:textId="6DD3F330" w:rsidR="00AF3F6F" w:rsidRDefault="00AF3F6F" w:rsidP="00600535">
      <w:pPr>
        <w:pStyle w:val="CETBodytext"/>
        <w:rPr>
          <w:lang w:val="en-GB"/>
        </w:rPr>
      </w:pPr>
    </w:p>
    <w:p w14:paraId="203DC5EA" w14:textId="04DF7BF3" w:rsidR="00AF3F6F" w:rsidRDefault="00AF3F6F" w:rsidP="00600535">
      <w:pPr>
        <w:pStyle w:val="CETBodytext"/>
        <w:rPr>
          <w:lang w:val="en-GB"/>
        </w:rPr>
      </w:pPr>
    </w:p>
    <w:p w14:paraId="760C9CFB" w14:textId="1379A2DA" w:rsidR="00E915B8" w:rsidRDefault="00E915B8" w:rsidP="00600535">
      <w:pPr>
        <w:pStyle w:val="CETBodytext"/>
        <w:rPr>
          <w:lang w:val="en-GB"/>
        </w:rPr>
      </w:pPr>
    </w:p>
    <w:p w14:paraId="19E19656" w14:textId="72C90D26" w:rsidR="00E915B8" w:rsidRDefault="00E915B8" w:rsidP="00600535">
      <w:pPr>
        <w:pStyle w:val="CETBodytext"/>
        <w:rPr>
          <w:lang w:val="en-GB"/>
        </w:rPr>
      </w:pPr>
    </w:p>
    <w:p w14:paraId="7DB52BD6" w14:textId="2CAED8E5" w:rsidR="00AF3F6F" w:rsidRDefault="00AF3F6F" w:rsidP="000F5305">
      <w:pPr>
        <w:pStyle w:val="CETBodytext"/>
        <w:ind w:left="737" w:hanging="737"/>
        <w:rPr>
          <w:lang w:val="en-GB"/>
        </w:rPr>
      </w:pPr>
      <w:r w:rsidRPr="00BD077D">
        <w:rPr>
          <w:rStyle w:val="CETCaptionCarattere"/>
        </w:rPr>
        <w:t xml:space="preserve">Figure </w:t>
      </w:r>
      <w:r w:rsidR="00E915B8">
        <w:rPr>
          <w:rStyle w:val="CETCaptionCarattere"/>
        </w:rPr>
        <w:t>2</w:t>
      </w:r>
      <w:r w:rsidRPr="00BD077D">
        <w:rPr>
          <w:rStyle w:val="CETCaptionCarattere"/>
        </w:rPr>
        <w:t xml:space="preserve">: </w:t>
      </w:r>
      <w:r w:rsidR="00E915B8">
        <w:rPr>
          <w:rStyle w:val="CETCaptionCarattere"/>
        </w:rPr>
        <w:t xml:space="preserve">SEM images </w:t>
      </w:r>
      <w:r w:rsidR="000F5305">
        <w:rPr>
          <w:rStyle w:val="CETCaptionCarattere"/>
        </w:rPr>
        <w:t>of the composites fractured surfaces and elemental mapping for calcium (a) PP, (b) PP-EBNS, and (c) PP-EBWS</w:t>
      </w:r>
    </w:p>
    <w:p w14:paraId="42B691F7" w14:textId="255CD444" w:rsidR="000116C9" w:rsidRDefault="00DD0A06" w:rsidP="00600535">
      <w:pPr>
        <w:pStyle w:val="CETBodytext"/>
        <w:rPr>
          <w:lang w:val="en-GB"/>
        </w:rPr>
      </w:pPr>
      <w:r>
        <w:rPr>
          <w:lang w:val="en-GB"/>
        </w:rPr>
        <w:lastRenderedPageBreak/>
        <w:t>p</w:t>
      </w:r>
      <w:r w:rsidR="005270D6">
        <w:rPr>
          <w:lang w:val="en-GB"/>
        </w:rPr>
        <w:t>retreatment of the EB AMD</w:t>
      </w:r>
      <w:r>
        <w:rPr>
          <w:lang w:val="en-GB"/>
        </w:rPr>
        <w:t xml:space="preserve"> where the </w:t>
      </w:r>
      <w:r w:rsidR="0080437D">
        <w:rPr>
          <w:lang w:val="en-GB"/>
        </w:rPr>
        <w:t xml:space="preserve">other </w:t>
      </w:r>
      <w:r w:rsidR="00974E2D">
        <w:rPr>
          <w:lang w:val="en-GB"/>
        </w:rPr>
        <w:t>constituents</w:t>
      </w:r>
      <w:r w:rsidR="00BF716D">
        <w:rPr>
          <w:lang w:val="en-GB"/>
        </w:rPr>
        <w:t xml:space="preserve"> (</w:t>
      </w:r>
      <w:r w:rsidR="00C266BB">
        <w:rPr>
          <w:lang w:val="en-GB"/>
        </w:rPr>
        <w:t xml:space="preserve">e.g. </w:t>
      </w:r>
      <w:r w:rsidR="006C3567">
        <w:rPr>
          <w:lang w:val="en-GB"/>
        </w:rPr>
        <w:t>sulphate</w:t>
      </w:r>
      <w:r w:rsidR="00EC450E">
        <w:rPr>
          <w:lang w:val="en-GB"/>
        </w:rPr>
        <w:t xml:space="preserve"> ions</w:t>
      </w:r>
      <w:r w:rsidR="00C266BB">
        <w:rPr>
          <w:lang w:val="en-GB"/>
        </w:rPr>
        <w:t xml:space="preserve">, </w:t>
      </w:r>
      <w:r w:rsidR="00EC450E">
        <w:rPr>
          <w:lang w:val="en-GB"/>
        </w:rPr>
        <w:t>ferric irons</w:t>
      </w:r>
      <w:r w:rsidR="00C266BB">
        <w:rPr>
          <w:lang w:val="en-GB"/>
        </w:rPr>
        <w:t>, etc.)</w:t>
      </w:r>
      <w:r w:rsidR="0080437D">
        <w:rPr>
          <w:lang w:val="en-GB"/>
        </w:rPr>
        <w:t xml:space="preserve"> were systematically re</w:t>
      </w:r>
      <w:r w:rsidR="0050736D">
        <w:rPr>
          <w:lang w:val="en-GB"/>
        </w:rPr>
        <w:t>moved for the EBNS sample, while the EBWS sample</w:t>
      </w:r>
      <w:r w:rsidR="005F12D0">
        <w:rPr>
          <w:lang w:val="en-GB"/>
        </w:rPr>
        <w:t xml:space="preserve"> would contain other precipitates</w:t>
      </w:r>
      <w:r w:rsidR="00453F82">
        <w:rPr>
          <w:lang w:val="en-GB"/>
        </w:rPr>
        <w:t xml:space="preserve"> than aragonite</w:t>
      </w:r>
      <w:r w:rsidR="005F12D0">
        <w:rPr>
          <w:lang w:val="en-GB"/>
        </w:rPr>
        <w:t>.</w:t>
      </w:r>
      <w:r w:rsidR="00453F82">
        <w:rPr>
          <w:lang w:val="en-GB"/>
        </w:rPr>
        <w:t xml:space="preserve"> Th</w:t>
      </w:r>
      <w:r w:rsidR="006E203C">
        <w:rPr>
          <w:lang w:val="en-GB"/>
        </w:rPr>
        <w:t>e particle purity</w:t>
      </w:r>
      <w:r w:rsidR="00453F82">
        <w:rPr>
          <w:lang w:val="en-GB"/>
        </w:rPr>
        <w:t xml:space="preserve"> is a subject of an ongoing</w:t>
      </w:r>
      <w:r w:rsidR="006E203C">
        <w:rPr>
          <w:lang w:val="en-GB"/>
        </w:rPr>
        <w:t xml:space="preserve"> investigation.</w:t>
      </w:r>
      <w:r w:rsidR="001C39DD">
        <w:rPr>
          <w:lang w:val="en-GB"/>
        </w:rPr>
        <w:t xml:space="preserve"> The presence of </w:t>
      </w:r>
      <w:r w:rsidR="00B1282B">
        <w:rPr>
          <w:lang w:val="en-GB"/>
        </w:rPr>
        <w:t xml:space="preserve">sulphate and other ions </w:t>
      </w:r>
      <w:r w:rsidR="0009715B">
        <w:rPr>
          <w:lang w:val="en-GB"/>
        </w:rPr>
        <w:t>has been shown to inhibit</w:t>
      </w:r>
      <w:r w:rsidR="009661A8">
        <w:rPr>
          <w:lang w:val="en-GB"/>
        </w:rPr>
        <w:t xml:space="preserve"> and/or retard</w:t>
      </w:r>
      <w:r w:rsidR="0009715B">
        <w:rPr>
          <w:lang w:val="en-GB"/>
        </w:rPr>
        <w:t xml:space="preserve"> the growth of </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0D30D4" w:rsidRPr="00514EAD">
        <w:rPr>
          <w:rFonts w:eastAsiaTheme="minorEastAsia"/>
        </w:rPr>
        <w:t xml:space="preserve"> </w:t>
      </w:r>
      <w:r w:rsidR="009661A8">
        <w:rPr>
          <w:rFonts w:eastAsiaTheme="minorEastAsia"/>
        </w:rPr>
        <w:t>crystals</w:t>
      </w:r>
      <w:sdt>
        <w:sdtPr>
          <w:rPr>
            <w:rFonts w:eastAsiaTheme="minorEastAsia"/>
          </w:rPr>
          <w:id w:val="-1836070466"/>
          <w:citation/>
        </w:sdtPr>
        <w:sdtEndPr/>
        <w:sdtContent>
          <w:r w:rsidR="000B6954">
            <w:rPr>
              <w:rFonts w:eastAsiaTheme="minorEastAsia"/>
            </w:rPr>
            <w:fldChar w:fldCharType="begin"/>
          </w:r>
          <w:r w:rsidR="000B6954">
            <w:rPr>
              <w:rFonts w:eastAsiaTheme="minorEastAsia"/>
            </w:rPr>
            <w:instrText xml:space="preserve"> CITATION Goe19 \l 1033 </w:instrText>
          </w:r>
          <w:r w:rsidR="000B6954">
            <w:rPr>
              <w:rFonts w:eastAsiaTheme="minorEastAsia"/>
            </w:rPr>
            <w:fldChar w:fldCharType="separate"/>
          </w:r>
          <w:r w:rsidR="00926F11">
            <w:rPr>
              <w:rFonts w:eastAsiaTheme="minorEastAsia"/>
              <w:noProof/>
            </w:rPr>
            <w:t xml:space="preserve"> </w:t>
          </w:r>
          <w:r w:rsidR="00926F11" w:rsidRPr="00926F11">
            <w:rPr>
              <w:rFonts w:eastAsiaTheme="minorEastAsia"/>
              <w:noProof/>
            </w:rPr>
            <w:t>(Goetschl et al., 2019)</w:t>
          </w:r>
          <w:r w:rsidR="000B6954">
            <w:rPr>
              <w:rFonts w:eastAsiaTheme="minorEastAsia"/>
            </w:rPr>
            <w:fldChar w:fldCharType="end"/>
          </w:r>
        </w:sdtContent>
      </w:sdt>
      <w:r w:rsidR="00F30881">
        <w:rPr>
          <w:rFonts w:eastAsiaTheme="minorEastAsia"/>
        </w:rPr>
        <w:t>.</w:t>
      </w:r>
      <w:r w:rsidR="000B6954">
        <w:rPr>
          <w:rFonts w:eastAsiaTheme="minorEastAsia"/>
        </w:rPr>
        <w:t xml:space="preserve"> While the spherical particles</w:t>
      </w:r>
      <w:r w:rsidR="008107A2">
        <w:rPr>
          <w:rFonts w:eastAsiaTheme="minorEastAsia"/>
        </w:rPr>
        <w:t xml:space="preserve"> observed in the EBWS sample have been reported previously when urea hydrolysis was used to treat </w:t>
      </w:r>
      <w:r w:rsidR="00670FD3">
        <w:rPr>
          <w:rFonts w:eastAsiaTheme="minorEastAsia"/>
        </w:rPr>
        <w:t xml:space="preserve">AMD as amorphous and </w:t>
      </w:r>
      <w:r w:rsidR="00C42F0C">
        <w:rPr>
          <w:rFonts w:eastAsiaTheme="minorEastAsia"/>
        </w:rPr>
        <w:t>low</w:t>
      </w:r>
      <w:r w:rsidR="00670FD3">
        <w:rPr>
          <w:rFonts w:eastAsiaTheme="minorEastAsia"/>
        </w:rPr>
        <w:t xml:space="preserve"> crystalline minerals of iron</w:t>
      </w:r>
      <w:sdt>
        <w:sdtPr>
          <w:rPr>
            <w:rFonts w:eastAsiaTheme="minorEastAsia"/>
          </w:rPr>
          <w:id w:val="1071162087"/>
          <w:citation/>
        </w:sdtPr>
        <w:sdtEndPr/>
        <w:sdtContent>
          <w:r w:rsidR="00AD2A5A">
            <w:rPr>
              <w:rFonts w:eastAsiaTheme="minorEastAsia"/>
            </w:rPr>
            <w:fldChar w:fldCharType="begin"/>
          </w:r>
          <w:r w:rsidR="00AD2A5A">
            <w:rPr>
              <w:rFonts w:eastAsiaTheme="minorEastAsia"/>
            </w:rPr>
            <w:instrText xml:space="preserve"> CITATION Sub11 \l 1033 </w:instrText>
          </w:r>
          <w:r w:rsidR="00AD2A5A">
            <w:rPr>
              <w:rFonts w:eastAsiaTheme="minorEastAsia"/>
            </w:rPr>
            <w:fldChar w:fldCharType="separate"/>
          </w:r>
          <w:r w:rsidR="00926F11">
            <w:rPr>
              <w:rFonts w:eastAsiaTheme="minorEastAsia"/>
              <w:noProof/>
            </w:rPr>
            <w:t xml:space="preserve"> </w:t>
          </w:r>
          <w:r w:rsidR="00926F11" w:rsidRPr="00926F11">
            <w:rPr>
              <w:rFonts w:eastAsiaTheme="minorEastAsia"/>
              <w:noProof/>
            </w:rPr>
            <w:t>(Subrt et al., 2011)</w:t>
          </w:r>
          <w:r w:rsidR="00AD2A5A">
            <w:rPr>
              <w:rFonts w:eastAsiaTheme="minorEastAsia"/>
            </w:rPr>
            <w:fldChar w:fldCharType="end"/>
          </w:r>
        </w:sdtContent>
      </w:sdt>
      <w:r w:rsidR="00670FD3">
        <w:rPr>
          <w:rFonts w:eastAsiaTheme="minorEastAsia"/>
        </w:rPr>
        <w:t>.</w:t>
      </w:r>
      <w:r w:rsidR="00B1282B">
        <w:rPr>
          <w:lang w:val="en-GB"/>
        </w:rPr>
        <w:t xml:space="preserve"> </w:t>
      </w:r>
      <w:r w:rsidR="000F5305">
        <w:rPr>
          <w:lang w:val="en-GB"/>
        </w:rPr>
        <w:t xml:space="preserve">The images of the </w:t>
      </w:r>
      <w:r w:rsidR="009009AA">
        <w:rPr>
          <w:lang w:val="en-GB"/>
        </w:rPr>
        <w:t>composites’</w:t>
      </w:r>
      <w:r w:rsidR="000F5305">
        <w:rPr>
          <w:lang w:val="en-GB"/>
        </w:rPr>
        <w:t xml:space="preserve"> fractured surfaces are shown in Figure 2. The calcium detected in the neat sample (Figure 2a) was from the calcium stearate used in all composites. The composites are characterized by uniformly dispersed aragonite particles as shown by the darker green spots for PP-EBNS and PP-EBWS mapping (Figure 2b and 2c), respectively</w:t>
      </w:r>
      <w:r w:rsidR="000116C9">
        <w:rPr>
          <w:lang w:val="en-GB"/>
        </w:rPr>
        <w:t xml:space="preserve"> confirming the effectiveness of</w:t>
      </w:r>
      <w:r w:rsidR="00ED7F6F">
        <w:rPr>
          <w:lang w:val="en-GB"/>
        </w:rPr>
        <w:t xml:space="preserve"> the composite preparation method</w:t>
      </w:r>
      <w:r w:rsidR="000116C9">
        <w:rPr>
          <w:lang w:val="en-GB"/>
        </w:rPr>
        <w:t>.</w:t>
      </w:r>
    </w:p>
    <w:p w14:paraId="7B85499F" w14:textId="7D0057A7" w:rsidR="005237FE" w:rsidRDefault="005237FE" w:rsidP="00600535">
      <w:pPr>
        <w:pStyle w:val="CETBodytext"/>
        <w:rPr>
          <w:lang w:val="en-GB"/>
        </w:rPr>
      </w:pPr>
    </w:p>
    <w:p w14:paraId="37511777" w14:textId="1DE1B888" w:rsidR="005237FE" w:rsidRDefault="005237FE" w:rsidP="00600535">
      <w:pPr>
        <w:pStyle w:val="CETBodytext"/>
        <w:rPr>
          <w:lang w:val="en-GB"/>
        </w:rPr>
      </w:pPr>
      <w:r>
        <w:rPr>
          <w:lang w:val="en-GB"/>
        </w:rPr>
        <w:t xml:space="preserve">The XRD reflection patterns of the composites are presented in Figure 3. The composites displayed similar reflection patterns as the neat polymer, all dominated by the </w:t>
      </w:r>
      <w:r w:rsidR="00BD22B1">
        <w:rPr>
          <w:lang w:val="en-GB"/>
        </w:rPr>
        <w:sym w:font="Symbol" w:char="F061"/>
      </w:r>
      <w:r w:rsidR="00BD22B1">
        <w:rPr>
          <w:lang w:val="en-GB"/>
        </w:rPr>
        <w:t>-crystalline form of polypropylene</w:t>
      </w:r>
      <w:r w:rsidR="00997242">
        <w:rPr>
          <w:lang w:val="en-GB"/>
        </w:rPr>
        <w:t xml:space="preserve"> with Miller indices (110), (040), (130), (111), (131) and (060)</w:t>
      </w:r>
      <w:r w:rsidR="00BD22B1">
        <w:rPr>
          <w:lang w:val="en-GB"/>
        </w:rPr>
        <w:t>.</w:t>
      </w:r>
      <w:r w:rsidR="00997242">
        <w:rPr>
          <w:lang w:val="en-GB"/>
        </w:rPr>
        <w:t xml:space="preserve"> The presence of small amounts of the </w:t>
      </w:r>
      <w:r w:rsidR="00997242">
        <w:rPr>
          <w:lang w:val="en-GB"/>
        </w:rPr>
        <w:sym w:font="Symbol" w:char="F062"/>
      </w:r>
      <w:r w:rsidR="00997242">
        <w:rPr>
          <w:lang w:val="en-GB"/>
        </w:rPr>
        <w:t xml:space="preserve">-crystalline form could not be completely ruled out as its indices, (300), (301) and (041), overlap with those of the </w:t>
      </w:r>
      <w:r w:rsidR="00997242">
        <w:rPr>
          <w:lang w:val="en-GB"/>
        </w:rPr>
        <w:sym w:font="Symbol" w:char="F061"/>
      </w:r>
      <w:r w:rsidR="00997242">
        <w:rPr>
          <w:lang w:val="en-GB"/>
        </w:rPr>
        <w:t>-crystalline form as shown</w:t>
      </w:r>
      <w:sdt>
        <w:sdtPr>
          <w:rPr>
            <w:lang w:val="en-GB"/>
          </w:rPr>
          <w:id w:val="485523212"/>
          <w:citation/>
        </w:sdtPr>
        <w:sdtEndPr/>
        <w:sdtContent>
          <w:r w:rsidR="002B47C5">
            <w:rPr>
              <w:lang w:val="en-GB"/>
            </w:rPr>
            <w:fldChar w:fldCharType="begin"/>
          </w:r>
          <w:r w:rsidR="002B47C5">
            <w:rPr>
              <w:lang w:val="en-ZA"/>
            </w:rPr>
            <w:instrText xml:space="preserve"> CITATION Zha12 \l 7177  \m Lan20</w:instrText>
          </w:r>
          <w:r w:rsidR="002B47C5">
            <w:rPr>
              <w:lang w:val="en-GB"/>
            </w:rPr>
            <w:fldChar w:fldCharType="separate"/>
          </w:r>
          <w:r w:rsidR="00926F11">
            <w:rPr>
              <w:noProof/>
              <w:lang w:val="en-ZA"/>
            </w:rPr>
            <w:t xml:space="preserve"> </w:t>
          </w:r>
          <w:r w:rsidR="00926F11" w:rsidRPr="00926F11">
            <w:rPr>
              <w:noProof/>
              <w:lang w:val="en-ZA"/>
            </w:rPr>
            <w:t>(Zhang et al., 2012; Lanyi et al., 2020)</w:t>
          </w:r>
          <w:r w:rsidR="002B47C5">
            <w:rPr>
              <w:lang w:val="en-GB"/>
            </w:rPr>
            <w:fldChar w:fldCharType="end"/>
          </w:r>
        </w:sdtContent>
      </w:sdt>
      <w:r w:rsidR="00997242">
        <w:rPr>
          <w:lang w:val="en-GB"/>
        </w:rPr>
        <w:t xml:space="preserve">. </w:t>
      </w:r>
      <w:r w:rsidR="002B47C5">
        <w:rPr>
          <w:lang w:val="en-GB"/>
        </w:rPr>
        <w:t xml:space="preserve">The </w:t>
      </w:r>
      <w:r w:rsidR="00A62E66">
        <w:rPr>
          <w:lang w:val="en-GB"/>
        </w:rPr>
        <w:t xml:space="preserve">results indicated that the </w:t>
      </w:r>
      <w:r w:rsidR="002B47C5">
        <w:rPr>
          <w:lang w:val="en-GB"/>
        </w:rPr>
        <w:t xml:space="preserve">incorporation of aragonite did not have </w:t>
      </w:r>
      <w:r w:rsidR="00B93D20">
        <w:rPr>
          <w:lang w:val="en-GB"/>
        </w:rPr>
        <w:t xml:space="preserve">an </w:t>
      </w:r>
      <w:r w:rsidR="00B82046">
        <w:rPr>
          <w:lang w:val="en-GB"/>
        </w:rPr>
        <w:t>influence</w:t>
      </w:r>
      <w:r w:rsidR="002B47C5">
        <w:rPr>
          <w:lang w:val="en-GB"/>
        </w:rPr>
        <w:t xml:space="preserve"> on the matrix crystalline phase</w:t>
      </w:r>
      <w:r w:rsidR="00A62E66">
        <w:rPr>
          <w:lang w:val="en-GB"/>
        </w:rPr>
        <w:t>.</w:t>
      </w:r>
      <w:r w:rsidR="00997242">
        <w:rPr>
          <w:lang w:val="en-GB"/>
        </w:rPr>
        <w:t xml:space="preserve"> </w:t>
      </w:r>
    </w:p>
    <w:p w14:paraId="3F18BA71" w14:textId="77777777" w:rsidR="00B80683" w:rsidRDefault="00B80683" w:rsidP="00600535">
      <w:pPr>
        <w:pStyle w:val="CETBodytext"/>
        <w:rPr>
          <w:lang w:val="en-GB"/>
        </w:rPr>
      </w:pPr>
    </w:p>
    <w:p w14:paraId="71EB5451" w14:textId="02794B52" w:rsidR="00B80683" w:rsidRDefault="005237FE" w:rsidP="005237FE">
      <w:pPr>
        <w:pStyle w:val="CETBodytext"/>
        <w:jc w:val="center"/>
        <w:rPr>
          <w:lang w:val="en-GB"/>
        </w:rPr>
      </w:pPr>
      <w:r>
        <w:rPr>
          <w:noProof/>
        </w:rPr>
        <w:drawing>
          <wp:inline distT="0" distB="0" distL="0" distR="0" wp14:anchorId="4F45F53B" wp14:editId="78229EAA">
            <wp:extent cx="3434963" cy="2411159"/>
            <wp:effectExtent l="0" t="0" r="0" b="8255"/>
            <wp:docPr id="2024564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2027" cy="2423137"/>
                    </a:xfrm>
                    <a:prstGeom prst="rect">
                      <a:avLst/>
                    </a:prstGeom>
                    <a:noFill/>
                    <a:ln>
                      <a:noFill/>
                    </a:ln>
                  </pic:spPr>
                </pic:pic>
              </a:graphicData>
            </a:graphic>
          </wp:inline>
        </w:drawing>
      </w:r>
    </w:p>
    <w:p w14:paraId="083C08EF" w14:textId="600BDAD4" w:rsidR="00B80683" w:rsidRDefault="005237FE" w:rsidP="00600535">
      <w:pPr>
        <w:pStyle w:val="CETBodytext"/>
        <w:rPr>
          <w:lang w:val="en-GB"/>
        </w:rPr>
      </w:pPr>
      <w:r w:rsidRPr="00BD077D">
        <w:rPr>
          <w:rStyle w:val="CETCaptionCarattere"/>
        </w:rPr>
        <w:t xml:space="preserve">Figure </w:t>
      </w:r>
      <w:r>
        <w:rPr>
          <w:rStyle w:val="CETCaptionCarattere"/>
        </w:rPr>
        <w:t>3</w:t>
      </w:r>
      <w:r w:rsidRPr="00BD077D">
        <w:rPr>
          <w:rStyle w:val="CETCaptionCarattere"/>
        </w:rPr>
        <w:t xml:space="preserve">: </w:t>
      </w:r>
      <w:r>
        <w:rPr>
          <w:rStyle w:val="CETCaptionCarattere"/>
        </w:rPr>
        <w:t>XRD reflection patterns of the composites</w:t>
      </w:r>
    </w:p>
    <w:p w14:paraId="07333019" w14:textId="3876D538" w:rsidR="005237FE" w:rsidRDefault="005237FE" w:rsidP="00600535">
      <w:pPr>
        <w:pStyle w:val="CETBodytext"/>
        <w:rPr>
          <w:lang w:val="en-GB"/>
        </w:rPr>
      </w:pPr>
    </w:p>
    <w:p w14:paraId="23605159" w14:textId="21717848" w:rsidR="005237FE" w:rsidRDefault="00A62E66" w:rsidP="00600535">
      <w:pPr>
        <w:pStyle w:val="CETBodytext"/>
        <w:rPr>
          <w:lang w:val="en-GB"/>
        </w:rPr>
      </w:pPr>
      <w:r>
        <w:rPr>
          <w:lang w:val="en-GB"/>
        </w:rPr>
        <w:t xml:space="preserve">The overlay of the DSC crystallization curves </w:t>
      </w:r>
      <w:r w:rsidR="001E08F4">
        <w:rPr>
          <w:lang w:val="en-GB"/>
        </w:rPr>
        <w:t>is</w:t>
      </w:r>
      <w:r>
        <w:rPr>
          <w:lang w:val="en-GB"/>
        </w:rPr>
        <w:t xml:space="preserve"> shown in Figure 4</w:t>
      </w:r>
      <w:r w:rsidR="008D4B6D">
        <w:rPr>
          <w:lang w:val="en-GB"/>
        </w:rPr>
        <w:t>a</w:t>
      </w:r>
      <w:r>
        <w:rPr>
          <w:lang w:val="en-GB"/>
        </w:rPr>
        <w:t xml:space="preserve">. The aragonite had a heterogenous nucleating effect on the PP matrix as shown by </w:t>
      </w:r>
      <w:r w:rsidR="00F61F77">
        <w:rPr>
          <w:lang w:val="en-GB"/>
        </w:rPr>
        <w:t>slightly</w:t>
      </w:r>
      <w:r>
        <w:rPr>
          <w:lang w:val="en-GB"/>
        </w:rPr>
        <w:t xml:space="preserve"> higher crystallization peak</w:t>
      </w:r>
      <w:r w:rsidR="00225908">
        <w:rPr>
          <w:lang w:val="en-GB"/>
        </w:rPr>
        <w:t>s</w:t>
      </w:r>
      <w:r>
        <w:rPr>
          <w:lang w:val="en-GB"/>
        </w:rPr>
        <w:t xml:space="preserve"> of PP-EBNS and PP-EBWS when compared to that of </w:t>
      </w:r>
      <w:r w:rsidR="00F61F77">
        <w:rPr>
          <w:lang w:val="en-GB"/>
        </w:rPr>
        <w:t xml:space="preserve">neat </w:t>
      </w:r>
      <w:r w:rsidR="00916ED2">
        <w:rPr>
          <w:lang w:val="en-GB"/>
        </w:rPr>
        <w:tab/>
      </w:r>
      <w:r>
        <w:rPr>
          <w:lang w:val="en-GB"/>
        </w:rPr>
        <w:t xml:space="preserve">PP (121.4 and 122.1 </w:t>
      </w:r>
      <w:r>
        <w:rPr>
          <w:lang w:val="en-GB"/>
        </w:rPr>
        <w:sym w:font="Symbol" w:char="F0B0"/>
      </w:r>
      <w:r>
        <w:rPr>
          <w:lang w:val="en-GB"/>
        </w:rPr>
        <w:t xml:space="preserve">C vs. 120.8 </w:t>
      </w:r>
      <w:r>
        <w:rPr>
          <w:lang w:val="en-GB"/>
        </w:rPr>
        <w:sym w:font="Symbol" w:char="F0B0"/>
      </w:r>
      <w:r>
        <w:rPr>
          <w:lang w:val="en-GB"/>
        </w:rPr>
        <w:t>C, respectively).</w:t>
      </w:r>
      <w:r w:rsidR="008D4B6D">
        <w:rPr>
          <w:lang w:val="en-GB"/>
        </w:rPr>
        <w:t xml:space="preserve"> The EBWS displayed a</w:t>
      </w:r>
      <w:r w:rsidR="007F3A91">
        <w:rPr>
          <w:lang w:val="en-GB"/>
        </w:rPr>
        <w:t xml:space="preserve"> sligh</w:t>
      </w:r>
      <w:r w:rsidR="004342E0">
        <w:rPr>
          <w:lang w:val="en-GB"/>
        </w:rPr>
        <w:t>tly</w:t>
      </w:r>
      <w:r w:rsidR="008D4B6D">
        <w:rPr>
          <w:lang w:val="en-GB"/>
        </w:rPr>
        <w:t xml:space="preserve"> better nucleation performance compared to EBNS, this was proposed to be due to the wide range of particle sizes as observed from the SEM images of the particles (Figure 1).</w:t>
      </w:r>
    </w:p>
    <w:p w14:paraId="40B35948" w14:textId="77777777" w:rsidR="008D4B6D" w:rsidRDefault="008D4B6D" w:rsidP="00600535">
      <w:pPr>
        <w:pStyle w:val="CETBodytext"/>
        <w:rPr>
          <w:lang w:val="en-GB"/>
        </w:rPr>
      </w:pPr>
    </w:p>
    <w:p w14:paraId="103C4EED" w14:textId="06411443" w:rsidR="008D4B6D" w:rsidRDefault="008D4B6D" w:rsidP="00600535">
      <w:pPr>
        <w:pStyle w:val="CETBodytext"/>
        <w:rPr>
          <w:lang w:val="en-GB"/>
        </w:rPr>
      </w:pPr>
    </w:p>
    <w:p w14:paraId="1B7AE9AC" w14:textId="09B30F02" w:rsidR="008D4B6D" w:rsidRDefault="008D4B6D" w:rsidP="008D4B6D">
      <w:pPr>
        <w:pStyle w:val="CETBodytext"/>
        <w:jc w:val="center"/>
        <w:rPr>
          <w:lang w:val="en-GB"/>
        </w:rPr>
      </w:pPr>
      <w:r>
        <w:rPr>
          <w:noProof/>
        </w:rPr>
        <mc:AlternateContent>
          <mc:Choice Requires="wps">
            <w:drawing>
              <wp:anchor distT="0" distB="0" distL="114300" distR="114300" simplePos="0" relativeHeight="251678720" behindDoc="0" locked="0" layoutInCell="1" allowOverlap="1" wp14:anchorId="34AC5EB4" wp14:editId="4D63E9C2">
                <wp:simplePos x="0" y="0"/>
                <wp:positionH relativeFrom="column">
                  <wp:posOffset>2983865</wp:posOffset>
                </wp:positionH>
                <wp:positionV relativeFrom="paragraph">
                  <wp:posOffset>5080</wp:posOffset>
                </wp:positionV>
                <wp:extent cx="914400" cy="330200"/>
                <wp:effectExtent l="0" t="0" r="0" b="0"/>
                <wp:wrapNone/>
                <wp:docPr id="1914935020" name="Text Box 3"/>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chemeClr val="bg1"/>
                        </a:solidFill>
                        <a:ln w="6350">
                          <a:noFill/>
                        </a:ln>
                      </wps:spPr>
                      <wps:txbx>
                        <w:txbxContent>
                          <w:p w14:paraId="6E760C9A" w14:textId="0E7F715D" w:rsidR="008D4B6D" w:rsidRPr="00E915B8" w:rsidRDefault="008D4B6D" w:rsidP="008D4B6D">
                            <w:pPr>
                              <w:rPr>
                                <w:b/>
                                <w:bCs/>
                                <w:sz w:val="28"/>
                                <w:szCs w:val="28"/>
                                <w:lang w:val="en-ZA"/>
                              </w:rPr>
                            </w:pPr>
                            <w:r w:rsidRPr="00E915B8">
                              <w:rPr>
                                <w:b/>
                                <w:bCs/>
                                <w:sz w:val="28"/>
                                <w:szCs w:val="28"/>
                                <w:lang w:val="en-ZA"/>
                              </w:rPr>
                              <w:t>(</w:t>
                            </w:r>
                            <w:r>
                              <w:rPr>
                                <w:b/>
                                <w:bCs/>
                                <w:sz w:val="28"/>
                                <w:szCs w:val="28"/>
                                <w:lang w:val="en-ZA"/>
                              </w:rPr>
                              <w:t>b</w:t>
                            </w:r>
                            <w:r w:rsidRPr="00E915B8">
                              <w:rPr>
                                <w:b/>
                                <w:bCs/>
                                <w:sz w:val="28"/>
                                <w:szCs w:val="28"/>
                                <w:lang w:val="en-Z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C5EB4" id="_x0000_s1031" type="#_x0000_t202" style="position:absolute;left:0;text-align:left;margin-left:234.95pt;margin-top:.4pt;width:1in;height:26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" fillcolor="white [3212]" stroked="f" strokeweight=".5pt">
                <v:textbox>
                  <w:txbxContent>
                    <w:p w14:paraId="6E760C9A" w14:textId="0E7F715D" w:rsidR="008D4B6D" w:rsidRPr="00E915B8" w:rsidRDefault="008D4B6D" w:rsidP="008D4B6D">
                      <w:pPr>
                        <w:rPr>
                          <w:b/>
                          <w:bCs/>
                          <w:sz w:val="28"/>
                          <w:szCs w:val="28"/>
                          <w:lang w:val="en-ZA"/>
                        </w:rPr>
                      </w:pPr>
                      <w:r w:rsidRPr="00E915B8">
                        <w:rPr>
                          <w:b/>
                          <w:bCs/>
                          <w:sz w:val="28"/>
                          <w:szCs w:val="28"/>
                          <w:lang w:val="en-ZA"/>
                        </w:rPr>
                        <w:t>(</w:t>
                      </w:r>
                      <w:r>
                        <w:rPr>
                          <w:b/>
                          <w:bCs/>
                          <w:sz w:val="28"/>
                          <w:szCs w:val="28"/>
                          <w:lang w:val="en-ZA"/>
                        </w:rPr>
                        <w:t>b</w:t>
                      </w:r>
                      <w:r w:rsidRPr="00E915B8">
                        <w:rPr>
                          <w:b/>
                          <w:bCs/>
                          <w:sz w:val="28"/>
                          <w:szCs w:val="28"/>
                          <w:lang w:val="en-ZA"/>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771A113" wp14:editId="3D3D404D">
                <wp:simplePos x="0" y="0"/>
                <wp:positionH relativeFrom="column">
                  <wp:posOffset>240665</wp:posOffset>
                </wp:positionH>
                <wp:positionV relativeFrom="paragraph">
                  <wp:posOffset>-1270</wp:posOffset>
                </wp:positionV>
                <wp:extent cx="914400" cy="330200"/>
                <wp:effectExtent l="0" t="0" r="0" b="0"/>
                <wp:wrapNone/>
                <wp:docPr id="1186840918" name="Text Box 3"/>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chemeClr val="bg1"/>
                        </a:solidFill>
                        <a:ln w="6350">
                          <a:noFill/>
                        </a:ln>
                      </wps:spPr>
                      <wps:txbx>
                        <w:txbxContent>
                          <w:p w14:paraId="164355C4" w14:textId="77777777" w:rsidR="008D4B6D" w:rsidRPr="00E915B8" w:rsidRDefault="008D4B6D" w:rsidP="008D4B6D">
                            <w:pPr>
                              <w:rPr>
                                <w:b/>
                                <w:bCs/>
                                <w:sz w:val="28"/>
                                <w:szCs w:val="28"/>
                                <w:lang w:val="en-ZA"/>
                              </w:rPr>
                            </w:pPr>
                            <w:r w:rsidRPr="00E915B8">
                              <w:rPr>
                                <w:b/>
                                <w:bCs/>
                                <w:sz w:val="28"/>
                                <w:szCs w:val="28"/>
                                <w:lang w:val="en-Z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1A113" id="_x0000_s1032" type="#_x0000_t202" style="position:absolute;left:0;text-align:left;margin-left:18.95pt;margin-top:-.1pt;width:1in;height:26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" fillcolor="white [3212]" stroked="f" strokeweight=".5pt">
                <v:textbox>
                  <w:txbxContent>
                    <w:p w14:paraId="164355C4" w14:textId="77777777" w:rsidR="008D4B6D" w:rsidRPr="00E915B8" w:rsidRDefault="008D4B6D" w:rsidP="008D4B6D">
                      <w:pPr>
                        <w:rPr>
                          <w:b/>
                          <w:bCs/>
                          <w:sz w:val="28"/>
                          <w:szCs w:val="28"/>
                          <w:lang w:val="en-ZA"/>
                        </w:rPr>
                      </w:pPr>
                      <w:r w:rsidRPr="00E915B8">
                        <w:rPr>
                          <w:b/>
                          <w:bCs/>
                          <w:sz w:val="28"/>
                          <w:szCs w:val="28"/>
                          <w:lang w:val="en-ZA"/>
                        </w:rPr>
                        <w:t>(a)</w:t>
                      </w:r>
                    </w:p>
                  </w:txbxContent>
                </v:textbox>
              </v:shape>
            </w:pict>
          </mc:Fallback>
        </mc:AlternateContent>
      </w:r>
      <w:r>
        <w:rPr>
          <w:noProof/>
        </w:rPr>
        <w:drawing>
          <wp:inline distT="0" distB="0" distL="0" distR="0" wp14:anchorId="57A9525F" wp14:editId="32E454C2">
            <wp:extent cx="2684145" cy="1884125"/>
            <wp:effectExtent l="0" t="0" r="1905" b="1905"/>
            <wp:docPr id="1209029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4488" cy="1891385"/>
                    </a:xfrm>
                    <a:prstGeom prst="rect">
                      <a:avLst/>
                    </a:prstGeom>
                    <a:noFill/>
                    <a:ln>
                      <a:noFill/>
                    </a:ln>
                  </pic:spPr>
                </pic:pic>
              </a:graphicData>
            </a:graphic>
          </wp:inline>
        </w:drawing>
      </w:r>
      <w:r>
        <w:rPr>
          <w:noProof/>
        </w:rPr>
        <w:drawing>
          <wp:inline distT="0" distB="0" distL="0" distR="0" wp14:anchorId="44C058C2" wp14:editId="200BD38F">
            <wp:extent cx="2407909" cy="1843405"/>
            <wp:effectExtent l="0" t="0" r="0" b="4445"/>
            <wp:docPr id="996285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5423" cy="1872124"/>
                    </a:xfrm>
                    <a:prstGeom prst="rect">
                      <a:avLst/>
                    </a:prstGeom>
                    <a:noFill/>
                    <a:ln>
                      <a:noFill/>
                    </a:ln>
                  </pic:spPr>
                </pic:pic>
              </a:graphicData>
            </a:graphic>
          </wp:inline>
        </w:drawing>
      </w:r>
    </w:p>
    <w:p w14:paraId="56B31485" w14:textId="5D1D8C38" w:rsidR="008D4B6D" w:rsidRDefault="008D4B6D" w:rsidP="00600535">
      <w:pPr>
        <w:pStyle w:val="CETBodytext"/>
        <w:rPr>
          <w:lang w:val="en-GB"/>
        </w:rPr>
      </w:pPr>
      <w:r w:rsidRPr="00BD077D">
        <w:rPr>
          <w:rStyle w:val="CETCaptionCarattere"/>
        </w:rPr>
        <w:t xml:space="preserve">Figure </w:t>
      </w:r>
      <w:r>
        <w:rPr>
          <w:rStyle w:val="CETCaptionCarattere"/>
        </w:rPr>
        <w:t>4</w:t>
      </w:r>
      <w:r w:rsidRPr="00BD077D">
        <w:rPr>
          <w:rStyle w:val="CETCaptionCarattere"/>
        </w:rPr>
        <w:t xml:space="preserve">: </w:t>
      </w:r>
      <w:r>
        <w:rPr>
          <w:rStyle w:val="CETCaptionCarattere"/>
        </w:rPr>
        <w:t>Overlay of the (a) DSC crystallization curves, and (b) TGA decomposition profiles of the composites</w:t>
      </w:r>
    </w:p>
    <w:p w14:paraId="3ED7192A" w14:textId="77777777" w:rsidR="000116C9" w:rsidRDefault="000116C9" w:rsidP="00600535">
      <w:pPr>
        <w:pStyle w:val="CETBodytext"/>
        <w:rPr>
          <w:lang w:val="en-GB"/>
        </w:rPr>
      </w:pPr>
    </w:p>
    <w:p w14:paraId="69E22416" w14:textId="1D0D5D4C" w:rsidR="008D4B6D" w:rsidRDefault="008D4B6D" w:rsidP="00600535">
      <w:pPr>
        <w:pStyle w:val="CETBodytext"/>
        <w:rPr>
          <w:lang w:val="en-GB"/>
        </w:rPr>
      </w:pPr>
      <w:r>
        <w:rPr>
          <w:lang w:val="en-GB"/>
        </w:rPr>
        <w:t xml:space="preserve">The decomposition profiles of the samples are shown in Figure 4b. </w:t>
      </w:r>
      <w:r w:rsidR="00815EC0">
        <w:rPr>
          <w:lang w:val="en-GB"/>
        </w:rPr>
        <w:t xml:space="preserve">The incorporation of the aragonite particles recovered from the AMD had a negative impact on the thermal stability of the PP matrix. The composites’ onset temperature of decomposition was found to be 368 </w:t>
      </w:r>
      <w:r w:rsidR="00815EC0">
        <w:rPr>
          <w:lang w:val="en-GB"/>
        </w:rPr>
        <w:sym w:font="Symbol" w:char="F0B0"/>
      </w:r>
      <w:r w:rsidR="00815EC0">
        <w:rPr>
          <w:lang w:val="en-GB"/>
        </w:rPr>
        <w:t xml:space="preserve">C when compared to 394 </w:t>
      </w:r>
      <w:r w:rsidR="00815EC0">
        <w:rPr>
          <w:lang w:val="en-GB"/>
        </w:rPr>
        <w:sym w:font="Symbol" w:char="F0B0"/>
      </w:r>
      <w:r w:rsidR="00815EC0">
        <w:rPr>
          <w:lang w:val="en-GB"/>
        </w:rPr>
        <w:t xml:space="preserve">C for the neat PP. </w:t>
      </w:r>
      <w:r w:rsidR="00E20314">
        <w:rPr>
          <w:lang w:val="en-GB"/>
        </w:rPr>
        <w:t>T</w:t>
      </w:r>
      <w:r w:rsidR="005746AA">
        <w:rPr>
          <w:lang w:val="en-GB"/>
        </w:rPr>
        <w:t>h</w:t>
      </w:r>
      <w:r w:rsidR="00E20314">
        <w:rPr>
          <w:lang w:val="en-GB"/>
        </w:rPr>
        <w:t>e negative impact of</w:t>
      </w:r>
      <w:r w:rsidR="00730C87">
        <w:rPr>
          <w:lang w:val="en-GB"/>
        </w:rPr>
        <w:t xml:space="preserve"> </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730C87">
        <w:rPr>
          <w:lang w:val="en-GB"/>
        </w:rPr>
        <w:t xml:space="preserve"> on PP thermal stability has been</w:t>
      </w:r>
      <w:r w:rsidR="00C204D2">
        <w:rPr>
          <w:lang w:val="en-GB"/>
        </w:rPr>
        <w:t xml:space="preserve"> reported, and it was</w:t>
      </w:r>
      <w:r w:rsidR="00730C87">
        <w:rPr>
          <w:lang w:val="en-GB"/>
        </w:rPr>
        <w:t xml:space="preserve"> attributed to poor dispersion of the</w:t>
      </w:r>
      <w:r w:rsidR="00E20314">
        <w:rPr>
          <w:lang w:val="en-GB"/>
        </w:rPr>
        <w:t xml:space="preserve"> </w:t>
      </w:r>
      <w:r w:rsidR="00730C87">
        <w:rPr>
          <w:lang w:val="en-GB"/>
        </w:rPr>
        <w:t>filler</w:t>
      </w:r>
      <w:r w:rsidR="00502792">
        <w:rPr>
          <w:lang w:val="en-GB"/>
        </w:rPr>
        <w:t xml:space="preserve"> and poor interaction with the matrix</w:t>
      </w:r>
      <w:sdt>
        <w:sdtPr>
          <w:rPr>
            <w:lang w:val="en-GB"/>
          </w:rPr>
          <w:id w:val="1238593733"/>
          <w:citation/>
        </w:sdtPr>
        <w:sdtEndPr/>
        <w:sdtContent>
          <w:r w:rsidR="00242D22">
            <w:rPr>
              <w:lang w:val="en-GB"/>
            </w:rPr>
            <w:fldChar w:fldCharType="begin"/>
          </w:r>
          <w:r w:rsidR="00242D22">
            <w:instrText xml:space="preserve"> CITATION Jin8b \l 1033 </w:instrText>
          </w:r>
          <w:r w:rsidR="00242D22">
            <w:rPr>
              <w:lang w:val="en-GB"/>
            </w:rPr>
            <w:fldChar w:fldCharType="separate"/>
          </w:r>
          <w:r w:rsidR="00926F11">
            <w:rPr>
              <w:noProof/>
            </w:rPr>
            <w:t xml:space="preserve"> (Jing et al., 2018b)</w:t>
          </w:r>
          <w:r w:rsidR="00242D22">
            <w:rPr>
              <w:lang w:val="en-GB"/>
            </w:rPr>
            <w:fldChar w:fldCharType="end"/>
          </w:r>
        </w:sdtContent>
      </w:sdt>
      <w:r w:rsidR="00502792">
        <w:rPr>
          <w:lang w:val="en-GB"/>
        </w:rPr>
        <w:t>.</w:t>
      </w:r>
      <w:r w:rsidR="007E2082">
        <w:rPr>
          <w:lang w:val="en-GB"/>
        </w:rPr>
        <w:t xml:space="preserve"> </w:t>
      </w:r>
      <w:r w:rsidR="00B46313">
        <w:rPr>
          <w:lang w:val="en-GB"/>
        </w:rPr>
        <w:t>In</w:t>
      </w:r>
      <w:r w:rsidR="00C204D2">
        <w:rPr>
          <w:lang w:val="en-GB"/>
        </w:rPr>
        <w:t xml:space="preserve"> this study, </w:t>
      </w:r>
      <w:r w:rsidR="00D930E5">
        <w:rPr>
          <w:lang w:val="en-GB"/>
        </w:rPr>
        <w:t>it</w:t>
      </w:r>
      <w:r w:rsidR="00C204D2">
        <w:rPr>
          <w:lang w:val="en-GB"/>
        </w:rPr>
        <w:t xml:space="preserve"> could be attributed to the presence of other metallic impurities precipitated with the aragonite from the mine wastewaters. </w:t>
      </w:r>
      <w:r w:rsidR="00B46313">
        <w:rPr>
          <w:lang w:val="en-GB"/>
        </w:rPr>
        <w:t xml:space="preserve"> </w:t>
      </w:r>
      <w:r w:rsidR="00D930E5">
        <w:rPr>
          <w:lang w:val="en-GB"/>
        </w:rPr>
        <w:t xml:space="preserve">This could be countered by </w:t>
      </w:r>
      <w:r w:rsidR="00E22145">
        <w:rPr>
          <w:lang w:val="en-GB"/>
        </w:rPr>
        <w:t>incorporating some metal deactivating additives</w:t>
      </w:r>
      <w:r w:rsidR="00545899">
        <w:rPr>
          <w:lang w:val="en-GB"/>
        </w:rPr>
        <w:t xml:space="preserve"> that </w:t>
      </w:r>
      <w:r w:rsidR="002C1928">
        <w:rPr>
          <w:lang w:val="en-GB"/>
        </w:rPr>
        <w:t>form stable complexes with the impurities</w:t>
      </w:r>
      <w:r w:rsidR="00A72E20">
        <w:rPr>
          <w:lang w:val="en-GB"/>
        </w:rPr>
        <w:t>, thus rendering them unreactive with the matrix</w:t>
      </w:r>
      <w:sdt>
        <w:sdtPr>
          <w:rPr>
            <w:lang w:val="en-GB"/>
          </w:rPr>
          <w:id w:val="-1336685292"/>
          <w:citation/>
        </w:sdtPr>
        <w:sdtEndPr/>
        <w:sdtContent>
          <w:r w:rsidR="00BC7FDA">
            <w:rPr>
              <w:lang w:val="en-GB"/>
            </w:rPr>
            <w:fldChar w:fldCharType="begin"/>
          </w:r>
          <w:r w:rsidR="00BC7FDA">
            <w:instrText xml:space="preserve"> CITATION Fit16 \l 1033 </w:instrText>
          </w:r>
          <w:r w:rsidR="00BC7FDA">
            <w:rPr>
              <w:lang w:val="en-GB"/>
            </w:rPr>
            <w:fldChar w:fldCharType="separate"/>
          </w:r>
          <w:r w:rsidR="00926F11">
            <w:rPr>
              <w:noProof/>
            </w:rPr>
            <w:t xml:space="preserve"> (Fitaroni et al., 2016)</w:t>
          </w:r>
          <w:r w:rsidR="00BC7FDA">
            <w:rPr>
              <w:lang w:val="en-GB"/>
            </w:rPr>
            <w:fldChar w:fldCharType="end"/>
          </w:r>
        </w:sdtContent>
      </w:sdt>
      <w:r w:rsidR="00A72E20">
        <w:rPr>
          <w:lang w:val="en-GB"/>
        </w:rPr>
        <w:t>.</w:t>
      </w:r>
      <w:r w:rsidR="00E22145">
        <w:rPr>
          <w:lang w:val="en-GB"/>
        </w:rPr>
        <w:t xml:space="preserve"> </w:t>
      </w:r>
      <w:r w:rsidR="00A72E20">
        <w:rPr>
          <w:lang w:val="en-GB"/>
        </w:rPr>
        <w:t>H</w:t>
      </w:r>
      <w:r w:rsidR="00E22145">
        <w:rPr>
          <w:lang w:val="en-GB"/>
        </w:rPr>
        <w:t xml:space="preserve">owever, that is beyond </w:t>
      </w:r>
      <w:r w:rsidR="00F24F16">
        <w:rPr>
          <w:lang w:val="en-GB"/>
        </w:rPr>
        <w:t>the scope of this work.</w:t>
      </w:r>
      <w:r w:rsidR="008A4FD3">
        <w:rPr>
          <w:lang w:val="en-GB"/>
        </w:rPr>
        <w:t xml:space="preserve"> </w:t>
      </w:r>
      <w:r w:rsidR="00502792">
        <w:rPr>
          <w:lang w:val="en-GB"/>
        </w:rPr>
        <w:t xml:space="preserve"> </w:t>
      </w:r>
    </w:p>
    <w:p w14:paraId="1ED72239" w14:textId="6DBBFE56" w:rsidR="00B80683" w:rsidRPr="00B57B36" w:rsidRDefault="00B80683" w:rsidP="00B80683">
      <w:pPr>
        <w:pStyle w:val="CETheadingx"/>
      </w:pPr>
      <w:r>
        <w:t>Mechanical properties</w:t>
      </w:r>
    </w:p>
    <w:p w14:paraId="3E48AFC9" w14:textId="735458D0" w:rsidR="00B80683" w:rsidRDefault="00807EA6" w:rsidP="00B80683">
      <w:pPr>
        <w:pStyle w:val="CETBodytext"/>
        <w:rPr>
          <w:lang w:val="en-GB"/>
        </w:rPr>
      </w:pPr>
      <w:r>
        <w:rPr>
          <w:lang w:val="en-GB"/>
        </w:rPr>
        <w:t>The mechanical properties of the composites are shown in Figure 5</w:t>
      </w:r>
      <w:r w:rsidR="00A80E4E">
        <w:rPr>
          <w:lang w:val="en-GB"/>
        </w:rPr>
        <w:t>. The composites displayed a slight decrease on the impact strength (toughness), when compared to the virgin material (Figure 5a). The PP-EBNS sample displayed a 12 % decrease while the PP-EBWS sample only decreased 3 %.</w:t>
      </w:r>
      <w:r w:rsidR="00501DEA">
        <w:rPr>
          <w:lang w:val="en-GB"/>
        </w:rPr>
        <w:t xml:space="preserve"> This was attributed to poor inter</w:t>
      </w:r>
      <w:r w:rsidR="00281FA4">
        <w:rPr>
          <w:lang w:val="en-GB"/>
        </w:rPr>
        <w:t>fa</w:t>
      </w:r>
      <w:r w:rsidR="00096435">
        <w:rPr>
          <w:lang w:val="en-GB"/>
        </w:rPr>
        <w:t xml:space="preserve">cial interaction between the matrix and </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096435">
        <w:t xml:space="preserve"> </w:t>
      </w:r>
      <w:r w:rsidR="00BC5DF5">
        <w:t>particles</w:t>
      </w:r>
      <w:r w:rsidR="00387482">
        <w:t xml:space="preserve"> since their surfaces</w:t>
      </w:r>
      <w:r w:rsidR="001D1305">
        <w:t xml:space="preserve"> were not individually treated with a surfactant</w:t>
      </w:r>
      <w:sdt>
        <w:sdtPr>
          <w:id w:val="-391504297"/>
          <w:citation/>
        </w:sdtPr>
        <w:sdtEndPr/>
        <w:sdtContent>
          <w:r w:rsidR="00D32475">
            <w:fldChar w:fldCharType="begin"/>
          </w:r>
          <w:r w:rsidR="00D32475">
            <w:instrText xml:space="preserve"> CITATION Moc19 \l 1033 </w:instrText>
          </w:r>
          <w:r w:rsidR="00D32475">
            <w:fldChar w:fldCharType="separate"/>
          </w:r>
          <w:r w:rsidR="00926F11">
            <w:rPr>
              <w:noProof/>
            </w:rPr>
            <w:t xml:space="preserve"> (Moczo &amp; Pukanszky, 2019)</w:t>
          </w:r>
          <w:r w:rsidR="00D32475">
            <w:fldChar w:fldCharType="end"/>
          </w:r>
        </w:sdtContent>
      </w:sdt>
      <w:r w:rsidR="00E77965">
        <w:t>.</w:t>
      </w:r>
      <w:r w:rsidR="00A80E4E">
        <w:rPr>
          <w:lang w:val="en-GB"/>
        </w:rPr>
        <w:t xml:space="preserve"> </w:t>
      </w:r>
      <w:r w:rsidR="007E2D06">
        <w:rPr>
          <w:lang w:val="en-GB"/>
        </w:rPr>
        <w:t xml:space="preserve">At 5 </w:t>
      </w:r>
      <w:r w:rsidR="002877A9">
        <w:rPr>
          <w:lang w:val="en-GB"/>
        </w:rPr>
        <w:t>wt.</w:t>
      </w:r>
      <w:r w:rsidR="007E2D06">
        <w:rPr>
          <w:lang w:val="en-GB"/>
        </w:rPr>
        <w:t xml:space="preserve">% loading, the aragonite increased the flexural modulus (stiffness) of PP by 7 and 5 % for PP-EBNS and PP-EBWS, respectively (Figure 5b). </w:t>
      </w:r>
      <w:r w:rsidR="009C5DA3">
        <w:rPr>
          <w:lang w:val="en-GB"/>
        </w:rPr>
        <w:t xml:space="preserve">These results </w:t>
      </w:r>
      <w:r w:rsidR="00DE14C2">
        <w:rPr>
          <w:lang w:val="en-GB"/>
        </w:rPr>
        <w:t>agreed</w:t>
      </w:r>
      <w:r w:rsidR="009C5DA3">
        <w:rPr>
          <w:lang w:val="en-GB"/>
        </w:rPr>
        <w:t xml:space="preserve"> with</w:t>
      </w:r>
      <w:r w:rsidR="008505AD">
        <w:rPr>
          <w:lang w:val="en-GB"/>
        </w:rPr>
        <w:t xml:space="preserve"> previously reported observations</w:t>
      </w:r>
      <w:r w:rsidR="00CE2363">
        <w:rPr>
          <w:lang w:val="en-GB"/>
        </w:rPr>
        <w:t xml:space="preserve"> especially the incorporation of aragonite</w:t>
      </w:r>
      <w:r w:rsidR="00DE14C2">
        <w:rPr>
          <w:lang w:val="en-GB"/>
        </w:rPr>
        <w:t xml:space="preserve"> in relation to the neat PP</w:t>
      </w:r>
      <w:r w:rsidR="008F0C79">
        <w:rPr>
          <w:lang w:val="en-GB"/>
        </w:rPr>
        <w:t xml:space="preserve"> matrix</w:t>
      </w:r>
      <w:sdt>
        <w:sdtPr>
          <w:rPr>
            <w:lang w:val="en-GB"/>
          </w:rPr>
          <w:id w:val="125053054"/>
          <w:citation/>
        </w:sdtPr>
        <w:sdtEndPr/>
        <w:sdtContent>
          <w:r w:rsidR="007F4562">
            <w:rPr>
              <w:lang w:val="en-GB"/>
            </w:rPr>
            <w:fldChar w:fldCharType="begin"/>
          </w:r>
          <w:r w:rsidR="007F4562">
            <w:instrText xml:space="preserve"> CITATION Jin18 \l 1033 </w:instrText>
          </w:r>
          <w:r w:rsidR="007F4562">
            <w:rPr>
              <w:lang w:val="en-GB"/>
            </w:rPr>
            <w:fldChar w:fldCharType="separate"/>
          </w:r>
          <w:r w:rsidR="00926F11">
            <w:rPr>
              <w:noProof/>
            </w:rPr>
            <w:t xml:space="preserve"> (Jing et al., 2018a)</w:t>
          </w:r>
          <w:r w:rsidR="007F4562">
            <w:rPr>
              <w:lang w:val="en-GB"/>
            </w:rPr>
            <w:fldChar w:fldCharType="end"/>
          </w:r>
        </w:sdtContent>
      </w:sdt>
      <w:r w:rsidR="00DE14C2">
        <w:rPr>
          <w:lang w:val="en-GB"/>
        </w:rPr>
        <w:t xml:space="preserve">. </w:t>
      </w:r>
      <w:r w:rsidR="00D93318">
        <w:rPr>
          <w:lang w:val="en-GB"/>
        </w:rPr>
        <w:t>The overall differences between the PP-EBNS and PP-EBWS composites could be attributed to the incorporated particle’s aspect ratios as well</w:t>
      </w:r>
      <w:r w:rsidR="000B37FC">
        <w:rPr>
          <w:lang w:val="en-GB"/>
        </w:rPr>
        <w:t xml:space="preserve"> as their particle size distributions</w:t>
      </w:r>
      <w:sdt>
        <w:sdtPr>
          <w:rPr>
            <w:lang w:val="en-GB"/>
          </w:rPr>
          <w:id w:val="-1852795666"/>
          <w:citation/>
        </w:sdtPr>
        <w:sdtEndPr/>
        <w:sdtContent>
          <w:r w:rsidR="00926F11">
            <w:rPr>
              <w:lang w:val="en-GB"/>
            </w:rPr>
            <w:fldChar w:fldCharType="begin"/>
          </w:r>
          <w:r w:rsidR="00926F11">
            <w:instrText xml:space="preserve"> CITATION Moc19 \l 1033 </w:instrText>
          </w:r>
          <w:r w:rsidR="00926F11">
            <w:rPr>
              <w:lang w:val="en-GB"/>
            </w:rPr>
            <w:fldChar w:fldCharType="separate"/>
          </w:r>
          <w:r w:rsidR="00926F11">
            <w:rPr>
              <w:noProof/>
            </w:rPr>
            <w:t xml:space="preserve"> (Moczo &amp; Pukanszky, 2019)</w:t>
          </w:r>
          <w:r w:rsidR="00926F11">
            <w:rPr>
              <w:lang w:val="en-GB"/>
            </w:rPr>
            <w:fldChar w:fldCharType="end"/>
          </w:r>
        </w:sdtContent>
      </w:sdt>
      <w:r w:rsidR="00D93318">
        <w:rPr>
          <w:lang w:val="en-GB"/>
        </w:rPr>
        <w:t xml:space="preserve">. </w:t>
      </w:r>
      <w:r w:rsidR="007E2D06">
        <w:rPr>
          <w:lang w:val="en-GB"/>
        </w:rPr>
        <w:t>This was interesting to observe as it demonstrated balanced material properties of the composites as desired to increase the stiffness of the polymer matrix without negatively affecting its toughness</w:t>
      </w:r>
      <w:sdt>
        <w:sdtPr>
          <w:rPr>
            <w:lang w:val="en-GB"/>
          </w:rPr>
          <w:id w:val="-996810041"/>
          <w:citation/>
        </w:sdtPr>
        <w:sdtEndPr/>
        <w:sdtContent>
          <w:r w:rsidR="007E2D06">
            <w:rPr>
              <w:lang w:val="en-GB"/>
            </w:rPr>
            <w:fldChar w:fldCharType="begin"/>
          </w:r>
          <w:r w:rsidR="007E2D06">
            <w:rPr>
              <w:lang w:val="en-ZA"/>
            </w:rPr>
            <w:instrText xml:space="preserve"> CITATION Zha12 \l 7177 </w:instrText>
          </w:r>
          <w:r w:rsidR="007E2D06">
            <w:rPr>
              <w:lang w:val="en-GB"/>
            </w:rPr>
            <w:fldChar w:fldCharType="separate"/>
          </w:r>
          <w:r w:rsidR="00926F11">
            <w:rPr>
              <w:noProof/>
              <w:lang w:val="en-ZA"/>
            </w:rPr>
            <w:t xml:space="preserve"> </w:t>
          </w:r>
          <w:r w:rsidR="00926F11" w:rsidRPr="00926F11">
            <w:rPr>
              <w:noProof/>
              <w:lang w:val="en-ZA"/>
            </w:rPr>
            <w:t>(Zhang et al., 2012)</w:t>
          </w:r>
          <w:r w:rsidR="007E2D06">
            <w:rPr>
              <w:lang w:val="en-GB"/>
            </w:rPr>
            <w:fldChar w:fldCharType="end"/>
          </w:r>
        </w:sdtContent>
      </w:sdt>
      <w:r w:rsidR="007E2D06">
        <w:rPr>
          <w:lang w:val="en-GB"/>
        </w:rPr>
        <w:t>.</w:t>
      </w:r>
      <w:r w:rsidR="00430D27">
        <w:rPr>
          <w:lang w:val="en-GB"/>
        </w:rPr>
        <w:t xml:space="preserve"> </w:t>
      </w:r>
      <w:r w:rsidR="00E71779">
        <w:rPr>
          <w:lang w:val="en-GB"/>
        </w:rPr>
        <w:t xml:space="preserve">The incorporation </w:t>
      </w:r>
      <w:r w:rsidR="00034D5D">
        <w:rPr>
          <w:lang w:val="en-GB"/>
        </w:rPr>
        <w:t>of commercial</w:t>
      </w:r>
      <w:r w:rsidR="00430D27">
        <w:rPr>
          <w:lang w:val="en-GB"/>
        </w:rPr>
        <w:t xml:space="preserve"> </w:t>
      </w: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oMath>
      <w:r w:rsidR="00034D5D">
        <w:t xml:space="preserve"> </w:t>
      </w:r>
      <w:r w:rsidR="007129E9">
        <w:t xml:space="preserve">into PP matrix to compare with aragonite recovered from the </w:t>
      </w:r>
      <w:r w:rsidR="00691CE1">
        <w:t>mine wastewater is a subject of ongoing investigations.</w:t>
      </w:r>
    </w:p>
    <w:p w14:paraId="02539599" w14:textId="77777777" w:rsidR="00D640B5" w:rsidRDefault="00D640B5" w:rsidP="00B80683">
      <w:pPr>
        <w:pStyle w:val="CETBodytext"/>
        <w:rPr>
          <w:lang w:val="en-GB"/>
        </w:rPr>
      </w:pPr>
    </w:p>
    <w:p w14:paraId="71D2CA4A" w14:textId="560416EE" w:rsidR="00D640B5" w:rsidRDefault="00415DD4" w:rsidP="00B80683">
      <w:pPr>
        <w:pStyle w:val="CETBodytext"/>
        <w:rPr>
          <w:lang w:val="en-GB"/>
        </w:rPr>
      </w:pPr>
      <w:r>
        <w:rPr>
          <w:noProof/>
          <w:lang w:val="en-GB"/>
        </w:rPr>
        <w:drawing>
          <wp:inline distT="0" distB="0" distL="0" distR="0" wp14:anchorId="5A74805F" wp14:editId="10C11247">
            <wp:extent cx="2774315" cy="1986619"/>
            <wp:effectExtent l="0" t="0" r="6985" b="0"/>
            <wp:docPr id="306406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181" cy="2008006"/>
                    </a:xfrm>
                    <a:prstGeom prst="rect">
                      <a:avLst/>
                    </a:prstGeom>
                    <a:noFill/>
                  </pic:spPr>
                </pic:pic>
              </a:graphicData>
            </a:graphic>
          </wp:inline>
        </w:drawing>
      </w:r>
      <w:r w:rsidR="00F247E8">
        <w:rPr>
          <w:noProof/>
          <w:lang w:val="en-GB"/>
        </w:rPr>
        <w:drawing>
          <wp:inline distT="0" distB="0" distL="0" distR="0" wp14:anchorId="796CC034" wp14:editId="788B133C">
            <wp:extent cx="2774913" cy="1976755"/>
            <wp:effectExtent l="0" t="0" r="6985" b="4445"/>
            <wp:docPr id="16590544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1926" cy="2010246"/>
                    </a:xfrm>
                    <a:prstGeom prst="rect">
                      <a:avLst/>
                    </a:prstGeom>
                    <a:noFill/>
                  </pic:spPr>
                </pic:pic>
              </a:graphicData>
            </a:graphic>
          </wp:inline>
        </w:drawing>
      </w:r>
    </w:p>
    <w:p w14:paraId="36DAB566" w14:textId="6560013D" w:rsidR="00D640B5" w:rsidRDefault="00807EA6" w:rsidP="00B80683">
      <w:pPr>
        <w:pStyle w:val="CETBodytext"/>
        <w:rPr>
          <w:lang w:val="en-GB"/>
        </w:rPr>
      </w:pPr>
      <w:r w:rsidRPr="00BD077D">
        <w:rPr>
          <w:rStyle w:val="CETCaptionCarattere"/>
        </w:rPr>
        <w:t xml:space="preserve">Figure </w:t>
      </w:r>
      <w:r>
        <w:rPr>
          <w:rStyle w:val="CETCaptionCarattere"/>
        </w:rPr>
        <w:t>5</w:t>
      </w:r>
      <w:r w:rsidRPr="00BD077D">
        <w:rPr>
          <w:rStyle w:val="CETCaptionCarattere"/>
        </w:rPr>
        <w:t xml:space="preserve">: </w:t>
      </w:r>
      <w:r w:rsidR="00A80E4E">
        <w:rPr>
          <w:rStyle w:val="CETCaptionCarattere"/>
        </w:rPr>
        <w:t>Mechanical properties of the composites</w:t>
      </w:r>
      <w:r>
        <w:rPr>
          <w:rStyle w:val="CETCaptionCarattere"/>
        </w:rPr>
        <w:t xml:space="preserve"> (a) </w:t>
      </w:r>
      <w:r w:rsidR="00A80E4E">
        <w:rPr>
          <w:rStyle w:val="CETCaptionCarattere"/>
        </w:rPr>
        <w:t>Impact strength</w:t>
      </w:r>
      <w:r>
        <w:rPr>
          <w:rStyle w:val="CETCaptionCarattere"/>
        </w:rPr>
        <w:t xml:space="preserve">, and (b) </w:t>
      </w:r>
      <w:r w:rsidR="00A80E4E">
        <w:rPr>
          <w:rStyle w:val="CETCaptionCarattere"/>
        </w:rPr>
        <w:t>Flexural Modulus</w:t>
      </w:r>
    </w:p>
    <w:p w14:paraId="68D26B83" w14:textId="77777777" w:rsidR="00600535" w:rsidRPr="00B57B36" w:rsidRDefault="00600535" w:rsidP="00600535">
      <w:pPr>
        <w:pStyle w:val="CETHeading1"/>
        <w:rPr>
          <w:lang w:val="en-GB"/>
        </w:rPr>
      </w:pPr>
      <w:r w:rsidRPr="00B57B36">
        <w:rPr>
          <w:lang w:val="en-GB"/>
        </w:rPr>
        <w:t>Conclusions</w:t>
      </w:r>
    </w:p>
    <w:p w14:paraId="6B736956" w14:textId="6C762198" w:rsidR="00600535" w:rsidRDefault="0050638D" w:rsidP="00600535">
      <w:pPr>
        <w:pStyle w:val="CETBodytext"/>
        <w:rPr>
          <w:lang w:val="en-GB"/>
        </w:rPr>
      </w:pPr>
      <w:r>
        <w:rPr>
          <w:lang w:val="en-GB"/>
        </w:rPr>
        <w:t>The results showed that the aragonite calcium carbonate was recovered from the AMD of the Eastern basin in Gauteng, South Africa</w:t>
      </w:r>
      <w:r w:rsidR="00600535" w:rsidRPr="00B57B36">
        <w:rPr>
          <w:lang w:val="en-GB"/>
        </w:rPr>
        <w:t>.</w:t>
      </w:r>
      <w:r w:rsidR="00D93318">
        <w:rPr>
          <w:lang w:val="en-GB"/>
        </w:rPr>
        <w:t xml:space="preserve"> The removal of suspended solids had an impact on the resulting particle’s morphology and size distribution, consequently, different aspect ratios</w:t>
      </w:r>
      <w:r w:rsidR="004A3506">
        <w:rPr>
          <w:lang w:val="en-GB"/>
        </w:rPr>
        <w:t xml:space="preserve"> (8.7 vs. 7.2 for EBNS and EBWS, respectively)</w:t>
      </w:r>
      <w:r w:rsidR="00D93318">
        <w:rPr>
          <w:lang w:val="en-GB"/>
        </w:rPr>
        <w:t>. The particles did not have any influence on the polymer matrix crystalline phase. However, they did have a heterogenous nucleating effect</w:t>
      </w:r>
      <w:r w:rsidR="004A3506">
        <w:rPr>
          <w:lang w:val="en-GB"/>
        </w:rPr>
        <w:t xml:space="preserve">, with PP-EBWS having the highest cooling crystallization peak at 122.1 </w:t>
      </w:r>
      <w:r w:rsidR="004A3506">
        <w:rPr>
          <w:lang w:val="en-GB"/>
        </w:rPr>
        <w:sym w:font="Symbol" w:char="F0B0"/>
      </w:r>
      <w:r w:rsidR="004A3506">
        <w:rPr>
          <w:lang w:val="en-GB"/>
        </w:rPr>
        <w:t xml:space="preserve">C vs. 120.8 </w:t>
      </w:r>
      <w:r w:rsidR="004A3506">
        <w:rPr>
          <w:lang w:val="en-GB"/>
        </w:rPr>
        <w:sym w:font="Symbol" w:char="F0B0"/>
      </w:r>
      <w:r w:rsidR="004A3506">
        <w:rPr>
          <w:lang w:val="en-GB"/>
        </w:rPr>
        <w:t xml:space="preserve">C for the virgin polymer. </w:t>
      </w:r>
      <w:r w:rsidR="00D93318">
        <w:rPr>
          <w:lang w:val="en-GB"/>
        </w:rPr>
        <w:t xml:space="preserve"> </w:t>
      </w:r>
      <w:r w:rsidR="004A3506">
        <w:rPr>
          <w:lang w:val="en-GB"/>
        </w:rPr>
        <w:t>The particles also had</w:t>
      </w:r>
      <w:r w:rsidR="00D93318">
        <w:rPr>
          <w:lang w:val="en-GB"/>
        </w:rPr>
        <w:t xml:space="preserve"> a negative influence on the thermal stability of the matrix</w:t>
      </w:r>
      <w:r w:rsidR="004A3506">
        <w:rPr>
          <w:lang w:val="en-GB"/>
        </w:rPr>
        <w:t xml:space="preserve"> with the onset temperature of degradation reduced from 394 </w:t>
      </w:r>
      <w:r w:rsidR="004A3506">
        <w:rPr>
          <w:lang w:val="en-GB"/>
        </w:rPr>
        <w:sym w:font="Symbol" w:char="F0B0"/>
      </w:r>
      <w:r w:rsidR="004A3506">
        <w:rPr>
          <w:lang w:val="en-GB"/>
        </w:rPr>
        <w:t xml:space="preserve">C for the virgin polymer to 368 </w:t>
      </w:r>
      <w:r w:rsidR="004A3506">
        <w:rPr>
          <w:lang w:val="en-GB"/>
        </w:rPr>
        <w:sym w:font="Symbol" w:char="F0B0"/>
      </w:r>
      <w:r w:rsidR="004A3506">
        <w:rPr>
          <w:lang w:val="en-GB"/>
        </w:rPr>
        <w:t>C for the composites</w:t>
      </w:r>
      <w:r w:rsidR="00D93318">
        <w:rPr>
          <w:lang w:val="en-GB"/>
        </w:rPr>
        <w:t xml:space="preserve">. The aragonite particles imparted a good balance </w:t>
      </w:r>
      <w:r w:rsidR="009C082E">
        <w:rPr>
          <w:lang w:val="en-GB"/>
        </w:rPr>
        <w:t>to</w:t>
      </w:r>
      <w:r w:rsidR="00D93318">
        <w:rPr>
          <w:lang w:val="en-GB"/>
        </w:rPr>
        <w:t xml:space="preserve"> the impact strength</w:t>
      </w:r>
      <w:r w:rsidR="004A3506">
        <w:rPr>
          <w:lang w:val="en-GB"/>
        </w:rPr>
        <w:t xml:space="preserve"> (decreased by 12 and 3 % for the PP-EBNS and PP-EBWS, respectively)</w:t>
      </w:r>
      <w:r w:rsidR="00D93318">
        <w:rPr>
          <w:lang w:val="en-GB"/>
        </w:rPr>
        <w:t xml:space="preserve"> and flexural modulus of the ethylene propylene </w:t>
      </w:r>
      <w:r w:rsidR="004A3506">
        <w:rPr>
          <w:lang w:val="en-GB"/>
        </w:rPr>
        <w:t xml:space="preserve">copolymer (increased by </w:t>
      </w:r>
      <w:r w:rsidR="00FF6CAF">
        <w:rPr>
          <w:lang w:val="en-GB"/>
        </w:rPr>
        <w:t>7 and 5 % for the PP-EBNS and PP-EBWS, respectively)</w:t>
      </w:r>
      <w:r w:rsidR="00D93318">
        <w:rPr>
          <w:lang w:val="en-GB"/>
        </w:rPr>
        <w:t xml:space="preserve">, thus demonstrating the industrial utility of the mineral recovered from the acid </w:t>
      </w:r>
      <w:proofErr w:type="gramStart"/>
      <w:r w:rsidR="00D93318">
        <w:rPr>
          <w:lang w:val="en-GB"/>
        </w:rPr>
        <w:t>mine</w:t>
      </w:r>
      <w:proofErr w:type="gramEnd"/>
      <w:r w:rsidR="00D93318">
        <w:rPr>
          <w:lang w:val="en-GB"/>
        </w:rPr>
        <w:t xml:space="preserve"> drainage. </w:t>
      </w:r>
      <w:r w:rsidR="001D0CFB" w:rsidRPr="001D0CFB">
        <w:rPr>
          <w:lang w:val="en-GB"/>
        </w:rPr>
        <w:t xml:space="preserve"> </w:t>
      </w:r>
    </w:p>
    <w:p w14:paraId="459D05E6" w14:textId="77777777" w:rsidR="00600535" w:rsidRPr="00B57B36" w:rsidRDefault="00600535" w:rsidP="00600535">
      <w:pPr>
        <w:pStyle w:val="CETAcknowledgementstitle"/>
      </w:pPr>
      <w:r w:rsidRPr="00B57B36">
        <w:t>Acknowledgments</w:t>
      </w:r>
    </w:p>
    <w:p w14:paraId="33F8138F" w14:textId="2B86DA32" w:rsidR="00600535" w:rsidRPr="00B57B36" w:rsidRDefault="00610AB3" w:rsidP="00600535">
      <w:pPr>
        <w:pStyle w:val="CETBodytext"/>
        <w:rPr>
          <w:lang w:val="en-GB"/>
        </w:rPr>
      </w:pPr>
      <w:r>
        <w:rPr>
          <w:lang w:val="en-GB"/>
        </w:rPr>
        <w:t xml:space="preserve">Authors would like to extend their gratitude </w:t>
      </w:r>
      <w:r w:rsidR="00D76993">
        <w:rPr>
          <w:lang w:val="en-GB"/>
        </w:rPr>
        <w:t>to Ms Zandile Xulu and Mr Ashville Damans (Xuba Compounders Pty. Ltd</w:t>
      </w:r>
      <w:r w:rsidR="00CF5C0C">
        <w:rPr>
          <w:lang w:val="en-GB"/>
        </w:rPr>
        <w:t xml:space="preserve">.) with their assistance on </w:t>
      </w:r>
      <w:r w:rsidR="00662825">
        <w:rPr>
          <w:lang w:val="en-GB"/>
        </w:rPr>
        <w:t>mechanical analysis of the composites</w:t>
      </w:r>
      <w:r w:rsidR="00600535" w:rsidRPr="00B57B36">
        <w:rPr>
          <w:lang w:val="en-GB"/>
        </w:rPr>
        <w:t>.</w:t>
      </w:r>
    </w:p>
    <w:sdt>
      <w:sdtPr>
        <w:rPr>
          <w:b w:val="0"/>
          <w:sz w:val="18"/>
        </w:rPr>
        <w:id w:val="-1054537978"/>
        <w:docPartObj>
          <w:docPartGallery w:val="Bibliographies"/>
          <w:docPartUnique/>
        </w:docPartObj>
      </w:sdtPr>
      <w:sdtEndPr/>
      <w:sdtContent>
        <w:p w14:paraId="6CB8299D" w14:textId="79B64571" w:rsidR="00717734" w:rsidRPr="00717734" w:rsidRDefault="00717734" w:rsidP="00717734">
          <w:pPr>
            <w:pStyle w:val="Heading1"/>
            <w:numPr>
              <w:ilvl w:val="0"/>
              <w:numId w:val="0"/>
            </w:numPr>
            <w:rPr>
              <w:sz w:val="18"/>
              <w:szCs w:val="18"/>
            </w:rPr>
          </w:pPr>
          <w:r w:rsidRPr="00717734">
            <w:rPr>
              <w:sz w:val="18"/>
              <w:szCs w:val="18"/>
            </w:rPr>
            <w:t>References</w:t>
          </w:r>
        </w:p>
        <w:sdt>
          <w:sdtPr>
            <w:id w:val="-573587230"/>
            <w:bibliography/>
          </w:sdtPr>
          <w:sdtEndPr/>
          <w:sdtContent>
            <w:p w14:paraId="6DADAF13" w14:textId="77777777" w:rsidR="00926F11" w:rsidRDefault="00717734" w:rsidP="00926F11">
              <w:pPr>
                <w:pStyle w:val="Bibliography"/>
                <w:rPr>
                  <w:noProof/>
                  <w:sz w:val="24"/>
                  <w:szCs w:val="24"/>
                </w:rPr>
              </w:pPr>
              <w:r>
                <w:fldChar w:fldCharType="begin"/>
              </w:r>
              <w:r>
                <w:instrText xml:space="preserve"> BIBLIOGRAPHY </w:instrText>
              </w:r>
              <w:r>
                <w:fldChar w:fldCharType="separate"/>
              </w:r>
              <w:r w:rsidR="00926F11">
                <w:rPr>
                  <w:noProof/>
                </w:rPr>
                <w:t xml:space="preserve">Afshar, A., Massoumi, I., Khosh, R. L., &amp; Bagheri, R. (2010). Fracture behavior dependence on load-bearing capacity of filler in nano- and microcomposites of polypropylene containing calcium carbonate. </w:t>
              </w:r>
              <w:r w:rsidR="00926F11">
                <w:rPr>
                  <w:i/>
                  <w:iCs/>
                  <w:noProof/>
                </w:rPr>
                <w:t>Materials and Design, 31</w:t>
              </w:r>
              <w:r w:rsidR="00926F11">
                <w:rPr>
                  <w:noProof/>
                </w:rPr>
                <w:t>, 802-807. https://doi.org/10.1016/j.matdes.2009.07.054</w:t>
              </w:r>
            </w:p>
            <w:p w14:paraId="3B226DC1" w14:textId="77777777" w:rsidR="00926F11" w:rsidRDefault="00926F11" w:rsidP="00926F11">
              <w:pPr>
                <w:pStyle w:val="Bibliography"/>
                <w:rPr>
                  <w:noProof/>
                </w:rPr>
              </w:pPr>
              <w:r>
                <w:rPr>
                  <w:noProof/>
                </w:rPr>
                <w:t xml:space="preserve">Chafidz, A., Kaavessina, M., Al-Zahrani, S., &amp; Al-Otaibi, M. N. (2016). Rheological and mechanical properties of polypropylene/calcium carbonate nanocomposites prepared from masterbatch. </w:t>
              </w:r>
              <w:r>
                <w:rPr>
                  <w:i/>
                  <w:iCs/>
                  <w:noProof/>
                </w:rPr>
                <w:t>Journal of Thermoplastic Composite Materials, 29</w:t>
              </w:r>
              <w:r>
                <w:rPr>
                  <w:noProof/>
                </w:rPr>
                <w:t>(5), 593-622. https://doi.org/10.1177/0892705714530747</w:t>
              </w:r>
            </w:p>
            <w:p w14:paraId="32D956B6" w14:textId="77777777" w:rsidR="00926F11" w:rsidRDefault="00926F11" w:rsidP="00926F11">
              <w:pPr>
                <w:pStyle w:val="Bibliography"/>
                <w:rPr>
                  <w:noProof/>
                </w:rPr>
              </w:pPr>
              <w:r>
                <w:rPr>
                  <w:noProof/>
                </w:rPr>
                <w:t xml:space="preserve">Chan, C.-M., Wu, J., Li, J.-X., &amp; Cheung, Y.-K. (2002). Polypropylene/calcium carbonate nanocomposites. </w:t>
              </w:r>
              <w:r>
                <w:rPr>
                  <w:i/>
                  <w:iCs/>
                  <w:noProof/>
                </w:rPr>
                <w:t>Polymer, 43</w:t>
              </w:r>
              <w:r>
                <w:rPr>
                  <w:noProof/>
                </w:rPr>
                <w:t>(10), 2981-2992. https://doi.org/10.1016/S0032-3861(02)00120-9</w:t>
              </w:r>
            </w:p>
            <w:p w14:paraId="56E0568A" w14:textId="77777777" w:rsidR="00926F11" w:rsidRDefault="00926F11" w:rsidP="00926F11">
              <w:pPr>
                <w:pStyle w:val="Bibliography"/>
                <w:rPr>
                  <w:noProof/>
                </w:rPr>
              </w:pPr>
              <w:r>
                <w:rPr>
                  <w:noProof/>
                </w:rPr>
                <w:t xml:space="preserve">do Nascimento, E. M., Eiras, D., &amp; Pessan, L. A. (2016). Effect of thermal treatment on impact resistance and mechanical properties of polypropylene/calcium carbonate nanocomposites. </w:t>
              </w:r>
              <w:r>
                <w:rPr>
                  <w:i/>
                  <w:iCs/>
                  <w:noProof/>
                </w:rPr>
                <w:t>Composites Part B, 91</w:t>
              </w:r>
              <w:r>
                <w:rPr>
                  <w:noProof/>
                </w:rPr>
                <w:t>, 228-234. https://doi.org/10.1016/j.compositesb.2015.12.040</w:t>
              </w:r>
            </w:p>
            <w:p w14:paraId="7764BE7A" w14:textId="77777777" w:rsidR="00926F11" w:rsidRDefault="00926F11" w:rsidP="00926F11">
              <w:pPr>
                <w:pStyle w:val="Bibliography"/>
                <w:rPr>
                  <w:noProof/>
                </w:rPr>
              </w:pPr>
              <w:r>
                <w:rPr>
                  <w:noProof/>
                </w:rPr>
                <w:t xml:space="preserve">Eiras, D., &amp; Pessan, L. A. (2009). Mechanical Properties of Polypropylene/Calcium Carbonate Nanocomposites. </w:t>
              </w:r>
              <w:r>
                <w:rPr>
                  <w:i/>
                  <w:iCs/>
                  <w:noProof/>
                </w:rPr>
                <w:t>Materials Research, 12</w:t>
              </w:r>
              <w:r>
                <w:rPr>
                  <w:noProof/>
                </w:rPr>
                <w:t>(4), 517-522. https://doi.org/10.1590/S1516-14392009000400023</w:t>
              </w:r>
            </w:p>
            <w:p w14:paraId="6EEC400F" w14:textId="77777777" w:rsidR="00926F11" w:rsidRDefault="00926F11" w:rsidP="00926F11">
              <w:pPr>
                <w:pStyle w:val="Bibliography"/>
                <w:rPr>
                  <w:noProof/>
                </w:rPr>
              </w:pPr>
              <w:r>
                <w:rPr>
                  <w:noProof/>
                </w:rPr>
                <w:t xml:space="preserve">Ezenkwa, O. E., Hassan, A., &amp; Samsudin, S. A. (2021). Tensile and Impact Properties of Rice Husk Filled Ethylene-Acrylic Ester Maleic Anhydride Compatibilized Polypropylene Composites. </w:t>
              </w:r>
              <w:r>
                <w:rPr>
                  <w:i/>
                  <w:iCs/>
                  <w:noProof/>
                </w:rPr>
                <w:t>Chemical Engineering Transactions, 83</w:t>
              </w:r>
              <w:r>
                <w:rPr>
                  <w:noProof/>
                </w:rPr>
                <w:t>, 511-516. https://doi.org/10.3303/CET2183086</w:t>
              </w:r>
            </w:p>
            <w:p w14:paraId="78627575" w14:textId="77777777" w:rsidR="00926F11" w:rsidRDefault="00926F11" w:rsidP="00926F11">
              <w:pPr>
                <w:pStyle w:val="Bibliography"/>
                <w:rPr>
                  <w:noProof/>
                </w:rPr>
              </w:pPr>
              <w:r>
                <w:rPr>
                  <w:noProof/>
                </w:rPr>
                <w:t xml:space="preserve">Faud, M., Hanim, H., Zarina, R., Mohd. Ishak, Z., &amp; Hassan, A. (2010). Polypropylene/calcium carbonate nanocomposites - effects of processing techniques and maleated propylene compatibiliser. </w:t>
              </w:r>
              <w:r>
                <w:rPr>
                  <w:i/>
                  <w:iCs/>
                  <w:noProof/>
                </w:rPr>
                <w:t>eXPRESS Polymer Letters, 4</w:t>
              </w:r>
              <w:r>
                <w:rPr>
                  <w:noProof/>
                </w:rPr>
                <w:t>(10), 611-620. https://doi.org/10.3144/expresspolymlett.2010.76</w:t>
              </w:r>
            </w:p>
            <w:p w14:paraId="74410D00" w14:textId="77777777" w:rsidR="00926F11" w:rsidRDefault="00926F11" w:rsidP="00926F11">
              <w:pPr>
                <w:pStyle w:val="Bibliography"/>
                <w:rPr>
                  <w:noProof/>
                </w:rPr>
              </w:pPr>
              <w:r>
                <w:rPr>
                  <w:noProof/>
                </w:rPr>
                <w:t xml:space="preserve">Fitaroni, L. B., de Lima, J., Cruz, S. A., &amp; Waldman, W. R. (2016). Effect of compatibilizer and Irganox MD 1024 on the thermo-oxidative stability of PP/PP-g-MA/OMMT nanocomposites. </w:t>
              </w:r>
              <w:r>
                <w:rPr>
                  <w:i/>
                  <w:iCs/>
                  <w:noProof/>
                </w:rPr>
                <w:t>Polymer Testing, 53</w:t>
              </w:r>
              <w:r>
                <w:rPr>
                  <w:noProof/>
                </w:rPr>
                <w:t>, 165-173. https://doi.org/10.1016/j.polymertesting.2016.05.016</w:t>
              </w:r>
            </w:p>
            <w:p w14:paraId="7E9CB0CF" w14:textId="77777777" w:rsidR="00926F11" w:rsidRDefault="00926F11" w:rsidP="00926F11">
              <w:pPr>
                <w:pStyle w:val="Bibliography"/>
                <w:rPr>
                  <w:noProof/>
                </w:rPr>
              </w:pPr>
              <w:r>
                <w:rPr>
                  <w:noProof/>
                </w:rPr>
                <w:t xml:space="preserve">Goetschl, K. E., Purgstaller, B., Dietzel, M., &amp; Mavromatis, V. (2019). Effect of sulfate on magnesium incorporation in low-magnesium calcite. </w:t>
              </w:r>
              <w:r>
                <w:rPr>
                  <w:i/>
                  <w:iCs/>
                  <w:noProof/>
                </w:rPr>
                <w:t>Geochimica et Cosmochimica Acta, 265</w:t>
              </w:r>
              <w:r>
                <w:rPr>
                  <w:noProof/>
                </w:rPr>
                <w:t>, 505-519. https://doi.org/10.1016/j.gca.2019.07.024</w:t>
              </w:r>
            </w:p>
            <w:p w14:paraId="5C37E01F" w14:textId="77777777" w:rsidR="00926F11" w:rsidRDefault="00926F11" w:rsidP="00926F11">
              <w:pPr>
                <w:pStyle w:val="Bibliography"/>
                <w:rPr>
                  <w:noProof/>
                </w:rPr>
              </w:pPr>
              <w:r>
                <w:rPr>
                  <w:noProof/>
                </w:rPr>
                <w:t xml:space="preserve">Jimoh, O. A., Ariffin, K. S., Hussin, H. B., &amp; Temitope, A. E. (2018). Synthesis of precipitated calcium carbonate: a review. </w:t>
              </w:r>
              <w:r>
                <w:rPr>
                  <w:i/>
                  <w:iCs/>
                  <w:noProof/>
                </w:rPr>
                <w:t>Carbonate Evaporites, 33</w:t>
              </w:r>
              <w:r>
                <w:rPr>
                  <w:noProof/>
                </w:rPr>
                <w:t>, 331-346. https://doi.org/10.1007/s13146-017-0341-x</w:t>
              </w:r>
            </w:p>
            <w:p w14:paraId="669DE6E4" w14:textId="77777777" w:rsidR="00926F11" w:rsidRDefault="00926F11" w:rsidP="00926F11">
              <w:pPr>
                <w:pStyle w:val="Bibliography"/>
                <w:rPr>
                  <w:noProof/>
                </w:rPr>
              </w:pPr>
              <w:r>
                <w:rPr>
                  <w:noProof/>
                </w:rPr>
                <w:t xml:space="preserve">Jing, X., Gong, W., Feng, Z., Zhang, M., Meng, X., &amp; Zheng, B. (2018b). Novel Comb-Like Copolymer Dispersant for Polypropylene/CaCO3 Composites and Its Influence on Dispersion, Crystallization, Mechanical, and Thermal Properties. </w:t>
              </w:r>
              <w:r>
                <w:rPr>
                  <w:i/>
                  <w:iCs/>
                  <w:noProof/>
                </w:rPr>
                <w:t>Polymer-Plastics Technology and Engineering, 57</w:t>
              </w:r>
              <w:r>
                <w:rPr>
                  <w:noProof/>
                </w:rPr>
                <w:t>(10), 986-996. https://doi.org/10.1080/03602559.2017.1370105</w:t>
              </w:r>
            </w:p>
            <w:p w14:paraId="52AFACAB" w14:textId="77777777" w:rsidR="00926F11" w:rsidRDefault="00926F11" w:rsidP="00926F11">
              <w:pPr>
                <w:pStyle w:val="Bibliography"/>
                <w:rPr>
                  <w:noProof/>
                </w:rPr>
              </w:pPr>
              <w:r>
                <w:rPr>
                  <w:noProof/>
                </w:rPr>
                <w:t xml:space="preserve">Jing, Y., Nai, X., DAng, L., Zhu, D., Wang, Y., Dong, Y., &amp; Li, W. (2018a). Reinforcing polypropylene with calcium carbonate of different morphologies and polymorphs. </w:t>
              </w:r>
              <w:r>
                <w:rPr>
                  <w:i/>
                  <w:iCs/>
                  <w:noProof/>
                </w:rPr>
                <w:t>Science and Engineering of Composites, 25</w:t>
              </w:r>
              <w:r>
                <w:rPr>
                  <w:noProof/>
                </w:rPr>
                <w:t>(4), 745-751. https://doi.org/10.1515/secm-2015-0307</w:t>
              </w:r>
            </w:p>
            <w:p w14:paraId="387FEEEB" w14:textId="77777777" w:rsidR="00926F11" w:rsidRDefault="00926F11" w:rsidP="00926F11">
              <w:pPr>
                <w:pStyle w:val="Bibliography"/>
                <w:rPr>
                  <w:noProof/>
                </w:rPr>
              </w:pPr>
              <w:r>
                <w:rPr>
                  <w:noProof/>
                </w:rPr>
                <w:t xml:space="preserve">Khumalo, R., &amp; Chirwa, E. (2024). Witwatersrand Basin Acid Mine Drainage (AMD) Softening via Urea Hydrolysis: Part 1 Experimental. </w:t>
              </w:r>
              <w:r>
                <w:rPr>
                  <w:i/>
                  <w:iCs/>
                  <w:noProof/>
                </w:rPr>
                <w:t>Chemical Engineering Transactions, 110</w:t>
              </w:r>
              <w:r>
                <w:rPr>
                  <w:noProof/>
                </w:rPr>
                <w:t>, 463-468. https://doi.org/10.3303/CET24110078</w:t>
              </w:r>
            </w:p>
            <w:p w14:paraId="1EFD7C33" w14:textId="77777777" w:rsidR="00926F11" w:rsidRDefault="00926F11" w:rsidP="00926F11">
              <w:pPr>
                <w:pStyle w:val="Bibliography"/>
                <w:rPr>
                  <w:noProof/>
                </w:rPr>
              </w:pPr>
              <w:r>
                <w:rPr>
                  <w:noProof/>
                </w:rPr>
                <w:t xml:space="preserve">Khumalo, R., Brink, H., &amp; Chirwa, E. (submitted). Hydrothermal synthesis of Aragonte from Acid Mine Drainage of the Witwatersrand basin in Gauteng, South Africa: A preliminary study. </w:t>
              </w:r>
              <w:r>
                <w:rPr>
                  <w:i/>
                  <w:iCs/>
                  <w:noProof/>
                </w:rPr>
                <w:t>Mine Water and the Environment</w:t>
              </w:r>
              <w:r>
                <w:rPr>
                  <w:noProof/>
                </w:rPr>
                <w:t>.</w:t>
              </w:r>
            </w:p>
            <w:p w14:paraId="7D92674C" w14:textId="77777777" w:rsidR="00926F11" w:rsidRDefault="00926F11" w:rsidP="00926F11">
              <w:pPr>
                <w:pStyle w:val="Bibliography"/>
                <w:rPr>
                  <w:noProof/>
                </w:rPr>
              </w:pPr>
              <w:r>
                <w:rPr>
                  <w:noProof/>
                </w:rPr>
                <w:t xml:space="preserve">Lanyi, F. J., Wenzke, N., Kaschta, J., &amp; Schubert, D. W. (2020). On the Determination of the Enthalpy of Fusion of a-Crystalline Isotactic Polypropylene Using Differential Scanning Calorimetry, X-Ray Diffreaction, and Fourier-Transfrom Infrared Spectroscopy: An Old Story Revisited. </w:t>
              </w:r>
              <w:r>
                <w:rPr>
                  <w:i/>
                  <w:iCs/>
                  <w:noProof/>
                </w:rPr>
                <w:t>Advanced Engineering Materials, 22</w:t>
              </w:r>
              <w:r>
                <w:rPr>
                  <w:noProof/>
                </w:rPr>
                <w:t>, 1900796 (1 - 8). https://doi.org/10.1002/adem.201900796</w:t>
              </w:r>
            </w:p>
            <w:p w14:paraId="7491C658" w14:textId="77777777" w:rsidR="00926F11" w:rsidRDefault="00926F11" w:rsidP="00926F11">
              <w:pPr>
                <w:pStyle w:val="Bibliography"/>
                <w:rPr>
                  <w:noProof/>
                </w:rPr>
              </w:pPr>
              <w:r>
                <w:rPr>
                  <w:noProof/>
                </w:rPr>
                <w:t xml:space="preserve">Li, L., &amp; Dou, Q. (2011). Effect of Malonic Acid Treatment on Crystal Structure, Melting Behavior, Morphology, and Mechanical Properties of Isotactic Polypropylene/Nano-CaCO3 Composites. </w:t>
              </w:r>
              <w:r>
                <w:rPr>
                  <w:i/>
                  <w:iCs/>
                  <w:noProof/>
                </w:rPr>
                <w:t>Journal of Macromolecular Science, Part B: Physics, 50</w:t>
              </w:r>
              <w:r>
                <w:rPr>
                  <w:noProof/>
                </w:rPr>
                <w:t>, 831-845. https://doi.org/10.1080/00222348.2010.483392</w:t>
              </w:r>
            </w:p>
            <w:p w14:paraId="17730200" w14:textId="77777777" w:rsidR="00926F11" w:rsidRDefault="00926F11" w:rsidP="00926F11">
              <w:pPr>
                <w:pStyle w:val="Bibliography"/>
                <w:rPr>
                  <w:noProof/>
                </w:rPr>
              </w:pPr>
              <w:r>
                <w:rPr>
                  <w:noProof/>
                </w:rPr>
                <w:t xml:space="preserve">Li, X.-H., He, Y., Li, X., An, F., Yang, D., &amp; Yu, Z.-Z. (2017). Simultaneous Enhancements in Toughness and Electrical Conductivity of Polypropylene/Carbon Nanotube Nanocomposites by Incorporation of Electrically Inert Calcium Carbonate Nanoparticles. </w:t>
              </w:r>
              <w:r>
                <w:rPr>
                  <w:i/>
                  <w:iCs/>
                  <w:noProof/>
                </w:rPr>
                <w:t>Industrial &amp; Engineering Chemistry Research, 56</w:t>
              </w:r>
              <w:r>
                <w:rPr>
                  <w:noProof/>
                </w:rPr>
                <w:t>, 2783-2788. https://doi.org/10.1021/acs.iecr.7b00446</w:t>
              </w:r>
            </w:p>
            <w:p w14:paraId="3220805C" w14:textId="77777777" w:rsidR="00926F11" w:rsidRDefault="00926F11" w:rsidP="00926F11">
              <w:pPr>
                <w:pStyle w:val="Bibliography"/>
                <w:rPr>
                  <w:noProof/>
                </w:rPr>
              </w:pPr>
              <w:r>
                <w:rPr>
                  <w:noProof/>
                </w:rPr>
                <w:t xml:space="preserve">Liang, J.-Z. (2013). Reinforcement and qauntitative description of inorganic particulate-filled polymer composites. </w:t>
              </w:r>
              <w:r>
                <w:rPr>
                  <w:i/>
                  <w:iCs/>
                  <w:noProof/>
                </w:rPr>
                <w:t>Composites: Part B, 51</w:t>
              </w:r>
              <w:r>
                <w:rPr>
                  <w:noProof/>
                </w:rPr>
                <w:t>, 224-232. https://doi.org/10.1016/j.compositesb.2013.03.019</w:t>
              </w:r>
            </w:p>
            <w:p w14:paraId="23E91267" w14:textId="77777777" w:rsidR="00926F11" w:rsidRDefault="00926F11" w:rsidP="00926F11">
              <w:pPr>
                <w:pStyle w:val="Bibliography"/>
                <w:rPr>
                  <w:noProof/>
                </w:rPr>
              </w:pPr>
              <w:r>
                <w:rPr>
                  <w:noProof/>
                </w:rPr>
                <w:t xml:space="preserve">Lin, y., Chen, H., Chan, C.-M., &amp; Wu, J. (2008). High Impact Toughness Polypropylene/CaCO3 Nanocomposites and the Toughening Mechanism. </w:t>
              </w:r>
              <w:r>
                <w:rPr>
                  <w:i/>
                  <w:iCs/>
                  <w:noProof/>
                </w:rPr>
                <w:t>Macromolecules, 41</w:t>
              </w:r>
              <w:r>
                <w:rPr>
                  <w:noProof/>
                </w:rPr>
                <w:t>(23), 9204-9213. https://doi.org/10.1021/ma801095d</w:t>
              </w:r>
            </w:p>
            <w:p w14:paraId="3F73D01C" w14:textId="77777777" w:rsidR="00926F11" w:rsidRDefault="00926F11" w:rsidP="00926F11">
              <w:pPr>
                <w:pStyle w:val="Bibliography"/>
                <w:rPr>
                  <w:noProof/>
                </w:rPr>
              </w:pPr>
              <w:r>
                <w:rPr>
                  <w:noProof/>
                </w:rPr>
                <w:t xml:space="preserve">Mallick, P. (2018). Particulate Filled and Short Fiber Reinforced Polymer Composites. In P. W. Beaumont, &amp; C. H. Zweben, </w:t>
              </w:r>
              <w:r>
                <w:rPr>
                  <w:i/>
                  <w:iCs/>
                  <w:noProof/>
                </w:rPr>
                <w:t>Comprehensive Composite Materials II</w:t>
              </w:r>
              <w:r>
                <w:rPr>
                  <w:noProof/>
                </w:rPr>
                <w:t xml:space="preserve"> (Vol. 2, pp. 360-400). Elsevier Ltd. https://doi.org/10.1016/B978-0-12-803581-8.03837-6</w:t>
              </w:r>
            </w:p>
            <w:p w14:paraId="5903A214" w14:textId="77777777" w:rsidR="00926F11" w:rsidRDefault="00926F11" w:rsidP="00926F11">
              <w:pPr>
                <w:pStyle w:val="Bibliography"/>
                <w:rPr>
                  <w:noProof/>
                </w:rPr>
              </w:pPr>
              <w:r>
                <w:rPr>
                  <w:noProof/>
                </w:rPr>
                <w:t xml:space="preserve">Moczo, J., &amp; Pukanszky, B. (2019). Particulate Filled Polypropylene: Structure and Properties. In J. Karger-Kocsis, &amp; T. Barany, </w:t>
              </w:r>
              <w:r>
                <w:rPr>
                  <w:i/>
                  <w:iCs/>
                  <w:noProof/>
                </w:rPr>
                <w:t>Polypropylene Handbook</w:t>
              </w:r>
              <w:r>
                <w:rPr>
                  <w:noProof/>
                </w:rPr>
                <w:t xml:space="preserve"> (pp. 357-417). Springer, Cham. https://doi.org/10.1007/978-3-030-12903-3_7</w:t>
              </w:r>
            </w:p>
            <w:p w14:paraId="7B6DC648" w14:textId="77777777" w:rsidR="00926F11" w:rsidRDefault="00926F11" w:rsidP="00926F11">
              <w:pPr>
                <w:pStyle w:val="Bibliography"/>
                <w:rPr>
                  <w:noProof/>
                </w:rPr>
              </w:pPr>
              <w:r>
                <w:rPr>
                  <w:noProof/>
                </w:rPr>
                <w:lastRenderedPageBreak/>
                <w:t xml:space="preserve">Murariu, M., Laoutid, F., Paint, Y., Murariu, O., &amp; Raquez, J.-M. (2023). Balancing the Sthrength-Impact Relationship and Other Key Properties in Polypropylene Copolymer-Natural CaSO4 (Anhydite)-Filled Composites. </w:t>
              </w:r>
              <w:r>
                <w:rPr>
                  <w:i/>
                  <w:iCs/>
                  <w:noProof/>
                </w:rPr>
                <w:t>International Journal of Molecular Sciences, 24</w:t>
              </w:r>
              <w:r>
                <w:rPr>
                  <w:noProof/>
                </w:rPr>
                <w:t>, 12659. https://doi.org/10.3390/ijms241612659</w:t>
              </w:r>
            </w:p>
            <w:p w14:paraId="3D5CC360" w14:textId="77777777" w:rsidR="00926F11" w:rsidRDefault="00926F11" w:rsidP="00926F11">
              <w:pPr>
                <w:pStyle w:val="Bibliography"/>
                <w:rPr>
                  <w:noProof/>
                </w:rPr>
              </w:pPr>
              <w:r>
                <w:rPr>
                  <w:noProof/>
                </w:rPr>
                <w:t xml:space="preserve">Rothon, R., &amp; DeArmitt, C. (2017). Fillers (Including Fiber Reinforcements). In M. Gilbert, </w:t>
              </w:r>
              <w:r>
                <w:rPr>
                  <w:i/>
                  <w:iCs/>
                  <w:noProof/>
                </w:rPr>
                <w:t>Brydson's Plastics Materials</w:t>
              </w:r>
              <w:r>
                <w:rPr>
                  <w:noProof/>
                </w:rPr>
                <w:t xml:space="preserve"> (8th ed., pp. 169-204). Elsevier Ltd. https://doi.org/10.1016/B978-0-323-35824-8.00008-6</w:t>
              </w:r>
            </w:p>
            <w:p w14:paraId="2AC0003C" w14:textId="77777777" w:rsidR="00926F11" w:rsidRDefault="00926F11" w:rsidP="00926F11">
              <w:pPr>
                <w:pStyle w:val="Bibliography"/>
                <w:rPr>
                  <w:noProof/>
                </w:rPr>
              </w:pPr>
              <w:r>
                <w:rPr>
                  <w:noProof/>
                </w:rPr>
                <w:t xml:space="preserve">Rueden, C. T., Schindelin, J., Hiner, M. C., DeZonia, B. E., Walter, A. E., Arena, E. T., &amp; Eliceiri, K. W. (2017). ImageJ2: ImageJ for the next generation of scientific image data. </w:t>
              </w:r>
              <w:r>
                <w:rPr>
                  <w:i/>
                  <w:iCs/>
                  <w:noProof/>
                </w:rPr>
                <w:t>BMC Bioinformatics, 18:529</w:t>
              </w:r>
              <w:r>
                <w:rPr>
                  <w:noProof/>
                </w:rPr>
                <w:t>, 1-26. https://doi.org/10.1186/s12859-017-1934-z</w:t>
              </w:r>
            </w:p>
            <w:p w14:paraId="22D5C6C7" w14:textId="77777777" w:rsidR="00926F11" w:rsidRDefault="00926F11" w:rsidP="00926F11">
              <w:pPr>
                <w:pStyle w:val="Bibliography"/>
                <w:rPr>
                  <w:noProof/>
                </w:rPr>
              </w:pPr>
              <w:r>
                <w:rPr>
                  <w:noProof/>
                </w:rPr>
                <w:t xml:space="preserve">Subrt, J., Michalkova, E., Bohacek, J., Lukac, Jozef, Ganovska, Z., &amp; Masa, B. (2011). Uniform particles formed by hydrolysis of acid mine drainage with urea. </w:t>
              </w:r>
              <w:r>
                <w:rPr>
                  <w:i/>
                  <w:iCs/>
                  <w:noProof/>
                </w:rPr>
                <w:t>Hydrometallurgy, 106</w:t>
              </w:r>
              <w:r>
                <w:rPr>
                  <w:noProof/>
                </w:rPr>
                <w:t>, 12-18. https://doi.org/10.1016/j.hydromet.2010.11.012</w:t>
              </w:r>
            </w:p>
            <w:p w14:paraId="7E3796FB" w14:textId="77777777" w:rsidR="00926F11" w:rsidRDefault="00926F11" w:rsidP="00926F11">
              <w:pPr>
                <w:pStyle w:val="Bibliography"/>
                <w:rPr>
                  <w:noProof/>
                </w:rPr>
              </w:pPr>
              <w:r>
                <w:rPr>
                  <w:noProof/>
                </w:rPr>
                <w:t xml:space="preserve">Thenepalli, T., Jun, A. Y., Han, C., Ramakrishna, C., &amp; Ahn, J. W. (2015). A stretegy of precipitated calcium carbonate (CaCO3) fillers for enhancing the mechanical properties of polypropylene polymers. </w:t>
              </w:r>
              <w:r>
                <w:rPr>
                  <w:i/>
                  <w:iCs/>
                  <w:noProof/>
                </w:rPr>
                <w:t>Korean Journal of CHemical Engineering, 32</w:t>
              </w:r>
              <w:r>
                <w:rPr>
                  <w:noProof/>
                </w:rPr>
                <w:t>(2), 1009-1022. https://doi.org/10.1007/s11814-015-0057-3</w:t>
              </w:r>
            </w:p>
            <w:p w14:paraId="35A82175" w14:textId="77777777" w:rsidR="00926F11" w:rsidRDefault="00926F11" w:rsidP="00926F11">
              <w:pPr>
                <w:pStyle w:val="Bibliography"/>
                <w:rPr>
                  <w:noProof/>
                </w:rPr>
              </w:pPr>
              <w:r>
                <w:rPr>
                  <w:noProof/>
                </w:rPr>
                <w:t xml:space="preserve">Webb, C., Qi, K., Anguilano, L., &amp; Rivera, X. S. (2024). Mechanical and environmental evaluation of ground calcium carbonate (CaCO3) filled polypropylene composites as a sustainable alternative to virgin polypropylene. </w:t>
              </w:r>
              <w:r>
                <w:rPr>
                  <w:i/>
                  <w:iCs/>
                  <w:noProof/>
                </w:rPr>
                <w:t>Results in Materials, 22</w:t>
              </w:r>
              <w:r>
                <w:rPr>
                  <w:noProof/>
                </w:rPr>
                <w:t>, 100562. https://doi.org/10.1016/j.rinma.2024.100562</w:t>
              </w:r>
            </w:p>
            <w:p w14:paraId="0E184C2A" w14:textId="77777777" w:rsidR="00926F11" w:rsidRDefault="00926F11" w:rsidP="00926F11">
              <w:pPr>
                <w:pStyle w:val="Bibliography"/>
                <w:rPr>
                  <w:noProof/>
                </w:rPr>
              </w:pPr>
              <w:r>
                <w:rPr>
                  <w:noProof/>
                </w:rPr>
                <w:t xml:space="preserve">Zhang, Z., Wang, C., Meng, Y., &amp; Mai, K. (2012). Synergistic effects of toughening of nano-CaCO3 and toughness of b-polypropylene. </w:t>
              </w:r>
              <w:r>
                <w:rPr>
                  <w:i/>
                  <w:iCs/>
                  <w:noProof/>
                </w:rPr>
                <w:t>Composites: Part A, 43</w:t>
              </w:r>
              <w:r>
                <w:rPr>
                  <w:noProof/>
                </w:rPr>
                <w:t>, 189-197. https://doi.org/10.1016/j.compositesa.2011.10.008</w:t>
              </w:r>
            </w:p>
            <w:p w14:paraId="552EA5BF" w14:textId="77777777" w:rsidR="00926F11" w:rsidRDefault="00926F11" w:rsidP="00926F11">
              <w:pPr>
                <w:pStyle w:val="Bibliography"/>
                <w:rPr>
                  <w:noProof/>
                </w:rPr>
              </w:pPr>
              <w:r>
                <w:rPr>
                  <w:noProof/>
                </w:rPr>
                <w:t xml:space="preserve">Zhu, Y., Allen, G., Jones, P., Adams, J., Gittins, D., Heard, P., &amp; Skuse, D. (2014). Dispersion characterisation of CaCO3 particles in PP/CaCO3 composites. </w:t>
              </w:r>
              <w:r>
                <w:rPr>
                  <w:i/>
                  <w:iCs/>
                  <w:noProof/>
                </w:rPr>
                <w:t>Composites: Part A, 60</w:t>
              </w:r>
              <w:r>
                <w:rPr>
                  <w:noProof/>
                </w:rPr>
                <w:t>, 38-43. https://doi.org/10.1016/j.compositesa.2014.01.012</w:t>
              </w:r>
            </w:p>
            <w:p w14:paraId="70215130" w14:textId="2708050B" w:rsidR="00717734" w:rsidRDefault="00717734" w:rsidP="00926F11">
              <w:pPr>
                <w:pStyle w:val="CETReferencetext"/>
              </w:pPr>
              <w:r>
                <w:rPr>
                  <w:b/>
                  <w:bCs/>
                  <w:noProof/>
                </w:rPr>
                <w:fldChar w:fldCharType="end"/>
              </w:r>
            </w:p>
          </w:sdtContent>
        </w:sdt>
      </w:sdtContent>
    </w:sdt>
    <w:sectPr w:rsidR="00717734"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38F39" w14:textId="77777777" w:rsidR="00586C43" w:rsidRDefault="00586C43" w:rsidP="004F5E36">
      <w:r>
        <w:separator/>
      </w:r>
    </w:p>
  </w:endnote>
  <w:endnote w:type="continuationSeparator" w:id="0">
    <w:p w14:paraId="634C628B" w14:textId="77777777" w:rsidR="00586C43" w:rsidRDefault="00586C4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3E82B" w14:textId="77777777" w:rsidR="00586C43" w:rsidRDefault="00586C43" w:rsidP="004F5E36">
      <w:r>
        <w:separator/>
      </w:r>
    </w:p>
  </w:footnote>
  <w:footnote w:type="continuationSeparator" w:id="0">
    <w:p w14:paraId="598BE349" w14:textId="77777777" w:rsidR="00586C43" w:rsidRDefault="00586C4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6C9"/>
    <w:rsid w:val="000117CB"/>
    <w:rsid w:val="0003148D"/>
    <w:rsid w:val="00031EEC"/>
    <w:rsid w:val="00034D5D"/>
    <w:rsid w:val="0004657B"/>
    <w:rsid w:val="00051566"/>
    <w:rsid w:val="000562A9"/>
    <w:rsid w:val="00062A9A"/>
    <w:rsid w:val="000646EE"/>
    <w:rsid w:val="00064A0A"/>
    <w:rsid w:val="00064BB5"/>
    <w:rsid w:val="00065058"/>
    <w:rsid w:val="00086C39"/>
    <w:rsid w:val="00090C7F"/>
    <w:rsid w:val="000913E5"/>
    <w:rsid w:val="00096435"/>
    <w:rsid w:val="0009715B"/>
    <w:rsid w:val="000A03B2"/>
    <w:rsid w:val="000A6ADD"/>
    <w:rsid w:val="000B37FC"/>
    <w:rsid w:val="000B6954"/>
    <w:rsid w:val="000D0268"/>
    <w:rsid w:val="000D30D4"/>
    <w:rsid w:val="000D34BE"/>
    <w:rsid w:val="000D4449"/>
    <w:rsid w:val="000E0B3C"/>
    <w:rsid w:val="000E102F"/>
    <w:rsid w:val="000E36F1"/>
    <w:rsid w:val="000E3A73"/>
    <w:rsid w:val="000E414A"/>
    <w:rsid w:val="000E6724"/>
    <w:rsid w:val="000E75FD"/>
    <w:rsid w:val="000F093C"/>
    <w:rsid w:val="000F5305"/>
    <w:rsid w:val="000F787B"/>
    <w:rsid w:val="00101E92"/>
    <w:rsid w:val="00103575"/>
    <w:rsid w:val="00110962"/>
    <w:rsid w:val="0012091F"/>
    <w:rsid w:val="00126BC2"/>
    <w:rsid w:val="001308B6"/>
    <w:rsid w:val="0013121F"/>
    <w:rsid w:val="001317FC"/>
    <w:rsid w:val="00131FE6"/>
    <w:rsid w:val="0013263F"/>
    <w:rsid w:val="001331DF"/>
    <w:rsid w:val="00134DE4"/>
    <w:rsid w:val="001379FE"/>
    <w:rsid w:val="0014034D"/>
    <w:rsid w:val="00140FE3"/>
    <w:rsid w:val="00144D16"/>
    <w:rsid w:val="00147B71"/>
    <w:rsid w:val="00150E59"/>
    <w:rsid w:val="0015205B"/>
    <w:rsid w:val="00152DE3"/>
    <w:rsid w:val="00157486"/>
    <w:rsid w:val="00163503"/>
    <w:rsid w:val="0016479C"/>
    <w:rsid w:val="00164CF9"/>
    <w:rsid w:val="0016668E"/>
    <w:rsid w:val="001667A6"/>
    <w:rsid w:val="00174B62"/>
    <w:rsid w:val="0018171E"/>
    <w:rsid w:val="00183699"/>
    <w:rsid w:val="00184AD6"/>
    <w:rsid w:val="00192488"/>
    <w:rsid w:val="00195107"/>
    <w:rsid w:val="001A2567"/>
    <w:rsid w:val="001A4AF7"/>
    <w:rsid w:val="001A7F6F"/>
    <w:rsid w:val="001B0349"/>
    <w:rsid w:val="001B1E93"/>
    <w:rsid w:val="001B3EBF"/>
    <w:rsid w:val="001B65C1"/>
    <w:rsid w:val="001C260F"/>
    <w:rsid w:val="001C39DD"/>
    <w:rsid w:val="001C5C3A"/>
    <w:rsid w:val="001C684B"/>
    <w:rsid w:val="001C7E44"/>
    <w:rsid w:val="001D0CFB"/>
    <w:rsid w:val="001D1305"/>
    <w:rsid w:val="001D21AF"/>
    <w:rsid w:val="001D3D32"/>
    <w:rsid w:val="001D421D"/>
    <w:rsid w:val="001D53FC"/>
    <w:rsid w:val="001E08F4"/>
    <w:rsid w:val="001E4CC7"/>
    <w:rsid w:val="001E61C3"/>
    <w:rsid w:val="001F42A5"/>
    <w:rsid w:val="001F6030"/>
    <w:rsid w:val="001F7B9D"/>
    <w:rsid w:val="0020073B"/>
    <w:rsid w:val="00201C93"/>
    <w:rsid w:val="002021FA"/>
    <w:rsid w:val="00220F03"/>
    <w:rsid w:val="002222A0"/>
    <w:rsid w:val="002224B4"/>
    <w:rsid w:val="00225908"/>
    <w:rsid w:val="00232CE9"/>
    <w:rsid w:val="00235F85"/>
    <w:rsid w:val="00242D22"/>
    <w:rsid w:val="002447EF"/>
    <w:rsid w:val="00245B30"/>
    <w:rsid w:val="00251550"/>
    <w:rsid w:val="00263B05"/>
    <w:rsid w:val="0027221A"/>
    <w:rsid w:val="00275B61"/>
    <w:rsid w:val="00280FAF"/>
    <w:rsid w:val="00281FA4"/>
    <w:rsid w:val="00282656"/>
    <w:rsid w:val="00282838"/>
    <w:rsid w:val="002877A9"/>
    <w:rsid w:val="00291A24"/>
    <w:rsid w:val="00296B83"/>
    <w:rsid w:val="002A5DD1"/>
    <w:rsid w:val="002A68B9"/>
    <w:rsid w:val="002A78B0"/>
    <w:rsid w:val="002B4015"/>
    <w:rsid w:val="002B47C5"/>
    <w:rsid w:val="002B78CE"/>
    <w:rsid w:val="002C1928"/>
    <w:rsid w:val="002C2FB6"/>
    <w:rsid w:val="002E5FA7"/>
    <w:rsid w:val="002E7869"/>
    <w:rsid w:val="002F3309"/>
    <w:rsid w:val="003008CE"/>
    <w:rsid w:val="003009B7"/>
    <w:rsid w:val="00300E56"/>
    <w:rsid w:val="0030152C"/>
    <w:rsid w:val="0030469C"/>
    <w:rsid w:val="003049B6"/>
    <w:rsid w:val="00304CE8"/>
    <w:rsid w:val="00321CA6"/>
    <w:rsid w:val="00323763"/>
    <w:rsid w:val="00323C5F"/>
    <w:rsid w:val="00334C09"/>
    <w:rsid w:val="00350C06"/>
    <w:rsid w:val="00363D6F"/>
    <w:rsid w:val="003723D4"/>
    <w:rsid w:val="00381905"/>
    <w:rsid w:val="003845C8"/>
    <w:rsid w:val="00384CC8"/>
    <w:rsid w:val="003871E0"/>
    <w:rsid w:val="003871FD"/>
    <w:rsid w:val="00387482"/>
    <w:rsid w:val="003878EC"/>
    <w:rsid w:val="003969B0"/>
    <w:rsid w:val="003A1E30"/>
    <w:rsid w:val="003A2829"/>
    <w:rsid w:val="003A7D1C"/>
    <w:rsid w:val="003B304B"/>
    <w:rsid w:val="003B3146"/>
    <w:rsid w:val="003B49CD"/>
    <w:rsid w:val="003B5599"/>
    <w:rsid w:val="003B57AF"/>
    <w:rsid w:val="003D1E02"/>
    <w:rsid w:val="003D7B60"/>
    <w:rsid w:val="003F015E"/>
    <w:rsid w:val="003F1A28"/>
    <w:rsid w:val="00400414"/>
    <w:rsid w:val="0041446B"/>
    <w:rsid w:val="00415DD4"/>
    <w:rsid w:val="004201FB"/>
    <w:rsid w:val="00421EB9"/>
    <w:rsid w:val="0043000A"/>
    <w:rsid w:val="00430D27"/>
    <w:rsid w:val="004329D5"/>
    <w:rsid w:val="004342E0"/>
    <w:rsid w:val="0044071E"/>
    <w:rsid w:val="0044329C"/>
    <w:rsid w:val="00446D5B"/>
    <w:rsid w:val="004518DC"/>
    <w:rsid w:val="00453E24"/>
    <w:rsid w:val="00453F82"/>
    <w:rsid w:val="00457456"/>
    <w:rsid w:val="004577FE"/>
    <w:rsid w:val="00457B9C"/>
    <w:rsid w:val="0046164A"/>
    <w:rsid w:val="004628D2"/>
    <w:rsid w:val="00462DCD"/>
    <w:rsid w:val="004648AD"/>
    <w:rsid w:val="004703A9"/>
    <w:rsid w:val="00471958"/>
    <w:rsid w:val="00475227"/>
    <w:rsid w:val="004760DE"/>
    <w:rsid w:val="004763D7"/>
    <w:rsid w:val="00484AB3"/>
    <w:rsid w:val="00492B32"/>
    <w:rsid w:val="004A004E"/>
    <w:rsid w:val="004A24CF"/>
    <w:rsid w:val="004A3506"/>
    <w:rsid w:val="004B198E"/>
    <w:rsid w:val="004B19A5"/>
    <w:rsid w:val="004C3D1D"/>
    <w:rsid w:val="004C3D84"/>
    <w:rsid w:val="004C7913"/>
    <w:rsid w:val="004D6C6E"/>
    <w:rsid w:val="004D7FC7"/>
    <w:rsid w:val="004E4DD6"/>
    <w:rsid w:val="004F33C7"/>
    <w:rsid w:val="004F5E36"/>
    <w:rsid w:val="00500351"/>
    <w:rsid w:val="00501DEA"/>
    <w:rsid w:val="00502792"/>
    <w:rsid w:val="00504DC0"/>
    <w:rsid w:val="0050638D"/>
    <w:rsid w:val="0050736D"/>
    <w:rsid w:val="00507B47"/>
    <w:rsid w:val="00507BEF"/>
    <w:rsid w:val="00507CC9"/>
    <w:rsid w:val="00511779"/>
    <w:rsid w:val="005119A5"/>
    <w:rsid w:val="00514EAD"/>
    <w:rsid w:val="005237FE"/>
    <w:rsid w:val="00525793"/>
    <w:rsid w:val="005270D6"/>
    <w:rsid w:val="005278B7"/>
    <w:rsid w:val="00527BF3"/>
    <w:rsid w:val="00531F71"/>
    <w:rsid w:val="00532016"/>
    <w:rsid w:val="005346C8"/>
    <w:rsid w:val="005353CE"/>
    <w:rsid w:val="00543E7D"/>
    <w:rsid w:val="0054495E"/>
    <w:rsid w:val="00545899"/>
    <w:rsid w:val="00547A68"/>
    <w:rsid w:val="005531C9"/>
    <w:rsid w:val="00554879"/>
    <w:rsid w:val="00555A09"/>
    <w:rsid w:val="00570C43"/>
    <w:rsid w:val="005746AA"/>
    <w:rsid w:val="00582C18"/>
    <w:rsid w:val="00582EE1"/>
    <w:rsid w:val="00586C43"/>
    <w:rsid w:val="00587DD9"/>
    <w:rsid w:val="00592274"/>
    <w:rsid w:val="005B2110"/>
    <w:rsid w:val="005B350B"/>
    <w:rsid w:val="005B61E6"/>
    <w:rsid w:val="005B72C1"/>
    <w:rsid w:val="005C2F05"/>
    <w:rsid w:val="005C638D"/>
    <w:rsid w:val="005C77E1"/>
    <w:rsid w:val="005C7E1B"/>
    <w:rsid w:val="005D5B54"/>
    <w:rsid w:val="005D668A"/>
    <w:rsid w:val="005D6905"/>
    <w:rsid w:val="005D6A2F"/>
    <w:rsid w:val="005E0592"/>
    <w:rsid w:val="005E1A82"/>
    <w:rsid w:val="005E794C"/>
    <w:rsid w:val="005F0A28"/>
    <w:rsid w:val="005F0E5E"/>
    <w:rsid w:val="005F12D0"/>
    <w:rsid w:val="005F527B"/>
    <w:rsid w:val="00600402"/>
    <w:rsid w:val="00600535"/>
    <w:rsid w:val="00610AB3"/>
    <w:rsid w:val="00610CD6"/>
    <w:rsid w:val="00610F6D"/>
    <w:rsid w:val="006111BB"/>
    <w:rsid w:val="00614EDB"/>
    <w:rsid w:val="00620DEE"/>
    <w:rsid w:val="00621F92"/>
    <w:rsid w:val="00622727"/>
    <w:rsid w:val="0062280A"/>
    <w:rsid w:val="006231E1"/>
    <w:rsid w:val="00624B10"/>
    <w:rsid w:val="00625639"/>
    <w:rsid w:val="00626342"/>
    <w:rsid w:val="00631B33"/>
    <w:rsid w:val="0064184D"/>
    <w:rsid w:val="006422CC"/>
    <w:rsid w:val="00651D18"/>
    <w:rsid w:val="00660DBF"/>
    <w:rsid w:val="00660E3E"/>
    <w:rsid w:val="00662825"/>
    <w:rsid w:val="00662E74"/>
    <w:rsid w:val="00670FD3"/>
    <w:rsid w:val="00680C23"/>
    <w:rsid w:val="00683E23"/>
    <w:rsid w:val="00687D45"/>
    <w:rsid w:val="00691CE1"/>
    <w:rsid w:val="00693766"/>
    <w:rsid w:val="006951AD"/>
    <w:rsid w:val="0069696C"/>
    <w:rsid w:val="006A3281"/>
    <w:rsid w:val="006A6DE5"/>
    <w:rsid w:val="006A7622"/>
    <w:rsid w:val="006B4888"/>
    <w:rsid w:val="006C2E45"/>
    <w:rsid w:val="006C3567"/>
    <w:rsid w:val="006C359C"/>
    <w:rsid w:val="006C5579"/>
    <w:rsid w:val="006C74FF"/>
    <w:rsid w:val="006D3FD2"/>
    <w:rsid w:val="006D6E8B"/>
    <w:rsid w:val="006D7209"/>
    <w:rsid w:val="006E203C"/>
    <w:rsid w:val="006E737D"/>
    <w:rsid w:val="006F12BB"/>
    <w:rsid w:val="006F1350"/>
    <w:rsid w:val="00707DD1"/>
    <w:rsid w:val="0071000A"/>
    <w:rsid w:val="007129E9"/>
    <w:rsid w:val="00713973"/>
    <w:rsid w:val="00717734"/>
    <w:rsid w:val="00720A24"/>
    <w:rsid w:val="00730144"/>
    <w:rsid w:val="0073070B"/>
    <w:rsid w:val="00730C87"/>
    <w:rsid w:val="00732386"/>
    <w:rsid w:val="0073514D"/>
    <w:rsid w:val="007447F3"/>
    <w:rsid w:val="0075499F"/>
    <w:rsid w:val="007661C8"/>
    <w:rsid w:val="0077098D"/>
    <w:rsid w:val="007737AE"/>
    <w:rsid w:val="0077774B"/>
    <w:rsid w:val="00783851"/>
    <w:rsid w:val="00785BF9"/>
    <w:rsid w:val="0078699A"/>
    <w:rsid w:val="00790DCB"/>
    <w:rsid w:val="007931FA"/>
    <w:rsid w:val="007A4861"/>
    <w:rsid w:val="007A7080"/>
    <w:rsid w:val="007A7BBA"/>
    <w:rsid w:val="007B0C50"/>
    <w:rsid w:val="007B288A"/>
    <w:rsid w:val="007B48F9"/>
    <w:rsid w:val="007B56C0"/>
    <w:rsid w:val="007C03E5"/>
    <w:rsid w:val="007C1A43"/>
    <w:rsid w:val="007D0951"/>
    <w:rsid w:val="007D3495"/>
    <w:rsid w:val="007D610D"/>
    <w:rsid w:val="007E2082"/>
    <w:rsid w:val="007E2D06"/>
    <w:rsid w:val="007F3A91"/>
    <w:rsid w:val="007F3C92"/>
    <w:rsid w:val="007F4562"/>
    <w:rsid w:val="0080013E"/>
    <w:rsid w:val="00800571"/>
    <w:rsid w:val="00801759"/>
    <w:rsid w:val="0080437D"/>
    <w:rsid w:val="00807EA6"/>
    <w:rsid w:val="008107A2"/>
    <w:rsid w:val="00813288"/>
    <w:rsid w:val="00815EC0"/>
    <w:rsid w:val="008168FC"/>
    <w:rsid w:val="00830996"/>
    <w:rsid w:val="008345F1"/>
    <w:rsid w:val="00834962"/>
    <w:rsid w:val="0084453B"/>
    <w:rsid w:val="008505AD"/>
    <w:rsid w:val="00857E2B"/>
    <w:rsid w:val="00863FA5"/>
    <w:rsid w:val="00865B07"/>
    <w:rsid w:val="008667EA"/>
    <w:rsid w:val="0087637F"/>
    <w:rsid w:val="00876D29"/>
    <w:rsid w:val="008830E1"/>
    <w:rsid w:val="00886B01"/>
    <w:rsid w:val="00892AD5"/>
    <w:rsid w:val="00897A64"/>
    <w:rsid w:val="008A1512"/>
    <w:rsid w:val="008A4FD3"/>
    <w:rsid w:val="008A5CD5"/>
    <w:rsid w:val="008A6208"/>
    <w:rsid w:val="008A7730"/>
    <w:rsid w:val="008B2152"/>
    <w:rsid w:val="008D1CA5"/>
    <w:rsid w:val="008D32B9"/>
    <w:rsid w:val="008D433B"/>
    <w:rsid w:val="008D4856"/>
    <w:rsid w:val="008D4A16"/>
    <w:rsid w:val="008D4B6D"/>
    <w:rsid w:val="008D6963"/>
    <w:rsid w:val="008E3DD5"/>
    <w:rsid w:val="008E5401"/>
    <w:rsid w:val="008E566E"/>
    <w:rsid w:val="008E5D0F"/>
    <w:rsid w:val="008F0C79"/>
    <w:rsid w:val="009009AA"/>
    <w:rsid w:val="0090161A"/>
    <w:rsid w:val="00901EB6"/>
    <w:rsid w:val="009041F8"/>
    <w:rsid w:val="00904300"/>
    <w:rsid w:val="00904C62"/>
    <w:rsid w:val="00916ED2"/>
    <w:rsid w:val="00922BA8"/>
    <w:rsid w:val="00924DAC"/>
    <w:rsid w:val="009265BA"/>
    <w:rsid w:val="00926F11"/>
    <w:rsid w:val="00927058"/>
    <w:rsid w:val="00931171"/>
    <w:rsid w:val="00942750"/>
    <w:rsid w:val="009450CE"/>
    <w:rsid w:val="009459BB"/>
    <w:rsid w:val="00947179"/>
    <w:rsid w:val="0095164B"/>
    <w:rsid w:val="00954090"/>
    <w:rsid w:val="009573E7"/>
    <w:rsid w:val="00963E05"/>
    <w:rsid w:val="00964A45"/>
    <w:rsid w:val="009661A8"/>
    <w:rsid w:val="00967843"/>
    <w:rsid w:val="00967D54"/>
    <w:rsid w:val="00971028"/>
    <w:rsid w:val="0097322C"/>
    <w:rsid w:val="00974E2D"/>
    <w:rsid w:val="00993B84"/>
    <w:rsid w:val="00994C6A"/>
    <w:rsid w:val="00996483"/>
    <w:rsid w:val="00996F5A"/>
    <w:rsid w:val="00997242"/>
    <w:rsid w:val="009B041A"/>
    <w:rsid w:val="009B6E57"/>
    <w:rsid w:val="009C0543"/>
    <w:rsid w:val="009C082E"/>
    <w:rsid w:val="009C37C3"/>
    <w:rsid w:val="009C5DA3"/>
    <w:rsid w:val="009C7C86"/>
    <w:rsid w:val="009D2FF7"/>
    <w:rsid w:val="009E1FE0"/>
    <w:rsid w:val="009E7884"/>
    <w:rsid w:val="009E788A"/>
    <w:rsid w:val="009F0E08"/>
    <w:rsid w:val="009F74AB"/>
    <w:rsid w:val="00A079AE"/>
    <w:rsid w:val="00A1763D"/>
    <w:rsid w:val="00A17CEC"/>
    <w:rsid w:val="00A27EF0"/>
    <w:rsid w:val="00A3298E"/>
    <w:rsid w:val="00A366AD"/>
    <w:rsid w:val="00A42361"/>
    <w:rsid w:val="00A43411"/>
    <w:rsid w:val="00A43C1F"/>
    <w:rsid w:val="00A50B20"/>
    <w:rsid w:val="00A51390"/>
    <w:rsid w:val="00A57C46"/>
    <w:rsid w:val="00A608BE"/>
    <w:rsid w:val="00A60D13"/>
    <w:rsid w:val="00A62044"/>
    <w:rsid w:val="00A62E66"/>
    <w:rsid w:val="00A7223D"/>
    <w:rsid w:val="00A72745"/>
    <w:rsid w:val="00A72E20"/>
    <w:rsid w:val="00A73B8C"/>
    <w:rsid w:val="00A76EFC"/>
    <w:rsid w:val="00A80E4E"/>
    <w:rsid w:val="00A87D50"/>
    <w:rsid w:val="00A91010"/>
    <w:rsid w:val="00A91D8A"/>
    <w:rsid w:val="00A93C98"/>
    <w:rsid w:val="00A97F29"/>
    <w:rsid w:val="00AA1D1D"/>
    <w:rsid w:val="00AA2458"/>
    <w:rsid w:val="00AA702E"/>
    <w:rsid w:val="00AA7D26"/>
    <w:rsid w:val="00AB0964"/>
    <w:rsid w:val="00AB5011"/>
    <w:rsid w:val="00AB6199"/>
    <w:rsid w:val="00AB6C3B"/>
    <w:rsid w:val="00AC7368"/>
    <w:rsid w:val="00AD16B9"/>
    <w:rsid w:val="00AD2A5A"/>
    <w:rsid w:val="00AE377D"/>
    <w:rsid w:val="00AE795F"/>
    <w:rsid w:val="00AF0EBA"/>
    <w:rsid w:val="00AF2463"/>
    <w:rsid w:val="00AF3F6F"/>
    <w:rsid w:val="00B02C8A"/>
    <w:rsid w:val="00B069D3"/>
    <w:rsid w:val="00B10FEC"/>
    <w:rsid w:val="00B1282B"/>
    <w:rsid w:val="00B164AC"/>
    <w:rsid w:val="00B17FBD"/>
    <w:rsid w:val="00B23BC8"/>
    <w:rsid w:val="00B25991"/>
    <w:rsid w:val="00B315A6"/>
    <w:rsid w:val="00B31813"/>
    <w:rsid w:val="00B33365"/>
    <w:rsid w:val="00B33DEB"/>
    <w:rsid w:val="00B37236"/>
    <w:rsid w:val="00B37256"/>
    <w:rsid w:val="00B45DCA"/>
    <w:rsid w:val="00B46313"/>
    <w:rsid w:val="00B52BBE"/>
    <w:rsid w:val="00B579B4"/>
    <w:rsid w:val="00B57B36"/>
    <w:rsid w:val="00B57E6F"/>
    <w:rsid w:val="00B74622"/>
    <w:rsid w:val="00B80683"/>
    <w:rsid w:val="00B82046"/>
    <w:rsid w:val="00B8686D"/>
    <w:rsid w:val="00B92135"/>
    <w:rsid w:val="00B93D20"/>
    <w:rsid w:val="00B93F69"/>
    <w:rsid w:val="00B9515A"/>
    <w:rsid w:val="00BA5727"/>
    <w:rsid w:val="00BB1700"/>
    <w:rsid w:val="00BB1DDC"/>
    <w:rsid w:val="00BB49C6"/>
    <w:rsid w:val="00BC0365"/>
    <w:rsid w:val="00BC30C9"/>
    <w:rsid w:val="00BC4A63"/>
    <w:rsid w:val="00BC5DF5"/>
    <w:rsid w:val="00BC7FDA"/>
    <w:rsid w:val="00BD077D"/>
    <w:rsid w:val="00BD22B1"/>
    <w:rsid w:val="00BD2702"/>
    <w:rsid w:val="00BD5D11"/>
    <w:rsid w:val="00BE02A0"/>
    <w:rsid w:val="00BE1FDE"/>
    <w:rsid w:val="00BE3E58"/>
    <w:rsid w:val="00BF13CE"/>
    <w:rsid w:val="00BF716D"/>
    <w:rsid w:val="00C01616"/>
    <w:rsid w:val="00C0162B"/>
    <w:rsid w:val="00C03A6D"/>
    <w:rsid w:val="00C068ED"/>
    <w:rsid w:val="00C204D2"/>
    <w:rsid w:val="00C22E0C"/>
    <w:rsid w:val="00C24439"/>
    <w:rsid w:val="00C266BB"/>
    <w:rsid w:val="00C345B1"/>
    <w:rsid w:val="00C40142"/>
    <w:rsid w:val="00C42F0C"/>
    <w:rsid w:val="00C44460"/>
    <w:rsid w:val="00C52C3C"/>
    <w:rsid w:val="00C57182"/>
    <w:rsid w:val="00C57863"/>
    <w:rsid w:val="00C640AF"/>
    <w:rsid w:val="00C655FD"/>
    <w:rsid w:val="00C73712"/>
    <w:rsid w:val="00C73D08"/>
    <w:rsid w:val="00C75407"/>
    <w:rsid w:val="00C841C6"/>
    <w:rsid w:val="00C870A8"/>
    <w:rsid w:val="00C94434"/>
    <w:rsid w:val="00CA0D75"/>
    <w:rsid w:val="00CA1C95"/>
    <w:rsid w:val="00CA3ABB"/>
    <w:rsid w:val="00CA5A9C"/>
    <w:rsid w:val="00CB6DC7"/>
    <w:rsid w:val="00CC4C20"/>
    <w:rsid w:val="00CD3517"/>
    <w:rsid w:val="00CD5FE2"/>
    <w:rsid w:val="00CE2363"/>
    <w:rsid w:val="00CE7C68"/>
    <w:rsid w:val="00CF104E"/>
    <w:rsid w:val="00CF4189"/>
    <w:rsid w:val="00CF56A4"/>
    <w:rsid w:val="00CF5C0C"/>
    <w:rsid w:val="00D02B4C"/>
    <w:rsid w:val="00D02DFC"/>
    <w:rsid w:val="00D040C4"/>
    <w:rsid w:val="00D07FBC"/>
    <w:rsid w:val="00D11D18"/>
    <w:rsid w:val="00D12F62"/>
    <w:rsid w:val="00D20AD1"/>
    <w:rsid w:val="00D2582C"/>
    <w:rsid w:val="00D32475"/>
    <w:rsid w:val="00D46B7E"/>
    <w:rsid w:val="00D57C84"/>
    <w:rsid w:val="00D6057D"/>
    <w:rsid w:val="00D640B5"/>
    <w:rsid w:val="00D71640"/>
    <w:rsid w:val="00D7677E"/>
    <w:rsid w:val="00D76993"/>
    <w:rsid w:val="00D76B71"/>
    <w:rsid w:val="00D82E30"/>
    <w:rsid w:val="00D836C5"/>
    <w:rsid w:val="00D84576"/>
    <w:rsid w:val="00D84743"/>
    <w:rsid w:val="00D930E5"/>
    <w:rsid w:val="00D93318"/>
    <w:rsid w:val="00DA1399"/>
    <w:rsid w:val="00DA24C6"/>
    <w:rsid w:val="00DA2FA3"/>
    <w:rsid w:val="00DA4D7B"/>
    <w:rsid w:val="00DA55AA"/>
    <w:rsid w:val="00DA6627"/>
    <w:rsid w:val="00DB1232"/>
    <w:rsid w:val="00DC2840"/>
    <w:rsid w:val="00DC73EE"/>
    <w:rsid w:val="00DD0A06"/>
    <w:rsid w:val="00DD271C"/>
    <w:rsid w:val="00DE0B37"/>
    <w:rsid w:val="00DE14C2"/>
    <w:rsid w:val="00DE264A"/>
    <w:rsid w:val="00DE3FD5"/>
    <w:rsid w:val="00DF5072"/>
    <w:rsid w:val="00E02D18"/>
    <w:rsid w:val="00E03CA8"/>
    <w:rsid w:val="00E041E7"/>
    <w:rsid w:val="00E06766"/>
    <w:rsid w:val="00E10DD3"/>
    <w:rsid w:val="00E13EE0"/>
    <w:rsid w:val="00E15569"/>
    <w:rsid w:val="00E15729"/>
    <w:rsid w:val="00E17066"/>
    <w:rsid w:val="00E20314"/>
    <w:rsid w:val="00E22145"/>
    <w:rsid w:val="00E23CA1"/>
    <w:rsid w:val="00E300CC"/>
    <w:rsid w:val="00E409A8"/>
    <w:rsid w:val="00E50C12"/>
    <w:rsid w:val="00E65091"/>
    <w:rsid w:val="00E65B91"/>
    <w:rsid w:val="00E71779"/>
    <w:rsid w:val="00E7209D"/>
    <w:rsid w:val="00E7253F"/>
    <w:rsid w:val="00E72EAD"/>
    <w:rsid w:val="00E77223"/>
    <w:rsid w:val="00E77965"/>
    <w:rsid w:val="00E8528B"/>
    <w:rsid w:val="00E85B94"/>
    <w:rsid w:val="00E915B6"/>
    <w:rsid w:val="00E915B8"/>
    <w:rsid w:val="00E978D0"/>
    <w:rsid w:val="00EA4613"/>
    <w:rsid w:val="00EA7F91"/>
    <w:rsid w:val="00EB1523"/>
    <w:rsid w:val="00EB410D"/>
    <w:rsid w:val="00EC0E49"/>
    <w:rsid w:val="00EC101F"/>
    <w:rsid w:val="00EC1D9F"/>
    <w:rsid w:val="00EC1F66"/>
    <w:rsid w:val="00EC23D7"/>
    <w:rsid w:val="00EC3467"/>
    <w:rsid w:val="00EC450E"/>
    <w:rsid w:val="00ED633B"/>
    <w:rsid w:val="00ED7F6F"/>
    <w:rsid w:val="00EE0131"/>
    <w:rsid w:val="00EE116D"/>
    <w:rsid w:val="00EE17B0"/>
    <w:rsid w:val="00EE2840"/>
    <w:rsid w:val="00EE5F18"/>
    <w:rsid w:val="00EF06D9"/>
    <w:rsid w:val="00EF6370"/>
    <w:rsid w:val="00F05AD7"/>
    <w:rsid w:val="00F247E8"/>
    <w:rsid w:val="00F24F16"/>
    <w:rsid w:val="00F269A7"/>
    <w:rsid w:val="00F3049E"/>
    <w:rsid w:val="00F30881"/>
    <w:rsid w:val="00F30C64"/>
    <w:rsid w:val="00F32BA2"/>
    <w:rsid w:val="00F32CDB"/>
    <w:rsid w:val="00F338F9"/>
    <w:rsid w:val="00F41EE4"/>
    <w:rsid w:val="00F42DE9"/>
    <w:rsid w:val="00F43117"/>
    <w:rsid w:val="00F450B3"/>
    <w:rsid w:val="00F565FE"/>
    <w:rsid w:val="00F61F77"/>
    <w:rsid w:val="00F63A70"/>
    <w:rsid w:val="00F63D8C"/>
    <w:rsid w:val="00F65E41"/>
    <w:rsid w:val="00F7534E"/>
    <w:rsid w:val="00F8460E"/>
    <w:rsid w:val="00F907D9"/>
    <w:rsid w:val="00F93EDF"/>
    <w:rsid w:val="00F94769"/>
    <w:rsid w:val="00FA0BA5"/>
    <w:rsid w:val="00FA1802"/>
    <w:rsid w:val="00FA21D0"/>
    <w:rsid w:val="00FA5F5F"/>
    <w:rsid w:val="00FA7A9F"/>
    <w:rsid w:val="00FB730C"/>
    <w:rsid w:val="00FC2695"/>
    <w:rsid w:val="00FC3E03"/>
    <w:rsid w:val="00FC3FC1"/>
    <w:rsid w:val="00FD3FCF"/>
    <w:rsid w:val="00FF6CAF"/>
    <w:rsid w:val="00FF7C2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1076">
      <w:bodyDiv w:val="1"/>
      <w:marLeft w:val="0"/>
      <w:marRight w:val="0"/>
      <w:marTop w:val="0"/>
      <w:marBottom w:val="0"/>
      <w:divBdr>
        <w:top w:val="none" w:sz="0" w:space="0" w:color="auto"/>
        <w:left w:val="none" w:sz="0" w:space="0" w:color="auto"/>
        <w:bottom w:val="none" w:sz="0" w:space="0" w:color="auto"/>
        <w:right w:val="none" w:sz="0" w:space="0" w:color="auto"/>
      </w:divBdr>
    </w:div>
    <w:div w:id="65303828">
      <w:bodyDiv w:val="1"/>
      <w:marLeft w:val="0"/>
      <w:marRight w:val="0"/>
      <w:marTop w:val="0"/>
      <w:marBottom w:val="0"/>
      <w:divBdr>
        <w:top w:val="none" w:sz="0" w:space="0" w:color="auto"/>
        <w:left w:val="none" w:sz="0" w:space="0" w:color="auto"/>
        <w:bottom w:val="none" w:sz="0" w:space="0" w:color="auto"/>
        <w:right w:val="none" w:sz="0" w:space="0" w:color="auto"/>
      </w:divBdr>
    </w:div>
    <w:div w:id="68966170">
      <w:bodyDiv w:val="1"/>
      <w:marLeft w:val="0"/>
      <w:marRight w:val="0"/>
      <w:marTop w:val="0"/>
      <w:marBottom w:val="0"/>
      <w:divBdr>
        <w:top w:val="none" w:sz="0" w:space="0" w:color="auto"/>
        <w:left w:val="none" w:sz="0" w:space="0" w:color="auto"/>
        <w:bottom w:val="none" w:sz="0" w:space="0" w:color="auto"/>
        <w:right w:val="none" w:sz="0" w:space="0" w:color="auto"/>
      </w:divBdr>
    </w:div>
    <w:div w:id="74860501">
      <w:bodyDiv w:val="1"/>
      <w:marLeft w:val="0"/>
      <w:marRight w:val="0"/>
      <w:marTop w:val="0"/>
      <w:marBottom w:val="0"/>
      <w:divBdr>
        <w:top w:val="none" w:sz="0" w:space="0" w:color="auto"/>
        <w:left w:val="none" w:sz="0" w:space="0" w:color="auto"/>
        <w:bottom w:val="none" w:sz="0" w:space="0" w:color="auto"/>
        <w:right w:val="none" w:sz="0" w:space="0" w:color="auto"/>
      </w:divBdr>
    </w:div>
    <w:div w:id="75565823">
      <w:bodyDiv w:val="1"/>
      <w:marLeft w:val="0"/>
      <w:marRight w:val="0"/>
      <w:marTop w:val="0"/>
      <w:marBottom w:val="0"/>
      <w:divBdr>
        <w:top w:val="none" w:sz="0" w:space="0" w:color="auto"/>
        <w:left w:val="none" w:sz="0" w:space="0" w:color="auto"/>
        <w:bottom w:val="none" w:sz="0" w:space="0" w:color="auto"/>
        <w:right w:val="none" w:sz="0" w:space="0" w:color="auto"/>
      </w:divBdr>
    </w:div>
    <w:div w:id="107894612">
      <w:bodyDiv w:val="1"/>
      <w:marLeft w:val="0"/>
      <w:marRight w:val="0"/>
      <w:marTop w:val="0"/>
      <w:marBottom w:val="0"/>
      <w:divBdr>
        <w:top w:val="none" w:sz="0" w:space="0" w:color="auto"/>
        <w:left w:val="none" w:sz="0" w:space="0" w:color="auto"/>
        <w:bottom w:val="none" w:sz="0" w:space="0" w:color="auto"/>
        <w:right w:val="none" w:sz="0" w:space="0" w:color="auto"/>
      </w:divBdr>
    </w:div>
    <w:div w:id="111244506">
      <w:bodyDiv w:val="1"/>
      <w:marLeft w:val="0"/>
      <w:marRight w:val="0"/>
      <w:marTop w:val="0"/>
      <w:marBottom w:val="0"/>
      <w:divBdr>
        <w:top w:val="none" w:sz="0" w:space="0" w:color="auto"/>
        <w:left w:val="none" w:sz="0" w:space="0" w:color="auto"/>
        <w:bottom w:val="none" w:sz="0" w:space="0" w:color="auto"/>
        <w:right w:val="none" w:sz="0" w:space="0" w:color="auto"/>
      </w:divBdr>
    </w:div>
    <w:div w:id="116922485">
      <w:bodyDiv w:val="1"/>
      <w:marLeft w:val="0"/>
      <w:marRight w:val="0"/>
      <w:marTop w:val="0"/>
      <w:marBottom w:val="0"/>
      <w:divBdr>
        <w:top w:val="none" w:sz="0" w:space="0" w:color="auto"/>
        <w:left w:val="none" w:sz="0" w:space="0" w:color="auto"/>
        <w:bottom w:val="none" w:sz="0" w:space="0" w:color="auto"/>
        <w:right w:val="none" w:sz="0" w:space="0" w:color="auto"/>
      </w:divBdr>
    </w:div>
    <w:div w:id="133642167">
      <w:bodyDiv w:val="1"/>
      <w:marLeft w:val="0"/>
      <w:marRight w:val="0"/>
      <w:marTop w:val="0"/>
      <w:marBottom w:val="0"/>
      <w:divBdr>
        <w:top w:val="none" w:sz="0" w:space="0" w:color="auto"/>
        <w:left w:val="none" w:sz="0" w:space="0" w:color="auto"/>
        <w:bottom w:val="none" w:sz="0" w:space="0" w:color="auto"/>
        <w:right w:val="none" w:sz="0" w:space="0" w:color="auto"/>
      </w:divBdr>
    </w:div>
    <w:div w:id="146283548">
      <w:bodyDiv w:val="1"/>
      <w:marLeft w:val="0"/>
      <w:marRight w:val="0"/>
      <w:marTop w:val="0"/>
      <w:marBottom w:val="0"/>
      <w:divBdr>
        <w:top w:val="none" w:sz="0" w:space="0" w:color="auto"/>
        <w:left w:val="none" w:sz="0" w:space="0" w:color="auto"/>
        <w:bottom w:val="none" w:sz="0" w:space="0" w:color="auto"/>
        <w:right w:val="none" w:sz="0" w:space="0" w:color="auto"/>
      </w:divBdr>
    </w:div>
    <w:div w:id="160315178">
      <w:bodyDiv w:val="1"/>
      <w:marLeft w:val="0"/>
      <w:marRight w:val="0"/>
      <w:marTop w:val="0"/>
      <w:marBottom w:val="0"/>
      <w:divBdr>
        <w:top w:val="none" w:sz="0" w:space="0" w:color="auto"/>
        <w:left w:val="none" w:sz="0" w:space="0" w:color="auto"/>
        <w:bottom w:val="none" w:sz="0" w:space="0" w:color="auto"/>
        <w:right w:val="none" w:sz="0" w:space="0" w:color="auto"/>
      </w:divBdr>
    </w:div>
    <w:div w:id="166873182">
      <w:bodyDiv w:val="1"/>
      <w:marLeft w:val="0"/>
      <w:marRight w:val="0"/>
      <w:marTop w:val="0"/>
      <w:marBottom w:val="0"/>
      <w:divBdr>
        <w:top w:val="none" w:sz="0" w:space="0" w:color="auto"/>
        <w:left w:val="none" w:sz="0" w:space="0" w:color="auto"/>
        <w:bottom w:val="none" w:sz="0" w:space="0" w:color="auto"/>
        <w:right w:val="none" w:sz="0" w:space="0" w:color="auto"/>
      </w:divBdr>
    </w:div>
    <w:div w:id="169102617">
      <w:bodyDiv w:val="1"/>
      <w:marLeft w:val="0"/>
      <w:marRight w:val="0"/>
      <w:marTop w:val="0"/>
      <w:marBottom w:val="0"/>
      <w:divBdr>
        <w:top w:val="none" w:sz="0" w:space="0" w:color="auto"/>
        <w:left w:val="none" w:sz="0" w:space="0" w:color="auto"/>
        <w:bottom w:val="none" w:sz="0" w:space="0" w:color="auto"/>
        <w:right w:val="none" w:sz="0" w:space="0" w:color="auto"/>
      </w:divBdr>
    </w:div>
    <w:div w:id="171385380">
      <w:bodyDiv w:val="1"/>
      <w:marLeft w:val="0"/>
      <w:marRight w:val="0"/>
      <w:marTop w:val="0"/>
      <w:marBottom w:val="0"/>
      <w:divBdr>
        <w:top w:val="none" w:sz="0" w:space="0" w:color="auto"/>
        <w:left w:val="none" w:sz="0" w:space="0" w:color="auto"/>
        <w:bottom w:val="none" w:sz="0" w:space="0" w:color="auto"/>
        <w:right w:val="none" w:sz="0" w:space="0" w:color="auto"/>
      </w:divBdr>
    </w:div>
    <w:div w:id="180894286">
      <w:bodyDiv w:val="1"/>
      <w:marLeft w:val="0"/>
      <w:marRight w:val="0"/>
      <w:marTop w:val="0"/>
      <w:marBottom w:val="0"/>
      <w:divBdr>
        <w:top w:val="none" w:sz="0" w:space="0" w:color="auto"/>
        <w:left w:val="none" w:sz="0" w:space="0" w:color="auto"/>
        <w:bottom w:val="none" w:sz="0" w:space="0" w:color="auto"/>
        <w:right w:val="none" w:sz="0" w:space="0" w:color="auto"/>
      </w:divBdr>
    </w:div>
    <w:div w:id="185875041">
      <w:bodyDiv w:val="1"/>
      <w:marLeft w:val="0"/>
      <w:marRight w:val="0"/>
      <w:marTop w:val="0"/>
      <w:marBottom w:val="0"/>
      <w:divBdr>
        <w:top w:val="none" w:sz="0" w:space="0" w:color="auto"/>
        <w:left w:val="none" w:sz="0" w:space="0" w:color="auto"/>
        <w:bottom w:val="none" w:sz="0" w:space="0" w:color="auto"/>
        <w:right w:val="none" w:sz="0" w:space="0" w:color="auto"/>
      </w:divBdr>
    </w:div>
    <w:div w:id="201750499">
      <w:bodyDiv w:val="1"/>
      <w:marLeft w:val="0"/>
      <w:marRight w:val="0"/>
      <w:marTop w:val="0"/>
      <w:marBottom w:val="0"/>
      <w:divBdr>
        <w:top w:val="none" w:sz="0" w:space="0" w:color="auto"/>
        <w:left w:val="none" w:sz="0" w:space="0" w:color="auto"/>
        <w:bottom w:val="none" w:sz="0" w:space="0" w:color="auto"/>
        <w:right w:val="none" w:sz="0" w:space="0" w:color="auto"/>
      </w:divBdr>
    </w:div>
    <w:div w:id="213273611">
      <w:bodyDiv w:val="1"/>
      <w:marLeft w:val="0"/>
      <w:marRight w:val="0"/>
      <w:marTop w:val="0"/>
      <w:marBottom w:val="0"/>
      <w:divBdr>
        <w:top w:val="none" w:sz="0" w:space="0" w:color="auto"/>
        <w:left w:val="none" w:sz="0" w:space="0" w:color="auto"/>
        <w:bottom w:val="none" w:sz="0" w:space="0" w:color="auto"/>
        <w:right w:val="none" w:sz="0" w:space="0" w:color="auto"/>
      </w:divBdr>
    </w:div>
    <w:div w:id="241373375">
      <w:bodyDiv w:val="1"/>
      <w:marLeft w:val="0"/>
      <w:marRight w:val="0"/>
      <w:marTop w:val="0"/>
      <w:marBottom w:val="0"/>
      <w:divBdr>
        <w:top w:val="none" w:sz="0" w:space="0" w:color="auto"/>
        <w:left w:val="none" w:sz="0" w:space="0" w:color="auto"/>
        <w:bottom w:val="none" w:sz="0" w:space="0" w:color="auto"/>
        <w:right w:val="none" w:sz="0" w:space="0" w:color="auto"/>
      </w:divBdr>
    </w:div>
    <w:div w:id="251399952">
      <w:bodyDiv w:val="1"/>
      <w:marLeft w:val="0"/>
      <w:marRight w:val="0"/>
      <w:marTop w:val="0"/>
      <w:marBottom w:val="0"/>
      <w:divBdr>
        <w:top w:val="none" w:sz="0" w:space="0" w:color="auto"/>
        <w:left w:val="none" w:sz="0" w:space="0" w:color="auto"/>
        <w:bottom w:val="none" w:sz="0" w:space="0" w:color="auto"/>
        <w:right w:val="none" w:sz="0" w:space="0" w:color="auto"/>
      </w:divBdr>
    </w:div>
    <w:div w:id="264118082">
      <w:bodyDiv w:val="1"/>
      <w:marLeft w:val="0"/>
      <w:marRight w:val="0"/>
      <w:marTop w:val="0"/>
      <w:marBottom w:val="0"/>
      <w:divBdr>
        <w:top w:val="none" w:sz="0" w:space="0" w:color="auto"/>
        <w:left w:val="none" w:sz="0" w:space="0" w:color="auto"/>
        <w:bottom w:val="none" w:sz="0" w:space="0" w:color="auto"/>
        <w:right w:val="none" w:sz="0" w:space="0" w:color="auto"/>
      </w:divBdr>
    </w:div>
    <w:div w:id="268007031">
      <w:bodyDiv w:val="1"/>
      <w:marLeft w:val="0"/>
      <w:marRight w:val="0"/>
      <w:marTop w:val="0"/>
      <w:marBottom w:val="0"/>
      <w:divBdr>
        <w:top w:val="none" w:sz="0" w:space="0" w:color="auto"/>
        <w:left w:val="none" w:sz="0" w:space="0" w:color="auto"/>
        <w:bottom w:val="none" w:sz="0" w:space="0" w:color="auto"/>
        <w:right w:val="none" w:sz="0" w:space="0" w:color="auto"/>
      </w:divBdr>
    </w:div>
    <w:div w:id="277102339">
      <w:bodyDiv w:val="1"/>
      <w:marLeft w:val="0"/>
      <w:marRight w:val="0"/>
      <w:marTop w:val="0"/>
      <w:marBottom w:val="0"/>
      <w:divBdr>
        <w:top w:val="none" w:sz="0" w:space="0" w:color="auto"/>
        <w:left w:val="none" w:sz="0" w:space="0" w:color="auto"/>
        <w:bottom w:val="none" w:sz="0" w:space="0" w:color="auto"/>
        <w:right w:val="none" w:sz="0" w:space="0" w:color="auto"/>
      </w:divBdr>
    </w:div>
    <w:div w:id="280308909">
      <w:bodyDiv w:val="1"/>
      <w:marLeft w:val="0"/>
      <w:marRight w:val="0"/>
      <w:marTop w:val="0"/>
      <w:marBottom w:val="0"/>
      <w:divBdr>
        <w:top w:val="none" w:sz="0" w:space="0" w:color="auto"/>
        <w:left w:val="none" w:sz="0" w:space="0" w:color="auto"/>
        <w:bottom w:val="none" w:sz="0" w:space="0" w:color="auto"/>
        <w:right w:val="none" w:sz="0" w:space="0" w:color="auto"/>
      </w:divBdr>
    </w:div>
    <w:div w:id="299578615">
      <w:bodyDiv w:val="1"/>
      <w:marLeft w:val="0"/>
      <w:marRight w:val="0"/>
      <w:marTop w:val="0"/>
      <w:marBottom w:val="0"/>
      <w:divBdr>
        <w:top w:val="none" w:sz="0" w:space="0" w:color="auto"/>
        <w:left w:val="none" w:sz="0" w:space="0" w:color="auto"/>
        <w:bottom w:val="none" w:sz="0" w:space="0" w:color="auto"/>
        <w:right w:val="none" w:sz="0" w:space="0" w:color="auto"/>
      </w:divBdr>
    </w:div>
    <w:div w:id="309942911">
      <w:bodyDiv w:val="1"/>
      <w:marLeft w:val="0"/>
      <w:marRight w:val="0"/>
      <w:marTop w:val="0"/>
      <w:marBottom w:val="0"/>
      <w:divBdr>
        <w:top w:val="none" w:sz="0" w:space="0" w:color="auto"/>
        <w:left w:val="none" w:sz="0" w:space="0" w:color="auto"/>
        <w:bottom w:val="none" w:sz="0" w:space="0" w:color="auto"/>
        <w:right w:val="none" w:sz="0" w:space="0" w:color="auto"/>
      </w:divBdr>
    </w:div>
    <w:div w:id="319968596">
      <w:bodyDiv w:val="1"/>
      <w:marLeft w:val="0"/>
      <w:marRight w:val="0"/>
      <w:marTop w:val="0"/>
      <w:marBottom w:val="0"/>
      <w:divBdr>
        <w:top w:val="none" w:sz="0" w:space="0" w:color="auto"/>
        <w:left w:val="none" w:sz="0" w:space="0" w:color="auto"/>
        <w:bottom w:val="none" w:sz="0" w:space="0" w:color="auto"/>
        <w:right w:val="none" w:sz="0" w:space="0" w:color="auto"/>
      </w:divBdr>
    </w:div>
    <w:div w:id="324745772">
      <w:bodyDiv w:val="1"/>
      <w:marLeft w:val="0"/>
      <w:marRight w:val="0"/>
      <w:marTop w:val="0"/>
      <w:marBottom w:val="0"/>
      <w:divBdr>
        <w:top w:val="none" w:sz="0" w:space="0" w:color="auto"/>
        <w:left w:val="none" w:sz="0" w:space="0" w:color="auto"/>
        <w:bottom w:val="none" w:sz="0" w:space="0" w:color="auto"/>
        <w:right w:val="none" w:sz="0" w:space="0" w:color="auto"/>
      </w:divBdr>
    </w:div>
    <w:div w:id="333191648">
      <w:bodyDiv w:val="1"/>
      <w:marLeft w:val="0"/>
      <w:marRight w:val="0"/>
      <w:marTop w:val="0"/>
      <w:marBottom w:val="0"/>
      <w:divBdr>
        <w:top w:val="none" w:sz="0" w:space="0" w:color="auto"/>
        <w:left w:val="none" w:sz="0" w:space="0" w:color="auto"/>
        <w:bottom w:val="none" w:sz="0" w:space="0" w:color="auto"/>
        <w:right w:val="none" w:sz="0" w:space="0" w:color="auto"/>
      </w:divBdr>
    </w:div>
    <w:div w:id="345794910">
      <w:bodyDiv w:val="1"/>
      <w:marLeft w:val="0"/>
      <w:marRight w:val="0"/>
      <w:marTop w:val="0"/>
      <w:marBottom w:val="0"/>
      <w:divBdr>
        <w:top w:val="none" w:sz="0" w:space="0" w:color="auto"/>
        <w:left w:val="none" w:sz="0" w:space="0" w:color="auto"/>
        <w:bottom w:val="none" w:sz="0" w:space="0" w:color="auto"/>
        <w:right w:val="none" w:sz="0" w:space="0" w:color="auto"/>
      </w:divBdr>
    </w:div>
    <w:div w:id="364987653">
      <w:bodyDiv w:val="1"/>
      <w:marLeft w:val="0"/>
      <w:marRight w:val="0"/>
      <w:marTop w:val="0"/>
      <w:marBottom w:val="0"/>
      <w:divBdr>
        <w:top w:val="none" w:sz="0" w:space="0" w:color="auto"/>
        <w:left w:val="none" w:sz="0" w:space="0" w:color="auto"/>
        <w:bottom w:val="none" w:sz="0" w:space="0" w:color="auto"/>
        <w:right w:val="none" w:sz="0" w:space="0" w:color="auto"/>
      </w:divBdr>
    </w:div>
    <w:div w:id="369841172">
      <w:bodyDiv w:val="1"/>
      <w:marLeft w:val="0"/>
      <w:marRight w:val="0"/>
      <w:marTop w:val="0"/>
      <w:marBottom w:val="0"/>
      <w:divBdr>
        <w:top w:val="none" w:sz="0" w:space="0" w:color="auto"/>
        <w:left w:val="none" w:sz="0" w:space="0" w:color="auto"/>
        <w:bottom w:val="none" w:sz="0" w:space="0" w:color="auto"/>
        <w:right w:val="none" w:sz="0" w:space="0" w:color="auto"/>
      </w:divBdr>
    </w:div>
    <w:div w:id="373046384">
      <w:bodyDiv w:val="1"/>
      <w:marLeft w:val="0"/>
      <w:marRight w:val="0"/>
      <w:marTop w:val="0"/>
      <w:marBottom w:val="0"/>
      <w:divBdr>
        <w:top w:val="none" w:sz="0" w:space="0" w:color="auto"/>
        <w:left w:val="none" w:sz="0" w:space="0" w:color="auto"/>
        <w:bottom w:val="none" w:sz="0" w:space="0" w:color="auto"/>
        <w:right w:val="none" w:sz="0" w:space="0" w:color="auto"/>
      </w:divBdr>
    </w:div>
    <w:div w:id="390231816">
      <w:bodyDiv w:val="1"/>
      <w:marLeft w:val="0"/>
      <w:marRight w:val="0"/>
      <w:marTop w:val="0"/>
      <w:marBottom w:val="0"/>
      <w:divBdr>
        <w:top w:val="none" w:sz="0" w:space="0" w:color="auto"/>
        <w:left w:val="none" w:sz="0" w:space="0" w:color="auto"/>
        <w:bottom w:val="none" w:sz="0" w:space="0" w:color="auto"/>
        <w:right w:val="none" w:sz="0" w:space="0" w:color="auto"/>
      </w:divBdr>
    </w:div>
    <w:div w:id="403263421">
      <w:bodyDiv w:val="1"/>
      <w:marLeft w:val="0"/>
      <w:marRight w:val="0"/>
      <w:marTop w:val="0"/>
      <w:marBottom w:val="0"/>
      <w:divBdr>
        <w:top w:val="none" w:sz="0" w:space="0" w:color="auto"/>
        <w:left w:val="none" w:sz="0" w:space="0" w:color="auto"/>
        <w:bottom w:val="none" w:sz="0" w:space="0" w:color="auto"/>
        <w:right w:val="none" w:sz="0" w:space="0" w:color="auto"/>
      </w:divBdr>
    </w:div>
    <w:div w:id="408506536">
      <w:bodyDiv w:val="1"/>
      <w:marLeft w:val="0"/>
      <w:marRight w:val="0"/>
      <w:marTop w:val="0"/>
      <w:marBottom w:val="0"/>
      <w:divBdr>
        <w:top w:val="none" w:sz="0" w:space="0" w:color="auto"/>
        <w:left w:val="none" w:sz="0" w:space="0" w:color="auto"/>
        <w:bottom w:val="none" w:sz="0" w:space="0" w:color="auto"/>
        <w:right w:val="none" w:sz="0" w:space="0" w:color="auto"/>
      </w:divBdr>
    </w:div>
    <w:div w:id="451049707">
      <w:bodyDiv w:val="1"/>
      <w:marLeft w:val="0"/>
      <w:marRight w:val="0"/>
      <w:marTop w:val="0"/>
      <w:marBottom w:val="0"/>
      <w:divBdr>
        <w:top w:val="none" w:sz="0" w:space="0" w:color="auto"/>
        <w:left w:val="none" w:sz="0" w:space="0" w:color="auto"/>
        <w:bottom w:val="none" w:sz="0" w:space="0" w:color="auto"/>
        <w:right w:val="none" w:sz="0" w:space="0" w:color="auto"/>
      </w:divBdr>
    </w:div>
    <w:div w:id="458567874">
      <w:bodyDiv w:val="1"/>
      <w:marLeft w:val="0"/>
      <w:marRight w:val="0"/>
      <w:marTop w:val="0"/>
      <w:marBottom w:val="0"/>
      <w:divBdr>
        <w:top w:val="none" w:sz="0" w:space="0" w:color="auto"/>
        <w:left w:val="none" w:sz="0" w:space="0" w:color="auto"/>
        <w:bottom w:val="none" w:sz="0" w:space="0" w:color="auto"/>
        <w:right w:val="none" w:sz="0" w:space="0" w:color="auto"/>
      </w:divBdr>
    </w:div>
    <w:div w:id="469245952">
      <w:bodyDiv w:val="1"/>
      <w:marLeft w:val="0"/>
      <w:marRight w:val="0"/>
      <w:marTop w:val="0"/>
      <w:marBottom w:val="0"/>
      <w:divBdr>
        <w:top w:val="none" w:sz="0" w:space="0" w:color="auto"/>
        <w:left w:val="none" w:sz="0" w:space="0" w:color="auto"/>
        <w:bottom w:val="none" w:sz="0" w:space="0" w:color="auto"/>
        <w:right w:val="none" w:sz="0" w:space="0" w:color="auto"/>
      </w:divBdr>
    </w:div>
    <w:div w:id="474376880">
      <w:bodyDiv w:val="1"/>
      <w:marLeft w:val="0"/>
      <w:marRight w:val="0"/>
      <w:marTop w:val="0"/>
      <w:marBottom w:val="0"/>
      <w:divBdr>
        <w:top w:val="none" w:sz="0" w:space="0" w:color="auto"/>
        <w:left w:val="none" w:sz="0" w:space="0" w:color="auto"/>
        <w:bottom w:val="none" w:sz="0" w:space="0" w:color="auto"/>
        <w:right w:val="none" w:sz="0" w:space="0" w:color="auto"/>
      </w:divBdr>
    </w:div>
    <w:div w:id="494108286">
      <w:bodyDiv w:val="1"/>
      <w:marLeft w:val="0"/>
      <w:marRight w:val="0"/>
      <w:marTop w:val="0"/>
      <w:marBottom w:val="0"/>
      <w:divBdr>
        <w:top w:val="none" w:sz="0" w:space="0" w:color="auto"/>
        <w:left w:val="none" w:sz="0" w:space="0" w:color="auto"/>
        <w:bottom w:val="none" w:sz="0" w:space="0" w:color="auto"/>
        <w:right w:val="none" w:sz="0" w:space="0" w:color="auto"/>
      </w:divBdr>
    </w:div>
    <w:div w:id="530611540">
      <w:bodyDiv w:val="1"/>
      <w:marLeft w:val="0"/>
      <w:marRight w:val="0"/>
      <w:marTop w:val="0"/>
      <w:marBottom w:val="0"/>
      <w:divBdr>
        <w:top w:val="none" w:sz="0" w:space="0" w:color="auto"/>
        <w:left w:val="none" w:sz="0" w:space="0" w:color="auto"/>
        <w:bottom w:val="none" w:sz="0" w:space="0" w:color="auto"/>
        <w:right w:val="none" w:sz="0" w:space="0" w:color="auto"/>
      </w:divBdr>
    </w:div>
    <w:div w:id="534317047">
      <w:bodyDiv w:val="1"/>
      <w:marLeft w:val="0"/>
      <w:marRight w:val="0"/>
      <w:marTop w:val="0"/>
      <w:marBottom w:val="0"/>
      <w:divBdr>
        <w:top w:val="none" w:sz="0" w:space="0" w:color="auto"/>
        <w:left w:val="none" w:sz="0" w:space="0" w:color="auto"/>
        <w:bottom w:val="none" w:sz="0" w:space="0" w:color="auto"/>
        <w:right w:val="none" w:sz="0" w:space="0" w:color="auto"/>
      </w:divBdr>
    </w:div>
    <w:div w:id="558444701">
      <w:bodyDiv w:val="1"/>
      <w:marLeft w:val="0"/>
      <w:marRight w:val="0"/>
      <w:marTop w:val="0"/>
      <w:marBottom w:val="0"/>
      <w:divBdr>
        <w:top w:val="none" w:sz="0" w:space="0" w:color="auto"/>
        <w:left w:val="none" w:sz="0" w:space="0" w:color="auto"/>
        <w:bottom w:val="none" w:sz="0" w:space="0" w:color="auto"/>
        <w:right w:val="none" w:sz="0" w:space="0" w:color="auto"/>
      </w:divBdr>
    </w:div>
    <w:div w:id="570120058">
      <w:bodyDiv w:val="1"/>
      <w:marLeft w:val="0"/>
      <w:marRight w:val="0"/>
      <w:marTop w:val="0"/>
      <w:marBottom w:val="0"/>
      <w:divBdr>
        <w:top w:val="none" w:sz="0" w:space="0" w:color="auto"/>
        <w:left w:val="none" w:sz="0" w:space="0" w:color="auto"/>
        <w:bottom w:val="none" w:sz="0" w:space="0" w:color="auto"/>
        <w:right w:val="none" w:sz="0" w:space="0" w:color="auto"/>
      </w:divBdr>
    </w:div>
    <w:div w:id="586696111">
      <w:bodyDiv w:val="1"/>
      <w:marLeft w:val="0"/>
      <w:marRight w:val="0"/>
      <w:marTop w:val="0"/>
      <w:marBottom w:val="0"/>
      <w:divBdr>
        <w:top w:val="none" w:sz="0" w:space="0" w:color="auto"/>
        <w:left w:val="none" w:sz="0" w:space="0" w:color="auto"/>
        <w:bottom w:val="none" w:sz="0" w:space="0" w:color="auto"/>
        <w:right w:val="none" w:sz="0" w:space="0" w:color="auto"/>
      </w:divBdr>
    </w:div>
    <w:div w:id="613488625">
      <w:bodyDiv w:val="1"/>
      <w:marLeft w:val="0"/>
      <w:marRight w:val="0"/>
      <w:marTop w:val="0"/>
      <w:marBottom w:val="0"/>
      <w:divBdr>
        <w:top w:val="none" w:sz="0" w:space="0" w:color="auto"/>
        <w:left w:val="none" w:sz="0" w:space="0" w:color="auto"/>
        <w:bottom w:val="none" w:sz="0" w:space="0" w:color="auto"/>
        <w:right w:val="none" w:sz="0" w:space="0" w:color="auto"/>
      </w:divBdr>
    </w:div>
    <w:div w:id="635334656">
      <w:bodyDiv w:val="1"/>
      <w:marLeft w:val="0"/>
      <w:marRight w:val="0"/>
      <w:marTop w:val="0"/>
      <w:marBottom w:val="0"/>
      <w:divBdr>
        <w:top w:val="none" w:sz="0" w:space="0" w:color="auto"/>
        <w:left w:val="none" w:sz="0" w:space="0" w:color="auto"/>
        <w:bottom w:val="none" w:sz="0" w:space="0" w:color="auto"/>
        <w:right w:val="none" w:sz="0" w:space="0" w:color="auto"/>
      </w:divBdr>
    </w:div>
    <w:div w:id="656691237">
      <w:bodyDiv w:val="1"/>
      <w:marLeft w:val="0"/>
      <w:marRight w:val="0"/>
      <w:marTop w:val="0"/>
      <w:marBottom w:val="0"/>
      <w:divBdr>
        <w:top w:val="none" w:sz="0" w:space="0" w:color="auto"/>
        <w:left w:val="none" w:sz="0" w:space="0" w:color="auto"/>
        <w:bottom w:val="none" w:sz="0" w:space="0" w:color="auto"/>
        <w:right w:val="none" w:sz="0" w:space="0" w:color="auto"/>
      </w:divBdr>
    </w:div>
    <w:div w:id="672994250">
      <w:bodyDiv w:val="1"/>
      <w:marLeft w:val="0"/>
      <w:marRight w:val="0"/>
      <w:marTop w:val="0"/>
      <w:marBottom w:val="0"/>
      <w:divBdr>
        <w:top w:val="none" w:sz="0" w:space="0" w:color="auto"/>
        <w:left w:val="none" w:sz="0" w:space="0" w:color="auto"/>
        <w:bottom w:val="none" w:sz="0" w:space="0" w:color="auto"/>
        <w:right w:val="none" w:sz="0" w:space="0" w:color="auto"/>
      </w:divBdr>
    </w:div>
    <w:div w:id="681973891">
      <w:bodyDiv w:val="1"/>
      <w:marLeft w:val="0"/>
      <w:marRight w:val="0"/>
      <w:marTop w:val="0"/>
      <w:marBottom w:val="0"/>
      <w:divBdr>
        <w:top w:val="none" w:sz="0" w:space="0" w:color="auto"/>
        <w:left w:val="none" w:sz="0" w:space="0" w:color="auto"/>
        <w:bottom w:val="none" w:sz="0" w:space="0" w:color="auto"/>
        <w:right w:val="none" w:sz="0" w:space="0" w:color="auto"/>
      </w:divBdr>
    </w:div>
    <w:div w:id="683552192">
      <w:bodyDiv w:val="1"/>
      <w:marLeft w:val="0"/>
      <w:marRight w:val="0"/>
      <w:marTop w:val="0"/>
      <w:marBottom w:val="0"/>
      <w:divBdr>
        <w:top w:val="none" w:sz="0" w:space="0" w:color="auto"/>
        <w:left w:val="none" w:sz="0" w:space="0" w:color="auto"/>
        <w:bottom w:val="none" w:sz="0" w:space="0" w:color="auto"/>
        <w:right w:val="none" w:sz="0" w:space="0" w:color="auto"/>
      </w:divBdr>
    </w:div>
    <w:div w:id="704788882">
      <w:bodyDiv w:val="1"/>
      <w:marLeft w:val="0"/>
      <w:marRight w:val="0"/>
      <w:marTop w:val="0"/>
      <w:marBottom w:val="0"/>
      <w:divBdr>
        <w:top w:val="none" w:sz="0" w:space="0" w:color="auto"/>
        <w:left w:val="none" w:sz="0" w:space="0" w:color="auto"/>
        <w:bottom w:val="none" w:sz="0" w:space="0" w:color="auto"/>
        <w:right w:val="none" w:sz="0" w:space="0" w:color="auto"/>
      </w:divBdr>
    </w:div>
    <w:div w:id="718015260">
      <w:bodyDiv w:val="1"/>
      <w:marLeft w:val="0"/>
      <w:marRight w:val="0"/>
      <w:marTop w:val="0"/>
      <w:marBottom w:val="0"/>
      <w:divBdr>
        <w:top w:val="none" w:sz="0" w:space="0" w:color="auto"/>
        <w:left w:val="none" w:sz="0" w:space="0" w:color="auto"/>
        <w:bottom w:val="none" w:sz="0" w:space="0" w:color="auto"/>
        <w:right w:val="none" w:sz="0" w:space="0" w:color="auto"/>
      </w:divBdr>
    </w:div>
    <w:div w:id="736322798">
      <w:bodyDiv w:val="1"/>
      <w:marLeft w:val="0"/>
      <w:marRight w:val="0"/>
      <w:marTop w:val="0"/>
      <w:marBottom w:val="0"/>
      <w:divBdr>
        <w:top w:val="none" w:sz="0" w:space="0" w:color="auto"/>
        <w:left w:val="none" w:sz="0" w:space="0" w:color="auto"/>
        <w:bottom w:val="none" w:sz="0" w:space="0" w:color="auto"/>
        <w:right w:val="none" w:sz="0" w:space="0" w:color="auto"/>
      </w:divBdr>
    </w:div>
    <w:div w:id="750464803">
      <w:bodyDiv w:val="1"/>
      <w:marLeft w:val="0"/>
      <w:marRight w:val="0"/>
      <w:marTop w:val="0"/>
      <w:marBottom w:val="0"/>
      <w:divBdr>
        <w:top w:val="none" w:sz="0" w:space="0" w:color="auto"/>
        <w:left w:val="none" w:sz="0" w:space="0" w:color="auto"/>
        <w:bottom w:val="none" w:sz="0" w:space="0" w:color="auto"/>
        <w:right w:val="none" w:sz="0" w:space="0" w:color="auto"/>
      </w:divBdr>
    </w:div>
    <w:div w:id="750735421">
      <w:bodyDiv w:val="1"/>
      <w:marLeft w:val="0"/>
      <w:marRight w:val="0"/>
      <w:marTop w:val="0"/>
      <w:marBottom w:val="0"/>
      <w:divBdr>
        <w:top w:val="none" w:sz="0" w:space="0" w:color="auto"/>
        <w:left w:val="none" w:sz="0" w:space="0" w:color="auto"/>
        <w:bottom w:val="none" w:sz="0" w:space="0" w:color="auto"/>
        <w:right w:val="none" w:sz="0" w:space="0" w:color="auto"/>
      </w:divBdr>
    </w:div>
    <w:div w:id="755902545">
      <w:bodyDiv w:val="1"/>
      <w:marLeft w:val="0"/>
      <w:marRight w:val="0"/>
      <w:marTop w:val="0"/>
      <w:marBottom w:val="0"/>
      <w:divBdr>
        <w:top w:val="none" w:sz="0" w:space="0" w:color="auto"/>
        <w:left w:val="none" w:sz="0" w:space="0" w:color="auto"/>
        <w:bottom w:val="none" w:sz="0" w:space="0" w:color="auto"/>
        <w:right w:val="none" w:sz="0" w:space="0" w:color="auto"/>
      </w:divBdr>
    </w:div>
    <w:div w:id="758061025">
      <w:bodyDiv w:val="1"/>
      <w:marLeft w:val="0"/>
      <w:marRight w:val="0"/>
      <w:marTop w:val="0"/>
      <w:marBottom w:val="0"/>
      <w:divBdr>
        <w:top w:val="none" w:sz="0" w:space="0" w:color="auto"/>
        <w:left w:val="none" w:sz="0" w:space="0" w:color="auto"/>
        <w:bottom w:val="none" w:sz="0" w:space="0" w:color="auto"/>
        <w:right w:val="none" w:sz="0" w:space="0" w:color="auto"/>
      </w:divBdr>
    </w:div>
    <w:div w:id="760183777">
      <w:bodyDiv w:val="1"/>
      <w:marLeft w:val="0"/>
      <w:marRight w:val="0"/>
      <w:marTop w:val="0"/>
      <w:marBottom w:val="0"/>
      <w:divBdr>
        <w:top w:val="none" w:sz="0" w:space="0" w:color="auto"/>
        <w:left w:val="none" w:sz="0" w:space="0" w:color="auto"/>
        <w:bottom w:val="none" w:sz="0" w:space="0" w:color="auto"/>
        <w:right w:val="none" w:sz="0" w:space="0" w:color="auto"/>
      </w:divBdr>
    </w:div>
    <w:div w:id="776409016">
      <w:bodyDiv w:val="1"/>
      <w:marLeft w:val="0"/>
      <w:marRight w:val="0"/>
      <w:marTop w:val="0"/>
      <w:marBottom w:val="0"/>
      <w:divBdr>
        <w:top w:val="none" w:sz="0" w:space="0" w:color="auto"/>
        <w:left w:val="none" w:sz="0" w:space="0" w:color="auto"/>
        <w:bottom w:val="none" w:sz="0" w:space="0" w:color="auto"/>
        <w:right w:val="none" w:sz="0" w:space="0" w:color="auto"/>
      </w:divBdr>
    </w:div>
    <w:div w:id="77687729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5219">
      <w:bodyDiv w:val="1"/>
      <w:marLeft w:val="0"/>
      <w:marRight w:val="0"/>
      <w:marTop w:val="0"/>
      <w:marBottom w:val="0"/>
      <w:divBdr>
        <w:top w:val="none" w:sz="0" w:space="0" w:color="auto"/>
        <w:left w:val="none" w:sz="0" w:space="0" w:color="auto"/>
        <w:bottom w:val="none" w:sz="0" w:space="0" w:color="auto"/>
        <w:right w:val="none" w:sz="0" w:space="0" w:color="auto"/>
      </w:divBdr>
    </w:div>
    <w:div w:id="802773965">
      <w:bodyDiv w:val="1"/>
      <w:marLeft w:val="0"/>
      <w:marRight w:val="0"/>
      <w:marTop w:val="0"/>
      <w:marBottom w:val="0"/>
      <w:divBdr>
        <w:top w:val="none" w:sz="0" w:space="0" w:color="auto"/>
        <w:left w:val="none" w:sz="0" w:space="0" w:color="auto"/>
        <w:bottom w:val="none" w:sz="0" w:space="0" w:color="auto"/>
        <w:right w:val="none" w:sz="0" w:space="0" w:color="auto"/>
      </w:divBdr>
    </w:div>
    <w:div w:id="803812336">
      <w:bodyDiv w:val="1"/>
      <w:marLeft w:val="0"/>
      <w:marRight w:val="0"/>
      <w:marTop w:val="0"/>
      <w:marBottom w:val="0"/>
      <w:divBdr>
        <w:top w:val="none" w:sz="0" w:space="0" w:color="auto"/>
        <w:left w:val="none" w:sz="0" w:space="0" w:color="auto"/>
        <w:bottom w:val="none" w:sz="0" w:space="0" w:color="auto"/>
        <w:right w:val="none" w:sz="0" w:space="0" w:color="auto"/>
      </w:divBdr>
    </w:div>
    <w:div w:id="807866092">
      <w:bodyDiv w:val="1"/>
      <w:marLeft w:val="0"/>
      <w:marRight w:val="0"/>
      <w:marTop w:val="0"/>
      <w:marBottom w:val="0"/>
      <w:divBdr>
        <w:top w:val="none" w:sz="0" w:space="0" w:color="auto"/>
        <w:left w:val="none" w:sz="0" w:space="0" w:color="auto"/>
        <w:bottom w:val="none" w:sz="0" w:space="0" w:color="auto"/>
        <w:right w:val="none" w:sz="0" w:space="0" w:color="auto"/>
      </w:divBdr>
    </w:div>
    <w:div w:id="810561588">
      <w:bodyDiv w:val="1"/>
      <w:marLeft w:val="0"/>
      <w:marRight w:val="0"/>
      <w:marTop w:val="0"/>
      <w:marBottom w:val="0"/>
      <w:divBdr>
        <w:top w:val="none" w:sz="0" w:space="0" w:color="auto"/>
        <w:left w:val="none" w:sz="0" w:space="0" w:color="auto"/>
        <w:bottom w:val="none" w:sz="0" w:space="0" w:color="auto"/>
        <w:right w:val="none" w:sz="0" w:space="0" w:color="auto"/>
      </w:divBdr>
    </w:div>
    <w:div w:id="818305919">
      <w:bodyDiv w:val="1"/>
      <w:marLeft w:val="0"/>
      <w:marRight w:val="0"/>
      <w:marTop w:val="0"/>
      <w:marBottom w:val="0"/>
      <w:divBdr>
        <w:top w:val="none" w:sz="0" w:space="0" w:color="auto"/>
        <w:left w:val="none" w:sz="0" w:space="0" w:color="auto"/>
        <w:bottom w:val="none" w:sz="0" w:space="0" w:color="auto"/>
        <w:right w:val="none" w:sz="0" w:space="0" w:color="auto"/>
      </w:divBdr>
    </w:div>
    <w:div w:id="819927540">
      <w:bodyDiv w:val="1"/>
      <w:marLeft w:val="0"/>
      <w:marRight w:val="0"/>
      <w:marTop w:val="0"/>
      <w:marBottom w:val="0"/>
      <w:divBdr>
        <w:top w:val="none" w:sz="0" w:space="0" w:color="auto"/>
        <w:left w:val="none" w:sz="0" w:space="0" w:color="auto"/>
        <w:bottom w:val="none" w:sz="0" w:space="0" w:color="auto"/>
        <w:right w:val="none" w:sz="0" w:space="0" w:color="auto"/>
      </w:divBdr>
    </w:div>
    <w:div w:id="825363482">
      <w:bodyDiv w:val="1"/>
      <w:marLeft w:val="0"/>
      <w:marRight w:val="0"/>
      <w:marTop w:val="0"/>
      <w:marBottom w:val="0"/>
      <w:divBdr>
        <w:top w:val="none" w:sz="0" w:space="0" w:color="auto"/>
        <w:left w:val="none" w:sz="0" w:space="0" w:color="auto"/>
        <w:bottom w:val="none" w:sz="0" w:space="0" w:color="auto"/>
        <w:right w:val="none" w:sz="0" w:space="0" w:color="auto"/>
      </w:divBdr>
    </w:div>
    <w:div w:id="840661973">
      <w:bodyDiv w:val="1"/>
      <w:marLeft w:val="0"/>
      <w:marRight w:val="0"/>
      <w:marTop w:val="0"/>
      <w:marBottom w:val="0"/>
      <w:divBdr>
        <w:top w:val="none" w:sz="0" w:space="0" w:color="auto"/>
        <w:left w:val="none" w:sz="0" w:space="0" w:color="auto"/>
        <w:bottom w:val="none" w:sz="0" w:space="0" w:color="auto"/>
        <w:right w:val="none" w:sz="0" w:space="0" w:color="auto"/>
      </w:divBdr>
    </w:div>
    <w:div w:id="84555635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098001">
      <w:bodyDiv w:val="1"/>
      <w:marLeft w:val="0"/>
      <w:marRight w:val="0"/>
      <w:marTop w:val="0"/>
      <w:marBottom w:val="0"/>
      <w:divBdr>
        <w:top w:val="none" w:sz="0" w:space="0" w:color="auto"/>
        <w:left w:val="none" w:sz="0" w:space="0" w:color="auto"/>
        <w:bottom w:val="none" w:sz="0" w:space="0" w:color="auto"/>
        <w:right w:val="none" w:sz="0" w:space="0" w:color="auto"/>
      </w:divBdr>
    </w:div>
    <w:div w:id="866258579">
      <w:bodyDiv w:val="1"/>
      <w:marLeft w:val="0"/>
      <w:marRight w:val="0"/>
      <w:marTop w:val="0"/>
      <w:marBottom w:val="0"/>
      <w:divBdr>
        <w:top w:val="none" w:sz="0" w:space="0" w:color="auto"/>
        <w:left w:val="none" w:sz="0" w:space="0" w:color="auto"/>
        <w:bottom w:val="none" w:sz="0" w:space="0" w:color="auto"/>
        <w:right w:val="none" w:sz="0" w:space="0" w:color="auto"/>
      </w:divBdr>
    </w:div>
    <w:div w:id="896011995">
      <w:bodyDiv w:val="1"/>
      <w:marLeft w:val="0"/>
      <w:marRight w:val="0"/>
      <w:marTop w:val="0"/>
      <w:marBottom w:val="0"/>
      <w:divBdr>
        <w:top w:val="none" w:sz="0" w:space="0" w:color="auto"/>
        <w:left w:val="none" w:sz="0" w:space="0" w:color="auto"/>
        <w:bottom w:val="none" w:sz="0" w:space="0" w:color="auto"/>
        <w:right w:val="none" w:sz="0" w:space="0" w:color="auto"/>
      </w:divBdr>
    </w:div>
    <w:div w:id="913323752">
      <w:bodyDiv w:val="1"/>
      <w:marLeft w:val="0"/>
      <w:marRight w:val="0"/>
      <w:marTop w:val="0"/>
      <w:marBottom w:val="0"/>
      <w:divBdr>
        <w:top w:val="none" w:sz="0" w:space="0" w:color="auto"/>
        <w:left w:val="none" w:sz="0" w:space="0" w:color="auto"/>
        <w:bottom w:val="none" w:sz="0" w:space="0" w:color="auto"/>
        <w:right w:val="none" w:sz="0" w:space="0" w:color="auto"/>
      </w:divBdr>
    </w:div>
    <w:div w:id="915365167">
      <w:bodyDiv w:val="1"/>
      <w:marLeft w:val="0"/>
      <w:marRight w:val="0"/>
      <w:marTop w:val="0"/>
      <w:marBottom w:val="0"/>
      <w:divBdr>
        <w:top w:val="none" w:sz="0" w:space="0" w:color="auto"/>
        <w:left w:val="none" w:sz="0" w:space="0" w:color="auto"/>
        <w:bottom w:val="none" w:sz="0" w:space="0" w:color="auto"/>
        <w:right w:val="none" w:sz="0" w:space="0" w:color="auto"/>
      </w:divBdr>
    </w:div>
    <w:div w:id="92079768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7407">
      <w:bodyDiv w:val="1"/>
      <w:marLeft w:val="0"/>
      <w:marRight w:val="0"/>
      <w:marTop w:val="0"/>
      <w:marBottom w:val="0"/>
      <w:divBdr>
        <w:top w:val="none" w:sz="0" w:space="0" w:color="auto"/>
        <w:left w:val="none" w:sz="0" w:space="0" w:color="auto"/>
        <w:bottom w:val="none" w:sz="0" w:space="0" w:color="auto"/>
        <w:right w:val="none" w:sz="0" w:space="0" w:color="auto"/>
      </w:divBdr>
    </w:div>
    <w:div w:id="968903001">
      <w:bodyDiv w:val="1"/>
      <w:marLeft w:val="0"/>
      <w:marRight w:val="0"/>
      <w:marTop w:val="0"/>
      <w:marBottom w:val="0"/>
      <w:divBdr>
        <w:top w:val="none" w:sz="0" w:space="0" w:color="auto"/>
        <w:left w:val="none" w:sz="0" w:space="0" w:color="auto"/>
        <w:bottom w:val="none" w:sz="0" w:space="0" w:color="auto"/>
        <w:right w:val="none" w:sz="0" w:space="0" w:color="auto"/>
      </w:divBdr>
    </w:div>
    <w:div w:id="979383062">
      <w:bodyDiv w:val="1"/>
      <w:marLeft w:val="0"/>
      <w:marRight w:val="0"/>
      <w:marTop w:val="0"/>
      <w:marBottom w:val="0"/>
      <w:divBdr>
        <w:top w:val="none" w:sz="0" w:space="0" w:color="auto"/>
        <w:left w:val="none" w:sz="0" w:space="0" w:color="auto"/>
        <w:bottom w:val="none" w:sz="0" w:space="0" w:color="auto"/>
        <w:right w:val="none" w:sz="0" w:space="0" w:color="auto"/>
      </w:divBdr>
    </w:div>
    <w:div w:id="986133822">
      <w:bodyDiv w:val="1"/>
      <w:marLeft w:val="0"/>
      <w:marRight w:val="0"/>
      <w:marTop w:val="0"/>
      <w:marBottom w:val="0"/>
      <w:divBdr>
        <w:top w:val="none" w:sz="0" w:space="0" w:color="auto"/>
        <w:left w:val="none" w:sz="0" w:space="0" w:color="auto"/>
        <w:bottom w:val="none" w:sz="0" w:space="0" w:color="auto"/>
        <w:right w:val="none" w:sz="0" w:space="0" w:color="auto"/>
      </w:divBdr>
    </w:div>
    <w:div w:id="1006055793">
      <w:bodyDiv w:val="1"/>
      <w:marLeft w:val="0"/>
      <w:marRight w:val="0"/>
      <w:marTop w:val="0"/>
      <w:marBottom w:val="0"/>
      <w:divBdr>
        <w:top w:val="none" w:sz="0" w:space="0" w:color="auto"/>
        <w:left w:val="none" w:sz="0" w:space="0" w:color="auto"/>
        <w:bottom w:val="none" w:sz="0" w:space="0" w:color="auto"/>
        <w:right w:val="none" w:sz="0" w:space="0" w:color="auto"/>
      </w:divBdr>
    </w:div>
    <w:div w:id="1035882991">
      <w:bodyDiv w:val="1"/>
      <w:marLeft w:val="0"/>
      <w:marRight w:val="0"/>
      <w:marTop w:val="0"/>
      <w:marBottom w:val="0"/>
      <w:divBdr>
        <w:top w:val="none" w:sz="0" w:space="0" w:color="auto"/>
        <w:left w:val="none" w:sz="0" w:space="0" w:color="auto"/>
        <w:bottom w:val="none" w:sz="0" w:space="0" w:color="auto"/>
        <w:right w:val="none" w:sz="0" w:space="0" w:color="auto"/>
      </w:divBdr>
    </w:div>
    <w:div w:id="1038700097">
      <w:bodyDiv w:val="1"/>
      <w:marLeft w:val="0"/>
      <w:marRight w:val="0"/>
      <w:marTop w:val="0"/>
      <w:marBottom w:val="0"/>
      <w:divBdr>
        <w:top w:val="none" w:sz="0" w:space="0" w:color="auto"/>
        <w:left w:val="none" w:sz="0" w:space="0" w:color="auto"/>
        <w:bottom w:val="none" w:sz="0" w:space="0" w:color="auto"/>
        <w:right w:val="none" w:sz="0" w:space="0" w:color="auto"/>
      </w:divBdr>
    </w:div>
    <w:div w:id="1043943782">
      <w:bodyDiv w:val="1"/>
      <w:marLeft w:val="0"/>
      <w:marRight w:val="0"/>
      <w:marTop w:val="0"/>
      <w:marBottom w:val="0"/>
      <w:divBdr>
        <w:top w:val="none" w:sz="0" w:space="0" w:color="auto"/>
        <w:left w:val="none" w:sz="0" w:space="0" w:color="auto"/>
        <w:bottom w:val="none" w:sz="0" w:space="0" w:color="auto"/>
        <w:right w:val="none" w:sz="0" w:space="0" w:color="auto"/>
      </w:divBdr>
    </w:div>
    <w:div w:id="1046102841">
      <w:bodyDiv w:val="1"/>
      <w:marLeft w:val="0"/>
      <w:marRight w:val="0"/>
      <w:marTop w:val="0"/>
      <w:marBottom w:val="0"/>
      <w:divBdr>
        <w:top w:val="none" w:sz="0" w:space="0" w:color="auto"/>
        <w:left w:val="none" w:sz="0" w:space="0" w:color="auto"/>
        <w:bottom w:val="none" w:sz="0" w:space="0" w:color="auto"/>
        <w:right w:val="none" w:sz="0" w:space="0" w:color="auto"/>
      </w:divBdr>
    </w:div>
    <w:div w:id="1065840650">
      <w:bodyDiv w:val="1"/>
      <w:marLeft w:val="0"/>
      <w:marRight w:val="0"/>
      <w:marTop w:val="0"/>
      <w:marBottom w:val="0"/>
      <w:divBdr>
        <w:top w:val="none" w:sz="0" w:space="0" w:color="auto"/>
        <w:left w:val="none" w:sz="0" w:space="0" w:color="auto"/>
        <w:bottom w:val="none" w:sz="0" w:space="0" w:color="auto"/>
        <w:right w:val="none" w:sz="0" w:space="0" w:color="auto"/>
      </w:divBdr>
    </w:div>
    <w:div w:id="1067798950">
      <w:bodyDiv w:val="1"/>
      <w:marLeft w:val="0"/>
      <w:marRight w:val="0"/>
      <w:marTop w:val="0"/>
      <w:marBottom w:val="0"/>
      <w:divBdr>
        <w:top w:val="none" w:sz="0" w:space="0" w:color="auto"/>
        <w:left w:val="none" w:sz="0" w:space="0" w:color="auto"/>
        <w:bottom w:val="none" w:sz="0" w:space="0" w:color="auto"/>
        <w:right w:val="none" w:sz="0" w:space="0" w:color="auto"/>
      </w:divBdr>
    </w:div>
    <w:div w:id="1076826654">
      <w:bodyDiv w:val="1"/>
      <w:marLeft w:val="0"/>
      <w:marRight w:val="0"/>
      <w:marTop w:val="0"/>
      <w:marBottom w:val="0"/>
      <w:divBdr>
        <w:top w:val="none" w:sz="0" w:space="0" w:color="auto"/>
        <w:left w:val="none" w:sz="0" w:space="0" w:color="auto"/>
        <w:bottom w:val="none" w:sz="0" w:space="0" w:color="auto"/>
        <w:right w:val="none" w:sz="0" w:space="0" w:color="auto"/>
      </w:divBdr>
    </w:div>
    <w:div w:id="1148284251">
      <w:bodyDiv w:val="1"/>
      <w:marLeft w:val="0"/>
      <w:marRight w:val="0"/>
      <w:marTop w:val="0"/>
      <w:marBottom w:val="0"/>
      <w:divBdr>
        <w:top w:val="none" w:sz="0" w:space="0" w:color="auto"/>
        <w:left w:val="none" w:sz="0" w:space="0" w:color="auto"/>
        <w:bottom w:val="none" w:sz="0" w:space="0" w:color="auto"/>
        <w:right w:val="none" w:sz="0" w:space="0" w:color="auto"/>
      </w:divBdr>
    </w:div>
    <w:div w:id="1153330295">
      <w:bodyDiv w:val="1"/>
      <w:marLeft w:val="0"/>
      <w:marRight w:val="0"/>
      <w:marTop w:val="0"/>
      <w:marBottom w:val="0"/>
      <w:divBdr>
        <w:top w:val="none" w:sz="0" w:space="0" w:color="auto"/>
        <w:left w:val="none" w:sz="0" w:space="0" w:color="auto"/>
        <w:bottom w:val="none" w:sz="0" w:space="0" w:color="auto"/>
        <w:right w:val="none" w:sz="0" w:space="0" w:color="auto"/>
      </w:divBdr>
    </w:div>
    <w:div w:id="1160075324">
      <w:bodyDiv w:val="1"/>
      <w:marLeft w:val="0"/>
      <w:marRight w:val="0"/>
      <w:marTop w:val="0"/>
      <w:marBottom w:val="0"/>
      <w:divBdr>
        <w:top w:val="none" w:sz="0" w:space="0" w:color="auto"/>
        <w:left w:val="none" w:sz="0" w:space="0" w:color="auto"/>
        <w:bottom w:val="none" w:sz="0" w:space="0" w:color="auto"/>
        <w:right w:val="none" w:sz="0" w:space="0" w:color="auto"/>
      </w:divBdr>
    </w:div>
    <w:div w:id="1178932425">
      <w:bodyDiv w:val="1"/>
      <w:marLeft w:val="0"/>
      <w:marRight w:val="0"/>
      <w:marTop w:val="0"/>
      <w:marBottom w:val="0"/>
      <w:divBdr>
        <w:top w:val="none" w:sz="0" w:space="0" w:color="auto"/>
        <w:left w:val="none" w:sz="0" w:space="0" w:color="auto"/>
        <w:bottom w:val="none" w:sz="0" w:space="0" w:color="auto"/>
        <w:right w:val="none" w:sz="0" w:space="0" w:color="auto"/>
      </w:divBdr>
    </w:div>
    <w:div w:id="1179659584">
      <w:bodyDiv w:val="1"/>
      <w:marLeft w:val="0"/>
      <w:marRight w:val="0"/>
      <w:marTop w:val="0"/>
      <w:marBottom w:val="0"/>
      <w:divBdr>
        <w:top w:val="none" w:sz="0" w:space="0" w:color="auto"/>
        <w:left w:val="none" w:sz="0" w:space="0" w:color="auto"/>
        <w:bottom w:val="none" w:sz="0" w:space="0" w:color="auto"/>
        <w:right w:val="none" w:sz="0" w:space="0" w:color="auto"/>
      </w:divBdr>
    </w:div>
    <w:div w:id="1184854634">
      <w:bodyDiv w:val="1"/>
      <w:marLeft w:val="0"/>
      <w:marRight w:val="0"/>
      <w:marTop w:val="0"/>
      <w:marBottom w:val="0"/>
      <w:divBdr>
        <w:top w:val="none" w:sz="0" w:space="0" w:color="auto"/>
        <w:left w:val="none" w:sz="0" w:space="0" w:color="auto"/>
        <w:bottom w:val="none" w:sz="0" w:space="0" w:color="auto"/>
        <w:right w:val="none" w:sz="0" w:space="0" w:color="auto"/>
      </w:divBdr>
    </w:div>
    <w:div w:id="1205481562">
      <w:bodyDiv w:val="1"/>
      <w:marLeft w:val="0"/>
      <w:marRight w:val="0"/>
      <w:marTop w:val="0"/>
      <w:marBottom w:val="0"/>
      <w:divBdr>
        <w:top w:val="none" w:sz="0" w:space="0" w:color="auto"/>
        <w:left w:val="none" w:sz="0" w:space="0" w:color="auto"/>
        <w:bottom w:val="none" w:sz="0" w:space="0" w:color="auto"/>
        <w:right w:val="none" w:sz="0" w:space="0" w:color="auto"/>
      </w:divBdr>
    </w:div>
    <w:div w:id="1213809588">
      <w:bodyDiv w:val="1"/>
      <w:marLeft w:val="0"/>
      <w:marRight w:val="0"/>
      <w:marTop w:val="0"/>
      <w:marBottom w:val="0"/>
      <w:divBdr>
        <w:top w:val="none" w:sz="0" w:space="0" w:color="auto"/>
        <w:left w:val="none" w:sz="0" w:space="0" w:color="auto"/>
        <w:bottom w:val="none" w:sz="0" w:space="0" w:color="auto"/>
        <w:right w:val="none" w:sz="0" w:space="0" w:color="auto"/>
      </w:divBdr>
    </w:div>
    <w:div w:id="1224026812">
      <w:bodyDiv w:val="1"/>
      <w:marLeft w:val="0"/>
      <w:marRight w:val="0"/>
      <w:marTop w:val="0"/>
      <w:marBottom w:val="0"/>
      <w:divBdr>
        <w:top w:val="none" w:sz="0" w:space="0" w:color="auto"/>
        <w:left w:val="none" w:sz="0" w:space="0" w:color="auto"/>
        <w:bottom w:val="none" w:sz="0" w:space="0" w:color="auto"/>
        <w:right w:val="none" w:sz="0" w:space="0" w:color="auto"/>
      </w:divBdr>
    </w:div>
    <w:div w:id="1229609412">
      <w:bodyDiv w:val="1"/>
      <w:marLeft w:val="0"/>
      <w:marRight w:val="0"/>
      <w:marTop w:val="0"/>
      <w:marBottom w:val="0"/>
      <w:divBdr>
        <w:top w:val="none" w:sz="0" w:space="0" w:color="auto"/>
        <w:left w:val="none" w:sz="0" w:space="0" w:color="auto"/>
        <w:bottom w:val="none" w:sz="0" w:space="0" w:color="auto"/>
        <w:right w:val="none" w:sz="0" w:space="0" w:color="auto"/>
      </w:divBdr>
    </w:div>
    <w:div w:id="1229801885">
      <w:bodyDiv w:val="1"/>
      <w:marLeft w:val="0"/>
      <w:marRight w:val="0"/>
      <w:marTop w:val="0"/>
      <w:marBottom w:val="0"/>
      <w:divBdr>
        <w:top w:val="none" w:sz="0" w:space="0" w:color="auto"/>
        <w:left w:val="none" w:sz="0" w:space="0" w:color="auto"/>
        <w:bottom w:val="none" w:sz="0" w:space="0" w:color="auto"/>
        <w:right w:val="none" w:sz="0" w:space="0" w:color="auto"/>
      </w:divBdr>
    </w:div>
    <w:div w:id="1248999607">
      <w:bodyDiv w:val="1"/>
      <w:marLeft w:val="0"/>
      <w:marRight w:val="0"/>
      <w:marTop w:val="0"/>
      <w:marBottom w:val="0"/>
      <w:divBdr>
        <w:top w:val="none" w:sz="0" w:space="0" w:color="auto"/>
        <w:left w:val="none" w:sz="0" w:space="0" w:color="auto"/>
        <w:bottom w:val="none" w:sz="0" w:space="0" w:color="auto"/>
        <w:right w:val="none" w:sz="0" w:space="0" w:color="auto"/>
      </w:divBdr>
    </w:div>
    <w:div w:id="1259369640">
      <w:bodyDiv w:val="1"/>
      <w:marLeft w:val="0"/>
      <w:marRight w:val="0"/>
      <w:marTop w:val="0"/>
      <w:marBottom w:val="0"/>
      <w:divBdr>
        <w:top w:val="none" w:sz="0" w:space="0" w:color="auto"/>
        <w:left w:val="none" w:sz="0" w:space="0" w:color="auto"/>
        <w:bottom w:val="none" w:sz="0" w:space="0" w:color="auto"/>
        <w:right w:val="none" w:sz="0" w:space="0" w:color="auto"/>
      </w:divBdr>
    </w:div>
    <w:div w:id="1267881393">
      <w:bodyDiv w:val="1"/>
      <w:marLeft w:val="0"/>
      <w:marRight w:val="0"/>
      <w:marTop w:val="0"/>
      <w:marBottom w:val="0"/>
      <w:divBdr>
        <w:top w:val="none" w:sz="0" w:space="0" w:color="auto"/>
        <w:left w:val="none" w:sz="0" w:space="0" w:color="auto"/>
        <w:bottom w:val="none" w:sz="0" w:space="0" w:color="auto"/>
        <w:right w:val="none" w:sz="0" w:space="0" w:color="auto"/>
      </w:divBdr>
    </w:div>
    <w:div w:id="1294679504">
      <w:bodyDiv w:val="1"/>
      <w:marLeft w:val="0"/>
      <w:marRight w:val="0"/>
      <w:marTop w:val="0"/>
      <w:marBottom w:val="0"/>
      <w:divBdr>
        <w:top w:val="none" w:sz="0" w:space="0" w:color="auto"/>
        <w:left w:val="none" w:sz="0" w:space="0" w:color="auto"/>
        <w:bottom w:val="none" w:sz="0" w:space="0" w:color="auto"/>
        <w:right w:val="none" w:sz="0" w:space="0" w:color="auto"/>
      </w:divBdr>
    </w:div>
    <w:div w:id="1327514092">
      <w:bodyDiv w:val="1"/>
      <w:marLeft w:val="0"/>
      <w:marRight w:val="0"/>
      <w:marTop w:val="0"/>
      <w:marBottom w:val="0"/>
      <w:divBdr>
        <w:top w:val="none" w:sz="0" w:space="0" w:color="auto"/>
        <w:left w:val="none" w:sz="0" w:space="0" w:color="auto"/>
        <w:bottom w:val="none" w:sz="0" w:space="0" w:color="auto"/>
        <w:right w:val="none" w:sz="0" w:space="0" w:color="auto"/>
      </w:divBdr>
    </w:div>
    <w:div w:id="1336223233">
      <w:bodyDiv w:val="1"/>
      <w:marLeft w:val="0"/>
      <w:marRight w:val="0"/>
      <w:marTop w:val="0"/>
      <w:marBottom w:val="0"/>
      <w:divBdr>
        <w:top w:val="none" w:sz="0" w:space="0" w:color="auto"/>
        <w:left w:val="none" w:sz="0" w:space="0" w:color="auto"/>
        <w:bottom w:val="none" w:sz="0" w:space="0" w:color="auto"/>
        <w:right w:val="none" w:sz="0" w:space="0" w:color="auto"/>
      </w:divBdr>
    </w:div>
    <w:div w:id="1336229095">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2807787">
      <w:bodyDiv w:val="1"/>
      <w:marLeft w:val="0"/>
      <w:marRight w:val="0"/>
      <w:marTop w:val="0"/>
      <w:marBottom w:val="0"/>
      <w:divBdr>
        <w:top w:val="none" w:sz="0" w:space="0" w:color="auto"/>
        <w:left w:val="none" w:sz="0" w:space="0" w:color="auto"/>
        <w:bottom w:val="none" w:sz="0" w:space="0" w:color="auto"/>
        <w:right w:val="none" w:sz="0" w:space="0" w:color="auto"/>
      </w:divBdr>
    </w:div>
    <w:div w:id="1388603141">
      <w:bodyDiv w:val="1"/>
      <w:marLeft w:val="0"/>
      <w:marRight w:val="0"/>
      <w:marTop w:val="0"/>
      <w:marBottom w:val="0"/>
      <w:divBdr>
        <w:top w:val="none" w:sz="0" w:space="0" w:color="auto"/>
        <w:left w:val="none" w:sz="0" w:space="0" w:color="auto"/>
        <w:bottom w:val="none" w:sz="0" w:space="0" w:color="auto"/>
        <w:right w:val="none" w:sz="0" w:space="0" w:color="auto"/>
      </w:divBdr>
    </w:div>
    <w:div w:id="1388723983">
      <w:bodyDiv w:val="1"/>
      <w:marLeft w:val="0"/>
      <w:marRight w:val="0"/>
      <w:marTop w:val="0"/>
      <w:marBottom w:val="0"/>
      <w:divBdr>
        <w:top w:val="none" w:sz="0" w:space="0" w:color="auto"/>
        <w:left w:val="none" w:sz="0" w:space="0" w:color="auto"/>
        <w:bottom w:val="none" w:sz="0" w:space="0" w:color="auto"/>
        <w:right w:val="none" w:sz="0" w:space="0" w:color="auto"/>
      </w:divBdr>
    </w:div>
    <w:div w:id="1409882832">
      <w:bodyDiv w:val="1"/>
      <w:marLeft w:val="0"/>
      <w:marRight w:val="0"/>
      <w:marTop w:val="0"/>
      <w:marBottom w:val="0"/>
      <w:divBdr>
        <w:top w:val="none" w:sz="0" w:space="0" w:color="auto"/>
        <w:left w:val="none" w:sz="0" w:space="0" w:color="auto"/>
        <w:bottom w:val="none" w:sz="0" w:space="0" w:color="auto"/>
        <w:right w:val="none" w:sz="0" w:space="0" w:color="auto"/>
      </w:divBdr>
    </w:div>
    <w:div w:id="141763032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1606505">
      <w:bodyDiv w:val="1"/>
      <w:marLeft w:val="0"/>
      <w:marRight w:val="0"/>
      <w:marTop w:val="0"/>
      <w:marBottom w:val="0"/>
      <w:divBdr>
        <w:top w:val="none" w:sz="0" w:space="0" w:color="auto"/>
        <w:left w:val="none" w:sz="0" w:space="0" w:color="auto"/>
        <w:bottom w:val="none" w:sz="0" w:space="0" w:color="auto"/>
        <w:right w:val="none" w:sz="0" w:space="0" w:color="auto"/>
      </w:divBdr>
    </w:div>
    <w:div w:id="1451168980">
      <w:bodyDiv w:val="1"/>
      <w:marLeft w:val="0"/>
      <w:marRight w:val="0"/>
      <w:marTop w:val="0"/>
      <w:marBottom w:val="0"/>
      <w:divBdr>
        <w:top w:val="none" w:sz="0" w:space="0" w:color="auto"/>
        <w:left w:val="none" w:sz="0" w:space="0" w:color="auto"/>
        <w:bottom w:val="none" w:sz="0" w:space="0" w:color="auto"/>
        <w:right w:val="none" w:sz="0" w:space="0" w:color="auto"/>
      </w:divBdr>
    </w:div>
    <w:div w:id="1454901200">
      <w:bodyDiv w:val="1"/>
      <w:marLeft w:val="0"/>
      <w:marRight w:val="0"/>
      <w:marTop w:val="0"/>
      <w:marBottom w:val="0"/>
      <w:divBdr>
        <w:top w:val="none" w:sz="0" w:space="0" w:color="auto"/>
        <w:left w:val="none" w:sz="0" w:space="0" w:color="auto"/>
        <w:bottom w:val="none" w:sz="0" w:space="0" w:color="auto"/>
        <w:right w:val="none" w:sz="0" w:space="0" w:color="auto"/>
      </w:divBdr>
    </w:div>
    <w:div w:id="1460489814">
      <w:bodyDiv w:val="1"/>
      <w:marLeft w:val="0"/>
      <w:marRight w:val="0"/>
      <w:marTop w:val="0"/>
      <w:marBottom w:val="0"/>
      <w:divBdr>
        <w:top w:val="none" w:sz="0" w:space="0" w:color="auto"/>
        <w:left w:val="none" w:sz="0" w:space="0" w:color="auto"/>
        <w:bottom w:val="none" w:sz="0" w:space="0" w:color="auto"/>
        <w:right w:val="none" w:sz="0" w:space="0" w:color="auto"/>
      </w:divBdr>
    </w:div>
    <w:div w:id="1477408976">
      <w:bodyDiv w:val="1"/>
      <w:marLeft w:val="0"/>
      <w:marRight w:val="0"/>
      <w:marTop w:val="0"/>
      <w:marBottom w:val="0"/>
      <w:divBdr>
        <w:top w:val="none" w:sz="0" w:space="0" w:color="auto"/>
        <w:left w:val="none" w:sz="0" w:space="0" w:color="auto"/>
        <w:bottom w:val="none" w:sz="0" w:space="0" w:color="auto"/>
        <w:right w:val="none" w:sz="0" w:space="0" w:color="auto"/>
      </w:divBdr>
    </w:div>
    <w:div w:id="1479692514">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3595361">
      <w:bodyDiv w:val="1"/>
      <w:marLeft w:val="0"/>
      <w:marRight w:val="0"/>
      <w:marTop w:val="0"/>
      <w:marBottom w:val="0"/>
      <w:divBdr>
        <w:top w:val="none" w:sz="0" w:space="0" w:color="auto"/>
        <w:left w:val="none" w:sz="0" w:space="0" w:color="auto"/>
        <w:bottom w:val="none" w:sz="0" w:space="0" w:color="auto"/>
        <w:right w:val="none" w:sz="0" w:space="0" w:color="auto"/>
      </w:divBdr>
    </w:div>
    <w:div w:id="1505633322">
      <w:bodyDiv w:val="1"/>
      <w:marLeft w:val="0"/>
      <w:marRight w:val="0"/>
      <w:marTop w:val="0"/>
      <w:marBottom w:val="0"/>
      <w:divBdr>
        <w:top w:val="none" w:sz="0" w:space="0" w:color="auto"/>
        <w:left w:val="none" w:sz="0" w:space="0" w:color="auto"/>
        <w:bottom w:val="none" w:sz="0" w:space="0" w:color="auto"/>
        <w:right w:val="none" w:sz="0" w:space="0" w:color="auto"/>
      </w:divBdr>
    </w:div>
    <w:div w:id="1513764133">
      <w:bodyDiv w:val="1"/>
      <w:marLeft w:val="0"/>
      <w:marRight w:val="0"/>
      <w:marTop w:val="0"/>
      <w:marBottom w:val="0"/>
      <w:divBdr>
        <w:top w:val="none" w:sz="0" w:space="0" w:color="auto"/>
        <w:left w:val="none" w:sz="0" w:space="0" w:color="auto"/>
        <w:bottom w:val="none" w:sz="0" w:space="0" w:color="auto"/>
        <w:right w:val="none" w:sz="0" w:space="0" w:color="auto"/>
      </w:divBdr>
    </w:div>
    <w:div w:id="1522474386">
      <w:bodyDiv w:val="1"/>
      <w:marLeft w:val="0"/>
      <w:marRight w:val="0"/>
      <w:marTop w:val="0"/>
      <w:marBottom w:val="0"/>
      <w:divBdr>
        <w:top w:val="none" w:sz="0" w:space="0" w:color="auto"/>
        <w:left w:val="none" w:sz="0" w:space="0" w:color="auto"/>
        <w:bottom w:val="none" w:sz="0" w:space="0" w:color="auto"/>
        <w:right w:val="none" w:sz="0" w:space="0" w:color="auto"/>
      </w:divBdr>
    </w:div>
    <w:div w:id="1555239735">
      <w:bodyDiv w:val="1"/>
      <w:marLeft w:val="0"/>
      <w:marRight w:val="0"/>
      <w:marTop w:val="0"/>
      <w:marBottom w:val="0"/>
      <w:divBdr>
        <w:top w:val="none" w:sz="0" w:space="0" w:color="auto"/>
        <w:left w:val="none" w:sz="0" w:space="0" w:color="auto"/>
        <w:bottom w:val="none" w:sz="0" w:space="0" w:color="auto"/>
        <w:right w:val="none" w:sz="0" w:space="0" w:color="auto"/>
      </w:divBdr>
    </w:div>
    <w:div w:id="1561207127">
      <w:bodyDiv w:val="1"/>
      <w:marLeft w:val="0"/>
      <w:marRight w:val="0"/>
      <w:marTop w:val="0"/>
      <w:marBottom w:val="0"/>
      <w:divBdr>
        <w:top w:val="none" w:sz="0" w:space="0" w:color="auto"/>
        <w:left w:val="none" w:sz="0" w:space="0" w:color="auto"/>
        <w:bottom w:val="none" w:sz="0" w:space="0" w:color="auto"/>
        <w:right w:val="none" w:sz="0" w:space="0" w:color="auto"/>
      </w:divBdr>
    </w:div>
    <w:div w:id="1574923855">
      <w:bodyDiv w:val="1"/>
      <w:marLeft w:val="0"/>
      <w:marRight w:val="0"/>
      <w:marTop w:val="0"/>
      <w:marBottom w:val="0"/>
      <w:divBdr>
        <w:top w:val="none" w:sz="0" w:space="0" w:color="auto"/>
        <w:left w:val="none" w:sz="0" w:space="0" w:color="auto"/>
        <w:bottom w:val="none" w:sz="0" w:space="0" w:color="auto"/>
        <w:right w:val="none" w:sz="0" w:space="0" w:color="auto"/>
      </w:divBdr>
    </w:div>
    <w:div w:id="1577281317">
      <w:bodyDiv w:val="1"/>
      <w:marLeft w:val="0"/>
      <w:marRight w:val="0"/>
      <w:marTop w:val="0"/>
      <w:marBottom w:val="0"/>
      <w:divBdr>
        <w:top w:val="none" w:sz="0" w:space="0" w:color="auto"/>
        <w:left w:val="none" w:sz="0" w:space="0" w:color="auto"/>
        <w:bottom w:val="none" w:sz="0" w:space="0" w:color="auto"/>
        <w:right w:val="none" w:sz="0" w:space="0" w:color="auto"/>
      </w:divBdr>
    </w:div>
    <w:div w:id="1583878195">
      <w:bodyDiv w:val="1"/>
      <w:marLeft w:val="0"/>
      <w:marRight w:val="0"/>
      <w:marTop w:val="0"/>
      <w:marBottom w:val="0"/>
      <w:divBdr>
        <w:top w:val="none" w:sz="0" w:space="0" w:color="auto"/>
        <w:left w:val="none" w:sz="0" w:space="0" w:color="auto"/>
        <w:bottom w:val="none" w:sz="0" w:space="0" w:color="auto"/>
        <w:right w:val="none" w:sz="0" w:space="0" w:color="auto"/>
      </w:divBdr>
    </w:div>
    <w:div w:id="1602251545">
      <w:bodyDiv w:val="1"/>
      <w:marLeft w:val="0"/>
      <w:marRight w:val="0"/>
      <w:marTop w:val="0"/>
      <w:marBottom w:val="0"/>
      <w:divBdr>
        <w:top w:val="none" w:sz="0" w:space="0" w:color="auto"/>
        <w:left w:val="none" w:sz="0" w:space="0" w:color="auto"/>
        <w:bottom w:val="none" w:sz="0" w:space="0" w:color="auto"/>
        <w:right w:val="none" w:sz="0" w:space="0" w:color="auto"/>
      </w:divBdr>
    </w:div>
    <w:div w:id="1609312114">
      <w:bodyDiv w:val="1"/>
      <w:marLeft w:val="0"/>
      <w:marRight w:val="0"/>
      <w:marTop w:val="0"/>
      <w:marBottom w:val="0"/>
      <w:divBdr>
        <w:top w:val="none" w:sz="0" w:space="0" w:color="auto"/>
        <w:left w:val="none" w:sz="0" w:space="0" w:color="auto"/>
        <w:bottom w:val="none" w:sz="0" w:space="0" w:color="auto"/>
        <w:right w:val="none" w:sz="0" w:space="0" w:color="auto"/>
      </w:divBdr>
    </w:div>
    <w:div w:id="1609922612">
      <w:bodyDiv w:val="1"/>
      <w:marLeft w:val="0"/>
      <w:marRight w:val="0"/>
      <w:marTop w:val="0"/>
      <w:marBottom w:val="0"/>
      <w:divBdr>
        <w:top w:val="none" w:sz="0" w:space="0" w:color="auto"/>
        <w:left w:val="none" w:sz="0" w:space="0" w:color="auto"/>
        <w:bottom w:val="none" w:sz="0" w:space="0" w:color="auto"/>
        <w:right w:val="none" w:sz="0" w:space="0" w:color="auto"/>
      </w:divBdr>
    </w:div>
    <w:div w:id="1623996340">
      <w:bodyDiv w:val="1"/>
      <w:marLeft w:val="0"/>
      <w:marRight w:val="0"/>
      <w:marTop w:val="0"/>
      <w:marBottom w:val="0"/>
      <w:divBdr>
        <w:top w:val="none" w:sz="0" w:space="0" w:color="auto"/>
        <w:left w:val="none" w:sz="0" w:space="0" w:color="auto"/>
        <w:bottom w:val="none" w:sz="0" w:space="0" w:color="auto"/>
        <w:right w:val="none" w:sz="0" w:space="0" w:color="auto"/>
      </w:divBdr>
    </w:div>
    <w:div w:id="1646860493">
      <w:bodyDiv w:val="1"/>
      <w:marLeft w:val="0"/>
      <w:marRight w:val="0"/>
      <w:marTop w:val="0"/>
      <w:marBottom w:val="0"/>
      <w:divBdr>
        <w:top w:val="none" w:sz="0" w:space="0" w:color="auto"/>
        <w:left w:val="none" w:sz="0" w:space="0" w:color="auto"/>
        <w:bottom w:val="none" w:sz="0" w:space="0" w:color="auto"/>
        <w:right w:val="none" w:sz="0" w:space="0" w:color="auto"/>
      </w:divBdr>
    </w:div>
    <w:div w:id="1665935990">
      <w:bodyDiv w:val="1"/>
      <w:marLeft w:val="0"/>
      <w:marRight w:val="0"/>
      <w:marTop w:val="0"/>
      <w:marBottom w:val="0"/>
      <w:divBdr>
        <w:top w:val="none" w:sz="0" w:space="0" w:color="auto"/>
        <w:left w:val="none" w:sz="0" w:space="0" w:color="auto"/>
        <w:bottom w:val="none" w:sz="0" w:space="0" w:color="auto"/>
        <w:right w:val="none" w:sz="0" w:space="0" w:color="auto"/>
      </w:divBdr>
    </w:div>
    <w:div w:id="167877194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2073">
      <w:bodyDiv w:val="1"/>
      <w:marLeft w:val="0"/>
      <w:marRight w:val="0"/>
      <w:marTop w:val="0"/>
      <w:marBottom w:val="0"/>
      <w:divBdr>
        <w:top w:val="none" w:sz="0" w:space="0" w:color="auto"/>
        <w:left w:val="none" w:sz="0" w:space="0" w:color="auto"/>
        <w:bottom w:val="none" w:sz="0" w:space="0" w:color="auto"/>
        <w:right w:val="none" w:sz="0" w:space="0" w:color="auto"/>
      </w:divBdr>
    </w:div>
    <w:div w:id="1725592733">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2579613">
      <w:bodyDiv w:val="1"/>
      <w:marLeft w:val="0"/>
      <w:marRight w:val="0"/>
      <w:marTop w:val="0"/>
      <w:marBottom w:val="0"/>
      <w:divBdr>
        <w:top w:val="none" w:sz="0" w:space="0" w:color="auto"/>
        <w:left w:val="none" w:sz="0" w:space="0" w:color="auto"/>
        <w:bottom w:val="none" w:sz="0" w:space="0" w:color="auto"/>
        <w:right w:val="none" w:sz="0" w:space="0" w:color="auto"/>
      </w:divBdr>
    </w:div>
    <w:div w:id="1753165849">
      <w:bodyDiv w:val="1"/>
      <w:marLeft w:val="0"/>
      <w:marRight w:val="0"/>
      <w:marTop w:val="0"/>
      <w:marBottom w:val="0"/>
      <w:divBdr>
        <w:top w:val="none" w:sz="0" w:space="0" w:color="auto"/>
        <w:left w:val="none" w:sz="0" w:space="0" w:color="auto"/>
        <w:bottom w:val="none" w:sz="0" w:space="0" w:color="auto"/>
        <w:right w:val="none" w:sz="0" w:space="0" w:color="auto"/>
      </w:divBdr>
    </w:div>
    <w:div w:id="1757822172">
      <w:bodyDiv w:val="1"/>
      <w:marLeft w:val="0"/>
      <w:marRight w:val="0"/>
      <w:marTop w:val="0"/>
      <w:marBottom w:val="0"/>
      <w:divBdr>
        <w:top w:val="none" w:sz="0" w:space="0" w:color="auto"/>
        <w:left w:val="none" w:sz="0" w:space="0" w:color="auto"/>
        <w:bottom w:val="none" w:sz="0" w:space="0" w:color="auto"/>
        <w:right w:val="none" w:sz="0" w:space="0" w:color="auto"/>
      </w:divBdr>
    </w:div>
    <w:div w:id="1757970197">
      <w:bodyDiv w:val="1"/>
      <w:marLeft w:val="0"/>
      <w:marRight w:val="0"/>
      <w:marTop w:val="0"/>
      <w:marBottom w:val="0"/>
      <w:divBdr>
        <w:top w:val="none" w:sz="0" w:space="0" w:color="auto"/>
        <w:left w:val="none" w:sz="0" w:space="0" w:color="auto"/>
        <w:bottom w:val="none" w:sz="0" w:space="0" w:color="auto"/>
        <w:right w:val="none" w:sz="0" w:space="0" w:color="auto"/>
      </w:divBdr>
    </w:div>
    <w:div w:id="1760369106">
      <w:bodyDiv w:val="1"/>
      <w:marLeft w:val="0"/>
      <w:marRight w:val="0"/>
      <w:marTop w:val="0"/>
      <w:marBottom w:val="0"/>
      <w:divBdr>
        <w:top w:val="none" w:sz="0" w:space="0" w:color="auto"/>
        <w:left w:val="none" w:sz="0" w:space="0" w:color="auto"/>
        <w:bottom w:val="none" w:sz="0" w:space="0" w:color="auto"/>
        <w:right w:val="none" w:sz="0" w:space="0" w:color="auto"/>
      </w:divBdr>
    </w:div>
    <w:div w:id="1813256133">
      <w:bodyDiv w:val="1"/>
      <w:marLeft w:val="0"/>
      <w:marRight w:val="0"/>
      <w:marTop w:val="0"/>
      <w:marBottom w:val="0"/>
      <w:divBdr>
        <w:top w:val="none" w:sz="0" w:space="0" w:color="auto"/>
        <w:left w:val="none" w:sz="0" w:space="0" w:color="auto"/>
        <w:bottom w:val="none" w:sz="0" w:space="0" w:color="auto"/>
        <w:right w:val="none" w:sz="0" w:space="0" w:color="auto"/>
      </w:divBdr>
    </w:div>
    <w:div w:id="1823496215">
      <w:bodyDiv w:val="1"/>
      <w:marLeft w:val="0"/>
      <w:marRight w:val="0"/>
      <w:marTop w:val="0"/>
      <w:marBottom w:val="0"/>
      <w:divBdr>
        <w:top w:val="none" w:sz="0" w:space="0" w:color="auto"/>
        <w:left w:val="none" w:sz="0" w:space="0" w:color="auto"/>
        <w:bottom w:val="none" w:sz="0" w:space="0" w:color="auto"/>
        <w:right w:val="none" w:sz="0" w:space="0" w:color="auto"/>
      </w:divBdr>
    </w:div>
    <w:div w:id="1850682206">
      <w:bodyDiv w:val="1"/>
      <w:marLeft w:val="0"/>
      <w:marRight w:val="0"/>
      <w:marTop w:val="0"/>
      <w:marBottom w:val="0"/>
      <w:divBdr>
        <w:top w:val="none" w:sz="0" w:space="0" w:color="auto"/>
        <w:left w:val="none" w:sz="0" w:space="0" w:color="auto"/>
        <w:bottom w:val="none" w:sz="0" w:space="0" w:color="auto"/>
        <w:right w:val="none" w:sz="0" w:space="0" w:color="auto"/>
      </w:divBdr>
    </w:div>
    <w:div w:id="1866938764">
      <w:bodyDiv w:val="1"/>
      <w:marLeft w:val="0"/>
      <w:marRight w:val="0"/>
      <w:marTop w:val="0"/>
      <w:marBottom w:val="0"/>
      <w:divBdr>
        <w:top w:val="none" w:sz="0" w:space="0" w:color="auto"/>
        <w:left w:val="none" w:sz="0" w:space="0" w:color="auto"/>
        <w:bottom w:val="none" w:sz="0" w:space="0" w:color="auto"/>
        <w:right w:val="none" w:sz="0" w:space="0" w:color="auto"/>
      </w:divBdr>
    </w:div>
    <w:div w:id="1886137775">
      <w:bodyDiv w:val="1"/>
      <w:marLeft w:val="0"/>
      <w:marRight w:val="0"/>
      <w:marTop w:val="0"/>
      <w:marBottom w:val="0"/>
      <w:divBdr>
        <w:top w:val="none" w:sz="0" w:space="0" w:color="auto"/>
        <w:left w:val="none" w:sz="0" w:space="0" w:color="auto"/>
        <w:bottom w:val="none" w:sz="0" w:space="0" w:color="auto"/>
        <w:right w:val="none" w:sz="0" w:space="0" w:color="auto"/>
      </w:divBdr>
    </w:div>
    <w:div w:id="1888831713">
      <w:bodyDiv w:val="1"/>
      <w:marLeft w:val="0"/>
      <w:marRight w:val="0"/>
      <w:marTop w:val="0"/>
      <w:marBottom w:val="0"/>
      <w:divBdr>
        <w:top w:val="none" w:sz="0" w:space="0" w:color="auto"/>
        <w:left w:val="none" w:sz="0" w:space="0" w:color="auto"/>
        <w:bottom w:val="none" w:sz="0" w:space="0" w:color="auto"/>
        <w:right w:val="none" w:sz="0" w:space="0" w:color="auto"/>
      </w:divBdr>
    </w:div>
    <w:div w:id="1888834192">
      <w:bodyDiv w:val="1"/>
      <w:marLeft w:val="0"/>
      <w:marRight w:val="0"/>
      <w:marTop w:val="0"/>
      <w:marBottom w:val="0"/>
      <w:divBdr>
        <w:top w:val="none" w:sz="0" w:space="0" w:color="auto"/>
        <w:left w:val="none" w:sz="0" w:space="0" w:color="auto"/>
        <w:bottom w:val="none" w:sz="0" w:space="0" w:color="auto"/>
        <w:right w:val="none" w:sz="0" w:space="0" w:color="auto"/>
      </w:divBdr>
    </w:div>
    <w:div w:id="1911308463">
      <w:bodyDiv w:val="1"/>
      <w:marLeft w:val="0"/>
      <w:marRight w:val="0"/>
      <w:marTop w:val="0"/>
      <w:marBottom w:val="0"/>
      <w:divBdr>
        <w:top w:val="none" w:sz="0" w:space="0" w:color="auto"/>
        <w:left w:val="none" w:sz="0" w:space="0" w:color="auto"/>
        <w:bottom w:val="none" w:sz="0" w:space="0" w:color="auto"/>
        <w:right w:val="none" w:sz="0" w:space="0" w:color="auto"/>
      </w:divBdr>
    </w:div>
    <w:div w:id="1914004145">
      <w:bodyDiv w:val="1"/>
      <w:marLeft w:val="0"/>
      <w:marRight w:val="0"/>
      <w:marTop w:val="0"/>
      <w:marBottom w:val="0"/>
      <w:divBdr>
        <w:top w:val="none" w:sz="0" w:space="0" w:color="auto"/>
        <w:left w:val="none" w:sz="0" w:space="0" w:color="auto"/>
        <w:bottom w:val="none" w:sz="0" w:space="0" w:color="auto"/>
        <w:right w:val="none" w:sz="0" w:space="0" w:color="auto"/>
      </w:divBdr>
    </w:div>
    <w:div w:id="1915317127">
      <w:bodyDiv w:val="1"/>
      <w:marLeft w:val="0"/>
      <w:marRight w:val="0"/>
      <w:marTop w:val="0"/>
      <w:marBottom w:val="0"/>
      <w:divBdr>
        <w:top w:val="none" w:sz="0" w:space="0" w:color="auto"/>
        <w:left w:val="none" w:sz="0" w:space="0" w:color="auto"/>
        <w:bottom w:val="none" w:sz="0" w:space="0" w:color="auto"/>
        <w:right w:val="none" w:sz="0" w:space="0" w:color="auto"/>
      </w:divBdr>
    </w:div>
    <w:div w:id="1922445791">
      <w:bodyDiv w:val="1"/>
      <w:marLeft w:val="0"/>
      <w:marRight w:val="0"/>
      <w:marTop w:val="0"/>
      <w:marBottom w:val="0"/>
      <w:divBdr>
        <w:top w:val="none" w:sz="0" w:space="0" w:color="auto"/>
        <w:left w:val="none" w:sz="0" w:space="0" w:color="auto"/>
        <w:bottom w:val="none" w:sz="0" w:space="0" w:color="auto"/>
        <w:right w:val="none" w:sz="0" w:space="0" w:color="auto"/>
      </w:divBdr>
    </w:div>
    <w:div w:id="1943293326">
      <w:bodyDiv w:val="1"/>
      <w:marLeft w:val="0"/>
      <w:marRight w:val="0"/>
      <w:marTop w:val="0"/>
      <w:marBottom w:val="0"/>
      <w:divBdr>
        <w:top w:val="none" w:sz="0" w:space="0" w:color="auto"/>
        <w:left w:val="none" w:sz="0" w:space="0" w:color="auto"/>
        <w:bottom w:val="none" w:sz="0" w:space="0" w:color="auto"/>
        <w:right w:val="none" w:sz="0" w:space="0" w:color="auto"/>
      </w:divBdr>
    </w:div>
    <w:div w:id="1946422529">
      <w:bodyDiv w:val="1"/>
      <w:marLeft w:val="0"/>
      <w:marRight w:val="0"/>
      <w:marTop w:val="0"/>
      <w:marBottom w:val="0"/>
      <w:divBdr>
        <w:top w:val="none" w:sz="0" w:space="0" w:color="auto"/>
        <w:left w:val="none" w:sz="0" w:space="0" w:color="auto"/>
        <w:bottom w:val="none" w:sz="0" w:space="0" w:color="auto"/>
        <w:right w:val="none" w:sz="0" w:space="0" w:color="auto"/>
      </w:divBdr>
    </w:div>
    <w:div w:id="1953781472">
      <w:bodyDiv w:val="1"/>
      <w:marLeft w:val="0"/>
      <w:marRight w:val="0"/>
      <w:marTop w:val="0"/>
      <w:marBottom w:val="0"/>
      <w:divBdr>
        <w:top w:val="none" w:sz="0" w:space="0" w:color="auto"/>
        <w:left w:val="none" w:sz="0" w:space="0" w:color="auto"/>
        <w:bottom w:val="none" w:sz="0" w:space="0" w:color="auto"/>
        <w:right w:val="none" w:sz="0" w:space="0" w:color="auto"/>
      </w:divBdr>
    </w:div>
    <w:div w:id="1956865889">
      <w:bodyDiv w:val="1"/>
      <w:marLeft w:val="0"/>
      <w:marRight w:val="0"/>
      <w:marTop w:val="0"/>
      <w:marBottom w:val="0"/>
      <w:divBdr>
        <w:top w:val="none" w:sz="0" w:space="0" w:color="auto"/>
        <w:left w:val="none" w:sz="0" w:space="0" w:color="auto"/>
        <w:bottom w:val="none" w:sz="0" w:space="0" w:color="auto"/>
        <w:right w:val="none" w:sz="0" w:space="0" w:color="auto"/>
      </w:divBdr>
    </w:div>
    <w:div w:id="1962570313">
      <w:bodyDiv w:val="1"/>
      <w:marLeft w:val="0"/>
      <w:marRight w:val="0"/>
      <w:marTop w:val="0"/>
      <w:marBottom w:val="0"/>
      <w:divBdr>
        <w:top w:val="none" w:sz="0" w:space="0" w:color="auto"/>
        <w:left w:val="none" w:sz="0" w:space="0" w:color="auto"/>
        <w:bottom w:val="none" w:sz="0" w:space="0" w:color="auto"/>
        <w:right w:val="none" w:sz="0" w:space="0" w:color="auto"/>
      </w:divBdr>
    </w:div>
    <w:div w:id="1967157991">
      <w:bodyDiv w:val="1"/>
      <w:marLeft w:val="0"/>
      <w:marRight w:val="0"/>
      <w:marTop w:val="0"/>
      <w:marBottom w:val="0"/>
      <w:divBdr>
        <w:top w:val="none" w:sz="0" w:space="0" w:color="auto"/>
        <w:left w:val="none" w:sz="0" w:space="0" w:color="auto"/>
        <w:bottom w:val="none" w:sz="0" w:space="0" w:color="auto"/>
        <w:right w:val="none" w:sz="0" w:space="0" w:color="auto"/>
      </w:divBdr>
    </w:div>
    <w:div w:id="1980768444">
      <w:bodyDiv w:val="1"/>
      <w:marLeft w:val="0"/>
      <w:marRight w:val="0"/>
      <w:marTop w:val="0"/>
      <w:marBottom w:val="0"/>
      <w:divBdr>
        <w:top w:val="none" w:sz="0" w:space="0" w:color="auto"/>
        <w:left w:val="none" w:sz="0" w:space="0" w:color="auto"/>
        <w:bottom w:val="none" w:sz="0" w:space="0" w:color="auto"/>
        <w:right w:val="none" w:sz="0" w:space="0" w:color="auto"/>
      </w:divBdr>
    </w:div>
    <w:div w:id="1996183328">
      <w:bodyDiv w:val="1"/>
      <w:marLeft w:val="0"/>
      <w:marRight w:val="0"/>
      <w:marTop w:val="0"/>
      <w:marBottom w:val="0"/>
      <w:divBdr>
        <w:top w:val="none" w:sz="0" w:space="0" w:color="auto"/>
        <w:left w:val="none" w:sz="0" w:space="0" w:color="auto"/>
        <w:bottom w:val="none" w:sz="0" w:space="0" w:color="auto"/>
        <w:right w:val="none" w:sz="0" w:space="0" w:color="auto"/>
      </w:divBdr>
    </w:div>
    <w:div w:id="1999722340">
      <w:bodyDiv w:val="1"/>
      <w:marLeft w:val="0"/>
      <w:marRight w:val="0"/>
      <w:marTop w:val="0"/>
      <w:marBottom w:val="0"/>
      <w:divBdr>
        <w:top w:val="none" w:sz="0" w:space="0" w:color="auto"/>
        <w:left w:val="none" w:sz="0" w:space="0" w:color="auto"/>
        <w:bottom w:val="none" w:sz="0" w:space="0" w:color="auto"/>
        <w:right w:val="none" w:sz="0" w:space="0" w:color="auto"/>
      </w:divBdr>
    </w:div>
    <w:div w:id="2013335119">
      <w:bodyDiv w:val="1"/>
      <w:marLeft w:val="0"/>
      <w:marRight w:val="0"/>
      <w:marTop w:val="0"/>
      <w:marBottom w:val="0"/>
      <w:divBdr>
        <w:top w:val="none" w:sz="0" w:space="0" w:color="auto"/>
        <w:left w:val="none" w:sz="0" w:space="0" w:color="auto"/>
        <w:bottom w:val="none" w:sz="0" w:space="0" w:color="auto"/>
        <w:right w:val="none" w:sz="0" w:space="0" w:color="auto"/>
      </w:divBdr>
    </w:div>
    <w:div w:id="2055886227">
      <w:bodyDiv w:val="1"/>
      <w:marLeft w:val="0"/>
      <w:marRight w:val="0"/>
      <w:marTop w:val="0"/>
      <w:marBottom w:val="0"/>
      <w:divBdr>
        <w:top w:val="none" w:sz="0" w:space="0" w:color="auto"/>
        <w:left w:val="none" w:sz="0" w:space="0" w:color="auto"/>
        <w:bottom w:val="none" w:sz="0" w:space="0" w:color="auto"/>
        <w:right w:val="none" w:sz="0" w:space="0" w:color="auto"/>
      </w:divBdr>
    </w:div>
    <w:div w:id="2059619388">
      <w:bodyDiv w:val="1"/>
      <w:marLeft w:val="0"/>
      <w:marRight w:val="0"/>
      <w:marTop w:val="0"/>
      <w:marBottom w:val="0"/>
      <w:divBdr>
        <w:top w:val="none" w:sz="0" w:space="0" w:color="auto"/>
        <w:left w:val="none" w:sz="0" w:space="0" w:color="auto"/>
        <w:bottom w:val="none" w:sz="0" w:space="0" w:color="auto"/>
        <w:right w:val="none" w:sz="0" w:space="0" w:color="auto"/>
      </w:divBdr>
    </w:div>
    <w:div w:id="2059812475">
      <w:bodyDiv w:val="1"/>
      <w:marLeft w:val="0"/>
      <w:marRight w:val="0"/>
      <w:marTop w:val="0"/>
      <w:marBottom w:val="0"/>
      <w:divBdr>
        <w:top w:val="none" w:sz="0" w:space="0" w:color="auto"/>
        <w:left w:val="none" w:sz="0" w:space="0" w:color="auto"/>
        <w:bottom w:val="none" w:sz="0" w:space="0" w:color="auto"/>
        <w:right w:val="none" w:sz="0" w:space="0" w:color="auto"/>
      </w:divBdr>
    </w:div>
    <w:div w:id="2065130692">
      <w:bodyDiv w:val="1"/>
      <w:marLeft w:val="0"/>
      <w:marRight w:val="0"/>
      <w:marTop w:val="0"/>
      <w:marBottom w:val="0"/>
      <w:divBdr>
        <w:top w:val="none" w:sz="0" w:space="0" w:color="auto"/>
        <w:left w:val="none" w:sz="0" w:space="0" w:color="auto"/>
        <w:bottom w:val="none" w:sz="0" w:space="0" w:color="auto"/>
        <w:right w:val="none" w:sz="0" w:space="0" w:color="auto"/>
      </w:divBdr>
    </w:div>
    <w:div w:id="2068064426">
      <w:bodyDiv w:val="1"/>
      <w:marLeft w:val="0"/>
      <w:marRight w:val="0"/>
      <w:marTop w:val="0"/>
      <w:marBottom w:val="0"/>
      <w:divBdr>
        <w:top w:val="none" w:sz="0" w:space="0" w:color="auto"/>
        <w:left w:val="none" w:sz="0" w:space="0" w:color="auto"/>
        <w:bottom w:val="none" w:sz="0" w:space="0" w:color="auto"/>
        <w:right w:val="none" w:sz="0" w:space="0" w:color="auto"/>
      </w:divBdr>
    </w:div>
    <w:div w:id="2080637556">
      <w:bodyDiv w:val="1"/>
      <w:marLeft w:val="0"/>
      <w:marRight w:val="0"/>
      <w:marTop w:val="0"/>
      <w:marBottom w:val="0"/>
      <w:divBdr>
        <w:top w:val="none" w:sz="0" w:space="0" w:color="auto"/>
        <w:left w:val="none" w:sz="0" w:space="0" w:color="auto"/>
        <w:bottom w:val="none" w:sz="0" w:space="0" w:color="auto"/>
        <w:right w:val="none" w:sz="0" w:space="0" w:color="auto"/>
      </w:divBdr>
    </w:div>
    <w:div w:id="2084520606">
      <w:bodyDiv w:val="1"/>
      <w:marLeft w:val="0"/>
      <w:marRight w:val="0"/>
      <w:marTop w:val="0"/>
      <w:marBottom w:val="0"/>
      <w:divBdr>
        <w:top w:val="none" w:sz="0" w:space="0" w:color="auto"/>
        <w:left w:val="none" w:sz="0" w:space="0" w:color="auto"/>
        <w:bottom w:val="none" w:sz="0" w:space="0" w:color="auto"/>
        <w:right w:val="none" w:sz="0" w:space="0" w:color="auto"/>
      </w:divBdr>
    </w:div>
    <w:div w:id="2086804275">
      <w:bodyDiv w:val="1"/>
      <w:marLeft w:val="0"/>
      <w:marRight w:val="0"/>
      <w:marTop w:val="0"/>
      <w:marBottom w:val="0"/>
      <w:divBdr>
        <w:top w:val="none" w:sz="0" w:space="0" w:color="auto"/>
        <w:left w:val="none" w:sz="0" w:space="0" w:color="auto"/>
        <w:bottom w:val="none" w:sz="0" w:space="0" w:color="auto"/>
        <w:right w:val="none" w:sz="0" w:space="0" w:color="auto"/>
      </w:divBdr>
    </w:div>
    <w:div w:id="2090156416">
      <w:bodyDiv w:val="1"/>
      <w:marLeft w:val="0"/>
      <w:marRight w:val="0"/>
      <w:marTop w:val="0"/>
      <w:marBottom w:val="0"/>
      <w:divBdr>
        <w:top w:val="none" w:sz="0" w:space="0" w:color="auto"/>
        <w:left w:val="none" w:sz="0" w:space="0" w:color="auto"/>
        <w:bottom w:val="none" w:sz="0" w:space="0" w:color="auto"/>
        <w:right w:val="none" w:sz="0" w:space="0" w:color="auto"/>
      </w:divBdr>
    </w:div>
    <w:div w:id="2093503758">
      <w:bodyDiv w:val="1"/>
      <w:marLeft w:val="0"/>
      <w:marRight w:val="0"/>
      <w:marTop w:val="0"/>
      <w:marBottom w:val="0"/>
      <w:divBdr>
        <w:top w:val="none" w:sz="0" w:space="0" w:color="auto"/>
        <w:left w:val="none" w:sz="0" w:space="0" w:color="auto"/>
        <w:bottom w:val="none" w:sz="0" w:space="0" w:color="auto"/>
        <w:right w:val="none" w:sz="0" w:space="0" w:color="auto"/>
      </w:divBdr>
    </w:div>
    <w:div w:id="2097625453">
      <w:bodyDiv w:val="1"/>
      <w:marLeft w:val="0"/>
      <w:marRight w:val="0"/>
      <w:marTop w:val="0"/>
      <w:marBottom w:val="0"/>
      <w:divBdr>
        <w:top w:val="none" w:sz="0" w:space="0" w:color="auto"/>
        <w:left w:val="none" w:sz="0" w:space="0" w:color="auto"/>
        <w:bottom w:val="none" w:sz="0" w:space="0" w:color="auto"/>
        <w:right w:val="none" w:sz="0" w:space="0" w:color="auto"/>
      </w:divBdr>
    </w:div>
    <w:div w:id="2107921003">
      <w:bodyDiv w:val="1"/>
      <w:marLeft w:val="0"/>
      <w:marRight w:val="0"/>
      <w:marTop w:val="0"/>
      <w:marBottom w:val="0"/>
      <w:divBdr>
        <w:top w:val="none" w:sz="0" w:space="0" w:color="auto"/>
        <w:left w:val="none" w:sz="0" w:space="0" w:color="auto"/>
        <w:bottom w:val="none" w:sz="0" w:space="0" w:color="auto"/>
        <w:right w:val="none" w:sz="0" w:space="0" w:color="auto"/>
      </w:divBdr>
    </w:div>
    <w:div w:id="210942238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10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Rot17</b:Tag>
    <b:SourceType>BookSection</b:SourceType>
    <b:Guid>{0153E384-42E8-4447-A2BC-C2B0956C9D29}</b:Guid>
    <b:Title>Fillers (Including Fiber Reinforcements)</b:Title>
    <b:Year>2017</b:Year>
    <b:Pages>169-204</b:Pages>
    <b:DOI>10.1016/B978-0-323-35824-8.00008-6</b:DOI>
    <b:BookTitle>Brydson's Plastics Materials</b:BookTitle>
    <b:Publisher>Elsevier Ltd.</b:Publisher>
    <b:Author>
      <b:Author>
        <b:NameList>
          <b:Person>
            <b:Last>Rothon</b:Last>
            <b:First>Roger</b:First>
          </b:Person>
          <b:Person>
            <b:Last>DeArmitt</b:Last>
            <b:First>Christopher</b:First>
          </b:Person>
        </b:NameList>
      </b:Author>
      <b:BookAuthor>
        <b:NameList>
          <b:Person>
            <b:Last>Gilbert</b:Last>
            <b:First>Marianne</b:First>
          </b:Person>
        </b:NameList>
      </b:BookAuthor>
    </b:Author>
    <b:Edition>8th</b:Edition>
    <b:RefOrder>1</b:RefOrder>
  </b:Source>
  <b:Source>
    <b:Tag>Lia13</b:Tag>
    <b:SourceType>JournalArticle</b:SourceType>
    <b:Guid>{72CA80C0-1E86-477B-99BE-F9AB6ECE443B}</b:Guid>
    <b:Title>Reinforcement and qauntitative description of inorganic particulate-filled polymer composites</b:Title>
    <b:Year>2013</b:Year>
    <b:Pages>224-232</b:Pages>
    <b:Author>
      <b:Author>
        <b:NameList>
          <b:Person>
            <b:Last>Liang</b:Last>
            <b:First>Ji-Zhao</b:First>
          </b:Person>
        </b:NameList>
      </b:Author>
    </b:Author>
    <b:JournalName>Composites: Part B</b:JournalName>
    <b:Volume>51</b:Volume>
    <b:DOI>10.1016/j.compositesb.2013.03.019</b:DOI>
    <b:RefOrder>2</b:RefOrder>
  </b:Source>
  <b:Source>
    <b:Tag>Mal18</b:Tag>
    <b:SourceType>BookSection</b:SourceType>
    <b:Guid>{B6497D71-E608-4F26-A324-00E391033F32}</b:Guid>
    <b:Title>Particulate Filled and Short Fiber Reinforced Polymer Composites</b:Title>
    <b:BookTitle>Comprehensive Composite Materials II</b:BookTitle>
    <b:Year>2018</b:Year>
    <b:Pages>360-400</b:Pages>
    <b:Publisher>Elsevier Ltd.</b:Publisher>
    <b:Volume>2</b:Volume>
    <b:DOI>10.1016/B978-0-12-803581-8.03837-6</b:DOI>
    <b:Author>
      <b:Author>
        <b:NameList>
          <b:Person>
            <b:Last>Mallick</b:Last>
            <b:First>PK</b:First>
          </b:Person>
        </b:NameList>
      </b:Author>
      <b:BookAuthor>
        <b:NameList>
          <b:Person>
            <b:Last>Beaumont</b:Last>
            <b:First>Peter</b:First>
            <b:Middle>W.R.</b:Middle>
          </b:Person>
          <b:Person>
            <b:Last>Zweben</b:Last>
            <b:First>Carl</b:First>
            <b:Middle>H.</b:Middle>
          </b:Person>
        </b:NameList>
      </b:BookAuthor>
    </b:Author>
    <b:RefOrder>3</b:RefOrder>
  </b:Source>
  <b:Source>
    <b:Tag>Cha02</b:Tag>
    <b:SourceType>JournalArticle</b:SourceType>
    <b:Guid>{C0D5AB74-53D6-4F31-A18D-ADADF7664391}</b:Guid>
    <b:Author>
      <b:Author>
        <b:NameList>
          <b:Person>
            <b:Last>Chan</b:Last>
            <b:First>Chi-Ming</b:First>
          </b:Person>
          <b:Person>
            <b:Last>Wu</b:Last>
            <b:First>Jingshen</b:First>
          </b:Person>
          <b:Person>
            <b:Last>Li</b:Last>
            <b:First>Jian-Xiong</b:First>
          </b:Person>
          <b:Person>
            <b:Last>Cheung</b:Last>
            <b:First>Ying-Kit</b:First>
          </b:Person>
        </b:NameList>
      </b:Author>
    </b:Author>
    <b:Title>Polypropylene/calcium carbonate nanocomposites</b:Title>
    <b:JournalName>Polymer</b:JournalName>
    <b:Year>2002</b:Year>
    <b:Pages>2981-2992</b:Pages>
    <b:Volume>43</b:Volume>
    <b:Issue>10</b:Issue>
    <b:DOI>10.1016/S0032-3861(02)00120-9</b:DOI>
    <b:RefOrder>5</b:RefOrder>
  </b:Source>
  <b:Source>
    <b:Tag>Cha16</b:Tag>
    <b:SourceType>JournalArticle</b:SourceType>
    <b:Guid>{63B86F5B-D87A-4140-B88B-451DA1530E28}</b:Guid>
    <b:Author>
      <b:Author>
        <b:NameList>
          <b:Person>
            <b:Last>Chafidz</b:Last>
            <b:First>Achmad</b:First>
          </b:Person>
          <b:Person>
            <b:Last>Kaavessina</b:Last>
            <b:First>Mujtahid</b:First>
          </b:Person>
          <b:Person>
            <b:Last>Al-Zahrani</b:Last>
            <b:First>Saeed</b:First>
          </b:Person>
          <b:Person>
            <b:Last>Al-Otaibi</b:Last>
            <b:First>Mansour</b:First>
            <b:Middle>N</b:Middle>
          </b:Person>
        </b:NameList>
      </b:Author>
    </b:Author>
    <b:Title>Rheological and mechanical properties of polypropylene/calcium carbonate nanocomposites prepared from masterbatch</b:Title>
    <b:JournalName>Journal of Thermoplastic Composite Materials</b:JournalName>
    <b:Year>2016</b:Year>
    <b:Pages>593-622</b:Pages>
    <b:Volume>29</b:Volume>
    <b:Issue>5</b:Issue>
    <b:DOI>10.1177/0892705714530747</b:DOI>
    <b:RefOrder>6</b:RefOrder>
  </b:Source>
  <b:Source>
    <b:Tag>doN16</b:Tag>
    <b:SourceType>JournalArticle</b:SourceType>
    <b:Guid>{53F32DEE-610B-4B65-8ED6-FB21A9902088}</b:Guid>
    <b:Author>
      <b:Author>
        <b:NameList>
          <b:Person>
            <b:Last>do Nascimento</b:Last>
            <b:First>Estevao</b:First>
            <b:Middle>Mestres</b:Middle>
          </b:Person>
          <b:Person>
            <b:Last>Eiras</b:Last>
            <b:First>Daniel</b:First>
          </b:Person>
          <b:Person>
            <b:Last>Pessan</b:Last>
            <b:First>Luiz</b:First>
            <b:Middle>Antonio</b:Middle>
          </b:Person>
        </b:NameList>
      </b:Author>
    </b:Author>
    <b:Title>Effect of thermal treatment on impact resistance and mechanical properties of polypropylene/calcium carbonate nanocomposites</b:Title>
    <b:JournalName>Composites Part B</b:JournalName>
    <b:Year>2016</b:Year>
    <b:Pages>228-234</b:Pages>
    <b:Volume>91</b:Volume>
    <b:DOI>10.1016/j.compositesb.2015.12.040</b:DOI>
    <b:RefOrder>7</b:RefOrder>
  </b:Source>
  <b:Source>
    <b:Tag>Afs10</b:Tag>
    <b:SourceType>JournalArticle</b:SourceType>
    <b:Guid>{4D79A085-3A6D-4DB9-8D9E-D19BC8F5ED1A}</b:Guid>
    <b:Author>
      <b:Author>
        <b:NameList>
          <b:Person>
            <b:Last>Afshar</b:Last>
            <b:First>Amir</b:First>
          </b:Person>
          <b:Person>
            <b:Last>Massoumi</b:Last>
            <b:First>Iman</b:First>
          </b:Person>
          <b:Person>
            <b:Last>Khosh</b:Last>
            <b:First>Rasool</b:First>
            <b:Middle>Lesan</b:Middle>
          </b:Person>
          <b:Person>
            <b:Last>Bagheri</b:Last>
            <b:First>Reza</b:First>
          </b:Person>
        </b:NameList>
      </b:Author>
    </b:Author>
    <b:Title>Fracture behavior dependence on load-bearing capacity of filler in nano- and microcomposites of polypropylene containing calcium carbonate</b:Title>
    <b:JournalName>Materials and Design</b:JournalName>
    <b:Year>2010</b:Year>
    <b:Pages>802-807</b:Pages>
    <b:Volume>31</b:Volume>
    <b:DOI>10.1016/j.matdes.2009.07.054</b:DOI>
    <b:RefOrder>8</b:RefOrder>
  </b:Source>
  <b:Source>
    <b:Tag>Eir09</b:Tag>
    <b:SourceType>JournalArticle</b:SourceType>
    <b:Guid>{4BD2C52C-651F-4642-90FF-9C87E3FC2DF6}</b:Guid>
    <b:Author>
      <b:Author>
        <b:NameList>
          <b:Person>
            <b:Last>Eiras</b:Last>
            <b:First>Daniel</b:First>
          </b:Person>
          <b:Person>
            <b:Last>Pessan</b:Last>
            <b:First>Luiz</b:First>
            <b:Middle>Antonio</b:Middle>
          </b:Person>
        </b:NameList>
      </b:Author>
    </b:Author>
    <b:Title>Mechanical Properties of Polypropylene/Calcium Carbonate Nanocomposites</b:Title>
    <b:JournalName>Materials Research</b:JournalName>
    <b:Year>2009</b:Year>
    <b:Pages>517-522</b:Pages>
    <b:Volume>12</b:Volume>
    <b:Issue>4</b:Issue>
    <b:DOI>10.1590/S1516-14392009000400023</b:DOI>
    <b:RefOrder>9</b:RefOrder>
  </b:Source>
  <b:Source>
    <b:Tag>LiX17</b:Tag>
    <b:SourceType>JournalArticle</b:SourceType>
    <b:Guid>{ED936C2A-267D-4498-93C5-083F8AA522F2}</b:Guid>
    <b:Author>
      <b:Author>
        <b:NameList>
          <b:Person>
            <b:Last>Li</b:Last>
            <b:First>Xing-Hua</b:First>
          </b:Person>
          <b:Person>
            <b:Last>He</b:Last>
            <b:First>Yadong</b:First>
          </b:Person>
          <b:Person>
            <b:Last>Li</b:Last>
            <b:First>Xiaofeng</b:First>
          </b:Person>
          <b:Person>
            <b:Last>An</b:Last>
            <b:First>Fei</b:First>
          </b:Person>
          <b:Person>
            <b:Last>Yang</b:Last>
            <b:First>Dongzhi</b:First>
          </b:Person>
          <b:Person>
            <b:Last>Yu</b:Last>
            <b:First>Zhong-Zhen</b:First>
          </b:Person>
        </b:NameList>
      </b:Author>
    </b:Author>
    <b:Title>Simultaneous Enhancements in Toughness and Electrical Conductivity of Polypropylene/Carbon Nanotube Nanocomposites by Incorporation of Electrically Inert Calcium Carbonate Nanoparticles</b:Title>
    <b:JournalName>Industrial &amp; Engineering Chemistry Research</b:JournalName>
    <b:Year>2017</b:Year>
    <b:Pages>2783-2788</b:Pages>
    <b:Volume>56</b:Volume>
    <b:DOI>10.1021/acs.iecr.7b00446</b:DOI>
    <b:RefOrder>10</b:RefOrder>
  </b:Source>
  <b:Source>
    <b:Tag>Fau10</b:Tag>
    <b:SourceType>JournalArticle</b:SourceType>
    <b:Guid>{B14D9E1F-227C-45FB-9DEE-DD72A8D40DE0}</b:Guid>
    <b:Author>
      <b:Author>
        <b:NameList>
          <b:Person>
            <b:Last>Faud</b:Last>
            <b:First>M.Y.A.</b:First>
          </b:Person>
          <b:Person>
            <b:Last>Hanim</b:Last>
            <b:First>H.</b:First>
          </b:Person>
          <b:Person>
            <b:Last>Zarina</b:Last>
            <b:First>R.</b:First>
          </b:Person>
          <b:Person>
            <b:Last>Mohd. Ishak</b:Last>
            <b:First>Z.A.</b:First>
          </b:Person>
          <b:Person>
            <b:Last>Hassan</b:Last>
            <b:First>Azman</b:First>
          </b:Person>
        </b:NameList>
      </b:Author>
    </b:Author>
    <b:Title>Polypropylene/calcium carbonate nanocomposites - effects of processing techniques and maleated propylene compatibiliser</b:Title>
    <b:JournalName>eXPRESS Polymer Letters</b:JournalName>
    <b:Year>2010</b:Year>
    <b:Pages>611-620</b:Pages>
    <b:Volume>4</b:Volume>
    <b:Issue>10</b:Issue>
    <b:DOI>10.3144/expresspolymlett.2010.76</b:DOI>
    <b:RefOrder>13</b:RefOrder>
  </b:Source>
  <b:Source>
    <b:Tag>Lin08</b:Tag>
    <b:SourceType>JournalArticle</b:SourceType>
    <b:Guid>{F1C1AA30-41ED-4B96-98F4-327DE438F3E8}</b:Guid>
    <b:Author>
      <b:Author>
        <b:NameList>
          <b:Person>
            <b:Last>Lin</b:Last>
            <b:First>yong</b:First>
          </b:Person>
          <b:Person>
            <b:Last>Chen</b:Last>
            <b:First>Haibin</b:First>
          </b:Person>
          <b:Person>
            <b:Last>Chan</b:Last>
            <b:First>Chi-Ming</b:First>
          </b:Person>
          <b:Person>
            <b:Last>Wu</b:Last>
            <b:First>Jingshen</b:First>
          </b:Person>
        </b:NameList>
      </b:Author>
    </b:Author>
    <b:Title>High Impact Toughness Polypropylene/CaCO3 Nanocomposites and the Toughening Mechanism</b:Title>
    <b:JournalName>Macromolecules</b:JournalName>
    <b:Year>2008</b:Year>
    <b:Pages>9204-9213</b:Pages>
    <b:Volume>41</b:Volume>
    <b:Issue>23</b:Issue>
    <b:DOI>10.1021/ma801095d</b:DOI>
    <b:RefOrder>14</b:RefOrder>
  </b:Source>
  <b:Source>
    <b:Tag>Zhu14</b:Tag>
    <b:SourceType>JournalArticle</b:SourceType>
    <b:Guid>{389D9DAF-5EB7-4770-AC0D-CAAC1F5B4704}</b:Guid>
    <b:Author>
      <b:Author>
        <b:NameList>
          <b:Person>
            <b:Last>Zhu</b:Last>
            <b:First>Y.D.</b:First>
          </b:Person>
          <b:Person>
            <b:Last>Allen</b:Last>
            <b:First>G.C.</b:First>
          </b:Person>
          <b:Person>
            <b:Last>Jones</b:Last>
            <b:First>P.G.</b:First>
          </b:Person>
          <b:Person>
            <b:Last>Adams</b:Last>
            <b:First>J.M.</b:First>
          </b:Person>
          <b:Person>
            <b:Last>Gittins</b:Last>
            <b:First>D.I.</b:First>
          </b:Person>
          <b:Person>
            <b:Last>Heard</b:Last>
            <b:First>P.J.</b:First>
          </b:Person>
          <b:Person>
            <b:Last>Skuse</b:Last>
            <b:First>D.R.</b:First>
          </b:Person>
        </b:NameList>
      </b:Author>
    </b:Author>
    <b:Title>Dispersion characterisation of CaCO3 particles in PP/CaCO3 composites</b:Title>
    <b:JournalName>Composites: Part A</b:JournalName>
    <b:Year>2014</b:Year>
    <b:Pages>38-43</b:Pages>
    <b:Volume>60</b:Volume>
    <b:DOI>10.1016/j.compositesa.2014.01.012</b:DOI>
    <b:RefOrder>15</b:RefOrder>
  </b:Source>
  <b:Source>
    <b:Tag>Eze21</b:Tag>
    <b:SourceType>JournalArticle</b:SourceType>
    <b:Guid>{3482E3BC-0A66-4018-8534-67AC0976721C}</b:Guid>
    <b:Author>
      <b:Author>
        <b:NameList>
          <b:Person>
            <b:Last>Ezenkwa</b:Last>
            <b:First>Obinna</b:First>
            <b:Middle>Emmanuel</b:Middle>
          </b:Person>
          <b:Person>
            <b:Last>Hassan</b:Last>
            <b:First>Azman</b:First>
          </b:Person>
          <b:Person>
            <b:Last>Samsudin</b:Last>
            <b:First>Sani</b:First>
            <b:Middle>Amril</b:Middle>
          </b:Person>
        </b:NameList>
      </b:Author>
    </b:Author>
    <b:Title>Tensile and Impact Properties of Rice Husk Filled Ethylene-Acrylic Ester Maleic Anhydride Compatibilized Polypropylene Composites</b:Title>
    <b:JournalName>Chemical Engineering Transactions</b:JournalName>
    <b:Year>2021</b:Year>
    <b:Pages>511-516</b:Pages>
    <b:Volume>83</b:Volume>
    <b:DOI>10.3303/CET2183086</b:DOI>
    <b:RefOrder>16</b:RefOrder>
  </b:Source>
  <b:Source>
    <b:Tag>The15</b:Tag>
    <b:SourceType>JournalArticle</b:SourceType>
    <b:Guid>{65384098-9316-42E8-9321-9D08041C4D7A}</b:Guid>
    <b:Title>A stretegy of precipitated calcium carbonate (CaCO3) fillers for enhancing the mechanical properties of polypropylene polymers</b:Title>
    <b:JournalName>Korean Journal of CHemical Engineering</b:JournalName>
    <b:Year>2015</b:Year>
    <b:Pages>1009-1022</b:Pages>
    <b:Author>
      <b:Author>
        <b:NameList>
          <b:Person>
            <b:Last>Thenepalli</b:Last>
            <b:First>Thriveni</b:First>
          </b:Person>
          <b:Person>
            <b:Last>Jun</b:Last>
            <b:First>Ahn</b:First>
            <b:Middle>Young</b:Middle>
          </b:Person>
          <b:Person>
            <b:Last>Han</b:Last>
            <b:First>Choon</b:First>
          </b:Person>
          <b:Person>
            <b:Last>Ramakrishna</b:Last>
            <b:First>Chilakala</b:First>
          </b:Person>
          <b:Person>
            <b:Last>Ahn</b:Last>
            <b:First>Ji</b:First>
            <b:Middle>Wan</b:Middle>
          </b:Person>
        </b:NameList>
      </b:Author>
    </b:Author>
    <b:Volume>32</b:Volume>
    <b:Issue>2</b:Issue>
    <b:DOI>10.1007/s11814-015-0057-3</b:DOI>
    <b:RefOrder>17</b:RefOrder>
  </b:Source>
  <b:Source>
    <b:Tag>Jim18</b:Tag>
    <b:SourceType>JournalArticle</b:SourceType>
    <b:Guid>{653FD12F-A913-46E7-9076-1C229DDD78DA}</b:Guid>
    <b:Author>
      <b:Author>
        <b:NameList>
          <b:Person>
            <b:Last>Jimoh</b:Last>
            <b:First>Onimisi</b:First>
            <b:Middle>A.</b:Middle>
          </b:Person>
          <b:Person>
            <b:Last>Ariffin</b:Last>
            <b:First>Kamar</b:First>
            <b:Middle>Shah</b:Middle>
          </b:Person>
          <b:Person>
            <b:Last>Hussin</b:Last>
            <b:First>Hashim</b:First>
            <b:Middle>Bin</b:Middle>
          </b:Person>
          <b:Person>
            <b:Last>Temitope</b:Last>
            <b:First>Adesuji</b:First>
            <b:Middle>E.</b:Middle>
          </b:Person>
        </b:NameList>
      </b:Author>
    </b:Author>
    <b:Title>Synthesis of precipitated calcium carbonate: a review</b:Title>
    <b:JournalName>Carbonate Evaporites</b:JournalName>
    <b:Year>2018</b:Year>
    <b:Pages>331-346</b:Pages>
    <b:Volume>33</b:Volume>
    <b:DOI>10.1007/s13146-017-0341-x</b:DOI>
    <b:RefOrder>18</b:RefOrder>
  </b:Source>
  <b:Source>
    <b:Tag>Khu24</b:Tag>
    <b:SourceType>JournalArticle</b:SourceType>
    <b:Guid>{62D003DD-9FA8-4CD6-B434-70E66BA37838}</b:Guid>
    <b:Author>
      <b:Author>
        <b:NameList>
          <b:Person>
            <b:Last>Khumalo</b:Last>
            <b:First>R.D.S.</b:First>
          </b:Person>
          <b:Person>
            <b:Last>Chirwa</b:Last>
            <b:First>E.M.N.</b:First>
          </b:Person>
        </b:NameList>
      </b:Author>
    </b:Author>
    <b:Title>Witwatersrand Basin Acid Mine Drainage (AMD) Softening via Urea Hydrolysis: Part 1 Experimental</b:Title>
    <b:JournalName>Chemical Engineering Transactions</b:JournalName>
    <b:Year>2024</b:Year>
    <b:Pages>463-468</b:Pages>
    <b:Volume>110</b:Volume>
    <b:DOI>10.3303/CET24110078</b:DOI>
    <b:RefOrder>21</b:RefOrder>
  </b:Source>
  <b:Source>
    <b:Tag>Rue17</b:Tag>
    <b:SourceType>JournalArticle</b:SourceType>
    <b:Guid>{23BC9E2A-669D-48BD-A8E8-1A14CBC68B9B}</b:Guid>
    <b:Author>
      <b:Author>
        <b:NameList>
          <b:Person>
            <b:Last>Rueden</b:Last>
            <b:First>Curtis</b:First>
            <b:Middle>T.</b:Middle>
          </b:Person>
          <b:Person>
            <b:Last>Schindelin</b:Last>
            <b:First>Johannes</b:First>
          </b:Person>
          <b:Person>
            <b:Last>Hiner</b:Last>
            <b:First>Mark</b:First>
            <b:Middle>C.</b:Middle>
          </b:Person>
          <b:Person>
            <b:Last>DeZonia</b:Last>
            <b:First>Barry</b:First>
            <b:Middle>E.</b:Middle>
          </b:Person>
          <b:Person>
            <b:Last>Walter</b:Last>
            <b:First>Alison</b:First>
            <b:Middle>E.</b:Middle>
          </b:Person>
          <b:Person>
            <b:Last>Arena</b:Last>
            <b:First>Ellen</b:First>
            <b:Middle>T.</b:Middle>
          </b:Person>
          <b:Person>
            <b:Last>Eliceiri</b:Last>
            <b:First>Kevin</b:First>
            <b:Middle>W.</b:Middle>
          </b:Person>
        </b:NameList>
      </b:Author>
    </b:Author>
    <b:Title>ImageJ2: ImageJ for the next generation of scientific image data</b:Title>
    <b:JournalName>BMC Bioinformatics</b:JournalName>
    <b:Year>2017</b:Year>
    <b:Pages>1-26</b:Pages>
    <b:Volume>18:529</b:Volume>
    <b:DOI>10.1186/s12859-017-1934-z</b:DOI>
    <b:RefOrder>22</b:RefOrder>
  </b:Source>
  <b:Source>
    <b:Tag>Zha12</b:Tag>
    <b:SourceType>JournalArticle</b:SourceType>
    <b:Guid>{ED78C610-A18A-4E8F-90EB-2A21D39E5EC9}</b:Guid>
    <b:Author>
      <b:Author>
        <b:NameList>
          <b:Person>
            <b:Last>Zhang</b:Last>
            <b:First>Zishou</b:First>
          </b:Person>
          <b:Person>
            <b:Last>Wang</b:Last>
            <b:First>Chunguang</b:First>
          </b:Person>
          <b:Person>
            <b:Last>Meng</b:Last>
            <b:First>Yuezhong</b:First>
          </b:Person>
          <b:Person>
            <b:Last>Mai</b:Last>
            <b:First>Kancheng</b:First>
          </b:Person>
        </b:NameList>
      </b:Author>
    </b:Author>
    <b:Title>Synergistic effects of toughening of nano-CaCO3 and toughness of b-polypropylene</b:Title>
    <b:JournalName>Composites: Part A</b:JournalName>
    <b:Year>2012</b:Year>
    <b:Pages>189-197</b:Pages>
    <b:Volume>43</b:Volume>
    <b:DOI>10.1016/j.compositesa.2011.10.008</b:DOI>
    <b:RefOrder>25</b:RefOrder>
  </b:Source>
  <b:Source>
    <b:Tag>Lan20</b:Tag>
    <b:SourceType>JournalArticle</b:SourceType>
    <b:Guid>{E20FCD43-2DEA-4B49-8FD6-A3D906DC1282}</b:Guid>
    <b:Author>
      <b:Author>
        <b:NameList>
          <b:Person>
            <b:Last>Lanyi</b:Last>
            <b:First>Franz</b:First>
            <b:Middle>J.</b:Middle>
          </b:Person>
          <b:Person>
            <b:Last>Wenzke</b:Last>
            <b:First>Nicolai</b:First>
          </b:Person>
          <b:Person>
            <b:Last>Kaschta</b:Last>
            <b:First>Joachim</b:First>
          </b:Person>
          <b:Person>
            <b:Last>Schubert</b:Last>
            <b:First>Dirk</b:First>
            <b:Middle>W.</b:Middle>
          </b:Person>
        </b:NameList>
      </b:Author>
    </b:Author>
    <b:Title>On the Determination of the Enthalpy of Fusion of a-Crystalline Isotactic Polypropylene Using Differential Scanning Calorimetry, X-Ray Diffreaction, and Fourier-Transfrom Infrared Spectroscopy: An Old Story Revisited</b:Title>
    <b:JournalName>Advanced Engineering Materials</b:JournalName>
    <b:Year>2020</b:Year>
    <b:Pages>1900796 (1 - 8)</b:Pages>
    <b:Volume>22</b:Volume>
    <b:DOI>10.1002/adem.201900796</b:DOI>
    <b:RefOrder>26</b:RefOrder>
  </b:Source>
  <b:Source>
    <b:Tag>Web24</b:Tag>
    <b:SourceType>JournalArticle</b:SourceType>
    <b:Guid>{350CBFB0-3DAE-4ADB-B8AF-7445F33F63E2}</b:Guid>
    <b:Author>
      <b:Author>
        <b:NameList>
          <b:Person>
            <b:Last>Webb</b:Last>
            <b:First>Christina</b:First>
          </b:Person>
          <b:Person>
            <b:Last>Qi</b:Last>
            <b:First>Kun</b:First>
          </b:Person>
          <b:Person>
            <b:Last>Anguilano</b:Last>
            <b:First>Lorna</b:First>
          </b:Person>
          <b:Person>
            <b:Last>Rivera</b:Last>
            <b:First>Ximena</b:First>
            <b:Middle>Schmidt</b:Middle>
          </b:Person>
        </b:NameList>
      </b:Author>
    </b:Author>
    <b:Title>Mechanical and environmental evaluation of ground calcium carbonate (CaCO3) filled polypropylene composites as a sustainable alternative to virgin polypropylene</b:Title>
    <b:JournalName>Results in Materials</b:JournalName>
    <b:Year>2024</b:Year>
    <b:Pages>100562</b:Pages>
    <b:Volume>22</b:Volume>
    <b:DOI>10.1016/j.rinma.2024.100562</b:DOI>
    <b:RefOrder>11</b:RefOrder>
  </b:Source>
  <b:Source>
    <b:Tag>Mur23</b:Tag>
    <b:SourceType>JournalArticle</b:SourceType>
    <b:Guid>{65F43CA3-434F-4EEF-A5F8-A8FCFCE0B1F5}</b:Guid>
    <b:Author>
      <b:Author>
        <b:NameList>
          <b:Person>
            <b:Last>Murariu</b:Last>
            <b:First>Marius</b:First>
          </b:Person>
          <b:Person>
            <b:Last>Laoutid</b:Last>
            <b:First>Fouad</b:First>
          </b:Person>
          <b:Person>
            <b:Last>Paint</b:Last>
            <b:First>Yoann</b:First>
          </b:Person>
          <b:Person>
            <b:Last>Murariu</b:Last>
            <b:First>Oltea</b:First>
          </b:Person>
          <b:Person>
            <b:Last>Raquez</b:Last>
            <b:First>Jean-Marie</b:First>
          </b:Person>
        </b:NameList>
      </b:Author>
    </b:Author>
    <b:Title>Balancing the Sthrength-Impact Relationship and Other Key Properties in Polypropylene Copolymer-Natural CaSO4 (Anhydite)-Filled Composites</b:Title>
    <b:JournalName>International Journal of Molecular Sciences</b:JournalName>
    <b:Year>2023</b:Year>
    <b:Pages>12659</b:Pages>
    <b:Volume>24</b:Volume>
    <b:DOI>10.3390/ijms241612659</b:DOI>
    <b:RefOrder>4</b:RefOrder>
  </b:Source>
  <b:Source>
    <b:Tag>Jin18</b:Tag>
    <b:SourceType>JournalArticle</b:SourceType>
    <b:Guid>{E7761F97-8179-4B8A-85FA-72C5E4EE4EB7}</b:Guid>
    <b:Author>
      <b:Author>
        <b:NameList>
          <b:Person>
            <b:Last>Jing</b:Last>
            <b:First>Yanwei</b:First>
          </b:Person>
          <b:Person>
            <b:Last>Nai</b:Last>
            <b:First>Xueying</b:First>
          </b:Person>
          <b:Person>
            <b:Last>DAng</b:Last>
            <b:First>Li</b:First>
          </b:Person>
          <b:Person>
            <b:Last>Zhu</b:Last>
            <b:First>Donghai</b:First>
          </b:Person>
          <b:Person>
            <b:Last>Wang</b:Last>
            <b:First>Yabin</b:First>
          </b:Person>
          <b:Person>
            <b:Last>Dong</b:Last>
            <b:First>Yaping</b:First>
          </b:Person>
          <b:Person>
            <b:Last>Li</b:Last>
            <b:First>Wu</b:First>
          </b:Person>
        </b:NameList>
      </b:Author>
    </b:Author>
    <b:Title>Reinforcing polypropylene with calcium carbonate of different morphologies and polymorphs</b:Title>
    <b:JournalName>Science and Engineering of Composites</b:JournalName>
    <b:Year>2018a</b:Year>
    <b:Pages>745-751</b:Pages>
    <b:Volume>25</b:Volume>
    <b:Issue>4</b:Issue>
    <b:DOI>10.1515/secm-2015-0307</b:DOI>
    <b:RefOrder>20</b:RefOrder>
  </b:Source>
  <b:Source>
    <b:Tag>Jin8b</b:Tag>
    <b:SourceType>JournalArticle</b:SourceType>
    <b:Guid>{9C7F0D5C-2ABF-4800-93C9-50C2B62B62AD}</b:Guid>
    <b:Author>
      <b:Author>
        <b:NameList>
          <b:Person>
            <b:Last>Jing</b:Last>
            <b:First>Xiwei</b:First>
          </b:Person>
          <b:Person>
            <b:Last>Gong</b:Last>
            <b:First>Weiguang</b:First>
          </b:Person>
          <b:Person>
            <b:Last>Feng</b:Last>
            <b:First>Zhongjun</b:First>
          </b:Person>
          <b:Person>
            <b:Last>Zhang</b:Last>
            <b:First>Mingfei</b:First>
          </b:Person>
          <b:Person>
            <b:Last>Meng</b:Last>
            <b:First>Xin</b:First>
          </b:Person>
          <b:Person>
            <b:Last>Zheng</b:Last>
            <b:First>Baicun</b:First>
          </b:Person>
        </b:NameList>
      </b:Author>
    </b:Author>
    <b:Title>Novel Comb-Like Copolymer Dispersant for Polypropylene/CaCO3 Composites and Its Influence on Dispersion, Crystallization, Mechanical, and Thermal Properties</b:Title>
    <b:JournalName>Polymer-Plastics Technology and Engineering</b:JournalName>
    <b:Year>2018b</b:Year>
    <b:Pages>986-996</b:Pages>
    <b:Volume>57</b:Volume>
    <b:Issue>10</b:Issue>
    <b:DOI>10.1080/03602559.2017.1370105</b:DOI>
    <b:RefOrder>27</b:RefOrder>
  </b:Source>
  <b:Source>
    <b:Tag>Fit16</b:Tag>
    <b:SourceType>JournalArticle</b:SourceType>
    <b:Guid>{C8465F2E-1B86-46D2-BB2C-66BB04BA60EC}</b:Guid>
    <b:Author>
      <b:Author>
        <b:NameList>
          <b:Person>
            <b:Last>Fitaroni</b:Last>
            <b:First>Lays</b:First>
            <b:Middle>B.</b:Middle>
          </b:Person>
          <b:Person>
            <b:Last>de Lima</b:Last>
            <b:First>Juliana</b:First>
          </b:Person>
          <b:Person>
            <b:Last>Cruz</b:Last>
            <b:First>Sandra</b:First>
            <b:Middle>A.</b:Middle>
          </b:Person>
          <b:Person>
            <b:Last>Waldman</b:Last>
            <b:First>Walter</b:First>
            <b:Middle>R.</b:Middle>
          </b:Person>
        </b:NameList>
      </b:Author>
    </b:Author>
    <b:Title>Effect of compatibilizer and Irganox MD 1024 on the thermo-oxidative stability of PP/PP-g-MA/OMMT nanocomposites</b:Title>
    <b:JournalName>Polymer Testing</b:JournalName>
    <b:Year>2016</b:Year>
    <b:Pages>165-173</b:Pages>
    <b:Volume>53</b:Volume>
    <b:DOI>10.1016/j.polymertesting.2016.05.016</b:DOI>
    <b:RefOrder>28</b:RefOrder>
  </b:Source>
  <b:Source>
    <b:Tag>LiL11</b:Tag>
    <b:SourceType>JournalArticle</b:SourceType>
    <b:Guid>{61F14DB2-E57A-4425-8449-62FD6D8D0ED1}</b:Guid>
    <b:Author>
      <b:Author>
        <b:NameList>
          <b:Person>
            <b:Last>Li</b:Last>
            <b:First>Lin</b:First>
          </b:Person>
          <b:Person>
            <b:Last>Dou</b:Last>
            <b:First>Qiang</b:First>
          </b:Person>
        </b:NameList>
      </b:Author>
    </b:Author>
    <b:Title>Effect of Malonic Acid Treatment on Crystal Structure, Melting Behavior, Morphology, and Mechanical Properties of Isotactic Polypropylene/Nano-CaCO3 Composites</b:Title>
    <b:JournalName>Journal of Macromolecular Science, Part B: Physics</b:JournalName>
    <b:Year>2011</b:Year>
    <b:Pages>831-845</b:Pages>
    <b:Volume>50</b:Volume>
    <b:DOI>10.1080/00222348.2010.483392</b:DOI>
    <b:RefOrder>12</b:RefOrder>
  </b:Source>
  <b:Source>
    <b:Tag>Khued</b:Tag>
    <b:SourceType>JournalArticle</b:SourceType>
    <b:Guid>{62368FFE-CF3E-4181-99D8-CBCF339F9EDF}</b:Guid>
    <b:Author>
      <b:Author>
        <b:NameList>
          <b:Person>
            <b:Last>Khumalo</b:Last>
            <b:First>R.D.S.</b:First>
          </b:Person>
          <b:Person>
            <b:Last>Brink</b:Last>
            <b:First>H.G.</b:First>
          </b:Person>
          <b:Person>
            <b:Last>Chirwa</b:Last>
            <b:First>E.M.N.</b:First>
          </b:Person>
        </b:NameList>
      </b:Author>
    </b:Author>
    <b:Title>Hydrothermal synthesis of Aragonte from Acid Mine Drainage of the Witwatersrand basin in Gauteng, South Africa: A preliminary study</b:Title>
    <b:JournalName>Mine Water and the Environment</b:JournalName>
    <b:Year>submitted</b:Year>
    <b:RefOrder>19</b:RefOrder>
  </b:Source>
  <b:Source>
    <b:Tag>Goe19</b:Tag>
    <b:SourceType>JournalArticle</b:SourceType>
    <b:Guid>{F37EC8E6-E25C-4B37-9DC0-51D208A7231F}</b:Guid>
    <b:Author>
      <b:Author>
        <b:NameList>
          <b:Person>
            <b:Last>Goetschl</b:Last>
            <b:First>Katja</b:First>
            <b:Middle>E.</b:Middle>
          </b:Person>
          <b:Person>
            <b:Last>Purgstaller</b:Last>
            <b:First>Bettina</b:First>
          </b:Person>
          <b:Person>
            <b:Last>Dietzel</b:Last>
            <b:First>Martin</b:First>
          </b:Person>
          <b:Person>
            <b:Last>Mavromatis</b:Last>
            <b:First>Vasileios</b:First>
          </b:Person>
        </b:NameList>
      </b:Author>
    </b:Author>
    <b:Title>Effect of sulfate on magnesium incorporation in low-magnesium calcite</b:Title>
    <b:JournalName>Geochimica et Cosmochimica Acta</b:JournalName>
    <b:Year>2019</b:Year>
    <b:Pages>505-519</b:Pages>
    <b:Volume>265</b:Volume>
    <b:DOI>10.1016/j.gca.2019.07.024</b:DOI>
    <b:RefOrder>23</b:RefOrder>
  </b:Source>
  <b:Source>
    <b:Tag>Sub11</b:Tag>
    <b:SourceType>JournalArticle</b:SourceType>
    <b:Guid>{65590273-DB42-49D9-8692-539BB38DC1B0}</b:Guid>
    <b:Author>
      <b:Author>
        <b:NameList>
          <b:Person>
            <b:Last>Subrt</b:Last>
            <b:First>Jan</b:First>
          </b:Person>
          <b:Person>
            <b:Last>Michalkova</b:Last>
            <b:First>Eva</b:First>
          </b:Person>
          <b:Person>
            <b:Last>Bohacek</b:Last>
            <b:First>Jaroslav</b:First>
          </b:Person>
          <b:Person>
            <b:Last>Lukac</b:Last>
          </b:Person>
          <b:Person>
            <b:Last>Jozef</b:Last>
          </b:Person>
          <b:Person>
            <b:Last>Ganovska</b:Last>
            <b:First>Zuzana</b:First>
          </b:Person>
          <b:Person>
            <b:Last>Masa</b:Last>
            <b:First>Branislav</b:First>
          </b:Person>
        </b:NameList>
      </b:Author>
    </b:Author>
    <b:Title>Uniform particles formed by hydrolysis of acid mine drainage with urea</b:Title>
    <b:JournalName>Hydrometallurgy</b:JournalName>
    <b:Year>2011</b:Year>
    <b:Pages>12-18</b:Pages>
    <b:Volume>106</b:Volume>
    <b:DOI>10.1016/j.hydromet.2010.11.012</b:DOI>
    <b:RefOrder>24</b:RefOrder>
  </b:Source>
  <b:Source>
    <b:Tag>Moc19</b:Tag>
    <b:SourceType>BookSection</b:SourceType>
    <b:Guid>{182FA0B5-7E33-4270-930C-EAB56F0C660A}</b:Guid>
    <b:Title>Particulate Filled Polypropylene: Structure and Properties</b:Title>
    <b:Year>2019</b:Year>
    <b:Pages>357-417</b:Pages>
    <b:DOI>10.1007/978-3-030-12903-3_7</b:DOI>
    <b:BookTitle>Polypropylene Handbook</b:BookTitle>
    <b:Publisher>Springer, Cham</b:Publisher>
    <b:Author>
      <b:Author>
        <b:NameList>
          <b:Person>
            <b:Last>Moczo</b:Last>
            <b:First>Janos</b:First>
          </b:Person>
          <b:Person>
            <b:Last>Pukanszky</b:Last>
            <b:First>Bela</b:First>
          </b:Person>
        </b:NameList>
      </b:Author>
      <b:BookAuthor>
        <b:NameList>
          <b:Person>
            <b:Last>Karger-Kocsis</b:Last>
            <b:First>J.</b:First>
          </b:Person>
          <b:Person>
            <b:Last>Barany</b:Last>
            <b:First>T.</b:First>
          </b:Person>
        </b:NameList>
      </b:BookAuthor>
    </b:Author>
    <b:RefOrder>29</b:RefOrder>
  </b:Source>
</b:Sources>
</file>

<file path=customXml/itemProps1.xml><?xml version="1.0" encoding="utf-8"?>
<ds:datastoreItem xmlns:ds="http://schemas.openxmlformats.org/officeDocument/2006/customXml" ds:itemID="{92C95BBC-7BD0-473A-A365-259967D1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3723</Words>
  <Characters>21223</Characters>
  <Application>Microsoft Office Word</Application>
  <DocSecurity>0</DocSecurity>
  <Lines>176</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Khumalo, Recardo</cp:lastModifiedBy>
  <cp:revision>2</cp:revision>
  <cp:lastPrinted>2025-03-07T10:19:00Z</cp:lastPrinted>
  <dcterms:created xsi:type="dcterms:W3CDTF">2025-03-13T22:32:00Z</dcterms:created>
  <dcterms:modified xsi:type="dcterms:W3CDTF">2025-03-13T22:32:00Z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