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90273648"/>
            <w:bookmarkStart w:id="1" w:name="_Hlk145068772"/>
            <w:bookmarkEnd w:id="0"/>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2E667253" w14:textId="167C9A99" w:rsidR="00E978D0" w:rsidRPr="00B57B36" w:rsidRDefault="002150F6" w:rsidP="00E978D0">
      <w:pPr>
        <w:pStyle w:val="CETTitle"/>
      </w:pPr>
      <w:r w:rsidRPr="002150F6">
        <w:t>A P</w:t>
      </w:r>
      <w:r>
        <w:t>reliminary</w:t>
      </w:r>
      <w:r w:rsidRPr="002150F6">
        <w:t xml:space="preserve"> C</w:t>
      </w:r>
      <w:r>
        <w:t>omparative</w:t>
      </w:r>
      <w:r w:rsidRPr="002150F6">
        <w:t xml:space="preserve"> A</w:t>
      </w:r>
      <w:r>
        <w:t>nalysis</w:t>
      </w:r>
      <w:r w:rsidRPr="002150F6">
        <w:t xml:space="preserve"> </w:t>
      </w:r>
      <w:r>
        <w:t>of</w:t>
      </w:r>
      <w:r w:rsidRPr="002150F6">
        <w:t xml:space="preserve"> S</w:t>
      </w:r>
      <w:r>
        <w:t>odium</w:t>
      </w:r>
      <w:r w:rsidRPr="002150F6">
        <w:t>-I</w:t>
      </w:r>
      <w:r>
        <w:t>on</w:t>
      </w:r>
      <w:r w:rsidRPr="002150F6">
        <w:t xml:space="preserve"> </w:t>
      </w:r>
      <w:r>
        <w:t>and</w:t>
      </w:r>
      <w:r w:rsidRPr="002150F6">
        <w:t xml:space="preserve"> L</w:t>
      </w:r>
      <w:r>
        <w:t>ithium</w:t>
      </w:r>
      <w:r w:rsidRPr="002150F6">
        <w:t>-I</w:t>
      </w:r>
      <w:r>
        <w:t>on</w:t>
      </w:r>
      <w:r w:rsidRPr="002150F6">
        <w:t xml:space="preserve"> B</w:t>
      </w:r>
      <w:r>
        <w:t>atteries</w:t>
      </w:r>
      <w:r w:rsidRPr="002150F6">
        <w:t xml:space="preserve">: </w:t>
      </w:r>
      <w:r>
        <w:t>A</w:t>
      </w:r>
      <w:r w:rsidRPr="002150F6">
        <w:t xml:space="preserve"> F</w:t>
      </w:r>
      <w:r>
        <w:t>ocus</w:t>
      </w:r>
      <w:r w:rsidRPr="002150F6">
        <w:t xml:space="preserve"> </w:t>
      </w:r>
      <w:r>
        <w:t>on</w:t>
      </w:r>
      <w:r w:rsidRPr="002150F6">
        <w:t xml:space="preserve"> S</w:t>
      </w:r>
      <w:r>
        <w:t>afety</w:t>
      </w:r>
      <w:r w:rsidRPr="002150F6">
        <w:t xml:space="preserve"> </w:t>
      </w:r>
      <w:r>
        <w:t>and</w:t>
      </w:r>
      <w:r w:rsidRPr="002150F6">
        <w:t xml:space="preserve"> S</w:t>
      </w:r>
      <w:r>
        <w:t>ustainability</w:t>
      </w:r>
    </w:p>
    <w:p w14:paraId="0488FED2" w14:textId="6C43C519" w:rsidR="00B57E6F" w:rsidRPr="002150F6" w:rsidRDefault="002150F6" w:rsidP="00B57E6F">
      <w:pPr>
        <w:pStyle w:val="CETAuthors"/>
        <w:rPr>
          <w:lang w:val="en-US"/>
        </w:rPr>
      </w:pPr>
      <w:r w:rsidRPr="002150F6">
        <w:rPr>
          <w:lang w:val="en-US"/>
        </w:rPr>
        <w:t>Elpida Piperopoulos</w:t>
      </w:r>
      <w:r>
        <w:rPr>
          <w:vertAlign w:val="superscript"/>
          <w:lang w:val="en-US"/>
        </w:rPr>
        <w:t>*</w:t>
      </w:r>
      <w:r w:rsidR="00B57E6F" w:rsidRPr="002150F6">
        <w:rPr>
          <w:lang w:val="en-US"/>
        </w:rPr>
        <w:t xml:space="preserve">, </w:t>
      </w:r>
      <w:r w:rsidRPr="002150F6">
        <w:rPr>
          <w:lang w:val="en-US"/>
        </w:rPr>
        <w:t>Maria Francesca Milazzo</w:t>
      </w:r>
    </w:p>
    <w:p w14:paraId="6B2D21B3" w14:textId="6F33E906" w:rsidR="00B57E6F" w:rsidRPr="00B57B36" w:rsidRDefault="002150F6" w:rsidP="00B57E6F">
      <w:pPr>
        <w:pStyle w:val="CETAddress"/>
      </w:pPr>
      <w:r w:rsidRPr="002150F6">
        <w:t>Department of Engineering, University of Messina, Contrada di Dio, 98166 Messina, Italy</w:t>
      </w:r>
      <w:r w:rsidR="00B57E6F" w:rsidRPr="00B57B36">
        <w:t xml:space="preserve"> </w:t>
      </w:r>
    </w:p>
    <w:p w14:paraId="73F1267A" w14:textId="631F684C" w:rsidR="00B57E6F" w:rsidRPr="00B57B36" w:rsidRDefault="003E3AD1" w:rsidP="00B57E6F">
      <w:pPr>
        <w:pStyle w:val="CETemail"/>
      </w:pPr>
      <w:r>
        <w:t>*</w:t>
      </w:r>
      <w:r w:rsidR="002150F6">
        <w:t>epiperopoulos</w:t>
      </w:r>
      <w:r w:rsidR="00B57E6F" w:rsidRPr="00B57B36">
        <w:t>@</w:t>
      </w:r>
      <w:r w:rsidR="002150F6">
        <w:t>unime.it</w:t>
      </w:r>
    </w:p>
    <w:p w14:paraId="6893AF25" w14:textId="7562D7C7" w:rsidR="00600535" w:rsidRPr="00D86804" w:rsidRDefault="002150F6" w:rsidP="00600535">
      <w:pPr>
        <w:pStyle w:val="CETBodytext"/>
        <w:rPr>
          <w:lang w:val="en-GB"/>
        </w:rPr>
      </w:pPr>
      <w:r w:rsidRPr="00D86804">
        <w:rPr>
          <w:lang w:val="en-GB"/>
        </w:rPr>
        <w:t xml:space="preserve">While sodium-ion batteries have emerged as a promising alternative to lithium-ion batteries due to their potential </w:t>
      </w:r>
      <w:r w:rsidR="004B6DD6" w:rsidRPr="00D86804">
        <w:rPr>
          <w:lang w:val="en-GB"/>
        </w:rPr>
        <w:t>for lower costs and for the greater availability of raw materials, a comprehensive understanding of their environmental and social footprint is crucial. This research seeks to provide an initial comparison between sodium-ion and lithium-ion batteries, specifically examining aspects of safety, sustainability, and their impacts across the entire life cycle. This life cycle encompasses key stages such as raw material extraction, cell manufacturing, the usage phase, and end-of-life management.</w:t>
      </w:r>
      <w:r w:rsidRPr="00D86804">
        <w:rPr>
          <w:lang w:val="en-GB"/>
        </w:rPr>
        <w:t xml:space="preserve"> By employing risk identification techniques used for preliminary safety assessment, the </w:t>
      </w:r>
      <w:r w:rsidR="009D0067" w:rsidRPr="00D86804">
        <w:rPr>
          <w:lang w:val="en-GB"/>
        </w:rPr>
        <w:t>risks</w:t>
      </w:r>
      <w:r w:rsidRPr="00D86804">
        <w:rPr>
          <w:lang w:val="en-GB"/>
        </w:rPr>
        <w:t xml:space="preserve"> of each stage are quantified and compared for both battery types. A particular emphasis is placed on the manufacturing phase</w:t>
      </w:r>
      <w:r w:rsidR="004E321D" w:rsidRPr="00D86804">
        <w:rPr>
          <w:lang w:val="en-GB"/>
        </w:rPr>
        <w:t xml:space="preserve"> and</w:t>
      </w:r>
      <w:r w:rsidRPr="00D86804">
        <w:rPr>
          <w:lang w:val="en-GB"/>
        </w:rPr>
        <w:t xml:space="preserve"> the production processes for the anode, cathode, and electrolyte materials. The potential risks associated with the use of hazardous chemicals and energy-intensive processes are identified and evaluated. Additionally, the safety performance of both battery types is assessed, considering factors such as thermal stability, flammability, and the risk of electrolyte leakage.</w:t>
      </w:r>
      <w:r w:rsidR="00622DD4" w:rsidRPr="00D86804">
        <w:t xml:space="preserve"> </w:t>
      </w:r>
      <w:r w:rsidR="00622DD4" w:rsidRPr="00D86804">
        <w:rPr>
          <w:lang w:val="en-GB"/>
        </w:rPr>
        <w:t xml:space="preserve">The highest risk index </w:t>
      </w:r>
      <w:r w:rsidR="00FF5347" w:rsidRPr="00D86804">
        <w:rPr>
          <w:lang w:val="en-GB"/>
        </w:rPr>
        <w:t>is 1.35 and it</w:t>
      </w:r>
      <w:r w:rsidR="00622DD4" w:rsidRPr="00D86804">
        <w:rPr>
          <w:lang w:val="en-GB"/>
        </w:rPr>
        <w:t xml:space="preserve"> is attributed to the autoclave process used in the production of cathode for lithium-ion batteries.</w:t>
      </w:r>
      <w:r w:rsidRPr="00D86804">
        <w:rPr>
          <w:lang w:val="en-GB"/>
        </w:rPr>
        <w:t xml:space="preserve"> By comparing the safety profiles of sodium-ion and lithium-ion batteries, </w:t>
      </w:r>
      <w:r w:rsidR="0085171F" w:rsidRPr="00D86804">
        <w:rPr>
          <w:lang w:val="en-GB"/>
        </w:rPr>
        <w:t>information is gathered</w:t>
      </w:r>
      <w:r w:rsidRPr="00D86804">
        <w:rPr>
          <w:lang w:val="en-GB"/>
        </w:rPr>
        <w:t xml:space="preserve"> </w:t>
      </w:r>
      <w:r w:rsidR="0085171F" w:rsidRPr="00D86804">
        <w:rPr>
          <w:lang w:val="en-GB"/>
        </w:rPr>
        <w:t>regarding</w:t>
      </w:r>
      <w:r w:rsidRPr="00D86804">
        <w:rPr>
          <w:lang w:val="en-GB"/>
        </w:rPr>
        <w:t xml:space="preserve"> their suitability for </w:t>
      </w:r>
      <w:r w:rsidR="004B6DD6" w:rsidRPr="00D86804">
        <w:rPr>
          <w:lang w:val="en-GB"/>
        </w:rPr>
        <w:t xml:space="preserve">different </w:t>
      </w:r>
      <w:r w:rsidRPr="00D86804">
        <w:rPr>
          <w:lang w:val="en-GB"/>
        </w:rPr>
        <w:t>applications, including electric vehicles, stationary energy storage, and portable electronics. The findings of this research contribute to a deeper understanding of the trade-offs between safety, sustainability, and performance for different battery technologies.</w:t>
      </w:r>
    </w:p>
    <w:p w14:paraId="476B2F2E" w14:textId="52B36035" w:rsidR="00600535" w:rsidRPr="00D86804" w:rsidRDefault="00600535" w:rsidP="00600535">
      <w:pPr>
        <w:pStyle w:val="CETHeading1"/>
        <w:rPr>
          <w:lang w:val="en-GB"/>
        </w:rPr>
      </w:pPr>
      <w:r w:rsidRPr="00D86804">
        <w:rPr>
          <w:lang w:val="en-GB"/>
        </w:rPr>
        <w:t>Introduction</w:t>
      </w:r>
    </w:p>
    <w:p w14:paraId="6FC1F68A" w14:textId="3E8958A0" w:rsidR="00A230EF" w:rsidRPr="00D86804" w:rsidRDefault="00A230EF" w:rsidP="00296C66">
      <w:pPr>
        <w:pStyle w:val="CETBodytext"/>
        <w:rPr>
          <w:lang w:val="en-GB"/>
        </w:rPr>
      </w:pPr>
      <w:r w:rsidRPr="00D86804">
        <w:rPr>
          <w:lang w:val="en-GB"/>
        </w:rPr>
        <w:t xml:space="preserve">The global energy transition necessitates a rapid shift away from fossil fuels towards cleaner and more sustainable energy sources. Renewable energy technologies, such as solar and wind power, play a crucial role in this transition. However, the intermittent nature of these sources </w:t>
      </w:r>
      <w:r w:rsidR="002E594E" w:rsidRPr="00D86804">
        <w:rPr>
          <w:lang w:val="en-GB"/>
        </w:rPr>
        <w:t>needs</w:t>
      </w:r>
      <w:r w:rsidRPr="00D86804">
        <w:rPr>
          <w:lang w:val="en-GB"/>
        </w:rPr>
        <w:t xml:space="preserve"> efficient energy storage solutions to ensure a stable and reliable grid. </w:t>
      </w:r>
      <w:r w:rsidR="00296C66" w:rsidRPr="00D86804">
        <w:rPr>
          <w:lang w:val="en-GB"/>
        </w:rPr>
        <w:t xml:space="preserve">Maintaining stable grid operation requires a consistent and uninterrupted electricity supply. However, renewable energy sources like solar and wind power are inherently intermittent due to their dependence on environmental factors such as sunlight and wind availability. Solar power generation is entirely reliant on sunshine, resulting in negligible output during nighttime. Wind power exhibits significant variability, fluctuating from high output (gigawatts) during strong winds to </w:t>
      </w:r>
      <w:r w:rsidR="0085171F" w:rsidRPr="00D86804">
        <w:rPr>
          <w:lang w:val="en-GB"/>
        </w:rPr>
        <w:t xml:space="preserve">lower </w:t>
      </w:r>
      <w:r w:rsidR="00296C66" w:rsidRPr="00D86804">
        <w:rPr>
          <w:lang w:val="en-GB"/>
        </w:rPr>
        <w:t xml:space="preserve">output (megawatts) or even zero during calm periods. As the grid increasingly </w:t>
      </w:r>
      <w:r w:rsidR="0085171F" w:rsidRPr="00D86804">
        <w:rPr>
          <w:lang w:val="en-GB"/>
        </w:rPr>
        <w:t>depends on</w:t>
      </w:r>
      <w:r w:rsidR="00296C66" w:rsidRPr="00D86804">
        <w:rPr>
          <w:lang w:val="en-GB"/>
        </w:rPr>
        <w:t xml:space="preserve"> renewable energy sources, integrating these variable sources into existing grid operations </w:t>
      </w:r>
      <w:r w:rsidR="0085171F" w:rsidRPr="00D86804">
        <w:rPr>
          <w:lang w:val="en-GB"/>
        </w:rPr>
        <w:t>sets</w:t>
      </w:r>
      <w:r w:rsidR="00296C66" w:rsidRPr="00D86804">
        <w:rPr>
          <w:lang w:val="en-GB"/>
        </w:rPr>
        <w:t xml:space="preserve"> a significant challenge (Zhao et al., 2023). </w:t>
      </w:r>
      <w:r w:rsidRPr="00D86804">
        <w:rPr>
          <w:lang w:val="en-GB"/>
        </w:rPr>
        <w:t>Batteries, as electrochemical energy storage devices, have emerged as a cornerstone technology for integrating renewable energy sources, powering electric vehicles, and enabling grid-scale energy storage</w:t>
      </w:r>
      <w:r w:rsidR="00B46B73" w:rsidRPr="00D86804">
        <w:rPr>
          <w:lang w:val="en-GB"/>
        </w:rPr>
        <w:t xml:space="preserve"> (</w:t>
      </w:r>
      <w:r w:rsidR="00B46B73" w:rsidRPr="00D86804">
        <w:t>Hamdan</w:t>
      </w:r>
      <w:r w:rsidR="00B46B73" w:rsidRPr="00D86804">
        <w:rPr>
          <w:lang w:val="en-GB"/>
        </w:rPr>
        <w:t xml:space="preserve"> et al., 2024)</w:t>
      </w:r>
      <w:r w:rsidRPr="00D86804">
        <w:rPr>
          <w:lang w:val="en-GB"/>
        </w:rPr>
        <w:t>.</w:t>
      </w:r>
    </w:p>
    <w:p w14:paraId="7020C76F" w14:textId="3B3E227C" w:rsidR="00A230EF" w:rsidRPr="00D86804" w:rsidRDefault="00A230EF" w:rsidP="00A230EF">
      <w:pPr>
        <w:pStyle w:val="CETBodytext"/>
        <w:rPr>
          <w:lang w:val="en-GB"/>
        </w:rPr>
      </w:pPr>
      <w:r w:rsidRPr="00D86804">
        <w:rPr>
          <w:lang w:val="en-GB"/>
        </w:rPr>
        <w:t>Lithium-ion batteries (LIBs) currently dominate the market due to their high energy density, long cycle life, and widespread commercial availability</w:t>
      </w:r>
      <w:r w:rsidR="0062661C" w:rsidRPr="00D86804">
        <w:rPr>
          <w:lang w:val="en-GB"/>
        </w:rPr>
        <w:t xml:space="preserve"> (Song et al., 2021)</w:t>
      </w:r>
      <w:r w:rsidRPr="00D86804">
        <w:rPr>
          <w:lang w:val="en-GB"/>
        </w:rPr>
        <w:t>. However, the growing demand for LIBs has raised concerns regarding the environmental and social impacts associated with lithium extraction and processing</w:t>
      </w:r>
      <w:r w:rsidR="0062661C" w:rsidRPr="00D86804">
        <w:rPr>
          <w:lang w:val="en-GB"/>
        </w:rPr>
        <w:t xml:space="preserve"> (Arshad et al., 2022)</w:t>
      </w:r>
      <w:r w:rsidR="00AC7E2E" w:rsidRPr="00D86804">
        <w:rPr>
          <w:lang w:val="en-GB"/>
        </w:rPr>
        <w:t xml:space="preserve"> as well as its risk</w:t>
      </w:r>
      <w:r w:rsidRPr="00D86804">
        <w:rPr>
          <w:lang w:val="en-GB"/>
        </w:rPr>
        <w:t xml:space="preserve">. Furthermore, the limited global lithium reserves and the potential for supply chain disruptions </w:t>
      </w:r>
      <w:r w:rsidR="0085171F" w:rsidRPr="00D86804">
        <w:rPr>
          <w:lang w:val="en-GB"/>
        </w:rPr>
        <w:t>present</w:t>
      </w:r>
      <w:r w:rsidRPr="00D86804">
        <w:rPr>
          <w:lang w:val="en-GB"/>
        </w:rPr>
        <w:t xml:space="preserve"> significant challenges to the long-term sustainability of LIBs. </w:t>
      </w:r>
      <w:r w:rsidR="00296C66" w:rsidRPr="00D86804">
        <w:rPr>
          <w:lang w:val="en-GB"/>
        </w:rPr>
        <w:t>The expanding market is anticipated to intensify pressure on lithium supplies, leading to a sustained increase in lithium prices globally (Zhao et al., 2023).</w:t>
      </w:r>
      <w:r w:rsidR="00AC7E2E" w:rsidRPr="00D86804">
        <w:rPr>
          <w:lang w:val="en-GB"/>
        </w:rPr>
        <w:t xml:space="preserve"> The safety issues associated with lithium are traced back to risks due to the explosiveness and toxicity of the substances and manifest themselves instantly and/or in the medium-long term. </w:t>
      </w:r>
      <w:r w:rsidR="00AC7E2E" w:rsidRPr="00D86804">
        <w:rPr>
          <w:lang w:val="en-GB"/>
        </w:rPr>
        <w:lastRenderedPageBreak/>
        <w:t>The risks can be present in various phases which, beyond the battery’s use, include their production</w:t>
      </w:r>
      <w:r w:rsidR="006F15A4" w:rsidRPr="00D86804">
        <w:rPr>
          <w:lang w:val="en-GB"/>
        </w:rPr>
        <w:t xml:space="preserve"> and transport (Rudola et al., 2021</w:t>
      </w:r>
      <w:r w:rsidR="001823A5" w:rsidRPr="00D86804">
        <w:rPr>
          <w:lang w:val="en-GB"/>
        </w:rPr>
        <w:t>; Russo et al., 2018</w:t>
      </w:r>
      <w:r w:rsidR="006F15A4" w:rsidRPr="00D86804">
        <w:rPr>
          <w:lang w:val="en-GB"/>
        </w:rPr>
        <w:t>)</w:t>
      </w:r>
      <w:r w:rsidR="00AC7E2E" w:rsidRPr="00D86804">
        <w:rPr>
          <w:lang w:val="en-GB"/>
        </w:rPr>
        <w:t>.</w:t>
      </w:r>
    </w:p>
    <w:p w14:paraId="6F215A3D" w14:textId="184BF83E" w:rsidR="00A230EF" w:rsidRPr="00D86804" w:rsidRDefault="00AC7E2E" w:rsidP="00A230EF">
      <w:pPr>
        <w:pStyle w:val="CETBodytext"/>
        <w:rPr>
          <w:lang w:val="en-GB"/>
        </w:rPr>
      </w:pPr>
      <w:r w:rsidRPr="00D86804">
        <w:rPr>
          <w:lang w:val="en-GB"/>
        </w:rPr>
        <w:t xml:space="preserve">For this reason, </w:t>
      </w:r>
      <w:r w:rsidR="00A230EF" w:rsidRPr="00D86804">
        <w:rPr>
          <w:lang w:val="en-GB"/>
        </w:rPr>
        <w:t xml:space="preserve">Sodium-ion batteries (SIBs) have emerged as a promising alternative due to the abundance and low cost of sodium, a readily available and widely distributed element. This abundance mitigates </w:t>
      </w:r>
      <w:r w:rsidR="0085171F" w:rsidRPr="00D86804">
        <w:rPr>
          <w:lang w:val="en-GB"/>
        </w:rPr>
        <w:t>items</w:t>
      </w:r>
      <w:r w:rsidR="00A230EF" w:rsidRPr="00D86804">
        <w:rPr>
          <w:lang w:val="en-GB"/>
        </w:rPr>
        <w:t xml:space="preserve"> related to resource scarcity and supply chain vulnerabilities</w:t>
      </w:r>
      <w:r w:rsidR="000A5354" w:rsidRPr="00D86804">
        <w:rPr>
          <w:lang w:val="en-GB"/>
        </w:rPr>
        <w:t xml:space="preserve"> (</w:t>
      </w:r>
      <w:r w:rsidR="000A5354" w:rsidRPr="00D86804">
        <w:t>Yabuuchi et al., 2014)</w:t>
      </w:r>
      <w:r w:rsidR="00A230EF" w:rsidRPr="00D86804">
        <w:rPr>
          <w:lang w:val="en-GB"/>
        </w:rPr>
        <w:t>. Moreover, SIBs offer potential advantages in terms of safety, with a lower risk of thermal runaway and fire compared to some LIBs.</w:t>
      </w:r>
      <w:r w:rsidR="00797EFB" w:rsidRPr="00D86804">
        <w:rPr>
          <w:lang w:val="en-GB"/>
        </w:rPr>
        <w:t xml:space="preserve"> </w:t>
      </w:r>
      <w:r w:rsidR="00A230EF" w:rsidRPr="00D86804">
        <w:rPr>
          <w:lang w:val="en-GB"/>
        </w:rPr>
        <w:t>However, SIBs currently face challenges in terms of energy density and cycle life, which are critical parameters for many applications</w:t>
      </w:r>
      <w:r w:rsidR="000A5354" w:rsidRPr="00D86804">
        <w:rPr>
          <w:lang w:val="en-GB"/>
        </w:rPr>
        <w:t xml:space="preserve"> (</w:t>
      </w:r>
      <w:r w:rsidR="000A5354" w:rsidRPr="00D86804">
        <w:t>Cai et al., 2024)</w:t>
      </w:r>
      <w:r w:rsidR="00A230EF" w:rsidRPr="00D86804">
        <w:rPr>
          <w:lang w:val="en-GB"/>
        </w:rPr>
        <w:t>.</w:t>
      </w:r>
    </w:p>
    <w:p w14:paraId="0ACBE4F7" w14:textId="37494F57" w:rsidR="005077CB" w:rsidRPr="00D86804" w:rsidRDefault="00D451FD" w:rsidP="00837C73">
      <w:pPr>
        <w:pStyle w:val="CETBodytext"/>
        <w:rPr>
          <w:lang w:val="en-GB"/>
        </w:rPr>
      </w:pPr>
      <w:r w:rsidRPr="00D86804">
        <w:rPr>
          <w:lang w:val="en-GB"/>
        </w:rPr>
        <w:t xml:space="preserve">A comprehensive analysis of battery safety </w:t>
      </w:r>
      <w:r w:rsidR="00837C73" w:rsidRPr="00D86804">
        <w:rPr>
          <w:lang w:val="en-GB"/>
        </w:rPr>
        <w:t xml:space="preserve">in </w:t>
      </w:r>
      <w:r w:rsidRPr="00D86804">
        <w:rPr>
          <w:lang w:val="en-GB"/>
        </w:rPr>
        <w:t>life</w:t>
      </w:r>
      <w:r w:rsidR="00171A62" w:rsidRPr="00D86804">
        <w:rPr>
          <w:lang w:val="en-GB"/>
        </w:rPr>
        <w:t xml:space="preserve"> </w:t>
      </w:r>
      <w:r w:rsidRPr="00D86804">
        <w:rPr>
          <w:lang w:val="en-GB"/>
        </w:rPr>
        <w:t xml:space="preserve">cycle is fundamental to </w:t>
      </w:r>
      <w:r w:rsidR="00837C73" w:rsidRPr="00D86804">
        <w:rPr>
          <w:lang w:val="en-GB"/>
        </w:rPr>
        <w:t>ensure a completely</w:t>
      </w:r>
      <w:r w:rsidRPr="00D86804">
        <w:rPr>
          <w:lang w:val="en-GB"/>
        </w:rPr>
        <w:t xml:space="preserve"> sustainable and efficient use of these technologies. A complete analysis allows to identify potential risks associated with the extraction, production, and disposal of these </w:t>
      </w:r>
      <w:r w:rsidR="005077CB" w:rsidRPr="00D86804">
        <w:rPr>
          <w:lang w:val="en-GB"/>
        </w:rPr>
        <w:t>devices</w:t>
      </w:r>
      <w:r w:rsidRPr="00D86804">
        <w:rPr>
          <w:lang w:val="en-GB"/>
        </w:rPr>
        <w:t>. Moreover, by understanding the entire life</w:t>
      </w:r>
      <w:r w:rsidR="00171A62" w:rsidRPr="00D86804">
        <w:rPr>
          <w:lang w:val="en-GB"/>
        </w:rPr>
        <w:t xml:space="preserve"> </w:t>
      </w:r>
      <w:r w:rsidRPr="00D86804">
        <w:rPr>
          <w:lang w:val="en-GB"/>
        </w:rPr>
        <w:t xml:space="preserve">cycle, the most impactful phases </w:t>
      </w:r>
      <w:r w:rsidR="005077CB" w:rsidRPr="00D86804">
        <w:rPr>
          <w:lang w:val="en-GB"/>
        </w:rPr>
        <w:t>can be identified to</w:t>
      </w:r>
      <w:r w:rsidRPr="00D86804">
        <w:rPr>
          <w:lang w:val="en-GB"/>
        </w:rPr>
        <w:t xml:space="preserve"> implement strategies to reduce the </w:t>
      </w:r>
      <w:r w:rsidR="005077CB" w:rsidRPr="00D86804">
        <w:rPr>
          <w:lang w:val="en-GB"/>
        </w:rPr>
        <w:t>risk</w:t>
      </w:r>
      <w:r w:rsidRPr="00D86804">
        <w:rPr>
          <w:lang w:val="en-GB"/>
        </w:rPr>
        <w:t xml:space="preserve">. This includes optimizing production processes, researching </w:t>
      </w:r>
      <w:r w:rsidR="0050055C" w:rsidRPr="00D86804">
        <w:rPr>
          <w:lang w:val="en-GB"/>
        </w:rPr>
        <w:t>more safe</w:t>
      </w:r>
      <w:r w:rsidRPr="00D86804">
        <w:rPr>
          <w:lang w:val="en-GB"/>
        </w:rPr>
        <w:t xml:space="preserve"> alternative materials, and developing effective recycling systems. </w:t>
      </w:r>
    </w:p>
    <w:p w14:paraId="75BB0892" w14:textId="32164EDD" w:rsidR="00837C73" w:rsidRPr="00D86804" w:rsidRDefault="00D451FD" w:rsidP="00837C73">
      <w:pPr>
        <w:pStyle w:val="CETBodytext"/>
        <w:rPr>
          <w:lang w:val="en-GB"/>
        </w:rPr>
      </w:pPr>
      <w:r w:rsidRPr="00D86804">
        <w:rPr>
          <w:lang w:val="en-GB"/>
        </w:rPr>
        <w:t xml:space="preserve">Furthermore, </w:t>
      </w:r>
      <w:r w:rsidR="0050055C" w:rsidRPr="00D86804">
        <w:rPr>
          <w:lang w:val="en-GB"/>
        </w:rPr>
        <w:t xml:space="preserve">a more accurate </w:t>
      </w:r>
      <w:r w:rsidRPr="00D86804">
        <w:rPr>
          <w:lang w:val="en-GB"/>
        </w:rPr>
        <w:t>knowledge of battery life</w:t>
      </w:r>
      <w:r w:rsidR="00171A62" w:rsidRPr="00D86804">
        <w:rPr>
          <w:lang w:val="en-GB"/>
        </w:rPr>
        <w:t xml:space="preserve"> </w:t>
      </w:r>
      <w:r w:rsidRPr="00D86804">
        <w:rPr>
          <w:lang w:val="en-GB"/>
        </w:rPr>
        <w:t xml:space="preserve">cycles allows </w:t>
      </w:r>
      <w:r w:rsidR="00C56C05" w:rsidRPr="00D86804">
        <w:rPr>
          <w:bCs/>
          <w:lang w:val="en-GB"/>
        </w:rPr>
        <w:t>identifying</w:t>
      </w:r>
      <w:r w:rsidRPr="00D86804">
        <w:rPr>
          <w:lang w:val="en-GB"/>
        </w:rPr>
        <w:t xml:space="preserve"> areas where further research and investment are needed. The search for new materials for electrodes and safer, higher-performing electrolytes can lead to the development of batteries with longer lifespans and a lower environmental impact.</w:t>
      </w:r>
      <w:r w:rsidRPr="00D86804">
        <w:rPr>
          <w:b/>
          <w:lang w:val="en-GB"/>
        </w:rPr>
        <w:t xml:space="preserve"> </w:t>
      </w:r>
      <w:r w:rsidRPr="00D86804">
        <w:rPr>
          <w:lang w:val="en-GB"/>
        </w:rPr>
        <w:t xml:space="preserve">The aim of this study is to </w:t>
      </w:r>
      <w:r w:rsidR="005077CB" w:rsidRPr="00D86804">
        <w:rPr>
          <w:lang w:val="en-GB"/>
        </w:rPr>
        <w:t>analyse</w:t>
      </w:r>
      <w:r w:rsidRPr="00D86804">
        <w:rPr>
          <w:lang w:val="en-GB"/>
        </w:rPr>
        <w:t xml:space="preserve"> the life cycle of lithium-ion batteries and, using risk identification techniques, to obtain the identified possible scenarios.</w:t>
      </w:r>
      <w:r w:rsidR="005077CB" w:rsidRPr="00D86804">
        <w:rPr>
          <w:lang w:val="en-GB"/>
        </w:rPr>
        <w:t xml:space="preserve"> To understand the potential impact of replacing LIB batteries with </w:t>
      </w:r>
      <w:r w:rsidR="00F530A9" w:rsidRPr="00D86804">
        <w:rPr>
          <w:lang w:val="en-GB"/>
        </w:rPr>
        <w:t>S</w:t>
      </w:r>
      <w:r w:rsidR="005077CB" w:rsidRPr="00D86804">
        <w:rPr>
          <w:lang w:val="en-GB"/>
        </w:rPr>
        <w:t xml:space="preserve">IBs, a comparison of risks associated with the two systems is needed. In this work, a preliminary investigation of each phase from battery production to use will be performed. Section 2 introduces the methodology used for the study; Section 3 illustrates the </w:t>
      </w:r>
      <w:r w:rsidR="00BD06D3" w:rsidRPr="00D86804">
        <w:rPr>
          <w:lang w:val="en-GB"/>
        </w:rPr>
        <w:t xml:space="preserve">investigated </w:t>
      </w:r>
      <w:r w:rsidR="005077CB" w:rsidRPr="00D86804">
        <w:rPr>
          <w:lang w:val="en-GB"/>
        </w:rPr>
        <w:t>systems and the application of the methodology to them; Section 4 presents and discusses the results of the study; finally, Section 5 reports the main conclusions and future perspectives of the work.</w:t>
      </w:r>
    </w:p>
    <w:p w14:paraId="5741900F" w14:textId="2E87206D" w:rsidR="00453E24" w:rsidRPr="00D86804" w:rsidRDefault="00D55494" w:rsidP="00453E24">
      <w:pPr>
        <w:pStyle w:val="CETHeading1"/>
      </w:pPr>
      <w:r w:rsidRPr="00D86804">
        <w:t>Methodol</w:t>
      </w:r>
      <w:r w:rsidR="00837C73" w:rsidRPr="00D86804">
        <w:t>og</w:t>
      </w:r>
      <w:r w:rsidRPr="00D86804">
        <w:t>y</w:t>
      </w:r>
    </w:p>
    <w:p w14:paraId="1069C093" w14:textId="133BA4B3" w:rsidR="00171A62" w:rsidRPr="00D86804" w:rsidRDefault="007763EB" w:rsidP="00065BDA">
      <w:pPr>
        <w:pStyle w:val="CETBodytext"/>
        <w:rPr>
          <w:lang w:val="en-GB"/>
        </w:rPr>
      </w:pPr>
      <w:r w:rsidRPr="00D86804">
        <w:rPr>
          <w:lang w:val="en-GB"/>
        </w:rPr>
        <w:t xml:space="preserve">The methodology employed in this study </w:t>
      </w:r>
      <w:r w:rsidR="00BD06D3" w:rsidRPr="00D86804">
        <w:rPr>
          <w:lang w:val="en-GB"/>
        </w:rPr>
        <w:t xml:space="preserve">is based on the analysis of the life cycle of the batteries. </w:t>
      </w:r>
      <w:r w:rsidR="00171A62" w:rsidRPr="00D86804">
        <w:t>The main steps of the methodology are the following:</w:t>
      </w:r>
      <w:r w:rsidR="0033104A" w:rsidRPr="00D86804">
        <w:t xml:space="preserve"> (1) </w:t>
      </w:r>
      <w:r w:rsidR="00171A62" w:rsidRPr="00D86804">
        <w:rPr>
          <w:lang w:val="en-GB"/>
        </w:rPr>
        <w:t xml:space="preserve">definition of system </w:t>
      </w:r>
      <w:r w:rsidR="009D0067" w:rsidRPr="00D86804">
        <w:rPr>
          <w:lang w:val="en-GB"/>
        </w:rPr>
        <w:t>b</w:t>
      </w:r>
      <w:r w:rsidR="00171A62" w:rsidRPr="00D86804">
        <w:rPr>
          <w:lang w:val="en-GB"/>
        </w:rPr>
        <w:t>oundaries</w:t>
      </w:r>
      <w:r w:rsidR="0033104A" w:rsidRPr="00D86804">
        <w:rPr>
          <w:lang w:val="en-GB"/>
        </w:rPr>
        <w:t xml:space="preserve">; (2) </w:t>
      </w:r>
      <w:r w:rsidR="00171A62" w:rsidRPr="00D86804">
        <w:rPr>
          <w:lang w:val="en-GB"/>
        </w:rPr>
        <w:t>schematisation of the battery life cycle</w:t>
      </w:r>
      <w:r w:rsidR="0033104A" w:rsidRPr="00D86804">
        <w:rPr>
          <w:lang w:val="en-GB"/>
        </w:rPr>
        <w:t xml:space="preserve">; (3) </w:t>
      </w:r>
      <w:r w:rsidR="00171A62" w:rsidRPr="00D86804">
        <w:rPr>
          <w:lang w:val="en-GB"/>
        </w:rPr>
        <w:t>description of each phase of the battery life cycle</w:t>
      </w:r>
      <w:r w:rsidR="0033104A" w:rsidRPr="00D86804">
        <w:rPr>
          <w:lang w:val="en-GB"/>
        </w:rPr>
        <w:t xml:space="preserve">; (4) </w:t>
      </w:r>
      <w:r w:rsidR="00171A62" w:rsidRPr="00D86804">
        <w:rPr>
          <w:lang w:val="en-GB"/>
        </w:rPr>
        <w:t>application of risk identification techniques</w:t>
      </w:r>
      <w:r w:rsidR="0033104A" w:rsidRPr="00D86804">
        <w:rPr>
          <w:lang w:val="en-GB"/>
        </w:rPr>
        <w:t xml:space="preserve">; (5) </w:t>
      </w:r>
      <w:r w:rsidR="00171A62" w:rsidRPr="00D86804">
        <w:rPr>
          <w:lang w:val="en-GB"/>
        </w:rPr>
        <w:t xml:space="preserve">definition of </w:t>
      </w:r>
      <w:r w:rsidR="0033104A" w:rsidRPr="00D86804">
        <w:rPr>
          <w:lang w:val="en-GB"/>
        </w:rPr>
        <w:t xml:space="preserve">risk </w:t>
      </w:r>
      <w:r w:rsidR="00171A62" w:rsidRPr="00D86804">
        <w:rPr>
          <w:lang w:val="en-GB"/>
        </w:rPr>
        <w:t>indicators</w:t>
      </w:r>
      <w:r w:rsidR="0033104A" w:rsidRPr="00D86804">
        <w:rPr>
          <w:lang w:val="en-GB"/>
        </w:rPr>
        <w:t xml:space="preserve">; (6) </w:t>
      </w:r>
      <w:r w:rsidR="00171A62" w:rsidRPr="00D86804">
        <w:rPr>
          <w:lang w:val="en-GB"/>
        </w:rPr>
        <w:t>comparative analysis of systems</w:t>
      </w:r>
      <w:r w:rsidR="0033104A" w:rsidRPr="00D86804">
        <w:rPr>
          <w:lang w:val="en-GB"/>
        </w:rPr>
        <w:t>.</w:t>
      </w:r>
    </w:p>
    <w:p w14:paraId="705A868D" w14:textId="722A3181" w:rsidR="00EC4BCB" w:rsidRPr="00D86804" w:rsidRDefault="00BD06D3" w:rsidP="0033104A">
      <w:pPr>
        <w:pStyle w:val="CETBodytext"/>
      </w:pPr>
      <w:r w:rsidRPr="00D86804">
        <w:rPr>
          <w:lang w:val="en-GB"/>
        </w:rPr>
        <w:t xml:space="preserve">It </w:t>
      </w:r>
      <w:r w:rsidR="007763EB" w:rsidRPr="00D86804">
        <w:rPr>
          <w:lang w:val="en-GB"/>
        </w:rPr>
        <w:t>begins with the definition of the system's boundaries</w:t>
      </w:r>
      <w:r w:rsidRPr="00D86804">
        <w:rPr>
          <w:lang w:val="en-GB"/>
        </w:rPr>
        <w:t xml:space="preserve"> that </w:t>
      </w:r>
      <w:r w:rsidR="007763EB" w:rsidRPr="00D86804">
        <w:rPr>
          <w:lang w:val="en-GB"/>
        </w:rPr>
        <w:t>comprise the raw materials required to produce the battery components, up to and including the production of the cathode, anode, and electrolyte solution. Subsequently,</w:t>
      </w:r>
      <w:r w:rsidR="007763EB" w:rsidRPr="00D86804">
        <w:t xml:space="preserve"> the life cycle will be constructed and the quantity of commonly used raw materials and obtained products will be estimated.</w:t>
      </w:r>
      <w:r w:rsidR="0033104A" w:rsidRPr="00D86804">
        <w:t xml:space="preserve"> </w:t>
      </w:r>
      <w:r w:rsidR="00E61BC0" w:rsidRPr="00D86804">
        <w:t xml:space="preserve">Since this preliminary study focuses on the identification of hazardous scenarios due to </w:t>
      </w:r>
      <w:r w:rsidR="008F4453" w:rsidRPr="00D86804">
        <w:t xml:space="preserve">process deviations involving </w:t>
      </w:r>
      <w:r w:rsidR="00E61BC0" w:rsidRPr="00D86804">
        <w:t>dangerous substances</w:t>
      </w:r>
      <w:r w:rsidR="00EC4BCB" w:rsidRPr="00D86804">
        <w:t xml:space="preserve"> and on a comparative risk assessment for the batteries</w:t>
      </w:r>
      <w:r w:rsidR="00E61BC0" w:rsidRPr="00D86804">
        <w:t>, the employed risk identification technique is the Hazard and Operability Analysis (HazOp)</w:t>
      </w:r>
      <w:r w:rsidR="008F4453" w:rsidRPr="00D86804">
        <w:t xml:space="preserve">, obviously a complete </w:t>
      </w:r>
      <w:r w:rsidR="00EC4BCB" w:rsidRPr="00D86804">
        <w:t xml:space="preserve">study </w:t>
      </w:r>
      <w:r w:rsidR="008F4453" w:rsidRPr="00D86804">
        <w:t xml:space="preserve">should include </w:t>
      </w:r>
      <w:r w:rsidR="00724D16" w:rsidRPr="00D86804">
        <w:t xml:space="preserve">also the identification of </w:t>
      </w:r>
      <w:r w:rsidR="008F4453" w:rsidRPr="00D86804">
        <w:t>mechanical failures</w:t>
      </w:r>
      <w:r w:rsidR="00E61BC0" w:rsidRPr="00D86804">
        <w:t xml:space="preserve">. </w:t>
      </w:r>
      <w:r w:rsidR="00EC4BCB" w:rsidRPr="00D86804">
        <w:t xml:space="preserve">The qualitative assessment has been combined with a semiquantitative approach to derive some risk indexes. </w:t>
      </w:r>
    </w:p>
    <w:p w14:paraId="1AEBB8CE" w14:textId="1D9D9710" w:rsidR="009D0067" w:rsidRPr="00D86804" w:rsidRDefault="00EF2CF7" w:rsidP="00E61BC0">
      <w:pPr>
        <w:pStyle w:val="CETBodytext"/>
      </w:pPr>
      <w:r w:rsidRPr="00D86804">
        <w:t>HazOp</w:t>
      </w:r>
      <w:r w:rsidR="00E61BC0" w:rsidRPr="00D86804">
        <w:t xml:space="preserve"> is a structured and systematic method of analyzing a complex system to identify hazards to personnel, equipment or the environment, as well as operability problems that could affect the efficiency of operations of production of cathode, anode, and electrolyte solution. </w:t>
      </w:r>
      <w:r w:rsidR="00996B29" w:rsidRPr="00D86804">
        <w:t xml:space="preserve">The technique is based on breaking down the overall process into simpler sections </w:t>
      </w:r>
      <w:r w:rsidR="00EC4BCB" w:rsidRPr="00D86804">
        <w:t>(</w:t>
      </w:r>
      <w:r w:rsidR="00996B29" w:rsidRPr="00D86804">
        <w:t>called nodes</w:t>
      </w:r>
      <w:r w:rsidR="00EC4BCB" w:rsidRPr="00D86804">
        <w:t>)</w:t>
      </w:r>
      <w:r w:rsidR="00996B29" w:rsidRPr="00D86804">
        <w:t xml:space="preserve"> that are then examined individually. </w:t>
      </w:r>
      <w:r w:rsidR="008F4453" w:rsidRPr="00D86804">
        <w:t xml:space="preserve">It is </w:t>
      </w:r>
      <w:r w:rsidRPr="00D86804">
        <w:t>a qualitative</w:t>
      </w:r>
      <w:r w:rsidR="00996B29" w:rsidRPr="00D86804">
        <w:t xml:space="preserve"> </w:t>
      </w:r>
      <w:r w:rsidR="008F4453" w:rsidRPr="00D86804">
        <w:t xml:space="preserve">technique </w:t>
      </w:r>
      <w:r w:rsidR="00996B29" w:rsidRPr="00D86804">
        <w:t>and consists of identifying process deviations through the application of standardized guide words to process parameters in which hazardous substances are involved.</w:t>
      </w:r>
    </w:p>
    <w:p w14:paraId="15D1D1E8" w14:textId="29998F19" w:rsidR="000C61FF" w:rsidRPr="00D86804" w:rsidRDefault="000C61FF" w:rsidP="000C61FF">
      <w:pPr>
        <w:pStyle w:val="CETBodytext"/>
      </w:pPr>
      <w:r w:rsidRPr="00D86804">
        <w:t xml:space="preserve">The definition of </w:t>
      </w:r>
      <w:r w:rsidR="00EC4BCB" w:rsidRPr="00D86804">
        <w:t>semiquantitative</w:t>
      </w:r>
      <w:r w:rsidRPr="00D86804">
        <w:t xml:space="preserve"> ind</w:t>
      </w:r>
      <w:r w:rsidR="006E6852" w:rsidRPr="00D86804">
        <w:t>exes</w:t>
      </w:r>
      <w:r w:rsidRPr="00D86804">
        <w:t xml:space="preserve"> </w:t>
      </w:r>
      <w:r w:rsidR="00EC4BCB" w:rsidRPr="00D86804">
        <w:t>allows</w:t>
      </w:r>
      <w:r w:rsidRPr="00D86804">
        <w:t xml:space="preserve"> a ranking </w:t>
      </w:r>
      <w:r w:rsidR="00724D16" w:rsidRPr="00D86804">
        <w:t xml:space="preserve">of the </w:t>
      </w:r>
      <w:r w:rsidRPr="00D86804">
        <w:t xml:space="preserve">identified process deviations. The indicators </w:t>
      </w:r>
      <w:r w:rsidR="00724D16" w:rsidRPr="00D86804">
        <w:t>integrate</w:t>
      </w:r>
      <w:r w:rsidRPr="00D86804">
        <w:t xml:space="preserve"> the weights of four factors that contribute </w:t>
      </w:r>
      <w:r w:rsidR="006E6852" w:rsidRPr="00D86804">
        <w:t>to the risk of the processes</w:t>
      </w:r>
      <w:r w:rsidRPr="00D86804">
        <w:t xml:space="preserve">. These factors </w:t>
      </w:r>
      <w:r w:rsidR="00EC4BCB" w:rsidRPr="00D86804">
        <w:t>are</w:t>
      </w:r>
      <w:r w:rsidRPr="00D86804">
        <w:t>:</w:t>
      </w:r>
    </w:p>
    <w:p w14:paraId="2D6E5CAB" w14:textId="5FE0F4D9" w:rsidR="000C61FF" w:rsidRPr="00D86804" w:rsidRDefault="000C61FF" w:rsidP="000C61FF">
      <w:pPr>
        <w:pStyle w:val="CETBodytext"/>
        <w:numPr>
          <w:ilvl w:val="0"/>
          <w:numId w:val="40"/>
        </w:numPr>
      </w:pPr>
      <w:bookmarkStart w:id="2" w:name="_Hlk190801148"/>
      <w:r w:rsidRPr="00D86804">
        <w:t>hazard factor for the substance involved in the process</w:t>
      </w:r>
    </w:p>
    <w:p w14:paraId="7DE5C61D" w14:textId="3B7EEA97" w:rsidR="000C61FF" w:rsidRPr="00D86804" w:rsidRDefault="000C61FF" w:rsidP="000C61FF">
      <w:pPr>
        <w:pStyle w:val="CETBodytext"/>
        <w:numPr>
          <w:ilvl w:val="0"/>
          <w:numId w:val="40"/>
        </w:numPr>
      </w:pPr>
      <w:r w:rsidRPr="00D86804">
        <w:t>probability factor for the occurrence of the scenario</w:t>
      </w:r>
    </w:p>
    <w:p w14:paraId="72EE3700" w14:textId="5BE5E42F" w:rsidR="000C61FF" w:rsidRPr="00D86804" w:rsidRDefault="000C61FF" w:rsidP="000C61FF">
      <w:pPr>
        <w:pStyle w:val="CETBodytext"/>
        <w:numPr>
          <w:ilvl w:val="0"/>
          <w:numId w:val="40"/>
        </w:numPr>
      </w:pPr>
      <w:r w:rsidRPr="00D86804">
        <w:t>consequence factor for the impact of the scenario</w:t>
      </w:r>
    </w:p>
    <w:p w14:paraId="37C0ED91" w14:textId="16ADC2F5" w:rsidR="000C61FF" w:rsidRPr="00D86804" w:rsidRDefault="000C61FF" w:rsidP="000C61FF">
      <w:pPr>
        <w:pStyle w:val="CETBodytext"/>
        <w:numPr>
          <w:ilvl w:val="0"/>
          <w:numId w:val="40"/>
        </w:numPr>
      </w:pPr>
      <w:r w:rsidRPr="00D86804">
        <w:t>prevention and/or mitigation factors</w:t>
      </w:r>
      <w:bookmarkEnd w:id="2"/>
    </w:p>
    <w:p w14:paraId="0FDC0BB5" w14:textId="62E9863F" w:rsidR="00EC4BCB" w:rsidRPr="00D86804" w:rsidRDefault="000C61FF" w:rsidP="00EC4BCB">
      <w:pPr>
        <w:pStyle w:val="CETBodytext"/>
      </w:pPr>
      <w:r w:rsidRPr="00D86804">
        <w:t xml:space="preserve">Table 1 shows the criteria for assigning </w:t>
      </w:r>
      <w:r w:rsidR="00EC4BCB" w:rsidRPr="00D86804">
        <w:t>weight</w:t>
      </w:r>
      <w:r w:rsidRPr="00D86804">
        <w:t xml:space="preserve"> to each factor and combining the contributions of each of them. The first </w:t>
      </w:r>
      <w:r w:rsidR="00686BA7" w:rsidRPr="00D86804">
        <w:t>three</w:t>
      </w:r>
      <w:r w:rsidRPr="00D86804">
        <w:t xml:space="preserve"> factors are elements that increase the hazard while the fourth is a </w:t>
      </w:r>
      <w:r w:rsidR="00686BA7" w:rsidRPr="00D86804">
        <w:t>reduction</w:t>
      </w:r>
      <w:r w:rsidRPr="00D86804">
        <w:t xml:space="preserve"> factor that can act on the probability or consequence </w:t>
      </w:r>
      <w:r w:rsidR="00686BA7" w:rsidRPr="00D86804">
        <w:t xml:space="preserve">factors </w:t>
      </w:r>
      <w:r w:rsidRPr="00D86804">
        <w:t>of the event.</w:t>
      </w:r>
      <w:r w:rsidR="00EC4BCB" w:rsidRPr="00D86804">
        <w:t xml:space="preserve"> The hazard classes for toxicity and flammability are defined in accordance with the classification defined in the Global Harmonization System; while, for explosiveness, reference is made to the criteria reported by the </w:t>
      </w:r>
      <w:r w:rsidR="00F530A9" w:rsidRPr="00D86804">
        <w:t>Health and Safety Executive (</w:t>
      </w:r>
      <w:r w:rsidR="00EC4BCB" w:rsidRPr="00D86804">
        <w:t>HSE</w:t>
      </w:r>
      <w:r w:rsidR="00F530A9" w:rsidRPr="00D86804">
        <w:t>)</w:t>
      </w:r>
      <w:r w:rsidR="00EC4BCB" w:rsidRPr="00D86804">
        <w:t>. The probability factor refers to the occurrence probability of the event (</w:t>
      </w:r>
      <w:r w:rsidR="00EC4BCB" w:rsidRPr="00D86804">
        <w:rPr>
          <w:rFonts w:asciiTheme="majorBidi" w:hAnsiTheme="majorBidi" w:cstheme="majorBidi"/>
          <w:i/>
          <w:iCs/>
          <w:szCs w:val="18"/>
          <w:lang w:val="en-GB"/>
        </w:rPr>
        <w:t>Ps</w:t>
      </w:r>
      <w:r w:rsidR="00EC4BCB" w:rsidRPr="00D86804">
        <w:t>) as indicated in the literature or by the operator's field experience, while the consequence factor is a measure of the extension of the impact area (</w:t>
      </w:r>
      <w:r w:rsidR="00EC4BCB" w:rsidRPr="00D86804">
        <w:rPr>
          <w:rFonts w:cstheme="majorBidi"/>
          <w:szCs w:val="18"/>
          <w:lang w:val="en-GB"/>
        </w:rPr>
        <w:t>i.e. radius of the impacted area in meter</w:t>
      </w:r>
      <w:r w:rsidR="00EC4BCB" w:rsidRPr="00D86804">
        <w:rPr>
          <w:rFonts w:asciiTheme="majorBidi" w:hAnsiTheme="majorBidi" w:cstheme="majorBidi"/>
          <w:i/>
          <w:iCs/>
          <w:szCs w:val="18"/>
          <w:lang w:val="en-GB"/>
        </w:rPr>
        <w:t xml:space="preserve"> r</w:t>
      </w:r>
      <w:r w:rsidR="00EC4BCB" w:rsidRPr="00D86804">
        <w:rPr>
          <w:rFonts w:cstheme="majorBidi"/>
          <w:szCs w:val="18"/>
          <w:lang w:val="en-GB"/>
        </w:rPr>
        <w:t>)</w:t>
      </w:r>
      <w:r w:rsidR="00EC4BCB" w:rsidRPr="00D86804">
        <w:t>. The prevention and mitigation factors refer to the effectiveness of the safety systems installed in preventing and mitigating the scenario respectively.</w:t>
      </w:r>
    </w:p>
    <w:p w14:paraId="53F4FA06" w14:textId="77777777" w:rsidR="00EC4BCB" w:rsidRPr="00B57B36" w:rsidRDefault="00EC4BCB" w:rsidP="00EC4BCB">
      <w:pPr>
        <w:pStyle w:val="CETTabletitle"/>
      </w:pPr>
      <w:r w:rsidRPr="00B57B36">
        <w:lastRenderedPageBreak/>
        <w:t xml:space="preserve">Table 1: </w:t>
      </w:r>
      <w:r>
        <w:t>Factors and criteria for assigning weights</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00"/>
        <w:gridCol w:w="1310"/>
        <w:gridCol w:w="1276"/>
        <w:gridCol w:w="1594"/>
        <w:gridCol w:w="1170"/>
        <w:gridCol w:w="1169"/>
        <w:gridCol w:w="1170"/>
      </w:tblGrid>
      <w:tr w:rsidR="00EC4BCB" w:rsidRPr="00B57B36" w14:paraId="333AD4DD" w14:textId="77777777" w:rsidTr="00057E7B">
        <w:tc>
          <w:tcPr>
            <w:tcW w:w="3686" w:type="dxa"/>
            <w:gridSpan w:val="3"/>
            <w:tcBorders>
              <w:top w:val="single" w:sz="12" w:space="0" w:color="008000"/>
              <w:bottom w:val="single" w:sz="4" w:space="0" w:color="008000"/>
            </w:tcBorders>
            <w:shd w:val="clear" w:color="auto" w:fill="FFFFFF"/>
          </w:tcPr>
          <w:p w14:paraId="7828A2A6" w14:textId="77777777" w:rsidR="00EC4BCB" w:rsidRPr="00B57B36" w:rsidRDefault="00EC4BCB" w:rsidP="00057E7B">
            <w:pPr>
              <w:pStyle w:val="CETBodytext"/>
              <w:ind w:right="-1"/>
              <w:jc w:val="center"/>
              <w:rPr>
                <w:rFonts w:cs="Arial"/>
                <w:szCs w:val="18"/>
                <w:lang w:val="en-GB"/>
              </w:rPr>
            </w:pPr>
            <w:bookmarkStart w:id="3" w:name="_Hlk190859810"/>
            <w:r w:rsidRPr="003A03A7">
              <w:rPr>
                <w:lang w:val="en-GB"/>
              </w:rPr>
              <w:t>Hazard factor</w:t>
            </w:r>
          </w:p>
        </w:tc>
        <w:tc>
          <w:tcPr>
            <w:tcW w:w="1594" w:type="dxa"/>
            <w:vMerge w:val="restart"/>
            <w:tcBorders>
              <w:top w:val="single" w:sz="12" w:space="0" w:color="008000"/>
            </w:tcBorders>
            <w:shd w:val="clear" w:color="auto" w:fill="FFFFFF"/>
          </w:tcPr>
          <w:p w14:paraId="5D8860F0" w14:textId="77777777" w:rsidR="00EC4BCB" w:rsidRDefault="00EC4BCB" w:rsidP="00057E7B">
            <w:pPr>
              <w:pStyle w:val="CETBodytext"/>
              <w:ind w:right="-1"/>
              <w:jc w:val="center"/>
              <w:rPr>
                <w:lang w:val="en-GB"/>
              </w:rPr>
            </w:pPr>
            <w:r w:rsidRPr="003A03A7">
              <w:rPr>
                <w:lang w:val="en-GB"/>
              </w:rPr>
              <w:t>Probability factor</w:t>
            </w:r>
          </w:p>
          <w:p w14:paraId="49F4BEC7" w14:textId="4530A7AC" w:rsidR="00CE7AF9" w:rsidRPr="00B57B36" w:rsidRDefault="00CE7AF9" w:rsidP="00057E7B">
            <w:pPr>
              <w:pStyle w:val="CETBodytext"/>
              <w:ind w:right="-1"/>
              <w:jc w:val="center"/>
              <w:rPr>
                <w:rFonts w:cs="Arial"/>
                <w:szCs w:val="18"/>
                <w:lang w:val="en-GB"/>
              </w:rPr>
            </w:pPr>
            <w:r>
              <w:rPr>
                <w:lang w:val="en-GB"/>
              </w:rPr>
              <w:t>PF</w:t>
            </w:r>
          </w:p>
        </w:tc>
        <w:tc>
          <w:tcPr>
            <w:tcW w:w="1170" w:type="dxa"/>
            <w:vMerge w:val="restart"/>
            <w:tcBorders>
              <w:top w:val="single" w:sz="12" w:space="0" w:color="008000"/>
            </w:tcBorders>
            <w:shd w:val="clear" w:color="auto" w:fill="FFFFFF"/>
          </w:tcPr>
          <w:p w14:paraId="1A1210A4" w14:textId="77777777" w:rsidR="00EC4BCB" w:rsidRDefault="00EC4BCB" w:rsidP="00057E7B">
            <w:pPr>
              <w:pStyle w:val="CETBodytext"/>
              <w:ind w:right="-1"/>
              <w:jc w:val="center"/>
              <w:rPr>
                <w:lang w:val="en-GB"/>
              </w:rPr>
            </w:pPr>
            <w:r w:rsidRPr="003A03A7">
              <w:rPr>
                <w:lang w:val="en-GB"/>
              </w:rPr>
              <w:t>Consequence factor</w:t>
            </w:r>
          </w:p>
          <w:p w14:paraId="4D47B787" w14:textId="28215142" w:rsidR="00CE7AF9" w:rsidRPr="00B57B36" w:rsidRDefault="00CE7AF9" w:rsidP="00057E7B">
            <w:pPr>
              <w:pStyle w:val="CETBodytext"/>
              <w:ind w:right="-1"/>
              <w:jc w:val="center"/>
              <w:rPr>
                <w:rFonts w:cs="Arial"/>
                <w:szCs w:val="18"/>
                <w:lang w:val="en-GB"/>
              </w:rPr>
            </w:pPr>
            <w:r>
              <w:rPr>
                <w:lang w:val="en-GB"/>
              </w:rPr>
              <w:t>CF</w:t>
            </w:r>
          </w:p>
        </w:tc>
        <w:tc>
          <w:tcPr>
            <w:tcW w:w="1169" w:type="dxa"/>
            <w:vMerge w:val="restart"/>
            <w:tcBorders>
              <w:top w:val="single" w:sz="12" w:space="0" w:color="008000"/>
            </w:tcBorders>
            <w:shd w:val="clear" w:color="auto" w:fill="FFFFFF"/>
          </w:tcPr>
          <w:p w14:paraId="10BA1443" w14:textId="3A396770" w:rsidR="00EC4BCB" w:rsidRDefault="00EC4BCB" w:rsidP="00057E7B">
            <w:pPr>
              <w:pStyle w:val="CETBodytext"/>
              <w:ind w:right="-1"/>
              <w:jc w:val="center"/>
              <w:rPr>
                <w:rFonts w:cs="Arial"/>
                <w:szCs w:val="18"/>
                <w:lang w:val="en-GB"/>
              </w:rPr>
            </w:pPr>
            <w:r>
              <w:rPr>
                <w:rFonts w:cs="Arial"/>
                <w:szCs w:val="18"/>
                <w:lang w:val="en-GB"/>
              </w:rPr>
              <w:t>Prevention factor</w:t>
            </w:r>
            <w:r w:rsidR="00CE7AF9">
              <w:rPr>
                <w:rFonts w:cs="Arial"/>
                <w:szCs w:val="18"/>
                <w:lang w:val="en-GB"/>
              </w:rPr>
              <w:t xml:space="preserve"> </w:t>
            </w:r>
          </w:p>
          <w:p w14:paraId="53588AB6" w14:textId="29B23075" w:rsidR="00CE7AF9" w:rsidRPr="00B57B36" w:rsidRDefault="00CE7AF9" w:rsidP="00057E7B">
            <w:pPr>
              <w:pStyle w:val="CETBodytext"/>
              <w:ind w:right="-1"/>
              <w:jc w:val="center"/>
              <w:rPr>
                <w:rFonts w:cs="Arial"/>
                <w:szCs w:val="18"/>
                <w:lang w:val="en-GB"/>
              </w:rPr>
            </w:pPr>
            <w:r>
              <w:rPr>
                <w:rFonts w:cs="Arial"/>
                <w:szCs w:val="18"/>
                <w:lang w:val="en-GB"/>
              </w:rPr>
              <w:t>PM</w:t>
            </w:r>
          </w:p>
        </w:tc>
        <w:tc>
          <w:tcPr>
            <w:tcW w:w="1170" w:type="dxa"/>
            <w:vMerge w:val="restart"/>
            <w:tcBorders>
              <w:top w:val="single" w:sz="12" w:space="0" w:color="008000"/>
            </w:tcBorders>
            <w:shd w:val="clear" w:color="auto" w:fill="FFFFFF"/>
          </w:tcPr>
          <w:p w14:paraId="3F3C8435" w14:textId="6F09084F" w:rsidR="00EC4BCB" w:rsidRDefault="00EC4BCB" w:rsidP="00057E7B">
            <w:pPr>
              <w:pStyle w:val="CETBodytext"/>
              <w:ind w:right="-1"/>
              <w:jc w:val="center"/>
              <w:rPr>
                <w:rFonts w:cs="Arial"/>
                <w:szCs w:val="18"/>
                <w:lang w:val="en-GB"/>
              </w:rPr>
            </w:pPr>
            <w:r>
              <w:rPr>
                <w:rFonts w:cs="Arial"/>
                <w:szCs w:val="18"/>
                <w:lang w:val="en-GB"/>
              </w:rPr>
              <w:t>Mitigation facto</w:t>
            </w:r>
            <w:r w:rsidR="002950E2">
              <w:rPr>
                <w:rFonts w:cs="Arial"/>
                <w:szCs w:val="18"/>
                <w:lang w:val="en-GB"/>
              </w:rPr>
              <w:t>r</w:t>
            </w:r>
          </w:p>
          <w:p w14:paraId="06CE4BB3" w14:textId="007EA5D2" w:rsidR="00CE7AF9" w:rsidRPr="00B57B36" w:rsidRDefault="00CE7AF9" w:rsidP="00057E7B">
            <w:pPr>
              <w:pStyle w:val="CETBodytext"/>
              <w:ind w:right="-1"/>
              <w:jc w:val="center"/>
              <w:rPr>
                <w:rFonts w:cs="Arial"/>
                <w:szCs w:val="18"/>
                <w:lang w:val="en-GB"/>
              </w:rPr>
            </w:pPr>
            <w:r>
              <w:rPr>
                <w:rFonts w:cs="Arial"/>
                <w:szCs w:val="18"/>
                <w:lang w:val="en-GB"/>
              </w:rPr>
              <w:t>MM</w:t>
            </w:r>
          </w:p>
        </w:tc>
      </w:tr>
      <w:tr w:rsidR="00EC4BCB" w:rsidRPr="00B57B36" w14:paraId="06F5C6D1" w14:textId="77777777" w:rsidTr="004B3C61">
        <w:tc>
          <w:tcPr>
            <w:tcW w:w="1100" w:type="dxa"/>
            <w:tcBorders>
              <w:top w:val="single" w:sz="4" w:space="0" w:color="008000"/>
              <w:bottom w:val="single" w:sz="6" w:space="0" w:color="008000"/>
            </w:tcBorders>
            <w:shd w:val="clear" w:color="auto" w:fill="FFFFFF"/>
          </w:tcPr>
          <w:p w14:paraId="7304FD05" w14:textId="5F50401E" w:rsidR="00EC4BCB" w:rsidRPr="00B57B36" w:rsidRDefault="00EC4BCB" w:rsidP="00057E7B">
            <w:pPr>
              <w:pStyle w:val="CETBodytext"/>
              <w:jc w:val="center"/>
              <w:rPr>
                <w:lang w:val="en-GB"/>
              </w:rPr>
            </w:pPr>
            <w:r>
              <w:rPr>
                <w:lang w:val="en-GB"/>
              </w:rPr>
              <w:t>Toxicity*</w:t>
            </w:r>
            <w:r w:rsidR="00CE7AF9">
              <w:rPr>
                <w:lang w:val="en-GB"/>
              </w:rPr>
              <w:t xml:space="preserve"> T</w:t>
            </w:r>
          </w:p>
        </w:tc>
        <w:tc>
          <w:tcPr>
            <w:tcW w:w="1310" w:type="dxa"/>
            <w:tcBorders>
              <w:top w:val="single" w:sz="4" w:space="0" w:color="008000"/>
              <w:bottom w:val="single" w:sz="6" w:space="0" w:color="008000"/>
            </w:tcBorders>
            <w:shd w:val="clear" w:color="auto" w:fill="FFFFFF"/>
          </w:tcPr>
          <w:p w14:paraId="216BA7BF" w14:textId="0135FCF8" w:rsidR="00EC4BCB" w:rsidRPr="00B57B36" w:rsidRDefault="00EC4BCB" w:rsidP="00057E7B">
            <w:pPr>
              <w:pStyle w:val="CETBodytext"/>
              <w:jc w:val="center"/>
              <w:rPr>
                <w:lang w:val="en-GB"/>
              </w:rPr>
            </w:pPr>
            <w:r>
              <w:rPr>
                <w:lang w:val="en-GB"/>
              </w:rPr>
              <w:t>Flammability*</w:t>
            </w:r>
            <w:r w:rsidR="00CE7AF9">
              <w:rPr>
                <w:lang w:val="en-GB"/>
              </w:rPr>
              <w:t xml:space="preserve"> F</w:t>
            </w:r>
          </w:p>
        </w:tc>
        <w:tc>
          <w:tcPr>
            <w:tcW w:w="1276" w:type="dxa"/>
            <w:tcBorders>
              <w:top w:val="single" w:sz="4" w:space="0" w:color="008000"/>
              <w:bottom w:val="single" w:sz="6" w:space="0" w:color="008000"/>
            </w:tcBorders>
            <w:shd w:val="clear" w:color="auto" w:fill="FFFFFF"/>
          </w:tcPr>
          <w:p w14:paraId="3A0F18D6" w14:textId="04026198" w:rsidR="00EC4BCB" w:rsidRPr="00B57B36" w:rsidRDefault="00EC4BCB" w:rsidP="00057E7B">
            <w:pPr>
              <w:pStyle w:val="CETBodytext"/>
              <w:ind w:right="-1"/>
              <w:jc w:val="center"/>
              <w:rPr>
                <w:rFonts w:cs="Arial"/>
                <w:szCs w:val="18"/>
                <w:lang w:val="en-GB"/>
              </w:rPr>
            </w:pPr>
            <w:r>
              <w:rPr>
                <w:rFonts w:cs="Arial"/>
                <w:szCs w:val="18"/>
                <w:lang w:val="en-GB"/>
              </w:rPr>
              <w:t>Explosivity**</w:t>
            </w:r>
            <w:r w:rsidR="00CE7AF9">
              <w:rPr>
                <w:rFonts w:cs="Arial"/>
                <w:szCs w:val="18"/>
                <w:lang w:val="en-GB"/>
              </w:rPr>
              <w:t xml:space="preserve"> E</w:t>
            </w:r>
          </w:p>
        </w:tc>
        <w:tc>
          <w:tcPr>
            <w:tcW w:w="1594" w:type="dxa"/>
            <w:vMerge/>
            <w:tcBorders>
              <w:bottom w:val="single" w:sz="6" w:space="0" w:color="008000"/>
            </w:tcBorders>
            <w:shd w:val="clear" w:color="auto" w:fill="FFFFFF"/>
          </w:tcPr>
          <w:p w14:paraId="7038AA66" w14:textId="77777777" w:rsidR="00EC4BCB" w:rsidRPr="00B57B36" w:rsidRDefault="00EC4BCB" w:rsidP="00057E7B">
            <w:pPr>
              <w:pStyle w:val="CETBodytext"/>
              <w:ind w:right="-1"/>
              <w:rPr>
                <w:rFonts w:cs="Arial"/>
                <w:szCs w:val="18"/>
                <w:lang w:val="en-GB"/>
              </w:rPr>
            </w:pPr>
          </w:p>
        </w:tc>
        <w:tc>
          <w:tcPr>
            <w:tcW w:w="1170" w:type="dxa"/>
            <w:vMerge/>
            <w:tcBorders>
              <w:bottom w:val="single" w:sz="6" w:space="0" w:color="008000"/>
            </w:tcBorders>
            <w:shd w:val="clear" w:color="auto" w:fill="FFFFFF"/>
          </w:tcPr>
          <w:p w14:paraId="48EDF108" w14:textId="77777777" w:rsidR="00EC4BCB" w:rsidRPr="00B57B36" w:rsidRDefault="00EC4BCB" w:rsidP="00057E7B">
            <w:pPr>
              <w:pStyle w:val="CETBodytext"/>
              <w:ind w:right="-1"/>
              <w:rPr>
                <w:rFonts w:cs="Arial"/>
                <w:szCs w:val="18"/>
                <w:lang w:val="en-GB"/>
              </w:rPr>
            </w:pPr>
          </w:p>
        </w:tc>
        <w:tc>
          <w:tcPr>
            <w:tcW w:w="1169" w:type="dxa"/>
            <w:vMerge/>
            <w:tcBorders>
              <w:bottom w:val="single" w:sz="6" w:space="0" w:color="008000"/>
            </w:tcBorders>
            <w:shd w:val="clear" w:color="auto" w:fill="FFFFFF"/>
          </w:tcPr>
          <w:p w14:paraId="6B44A1FC" w14:textId="77777777" w:rsidR="00EC4BCB" w:rsidRPr="00B57B36" w:rsidRDefault="00EC4BCB" w:rsidP="00057E7B">
            <w:pPr>
              <w:pStyle w:val="CETBodytext"/>
              <w:ind w:right="-1"/>
              <w:jc w:val="center"/>
              <w:rPr>
                <w:rFonts w:cs="Arial"/>
                <w:szCs w:val="18"/>
                <w:lang w:val="en-GB"/>
              </w:rPr>
            </w:pPr>
          </w:p>
        </w:tc>
        <w:tc>
          <w:tcPr>
            <w:tcW w:w="1170" w:type="dxa"/>
            <w:vMerge/>
            <w:tcBorders>
              <w:bottom w:val="single" w:sz="6" w:space="0" w:color="008000"/>
            </w:tcBorders>
            <w:shd w:val="clear" w:color="auto" w:fill="FFFFFF"/>
          </w:tcPr>
          <w:p w14:paraId="430737D5" w14:textId="77777777" w:rsidR="00EC4BCB" w:rsidRPr="00B57B36" w:rsidRDefault="00EC4BCB" w:rsidP="00057E7B">
            <w:pPr>
              <w:pStyle w:val="CETBodytext"/>
              <w:ind w:right="-1"/>
              <w:jc w:val="center"/>
              <w:rPr>
                <w:rFonts w:cs="Arial"/>
                <w:szCs w:val="18"/>
                <w:lang w:val="en-GB"/>
              </w:rPr>
            </w:pPr>
          </w:p>
        </w:tc>
      </w:tr>
      <w:tr w:rsidR="002950E2" w:rsidRPr="00B57B36" w14:paraId="3634B9DB" w14:textId="77777777" w:rsidTr="004B3C61">
        <w:tc>
          <w:tcPr>
            <w:tcW w:w="1100" w:type="dxa"/>
            <w:shd w:val="clear" w:color="auto" w:fill="FFFFFF"/>
          </w:tcPr>
          <w:p w14:paraId="1DD8EAA3" w14:textId="77777777" w:rsidR="002950E2" w:rsidRPr="00B57B36" w:rsidRDefault="002950E2" w:rsidP="00057E7B">
            <w:pPr>
              <w:pStyle w:val="CETBodytext"/>
              <w:jc w:val="center"/>
              <w:rPr>
                <w:lang w:val="en-GB"/>
              </w:rPr>
            </w:pPr>
            <w:r>
              <w:rPr>
                <w:rFonts w:cs="Arial"/>
                <w:szCs w:val="18"/>
                <w:lang w:val="en-GB"/>
              </w:rPr>
              <w:t>1</w:t>
            </w:r>
            <w:r>
              <w:rPr>
                <w:rFonts w:asciiTheme="minorBidi" w:hAnsiTheme="minorBidi" w:cstheme="minorBidi"/>
              </w:rPr>
              <w:sym w:font="Symbol" w:char="F020"/>
            </w:r>
            <w:r>
              <w:rPr>
                <w:rFonts w:asciiTheme="minorBidi" w:hAnsiTheme="minorBidi" w:cstheme="minorBidi"/>
              </w:rPr>
              <w:sym w:font="Symbol" w:char="F0DE"/>
            </w:r>
            <w:r w:rsidRPr="004E4347">
              <w:rPr>
                <w:rFonts w:cs="Arial"/>
                <w:szCs w:val="18"/>
                <w:lang w:val="en-GB"/>
              </w:rPr>
              <w:t xml:space="preserve">Category </w:t>
            </w:r>
            <w:r>
              <w:rPr>
                <w:rFonts w:cs="Arial"/>
                <w:szCs w:val="18"/>
                <w:lang w:val="en-GB"/>
              </w:rPr>
              <w:t>4</w:t>
            </w:r>
          </w:p>
        </w:tc>
        <w:tc>
          <w:tcPr>
            <w:tcW w:w="1310" w:type="dxa"/>
            <w:shd w:val="clear" w:color="auto" w:fill="FFFFFF"/>
          </w:tcPr>
          <w:p w14:paraId="25AE3739" w14:textId="77777777" w:rsidR="002950E2" w:rsidRDefault="002950E2" w:rsidP="00057E7B">
            <w:pPr>
              <w:pStyle w:val="CETBodytext"/>
              <w:ind w:right="-1"/>
              <w:jc w:val="center"/>
            </w:pPr>
            <w:r>
              <w:rPr>
                <w:rFonts w:asciiTheme="minorBidi" w:hAnsiTheme="minorBidi" w:cstheme="minorBidi"/>
              </w:rPr>
              <w:t>1</w:t>
            </w:r>
            <w:r>
              <w:rPr>
                <w:rFonts w:asciiTheme="minorBidi" w:hAnsiTheme="minorBidi" w:cstheme="minorBidi"/>
              </w:rPr>
              <w:sym w:font="Symbol" w:char="F020"/>
            </w:r>
            <w:r>
              <w:rPr>
                <w:rFonts w:asciiTheme="minorBidi" w:hAnsiTheme="minorBidi" w:cstheme="minorBidi"/>
              </w:rPr>
              <w:sym w:font="Symbol" w:char="F0DE"/>
            </w:r>
            <w:r w:rsidRPr="00217511">
              <w:rPr>
                <w:rFonts w:asciiTheme="majorBidi" w:hAnsiTheme="majorBidi" w:cstheme="majorBidi"/>
                <w:i/>
                <w:iCs/>
              </w:rPr>
              <w:t>T</w:t>
            </w:r>
            <w:r w:rsidRPr="00217511">
              <w:rPr>
                <w:rFonts w:asciiTheme="majorBidi" w:hAnsiTheme="majorBidi" w:cstheme="majorBidi"/>
                <w:i/>
                <w:iCs/>
                <w:vertAlign w:val="subscript"/>
              </w:rPr>
              <w:t>f</w:t>
            </w:r>
            <w:r w:rsidRPr="00217511">
              <w:t xml:space="preserve">  </w:t>
            </w:r>
            <w:r>
              <w:sym w:font="Symbol" w:char="F0B3"/>
            </w:r>
            <w:r w:rsidRPr="00C86E1D">
              <w:t xml:space="preserve"> </w:t>
            </w:r>
            <w:r>
              <w:t>60</w:t>
            </w:r>
            <w:r w:rsidRPr="00C86E1D">
              <w:t>°C</w:t>
            </w:r>
          </w:p>
          <w:p w14:paraId="27894E8A" w14:textId="77777777" w:rsidR="002950E2" w:rsidRPr="00B57B36" w:rsidRDefault="002950E2" w:rsidP="00057E7B">
            <w:pPr>
              <w:pStyle w:val="CETBodytext"/>
              <w:jc w:val="center"/>
              <w:rPr>
                <w:lang w:val="en-GB"/>
              </w:rPr>
            </w:pPr>
            <w:r>
              <w:rPr>
                <w:rFonts w:asciiTheme="minorBidi" w:hAnsiTheme="minorBidi" w:cstheme="minorBidi"/>
              </w:rPr>
              <w:t>a</w:t>
            </w:r>
            <w:r w:rsidRPr="00057E7B">
              <w:rPr>
                <w:rFonts w:asciiTheme="minorBidi" w:hAnsiTheme="minorBidi" w:cstheme="minorBidi"/>
              </w:rPr>
              <w:t>nd</w:t>
            </w:r>
            <w:r>
              <w:rPr>
                <w:rFonts w:asciiTheme="majorBidi" w:hAnsiTheme="majorBidi" w:cstheme="majorBidi"/>
                <w:i/>
                <w:iCs/>
              </w:rPr>
              <w:t xml:space="preserve"> </w:t>
            </w:r>
            <w:r w:rsidRPr="00217511">
              <w:rPr>
                <w:rFonts w:asciiTheme="majorBidi" w:hAnsiTheme="majorBidi" w:cstheme="majorBidi"/>
                <w:i/>
                <w:iCs/>
              </w:rPr>
              <w:t>T</w:t>
            </w:r>
            <w:r w:rsidRPr="00217511">
              <w:rPr>
                <w:rFonts w:asciiTheme="majorBidi" w:hAnsiTheme="majorBidi" w:cstheme="majorBidi"/>
                <w:i/>
                <w:iCs/>
                <w:vertAlign w:val="subscript"/>
              </w:rPr>
              <w:t>ib</w:t>
            </w:r>
            <w:r w:rsidRPr="00217511">
              <w:t xml:space="preserve"> </w:t>
            </w:r>
            <w:r w:rsidRPr="00217511">
              <w:sym w:font="Symbol" w:char="F0A3"/>
            </w:r>
            <w:r w:rsidRPr="00217511">
              <w:t xml:space="preserve"> </w:t>
            </w:r>
            <w:r>
              <w:t>93</w:t>
            </w:r>
            <w:r w:rsidRPr="00217511">
              <w:t>°C</w:t>
            </w:r>
          </w:p>
        </w:tc>
        <w:tc>
          <w:tcPr>
            <w:tcW w:w="1276" w:type="dxa"/>
            <w:shd w:val="clear" w:color="auto" w:fill="FFFFFF"/>
          </w:tcPr>
          <w:p w14:paraId="5996CCE3" w14:textId="77777777" w:rsidR="002950E2" w:rsidRPr="00B57B36" w:rsidRDefault="002950E2" w:rsidP="00057E7B">
            <w:pPr>
              <w:pStyle w:val="CETBodytext"/>
              <w:ind w:right="-1"/>
              <w:jc w:val="center"/>
              <w:rPr>
                <w:rFonts w:cs="Arial"/>
                <w:szCs w:val="18"/>
                <w:lang w:val="en-GB"/>
              </w:rPr>
            </w:pPr>
            <w:r>
              <w:rPr>
                <w:rFonts w:cs="Arial"/>
                <w:szCs w:val="18"/>
                <w:lang w:val="en-GB"/>
              </w:rPr>
              <w:t>1</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Class 4</w:t>
            </w:r>
          </w:p>
        </w:tc>
        <w:tc>
          <w:tcPr>
            <w:tcW w:w="1594" w:type="dxa"/>
            <w:shd w:val="clear" w:color="auto" w:fill="FFFFFF"/>
          </w:tcPr>
          <w:p w14:paraId="093F089E" w14:textId="77777777" w:rsidR="002950E2" w:rsidRPr="00B57B36" w:rsidRDefault="002950E2" w:rsidP="00057E7B">
            <w:pPr>
              <w:pStyle w:val="CETBodytext"/>
              <w:ind w:right="-1"/>
              <w:jc w:val="center"/>
              <w:rPr>
                <w:rFonts w:cs="Arial"/>
                <w:szCs w:val="18"/>
                <w:lang w:val="en-GB"/>
              </w:rPr>
            </w:pPr>
            <w:r>
              <w:rPr>
                <w:rFonts w:cs="Arial"/>
                <w:szCs w:val="18"/>
                <w:lang w:val="en-GB"/>
              </w:rPr>
              <w:t>1</w:t>
            </w:r>
            <w:r>
              <w:rPr>
                <w:rFonts w:asciiTheme="minorBidi" w:hAnsiTheme="minorBidi" w:cstheme="minorBidi"/>
              </w:rPr>
              <w:sym w:font="Symbol" w:char="F020"/>
            </w:r>
            <w:r>
              <w:rPr>
                <w:rFonts w:asciiTheme="minorBidi" w:hAnsiTheme="minorBidi" w:cstheme="minorBidi"/>
              </w:rPr>
              <w:sym w:font="Symbol" w:char="F0DE"/>
            </w:r>
            <w:r w:rsidRPr="00217511">
              <w:rPr>
                <w:rFonts w:asciiTheme="majorBidi" w:hAnsiTheme="majorBidi" w:cstheme="majorBidi"/>
                <w:i/>
                <w:iCs/>
                <w:szCs w:val="18"/>
                <w:lang w:val="en-GB"/>
              </w:rPr>
              <w:t>Ps</w:t>
            </w:r>
            <w:r>
              <w:rPr>
                <w:rFonts w:asciiTheme="minorBidi" w:hAnsiTheme="minorBidi" w:cstheme="minorBidi"/>
                <w:szCs w:val="18"/>
                <w:lang w:val="en-GB"/>
              </w:rPr>
              <w:t xml:space="preserve"> &lt; </w:t>
            </w:r>
            <w:r w:rsidRPr="00CD5EC6">
              <w:rPr>
                <w:rFonts w:asciiTheme="minorBidi" w:hAnsiTheme="minorBidi" w:cstheme="minorBidi"/>
                <w:szCs w:val="18"/>
                <w:lang w:val="en-GB"/>
              </w:rPr>
              <w:t>10</w:t>
            </w:r>
            <w:r>
              <w:rPr>
                <w:rFonts w:cs="Arial"/>
                <w:szCs w:val="18"/>
                <w:vertAlign w:val="superscript"/>
                <w:lang w:val="en-GB"/>
              </w:rPr>
              <w:t>-6</w:t>
            </w:r>
          </w:p>
        </w:tc>
        <w:tc>
          <w:tcPr>
            <w:tcW w:w="1170" w:type="dxa"/>
            <w:shd w:val="clear" w:color="auto" w:fill="FFFFFF"/>
          </w:tcPr>
          <w:p w14:paraId="523A5B4E" w14:textId="77777777" w:rsidR="002950E2" w:rsidRPr="00B57B36" w:rsidRDefault="002950E2" w:rsidP="00057E7B">
            <w:pPr>
              <w:pStyle w:val="CETBodytext"/>
              <w:ind w:right="-1"/>
              <w:jc w:val="center"/>
              <w:rPr>
                <w:rFonts w:cs="Arial"/>
                <w:szCs w:val="18"/>
                <w:lang w:val="en-GB"/>
              </w:rPr>
            </w:pPr>
            <w:r>
              <w:rPr>
                <w:rFonts w:cs="Arial"/>
                <w:szCs w:val="18"/>
                <w:lang w:val="en-GB"/>
              </w:rPr>
              <w:t>1</w:t>
            </w:r>
            <w:r>
              <w:rPr>
                <w:rFonts w:asciiTheme="minorBidi" w:hAnsiTheme="minorBidi" w:cstheme="minorBidi"/>
              </w:rPr>
              <w:sym w:font="Symbol" w:char="F020"/>
            </w:r>
            <w:r>
              <w:rPr>
                <w:rFonts w:asciiTheme="minorBidi" w:hAnsiTheme="minorBidi" w:cstheme="minorBidi"/>
              </w:rPr>
              <w:sym w:font="Symbol" w:char="F0DE"/>
            </w:r>
            <w:r>
              <w:rPr>
                <w:rFonts w:asciiTheme="majorBidi" w:hAnsiTheme="majorBidi" w:cstheme="majorBidi"/>
                <w:i/>
                <w:iCs/>
                <w:szCs w:val="18"/>
                <w:lang w:val="en-GB"/>
              </w:rPr>
              <w:t xml:space="preserve">r </w:t>
            </w:r>
            <w:r>
              <w:rPr>
                <w:rFonts w:cstheme="majorBidi"/>
                <w:szCs w:val="18"/>
                <w:lang w:val="en-GB"/>
              </w:rPr>
              <w:t>= 0</w:t>
            </w:r>
          </w:p>
        </w:tc>
        <w:tc>
          <w:tcPr>
            <w:tcW w:w="1169" w:type="dxa"/>
            <w:vMerge w:val="restart"/>
            <w:shd w:val="clear" w:color="auto" w:fill="FFFFFF"/>
            <w:vAlign w:val="center"/>
          </w:tcPr>
          <w:p w14:paraId="23CDAB3C" w14:textId="0AFB08C2" w:rsidR="002950E2" w:rsidRPr="00B57B36" w:rsidRDefault="00C16240" w:rsidP="002950E2">
            <w:pPr>
              <w:pStyle w:val="CETBodytext"/>
              <w:ind w:right="-1"/>
              <w:jc w:val="center"/>
              <w:rPr>
                <w:rFonts w:cs="Arial"/>
                <w:szCs w:val="18"/>
                <w:lang w:val="en-GB"/>
              </w:rPr>
            </w:pPr>
            <w:r>
              <w:rPr>
                <w:rFonts w:cs="Arial"/>
                <w:szCs w:val="18"/>
                <w:lang w:val="en-GB"/>
              </w:rPr>
              <w:t xml:space="preserve">1 – </w:t>
            </w:r>
            <w:r w:rsidR="003E3AD1">
              <w:rPr>
                <w:rFonts w:cs="Arial"/>
                <w:szCs w:val="18"/>
                <w:lang w:val="en-GB"/>
              </w:rPr>
              <w:t xml:space="preserve">efficiency </w:t>
            </w:r>
            <w:r w:rsidR="002950E2">
              <w:rPr>
                <w:rFonts w:cs="Arial"/>
                <w:szCs w:val="18"/>
                <w:lang w:val="en-GB"/>
              </w:rPr>
              <w:t>in preventing the event</w:t>
            </w:r>
          </w:p>
        </w:tc>
        <w:tc>
          <w:tcPr>
            <w:tcW w:w="1170" w:type="dxa"/>
            <w:vMerge w:val="restart"/>
            <w:shd w:val="clear" w:color="auto" w:fill="FFFFFF"/>
            <w:vAlign w:val="center"/>
          </w:tcPr>
          <w:p w14:paraId="242EE5DB" w14:textId="5B8BBD9C" w:rsidR="002950E2" w:rsidRPr="00B57B36" w:rsidRDefault="00C16240" w:rsidP="00057E7B">
            <w:pPr>
              <w:pStyle w:val="CETBodytext"/>
              <w:ind w:right="-1"/>
              <w:jc w:val="center"/>
              <w:rPr>
                <w:rFonts w:cs="Arial"/>
                <w:szCs w:val="18"/>
                <w:lang w:val="en-GB"/>
              </w:rPr>
            </w:pPr>
            <w:r>
              <w:rPr>
                <w:rFonts w:cs="Arial"/>
                <w:szCs w:val="18"/>
                <w:lang w:val="en-GB"/>
              </w:rPr>
              <w:t xml:space="preserve">1 – </w:t>
            </w:r>
            <w:r w:rsidR="003E3AD1">
              <w:rPr>
                <w:rFonts w:cs="Arial"/>
                <w:szCs w:val="18"/>
                <w:lang w:val="en-GB"/>
              </w:rPr>
              <w:t xml:space="preserve">efficiency </w:t>
            </w:r>
            <w:r w:rsidR="002950E2">
              <w:rPr>
                <w:rFonts w:cs="Arial"/>
                <w:szCs w:val="18"/>
                <w:lang w:val="en-GB"/>
              </w:rPr>
              <w:t>in mitigating the event</w:t>
            </w:r>
          </w:p>
        </w:tc>
      </w:tr>
      <w:tr w:rsidR="002950E2" w:rsidRPr="00B57B36" w14:paraId="70DD4B77" w14:textId="77777777" w:rsidTr="004B3C61">
        <w:tc>
          <w:tcPr>
            <w:tcW w:w="1100" w:type="dxa"/>
            <w:shd w:val="clear" w:color="auto" w:fill="FFFFFF"/>
          </w:tcPr>
          <w:p w14:paraId="1FCAE259" w14:textId="77777777" w:rsidR="002950E2" w:rsidRPr="00B57B36" w:rsidRDefault="002950E2" w:rsidP="00057E7B">
            <w:pPr>
              <w:pStyle w:val="CETBodytext"/>
              <w:jc w:val="center"/>
              <w:rPr>
                <w:lang w:val="en-GB"/>
              </w:rPr>
            </w:pPr>
            <w:r>
              <w:rPr>
                <w:rFonts w:cs="Arial"/>
                <w:szCs w:val="18"/>
                <w:lang w:val="en-GB"/>
              </w:rPr>
              <w:t>2</w:t>
            </w:r>
            <w:r>
              <w:rPr>
                <w:rFonts w:asciiTheme="minorBidi" w:hAnsiTheme="minorBidi" w:cstheme="minorBidi"/>
              </w:rPr>
              <w:sym w:font="Symbol" w:char="F020"/>
            </w:r>
            <w:r>
              <w:rPr>
                <w:rFonts w:asciiTheme="minorBidi" w:hAnsiTheme="minorBidi" w:cstheme="minorBidi"/>
              </w:rPr>
              <w:sym w:font="Symbol" w:char="F0DE"/>
            </w:r>
            <w:r w:rsidRPr="004E4347">
              <w:rPr>
                <w:rFonts w:cs="Arial"/>
                <w:szCs w:val="18"/>
                <w:lang w:val="en-GB"/>
              </w:rPr>
              <w:t xml:space="preserve">Category </w:t>
            </w:r>
            <w:r>
              <w:rPr>
                <w:rFonts w:cs="Arial"/>
                <w:szCs w:val="18"/>
                <w:lang w:val="en-GB"/>
              </w:rPr>
              <w:t>3</w:t>
            </w:r>
          </w:p>
        </w:tc>
        <w:tc>
          <w:tcPr>
            <w:tcW w:w="1310" w:type="dxa"/>
            <w:shd w:val="clear" w:color="auto" w:fill="FFFFFF"/>
          </w:tcPr>
          <w:p w14:paraId="455A375D" w14:textId="77777777" w:rsidR="002950E2" w:rsidRDefault="002950E2" w:rsidP="00057E7B">
            <w:pPr>
              <w:pStyle w:val="CETBodytext"/>
              <w:jc w:val="center"/>
            </w:pPr>
            <w:r>
              <w:rPr>
                <w:rFonts w:asciiTheme="minorBidi" w:hAnsiTheme="minorBidi" w:cstheme="minorBidi"/>
              </w:rPr>
              <w:t>2</w:t>
            </w:r>
            <w:r>
              <w:rPr>
                <w:rFonts w:asciiTheme="minorBidi" w:hAnsiTheme="minorBidi" w:cstheme="minorBidi"/>
              </w:rPr>
              <w:sym w:font="Symbol" w:char="F020"/>
            </w:r>
            <w:r>
              <w:rPr>
                <w:rFonts w:asciiTheme="minorBidi" w:hAnsiTheme="minorBidi" w:cstheme="minorBidi"/>
              </w:rPr>
              <w:sym w:font="Symbol" w:char="F0DE"/>
            </w:r>
            <w:r w:rsidRPr="00217511">
              <w:rPr>
                <w:rFonts w:asciiTheme="majorBidi" w:hAnsiTheme="majorBidi" w:cstheme="majorBidi"/>
                <w:i/>
                <w:iCs/>
              </w:rPr>
              <w:t>T</w:t>
            </w:r>
            <w:r w:rsidRPr="00217511">
              <w:rPr>
                <w:rFonts w:asciiTheme="majorBidi" w:hAnsiTheme="majorBidi" w:cstheme="majorBidi"/>
                <w:i/>
                <w:iCs/>
                <w:vertAlign w:val="subscript"/>
              </w:rPr>
              <w:t>f</w:t>
            </w:r>
            <w:r w:rsidRPr="00217511">
              <w:t xml:space="preserve">  </w:t>
            </w:r>
            <w:r>
              <w:sym w:font="Symbol" w:char="F0B3"/>
            </w:r>
            <w:r w:rsidRPr="00C86E1D">
              <w:t xml:space="preserve"> 23°C</w:t>
            </w:r>
          </w:p>
          <w:p w14:paraId="310ACC1E" w14:textId="77777777" w:rsidR="002950E2" w:rsidRPr="00B57B36" w:rsidRDefault="002950E2" w:rsidP="00057E7B">
            <w:pPr>
              <w:pStyle w:val="CETBodytext"/>
              <w:jc w:val="center"/>
              <w:rPr>
                <w:lang w:val="en-GB"/>
              </w:rPr>
            </w:pPr>
            <w:r>
              <w:rPr>
                <w:rFonts w:asciiTheme="minorBidi" w:hAnsiTheme="minorBidi" w:cstheme="minorBidi"/>
              </w:rPr>
              <w:t>a</w:t>
            </w:r>
            <w:r w:rsidRPr="00217511">
              <w:rPr>
                <w:rFonts w:asciiTheme="minorBidi" w:hAnsiTheme="minorBidi" w:cstheme="minorBidi"/>
              </w:rPr>
              <w:t>nd</w:t>
            </w:r>
            <w:r>
              <w:rPr>
                <w:rFonts w:asciiTheme="majorBidi" w:hAnsiTheme="majorBidi" w:cstheme="majorBidi"/>
                <w:i/>
                <w:iCs/>
              </w:rPr>
              <w:t xml:space="preserve"> </w:t>
            </w:r>
            <w:r w:rsidRPr="00217511">
              <w:rPr>
                <w:rFonts w:asciiTheme="majorBidi" w:hAnsiTheme="majorBidi" w:cstheme="majorBidi"/>
                <w:i/>
                <w:iCs/>
              </w:rPr>
              <w:t>T</w:t>
            </w:r>
            <w:r w:rsidRPr="00217511">
              <w:rPr>
                <w:rFonts w:asciiTheme="majorBidi" w:hAnsiTheme="majorBidi" w:cstheme="majorBidi"/>
                <w:i/>
                <w:iCs/>
                <w:vertAlign w:val="subscript"/>
              </w:rPr>
              <w:t>ib</w:t>
            </w:r>
            <w:r w:rsidRPr="00217511">
              <w:t xml:space="preserve"> </w:t>
            </w:r>
            <w:r w:rsidRPr="00217511">
              <w:sym w:font="Symbol" w:char="F0A3"/>
            </w:r>
            <w:r w:rsidRPr="00217511">
              <w:t xml:space="preserve"> </w:t>
            </w:r>
            <w:r>
              <w:t>60</w:t>
            </w:r>
            <w:r w:rsidRPr="00217511">
              <w:t>°C</w:t>
            </w:r>
          </w:p>
        </w:tc>
        <w:tc>
          <w:tcPr>
            <w:tcW w:w="1276" w:type="dxa"/>
            <w:shd w:val="clear" w:color="auto" w:fill="FFFFFF"/>
          </w:tcPr>
          <w:p w14:paraId="064572DE" w14:textId="77777777" w:rsidR="002950E2" w:rsidRPr="00B57B36" w:rsidRDefault="002950E2" w:rsidP="00057E7B">
            <w:pPr>
              <w:pStyle w:val="CETBodytext"/>
              <w:ind w:right="-1"/>
              <w:jc w:val="center"/>
              <w:rPr>
                <w:rFonts w:cs="Arial"/>
                <w:szCs w:val="18"/>
                <w:lang w:val="en-GB"/>
              </w:rPr>
            </w:pPr>
            <w:r>
              <w:rPr>
                <w:rFonts w:cs="Arial"/>
                <w:szCs w:val="18"/>
                <w:lang w:val="en-GB"/>
              </w:rPr>
              <w:t>2</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Class 3</w:t>
            </w:r>
          </w:p>
        </w:tc>
        <w:tc>
          <w:tcPr>
            <w:tcW w:w="1594" w:type="dxa"/>
            <w:shd w:val="clear" w:color="auto" w:fill="FFFFFF"/>
          </w:tcPr>
          <w:p w14:paraId="31546B91" w14:textId="77777777" w:rsidR="002950E2" w:rsidRPr="00B57B36" w:rsidRDefault="002950E2" w:rsidP="00057E7B">
            <w:pPr>
              <w:pStyle w:val="CETBodytext"/>
              <w:ind w:right="-1"/>
              <w:jc w:val="center"/>
              <w:rPr>
                <w:rFonts w:cs="Arial"/>
                <w:szCs w:val="18"/>
                <w:lang w:val="en-GB"/>
              </w:rPr>
            </w:pPr>
            <w:r>
              <w:rPr>
                <w:rFonts w:cs="Arial"/>
                <w:szCs w:val="18"/>
                <w:lang w:val="en-GB"/>
              </w:rPr>
              <w:t>2</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10</w:t>
            </w:r>
            <w:r>
              <w:rPr>
                <w:rFonts w:cs="Arial"/>
                <w:szCs w:val="18"/>
                <w:vertAlign w:val="superscript"/>
                <w:lang w:val="en-GB"/>
              </w:rPr>
              <w:t>-6</w:t>
            </w:r>
            <w:r>
              <w:rPr>
                <w:rFonts w:cs="Arial"/>
                <w:szCs w:val="18"/>
                <w:lang w:val="en-GB"/>
              </w:rPr>
              <w:t>&lt;</w:t>
            </w:r>
            <w:r w:rsidRPr="00217511">
              <w:rPr>
                <w:rFonts w:asciiTheme="majorBidi" w:hAnsiTheme="majorBidi" w:cstheme="majorBidi"/>
                <w:i/>
                <w:iCs/>
                <w:szCs w:val="18"/>
                <w:lang w:val="en-GB"/>
              </w:rPr>
              <w:t>Ps</w:t>
            </w:r>
            <w:r w:rsidRPr="008925C9">
              <w:rPr>
                <w:rFonts w:cstheme="majorBidi"/>
                <w:szCs w:val="18"/>
                <w:lang w:val="en-GB"/>
              </w:rPr>
              <w:sym w:font="Symbol" w:char="F0A3"/>
            </w:r>
            <w:r>
              <w:rPr>
                <w:rFonts w:cs="Arial"/>
                <w:szCs w:val="18"/>
                <w:lang w:val="en-GB"/>
              </w:rPr>
              <w:t>10</w:t>
            </w:r>
            <w:r>
              <w:rPr>
                <w:rFonts w:cs="Arial"/>
                <w:szCs w:val="18"/>
                <w:vertAlign w:val="superscript"/>
                <w:lang w:val="en-GB"/>
              </w:rPr>
              <w:t>-3</w:t>
            </w:r>
          </w:p>
        </w:tc>
        <w:tc>
          <w:tcPr>
            <w:tcW w:w="1170" w:type="dxa"/>
            <w:shd w:val="clear" w:color="auto" w:fill="FFFFFF"/>
          </w:tcPr>
          <w:p w14:paraId="0EAF6701" w14:textId="77777777" w:rsidR="002950E2" w:rsidRPr="00B57B36" w:rsidRDefault="002950E2" w:rsidP="00057E7B">
            <w:pPr>
              <w:pStyle w:val="CETBodytext"/>
              <w:ind w:right="-1"/>
              <w:jc w:val="center"/>
              <w:rPr>
                <w:rFonts w:cs="Arial"/>
                <w:szCs w:val="18"/>
                <w:lang w:val="en-GB"/>
              </w:rPr>
            </w:pPr>
            <w:r>
              <w:rPr>
                <w:rFonts w:cs="Arial"/>
                <w:szCs w:val="18"/>
                <w:lang w:val="en-GB"/>
              </w:rPr>
              <w:t>2</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 xml:space="preserve">1 &lt; </w:t>
            </w:r>
            <w:r>
              <w:rPr>
                <w:rFonts w:asciiTheme="majorBidi" w:hAnsiTheme="majorBidi" w:cstheme="majorBidi"/>
                <w:i/>
                <w:iCs/>
                <w:szCs w:val="18"/>
                <w:lang w:val="en-GB"/>
              </w:rPr>
              <w:t xml:space="preserve">r </w:t>
            </w:r>
            <w:r w:rsidRPr="00217511">
              <w:rPr>
                <w:rFonts w:cstheme="majorBidi"/>
                <w:szCs w:val="18"/>
                <w:lang w:val="en-GB"/>
              </w:rPr>
              <w:sym w:font="Symbol" w:char="F0A3"/>
            </w:r>
            <w:r>
              <w:rPr>
                <w:rFonts w:cstheme="majorBidi"/>
                <w:szCs w:val="18"/>
                <w:lang w:val="en-GB"/>
              </w:rPr>
              <w:t xml:space="preserve"> </w:t>
            </w:r>
            <w:r>
              <w:rPr>
                <w:rFonts w:cs="Arial"/>
                <w:szCs w:val="18"/>
                <w:lang w:val="en-GB"/>
              </w:rPr>
              <w:t>5</w:t>
            </w:r>
          </w:p>
        </w:tc>
        <w:tc>
          <w:tcPr>
            <w:tcW w:w="1169" w:type="dxa"/>
            <w:vMerge/>
            <w:shd w:val="clear" w:color="auto" w:fill="FFFFFF"/>
          </w:tcPr>
          <w:p w14:paraId="7A0F5638" w14:textId="0CC9C59F" w:rsidR="002950E2" w:rsidRPr="00B57B36" w:rsidRDefault="002950E2" w:rsidP="00057E7B">
            <w:pPr>
              <w:pStyle w:val="CETBodytext"/>
              <w:ind w:right="-1"/>
              <w:jc w:val="center"/>
              <w:rPr>
                <w:rFonts w:cs="Arial"/>
                <w:szCs w:val="18"/>
                <w:lang w:val="en-GB"/>
              </w:rPr>
            </w:pPr>
          </w:p>
        </w:tc>
        <w:tc>
          <w:tcPr>
            <w:tcW w:w="1170" w:type="dxa"/>
            <w:vMerge/>
            <w:shd w:val="clear" w:color="auto" w:fill="FFFFFF"/>
          </w:tcPr>
          <w:p w14:paraId="396B9FC6" w14:textId="1B2288C0" w:rsidR="002950E2" w:rsidRPr="00B57B36" w:rsidRDefault="002950E2" w:rsidP="00057E7B">
            <w:pPr>
              <w:pStyle w:val="CETBodytext"/>
              <w:ind w:right="-1"/>
              <w:jc w:val="center"/>
              <w:rPr>
                <w:rFonts w:cs="Arial"/>
                <w:szCs w:val="18"/>
                <w:lang w:val="en-GB"/>
              </w:rPr>
            </w:pPr>
          </w:p>
        </w:tc>
      </w:tr>
      <w:tr w:rsidR="002950E2" w:rsidRPr="00B57B36" w14:paraId="11605CC8" w14:textId="77777777" w:rsidTr="004B3C61">
        <w:tc>
          <w:tcPr>
            <w:tcW w:w="1100" w:type="dxa"/>
            <w:shd w:val="clear" w:color="auto" w:fill="FFFFFF"/>
          </w:tcPr>
          <w:p w14:paraId="74A4FA94" w14:textId="77777777" w:rsidR="002950E2" w:rsidRPr="00B57B36" w:rsidRDefault="002950E2" w:rsidP="00057E7B">
            <w:pPr>
              <w:pStyle w:val="CETBodytext"/>
              <w:jc w:val="center"/>
              <w:rPr>
                <w:lang w:val="en-GB"/>
              </w:rPr>
            </w:pPr>
            <w:r>
              <w:rPr>
                <w:rFonts w:cs="Arial"/>
                <w:szCs w:val="18"/>
                <w:lang w:val="en-GB"/>
              </w:rPr>
              <w:t>3</w:t>
            </w:r>
            <w:r>
              <w:rPr>
                <w:rFonts w:asciiTheme="minorBidi" w:hAnsiTheme="minorBidi" w:cstheme="minorBidi"/>
              </w:rPr>
              <w:sym w:font="Symbol" w:char="F020"/>
            </w:r>
            <w:r>
              <w:rPr>
                <w:rFonts w:asciiTheme="minorBidi" w:hAnsiTheme="minorBidi" w:cstheme="minorBidi"/>
              </w:rPr>
              <w:sym w:font="Symbol" w:char="F0DE"/>
            </w:r>
            <w:r w:rsidRPr="004E4347">
              <w:rPr>
                <w:rFonts w:cs="Arial"/>
                <w:szCs w:val="18"/>
                <w:lang w:val="en-GB"/>
              </w:rPr>
              <w:t xml:space="preserve">Category </w:t>
            </w:r>
            <w:r>
              <w:rPr>
                <w:rFonts w:cs="Arial"/>
                <w:szCs w:val="18"/>
                <w:lang w:val="en-GB"/>
              </w:rPr>
              <w:t>2</w:t>
            </w:r>
          </w:p>
        </w:tc>
        <w:tc>
          <w:tcPr>
            <w:tcW w:w="1310" w:type="dxa"/>
            <w:shd w:val="clear" w:color="auto" w:fill="FFFFFF"/>
          </w:tcPr>
          <w:p w14:paraId="782E04C3" w14:textId="77777777" w:rsidR="002950E2" w:rsidRDefault="002950E2" w:rsidP="00057E7B">
            <w:pPr>
              <w:pStyle w:val="CETBodytext"/>
              <w:jc w:val="center"/>
            </w:pPr>
            <w:r>
              <w:rPr>
                <w:rFonts w:asciiTheme="minorBidi" w:hAnsiTheme="minorBidi" w:cstheme="minorBidi"/>
              </w:rPr>
              <w:t>3</w:t>
            </w:r>
            <w:r>
              <w:rPr>
                <w:rFonts w:asciiTheme="minorBidi" w:hAnsiTheme="minorBidi" w:cstheme="minorBidi"/>
              </w:rPr>
              <w:sym w:font="Symbol" w:char="F020"/>
            </w:r>
            <w:r>
              <w:rPr>
                <w:rFonts w:asciiTheme="minorBidi" w:hAnsiTheme="minorBidi" w:cstheme="minorBidi"/>
              </w:rPr>
              <w:sym w:font="Symbol" w:char="F0DE"/>
            </w:r>
            <w:r w:rsidRPr="00217511">
              <w:rPr>
                <w:rFonts w:asciiTheme="majorBidi" w:hAnsiTheme="majorBidi" w:cstheme="majorBidi"/>
                <w:i/>
                <w:iCs/>
              </w:rPr>
              <w:t>T</w:t>
            </w:r>
            <w:r w:rsidRPr="00217511">
              <w:rPr>
                <w:rFonts w:asciiTheme="majorBidi" w:hAnsiTheme="majorBidi" w:cstheme="majorBidi"/>
                <w:i/>
                <w:iCs/>
                <w:vertAlign w:val="subscript"/>
              </w:rPr>
              <w:t>f</w:t>
            </w:r>
            <w:r w:rsidRPr="00217511">
              <w:t xml:space="preserve"> </w:t>
            </w:r>
            <w:r w:rsidRPr="00C86E1D">
              <w:t>&lt; 23°C</w:t>
            </w:r>
          </w:p>
          <w:p w14:paraId="18799691" w14:textId="77777777" w:rsidR="002950E2" w:rsidRPr="00B57B36" w:rsidRDefault="002950E2" w:rsidP="00057E7B">
            <w:pPr>
              <w:pStyle w:val="CETBodytext"/>
              <w:jc w:val="center"/>
              <w:rPr>
                <w:lang w:val="en-GB"/>
              </w:rPr>
            </w:pPr>
            <w:r>
              <w:rPr>
                <w:rFonts w:asciiTheme="minorBidi" w:hAnsiTheme="minorBidi" w:cstheme="minorBidi"/>
              </w:rPr>
              <w:t>a</w:t>
            </w:r>
            <w:r w:rsidRPr="00217511">
              <w:rPr>
                <w:rFonts w:asciiTheme="minorBidi" w:hAnsiTheme="minorBidi" w:cstheme="minorBidi"/>
              </w:rPr>
              <w:t>nd</w:t>
            </w:r>
            <w:r>
              <w:rPr>
                <w:rFonts w:asciiTheme="majorBidi" w:hAnsiTheme="majorBidi" w:cstheme="majorBidi"/>
                <w:i/>
                <w:iCs/>
              </w:rPr>
              <w:t xml:space="preserve"> </w:t>
            </w:r>
            <w:r w:rsidRPr="00217511">
              <w:rPr>
                <w:rFonts w:asciiTheme="majorBidi" w:hAnsiTheme="majorBidi" w:cstheme="majorBidi"/>
                <w:i/>
                <w:iCs/>
              </w:rPr>
              <w:t>T</w:t>
            </w:r>
            <w:r w:rsidRPr="00217511">
              <w:rPr>
                <w:rFonts w:asciiTheme="majorBidi" w:hAnsiTheme="majorBidi" w:cstheme="majorBidi"/>
                <w:i/>
                <w:iCs/>
                <w:vertAlign w:val="subscript"/>
              </w:rPr>
              <w:t>ib</w:t>
            </w:r>
            <w:r w:rsidRPr="00217511">
              <w:t xml:space="preserve"> </w:t>
            </w:r>
            <w:r>
              <w:t xml:space="preserve">&gt; </w:t>
            </w:r>
            <w:r w:rsidRPr="00217511">
              <w:t>35°C</w:t>
            </w:r>
          </w:p>
        </w:tc>
        <w:tc>
          <w:tcPr>
            <w:tcW w:w="1276" w:type="dxa"/>
            <w:shd w:val="clear" w:color="auto" w:fill="FFFFFF"/>
          </w:tcPr>
          <w:p w14:paraId="0B91F78B" w14:textId="77777777" w:rsidR="002950E2" w:rsidRPr="00B57B36" w:rsidRDefault="002950E2" w:rsidP="00057E7B">
            <w:pPr>
              <w:pStyle w:val="CETBodytext"/>
              <w:ind w:right="-1"/>
              <w:jc w:val="center"/>
              <w:rPr>
                <w:rFonts w:cs="Arial"/>
                <w:szCs w:val="18"/>
                <w:lang w:val="en-GB"/>
              </w:rPr>
            </w:pPr>
            <w:r>
              <w:rPr>
                <w:rFonts w:cs="Arial"/>
                <w:szCs w:val="18"/>
                <w:lang w:val="en-GB"/>
              </w:rPr>
              <w:t>3</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Class 2</w:t>
            </w:r>
          </w:p>
        </w:tc>
        <w:tc>
          <w:tcPr>
            <w:tcW w:w="1594" w:type="dxa"/>
            <w:shd w:val="clear" w:color="auto" w:fill="FFFFFF"/>
          </w:tcPr>
          <w:p w14:paraId="79D2522E" w14:textId="77777777" w:rsidR="002950E2" w:rsidRPr="00B57B36" w:rsidRDefault="002950E2" w:rsidP="00057E7B">
            <w:pPr>
              <w:pStyle w:val="CETBodytext"/>
              <w:ind w:right="-1"/>
              <w:jc w:val="center"/>
              <w:rPr>
                <w:rFonts w:cs="Arial"/>
                <w:szCs w:val="18"/>
                <w:lang w:val="en-GB"/>
              </w:rPr>
            </w:pPr>
            <w:r>
              <w:rPr>
                <w:rFonts w:cs="Arial"/>
                <w:szCs w:val="18"/>
                <w:lang w:val="en-GB"/>
              </w:rPr>
              <w:t>3</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10</w:t>
            </w:r>
            <w:r>
              <w:rPr>
                <w:rFonts w:cs="Arial"/>
                <w:szCs w:val="18"/>
                <w:vertAlign w:val="superscript"/>
                <w:lang w:val="en-GB"/>
              </w:rPr>
              <w:t>-3</w:t>
            </w:r>
            <w:r>
              <w:rPr>
                <w:rFonts w:cs="Arial"/>
                <w:szCs w:val="18"/>
                <w:lang w:val="en-GB"/>
              </w:rPr>
              <w:t>&lt;</w:t>
            </w:r>
            <w:r w:rsidRPr="00217511">
              <w:rPr>
                <w:rFonts w:asciiTheme="majorBidi" w:hAnsiTheme="majorBidi" w:cstheme="majorBidi"/>
                <w:i/>
                <w:iCs/>
                <w:szCs w:val="18"/>
                <w:lang w:val="en-GB"/>
              </w:rPr>
              <w:t>Ps</w:t>
            </w:r>
            <w:r w:rsidRPr="00217511">
              <w:rPr>
                <w:rFonts w:cstheme="majorBidi"/>
                <w:szCs w:val="18"/>
                <w:lang w:val="en-GB"/>
              </w:rPr>
              <w:sym w:font="Symbol" w:char="F0A3"/>
            </w:r>
            <w:r>
              <w:rPr>
                <w:rFonts w:cs="Arial"/>
                <w:szCs w:val="18"/>
                <w:lang w:val="en-GB"/>
              </w:rPr>
              <w:t>0.1</w:t>
            </w:r>
          </w:p>
        </w:tc>
        <w:tc>
          <w:tcPr>
            <w:tcW w:w="1170" w:type="dxa"/>
            <w:shd w:val="clear" w:color="auto" w:fill="FFFFFF"/>
          </w:tcPr>
          <w:p w14:paraId="14A7A1E1" w14:textId="77777777" w:rsidR="002950E2" w:rsidRPr="00B57B36" w:rsidRDefault="002950E2" w:rsidP="00057E7B">
            <w:pPr>
              <w:pStyle w:val="CETBodytext"/>
              <w:ind w:right="-1"/>
              <w:jc w:val="center"/>
              <w:rPr>
                <w:rFonts w:cs="Arial"/>
                <w:szCs w:val="18"/>
                <w:lang w:val="en-GB"/>
              </w:rPr>
            </w:pPr>
            <w:r>
              <w:rPr>
                <w:rFonts w:cs="Arial"/>
                <w:szCs w:val="18"/>
                <w:lang w:val="en-GB"/>
              </w:rPr>
              <w:t>3</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 xml:space="preserve">5 &lt; </w:t>
            </w:r>
            <w:r>
              <w:rPr>
                <w:rFonts w:asciiTheme="majorBidi" w:hAnsiTheme="majorBidi" w:cstheme="majorBidi"/>
                <w:i/>
                <w:iCs/>
                <w:szCs w:val="18"/>
                <w:lang w:val="en-GB"/>
              </w:rPr>
              <w:t xml:space="preserve">r </w:t>
            </w:r>
            <w:r w:rsidRPr="00217511">
              <w:rPr>
                <w:rFonts w:cstheme="majorBidi"/>
                <w:szCs w:val="18"/>
                <w:lang w:val="en-GB"/>
              </w:rPr>
              <w:sym w:font="Symbol" w:char="F0A3"/>
            </w:r>
            <w:r>
              <w:rPr>
                <w:rFonts w:cstheme="majorBidi"/>
                <w:szCs w:val="18"/>
                <w:lang w:val="en-GB"/>
              </w:rPr>
              <w:t xml:space="preserve"> 25</w:t>
            </w:r>
          </w:p>
        </w:tc>
        <w:tc>
          <w:tcPr>
            <w:tcW w:w="1169" w:type="dxa"/>
            <w:vMerge/>
            <w:shd w:val="clear" w:color="auto" w:fill="FFFFFF"/>
          </w:tcPr>
          <w:p w14:paraId="7DF9EF41" w14:textId="6B2F4DC0" w:rsidR="002950E2" w:rsidRPr="00B57B36" w:rsidRDefault="002950E2" w:rsidP="00057E7B">
            <w:pPr>
              <w:pStyle w:val="CETBodytext"/>
              <w:ind w:right="-1"/>
              <w:jc w:val="center"/>
              <w:rPr>
                <w:rFonts w:cs="Arial"/>
                <w:szCs w:val="18"/>
                <w:lang w:val="en-GB"/>
              </w:rPr>
            </w:pPr>
          </w:p>
        </w:tc>
        <w:tc>
          <w:tcPr>
            <w:tcW w:w="1170" w:type="dxa"/>
            <w:vMerge/>
            <w:shd w:val="clear" w:color="auto" w:fill="FFFFFF"/>
          </w:tcPr>
          <w:p w14:paraId="785C8B7E" w14:textId="146413C3" w:rsidR="002950E2" w:rsidRPr="00B57B36" w:rsidRDefault="002950E2" w:rsidP="00057E7B">
            <w:pPr>
              <w:pStyle w:val="CETBodytext"/>
              <w:ind w:right="-1"/>
              <w:jc w:val="center"/>
              <w:rPr>
                <w:rFonts w:cs="Arial"/>
                <w:szCs w:val="18"/>
                <w:lang w:val="en-GB"/>
              </w:rPr>
            </w:pPr>
          </w:p>
        </w:tc>
      </w:tr>
      <w:tr w:rsidR="002950E2" w:rsidRPr="00B57B36" w14:paraId="344849EC" w14:textId="77777777" w:rsidTr="004B3C61">
        <w:tc>
          <w:tcPr>
            <w:tcW w:w="1100" w:type="dxa"/>
            <w:shd w:val="clear" w:color="auto" w:fill="FFFFFF"/>
          </w:tcPr>
          <w:p w14:paraId="38D42FCF" w14:textId="77777777" w:rsidR="002950E2" w:rsidRPr="00B57B36" w:rsidRDefault="002950E2" w:rsidP="00057E7B">
            <w:pPr>
              <w:pStyle w:val="CETBodytext"/>
              <w:ind w:right="-1"/>
              <w:jc w:val="center"/>
              <w:rPr>
                <w:rFonts w:cs="Arial"/>
                <w:szCs w:val="18"/>
                <w:lang w:val="en-GB"/>
              </w:rPr>
            </w:pPr>
            <w:r>
              <w:rPr>
                <w:rFonts w:cs="Arial"/>
                <w:szCs w:val="18"/>
                <w:lang w:val="en-GB"/>
              </w:rPr>
              <w:t>4</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Category 1</w:t>
            </w:r>
          </w:p>
        </w:tc>
        <w:tc>
          <w:tcPr>
            <w:tcW w:w="1310" w:type="dxa"/>
            <w:shd w:val="clear" w:color="auto" w:fill="FFFFFF"/>
          </w:tcPr>
          <w:p w14:paraId="3F3AF928" w14:textId="77777777" w:rsidR="002950E2" w:rsidRDefault="002950E2" w:rsidP="00057E7B">
            <w:pPr>
              <w:pStyle w:val="CETBodytext"/>
              <w:jc w:val="center"/>
            </w:pPr>
            <w:r>
              <w:rPr>
                <w:rFonts w:asciiTheme="minorBidi" w:hAnsiTheme="minorBidi" w:cstheme="minorBidi"/>
              </w:rPr>
              <w:t>4</w:t>
            </w:r>
            <w:r>
              <w:rPr>
                <w:rFonts w:asciiTheme="minorBidi" w:hAnsiTheme="minorBidi" w:cstheme="minorBidi"/>
              </w:rPr>
              <w:sym w:font="Symbol" w:char="F020"/>
            </w:r>
            <w:r>
              <w:rPr>
                <w:rFonts w:asciiTheme="minorBidi" w:hAnsiTheme="minorBidi" w:cstheme="minorBidi"/>
              </w:rPr>
              <w:sym w:font="Symbol" w:char="F0DE"/>
            </w:r>
            <w:r w:rsidRPr="00281E55">
              <w:rPr>
                <w:rFonts w:asciiTheme="majorBidi" w:hAnsiTheme="majorBidi" w:cstheme="majorBidi"/>
                <w:i/>
                <w:iCs/>
              </w:rPr>
              <w:t>T</w:t>
            </w:r>
            <w:r w:rsidRPr="00281E55">
              <w:rPr>
                <w:rFonts w:asciiTheme="majorBidi" w:hAnsiTheme="majorBidi" w:cstheme="majorBidi"/>
                <w:i/>
                <w:iCs/>
                <w:vertAlign w:val="subscript"/>
              </w:rPr>
              <w:t>f</w:t>
            </w:r>
            <w:r w:rsidRPr="00281E55">
              <w:t xml:space="preserve"> </w:t>
            </w:r>
            <w:r w:rsidRPr="00C86E1D">
              <w:t>&lt; 23°C</w:t>
            </w:r>
          </w:p>
          <w:p w14:paraId="54754F05" w14:textId="77777777" w:rsidR="002950E2" w:rsidRPr="00B57B36" w:rsidRDefault="002950E2" w:rsidP="00057E7B">
            <w:pPr>
              <w:pStyle w:val="CETBodytext"/>
              <w:ind w:right="-1"/>
              <w:jc w:val="center"/>
              <w:rPr>
                <w:rFonts w:cs="Arial"/>
                <w:szCs w:val="18"/>
                <w:lang w:val="en-GB"/>
              </w:rPr>
            </w:pPr>
            <w:r>
              <w:rPr>
                <w:rFonts w:asciiTheme="minorBidi" w:hAnsiTheme="minorBidi" w:cstheme="minorBidi"/>
              </w:rPr>
              <w:t>a</w:t>
            </w:r>
            <w:r w:rsidRPr="00217511">
              <w:rPr>
                <w:rFonts w:asciiTheme="minorBidi" w:hAnsiTheme="minorBidi" w:cstheme="minorBidi"/>
              </w:rPr>
              <w:t>nd</w:t>
            </w:r>
            <w:r>
              <w:rPr>
                <w:rFonts w:asciiTheme="majorBidi" w:hAnsiTheme="majorBidi" w:cstheme="majorBidi"/>
                <w:i/>
                <w:iCs/>
              </w:rPr>
              <w:t xml:space="preserve"> </w:t>
            </w:r>
            <w:r w:rsidRPr="00281E55">
              <w:rPr>
                <w:rFonts w:asciiTheme="majorBidi" w:hAnsiTheme="majorBidi" w:cstheme="majorBidi"/>
                <w:i/>
                <w:iCs/>
              </w:rPr>
              <w:t>T</w:t>
            </w:r>
            <w:r w:rsidRPr="00281E55">
              <w:rPr>
                <w:rFonts w:asciiTheme="majorBidi" w:hAnsiTheme="majorBidi" w:cstheme="majorBidi"/>
                <w:i/>
                <w:iCs/>
                <w:vertAlign w:val="subscript"/>
              </w:rPr>
              <w:t>ib</w:t>
            </w:r>
            <w:r w:rsidRPr="00281E55">
              <w:t xml:space="preserve"> </w:t>
            </w:r>
            <w:r w:rsidRPr="00281E55">
              <w:sym w:font="Symbol" w:char="F0A3"/>
            </w:r>
            <w:r w:rsidRPr="00281E55">
              <w:t xml:space="preserve"> 35°C</w:t>
            </w:r>
          </w:p>
        </w:tc>
        <w:tc>
          <w:tcPr>
            <w:tcW w:w="1276" w:type="dxa"/>
            <w:shd w:val="clear" w:color="auto" w:fill="FFFFFF"/>
          </w:tcPr>
          <w:p w14:paraId="33654457" w14:textId="77777777" w:rsidR="002950E2" w:rsidRPr="00B57B36" w:rsidRDefault="002950E2" w:rsidP="00057E7B">
            <w:pPr>
              <w:pStyle w:val="CETBodytext"/>
              <w:ind w:right="-1"/>
              <w:jc w:val="center"/>
              <w:rPr>
                <w:rFonts w:cs="Arial"/>
                <w:szCs w:val="18"/>
                <w:lang w:val="en-GB"/>
              </w:rPr>
            </w:pPr>
            <w:r>
              <w:rPr>
                <w:rFonts w:cs="Arial"/>
                <w:szCs w:val="18"/>
                <w:lang w:val="en-GB"/>
              </w:rPr>
              <w:t>4</w:t>
            </w:r>
            <w:r>
              <w:rPr>
                <w:rFonts w:asciiTheme="minorBidi" w:hAnsiTheme="minorBidi" w:cstheme="minorBidi"/>
              </w:rPr>
              <w:sym w:font="Symbol" w:char="F020"/>
            </w:r>
            <w:r>
              <w:rPr>
                <w:rFonts w:asciiTheme="minorBidi" w:hAnsiTheme="minorBidi" w:cstheme="minorBidi"/>
              </w:rPr>
              <w:sym w:font="Symbol" w:char="F0DE"/>
            </w:r>
            <w:r>
              <w:rPr>
                <w:rFonts w:cs="Arial"/>
                <w:szCs w:val="18"/>
                <w:lang w:val="en-GB"/>
              </w:rPr>
              <w:t>Class 1</w:t>
            </w:r>
          </w:p>
        </w:tc>
        <w:tc>
          <w:tcPr>
            <w:tcW w:w="1594" w:type="dxa"/>
            <w:shd w:val="clear" w:color="auto" w:fill="FFFFFF"/>
          </w:tcPr>
          <w:p w14:paraId="4EFB890F" w14:textId="77777777" w:rsidR="002950E2" w:rsidRPr="00057E7B" w:rsidRDefault="002950E2" w:rsidP="00057E7B">
            <w:pPr>
              <w:pStyle w:val="CETBodytext"/>
              <w:ind w:right="-1"/>
              <w:jc w:val="center"/>
              <w:rPr>
                <w:rFonts w:asciiTheme="majorBidi" w:hAnsiTheme="majorBidi" w:cstheme="majorBidi"/>
                <w:i/>
                <w:iCs/>
                <w:szCs w:val="18"/>
                <w:lang w:val="en-GB"/>
              </w:rPr>
            </w:pPr>
            <w:r>
              <w:rPr>
                <w:rFonts w:cs="Arial"/>
                <w:szCs w:val="18"/>
                <w:lang w:val="en-GB"/>
              </w:rPr>
              <w:t>4</w:t>
            </w:r>
            <w:r>
              <w:rPr>
                <w:rFonts w:asciiTheme="minorBidi" w:hAnsiTheme="minorBidi" w:cstheme="minorBidi"/>
              </w:rPr>
              <w:sym w:font="Symbol" w:char="F020"/>
            </w:r>
            <w:r>
              <w:rPr>
                <w:rFonts w:asciiTheme="minorBidi" w:hAnsiTheme="minorBidi" w:cstheme="minorBidi"/>
              </w:rPr>
              <w:sym w:font="Symbol" w:char="F0DE"/>
            </w:r>
            <w:r w:rsidRPr="00217511">
              <w:rPr>
                <w:rFonts w:asciiTheme="majorBidi" w:hAnsiTheme="majorBidi" w:cstheme="majorBidi"/>
                <w:i/>
                <w:iCs/>
                <w:szCs w:val="18"/>
                <w:lang w:val="en-GB"/>
              </w:rPr>
              <w:t>Ps</w:t>
            </w:r>
            <w:r>
              <w:rPr>
                <w:rFonts w:cstheme="majorBidi"/>
                <w:szCs w:val="18"/>
                <w:lang w:val="en-GB"/>
              </w:rPr>
              <w:t>&gt;</w:t>
            </w:r>
            <w:r>
              <w:rPr>
                <w:rFonts w:cs="Arial"/>
                <w:szCs w:val="18"/>
                <w:lang w:val="en-GB"/>
              </w:rPr>
              <w:t>0.10</w:t>
            </w:r>
          </w:p>
        </w:tc>
        <w:tc>
          <w:tcPr>
            <w:tcW w:w="1170" w:type="dxa"/>
            <w:shd w:val="clear" w:color="auto" w:fill="FFFFFF"/>
          </w:tcPr>
          <w:p w14:paraId="22C5DAEB" w14:textId="77777777" w:rsidR="002950E2" w:rsidRPr="00B57B36" w:rsidRDefault="002950E2" w:rsidP="00057E7B">
            <w:pPr>
              <w:pStyle w:val="CETBodytext"/>
              <w:ind w:right="-1"/>
              <w:jc w:val="center"/>
              <w:rPr>
                <w:rFonts w:cs="Arial"/>
                <w:szCs w:val="18"/>
                <w:lang w:val="en-GB"/>
              </w:rPr>
            </w:pPr>
            <w:r>
              <w:rPr>
                <w:rFonts w:cs="Arial"/>
                <w:szCs w:val="18"/>
                <w:lang w:val="en-GB"/>
              </w:rPr>
              <w:t>4</w:t>
            </w:r>
            <w:r>
              <w:rPr>
                <w:rFonts w:asciiTheme="minorBidi" w:hAnsiTheme="minorBidi" w:cstheme="minorBidi"/>
              </w:rPr>
              <w:sym w:font="Symbol" w:char="F020"/>
            </w:r>
            <w:r>
              <w:rPr>
                <w:rFonts w:asciiTheme="minorBidi" w:hAnsiTheme="minorBidi" w:cstheme="minorBidi"/>
              </w:rPr>
              <w:sym w:font="Symbol" w:char="F0DE"/>
            </w:r>
            <w:r>
              <w:rPr>
                <w:rFonts w:asciiTheme="majorBidi" w:hAnsiTheme="majorBidi" w:cstheme="majorBidi"/>
                <w:i/>
                <w:iCs/>
                <w:szCs w:val="18"/>
                <w:lang w:val="en-GB"/>
              </w:rPr>
              <w:t xml:space="preserve">r </w:t>
            </w:r>
            <w:r>
              <w:rPr>
                <w:rFonts w:cstheme="majorBidi"/>
                <w:szCs w:val="18"/>
                <w:lang w:val="en-GB"/>
              </w:rPr>
              <w:t>&gt; 25</w:t>
            </w:r>
          </w:p>
        </w:tc>
        <w:tc>
          <w:tcPr>
            <w:tcW w:w="1169" w:type="dxa"/>
            <w:vMerge/>
            <w:shd w:val="clear" w:color="auto" w:fill="FFFFFF"/>
          </w:tcPr>
          <w:p w14:paraId="1B6C3460" w14:textId="7C85D4BE" w:rsidR="002950E2" w:rsidRPr="00B57B36" w:rsidRDefault="002950E2" w:rsidP="00057E7B">
            <w:pPr>
              <w:pStyle w:val="CETBodytext"/>
              <w:ind w:right="-1"/>
              <w:jc w:val="center"/>
              <w:rPr>
                <w:rFonts w:cs="Arial"/>
                <w:szCs w:val="18"/>
                <w:lang w:val="en-GB"/>
              </w:rPr>
            </w:pPr>
          </w:p>
        </w:tc>
        <w:tc>
          <w:tcPr>
            <w:tcW w:w="1170" w:type="dxa"/>
            <w:vMerge/>
            <w:shd w:val="clear" w:color="auto" w:fill="FFFFFF"/>
          </w:tcPr>
          <w:p w14:paraId="212219E6" w14:textId="31D44E65" w:rsidR="002950E2" w:rsidRPr="00B57B36" w:rsidRDefault="002950E2" w:rsidP="00057E7B">
            <w:pPr>
              <w:pStyle w:val="CETBodytext"/>
              <w:ind w:right="-1"/>
              <w:jc w:val="center"/>
              <w:rPr>
                <w:rFonts w:cs="Arial"/>
                <w:szCs w:val="18"/>
                <w:lang w:val="en-GB"/>
              </w:rPr>
            </w:pPr>
          </w:p>
        </w:tc>
      </w:tr>
    </w:tbl>
    <w:bookmarkEnd w:id="3"/>
    <w:p w14:paraId="19244E82" w14:textId="6582255A" w:rsidR="00B82908" w:rsidRPr="00065BDA" w:rsidRDefault="00EE1721" w:rsidP="00E61BC0">
      <w:pPr>
        <w:pStyle w:val="CETBodytext"/>
        <w:rPr>
          <w:highlight w:val="yellow"/>
        </w:rPr>
      </w:pPr>
      <w:r w:rsidRPr="008D3838">
        <w:t>*GHS categories</w:t>
      </w:r>
      <w:r w:rsidR="00EC0697" w:rsidRPr="008D3838">
        <w:t>; **</w:t>
      </w:r>
      <w:r w:rsidR="008D3838">
        <w:t>(</w:t>
      </w:r>
      <w:r w:rsidR="008D3838" w:rsidRPr="008D3838">
        <w:t>Health and Safety Executive</w:t>
      </w:r>
      <w:r w:rsidR="008D3838">
        <w:t>, 2024)</w:t>
      </w:r>
    </w:p>
    <w:p w14:paraId="28ECD014" w14:textId="722F1E97" w:rsidR="006E1A52" w:rsidRDefault="006E1A52" w:rsidP="00EC4BCB">
      <w:pPr>
        <w:pStyle w:val="CETBodytext"/>
        <w:rPr>
          <w:rFonts w:cstheme="majorBidi"/>
          <w:szCs w:val="18"/>
          <w:lang w:val="en-GB"/>
        </w:rPr>
      </w:pPr>
      <w:r w:rsidRPr="00065BDA">
        <w:rPr>
          <w:rFonts w:asciiTheme="majorBidi" w:hAnsiTheme="majorBidi" w:cstheme="majorBidi"/>
          <w:i/>
          <w:iCs/>
        </w:rPr>
        <w:t>T</w:t>
      </w:r>
      <w:r w:rsidRPr="00065BDA">
        <w:rPr>
          <w:rFonts w:asciiTheme="majorBidi" w:hAnsiTheme="majorBidi" w:cstheme="majorBidi"/>
          <w:i/>
          <w:iCs/>
          <w:vertAlign w:val="subscript"/>
        </w:rPr>
        <w:t>f</w:t>
      </w:r>
      <w:r w:rsidRPr="00EC4BCB">
        <w:t xml:space="preserve"> = flash point; </w:t>
      </w:r>
      <w:r w:rsidRPr="00EC4BCB">
        <w:rPr>
          <w:rFonts w:asciiTheme="majorBidi" w:hAnsiTheme="majorBidi" w:cstheme="majorBidi"/>
          <w:i/>
          <w:iCs/>
        </w:rPr>
        <w:t>T</w:t>
      </w:r>
      <w:r w:rsidRPr="00EC4BCB">
        <w:rPr>
          <w:rFonts w:asciiTheme="majorBidi" w:hAnsiTheme="majorBidi" w:cstheme="majorBidi"/>
          <w:i/>
          <w:iCs/>
          <w:vertAlign w:val="subscript"/>
        </w:rPr>
        <w:t>ib</w:t>
      </w:r>
      <w:r w:rsidRPr="00EC4BCB">
        <w:t xml:space="preserve"> </w:t>
      </w:r>
      <w:r w:rsidRPr="00065BDA">
        <w:t xml:space="preserve">= </w:t>
      </w:r>
      <w:r w:rsidRPr="00EC4BCB">
        <w:t>initial boiling point</w:t>
      </w:r>
    </w:p>
    <w:p w14:paraId="7B945B48" w14:textId="1DE6F374" w:rsidR="00900650" w:rsidRDefault="00900650" w:rsidP="00900650">
      <w:pPr>
        <w:pStyle w:val="CETHeading1"/>
      </w:pPr>
      <w:r>
        <w:t>Case studies</w:t>
      </w:r>
    </w:p>
    <w:p w14:paraId="00BFEE97" w14:textId="4F294ADA" w:rsidR="00025912" w:rsidRPr="00D86804" w:rsidRDefault="00025912" w:rsidP="00025912">
      <w:pPr>
        <w:pStyle w:val="CETListbullets"/>
        <w:ind w:left="0" w:firstLine="0"/>
        <w:rPr>
          <w:b/>
        </w:rPr>
      </w:pPr>
      <w:r w:rsidRPr="00D86804">
        <w:t>This study focuses on LIB and SI</w:t>
      </w:r>
      <w:r w:rsidR="00F530A9" w:rsidRPr="00D86804">
        <w:t>B</w:t>
      </w:r>
      <w:r w:rsidRPr="00D86804">
        <w:t xml:space="preserve"> coin cell batteries (Batuecas et.al., 2024), whose components are made from the materials described below.</w:t>
      </w:r>
    </w:p>
    <w:p w14:paraId="10847FA5" w14:textId="2602135F" w:rsidR="00900650" w:rsidRPr="00D86804" w:rsidRDefault="00025912" w:rsidP="005C38EA">
      <w:pPr>
        <w:pStyle w:val="CETListbullets"/>
        <w:ind w:left="0" w:firstLine="0"/>
      </w:pPr>
      <w:r w:rsidRPr="00D86804">
        <w:rPr>
          <w:lang w:val="en-US"/>
        </w:rPr>
        <w:t>T</w:t>
      </w:r>
      <w:r w:rsidR="00900650" w:rsidRPr="00D86804">
        <w:rPr>
          <w:lang w:val="en-US"/>
        </w:rPr>
        <w:t>he anode</w:t>
      </w:r>
      <w:r w:rsidRPr="00D86804">
        <w:rPr>
          <w:lang w:val="en-US"/>
        </w:rPr>
        <w:t xml:space="preserve"> of the LIB</w:t>
      </w:r>
      <w:r w:rsidR="00900650" w:rsidRPr="00D86804">
        <w:rPr>
          <w:lang w:val="en-US"/>
        </w:rPr>
        <w:t xml:space="preserve"> consists of approximately 4 mg of lithium, while the cathode is a mixture of </w:t>
      </w:r>
      <w:r w:rsidR="00DE4139" w:rsidRPr="00D86804">
        <w:rPr>
          <w:lang w:val="en-US"/>
        </w:rPr>
        <w:t>lithium iron phosphate (</w:t>
      </w:r>
      <w:r w:rsidR="00900650" w:rsidRPr="00D86804">
        <w:rPr>
          <w:lang w:val="en-US"/>
        </w:rPr>
        <w:t>LiFePO</w:t>
      </w:r>
      <w:r w:rsidR="00900650" w:rsidRPr="00D86804">
        <w:rPr>
          <w:vertAlign w:val="subscript"/>
          <w:lang w:val="en-US"/>
        </w:rPr>
        <w:t>4</w:t>
      </w:r>
      <w:r w:rsidR="00DE4139" w:rsidRPr="00D86804">
        <w:rPr>
          <w:vertAlign w:val="subscript"/>
          <w:lang w:val="en-US"/>
        </w:rPr>
        <w:t xml:space="preserve"> </w:t>
      </w:r>
      <w:r w:rsidR="003D3DB8" w:rsidRPr="00D86804">
        <w:rPr>
          <w:lang w:val="en-US"/>
        </w:rPr>
        <w:sym w:font="Symbol" w:char="F07E"/>
      </w:r>
      <w:r w:rsidR="00900650" w:rsidRPr="00D86804">
        <w:rPr>
          <w:lang w:val="en-US"/>
        </w:rPr>
        <w:t xml:space="preserve"> 2.3 mg), polyvinylidene fluoride (PVDF - 0.3 mg), and carbon black (0.45 mg) deposited on an aluminum foil (5 mg). A 15 mm diameter glass microfiber disc filter (25 mg) is used to support the liquid electrolyte, which is introduced by impregnation (</w:t>
      </w:r>
      <w:r w:rsidR="003D3DB8" w:rsidRPr="00D86804">
        <w:rPr>
          <w:lang w:val="en-US"/>
        </w:rPr>
        <w:sym w:font="Symbol" w:char="F07E"/>
      </w:r>
      <w:r w:rsidR="00900650" w:rsidRPr="00D86804">
        <w:rPr>
          <w:lang w:val="en-US"/>
        </w:rPr>
        <w:t xml:space="preserve"> 160 μL). The electrolyte is a commercial patented 1 M solution of </w:t>
      </w:r>
      <w:r w:rsidR="00DE4139" w:rsidRPr="00D86804">
        <w:rPr>
          <w:lang w:val="en-US"/>
        </w:rPr>
        <w:t>lithium hexafluorophosphate (</w:t>
      </w:r>
      <w:r w:rsidR="00900650" w:rsidRPr="00D86804">
        <w:rPr>
          <w:lang w:val="en-US"/>
        </w:rPr>
        <w:t>LiPF</w:t>
      </w:r>
      <w:r w:rsidR="00900650" w:rsidRPr="00D86804">
        <w:rPr>
          <w:vertAlign w:val="subscript"/>
          <w:lang w:val="en-US"/>
        </w:rPr>
        <w:t>6</w:t>
      </w:r>
      <w:r w:rsidR="00DE4139" w:rsidRPr="00D86804">
        <w:rPr>
          <w:lang w:val="en-US"/>
        </w:rPr>
        <w:t>)</w:t>
      </w:r>
      <w:r w:rsidR="00900650" w:rsidRPr="00D86804">
        <w:rPr>
          <w:lang w:val="en-US"/>
        </w:rPr>
        <w:t xml:space="preserve"> in ethylene carbonate (EC) and dimethyl carbonate (DMC), or EC/DMC (50/50, v/v). </w:t>
      </w:r>
    </w:p>
    <w:p w14:paraId="119C7C66" w14:textId="18894F7E" w:rsidR="00025912" w:rsidRPr="00D86804" w:rsidRDefault="00025912" w:rsidP="00025912">
      <w:pPr>
        <w:pStyle w:val="CETListbullets"/>
        <w:ind w:left="0" w:firstLine="0"/>
        <w:rPr>
          <w:lang w:val="en-US"/>
        </w:rPr>
      </w:pPr>
      <w:r w:rsidRPr="00D86804">
        <w:rPr>
          <w:lang w:val="en-US"/>
        </w:rPr>
        <w:t xml:space="preserve">The anode of the SIB consists of approximately 4 mg of sodium, while the cathode is a mixture of </w:t>
      </w:r>
      <w:r w:rsidR="00DE4139" w:rsidRPr="00D86804">
        <w:rPr>
          <w:lang w:val="en-US"/>
        </w:rPr>
        <w:t>sodium iron phosphate (</w:t>
      </w:r>
      <w:r w:rsidRPr="00D86804">
        <w:rPr>
          <w:lang w:val="en-US"/>
        </w:rPr>
        <w:t>NaFePO</w:t>
      </w:r>
      <w:r w:rsidRPr="00D86804">
        <w:rPr>
          <w:vertAlign w:val="subscript"/>
          <w:lang w:val="en-US"/>
        </w:rPr>
        <w:t>4</w:t>
      </w:r>
      <w:r w:rsidRPr="00D86804">
        <w:rPr>
          <w:lang w:val="en-US"/>
        </w:rPr>
        <w:t xml:space="preserve"> </w:t>
      </w:r>
      <w:r w:rsidR="003D3DB8" w:rsidRPr="00D86804">
        <w:rPr>
          <w:lang w:val="en-US"/>
        </w:rPr>
        <w:sym w:font="Symbol" w:char="F07E"/>
      </w:r>
      <w:r w:rsidRPr="00D86804">
        <w:rPr>
          <w:lang w:val="en-US"/>
        </w:rPr>
        <w:t xml:space="preserve"> 2.3 mg), polyvinylidene fluoride (PVDF - 0.3 mg), and carbon black (0.45 mg) deposited on an aluminum foil (5 mg). The electrolyte (1 M solution of </w:t>
      </w:r>
      <w:r w:rsidR="00DE4139" w:rsidRPr="00D86804">
        <w:rPr>
          <w:lang w:val="en-US"/>
        </w:rPr>
        <w:t xml:space="preserve">sodium hexafluorophosphate, </w:t>
      </w:r>
      <w:r w:rsidRPr="00D86804">
        <w:rPr>
          <w:lang w:val="en-US"/>
        </w:rPr>
        <w:t>NaPF</w:t>
      </w:r>
      <w:r w:rsidRPr="00D86804">
        <w:rPr>
          <w:vertAlign w:val="subscript"/>
          <w:lang w:val="en-US"/>
        </w:rPr>
        <w:t>6</w:t>
      </w:r>
      <w:r w:rsidR="00DE4139" w:rsidRPr="00D86804">
        <w:rPr>
          <w:lang w:val="en-US"/>
        </w:rPr>
        <w:t>,</w:t>
      </w:r>
      <w:r w:rsidRPr="00D86804">
        <w:rPr>
          <w:lang w:val="en-US"/>
        </w:rPr>
        <w:t xml:space="preserve"> in diglyme, </w:t>
      </w:r>
      <w:r w:rsidR="00A24D24" w:rsidRPr="00D86804">
        <w:rPr>
          <w:lang w:val="en-US"/>
        </w:rPr>
        <w:sym w:font="Symbol" w:char="F07E"/>
      </w:r>
      <w:r w:rsidRPr="00D86804">
        <w:rPr>
          <w:lang w:val="en-US"/>
        </w:rPr>
        <w:t xml:space="preserve"> 160 μL) is supported, as in LIBs, by a commercial separator (glass microfiber filter, 25 mg disc, 15 mm diameter), which is impregnated with the solution.</w:t>
      </w:r>
    </w:p>
    <w:p w14:paraId="5CD1DB68" w14:textId="19975011" w:rsidR="00025912" w:rsidRPr="00D86804" w:rsidRDefault="00025912" w:rsidP="005C38EA">
      <w:pPr>
        <w:pStyle w:val="CETListbullets"/>
        <w:ind w:left="0" w:firstLine="0"/>
      </w:pPr>
      <w:r w:rsidRPr="00D86804">
        <w:rPr>
          <w:lang w:val="en-US"/>
        </w:rPr>
        <w:t xml:space="preserve">In both systems, a 2032 stainless steel coin cell is used for assembly the elements. The study's boundaries were defined to exclude the transportation, use, and end-of-life phases for the lifecycle. The risk assessment </w:t>
      </w:r>
      <w:r w:rsidRPr="00D86804">
        <w:t>was concentrated on the production phase and exclusively on its associated chemical processes.</w:t>
      </w:r>
    </w:p>
    <w:p w14:paraId="15819582" w14:textId="77777777" w:rsidR="00EF2CF7" w:rsidRPr="00D86804" w:rsidRDefault="00EF2CF7" w:rsidP="00EF2CF7">
      <w:pPr>
        <w:pStyle w:val="CETheadingx"/>
        <w:tabs>
          <w:tab w:val="right" w:pos="7100"/>
        </w:tabs>
        <w:spacing w:after="0"/>
        <w:ind w:left="0"/>
        <w:jc w:val="both"/>
        <w:rPr>
          <w:lang w:val="en-GB"/>
        </w:rPr>
      </w:pPr>
      <w:r w:rsidRPr="00D86804">
        <w:rPr>
          <w:lang w:val="en-GB"/>
        </w:rPr>
        <w:t>Production processes for anode, cathode and electrolyte solution</w:t>
      </w:r>
    </w:p>
    <w:p w14:paraId="27514AE9" w14:textId="7999C7DA" w:rsidR="00EF2CF7" w:rsidRPr="00D86804" w:rsidRDefault="00EF2CF7" w:rsidP="00EF2CF7">
      <w:pPr>
        <w:pStyle w:val="CETListbullets"/>
        <w:ind w:left="0" w:firstLine="0"/>
      </w:pPr>
      <w:r w:rsidRPr="00D86804">
        <w:t xml:space="preserve">The production of LIBs involves a complex process that begins with the extraction of lithium from minerals, particularly spodumene. This mineral undergoes a series of treatments, including crushing, grinding, flotation, and roasting, to obtain purified lithium. Subsequently, lithium is combined with other elements to form the key components of the battery: the anode, the cathode, and the electrolyte as shown in Figure 1. </w:t>
      </w:r>
    </w:p>
    <w:p w14:paraId="15074737" w14:textId="4C01E64D" w:rsidR="0033104A" w:rsidRPr="00D86804" w:rsidRDefault="0033104A" w:rsidP="0033104A">
      <w:pPr>
        <w:pStyle w:val="CETBodytext"/>
        <w:rPr>
          <w:lang w:val="en-GB"/>
        </w:rPr>
      </w:pPr>
      <w:r w:rsidRPr="00D86804">
        <w:rPr>
          <w:lang w:val="en-GB"/>
        </w:rPr>
        <w:t>The electrolyte, typically a solution of LiPF</w:t>
      </w:r>
      <w:r w:rsidRPr="00D86804">
        <w:rPr>
          <w:vertAlign w:val="subscript"/>
          <w:lang w:val="en-GB"/>
        </w:rPr>
        <w:t>6</w:t>
      </w:r>
      <w:r w:rsidRPr="00D86804">
        <w:rPr>
          <w:lang w:val="en-GB"/>
        </w:rPr>
        <w:t xml:space="preserve"> in organic solvents like dimethyl carbonate and ethylene carbonate, is prepared through chemical reactions and purification processes. The LiPF</w:t>
      </w:r>
      <w:r w:rsidRPr="00D86804">
        <w:rPr>
          <w:vertAlign w:val="subscript"/>
          <w:lang w:val="en-GB"/>
        </w:rPr>
        <w:t>6</w:t>
      </w:r>
      <w:r w:rsidRPr="00D86804">
        <w:rPr>
          <w:lang w:val="en-GB"/>
        </w:rPr>
        <w:t xml:space="preserve"> solution is prepared by dissolving the salt in the two solvents (Figure 1(a)).</w:t>
      </w:r>
    </w:p>
    <w:p w14:paraId="74B38656" w14:textId="2B88F6D9" w:rsidR="00EF2CF7" w:rsidRPr="00D86804" w:rsidRDefault="00EF2CF7" w:rsidP="00EF2CF7">
      <w:pPr>
        <w:pStyle w:val="CETBodytext"/>
        <w:rPr>
          <w:lang w:val="en-GB"/>
        </w:rPr>
      </w:pPr>
      <w:r w:rsidRPr="00D86804">
        <w:rPr>
          <w:lang w:val="en-GB"/>
        </w:rPr>
        <w:t>The anode is lithium, it is obtained from spodumene (Figure 1(</w:t>
      </w:r>
      <w:r w:rsidR="0033104A" w:rsidRPr="00D86804">
        <w:rPr>
          <w:lang w:val="en-GB"/>
        </w:rPr>
        <w:t>b</w:t>
      </w:r>
      <w:r w:rsidRPr="00D86804">
        <w:rPr>
          <w:lang w:val="en-GB"/>
        </w:rPr>
        <w:t>)). The spodumene is heated to a high temperature in an oven, to convert the crystalline phase of α-spodumene into the more valuable form of β-spodumene. This is followed by purification with sulfuric acid. Lithium carbonate or lithium hydroxide is then precipitated and crystallized from the acid-treated solution. The process is an electrolysis of the LiCl component of a LiCl-KCl eutectic in the temperature range between 400 and 450°C, to produce high-purity lithium metal.</w:t>
      </w:r>
    </w:p>
    <w:p w14:paraId="6F505D36" w14:textId="4AA32EA8" w:rsidR="00EF2CF7" w:rsidRPr="00D86804" w:rsidRDefault="00EF2CF7" w:rsidP="0033104A">
      <w:pPr>
        <w:pStyle w:val="CETBodytext"/>
        <w:rPr>
          <w:lang w:val="en-GB"/>
        </w:rPr>
      </w:pPr>
      <w:r w:rsidRPr="00D86804">
        <w:rPr>
          <w:lang w:val="en-GB"/>
        </w:rPr>
        <w:t>The cathode consists of LiFePO</w:t>
      </w:r>
      <w:r w:rsidRPr="00D86804">
        <w:rPr>
          <w:vertAlign w:val="subscript"/>
          <w:lang w:val="en-GB"/>
        </w:rPr>
        <w:t>4</w:t>
      </w:r>
      <w:r w:rsidRPr="00D86804">
        <w:rPr>
          <w:lang w:val="en-GB"/>
        </w:rPr>
        <w:t>, polyvinylidene fluoride, and carbon black, obtained through synthesis and mixing processes (Figure 1(</w:t>
      </w:r>
      <w:r w:rsidR="0033104A" w:rsidRPr="00D86804">
        <w:rPr>
          <w:lang w:val="en-GB"/>
        </w:rPr>
        <w:t>c</w:t>
      </w:r>
      <w:r w:rsidRPr="00D86804">
        <w:rPr>
          <w:lang w:val="en-GB"/>
        </w:rPr>
        <w:t xml:space="preserve">)). </w:t>
      </w:r>
      <w:r w:rsidR="00DE4139" w:rsidRPr="00D86804">
        <w:rPr>
          <w:lang w:val="en-GB"/>
        </w:rPr>
        <w:t>Lithium sulfate monohydrate (</w:t>
      </w:r>
      <w:r w:rsidRPr="00D86804">
        <w:t>Li</w:t>
      </w:r>
      <w:r w:rsidRPr="00D86804">
        <w:rPr>
          <w:vertAlign w:val="subscript"/>
        </w:rPr>
        <w:t>2</w:t>
      </w:r>
      <w:r w:rsidRPr="00D86804">
        <w:t>SO</w:t>
      </w:r>
      <w:r w:rsidRPr="00D86804">
        <w:rPr>
          <w:vertAlign w:val="subscript"/>
        </w:rPr>
        <w:t>4</w:t>
      </w:r>
      <w:r w:rsidRPr="00D86804">
        <w:t>·H</w:t>
      </w:r>
      <w:r w:rsidRPr="00D86804">
        <w:rPr>
          <w:vertAlign w:val="subscript"/>
        </w:rPr>
        <w:t>2</w:t>
      </w:r>
      <w:r w:rsidRPr="00D86804">
        <w:t>O</w:t>
      </w:r>
      <w:r w:rsidR="00DE4139" w:rsidRPr="00D86804">
        <w:t>)</w:t>
      </w:r>
      <w:r w:rsidRPr="00D86804">
        <w:t xml:space="preserve">, </w:t>
      </w:r>
      <w:r w:rsidR="00DE4139" w:rsidRPr="00D86804">
        <w:t>potassium dihydrogen phosphate (</w:t>
      </w:r>
      <w:r w:rsidRPr="00D86804">
        <w:t>KH</w:t>
      </w:r>
      <w:r w:rsidRPr="00D86804">
        <w:rPr>
          <w:vertAlign w:val="subscript"/>
        </w:rPr>
        <w:t>2</w:t>
      </w:r>
      <w:r w:rsidRPr="00D86804">
        <w:t>PO</w:t>
      </w:r>
      <w:r w:rsidRPr="00D86804">
        <w:rPr>
          <w:vertAlign w:val="subscript"/>
        </w:rPr>
        <w:t>4</w:t>
      </w:r>
      <w:r w:rsidR="00DE4139" w:rsidRPr="00D86804">
        <w:t>)</w:t>
      </w:r>
      <w:r w:rsidRPr="00D86804">
        <w:t xml:space="preserve">, and </w:t>
      </w:r>
      <w:r w:rsidR="00DE4139" w:rsidRPr="00D86804">
        <w:t>ferrous sulfate heptahydrate (</w:t>
      </w:r>
      <w:r w:rsidRPr="00D86804">
        <w:t>FeSO</w:t>
      </w:r>
      <w:r w:rsidRPr="00D86804">
        <w:rPr>
          <w:vertAlign w:val="subscript"/>
        </w:rPr>
        <w:t>4</w:t>
      </w:r>
      <w:r w:rsidRPr="00D86804">
        <w:t>·7H</w:t>
      </w:r>
      <w:r w:rsidRPr="00D86804">
        <w:rPr>
          <w:vertAlign w:val="subscript"/>
        </w:rPr>
        <w:t>2</w:t>
      </w:r>
      <w:r w:rsidRPr="00D86804">
        <w:t>O</w:t>
      </w:r>
      <w:r w:rsidR="00DE4139" w:rsidRPr="00D86804">
        <w:t>)</w:t>
      </w:r>
      <w:r w:rsidRPr="00D86804">
        <w:t xml:space="preserve"> are dissolved in a mixture of ethylene glycol/H</w:t>
      </w:r>
      <w:r w:rsidRPr="00D86804">
        <w:rPr>
          <w:vertAlign w:val="subscript"/>
        </w:rPr>
        <w:t>2</w:t>
      </w:r>
      <w:r w:rsidRPr="00D86804">
        <w:t xml:space="preserve">O (1:1 by volume) by magnetic stirring, forming a suspension as a raw material for the hydrothermal synthesis. </w:t>
      </w:r>
      <w:r w:rsidR="00DE4139" w:rsidRPr="00D86804">
        <w:t>Potassium hydroxide (</w:t>
      </w:r>
      <w:r w:rsidRPr="00D86804">
        <w:t>KOH</w:t>
      </w:r>
      <w:r w:rsidR="00DE4139" w:rsidRPr="00D86804">
        <w:t>)</w:t>
      </w:r>
      <w:r w:rsidRPr="00D86804">
        <w:t xml:space="preserve"> is added and, after stirring for 30 minutes, the suspension is transferred to a Teflon-lined autoclave made of stainless steel. The sealed autoclave is heated to 200°C for 16 hours for the hydrothermal reaction. The cooled LiFePO</w:t>
      </w:r>
      <w:r w:rsidRPr="00D86804">
        <w:rPr>
          <w:vertAlign w:val="subscript"/>
        </w:rPr>
        <w:t>4</w:t>
      </w:r>
      <w:r w:rsidRPr="00D86804">
        <w:t xml:space="preserve"> product is washed with distilled water and ethanol and, after drying, is mixed with sucrose at 600°C for 4 hours in a nitrogen atmosphere to form carbon. Finally, they are deposited, in the presence of polyvinylidene fluoride, on </w:t>
      </w:r>
      <w:r w:rsidRPr="00D86804">
        <w:rPr>
          <w:lang w:val="en-GB"/>
        </w:rPr>
        <w:t>aluminium</w:t>
      </w:r>
      <w:r w:rsidRPr="00D86804">
        <w:t>. Polyvinylidene fluoride (PVDF) is the alternating homopolymer of vinylidene fluoride and is obtained through a polymerization reaction.</w:t>
      </w:r>
    </w:p>
    <w:p w14:paraId="370A2556" w14:textId="223B0D42" w:rsidR="00EF2CF7" w:rsidRDefault="00EF2CF7" w:rsidP="00EF2CF7">
      <w:pPr>
        <w:pStyle w:val="CETBodytext"/>
        <w:jc w:val="center"/>
        <w:rPr>
          <w:lang w:val="en-GB"/>
        </w:rPr>
      </w:pPr>
      <w:r>
        <w:rPr>
          <w:lang w:val="en-GB"/>
        </w:rPr>
        <w:lastRenderedPageBreak/>
        <w:t>(a)</w:t>
      </w:r>
      <w:r w:rsidR="0033104A" w:rsidRPr="0033104A">
        <w:rPr>
          <w:noProof/>
          <w:lang w:val="en-GB"/>
        </w:rPr>
        <w:t xml:space="preserve"> </w:t>
      </w:r>
      <w:r w:rsidR="0033104A">
        <w:rPr>
          <w:noProof/>
        </w:rPr>
        <w:drawing>
          <wp:inline distT="0" distB="0" distL="0" distR="0" wp14:anchorId="08E389D9" wp14:editId="0C143A0C">
            <wp:extent cx="2388235" cy="904875"/>
            <wp:effectExtent l="0" t="0" r="0" b="0"/>
            <wp:docPr id="492012805" name="Immagine 3" descr="Immagine che contiene testo, schermata, ner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12767" name="Immagine 3" descr="Immagine che contiene testo, schermata, nero, Elementi grafici&#10;&#10;Il contenuto generato dall'IA potrebbe non essere corrett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35743"/>
                    <a:stretch/>
                  </pic:blipFill>
                  <pic:spPr bwMode="auto">
                    <a:xfrm>
                      <a:off x="0" y="0"/>
                      <a:ext cx="2415748" cy="915299"/>
                    </a:xfrm>
                    <a:prstGeom prst="rect">
                      <a:avLst/>
                    </a:prstGeom>
                    <a:noFill/>
                    <a:ln>
                      <a:noFill/>
                    </a:ln>
                    <a:extLst>
                      <a:ext uri="{53640926-AAD7-44D8-BBD7-CCE9431645EC}">
                        <a14:shadowObscured xmlns:a14="http://schemas.microsoft.com/office/drawing/2010/main"/>
                      </a:ext>
                    </a:extLst>
                  </pic:spPr>
                </pic:pic>
              </a:graphicData>
            </a:graphic>
          </wp:inline>
        </w:drawing>
      </w:r>
      <w:r w:rsidR="0033104A">
        <w:rPr>
          <w:noProof/>
          <w:lang w:val="en-GB"/>
        </w:rPr>
        <w:t xml:space="preserve"> (b)</w:t>
      </w:r>
      <w:r>
        <w:rPr>
          <w:noProof/>
        </w:rPr>
        <w:drawing>
          <wp:inline distT="0" distB="0" distL="0" distR="0" wp14:anchorId="747B5845" wp14:editId="16F134E7">
            <wp:extent cx="2804022" cy="1022174"/>
            <wp:effectExtent l="0" t="0" r="0" b="6985"/>
            <wp:docPr id="1505480929" name="Immagine 1" descr="Immagine che contiene schermata, diagramm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43072" name="Immagine 1" descr="Immagine che contiene schermata, diagramma, design&#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3470" cy="1036554"/>
                    </a:xfrm>
                    <a:prstGeom prst="rect">
                      <a:avLst/>
                    </a:prstGeom>
                    <a:noFill/>
                  </pic:spPr>
                </pic:pic>
              </a:graphicData>
            </a:graphic>
          </wp:inline>
        </w:drawing>
      </w:r>
      <w:r w:rsidR="0033104A" w:rsidRPr="0033104A">
        <w:rPr>
          <w:noProof/>
          <w:lang w:val="en-GB"/>
        </w:rPr>
        <w:t xml:space="preserve"> </w:t>
      </w:r>
    </w:p>
    <w:p w14:paraId="1B471D99" w14:textId="1469C6EA" w:rsidR="00EF2CF7" w:rsidRDefault="00EF2CF7" w:rsidP="00EF2CF7">
      <w:pPr>
        <w:pStyle w:val="CETBodytext"/>
        <w:jc w:val="center"/>
        <w:rPr>
          <w:lang w:val="en-GB"/>
        </w:rPr>
      </w:pPr>
      <w:r>
        <w:rPr>
          <w:lang w:val="en-GB"/>
        </w:rPr>
        <w:t>(</w:t>
      </w:r>
      <w:r w:rsidR="0033104A">
        <w:rPr>
          <w:lang w:val="en-GB"/>
        </w:rPr>
        <w:t>c</w:t>
      </w:r>
      <w:r>
        <w:rPr>
          <w:lang w:val="en-GB"/>
        </w:rPr>
        <w:t>)</w:t>
      </w:r>
      <w:r>
        <w:rPr>
          <w:noProof/>
        </w:rPr>
        <w:drawing>
          <wp:inline distT="0" distB="0" distL="0" distR="0" wp14:anchorId="1560266C" wp14:editId="7105801B">
            <wp:extent cx="4123570" cy="1346254"/>
            <wp:effectExtent l="0" t="0" r="0" b="6350"/>
            <wp:docPr id="533278296" name="Immagine 2" descr="Immagine che contiene orologio, schermata,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02009" name="Immagine 2" descr="Immagine che contiene orologio, schermata, design&#10;&#10;Il contenuto generato dall'IA potrebbe non essere corret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9756" cy="1351538"/>
                    </a:xfrm>
                    <a:prstGeom prst="rect">
                      <a:avLst/>
                    </a:prstGeom>
                    <a:noFill/>
                  </pic:spPr>
                </pic:pic>
              </a:graphicData>
            </a:graphic>
          </wp:inline>
        </w:drawing>
      </w:r>
    </w:p>
    <w:p w14:paraId="53E53C6A" w14:textId="7C291614" w:rsidR="00EF2CF7" w:rsidRDefault="00EF2CF7" w:rsidP="00EF2CF7">
      <w:pPr>
        <w:pStyle w:val="CETCaption"/>
      </w:pPr>
      <w:r w:rsidRPr="00996B29">
        <w:t xml:space="preserve">Figure </w:t>
      </w:r>
      <w:r>
        <w:t>1</w:t>
      </w:r>
      <w:r w:rsidRPr="00996B29">
        <w:t xml:space="preserve">: </w:t>
      </w:r>
      <w:r>
        <w:t>Production process of LIB</w:t>
      </w:r>
      <w:r w:rsidR="009410DF">
        <w:t>’</w:t>
      </w:r>
      <w:r>
        <w:t xml:space="preserve">s components: </w:t>
      </w:r>
      <w:r w:rsidR="0033104A">
        <w:t xml:space="preserve">(a) electrolyte solution, </w:t>
      </w:r>
      <w:r>
        <w:t>(</w:t>
      </w:r>
      <w:r w:rsidR="0033104A">
        <w:t>b</w:t>
      </w:r>
      <w:r>
        <w:t>) anode</w:t>
      </w:r>
      <w:r w:rsidR="0033104A">
        <w:t>, and</w:t>
      </w:r>
      <w:r>
        <w:t xml:space="preserve"> (</w:t>
      </w:r>
      <w:r w:rsidR="0033104A">
        <w:t>c</w:t>
      </w:r>
      <w:r>
        <w:t xml:space="preserve">) cathode </w:t>
      </w:r>
    </w:p>
    <w:p w14:paraId="4791C49F" w14:textId="1CBE3B72" w:rsidR="0033104A" w:rsidRPr="00D86804" w:rsidRDefault="00EF2CF7" w:rsidP="0033104A">
      <w:pPr>
        <w:pStyle w:val="CETBodytext"/>
        <w:rPr>
          <w:lang w:val="en-GB"/>
        </w:rPr>
      </w:pPr>
      <w:r w:rsidRPr="00D86804">
        <w:rPr>
          <w:lang w:val="en-GB"/>
        </w:rPr>
        <w:t>Concerning SIB, the production process</w:t>
      </w:r>
      <w:r w:rsidR="0033104A" w:rsidRPr="00D86804">
        <w:rPr>
          <w:lang w:val="en-GB"/>
        </w:rPr>
        <w:t>es</w:t>
      </w:r>
      <w:r w:rsidRPr="00D86804">
        <w:rPr>
          <w:lang w:val="en-GB"/>
        </w:rPr>
        <w:t xml:space="preserve"> of the key components </w:t>
      </w:r>
      <w:r w:rsidR="0033104A" w:rsidRPr="00D86804">
        <w:rPr>
          <w:lang w:val="en-GB"/>
        </w:rPr>
        <w:t>are</w:t>
      </w:r>
      <w:r w:rsidRPr="00D86804">
        <w:rPr>
          <w:lang w:val="en-GB"/>
        </w:rPr>
        <w:t xml:space="preserve"> given in Figure 2. </w:t>
      </w:r>
      <w:r w:rsidR="0033104A" w:rsidRPr="00D86804">
        <w:rPr>
          <w:lang w:val="en-GB"/>
        </w:rPr>
        <w:t>The electrolyte, typically a solution of NaPF</w:t>
      </w:r>
      <w:r w:rsidR="0033104A" w:rsidRPr="00D86804">
        <w:rPr>
          <w:vertAlign w:val="subscript"/>
          <w:lang w:val="en-GB"/>
        </w:rPr>
        <w:t>6</w:t>
      </w:r>
      <w:r w:rsidR="0033104A" w:rsidRPr="00D86804">
        <w:rPr>
          <w:lang w:val="en-GB"/>
        </w:rPr>
        <w:t xml:space="preserve"> in organic solvents like diglyme, is prepared through chemical reactions and purification processes. The NaPF</w:t>
      </w:r>
      <w:r w:rsidR="0033104A" w:rsidRPr="00D86804">
        <w:rPr>
          <w:vertAlign w:val="subscript"/>
          <w:lang w:val="en-GB"/>
        </w:rPr>
        <w:t>6</w:t>
      </w:r>
      <w:r w:rsidR="0033104A" w:rsidRPr="00D86804">
        <w:rPr>
          <w:lang w:val="en-GB"/>
        </w:rPr>
        <w:t xml:space="preserve"> solution is made by mixing the salt in the diglyme solvent (Figure2(a)).</w:t>
      </w:r>
    </w:p>
    <w:p w14:paraId="1BE24BAA" w14:textId="6D0BD880" w:rsidR="00EF2CF7" w:rsidRPr="00D86804" w:rsidRDefault="00EF2CF7" w:rsidP="00EF2CF7">
      <w:pPr>
        <w:pStyle w:val="CETBodytext"/>
        <w:rPr>
          <w:lang w:val="en-GB"/>
        </w:rPr>
      </w:pPr>
      <w:r w:rsidRPr="00D86804">
        <w:rPr>
          <w:lang w:val="en-GB"/>
        </w:rPr>
        <w:t>The sodium used for the anode of SIBs is obtained from common salt (NaCl) through electrolysis (Figure 2(</w:t>
      </w:r>
      <w:r w:rsidR="0033104A" w:rsidRPr="00D86804">
        <w:rPr>
          <w:lang w:val="en-GB"/>
        </w:rPr>
        <w:t>b</w:t>
      </w:r>
      <w:r w:rsidRPr="00D86804">
        <w:rPr>
          <w:lang w:val="en-GB"/>
        </w:rPr>
        <w:t xml:space="preserve">)). Sodium chloride can be extracted through mining, following different steps (accumulation, transfer, sieving, classification, packaging and transport). The purified salt undergoes high-temperature electrolysis as the low reduction potential prevents obtaining sodium from the electrolysis of aqueous NaCl solutions. In the electrolysis of molten NaCl, </w:t>
      </w:r>
      <w:r w:rsidR="007C15FD" w:rsidRPr="00D86804">
        <w:rPr>
          <w:lang w:val="en-GB"/>
        </w:rPr>
        <w:t>calcium chloride (</w:t>
      </w:r>
      <w:r w:rsidR="00065BDA" w:rsidRPr="00D86804">
        <w:rPr>
          <w:lang w:val="en-GB"/>
        </w:rPr>
        <w:t>CaCl</w:t>
      </w:r>
      <w:r w:rsidR="00065BDA" w:rsidRPr="00D86804">
        <w:rPr>
          <w:vertAlign w:val="subscript"/>
          <w:lang w:val="en-GB"/>
        </w:rPr>
        <w:t>2</w:t>
      </w:r>
      <w:r w:rsidR="007C15FD" w:rsidRPr="00D86804">
        <w:rPr>
          <w:lang w:val="en-GB"/>
        </w:rPr>
        <w:t>)</w:t>
      </w:r>
      <w:r w:rsidRPr="00D86804">
        <w:rPr>
          <w:lang w:val="en-GB"/>
        </w:rPr>
        <w:t xml:space="preserve"> and alkali fluorides are added to lower the melting point to </w:t>
      </w:r>
      <w:r w:rsidR="00A24D24" w:rsidRPr="00D86804">
        <w:rPr>
          <w:lang w:val="en-GB"/>
        </w:rPr>
        <w:sym w:font="Symbol" w:char="F07E"/>
      </w:r>
      <w:r w:rsidRPr="00D86804">
        <w:rPr>
          <w:lang w:val="en-GB"/>
        </w:rPr>
        <w:t xml:space="preserve"> 600°C (Downs process).</w:t>
      </w:r>
    </w:p>
    <w:p w14:paraId="537D8B07" w14:textId="4CDFEB80" w:rsidR="00EF2CF7" w:rsidRPr="00D86804" w:rsidRDefault="00EF2CF7" w:rsidP="00EF2CF7">
      <w:pPr>
        <w:pStyle w:val="CETBodytext"/>
        <w:rPr>
          <w:lang w:val="en-GB"/>
        </w:rPr>
      </w:pPr>
      <w:r w:rsidRPr="00D86804">
        <w:rPr>
          <w:lang w:val="en-GB"/>
        </w:rPr>
        <w:t>The cathode is a mixture of NaFePO</w:t>
      </w:r>
      <w:r w:rsidRPr="00D86804">
        <w:rPr>
          <w:vertAlign w:val="subscript"/>
          <w:lang w:val="en-GB"/>
        </w:rPr>
        <w:t>4</w:t>
      </w:r>
      <w:r w:rsidRPr="00D86804">
        <w:rPr>
          <w:lang w:val="en-GB"/>
        </w:rPr>
        <w:t>, polyvinylidene fluoride, and carbon black (Figure 2(</w:t>
      </w:r>
      <w:r w:rsidR="003E3AD1" w:rsidRPr="00D86804">
        <w:rPr>
          <w:lang w:val="en-GB"/>
        </w:rPr>
        <w:t>c</w:t>
      </w:r>
      <w:r w:rsidRPr="00D86804">
        <w:rPr>
          <w:lang w:val="en-GB"/>
        </w:rPr>
        <w:t xml:space="preserve">)). The carbon black can be obtained by the Channel Black process, in which methane is burned at low temperature (500°C) and in a low presence of air, insufflating it at low pressure. The combustion gas laps the external bottom of iron channels in which water flows, depositing very fine dust. The channels are vibrated to detach the produced carbon black. </w:t>
      </w:r>
      <w:r w:rsidR="00065BDA" w:rsidRPr="00D86804">
        <w:rPr>
          <w:lang w:val="en-GB"/>
        </w:rPr>
        <w:t>Then</w:t>
      </w:r>
      <w:r w:rsidRPr="00D86804">
        <w:rPr>
          <w:lang w:val="en-GB"/>
        </w:rPr>
        <w:t xml:space="preserve">, </w:t>
      </w:r>
      <w:r w:rsidR="00065BDA" w:rsidRPr="00D86804">
        <w:rPr>
          <w:lang w:val="en-GB"/>
        </w:rPr>
        <w:t>it</w:t>
      </w:r>
      <w:r w:rsidRPr="00D86804">
        <w:rPr>
          <w:lang w:val="en-GB"/>
        </w:rPr>
        <w:t xml:space="preserve"> needs to be purified to separate gravel, coarse particles, and scales, through sieving. The powder is transported after agglomeration into spherules and granulation and drying at 65°C.</w:t>
      </w:r>
    </w:p>
    <w:p w14:paraId="7406D50B" w14:textId="156F4694" w:rsidR="00EF2CF7" w:rsidRPr="00D86804" w:rsidRDefault="00EF2CF7" w:rsidP="00065BDA">
      <w:pPr>
        <w:pStyle w:val="CETBodytext"/>
        <w:rPr>
          <w:lang w:val="en-GB"/>
        </w:rPr>
      </w:pPr>
      <w:r w:rsidRPr="00D86804">
        <w:rPr>
          <w:lang w:val="en-GB"/>
        </w:rPr>
        <w:t>The NaFePO</w:t>
      </w:r>
      <w:r w:rsidRPr="00D86804">
        <w:rPr>
          <w:vertAlign w:val="subscript"/>
          <w:lang w:val="en-GB"/>
        </w:rPr>
        <w:t>4</w:t>
      </w:r>
      <w:r w:rsidRPr="00D86804">
        <w:rPr>
          <w:lang w:val="en-GB"/>
        </w:rPr>
        <w:t xml:space="preserve"> salt is obtained by electrochemical insertion of sodium into delithiated </w:t>
      </w:r>
      <w:r w:rsidR="007C15FD" w:rsidRPr="00D86804">
        <w:rPr>
          <w:lang w:val="en-GB"/>
        </w:rPr>
        <w:t>ferric phosphate (</w:t>
      </w:r>
      <w:r w:rsidRPr="00D86804">
        <w:rPr>
          <w:lang w:val="en-GB"/>
        </w:rPr>
        <w:t>FePO</w:t>
      </w:r>
      <w:r w:rsidRPr="00D86804">
        <w:rPr>
          <w:vertAlign w:val="subscript"/>
          <w:lang w:val="en-GB"/>
        </w:rPr>
        <w:t>4</w:t>
      </w:r>
      <w:r w:rsidR="007C15FD" w:rsidRPr="00D86804">
        <w:rPr>
          <w:lang w:val="en-GB"/>
        </w:rPr>
        <w:t>)</w:t>
      </w:r>
      <w:r w:rsidRPr="00D86804">
        <w:rPr>
          <w:lang w:val="en-GB"/>
        </w:rPr>
        <w:t>. This method requires two steps: delithiation and insertion of sodium into the delithiated FePO</w:t>
      </w:r>
      <w:r w:rsidRPr="00D86804">
        <w:rPr>
          <w:vertAlign w:val="subscript"/>
          <w:lang w:val="en-GB"/>
        </w:rPr>
        <w:t>4</w:t>
      </w:r>
      <w:r w:rsidRPr="00D86804">
        <w:rPr>
          <w:lang w:val="en-GB"/>
        </w:rPr>
        <w:t xml:space="preserve"> in a new cell with metallic sodium as the anode. Electrochemical sodiation is carried out in an electrochemical cell containing 50 mL of 1 M </w:t>
      </w:r>
      <w:r w:rsidR="007C15FD" w:rsidRPr="00D86804">
        <w:rPr>
          <w:lang w:val="en-GB"/>
        </w:rPr>
        <w:t>sodium perchlorate (</w:t>
      </w:r>
      <w:r w:rsidRPr="00D86804">
        <w:rPr>
          <w:lang w:val="en-GB"/>
        </w:rPr>
        <w:t>NaClO</w:t>
      </w:r>
      <w:r w:rsidRPr="00D86804">
        <w:rPr>
          <w:vertAlign w:val="subscript"/>
          <w:lang w:val="en-GB"/>
        </w:rPr>
        <w:t>4</w:t>
      </w:r>
      <w:r w:rsidR="007C15FD" w:rsidRPr="00D86804">
        <w:rPr>
          <w:lang w:val="en-GB"/>
        </w:rPr>
        <w:t>)</w:t>
      </w:r>
      <w:r w:rsidRPr="00D86804">
        <w:rPr>
          <w:lang w:val="en-GB"/>
        </w:rPr>
        <w:t xml:space="preserve"> electrolyte in propylene carbonate. FePO</w:t>
      </w:r>
      <w:r w:rsidRPr="00D86804">
        <w:rPr>
          <w:vertAlign w:val="subscript"/>
          <w:lang w:val="en-GB"/>
        </w:rPr>
        <w:t>4</w:t>
      </w:r>
      <w:r w:rsidRPr="00D86804">
        <w:rPr>
          <w:lang w:val="en-GB"/>
        </w:rPr>
        <w:t>/Al is used as the working electrode with metallic Na as the counter electrode, also the reference electrode is metallic Na.</w:t>
      </w:r>
      <w:r w:rsidR="003E3AD1" w:rsidRPr="00D86804">
        <w:rPr>
          <w:lang w:val="en-GB"/>
        </w:rPr>
        <w:t xml:space="preserve"> </w:t>
      </w:r>
      <w:r w:rsidRPr="00D86804">
        <w:rPr>
          <w:lang w:val="en-GB"/>
        </w:rPr>
        <w:t>The calcined FePO</w:t>
      </w:r>
      <w:r w:rsidRPr="00D86804">
        <w:rPr>
          <w:vertAlign w:val="subscript"/>
          <w:lang w:val="en-GB"/>
        </w:rPr>
        <w:t>4</w:t>
      </w:r>
      <w:r w:rsidRPr="00D86804">
        <w:rPr>
          <w:lang w:val="en-GB"/>
        </w:rPr>
        <w:t xml:space="preserve"> powder is mixed with carbon black and polyvinylidene fluoride. The mixture is dispersed in N-methyl-2-pyrrolidone and the suspension is cast on aluminium foil and dried at 60°C for 2 hours in a vacuum oven.</w:t>
      </w:r>
    </w:p>
    <w:p w14:paraId="4CED82F8" w14:textId="243C06F8" w:rsidR="00EF2CF7" w:rsidRDefault="0033104A" w:rsidP="00EF2CF7">
      <w:pPr>
        <w:pStyle w:val="CETBodytext"/>
        <w:jc w:val="center"/>
        <w:rPr>
          <w:lang w:val="en-GB"/>
        </w:rPr>
      </w:pPr>
      <w:r>
        <w:rPr>
          <w:lang w:val="en-GB"/>
        </w:rPr>
        <w:t>(a)</w:t>
      </w:r>
      <w:r>
        <w:rPr>
          <w:noProof/>
        </w:rPr>
        <w:drawing>
          <wp:inline distT="0" distB="0" distL="0" distR="0" wp14:anchorId="72B3614C" wp14:editId="115A0BD5">
            <wp:extent cx="1958147" cy="809625"/>
            <wp:effectExtent l="0" t="0" r="4445" b="0"/>
            <wp:docPr id="856735098" name="Immagine 6" descr="Immagine che contiene testo, schermata,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33028" name="Immagine 6" descr="Immagine che contiene testo, schermata, Carattere, Elementi grafici&#10;&#10;Il contenuto generato dall'IA potrebbe non essere corrett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7619"/>
                    <a:stretch/>
                  </pic:blipFill>
                  <pic:spPr bwMode="auto">
                    <a:xfrm>
                      <a:off x="0" y="0"/>
                      <a:ext cx="1998002" cy="826104"/>
                    </a:xfrm>
                    <a:prstGeom prst="rect">
                      <a:avLst/>
                    </a:prstGeom>
                    <a:noFill/>
                    <a:ln>
                      <a:noFill/>
                    </a:ln>
                    <a:extLst>
                      <a:ext uri="{53640926-AAD7-44D8-BBD7-CCE9431645EC}">
                        <a14:shadowObscured xmlns:a14="http://schemas.microsoft.com/office/drawing/2010/main"/>
                      </a:ext>
                    </a:extLst>
                  </pic:spPr>
                </pic:pic>
              </a:graphicData>
            </a:graphic>
          </wp:inline>
        </w:drawing>
      </w:r>
      <w:r>
        <w:rPr>
          <w:lang w:val="en-GB"/>
        </w:rPr>
        <w:t xml:space="preserve">  </w:t>
      </w:r>
      <w:r w:rsidR="00EF2CF7">
        <w:rPr>
          <w:lang w:val="en-GB"/>
        </w:rPr>
        <w:t>(</w:t>
      </w:r>
      <w:r>
        <w:rPr>
          <w:lang w:val="en-GB"/>
        </w:rPr>
        <w:t>b</w:t>
      </w:r>
      <w:r w:rsidR="00EF2CF7">
        <w:rPr>
          <w:lang w:val="en-GB"/>
        </w:rPr>
        <w:t>)</w:t>
      </w:r>
      <w:r w:rsidR="00EF2CF7">
        <w:rPr>
          <w:noProof/>
        </w:rPr>
        <w:drawing>
          <wp:inline distT="0" distB="0" distL="0" distR="0" wp14:anchorId="115F6CED" wp14:editId="21D7F39C">
            <wp:extent cx="1947551" cy="908685"/>
            <wp:effectExtent l="0" t="0" r="0" b="0"/>
            <wp:docPr id="1959012997" name="Immagine 4" descr="Immagine che contiene testo, schermata, line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90983" name="Immagine 4" descr="Immagine che contiene testo, schermata, linea, Elementi grafici&#10;&#10;Il contenuto generato dall'IA potrebbe non essere corret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474" cy="915648"/>
                    </a:xfrm>
                    <a:prstGeom prst="rect">
                      <a:avLst/>
                    </a:prstGeom>
                    <a:noFill/>
                  </pic:spPr>
                </pic:pic>
              </a:graphicData>
            </a:graphic>
          </wp:inline>
        </w:drawing>
      </w:r>
    </w:p>
    <w:p w14:paraId="271781EE" w14:textId="3815E7F6" w:rsidR="00EF2CF7" w:rsidRPr="002354DC" w:rsidRDefault="00EF2CF7" w:rsidP="003E3AD1">
      <w:pPr>
        <w:pStyle w:val="CETBodytext"/>
        <w:jc w:val="center"/>
      </w:pPr>
      <w:r>
        <w:rPr>
          <w:lang w:val="en-GB"/>
        </w:rPr>
        <w:t>(</w:t>
      </w:r>
      <w:r w:rsidR="0033104A">
        <w:rPr>
          <w:lang w:val="en-GB"/>
        </w:rPr>
        <w:t>c</w:t>
      </w:r>
      <w:r>
        <w:rPr>
          <w:lang w:val="en-GB"/>
        </w:rPr>
        <w:t>)</w:t>
      </w:r>
      <w:r>
        <w:rPr>
          <w:noProof/>
        </w:rPr>
        <w:drawing>
          <wp:inline distT="0" distB="0" distL="0" distR="0" wp14:anchorId="522A5586" wp14:editId="50630999">
            <wp:extent cx="3671277" cy="1102686"/>
            <wp:effectExtent l="0" t="0" r="5715" b="2540"/>
            <wp:docPr id="1681981496" name="Immagine 5" descr="Immagine che contiene schermata, oscurità,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21093" name="Immagine 5" descr="Immagine che contiene schermata, oscurità, design&#10;&#10;Il contenuto generato dall'IA potrebbe non essere corret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53751" cy="1127457"/>
                    </a:xfrm>
                    <a:prstGeom prst="rect">
                      <a:avLst/>
                    </a:prstGeom>
                    <a:noFill/>
                  </pic:spPr>
                </pic:pic>
              </a:graphicData>
            </a:graphic>
          </wp:inline>
        </w:drawing>
      </w:r>
    </w:p>
    <w:p w14:paraId="4BE03C6F" w14:textId="4D45ADFB" w:rsidR="00EF2CF7" w:rsidRDefault="00EF2CF7" w:rsidP="00EF2CF7">
      <w:pPr>
        <w:pStyle w:val="CETCaption"/>
      </w:pPr>
      <w:r w:rsidRPr="00996B29">
        <w:t xml:space="preserve">Figure </w:t>
      </w:r>
      <w:r w:rsidR="009410DF">
        <w:t>2</w:t>
      </w:r>
      <w:r w:rsidRPr="00996B29">
        <w:t xml:space="preserve">: </w:t>
      </w:r>
      <w:r>
        <w:t xml:space="preserve">Production process of </w:t>
      </w:r>
      <w:r w:rsidR="00A24D24">
        <w:t xml:space="preserve">SIB’s </w:t>
      </w:r>
      <w:r>
        <w:t>components: (a) anode; (b) cathode, and (c) electrolyte solution</w:t>
      </w:r>
    </w:p>
    <w:p w14:paraId="677EBFF0" w14:textId="70F423AF" w:rsidR="00600535" w:rsidRPr="009D0067" w:rsidRDefault="00996B29" w:rsidP="00900650">
      <w:pPr>
        <w:pStyle w:val="CETHeading1"/>
        <w:tabs>
          <w:tab w:val="clear" w:pos="360"/>
          <w:tab w:val="right" w:pos="7100"/>
        </w:tabs>
        <w:jc w:val="both"/>
        <w:rPr>
          <w:lang w:val="en-GB"/>
        </w:rPr>
      </w:pPr>
      <w:r w:rsidRPr="009D0067">
        <w:rPr>
          <w:lang w:val="en-GB"/>
        </w:rPr>
        <w:lastRenderedPageBreak/>
        <w:t>Results</w:t>
      </w:r>
    </w:p>
    <w:p w14:paraId="56E03E2A" w14:textId="3B57C85C" w:rsidR="00A24D24" w:rsidRPr="00424A5B" w:rsidRDefault="00EF2CF7" w:rsidP="00065BDA">
      <w:pPr>
        <w:pStyle w:val="CETBodytext"/>
      </w:pPr>
      <w:r w:rsidRPr="00CB7A83">
        <w:rPr>
          <w:lang w:val="en-GB"/>
        </w:rPr>
        <w:t>The scenarios</w:t>
      </w:r>
      <w:r>
        <w:rPr>
          <w:lang w:val="en-GB"/>
        </w:rPr>
        <w:t>,</w:t>
      </w:r>
      <w:r w:rsidRPr="00CB7A83">
        <w:rPr>
          <w:lang w:val="en-GB"/>
        </w:rPr>
        <w:t xml:space="preserve"> identified as a result of the </w:t>
      </w:r>
      <w:r>
        <w:rPr>
          <w:lang w:val="en-GB"/>
        </w:rPr>
        <w:t>HazOp application,</w:t>
      </w:r>
      <w:r w:rsidRPr="00CB7A83">
        <w:rPr>
          <w:lang w:val="en-GB"/>
        </w:rPr>
        <w:t xml:space="preserve"> can be traced back to the chemical treatments shown in </w:t>
      </w:r>
      <w:r>
        <w:rPr>
          <w:lang w:val="en-GB"/>
        </w:rPr>
        <w:t xml:space="preserve">the Figures </w:t>
      </w:r>
      <w:r w:rsidR="009410DF">
        <w:rPr>
          <w:lang w:val="en-GB"/>
        </w:rPr>
        <w:t>1</w:t>
      </w:r>
      <w:r>
        <w:rPr>
          <w:lang w:val="en-GB"/>
        </w:rPr>
        <w:t xml:space="preserve"> and </w:t>
      </w:r>
      <w:r w:rsidR="009410DF">
        <w:rPr>
          <w:lang w:val="en-GB"/>
        </w:rPr>
        <w:t>2</w:t>
      </w:r>
      <w:r w:rsidRPr="00CB7A83">
        <w:rPr>
          <w:lang w:val="en-GB"/>
        </w:rPr>
        <w:t xml:space="preserve">. </w:t>
      </w:r>
      <w:r w:rsidR="009410DF">
        <w:rPr>
          <w:lang w:val="en-GB"/>
        </w:rPr>
        <w:t>The process deviations</w:t>
      </w:r>
      <w:r w:rsidRPr="002354DC">
        <w:rPr>
          <w:lang w:val="en-GB"/>
        </w:rPr>
        <w:t xml:space="preserve"> are reported in Table</w:t>
      </w:r>
      <w:r>
        <w:rPr>
          <w:lang w:val="en-GB"/>
        </w:rPr>
        <w:t xml:space="preserve"> 2</w:t>
      </w:r>
      <w:r w:rsidR="00493989">
        <w:rPr>
          <w:lang w:val="en-GB"/>
        </w:rPr>
        <w:t xml:space="preserve"> and 3</w:t>
      </w:r>
      <w:r w:rsidRPr="002354DC">
        <w:rPr>
          <w:lang w:val="en-GB"/>
        </w:rPr>
        <w:t>. The rows include some explanatory examples of possible process deviations, causes, consequences and corrective actions.</w:t>
      </w:r>
      <w:r>
        <w:rPr>
          <w:lang w:val="en-GB"/>
        </w:rPr>
        <w:t xml:space="preserve"> Furthermore, the results of risk indexes</w:t>
      </w:r>
      <w:r w:rsidRPr="00FC6DDE">
        <w:rPr>
          <w:lang w:val="en-GB"/>
        </w:rPr>
        <w:t xml:space="preserve"> </w:t>
      </w:r>
      <w:r>
        <w:rPr>
          <w:lang w:val="en-GB"/>
        </w:rPr>
        <w:t>elaboration have been added.</w:t>
      </w:r>
      <w:r w:rsidR="00A24D24">
        <w:rPr>
          <w:lang w:val="en-GB"/>
        </w:rPr>
        <w:t xml:space="preserve"> </w:t>
      </w:r>
      <w:r w:rsidR="00A24D24" w:rsidRPr="00424A5B">
        <w:t xml:space="preserve">The examples have been chosen to show the application of the methodology to processes characterized by greater complexity. </w:t>
      </w:r>
    </w:p>
    <w:p w14:paraId="481FAF4E" w14:textId="1B8FB2A5" w:rsidR="00EF2CF7" w:rsidRDefault="00EF2CF7" w:rsidP="00EF2CF7">
      <w:pPr>
        <w:pStyle w:val="CETTabletitle"/>
      </w:pPr>
      <w:r>
        <w:t xml:space="preserve">Table </w:t>
      </w:r>
      <w:r w:rsidR="00493989">
        <w:t>2</w:t>
      </w:r>
      <w:r>
        <w:t xml:space="preserve">: </w:t>
      </w:r>
      <w:r w:rsidRPr="00BB541D">
        <w:t>Process deviations in the LIB production cycle, their causes and consequences, corrective actions, and risk ind</w:t>
      </w:r>
      <w:r>
        <w:t>exe</w:t>
      </w:r>
      <w:r w:rsidRPr="00BB541D">
        <w:t>s</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1559"/>
        <w:gridCol w:w="1417"/>
        <w:gridCol w:w="1560"/>
        <w:gridCol w:w="1134"/>
        <w:gridCol w:w="1701"/>
        <w:gridCol w:w="567"/>
      </w:tblGrid>
      <w:tr w:rsidR="00424A5B" w:rsidRPr="00B57B36" w14:paraId="41461BA0" w14:textId="77777777" w:rsidTr="00424A5B">
        <w:tc>
          <w:tcPr>
            <w:tcW w:w="993" w:type="dxa"/>
            <w:tcBorders>
              <w:top w:val="single" w:sz="12" w:space="0" w:color="008000"/>
              <w:bottom w:val="single" w:sz="8" w:space="0" w:color="008000"/>
            </w:tcBorders>
            <w:shd w:val="clear" w:color="auto" w:fill="FFFFFF"/>
          </w:tcPr>
          <w:p w14:paraId="2DC0D6B1" w14:textId="77777777" w:rsidR="00EF2CF7" w:rsidRPr="00B57B36" w:rsidRDefault="00EF2CF7" w:rsidP="00057E7B">
            <w:pPr>
              <w:pStyle w:val="CETBodytext"/>
              <w:ind w:right="-1"/>
              <w:jc w:val="center"/>
              <w:rPr>
                <w:rFonts w:cs="Arial"/>
                <w:szCs w:val="18"/>
                <w:lang w:val="en-GB"/>
              </w:rPr>
            </w:pPr>
            <w:r>
              <w:rPr>
                <w:lang w:val="en-GB"/>
              </w:rPr>
              <w:t>Component</w:t>
            </w:r>
          </w:p>
        </w:tc>
        <w:tc>
          <w:tcPr>
            <w:tcW w:w="1559" w:type="dxa"/>
            <w:tcBorders>
              <w:top w:val="single" w:sz="12" w:space="0" w:color="008000"/>
              <w:bottom w:val="single" w:sz="8" w:space="0" w:color="008000"/>
            </w:tcBorders>
            <w:shd w:val="clear" w:color="auto" w:fill="FFFFFF"/>
          </w:tcPr>
          <w:p w14:paraId="59F9203D" w14:textId="77777777" w:rsidR="00EF2CF7" w:rsidRDefault="00EF2CF7" w:rsidP="00057E7B">
            <w:pPr>
              <w:pStyle w:val="CETBodytext"/>
              <w:jc w:val="center"/>
            </w:pPr>
            <w:r>
              <w:rPr>
                <w:lang w:val="en-GB"/>
              </w:rPr>
              <w:t>Deviation</w:t>
            </w:r>
          </w:p>
          <w:p w14:paraId="4556B022" w14:textId="77777777" w:rsidR="00EF2CF7" w:rsidRPr="00B57B36" w:rsidRDefault="00EF2CF7" w:rsidP="00057E7B">
            <w:pPr>
              <w:pStyle w:val="CETBodytext"/>
              <w:jc w:val="center"/>
              <w:rPr>
                <w:rFonts w:cs="Arial"/>
                <w:szCs w:val="18"/>
                <w:lang w:val="en-GB"/>
              </w:rPr>
            </w:pPr>
            <w:r w:rsidRPr="00A40339">
              <w:rPr>
                <w:i/>
                <w:iCs/>
                <w:lang w:val="en-GB"/>
              </w:rPr>
              <w:t>process parameter</w:t>
            </w:r>
            <w:r>
              <w:rPr>
                <w:i/>
                <w:iCs/>
                <w:lang w:val="en-GB"/>
              </w:rPr>
              <w:t>/</w:t>
            </w:r>
            <w:r w:rsidRPr="00A40339">
              <w:rPr>
                <w:i/>
                <w:iCs/>
                <w:lang w:val="en-GB"/>
              </w:rPr>
              <w:t>keyword</w:t>
            </w:r>
          </w:p>
        </w:tc>
        <w:tc>
          <w:tcPr>
            <w:tcW w:w="1417" w:type="dxa"/>
            <w:tcBorders>
              <w:top w:val="single" w:sz="12" w:space="0" w:color="008000"/>
              <w:bottom w:val="single" w:sz="8" w:space="0" w:color="008000"/>
            </w:tcBorders>
            <w:shd w:val="clear" w:color="auto" w:fill="FFFFFF"/>
          </w:tcPr>
          <w:p w14:paraId="29AFD860" w14:textId="77777777" w:rsidR="00EF2CF7" w:rsidRPr="00B57B36" w:rsidRDefault="00EF2CF7" w:rsidP="00057E7B">
            <w:pPr>
              <w:pStyle w:val="CETBodytext"/>
              <w:ind w:right="-1"/>
              <w:jc w:val="center"/>
              <w:rPr>
                <w:rFonts w:cs="Arial"/>
                <w:szCs w:val="18"/>
                <w:lang w:val="en-GB"/>
              </w:rPr>
            </w:pPr>
            <w:r>
              <w:rPr>
                <w:rFonts w:cs="Arial"/>
                <w:szCs w:val="18"/>
                <w:lang w:val="en-GB"/>
              </w:rPr>
              <w:t>Cause</w:t>
            </w:r>
          </w:p>
        </w:tc>
        <w:tc>
          <w:tcPr>
            <w:tcW w:w="1560" w:type="dxa"/>
            <w:tcBorders>
              <w:top w:val="single" w:sz="12" w:space="0" w:color="008000"/>
              <w:bottom w:val="single" w:sz="8" w:space="0" w:color="008000"/>
            </w:tcBorders>
            <w:shd w:val="clear" w:color="auto" w:fill="FFFFFF"/>
          </w:tcPr>
          <w:p w14:paraId="5A0CB46A" w14:textId="77777777" w:rsidR="00EF2CF7" w:rsidRPr="00B57B36" w:rsidRDefault="00EF2CF7" w:rsidP="00057E7B">
            <w:pPr>
              <w:pStyle w:val="CETBodytext"/>
              <w:ind w:right="-1"/>
              <w:jc w:val="center"/>
              <w:rPr>
                <w:rFonts w:cs="Arial"/>
                <w:szCs w:val="18"/>
                <w:lang w:val="en-GB"/>
              </w:rPr>
            </w:pPr>
            <w:r>
              <w:rPr>
                <w:lang w:val="en-GB"/>
              </w:rPr>
              <w:t>Consequence</w:t>
            </w:r>
          </w:p>
        </w:tc>
        <w:tc>
          <w:tcPr>
            <w:tcW w:w="1134" w:type="dxa"/>
            <w:tcBorders>
              <w:top w:val="single" w:sz="12" w:space="0" w:color="008000"/>
              <w:bottom w:val="single" w:sz="8" w:space="0" w:color="008000"/>
            </w:tcBorders>
            <w:shd w:val="clear" w:color="auto" w:fill="FFFFFF"/>
          </w:tcPr>
          <w:p w14:paraId="347222AC" w14:textId="77777777" w:rsidR="00EF2CF7" w:rsidRPr="001C5E10" w:rsidRDefault="00EF2CF7" w:rsidP="00057E7B">
            <w:pPr>
              <w:pStyle w:val="CETBodytext"/>
              <w:ind w:right="-1"/>
              <w:jc w:val="center"/>
              <w:rPr>
                <w:lang w:val="en-GB"/>
              </w:rPr>
            </w:pPr>
            <w:r>
              <w:rPr>
                <w:lang w:val="en-GB"/>
              </w:rPr>
              <w:t>Corrective action</w:t>
            </w:r>
          </w:p>
        </w:tc>
        <w:tc>
          <w:tcPr>
            <w:tcW w:w="1701" w:type="dxa"/>
            <w:tcBorders>
              <w:top w:val="single" w:sz="12" w:space="0" w:color="008000"/>
              <w:bottom w:val="single" w:sz="8" w:space="0" w:color="008000"/>
            </w:tcBorders>
            <w:shd w:val="clear" w:color="auto" w:fill="FFFFFF"/>
          </w:tcPr>
          <w:p w14:paraId="19A8E3FF" w14:textId="77777777" w:rsidR="00EF2CF7" w:rsidRPr="001C5E10" w:rsidRDefault="00EF2CF7" w:rsidP="00057E7B">
            <w:pPr>
              <w:pStyle w:val="CETBodytext"/>
              <w:ind w:right="-1"/>
              <w:jc w:val="center"/>
              <w:rPr>
                <w:lang w:val="en-GB"/>
              </w:rPr>
            </w:pPr>
            <w:r>
              <w:rPr>
                <w:lang w:val="en-GB"/>
              </w:rPr>
              <w:t>Partial index</w:t>
            </w:r>
          </w:p>
        </w:tc>
        <w:tc>
          <w:tcPr>
            <w:tcW w:w="567" w:type="dxa"/>
            <w:tcBorders>
              <w:top w:val="single" w:sz="12" w:space="0" w:color="008000"/>
              <w:bottom w:val="single" w:sz="8" w:space="0" w:color="008000"/>
            </w:tcBorders>
            <w:shd w:val="clear" w:color="auto" w:fill="FFFFFF"/>
          </w:tcPr>
          <w:p w14:paraId="7F3F7A5C" w14:textId="72C527C0" w:rsidR="00EF2CF7" w:rsidRPr="001C5E10" w:rsidRDefault="00C16240" w:rsidP="00057E7B">
            <w:pPr>
              <w:pStyle w:val="CETBodytext"/>
              <w:ind w:right="-1"/>
              <w:jc w:val="center"/>
              <w:rPr>
                <w:lang w:val="en-GB"/>
              </w:rPr>
            </w:pPr>
            <w:r>
              <w:rPr>
                <w:lang w:val="en-GB"/>
              </w:rPr>
              <w:t>Risk i</w:t>
            </w:r>
            <w:r w:rsidR="00EF2CF7">
              <w:rPr>
                <w:lang w:val="en-GB"/>
              </w:rPr>
              <w:t>ndex</w:t>
            </w:r>
          </w:p>
        </w:tc>
      </w:tr>
      <w:tr w:rsidR="00424A5B" w:rsidRPr="00B57B36" w14:paraId="034FB177" w14:textId="77777777" w:rsidTr="00424A5B">
        <w:tc>
          <w:tcPr>
            <w:tcW w:w="993" w:type="dxa"/>
            <w:vMerge w:val="restart"/>
            <w:tcBorders>
              <w:top w:val="single" w:sz="8" w:space="0" w:color="008000"/>
            </w:tcBorders>
            <w:shd w:val="clear" w:color="auto" w:fill="FFFFFF"/>
          </w:tcPr>
          <w:p w14:paraId="399E9ADF" w14:textId="77777777" w:rsidR="00EF2CF7" w:rsidRPr="00B57B36" w:rsidRDefault="00EF2CF7" w:rsidP="00057E7B">
            <w:pPr>
              <w:pStyle w:val="CETBodytext"/>
              <w:rPr>
                <w:lang w:val="en-GB"/>
              </w:rPr>
            </w:pPr>
            <w:r>
              <w:rPr>
                <w:lang w:val="en-GB"/>
              </w:rPr>
              <w:t>LIB anode</w:t>
            </w:r>
          </w:p>
        </w:tc>
        <w:tc>
          <w:tcPr>
            <w:tcW w:w="1559" w:type="dxa"/>
            <w:vMerge w:val="restart"/>
            <w:tcBorders>
              <w:top w:val="single" w:sz="8" w:space="0" w:color="008000"/>
            </w:tcBorders>
            <w:shd w:val="clear" w:color="auto" w:fill="FFFFFF"/>
          </w:tcPr>
          <w:p w14:paraId="14A83D5F" w14:textId="77777777" w:rsidR="00EF2CF7" w:rsidRDefault="00EF2CF7" w:rsidP="00057E7B">
            <w:pPr>
              <w:pStyle w:val="CETBodytext"/>
              <w:jc w:val="center"/>
              <w:rPr>
                <w:lang w:val="en-GB"/>
              </w:rPr>
            </w:pPr>
            <w:r w:rsidRPr="004D501E">
              <w:rPr>
                <w:lang w:val="en-GB"/>
              </w:rPr>
              <w:t xml:space="preserve">Temperature in </w:t>
            </w:r>
            <w:r>
              <w:rPr>
                <w:lang w:val="en-GB"/>
              </w:rPr>
              <w:t>the electrolyzer</w:t>
            </w:r>
            <w:r w:rsidRPr="004D501E">
              <w:rPr>
                <w:lang w:val="en-GB"/>
              </w:rPr>
              <w:t xml:space="preserve"> above </w:t>
            </w:r>
            <w:r>
              <w:rPr>
                <w:lang w:val="en-GB"/>
              </w:rPr>
              <w:t>450</w:t>
            </w:r>
            <w:r w:rsidRPr="004D501E">
              <w:rPr>
                <w:lang w:val="en-GB"/>
              </w:rPr>
              <w:t>°C</w:t>
            </w:r>
          </w:p>
          <w:p w14:paraId="15472F9E" w14:textId="77777777" w:rsidR="00EF2CF7" w:rsidRPr="00B57B36" w:rsidRDefault="00EF2CF7" w:rsidP="00057E7B">
            <w:pPr>
              <w:pStyle w:val="CETBodytext"/>
              <w:jc w:val="center"/>
              <w:rPr>
                <w:lang w:val="en-GB"/>
              </w:rPr>
            </w:pPr>
            <w:r w:rsidRPr="00A40339">
              <w:rPr>
                <w:i/>
                <w:iCs/>
                <w:lang w:val="en-GB"/>
              </w:rPr>
              <w:t>More</w:t>
            </w:r>
            <w:r>
              <w:rPr>
                <w:i/>
                <w:iCs/>
                <w:lang w:val="en-GB"/>
              </w:rPr>
              <w:t>/</w:t>
            </w:r>
            <w:r w:rsidRPr="00A40339">
              <w:rPr>
                <w:i/>
                <w:iCs/>
                <w:lang w:val="en-GB"/>
              </w:rPr>
              <w:t>temperature</w:t>
            </w:r>
          </w:p>
        </w:tc>
        <w:tc>
          <w:tcPr>
            <w:tcW w:w="1417" w:type="dxa"/>
            <w:vMerge w:val="restart"/>
            <w:tcBorders>
              <w:top w:val="single" w:sz="8" w:space="0" w:color="008000"/>
            </w:tcBorders>
            <w:shd w:val="clear" w:color="auto" w:fill="FFFFFF"/>
          </w:tcPr>
          <w:p w14:paraId="66FA8C86" w14:textId="77777777" w:rsidR="00EF2CF7" w:rsidRPr="00B57B36" w:rsidRDefault="00EF2CF7" w:rsidP="00057E7B">
            <w:pPr>
              <w:pStyle w:val="CETBodytext"/>
              <w:ind w:right="-1"/>
              <w:jc w:val="center"/>
              <w:rPr>
                <w:rFonts w:cs="Arial"/>
                <w:szCs w:val="18"/>
                <w:lang w:val="en-GB"/>
              </w:rPr>
            </w:pPr>
            <w:r w:rsidRPr="00A40339">
              <w:rPr>
                <w:rFonts w:cs="Arial"/>
                <w:szCs w:val="18"/>
                <w:lang w:val="en-GB"/>
              </w:rPr>
              <w:t>Electrolyzer heating system malfunction</w:t>
            </w:r>
          </w:p>
        </w:tc>
        <w:tc>
          <w:tcPr>
            <w:tcW w:w="1560" w:type="dxa"/>
            <w:vMerge w:val="restart"/>
            <w:tcBorders>
              <w:top w:val="single" w:sz="8" w:space="0" w:color="008000"/>
            </w:tcBorders>
            <w:shd w:val="clear" w:color="auto" w:fill="FFFFFF"/>
          </w:tcPr>
          <w:p w14:paraId="34EDDF80" w14:textId="77777777" w:rsidR="00EF2CF7" w:rsidRDefault="00EF2CF7" w:rsidP="00057E7B">
            <w:pPr>
              <w:pStyle w:val="CETBodytext"/>
              <w:ind w:right="-1"/>
              <w:jc w:val="center"/>
              <w:rPr>
                <w:rFonts w:cs="Arial"/>
                <w:szCs w:val="18"/>
                <w:lang w:val="en-GB"/>
              </w:rPr>
            </w:pPr>
            <w:r w:rsidRPr="00A40339">
              <w:rPr>
                <w:rFonts w:cs="Arial"/>
                <w:szCs w:val="18"/>
                <w:lang w:val="en-GB"/>
              </w:rPr>
              <w:t xml:space="preserve">Increased reaction </w:t>
            </w:r>
            <w:r>
              <w:rPr>
                <w:rFonts w:cs="Arial"/>
                <w:szCs w:val="18"/>
                <w:lang w:val="en-GB"/>
              </w:rPr>
              <w:t>rate</w:t>
            </w:r>
          </w:p>
          <w:p w14:paraId="24A3FDC7" w14:textId="77777777" w:rsidR="00EF2CF7" w:rsidRDefault="00EF2CF7" w:rsidP="00057E7B">
            <w:pPr>
              <w:pStyle w:val="CETBodytext"/>
              <w:ind w:right="-1"/>
              <w:jc w:val="center"/>
              <w:rPr>
                <w:rFonts w:cs="Arial"/>
                <w:szCs w:val="18"/>
                <w:lang w:val="en-GB"/>
              </w:rPr>
            </w:pPr>
            <w:r>
              <w:rPr>
                <w:rFonts w:cs="Arial"/>
                <w:szCs w:val="18"/>
                <w:lang w:val="en-GB"/>
              </w:rPr>
              <w:t>P</w:t>
            </w:r>
            <w:r w:rsidRPr="00A40339">
              <w:rPr>
                <w:rFonts w:cs="Arial"/>
                <w:szCs w:val="18"/>
                <w:lang w:val="en-GB"/>
              </w:rPr>
              <w:t>ossible formation of by-products (HCl)</w:t>
            </w:r>
          </w:p>
          <w:p w14:paraId="424B91AF" w14:textId="77777777" w:rsidR="00EF2CF7" w:rsidRPr="00B57B36" w:rsidRDefault="00EF2CF7" w:rsidP="00057E7B">
            <w:pPr>
              <w:pStyle w:val="CETBodytext"/>
              <w:ind w:right="-1"/>
              <w:jc w:val="center"/>
              <w:rPr>
                <w:rFonts w:cs="Arial"/>
                <w:szCs w:val="18"/>
                <w:lang w:val="en-GB"/>
              </w:rPr>
            </w:pPr>
            <w:r>
              <w:rPr>
                <w:rFonts w:cs="Arial"/>
                <w:szCs w:val="18"/>
                <w:lang w:val="en-GB"/>
              </w:rPr>
              <w:t>E</w:t>
            </w:r>
            <w:r w:rsidRPr="00A40339">
              <w:rPr>
                <w:rFonts w:cs="Arial"/>
                <w:szCs w:val="18"/>
                <w:lang w:val="en-GB"/>
              </w:rPr>
              <w:t>xplosions</w:t>
            </w:r>
          </w:p>
        </w:tc>
        <w:tc>
          <w:tcPr>
            <w:tcW w:w="1134" w:type="dxa"/>
            <w:vMerge w:val="restart"/>
            <w:tcBorders>
              <w:top w:val="single" w:sz="8" w:space="0" w:color="008000"/>
            </w:tcBorders>
            <w:shd w:val="clear" w:color="auto" w:fill="FFFFFF"/>
          </w:tcPr>
          <w:p w14:paraId="6820D0F8" w14:textId="77777777" w:rsidR="00EF2CF7" w:rsidRDefault="00EF2CF7" w:rsidP="00057E7B">
            <w:pPr>
              <w:pStyle w:val="CETBodytext"/>
              <w:ind w:right="-1"/>
              <w:jc w:val="center"/>
              <w:rPr>
                <w:rFonts w:cs="Arial"/>
                <w:szCs w:val="18"/>
                <w:lang w:val="en-GB"/>
              </w:rPr>
            </w:pPr>
            <w:r w:rsidRPr="004D501E">
              <w:rPr>
                <w:rFonts w:cs="Arial"/>
                <w:szCs w:val="18"/>
                <w:lang w:val="en-GB"/>
              </w:rPr>
              <w:t>Continuous temperature monitoring</w:t>
            </w:r>
          </w:p>
          <w:p w14:paraId="19794BF1" w14:textId="1092D95A" w:rsidR="00EF2CF7" w:rsidRPr="00B57B36" w:rsidRDefault="00EF2CF7" w:rsidP="009410DF">
            <w:pPr>
              <w:pStyle w:val="CETBodytext"/>
              <w:ind w:right="-1"/>
              <w:jc w:val="center"/>
              <w:rPr>
                <w:rFonts w:cs="Arial"/>
                <w:szCs w:val="18"/>
                <w:lang w:val="en-GB"/>
              </w:rPr>
            </w:pPr>
            <w:r>
              <w:rPr>
                <w:rFonts w:cs="Arial"/>
                <w:szCs w:val="18"/>
                <w:lang w:val="en"/>
              </w:rPr>
              <w:t>E</w:t>
            </w:r>
            <w:r w:rsidRPr="00E93DF8">
              <w:rPr>
                <w:rFonts w:cs="Arial"/>
                <w:szCs w:val="18"/>
                <w:lang w:val="en"/>
              </w:rPr>
              <w:t>xtractor hood</w:t>
            </w:r>
          </w:p>
        </w:tc>
        <w:tc>
          <w:tcPr>
            <w:tcW w:w="1701" w:type="dxa"/>
            <w:tcBorders>
              <w:top w:val="single" w:sz="8" w:space="0" w:color="008000"/>
            </w:tcBorders>
            <w:shd w:val="clear" w:color="auto" w:fill="FFFFFF"/>
          </w:tcPr>
          <w:p w14:paraId="5D630A7B" w14:textId="2E7F94E5" w:rsidR="00EF2CF7" w:rsidRPr="00B57B36" w:rsidRDefault="00EF2CF7" w:rsidP="00057E7B">
            <w:pPr>
              <w:pStyle w:val="CETBodytext"/>
              <w:ind w:right="-1"/>
              <w:jc w:val="center"/>
              <w:rPr>
                <w:rFonts w:cs="Arial"/>
                <w:szCs w:val="18"/>
                <w:lang w:val="en-GB"/>
              </w:rPr>
            </w:pPr>
            <w:r>
              <w:rPr>
                <w:rFonts w:cs="Arial"/>
                <w:szCs w:val="18"/>
                <w:lang w:val="en-GB"/>
              </w:rPr>
              <w:t>T = 4</w:t>
            </w:r>
            <w:r w:rsidR="009410DF">
              <w:rPr>
                <w:rFonts w:cs="Arial"/>
                <w:szCs w:val="18"/>
                <w:lang w:val="en-GB"/>
              </w:rPr>
              <w:t>; F = --;</w:t>
            </w:r>
            <w:r>
              <w:rPr>
                <w:rFonts w:cs="Arial"/>
                <w:szCs w:val="18"/>
                <w:lang w:val="en-GB"/>
              </w:rPr>
              <w:t xml:space="preserve"> E= </w:t>
            </w:r>
            <w:r w:rsidR="009410DF">
              <w:rPr>
                <w:rFonts w:cs="Arial"/>
                <w:szCs w:val="18"/>
                <w:lang w:val="en-GB"/>
              </w:rPr>
              <w:t>1</w:t>
            </w:r>
          </w:p>
        </w:tc>
        <w:tc>
          <w:tcPr>
            <w:tcW w:w="567" w:type="dxa"/>
            <w:vMerge w:val="restart"/>
            <w:tcBorders>
              <w:top w:val="single" w:sz="8" w:space="0" w:color="008000"/>
            </w:tcBorders>
            <w:shd w:val="clear" w:color="auto" w:fill="FFFFFF"/>
            <w:vAlign w:val="center"/>
          </w:tcPr>
          <w:p w14:paraId="3B95F7C9" w14:textId="72A10DE1" w:rsidR="00EF2CF7" w:rsidRPr="00B57B36" w:rsidRDefault="00C16240" w:rsidP="00057E7B">
            <w:pPr>
              <w:pStyle w:val="CETBodytext"/>
              <w:ind w:right="-1"/>
              <w:jc w:val="center"/>
              <w:rPr>
                <w:rFonts w:cs="Arial"/>
                <w:szCs w:val="18"/>
                <w:lang w:val="en-GB"/>
              </w:rPr>
            </w:pPr>
            <w:r>
              <w:rPr>
                <w:rFonts w:cs="Arial"/>
                <w:szCs w:val="18"/>
                <w:lang w:val="en-GB"/>
              </w:rPr>
              <w:t>0.</w:t>
            </w:r>
            <w:r w:rsidR="00281FDA">
              <w:rPr>
                <w:rFonts w:cs="Arial"/>
                <w:szCs w:val="18"/>
                <w:lang w:val="en-GB"/>
              </w:rPr>
              <w:t>24</w:t>
            </w:r>
          </w:p>
        </w:tc>
      </w:tr>
      <w:tr w:rsidR="00424A5B" w:rsidRPr="00B57B36" w14:paraId="3C0EDBE7" w14:textId="77777777" w:rsidTr="00424A5B">
        <w:tc>
          <w:tcPr>
            <w:tcW w:w="993" w:type="dxa"/>
            <w:vMerge/>
            <w:shd w:val="clear" w:color="auto" w:fill="FFFFFF"/>
          </w:tcPr>
          <w:p w14:paraId="2357D4BC" w14:textId="77777777" w:rsidR="00EF2CF7" w:rsidRDefault="00EF2CF7" w:rsidP="00057E7B">
            <w:pPr>
              <w:pStyle w:val="CETBodytext"/>
              <w:rPr>
                <w:lang w:val="en-GB"/>
              </w:rPr>
            </w:pPr>
          </w:p>
        </w:tc>
        <w:tc>
          <w:tcPr>
            <w:tcW w:w="1559" w:type="dxa"/>
            <w:vMerge/>
            <w:shd w:val="clear" w:color="auto" w:fill="FFFFFF"/>
          </w:tcPr>
          <w:p w14:paraId="7B88F41B" w14:textId="77777777" w:rsidR="00EF2CF7" w:rsidRPr="00B57B36" w:rsidRDefault="00EF2CF7" w:rsidP="00057E7B">
            <w:pPr>
              <w:pStyle w:val="CETBodytext"/>
              <w:jc w:val="center"/>
              <w:rPr>
                <w:lang w:val="en-GB"/>
              </w:rPr>
            </w:pPr>
          </w:p>
        </w:tc>
        <w:tc>
          <w:tcPr>
            <w:tcW w:w="1417" w:type="dxa"/>
            <w:vMerge/>
            <w:shd w:val="clear" w:color="auto" w:fill="FFFFFF"/>
          </w:tcPr>
          <w:p w14:paraId="5009AF69"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1E9B35E0"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436E86FA"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023CEBEE" w14:textId="77777777" w:rsidR="00EF2CF7" w:rsidRPr="00B57B36" w:rsidRDefault="00EF2CF7" w:rsidP="00057E7B">
            <w:pPr>
              <w:pStyle w:val="CETBodytext"/>
              <w:ind w:right="-1"/>
              <w:jc w:val="center"/>
              <w:rPr>
                <w:rFonts w:cs="Arial"/>
                <w:szCs w:val="18"/>
                <w:lang w:val="en-GB"/>
              </w:rPr>
            </w:pPr>
            <w:r>
              <w:rPr>
                <w:rFonts w:cs="Arial"/>
                <w:szCs w:val="18"/>
                <w:lang w:val="en-GB"/>
              </w:rPr>
              <w:t>PF = 2</w:t>
            </w:r>
          </w:p>
        </w:tc>
        <w:tc>
          <w:tcPr>
            <w:tcW w:w="567" w:type="dxa"/>
            <w:vMerge/>
            <w:shd w:val="clear" w:color="auto" w:fill="FFFFFF"/>
          </w:tcPr>
          <w:p w14:paraId="7633CB65" w14:textId="77777777" w:rsidR="00EF2CF7" w:rsidRPr="00B57B36" w:rsidRDefault="00EF2CF7" w:rsidP="00057E7B">
            <w:pPr>
              <w:pStyle w:val="CETBodytext"/>
              <w:ind w:right="-1"/>
              <w:jc w:val="center"/>
              <w:rPr>
                <w:rFonts w:cs="Arial"/>
                <w:szCs w:val="18"/>
                <w:lang w:val="en-GB"/>
              </w:rPr>
            </w:pPr>
          </w:p>
        </w:tc>
      </w:tr>
      <w:tr w:rsidR="00424A5B" w:rsidRPr="00B57B36" w14:paraId="6C619D02" w14:textId="77777777" w:rsidTr="00424A5B">
        <w:tc>
          <w:tcPr>
            <w:tcW w:w="993" w:type="dxa"/>
            <w:vMerge/>
            <w:shd w:val="clear" w:color="auto" w:fill="FFFFFF"/>
          </w:tcPr>
          <w:p w14:paraId="21170137" w14:textId="77777777" w:rsidR="00EF2CF7" w:rsidRDefault="00EF2CF7" w:rsidP="00057E7B">
            <w:pPr>
              <w:pStyle w:val="CETBodytext"/>
              <w:rPr>
                <w:lang w:val="en-GB"/>
              </w:rPr>
            </w:pPr>
          </w:p>
        </w:tc>
        <w:tc>
          <w:tcPr>
            <w:tcW w:w="1559" w:type="dxa"/>
            <w:vMerge/>
            <w:shd w:val="clear" w:color="auto" w:fill="FFFFFF"/>
          </w:tcPr>
          <w:p w14:paraId="0A965BB9" w14:textId="77777777" w:rsidR="00EF2CF7" w:rsidRPr="00B57B36" w:rsidRDefault="00EF2CF7" w:rsidP="00057E7B">
            <w:pPr>
              <w:pStyle w:val="CETBodytext"/>
              <w:jc w:val="center"/>
              <w:rPr>
                <w:lang w:val="en-GB"/>
              </w:rPr>
            </w:pPr>
          </w:p>
        </w:tc>
        <w:tc>
          <w:tcPr>
            <w:tcW w:w="1417" w:type="dxa"/>
            <w:vMerge/>
            <w:shd w:val="clear" w:color="auto" w:fill="FFFFFF"/>
          </w:tcPr>
          <w:p w14:paraId="45497949"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2EBEBE63"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669A9FC6"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54F05787" w14:textId="77777777" w:rsidR="00EF2CF7" w:rsidRPr="00B57B36" w:rsidRDefault="00EF2CF7" w:rsidP="00057E7B">
            <w:pPr>
              <w:pStyle w:val="CETBodytext"/>
              <w:ind w:right="-1"/>
              <w:jc w:val="center"/>
              <w:rPr>
                <w:rFonts w:cs="Arial"/>
                <w:szCs w:val="18"/>
                <w:lang w:val="en-GB"/>
              </w:rPr>
            </w:pPr>
            <w:r>
              <w:rPr>
                <w:rFonts w:cs="Arial"/>
                <w:szCs w:val="18"/>
                <w:lang w:val="en-GB"/>
              </w:rPr>
              <w:t>CF = 2</w:t>
            </w:r>
          </w:p>
        </w:tc>
        <w:tc>
          <w:tcPr>
            <w:tcW w:w="567" w:type="dxa"/>
            <w:vMerge/>
            <w:shd w:val="clear" w:color="auto" w:fill="FFFFFF"/>
          </w:tcPr>
          <w:p w14:paraId="235AC5C3" w14:textId="77777777" w:rsidR="00EF2CF7" w:rsidRPr="00B57B36" w:rsidRDefault="00EF2CF7" w:rsidP="00057E7B">
            <w:pPr>
              <w:pStyle w:val="CETBodytext"/>
              <w:ind w:right="-1"/>
              <w:jc w:val="center"/>
              <w:rPr>
                <w:rFonts w:cs="Arial"/>
                <w:szCs w:val="18"/>
                <w:lang w:val="en-GB"/>
              </w:rPr>
            </w:pPr>
          </w:p>
        </w:tc>
      </w:tr>
      <w:tr w:rsidR="00424A5B" w:rsidRPr="00B57B36" w14:paraId="3E3AA3E9" w14:textId="77777777" w:rsidTr="00424A5B">
        <w:tc>
          <w:tcPr>
            <w:tcW w:w="993" w:type="dxa"/>
            <w:vMerge/>
            <w:shd w:val="clear" w:color="auto" w:fill="FFFFFF"/>
          </w:tcPr>
          <w:p w14:paraId="77D14764" w14:textId="77777777" w:rsidR="00EF2CF7" w:rsidRDefault="00EF2CF7" w:rsidP="00057E7B">
            <w:pPr>
              <w:pStyle w:val="CETBodytext"/>
              <w:rPr>
                <w:lang w:val="en-GB"/>
              </w:rPr>
            </w:pPr>
          </w:p>
        </w:tc>
        <w:tc>
          <w:tcPr>
            <w:tcW w:w="1559" w:type="dxa"/>
            <w:vMerge/>
            <w:shd w:val="clear" w:color="auto" w:fill="FFFFFF"/>
          </w:tcPr>
          <w:p w14:paraId="32ACB64C" w14:textId="77777777" w:rsidR="00EF2CF7" w:rsidRPr="00B57B36" w:rsidRDefault="00EF2CF7" w:rsidP="00057E7B">
            <w:pPr>
              <w:pStyle w:val="CETBodytext"/>
              <w:jc w:val="center"/>
              <w:rPr>
                <w:lang w:val="en-GB"/>
              </w:rPr>
            </w:pPr>
          </w:p>
        </w:tc>
        <w:tc>
          <w:tcPr>
            <w:tcW w:w="1417" w:type="dxa"/>
            <w:vMerge/>
            <w:shd w:val="clear" w:color="auto" w:fill="FFFFFF"/>
          </w:tcPr>
          <w:p w14:paraId="26DA5BE6"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22045BAD"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1C3DBC83"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0775BE11" w14:textId="12889B38" w:rsidR="00EF2CF7" w:rsidRPr="00B57B36" w:rsidRDefault="00EF2CF7" w:rsidP="00057E7B">
            <w:pPr>
              <w:pStyle w:val="CETBodytext"/>
              <w:ind w:right="-1"/>
              <w:jc w:val="center"/>
              <w:rPr>
                <w:rFonts w:cs="Arial"/>
                <w:szCs w:val="18"/>
                <w:lang w:val="en-GB"/>
              </w:rPr>
            </w:pPr>
            <w:r>
              <w:rPr>
                <w:rFonts w:cs="Arial"/>
                <w:szCs w:val="18"/>
                <w:lang w:val="en-GB"/>
              </w:rPr>
              <w:t>PM =</w:t>
            </w:r>
            <w:r w:rsidR="00C16240">
              <w:rPr>
                <w:rFonts w:cs="Arial"/>
                <w:szCs w:val="18"/>
                <w:lang w:val="en-GB"/>
              </w:rPr>
              <w:t xml:space="preserve"> 1 –</w:t>
            </w:r>
            <w:r>
              <w:rPr>
                <w:rFonts w:cs="Arial"/>
                <w:szCs w:val="18"/>
                <w:lang w:val="en-GB"/>
              </w:rPr>
              <w:t xml:space="preserve"> 0.95</w:t>
            </w:r>
          </w:p>
        </w:tc>
        <w:tc>
          <w:tcPr>
            <w:tcW w:w="567" w:type="dxa"/>
            <w:vMerge/>
            <w:shd w:val="clear" w:color="auto" w:fill="FFFFFF"/>
          </w:tcPr>
          <w:p w14:paraId="4B0948CC" w14:textId="77777777" w:rsidR="00EF2CF7" w:rsidRPr="00B57B36" w:rsidRDefault="00EF2CF7" w:rsidP="00057E7B">
            <w:pPr>
              <w:pStyle w:val="CETBodytext"/>
              <w:ind w:right="-1"/>
              <w:jc w:val="center"/>
              <w:rPr>
                <w:rFonts w:cs="Arial"/>
                <w:szCs w:val="18"/>
                <w:lang w:val="en-GB"/>
              </w:rPr>
            </w:pPr>
          </w:p>
        </w:tc>
      </w:tr>
      <w:tr w:rsidR="00424A5B" w:rsidRPr="00B57B36" w14:paraId="1F82CAEE" w14:textId="77777777" w:rsidTr="00424A5B">
        <w:tc>
          <w:tcPr>
            <w:tcW w:w="993" w:type="dxa"/>
            <w:vMerge/>
            <w:shd w:val="clear" w:color="auto" w:fill="FFFFFF"/>
          </w:tcPr>
          <w:p w14:paraId="6AAEE767" w14:textId="77777777" w:rsidR="00EF2CF7" w:rsidRDefault="00EF2CF7" w:rsidP="00057E7B">
            <w:pPr>
              <w:pStyle w:val="CETBodytext"/>
              <w:rPr>
                <w:lang w:val="en-GB"/>
              </w:rPr>
            </w:pPr>
          </w:p>
        </w:tc>
        <w:tc>
          <w:tcPr>
            <w:tcW w:w="1559" w:type="dxa"/>
            <w:vMerge/>
            <w:shd w:val="clear" w:color="auto" w:fill="FFFFFF"/>
          </w:tcPr>
          <w:p w14:paraId="52F03861" w14:textId="77777777" w:rsidR="00EF2CF7" w:rsidRPr="00B57B36" w:rsidRDefault="00EF2CF7" w:rsidP="00057E7B">
            <w:pPr>
              <w:pStyle w:val="CETBodytext"/>
              <w:jc w:val="center"/>
              <w:rPr>
                <w:lang w:val="en-GB"/>
              </w:rPr>
            </w:pPr>
          </w:p>
        </w:tc>
        <w:tc>
          <w:tcPr>
            <w:tcW w:w="1417" w:type="dxa"/>
            <w:vMerge/>
            <w:shd w:val="clear" w:color="auto" w:fill="FFFFFF"/>
          </w:tcPr>
          <w:p w14:paraId="64AFB289"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43610EAE"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7D7D0C0A"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4143CBE0" w14:textId="279E5764" w:rsidR="00EF2CF7" w:rsidRPr="00B57B36" w:rsidRDefault="00EF2CF7" w:rsidP="00057E7B">
            <w:pPr>
              <w:pStyle w:val="CETBodytext"/>
              <w:ind w:right="-1"/>
              <w:jc w:val="center"/>
              <w:rPr>
                <w:rFonts w:cs="Arial"/>
                <w:szCs w:val="18"/>
                <w:lang w:val="en-GB"/>
              </w:rPr>
            </w:pPr>
            <w:r>
              <w:rPr>
                <w:rFonts w:cs="Arial"/>
                <w:szCs w:val="18"/>
                <w:lang w:val="en-GB"/>
              </w:rPr>
              <w:t xml:space="preserve">MM = </w:t>
            </w:r>
            <w:r w:rsidR="00C16240">
              <w:rPr>
                <w:rFonts w:cs="Arial"/>
                <w:szCs w:val="18"/>
                <w:lang w:val="en-GB"/>
              </w:rPr>
              <w:t xml:space="preserve">1 – </w:t>
            </w:r>
            <w:r>
              <w:rPr>
                <w:rFonts w:cs="Arial"/>
                <w:szCs w:val="18"/>
                <w:lang w:val="en-GB"/>
              </w:rPr>
              <w:t>0.</w:t>
            </w:r>
            <w:r w:rsidR="00281FDA">
              <w:rPr>
                <w:rFonts w:cs="Arial"/>
                <w:szCs w:val="18"/>
                <w:lang w:val="en-GB"/>
              </w:rPr>
              <w:t>7</w:t>
            </w:r>
            <w:r>
              <w:rPr>
                <w:rFonts w:cs="Arial"/>
                <w:szCs w:val="18"/>
                <w:lang w:val="en-GB"/>
              </w:rPr>
              <w:t>0</w:t>
            </w:r>
          </w:p>
        </w:tc>
        <w:tc>
          <w:tcPr>
            <w:tcW w:w="567" w:type="dxa"/>
            <w:vMerge/>
            <w:shd w:val="clear" w:color="auto" w:fill="FFFFFF"/>
          </w:tcPr>
          <w:p w14:paraId="60F12E1C" w14:textId="77777777" w:rsidR="00EF2CF7" w:rsidRPr="00B57B36" w:rsidRDefault="00EF2CF7" w:rsidP="00057E7B">
            <w:pPr>
              <w:pStyle w:val="CETBodytext"/>
              <w:ind w:right="-1"/>
              <w:jc w:val="center"/>
              <w:rPr>
                <w:rFonts w:cs="Arial"/>
                <w:szCs w:val="18"/>
                <w:lang w:val="en-GB"/>
              </w:rPr>
            </w:pPr>
          </w:p>
        </w:tc>
      </w:tr>
      <w:tr w:rsidR="00424A5B" w:rsidRPr="00B57B36" w14:paraId="2A4C5079" w14:textId="77777777" w:rsidTr="00424A5B">
        <w:tc>
          <w:tcPr>
            <w:tcW w:w="993" w:type="dxa"/>
            <w:vMerge w:val="restart"/>
            <w:shd w:val="clear" w:color="auto" w:fill="FFFFFF"/>
          </w:tcPr>
          <w:p w14:paraId="77AFCF5E" w14:textId="77777777" w:rsidR="00EF2CF7" w:rsidRPr="00B57B36" w:rsidRDefault="00EF2CF7" w:rsidP="00057E7B">
            <w:pPr>
              <w:pStyle w:val="CETBodytext"/>
              <w:jc w:val="left"/>
              <w:rPr>
                <w:lang w:val="en-GB"/>
              </w:rPr>
            </w:pPr>
            <w:r>
              <w:rPr>
                <w:lang w:val="en-GB"/>
              </w:rPr>
              <w:t>LIB cathode</w:t>
            </w:r>
          </w:p>
        </w:tc>
        <w:tc>
          <w:tcPr>
            <w:tcW w:w="1559" w:type="dxa"/>
            <w:vMerge w:val="restart"/>
            <w:shd w:val="clear" w:color="auto" w:fill="FFFFFF"/>
          </w:tcPr>
          <w:p w14:paraId="2EB35138" w14:textId="77777777" w:rsidR="00EF2CF7" w:rsidRDefault="00EF2CF7" w:rsidP="00057E7B">
            <w:pPr>
              <w:pStyle w:val="CETBodytext"/>
              <w:jc w:val="center"/>
              <w:rPr>
                <w:lang w:val="en-GB"/>
              </w:rPr>
            </w:pPr>
            <w:r w:rsidRPr="00FC42D4">
              <w:rPr>
                <w:lang w:val="en-GB"/>
              </w:rPr>
              <w:t>Temperature in autoclave above 200°C</w:t>
            </w:r>
          </w:p>
          <w:p w14:paraId="303FA5CA" w14:textId="77777777" w:rsidR="00EF2CF7" w:rsidRPr="00FC42D4" w:rsidRDefault="00EF2CF7" w:rsidP="00057E7B">
            <w:pPr>
              <w:pStyle w:val="CETBodytext"/>
              <w:jc w:val="center"/>
              <w:rPr>
                <w:i/>
                <w:iCs/>
                <w:lang w:val="en-GB"/>
              </w:rPr>
            </w:pPr>
            <w:r w:rsidRPr="00A40339">
              <w:rPr>
                <w:i/>
                <w:iCs/>
                <w:lang w:val="en-GB"/>
              </w:rPr>
              <w:t>More</w:t>
            </w:r>
            <w:r>
              <w:rPr>
                <w:i/>
                <w:iCs/>
                <w:lang w:val="en-GB"/>
              </w:rPr>
              <w:t>/</w:t>
            </w:r>
            <w:r w:rsidRPr="00A40339">
              <w:rPr>
                <w:i/>
                <w:iCs/>
                <w:lang w:val="en-GB"/>
              </w:rPr>
              <w:t>temperature</w:t>
            </w:r>
          </w:p>
        </w:tc>
        <w:tc>
          <w:tcPr>
            <w:tcW w:w="1417" w:type="dxa"/>
            <w:vMerge w:val="restart"/>
            <w:shd w:val="clear" w:color="auto" w:fill="FFFFFF"/>
          </w:tcPr>
          <w:p w14:paraId="14C8050F" w14:textId="77777777" w:rsidR="00EF2CF7" w:rsidRPr="00B57B36" w:rsidRDefault="00EF2CF7" w:rsidP="00057E7B">
            <w:pPr>
              <w:pStyle w:val="CETBodytext"/>
              <w:ind w:right="-1"/>
              <w:jc w:val="center"/>
              <w:rPr>
                <w:rFonts w:cs="Arial"/>
                <w:szCs w:val="18"/>
                <w:lang w:val="en-GB"/>
              </w:rPr>
            </w:pPr>
            <w:r w:rsidRPr="00FC42D4">
              <w:rPr>
                <w:rFonts w:cs="Arial"/>
                <w:szCs w:val="18"/>
                <w:lang w:val="en-GB"/>
              </w:rPr>
              <w:t>Autoclave heating system malfunction</w:t>
            </w:r>
          </w:p>
        </w:tc>
        <w:tc>
          <w:tcPr>
            <w:tcW w:w="1560" w:type="dxa"/>
            <w:vMerge w:val="restart"/>
            <w:shd w:val="clear" w:color="auto" w:fill="FFFFFF"/>
          </w:tcPr>
          <w:p w14:paraId="5876DFA6" w14:textId="77777777" w:rsidR="00EF2CF7" w:rsidRDefault="00EF2CF7" w:rsidP="00057E7B">
            <w:pPr>
              <w:pStyle w:val="CETBodytext"/>
              <w:ind w:right="-1"/>
              <w:jc w:val="center"/>
              <w:rPr>
                <w:rFonts w:cs="Arial"/>
                <w:szCs w:val="18"/>
                <w:lang w:val="en-GB"/>
              </w:rPr>
            </w:pPr>
            <w:r w:rsidRPr="004D501E">
              <w:rPr>
                <w:rFonts w:cs="Arial"/>
                <w:szCs w:val="18"/>
                <w:lang w:val="en-GB"/>
              </w:rPr>
              <w:t xml:space="preserve">Increased reaction </w:t>
            </w:r>
            <w:r>
              <w:rPr>
                <w:rFonts w:cs="Arial"/>
                <w:szCs w:val="18"/>
                <w:lang w:val="en-GB"/>
              </w:rPr>
              <w:t>rate</w:t>
            </w:r>
          </w:p>
          <w:p w14:paraId="636EBCEB" w14:textId="77777777" w:rsidR="00EF2CF7" w:rsidRDefault="00EF2CF7" w:rsidP="00057E7B">
            <w:pPr>
              <w:pStyle w:val="CETBodytext"/>
              <w:ind w:right="-1"/>
              <w:jc w:val="center"/>
              <w:rPr>
                <w:rFonts w:cs="Arial"/>
                <w:szCs w:val="18"/>
                <w:lang w:val="en-GB"/>
              </w:rPr>
            </w:pPr>
            <w:r>
              <w:rPr>
                <w:rFonts w:cs="Arial"/>
                <w:szCs w:val="18"/>
                <w:lang w:val="en-GB"/>
              </w:rPr>
              <w:t>P</w:t>
            </w:r>
            <w:r w:rsidRPr="004D501E">
              <w:rPr>
                <w:rFonts w:cs="Arial"/>
                <w:szCs w:val="18"/>
                <w:lang w:val="en-GB"/>
              </w:rPr>
              <w:t>ossible formation of by-products</w:t>
            </w:r>
            <w:r>
              <w:rPr>
                <w:rFonts w:cs="Arial"/>
                <w:szCs w:val="18"/>
                <w:lang w:val="en-GB"/>
              </w:rPr>
              <w:t xml:space="preserve"> (decomposition of LiFePO</w:t>
            </w:r>
            <w:r w:rsidRPr="006C5D94">
              <w:rPr>
                <w:rFonts w:cs="Arial"/>
                <w:szCs w:val="18"/>
                <w:vertAlign w:val="subscript"/>
                <w:lang w:val="en-GB"/>
              </w:rPr>
              <w:t>4</w:t>
            </w:r>
            <w:r>
              <w:rPr>
                <w:rFonts w:cs="Arial"/>
                <w:szCs w:val="18"/>
                <w:lang w:val="en-GB"/>
              </w:rPr>
              <w:t>)</w:t>
            </w:r>
          </w:p>
          <w:p w14:paraId="2A526681" w14:textId="77777777" w:rsidR="00EF2CF7" w:rsidRPr="00B57B36" w:rsidRDefault="00EF2CF7" w:rsidP="00057E7B">
            <w:pPr>
              <w:pStyle w:val="CETBodytext"/>
              <w:ind w:right="-1"/>
              <w:jc w:val="center"/>
              <w:rPr>
                <w:rFonts w:cs="Arial"/>
                <w:szCs w:val="18"/>
                <w:lang w:val="en-GB"/>
              </w:rPr>
            </w:pPr>
            <w:r>
              <w:rPr>
                <w:rFonts w:cs="Arial"/>
                <w:szCs w:val="18"/>
                <w:lang w:val="en-GB"/>
              </w:rPr>
              <w:t>E</w:t>
            </w:r>
            <w:r w:rsidRPr="004D501E">
              <w:rPr>
                <w:rFonts w:cs="Arial"/>
                <w:szCs w:val="18"/>
                <w:lang w:val="en-GB"/>
              </w:rPr>
              <w:t>xplosions</w:t>
            </w:r>
          </w:p>
        </w:tc>
        <w:tc>
          <w:tcPr>
            <w:tcW w:w="1134" w:type="dxa"/>
            <w:vMerge w:val="restart"/>
            <w:shd w:val="clear" w:color="auto" w:fill="FFFFFF"/>
          </w:tcPr>
          <w:p w14:paraId="62B5E4B6" w14:textId="60CCBF91" w:rsidR="00EF2CF7" w:rsidRPr="00B57B36" w:rsidRDefault="00EF2CF7" w:rsidP="009410DF">
            <w:pPr>
              <w:pStyle w:val="CETBodytext"/>
              <w:ind w:right="-1"/>
              <w:jc w:val="center"/>
              <w:rPr>
                <w:rFonts w:cs="Arial"/>
                <w:szCs w:val="18"/>
                <w:lang w:val="en-GB"/>
              </w:rPr>
            </w:pPr>
            <w:r w:rsidRPr="004D501E">
              <w:rPr>
                <w:rFonts w:cs="Arial"/>
                <w:szCs w:val="18"/>
                <w:lang w:val="en-GB"/>
              </w:rPr>
              <w:t>Continuous temperature monitoring</w:t>
            </w:r>
          </w:p>
        </w:tc>
        <w:tc>
          <w:tcPr>
            <w:tcW w:w="1701" w:type="dxa"/>
            <w:shd w:val="clear" w:color="auto" w:fill="FFFFFF"/>
          </w:tcPr>
          <w:p w14:paraId="771416CB" w14:textId="29DDF92A" w:rsidR="00EF2CF7" w:rsidRPr="00B57B36" w:rsidRDefault="00EF2CF7" w:rsidP="00057E7B">
            <w:pPr>
              <w:pStyle w:val="CETBodytext"/>
              <w:ind w:right="-1"/>
              <w:jc w:val="center"/>
              <w:rPr>
                <w:rFonts w:cs="Arial"/>
                <w:szCs w:val="18"/>
                <w:lang w:val="en-GB"/>
              </w:rPr>
            </w:pPr>
            <w:r>
              <w:rPr>
                <w:rFonts w:cs="Arial"/>
                <w:szCs w:val="18"/>
                <w:lang w:val="en-GB"/>
              </w:rPr>
              <w:t>T = 1</w:t>
            </w:r>
            <w:r w:rsidR="009410DF">
              <w:rPr>
                <w:rFonts w:cs="Arial"/>
                <w:szCs w:val="18"/>
                <w:lang w:val="en-GB"/>
              </w:rPr>
              <w:t>; F = --;</w:t>
            </w:r>
            <w:r>
              <w:rPr>
                <w:rFonts w:cs="Arial"/>
                <w:szCs w:val="18"/>
                <w:lang w:val="en-GB"/>
              </w:rPr>
              <w:t xml:space="preserve"> E= 3</w:t>
            </w:r>
          </w:p>
        </w:tc>
        <w:tc>
          <w:tcPr>
            <w:tcW w:w="567" w:type="dxa"/>
            <w:vMerge w:val="restart"/>
            <w:shd w:val="clear" w:color="auto" w:fill="FFFFFF"/>
            <w:vAlign w:val="center"/>
          </w:tcPr>
          <w:p w14:paraId="58BB738A" w14:textId="4E61711C" w:rsidR="00EF2CF7" w:rsidRPr="00B57B36" w:rsidRDefault="00C16240" w:rsidP="00057E7B">
            <w:pPr>
              <w:pStyle w:val="CETBodytext"/>
              <w:ind w:right="-1"/>
              <w:jc w:val="center"/>
              <w:rPr>
                <w:rFonts w:cs="Arial"/>
                <w:szCs w:val="18"/>
                <w:lang w:val="en-GB"/>
              </w:rPr>
            </w:pPr>
            <w:r>
              <w:rPr>
                <w:rFonts w:cs="Arial"/>
                <w:szCs w:val="18"/>
                <w:lang w:val="en-GB"/>
              </w:rPr>
              <w:t>1</w:t>
            </w:r>
            <w:r w:rsidR="00EF2CF7">
              <w:rPr>
                <w:rFonts w:cs="Arial"/>
                <w:szCs w:val="18"/>
                <w:lang w:val="en-GB"/>
              </w:rPr>
              <w:t>.</w:t>
            </w:r>
            <w:r>
              <w:rPr>
                <w:rFonts w:cs="Arial"/>
                <w:szCs w:val="18"/>
                <w:lang w:val="en-GB"/>
              </w:rPr>
              <w:t>3</w:t>
            </w:r>
            <w:r w:rsidR="00EF2CF7">
              <w:rPr>
                <w:rFonts w:cs="Arial"/>
                <w:szCs w:val="18"/>
                <w:lang w:val="en-GB"/>
              </w:rPr>
              <w:t>5</w:t>
            </w:r>
          </w:p>
        </w:tc>
      </w:tr>
      <w:tr w:rsidR="00424A5B" w:rsidRPr="00B57B36" w14:paraId="6D7D7AFA" w14:textId="77777777" w:rsidTr="00424A5B">
        <w:tc>
          <w:tcPr>
            <w:tcW w:w="993" w:type="dxa"/>
            <w:vMerge/>
            <w:shd w:val="clear" w:color="auto" w:fill="FFFFFF"/>
          </w:tcPr>
          <w:p w14:paraId="4CB7F58B" w14:textId="77777777" w:rsidR="00EF2CF7" w:rsidRDefault="00EF2CF7" w:rsidP="00057E7B">
            <w:pPr>
              <w:pStyle w:val="CETBodytext"/>
              <w:jc w:val="left"/>
              <w:rPr>
                <w:lang w:val="en-GB"/>
              </w:rPr>
            </w:pPr>
          </w:p>
        </w:tc>
        <w:tc>
          <w:tcPr>
            <w:tcW w:w="1559" w:type="dxa"/>
            <w:vMerge/>
            <w:shd w:val="clear" w:color="auto" w:fill="FFFFFF"/>
          </w:tcPr>
          <w:p w14:paraId="4853A931" w14:textId="77777777" w:rsidR="00EF2CF7" w:rsidRPr="00B57B36" w:rsidRDefault="00EF2CF7" w:rsidP="00057E7B">
            <w:pPr>
              <w:pStyle w:val="CETBodytext"/>
              <w:jc w:val="center"/>
              <w:rPr>
                <w:lang w:val="en-GB"/>
              </w:rPr>
            </w:pPr>
          </w:p>
        </w:tc>
        <w:tc>
          <w:tcPr>
            <w:tcW w:w="1417" w:type="dxa"/>
            <w:vMerge/>
            <w:shd w:val="clear" w:color="auto" w:fill="FFFFFF"/>
          </w:tcPr>
          <w:p w14:paraId="4C8E9285"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1497CA5E"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1E3B27A8"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5E6D11A6" w14:textId="77777777" w:rsidR="00EF2CF7" w:rsidRPr="00B57B36" w:rsidRDefault="00EF2CF7" w:rsidP="00057E7B">
            <w:pPr>
              <w:pStyle w:val="CETBodytext"/>
              <w:ind w:right="-1"/>
              <w:jc w:val="center"/>
              <w:rPr>
                <w:rFonts w:cs="Arial"/>
                <w:szCs w:val="18"/>
                <w:lang w:val="en-GB"/>
              </w:rPr>
            </w:pPr>
            <w:r>
              <w:rPr>
                <w:rFonts w:cs="Arial"/>
                <w:szCs w:val="18"/>
                <w:lang w:val="en-GB"/>
              </w:rPr>
              <w:t>PF = 3</w:t>
            </w:r>
          </w:p>
        </w:tc>
        <w:tc>
          <w:tcPr>
            <w:tcW w:w="567" w:type="dxa"/>
            <w:vMerge/>
            <w:shd w:val="clear" w:color="auto" w:fill="FFFFFF"/>
          </w:tcPr>
          <w:p w14:paraId="194B014C" w14:textId="77777777" w:rsidR="00EF2CF7" w:rsidRPr="00B57B36" w:rsidRDefault="00EF2CF7" w:rsidP="00057E7B">
            <w:pPr>
              <w:pStyle w:val="CETBodytext"/>
              <w:ind w:right="-1"/>
              <w:jc w:val="center"/>
              <w:rPr>
                <w:rFonts w:cs="Arial"/>
                <w:szCs w:val="18"/>
                <w:lang w:val="en-GB"/>
              </w:rPr>
            </w:pPr>
          </w:p>
        </w:tc>
      </w:tr>
      <w:tr w:rsidR="00424A5B" w:rsidRPr="00B57B36" w14:paraId="53F7B240" w14:textId="77777777" w:rsidTr="00424A5B">
        <w:tc>
          <w:tcPr>
            <w:tcW w:w="993" w:type="dxa"/>
            <w:vMerge/>
            <w:shd w:val="clear" w:color="auto" w:fill="FFFFFF"/>
          </w:tcPr>
          <w:p w14:paraId="01E3B5C5" w14:textId="77777777" w:rsidR="00EF2CF7" w:rsidRDefault="00EF2CF7" w:rsidP="00057E7B">
            <w:pPr>
              <w:pStyle w:val="CETBodytext"/>
              <w:jc w:val="left"/>
              <w:rPr>
                <w:lang w:val="en-GB"/>
              </w:rPr>
            </w:pPr>
          </w:p>
        </w:tc>
        <w:tc>
          <w:tcPr>
            <w:tcW w:w="1559" w:type="dxa"/>
            <w:vMerge/>
            <w:shd w:val="clear" w:color="auto" w:fill="FFFFFF"/>
          </w:tcPr>
          <w:p w14:paraId="17C0FE3E" w14:textId="77777777" w:rsidR="00EF2CF7" w:rsidRPr="00B57B36" w:rsidRDefault="00EF2CF7" w:rsidP="00057E7B">
            <w:pPr>
              <w:pStyle w:val="CETBodytext"/>
              <w:jc w:val="center"/>
              <w:rPr>
                <w:lang w:val="en-GB"/>
              </w:rPr>
            </w:pPr>
          </w:p>
        </w:tc>
        <w:tc>
          <w:tcPr>
            <w:tcW w:w="1417" w:type="dxa"/>
            <w:vMerge/>
            <w:shd w:val="clear" w:color="auto" w:fill="FFFFFF"/>
          </w:tcPr>
          <w:p w14:paraId="61E6426D"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598F3F64"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677FB977"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29FAF7C7" w14:textId="77777777" w:rsidR="00EF2CF7" w:rsidRPr="00B57B36" w:rsidRDefault="00EF2CF7" w:rsidP="00057E7B">
            <w:pPr>
              <w:pStyle w:val="CETBodytext"/>
              <w:ind w:right="-1"/>
              <w:jc w:val="center"/>
              <w:rPr>
                <w:rFonts w:cs="Arial"/>
                <w:szCs w:val="18"/>
                <w:lang w:val="en-GB"/>
              </w:rPr>
            </w:pPr>
            <w:r>
              <w:rPr>
                <w:rFonts w:cs="Arial"/>
                <w:szCs w:val="18"/>
                <w:lang w:val="en-GB"/>
              </w:rPr>
              <w:t>CF = 3</w:t>
            </w:r>
          </w:p>
        </w:tc>
        <w:tc>
          <w:tcPr>
            <w:tcW w:w="567" w:type="dxa"/>
            <w:vMerge/>
            <w:shd w:val="clear" w:color="auto" w:fill="FFFFFF"/>
          </w:tcPr>
          <w:p w14:paraId="1C005633" w14:textId="77777777" w:rsidR="00EF2CF7" w:rsidRPr="00B57B36" w:rsidRDefault="00EF2CF7" w:rsidP="00057E7B">
            <w:pPr>
              <w:pStyle w:val="CETBodytext"/>
              <w:ind w:right="-1"/>
              <w:jc w:val="center"/>
              <w:rPr>
                <w:rFonts w:cs="Arial"/>
                <w:szCs w:val="18"/>
                <w:lang w:val="en-GB"/>
              </w:rPr>
            </w:pPr>
          </w:p>
        </w:tc>
      </w:tr>
      <w:tr w:rsidR="00424A5B" w:rsidRPr="00B57B36" w14:paraId="49785CD6" w14:textId="77777777" w:rsidTr="00424A5B">
        <w:tc>
          <w:tcPr>
            <w:tcW w:w="993" w:type="dxa"/>
            <w:vMerge/>
            <w:shd w:val="clear" w:color="auto" w:fill="FFFFFF"/>
          </w:tcPr>
          <w:p w14:paraId="607E2547" w14:textId="77777777" w:rsidR="00EF2CF7" w:rsidRDefault="00EF2CF7" w:rsidP="00057E7B">
            <w:pPr>
              <w:pStyle w:val="CETBodytext"/>
              <w:jc w:val="left"/>
              <w:rPr>
                <w:lang w:val="en-GB"/>
              </w:rPr>
            </w:pPr>
          </w:p>
        </w:tc>
        <w:tc>
          <w:tcPr>
            <w:tcW w:w="1559" w:type="dxa"/>
            <w:vMerge/>
            <w:shd w:val="clear" w:color="auto" w:fill="FFFFFF"/>
          </w:tcPr>
          <w:p w14:paraId="62690170" w14:textId="77777777" w:rsidR="00EF2CF7" w:rsidRPr="00B57B36" w:rsidRDefault="00EF2CF7" w:rsidP="00057E7B">
            <w:pPr>
              <w:pStyle w:val="CETBodytext"/>
              <w:jc w:val="center"/>
              <w:rPr>
                <w:lang w:val="en-GB"/>
              </w:rPr>
            </w:pPr>
          </w:p>
        </w:tc>
        <w:tc>
          <w:tcPr>
            <w:tcW w:w="1417" w:type="dxa"/>
            <w:vMerge/>
            <w:shd w:val="clear" w:color="auto" w:fill="FFFFFF"/>
          </w:tcPr>
          <w:p w14:paraId="71690E0F"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664D56A0"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400117A9"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04F57894" w14:textId="7945BA1A" w:rsidR="00EF2CF7" w:rsidRPr="00B57B36" w:rsidRDefault="00EF2CF7" w:rsidP="00057E7B">
            <w:pPr>
              <w:pStyle w:val="CETBodytext"/>
              <w:ind w:right="-1"/>
              <w:jc w:val="center"/>
              <w:rPr>
                <w:rFonts w:cs="Arial"/>
                <w:szCs w:val="18"/>
                <w:lang w:val="en-GB"/>
              </w:rPr>
            </w:pPr>
            <w:r>
              <w:rPr>
                <w:rFonts w:cs="Arial"/>
                <w:szCs w:val="18"/>
                <w:lang w:val="en-GB"/>
              </w:rPr>
              <w:t>PM =</w:t>
            </w:r>
            <w:r w:rsidR="00C16240">
              <w:rPr>
                <w:rFonts w:cs="Arial"/>
                <w:szCs w:val="18"/>
                <w:lang w:val="en-GB"/>
              </w:rPr>
              <w:t xml:space="preserve"> 1 –</w:t>
            </w:r>
            <w:r>
              <w:rPr>
                <w:rFonts w:cs="Arial"/>
                <w:szCs w:val="18"/>
                <w:lang w:val="en-GB"/>
              </w:rPr>
              <w:t xml:space="preserve"> 0.95</w:t>
            </w:r>
          </w:p>
        </w:tc>
        <w:tc>
          <w:tcPr>
            <w:tcW w:w="567" w:type="dxa"/>
            <w:vMerge/>
            <w:shd w:val="clear" w:color="auto" w:fill="FFFFFF"/>
          </w:tcPr>
          <w:p w14:paraId="581F727F" w14:textId="77777777" w:rsidR="00EF2CF7" w:rsidRPr="00B57B36" w:rsidRDefault="00EF2CF7" w:rsidP="00057E7B">
            <w:pPr>
              <w:pStyle w:val="CETBodytext"/>
              <w:ind w:right="-1"/>
              <w:jc w:val="center"/>
              <w:rPr>
                <w:rFonts w:cs="Arial"/>
                <w:szCs w:val="18"/>
                <w:lang w:val="en-GB"/>
              </w:rPr>
            </w:pPr>
          </w:p>
        </w:tc>
      </w:tr>
      <w:tr w:rsidR="00424A5B" w:rsidRPr="00B57B36" w14:paraId="3C6334FB" w14:textId="77777777" w:rsidTr="00424A5B">
        <w:tc>
          <w:tcPr>
            <w:tcW w:w="993" w:type="dxa"/>
            <w:vMerge/>
            <w:shd w:val="clear" w:color="auto" w:fill="FFFFFF"/>
          </w:tcPr>
          <w:p w14:paraId="298E4A65" w14:textId="77777777" w:rsidR="00EF2CF7" w:rsidRDefault="00EF2CF7" w:rsidP="00057E7B">
            <w:pPr>
              <w:pStyle w:val="CETBodytext"/>
              <w:jc w:val="left"/>
              <w:rPr>
                <w:lang w:val="en-GB"/>
              </w:rPr>
            </w:pPr>
          </w:p>
        </w:tc>
        <w:tc>
          <w:tcPr>
            <w:tcW w:w="1559" w:type="dxa"/>
            <w:vMerge/>
            <w:shd w:val="clear" w:color="auto" w:fill="FFFFFF"/>
          </w:tcPr>
          <w:p w14:paraId="52C8D790" w14:textId="77777777" w:rsidR="00EF2CF7" w:rsidRPr="00B57B36" w:rsidRDefault="00EF2CF7" w:rsidP="00057E7B">
            <w:pPr>
              <w:pStyle w:val="CETBodytext"/>
              <w:jc w:val="center"/>
              <w:rPr>
                <w:lang w:val="en-GB"/>
              </w:rPr>
            </w:pPr>
          </w:p>
        </w:tc>
        <w:tc>
          <w:tcPr>
            <w:tcW w:w="1417" w:type="dxa"/>
            <w:vMerge/>
            <w:shd w:val="clear" w:color="auto" w:fill="FFFFFF"/>
          </w:tcPr>
          <w:p w14:paraId="7E02851A"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41B935D3"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7952B165"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746C7669" w14:textId="008B6B7A" w:rsidR="00EF2CF7" w:rsidRPr="00B57B36" w:rsidRDefault="00281FDA" w:rsidP="00057E7B">
            <w:pPr>
              <w:pStyle w:val="CETBodytext"/>
              <w:ind w:right="-1"/>
              <w:jc w:val="center"/>
              <w:rPr>
                <w:rFonts w:cs="Arial"/>
                <w:szCs w:val="18"/>
                <w:lang w:val="en-GB"/>
              </w:rPr>
            </w:pPr>
            <w:r>
              <w:rPr>
                <w:rFonts w:cs="Arial"/>
                <w:szCs w:val="18"/>
                <w:lang w:val="en-GB"/>
              </w:rPr>
              <w:t>MM = 1 (no system)</w:t>
            </w:r>
          </w:p>
        </w:tc>
        <w:tc>
          <w:tcPr>
            <w:tcW w:w="567" w:type="dxa"/>
            <w:vMerge/>
            <w:shd w:val="clear" w:color="auto" w:fill="FFFFFF"/>
          </w:tcPr>
          <w:p w14:paraId="00078AC4" w14:textId="77777777" w:rsidR="00EF2CF7" w:rsidRPr="00B57B36" w:rsidRDefault="00EF2CF7" w:rsidP="00057E7B">
            <w:pPr>
              <w:pStyle w:val="CETBodytext"/>
              <w:ind w:right="-1"/>
              <w:jc w:val="center"/>
              <w:rPr>
                <w:rFonts w:cs="Arial"/>
                <w:szCs w:val="18"/>
                <w:lang w:val="en-GB"/>
              </w:rPr>
            </w:pPr>
          </w:p>
        </w:tc>
      </w:tr>
      <w:tr w:rsidR="00424A5B" w:rsidRPr="00B57B36" w14:paraId="6193E928" w14:textId="77777777" w:rsidTr="00424A5B">
        <w:tc>
          <w:tcPr>
            <w:tcW w:w="993" w:type="dxa"/>
            <w:vMerge w:val="restart"/>
            <w:shd w:val="clear" w:color="auto" w:fill="FFFFFF"/>
          </w:tcPr>
          <w:p w14:paraId="44F4485E" w14:textId="290BE255" w:rsidR="00EF2CF7" w:rsidRDefault="00EF2CF7" w:rsidP="00C16240">
            <w:pPr>
              <w:pStyle w:val="CETBodytext"/>
              <w:jc w:val="left"/>
              <w:rPr>
                <w:rFonts w:cs="Arial"/>
                <w:szCs w:val="18"/>
                <w:lang w:val="en-GB"/>
              </w:rPr>
            </w:pPr>
            <w:r>
              <w:rPr>
                <w:rFonts w:cs="Arial"/>
                <w:szCs w:val="18"/>
                <w:lang w:val="en-GB"/>
              </w:rPr>
              <w:t>LIB electrolyte</w:t>
            </w:r>
            <w:r w:rsidDel="00EF2CF7">
              <w:rPr>
                <w:rFonts w:cs="Arial"/>
                <w:szCs w:val="18"/>
                <w:lang w:val="en-GB"/>
              </w:rPr>
              <w:t xml:space="preserve"> </w:t>
            </w:r>
          </w:p>
        </w:tc>
        <w:tc>
          <w:tcPr>
            <w:tcW w:w="1559" w:type="dxa"/>
            <w:vMerge w:val="restart"/>
            <w:shd w:val="clear" w:color="auto" w:fill="FFFFFF"/>
          </w:tcPr>
          <w:p w14:paraId="6A8914B0" w14:textId="0FE76ED2" w:rsidR="00EF2CF7" w:rsidRDefault="00EF2CF7" w:rsidP="00EF2CF7">
            <w:pPr>
              <w:pStyle w:val="CETBodytext"/>
              <w:jc w:val="center"/>
              <w:rPr>
                <w:rFonts w:asciiTheme="minorBidi" w:hAnsiTheme="minorBidi" w:cstheme="minorBidi"/>
              </w:rPr>
            </w:pPr>
            <w:r w:rsidRPr="00801A62">
              <w:rPr>
                <w:rFonts w:asciiTheme="minorBidi" w:hAnsiTheme="minorBidi" w:cstheme="minorBidi"/>
              </w:rPr>
              <w:t>Undesired LiPF</w:t>
            </w:r>
            <w:r w:rsidRPr="00801A62">
              <w:rPr>
                <w:rFonts w:asciiTheme="minorBidi" w:hAnsiTheme="minorBidi" w:cstheme="minorBidi"/>
                <w:vertAlign w:val="subscript"/>
              </w:rPr>
              <w:t>6</w:t>
            </w:r>
            <w:r w:rsidRPr="00801A62">
              <w:rPr>
                <w:rFonts w:asciiTheme="minorBidi" w:hAnsiTheme="minorBidi" w:cstheme="minorBidi"/>
              </w:rPr>
              <w:t xml:space="preserve">/DMC ratio </w:t>
            </w:r>
            <w:r w:rsidR="004B49C4" w:rsidRPr="00C16240">
              <w:rPr>
                <w:rFonts w:asciiTheme="minorBidi" w:hAnsiTheme="minorBidi" w:cstheme="minorBidi"/>
                <w:i/>
                <w:iCs/>
              </w:rPr>
              <w:t xml:space="preserve">More/Less </w:t>
            </w:r>
            <w:r w:rsidRPr="00C16240">
              <w:rPr>
                <w:rFonts w:asciiTheme="minorBidi" w:hAnsiTheme="minorBidi" w:cstheme="minorBidi"/>
                <w:i/>
                <w:iCs/>
              </w:rPr>
              <w:t>LiPF</w:t>
            </w:r>
            <w:r w:rsidRPr="00C16240">
              <w:rPr>
                <w:rFonts w:asciiTheme="minorBidi" w:hAnsiTheme="minorBidi" w:cstheme="minorBidi"/>
                <w:i/>
                <w:iCs/>
                <w:vertAlign w:val="subscript"/>
              </w:rPr>
              <w:t>6</w:t>
            </w:r>
            <w:r w:rsidRPr="00C16240">
              <w:rPr>
                <w:rFonts w:asciiTheme="minorBidi" w:hAnsiTheme="minorBidi" w:cstheme="minorBidi"/>
                <w:i/>
                <w:iCs/>
              </w:rPr>
              <w:t>/DMC ratio</w:t>
            </w:r>
            <w:r w:rsidRPr="00801A62" w:rsidDel="00EF2CF7">
              <w:rPr>
                <w:rFonts w:asciiTheme="minorBidi" w:hAnsiTheme="minorBidi" w:cstheme="minorBidi"/>
              </w:rPr>
              <w:t xml:space="preserve"> </w:t>
            </w:r>
          </w:p>
        </w:tc>
        <w:tc>
          <w:tcPr>
            <w:tcW w:w="1417" w:type="dxa"/>
            <w:vMerge w:val="restart"/>
            <w:shd w:val="clear" w:color="auto" w:fill="FFFFFF"/>
          </w:tcPr>
          <w:p w14:paraId="27EB9C46" w14:textId="1A7A1F0D" w:rsidR="00EF2CF7" w:rsidRDefault="00EF2CF7" w:rsidP="00EF2CF7">
            <w:pPr>
              <w:pStyle w:val="CETBodytext"/>
              <w:ind w:right="-1"/>
              <w:jc w:val="center"/>
              <w:rPr>
                <w:rFonts w:cs="Arial"/>
                <w:szCs w:val="18"/>
                <w:lang w:val="en-GB"/>
              </w:rPr>
            </w:pPr>
            <w:r>
              <w:rPr>
                <w:rFonts w:cs="Arial"/>
                <w:szCs w:val="18"/>
                <w:lang w:val="en-GB"/>
              </w:rPr>
              <w:t>I</w:t>
            </w:r>
            <w:r w:rsidRPr="00117B70">
              <w:rPr>
                <w:rFonts w:cs="Arial"/>
                <w:szCs w:val="18"/>
                <w:lang w:val="en-GB"/>
              </w:rPr>
              <w:t>ncorrect incoming flows</w:t>
            </w:r>
          </w:p>
        </w:tc>
        <w:tc>
          <w:tcPr>
            <w:tcW w:w="1560" w:type="dxa"/>
            <w:vMerge w:val="restart"/>
            <w:shd w:val="clear" w:color="auto" w:fill="FFFFFF"/>
          </w:tcPr>
          <w:p w14:paraId="7A2D1577" w14:textId="77777777" w:rsidR="00EF2CF7" w:rsidRDefault="00EF2CF7" w:rsidP="00EF2CF7">
            <w:pPr>
              <w:pStyle w:val="CETBodytext"/>
              <w:ind w:right="-1"/>
              <w:jc w:val="center"/>
              <w:rPr>
                <w:rFonts w:cs="Arial"/>
                <w:szCs w:val="18"/>
                <w:lang w:val="en-GB"/>
              </w:rPr>
            </w:pPr>
            <w:r>
              <w:rPr>
                <w:rFonts w:cs="Arial"/>
                <w:szCs w:val="18"/>
                <w:lang w:val="en-GB"/>
              </w:rPr>
              <w:t>Undesired concentration of the mixture</w:t>
            </w:r>
          </w:p>
          <w:p w14:paraId="14D6F855" w14:textId="633985C6" w:rsidR="00EF2CF7" w:rsidRDefault="00EF2CF7" w:rsidP="00EF2CF7">
            <w:pPr>
              <w:pStyle w:val="CETBodytext"/>
              <w:ind w:right="-1"/>
              <w:jc w:val="center"/>
              <w:rPr>
                <w:rFonts w:cs="Arial"/>
                <w:szCs w:val="18"/>
                <w:lang w:val="en-GB"/>
              </w:rPr>
            </w:pPr>
            <w:r w:rsidRPr="00117B70">
              <w:rPr>
                <w:rFonts w:cs="Arial"/>
                <w:szCs w:val="18"/>
                <w:lang w:val="en-GB"/>
              </w:rPr>
              <w:t>Ionic conductivity reduction</w:t>
            </w:r>
          </w:p>
        </w:tc>
        <w:tc>
          <w:tcPr>
            <w:tcW w:w="1134" w:type="dxa"/>
            <w:vMerge w:val="restart"/>
            <w:shd w:val="clear" w:color="auto" w:fill="FFFFFF"/>
          </w:tcPr>
          <w:p w14:paraId="1601929F" w14:textId="66966FF7" w:rsidR="00EF2CF7" w:rsidRDefault="00EF2CF7" w:rsidP="00EF2CF7">
            <w:pPr>
              <w:pStyle w:val="CETBodytext"/>
              <w:ind w:right="-1"/>
              <w:jc w:val="center"/>
              <w:rPr>
                <w:rFonts w:cs="Arial"/>
                <w:szCs w:val="18"/>
                <w:lang w:val="en-GB"/>
              </w:rPr>
            </w:pPr>
            <w:r w:rsidRPr="00117B70">
              <w:rPr>
                <w:rFonts w:cs="Arial"/>
                <w:szCs w:val="18"/>
                <w:lang w:val="en-GB"/>
              </w:rPr>
              <w:t>Continuous ratio control of incoming flows</w:t>
            </w:r>
          </w:p>
        </w:tc>
        <w:tc>
          <w:tcPr>
            <w:tcW w:w="1701" w:type="dxa"/>
            <w:shd w:val="clear" w:color="auto" w:fill="FFFFFF"/>
          </w:tcPr>
          <w:p w14:paraId="5562AB03" w14:textId="5AF0618C" w:rsidR="00EF2CF7" w:rsidRDefault="00EF2CF7" w:rsidP="00EF2CF7">
            <w:pPr>
              <w:pStyle w:val="CETBodytext"/>
              <w:ind w:right="-1"/>
              <w:jc w:val="center"/>
              <w:rPr>
                <w:rFonts w:cs="Arial"/>
                <w:szCs w:val="18"/>
                <w:lang w:val="en-GB"/>
              </w:rPr>
            </w:pPr>
            <w:r>
              <w:rPr>
                <w:rFonts w:cs="Arial"/>
                <w:szCs w:val="18"/>
                <w:lang w:val="en-GB"/>
              </w:rPr>
              <w:t>T = 1</w:t>
            </w:r>
            <w:r w:rsidR="009410DF">
              <w:rPr>
                <w:rFonts w:cs="Arial"/>
                <w:szCs w:val="18"/>
                <w:lang w:val="en-GB"/>
              </w:rPr>
              <w:t>; F</w:t>
            </w:r>
            <w:r w:rsidR="004B49C4">
              <w:rPr>
                <w:rFonts w:cs="Arial"/>
                <w:szCs w:val="18"/>
                <w:lang w:val="en-GB"/>
              </w:rPr>
              <w:t xml:space="preserve"> </w:t>
            </w:r>
            <w:r w:rsidR="009410DF">
              <w:rPr>
                <w:rFonts w:cs="Arial"/>
                <w:szCs w:val="18"/>
                <w:lang w:val="en-GB"/>
              </w:rPr>
              <w:t xml:space="preserve">= </w:t>
            </w:r>
            <w:r w:rsidR="004B49C4">
              <w:rPr>
                <w:rFonts w:cs="Arial"/>
                <w:szCs w:val="18"/>
                <w:lang w:val="en-GB"/>
              </w:rPr>
              <w:t>2</w:t>
            </w:r>
            <w:r w:rsidR="009410DF">
              <w:rPr>
                <w:rFonts w:cs="Arial"/>
                <w:szCs w:val="18"/>
                <w:lang w:val="en-GB"/>
              </w:rPr>
              <w:t>;</w:t>
            </w:r>
            <w:r>
              <w:rPr>
                <w:rFonts w:cs="Arial"/>
                <w:szCs w:val="18"/>
                <w:lang w:val="en-GB"/>
              </w:rPr>
              <w:t xml:space="preserve"> E= </w:t>
            </w:r>
            <w:r w:rsidR="004B49C4">
              <w:rPr>
                <w:rFonts w:cs="Arial"/>
                <w:szCs w:val="18"/>
                <w:lang w:val="en-GB"/>
              </w:rPr>
              <w:t>1</w:t>
            </w:r>
          </w:p>
        </w:tc>
        <w:tc>
          <w:tcPr>
            <w:tcW w:w="567" w:type="dxa"/>
            <w:vMerge w:val="restart"/>
            <w:shd w:val="clear" w:color="auto" w:fill="FFFFFF"/>
            <w:vAlign w:val="center"/>
          </w:tcPr>
          <w:p w14:paraId="45477658" w14:textId="0510C3EB" w:rsidR="00EF2CF7" w:rsidRDefault="00C16240" w:rsidP="00EF2CF7">
            <w:pPr>
              <w:pStyle w:val="CETBodytext"/>
              <w:ind w:right="-1"/>
              <w:jc w:val="center"/>
              <w:rPr>
                <w:rFonts w:cs="Arial"/>
                <w:szCs w:val="18"/>
                <w:lang w:val="en-GB"/>
              </w:rPr>
            </w:pPr>
            <w:r>
              <w:rPr>
                <w:rFonts w:cs="Arial"/>
                <w:szCs w:val="18"/>
                <w:lang w:val="en-GB"/>
              </w:rPr>
              <w:t>0</w:t>
            </w:r>
            <w:r w:rsidR="004B49C4">
              <w:rPr>
                <w:rFonts w:cs="Arial"/>
                <w:szCs w:val="18"/>
                <w:lang w:val="en-GB"/>
              </w:rPr>
              <w:t>.</w:t>
            </w:r>
            <w:r>
              <w:rPr>
                <w:rFonts w:cs="Arial"/>
                <w:szCs w:val="18"/>
                <w:lang w:val="en-GB"/>
              </w:rPr>
              <w:t>60</w:t>
            </w:r>
          </w:p>
        </w:tc>
      </w:tr>
      <w:tr w:rsidR="00424A5B" w:rsidRPr="00B57B36" w14:paraId="515FDF20" w14:textId="77777777" w:rsidTr="00424A5B">
        <w:tc>
          <w:tcPr>
            <w:tcW w:w="993" w:type="dxa"/>
            <w:vMerge/>
            <w:shd w:val="clear" w:color="auto" w:fill="FFFFFF"/>
          </w:tcPr>
          <w:p w14:paraId="6CCA26FC" w14:textId="105DD883" w:rsidR="00EF2CF7" w:rsidDel="00EF2CF7" w:rsidRDefault="00EF2CF7" w:rsidP="00EF2CF7">
            <w:pPr>
              <w:pStyle w:val="CETBodytext"/>
              <w:ind w:right="-1"/>
              <w:jc w:val="left"/>
              <w:rPr>
                <w:rFonts w:cs="Arial"/>
                <w:szCs w:val="18"/>
                <w:lang w:val="en-GB"/>
              </w:rPr>
            </w:pPr>
          </w:p>
        </w:tc>
        <w:tc>
          <w:tcPr>
            <w:tcW w:w="1559" w:type="dxa"/>
            <w:vMerge/>
            <w:shd w:val="clear" w:color="auto" w:fill="FFFFFF"/>
          </w:tcPr>
          <w:p w14:paraId="22467E6B" w14:textId="77777777" w:rsidR="00EF2CF7" w:rsidRPr="00801A62" w:rsidDel="00EF2CF7" w:rsidRDefault="00EF2CF7" w:rsidP="00EF2CF7">
            <w:pPr>
              <w:pStyle w:val="CETBodytext"/>
              <w:jc w:val="center"/>
              <w:rPr>
                <w:rFonts w:asciiTheme="minorBidi" w:hAnsiTheme="minorBidi" w:cstheme="minorBidi"/>
              </w:rPr>
            </w:pPr>
          </w:p>
        </w:tc>
        <w:tc>
          <w:tcPr>
            <w:tcW w:w="1417" w:type="dxa"/>
            <w:vMerge/>
            <w:shd w:val="clear" w:color="auto" w:fill="FFFFFF"/>
          </w:tcPr>
          <w:p w14:paraId="056CA5DE" w14:textId="77777777" w:rsidR="00EF2CF7" w:rsidRDefault="00EF2CF7" w:rsidP="00EF2CF7">
            <w:pPr>
              <w:pStyle w:val="CETBodytext"/>
              <w:ind w:right="-1"/>
              <w:jc w:val="center"/>
              <w:rPr>
                <w:rFonts w:cs="Arial"/>
                <w:szCs w:val="18"/>
                <w:lang w:val="en-GB"/>
              </w:rPr>
            </w:pPr>
          </w:p>
        </w:tc>
        <w:tc>
          <w:tcPr>
            <w:tcW w:w="1560" w:type="dxa"/>
            <w:vMerge/>
            <w:shd w:val="clear" w:color="auto" w:fill="FFFFFF"/>
          </w:tcPr>
          <w:p w14:paraId="3423E4B4" w14:textId="77777777" w:rsidR="00EF2CF7" w:rsidRDefault="00EF2CF7" w:rsidP="00EF2CF7">
            <w:pPr>
              <w:pStyle w:val="CETBodytext"/>
              <w:ind w:right="-1"/>
              <w:jc w:val="center"/>
              <w:rPr>
                <w:rFonts w:cs="Arial"/>
                <w:szCs w:val="18"/>
                <w:lang w:val="en-GB"/>
              </w:rPr>
            </w:pPr>
          </w:p>
        </w:tc>
        <w:tc>
          <w:tcPr>
            <w:tcW w:w="1134" w:type="dxa"/>
            <w:vMerge/>
            <w:shd w:val="clear" w:color="auto" w:fill="FFFFFF"/>
          </w:tcPr>
          <w:p w14:paraId="6009A9ED" w14:textId="77777777" w:rsidR="00EF2CF7" w:rsidRDefault="00EF2CF7" w:rsidP="00EF2CF7">
            <w:pPr>
              <w:pStyle w:val="CETBodytext"/>
              <w:ind w:right="-1"/>
              <w:jc w:val="center"/>
              <w:rPr>
                <w:rFonts w:cs="Arial"/>
                <w:szCs w:val="18"/>
                <w:lang w:val="en-GB"/>
              </w:rPr>
            </w:pPr>
          </w:p>
        </w:tc>
        <w:tc>
          <w:tcPr>
            <w:tcW w:w="1701" w:type="dxa"/>
            <w:shd w:val="clear" w:color="auto" w:fill="FFFFFF"/>
          </w:tcPr>
          <w:p w14:paraId="6DC8CF72" w14:textId="6216AF4A" w:rsidR="00EF2CF7" w:rsidRDefault="00EF2CF7" w:rsidP="00EF2CF7">
            <w:pPr>
              <w:pStyle w:val="CETBodytext"/>
              <w:ind w:right="-1"/>
              <w:jc w:val="center"/>
              <w:rPr>
                <w:rFonts w:cs="Arial"/>
                <w:szCs w:val="18"/>
                <w:lang w:val="en-GB"/>
              </w:rPr>
            </w:pPr>
            <w:r>
              <w:rPr>
                <w:rFonts w:cs="Arial"/>
                <w:szCs w:val="18"/>
                <w:lang w:val="en-GB"/>
              </w:rPr>
              <w:t xml:space="preserve">PF = </w:t>
            </w:r>
            <w:r w:rsidR="004B49C4">
              <w:rPr>
                <w:rFonts w:cs="Arial"/>
                <w:szCs w:val="18"/>
                <w:lang w:val="en-GB"/>
              </w:rPr>
              <w:t>3</w:t>
            </w:r>
          </w:p>
        </w:tc>
        <w:tc>
          <w:tcPr>
            <w:tcW w:w="567" w:type="dxa"/>
            <w:vMerge/>
            <w:shd w:val="clear" w:color="auto" w:fill="FFFFFF"/>
            <w:vAlign w:val="center"/>
          </w:tcPr>
          <w:p w14:paraId="4BCB4D43" w14:textId="77777777" w:rsidR="00EF2CF7" w:rsidRDefault="00EF2CF7" w:rsidP="00EF2CF7">
            <w:pPr>
              <w:pStyle w:val="CETBodytext"/>
              <w:ind w:right="-1"/>
              <w:jc w:val="center"/>
              <w:rPr>
                <w:rFonts w:cs="Arial"/>
                <w:szCs w:val="18"/>
                <w:lang w:val="en-GB"/>
              </w:rPr>
            </w:pPr>
          </w:p>
        </w:tc>
      </w:tr>
      <w:tr w:rsidR="00424A5B" w:rsidRPr="00B57B36" w14:paraId="6907A440" w14:textId="77777777" w:rsidTr="00424A5B">
        <w:tc>
          <w:tcPr>
            <w:tcW w:w="993" w:type="dxa"/>
            <w:vMerge/>
            <w:shd w:val="clear" w:color="auto" w:fill="FFFFFF"/>
          </w:tcPr>
          <w:p w14:paraId="02647F8C" w14:textId="2D806B4B" w:rsidR="00EF2CF7" w:rsidRDefault="00EF2CF7" w:rsidP="00EF2CF7">
            <w:pPr>
              <w:pStyle w:val="CETBodytext"/>
              <w:ind w:right="-1"/>
              <w:jc w:val="left"/>
              <w:rPr>
                <w:rFonts w:cs="Arial"/>
                <w:szCs w:val="18"/>
                <w:lang w:val="en-GB"/>
              </w:rPr>
            </w:pPr>
          </w:p>
        </w:tc>
        <w:tc>
          <w:tcPr>
            <w:tcW w:w="1559" w:type="dxa"/>
            <w:vMerge/>
            <w:shd w:val="clear" w:color="auto" w:fill="FFFFFF"/>
          </w:tcPr>
          <w:p w14:paraId="647DD36E" w14:textId="77777777" w:rsidR="00EF2CF7" w:rsidRDefault="00EF2CF7" w:rsidP="00EF2CF7">
            <w:pPr>
              <w:pStyle w:val="CETBodytext"/>
              <w:jc w:val="center"/>
              <w:rPr>
                <w:rFonts w:asciiTheme="minorBidi" w:hAnsiTheme="minorBidi" w:cstheme="minorBidi"/>
              </w:rPr>
            </w:pPr>
          </w:p>
        </w:tc>
        <w:tc>
          <w:tcPr>
            <w:tcW w:w="1417" w:type="dxa"/>
            <w:vMerge/>
            <w:shd w:val="clear" w:color="auto" w:fill="FFFFFF"/>
          </w:tcPr>
          <w:p w14:paraId="4A251E4C" w14:textId="77777777" w:rsidR="00EF2CF7" w:rsidRDefault="00EF2CF7" w:rsidP="00EF2CF7">
            <w:pPr>
              <w:pStyle w:val="CETBodytext"/>
              <w:ind w:right="-1"/>
              <w:jc w:val="center"/>
              <w:rPr>
                <w:rFonts w:cs="Arial"/>
                <w:szCs w:val="18"/>
                <w:lang w:val="en-GB"/>
              </w:rPr>
            </w:pPr>
          </w:p>
        </w:tc>
        <w:tc>
          <w:tcPr>
            <w:tcW w:w="1560" w:type="dxa"/>
            <w:vMerge/>
            <w:shd w:val="clear" w:color="auto" w:fill="FFFFFF"/>
          </w:tcPr>
          <w:p w14:paraId="0D081358" w14:textId="77777777" w:rsidR="00EF2CF7" w:rsidRDefault="00EF2CF7" w:rsidP="00EF2CF7">
            <w:pPr>
              <w:pStyle w:val="CETBodytext"/>
              <w:ind w:right="-1"/>
              <w:jc w:val="center"/>
              <w:rPr>
                <w:rFonts w:cs="Arial"/>
                <w:szCs w:val="18"/>
                <w:lang w:val="en-GB"/>
              </w:rPr>
            </w:pPr>
          </w:p>
        </w:tc>
        <w:tc>
          <w:tcPr>
            <w:tcW w:w="1134" w:type="dxa"/>
            <w:vMerge/>
            <w:shd w:val="clear" w:color="auto" w:fill="FFFFFF"/>
          </w:tcPr>
          <w:p w14:paraId="09DAC042" w14:textId="77777777" w:rsidR="00EF2CF7" w:rsidRDefault="00EF2CF7" w:rsidP="00EF2CF7">
            <w:pPr>
              <w:pStyle w:val="CETBodytext"/>
              <w:ind w:right="-1"/>
              <w:jc w:val="center"/>
              <w:rPr>
                <w:rFonts w:cs="Arial"/>
                <w:szCs w:val="18"/>
                <w:lang w:val="en-GB"/>
              </w:rPr>
            </w:pPr>
          </w:p>
        </w:tc>
        <w:tc>
          <w:tcPr>
            <w:tcW w:w="1701" w:type="dxa"/>
            <w:shd w:val="clear" w:color="auto" w:fill="FFFFFF"/>
          </w:tcPr>
          <w:p w14:paraId="280E5AAD" w14:textId="20D50B3C" w:rsidR="00EF2CF7" w:rsidRDefault="00EF2CF7" w:rsidP="00EF2CF7">
            <w:pPr>
              <w:pStyle w:val="CETBodytext"/>
              <w:ind w:right="-1"/>
              <w:jc w:val="center"/>
              <w:rPr>
                <w:rFonts w:cs="Arial"/>
                <w:szCs w:val="18"/>
                <w:lang w:val="en-GB"/>
              </w:rPr>
            </w:pPr>
            <w:r>
              <w:rPr>
                <w:rFonts w:cs="Arial"/>
                <w:szCs w:val="18"/>
                <w:lang w:val="en-GB"/>
              </w:rPr>
              <w:t xml:space="preserve">CF = </w:t>
            </w:r>
            <w:r w:rsidR="004B49C4">
              <w:rPr>
                <w:rFonts w:cs="Arial"/>
                <w:szCs w:val="18"/>
                <w:lang w:val="en-GB"/>
              </w:rPr>
              <w:t>1</w:t>
            </w:r>
          </w:p>
        </w:tc>
        <w:tc>
          <w:tcPr>
            <w:tcW w:w="567" w:type="dxa"/>
            <w:vMerge/>
            <w:shd w:val="clear" w:color="auto" w:fill="FFFFFF"/>
            <w:vAlign w:val="center"/>
          </w:tcPr>
          <w:p w14:paraId="49B96940" w14:textId="77777777" w:rsidR="00EF2CF7" w:rsidRDefault="00EF2CF7" w:rsidP="00EF2CF7">
            <w:pPr>
              <w:pStyle w:val="CETBodytext"/>
              <w:ind w:right="-1"/>
              <w:jc w:val="center"/>
              <w:rPr>
                <w:rFonts w:cs="Arial"/>
                <w:szCs w:val="18"/>
                <w:lang w:val="en-GB"/>
              </w:rPr>
            </w:pPr>
          </w:p>
        </w:tc>
      </w:tr>
      <w:tr w:rsidR="00424A5B" w:rsidRPr="00B57B36" w14:paraId="560DF86B" w14:textId="77777777" w:rsidTr="00424A5B">
        <w:tc>
          <w:tcPr>
            <w:tcW w:w="993" w:type="dxa"/>
            <w:vMerge/>
            <w:shd w:val="clear" w:color="auto" w:fill="FFFFFF"/>
          </w:tcPr>
          <w:p w14:paraId="65350995" w14:textId="28D7B470" w:rsidR="00EF2CF7" w:rsidRPr="00B57B36" w:rsidRDefault="00EF2CF7" w:rsidP="00057E7B">
            <w:pPr>
              <w:pStyle w:val="CETBodytext"/>
              <w:ind w:right="-1"/>
              <w:jc w:val="left"/>
              <w:rPr>
                <w:lang w:val="en-GB"/>
              </w:rPr>
            </w:pPr>
          </w:p>
        </w:tc>
        <w:tc>
          <w:tcPr>
            <w:tcW w:w="1559" w:type="dxa"/>
            <w:vMerge/>
            <w:shd w:val="clear" w:color="auto" w:fill="FFFFFF"/>
          </w:tcPr>
          <w:p w14:paraId="3EBD8D45" w14:textId="77777777" w:rsidR="00EF2CF7" w:rsidRPr="00B57B36" w:rsidRDefault="00EF2CF7" w:rsidP="00057E7B">
            <w:pPr>
              <w:pStyle w:val="CETBodytext"/>
              <w:jc w:val="center"/>
              <w:rPr>
                <w:lang w:val="en-GB"/>
              </w:rPr>
            </w:pPr>
          </w:p>
        </w:tc>
        <w:tc>
          <w:tcPr>
            <w:tcW w:w="1417" w:type="dxa"/>
            <w:vMerge/>
            <w:shd w:val="clear" w:color="auto" w:fill="FFFFFF"/>
          </w:tcPr>
          <w:p w14:paraId="08E15860"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48081937" w14:textId="77777777" w:rsidR="00EF2CF7" w:rsidRPr="00B57B36" w:rsidRDefault="00EF2CF7" w:rsidP="00057E7B">
            <w:pPr>
              <w:pStyle w:val="CETBodytext"/>
              <w:ind w:right="-1"/>
              <w:jc w:val="center"/>
              <w:rPr>
                <w:rFonts w:cs="Arial"/>
                <w:szCs w:val="18"/>
                <w:lang w:val="en-GB"/>
              </w:rPr>
            </w:pPr>
          </w:p>
        </w:tc>
        <w:tc>
          <w:tcPr>
            <w:tcW w:w="1134" w:type="dxa"/>
            <w:vMerge/>
            <w:shd w:val="clear" w:color="auto" w:fill="FFFFFF"/>
          </w:tcPr>
          <w:p w14:paraId="79BC319D"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43C83DAF" w14:textId="11A982FC" w:rsidR="00EF2CF7" w:rsidRPr="00B57B36" w:rsidRDefault="00EF2CF7" w:rsidP="00057E7B">
            <w:pPr>
              <w:pStyle w:val="CETBodytext"/>
              <w:ind w:right="-1"/>
              <w:jc w:val="center"/>
              <w:rPr>
                <w:rFonts w:cs="Arial"/>
                <w:szCs w:val="18"/>
                <w:lang w:val="en-GB"/>
              </w:rPr>
            </w:pPr>
            <w:r>
              <w:rPr>
                <w:rFonts w:cs="Arial"/>
                <w:szCs w:val="18"/>
                <w:lang w:val="en-GB"/>
              </w:rPr>
              <w:t xml:space="preserve">PM = </w:t>
            </w:r>
            <w:r w:rsidR="00C16240">
              <w:rPr>
                <w:rFonts w:cs="Arial"/>
                <w:szCs w:val="18"/>
                <w:lang w:val="en-GB"/>
              </w:rPr>
              <w:t xml:space="preserve">1 – </w:t>
            </w:r>
            <w:r w:rsidR="009410DF">
              <w:rPr>
                <w:rFonts w:cs="Arial"/>
                <w:szCs w:val="18"/>
                <w:lang w:val="en-GB"/>
              </w:rPr>
              <w:t>0.9</w:t>
            </w:r>
            <w:r w:rsidR="004B49C4">
              <w:rPr>
                <w:rFonts w:cs="Arial"/>
                <w:szCs w:val="18"/>
                <w:lang w:val="en-GB"/>
              </w:rPr>
              <w:t>0</w:t>
            </w:r>
          </w:p>
        </w:tc>
        <w:tc>
          <w:tcPr>
            <w:tcW w:w="567" w:type="dxa"/>
            <w:vMerge/>
            <w:shd w:val="clear" w:color="auto" w:fill="FFFFFF"/>
            <w:vAlign w:val="center"/>
          </w:tcPr>
          <w:p w14:paraId="73F340E8" w14:textId="77777777" w:rsidR="00EF2CF7" w:rsidRPr="00B57B36" w:rsidRDefault="00EF2CF7" w:rsidP="00057E7B">
            <w:pPr>
              <w:pStyle w:val="CETBodytext"/>
              <w:ind w:right="-1"/>
              <w:jc w:val="center"/>
              <w:rPr>
                <w:rFonts w:cs="Arial"/>
                <w:szCs w:val="18"/>
                <w:lang w:val="en-GB"/>
              </w:rPr>
            </w:pPr>
          </w:p>
        </w:tc>
      </w:tr>
      <w:tr w:rsidR="00424A5B" w:rsidRPr="00B57B36" w14:paraId="483F909E" w14:textId="77777777" w:rsidTr="00424A5B">
        <w:tc>
          <w:tcPr>
            <w:tcW w:w="993" w:type="dxa"/>
            <w:vMerge/>
            <w:shd w:val="clear" w:color="auto" w:fill="FFFFFF"/>
          </w:tcPr>
          <w:p w14:paraId="71000FB0" w14:textId="6924709F" w:rsidR="00EF2CF7" w:rsidRPr="00B57B36" w:rsidRDefault="00EF2CF7" w:rsidP="00057E7B">
            <w:pPr>
              <w:pStyle w:val="CETBodytext"/>
              <w:ind w:right="-1"/>
              <w:jc w:val="left"/>
              <w:rPr>
                <w:rFonts w:cs="Arial"/>
                <w:szCs w:val="18"/>
                <w:lang w:val="en-GB"/>
              </w:rPr>
            </w:pPr>
          </w:p>
        </w:tc>
        <w:tc>
          <w:tcPr>
            <w:tcW w:w="1559" w:type="dxa"/>
            <w:vMerge/>
            <w:shd w:val="clear" w:color="auto" w:fill="FFFFFF"/>
          </w:tcPr>
          <w:p w14:paraId="2A66C594" w14:textId="412F17A0" w:rsidR="00EF2CF7" w:rsidRPr="00B57B36" w:rsidRDefault="00EF2CF7" w:rsidP="00057E7B">
            <w:pPr>
              <w:pStyle w:val="CETBodytext"/>
              <w:ind w:right="-1"/>
              <w:jc w:val="center"/>
              <w:rPr>
                <w:rFonts w:cs="Arial"/>
                <w:szCs w:val="18"/>
                <w:lang w:val="en-GB"/>
              </w:rPr>
            </w:pPr>
          </w:p>
        </w:tc>
        <w:tc>
          <w:tcPr>
            <w:tcW w:w="1417" w:type="dxa"/>
            <w:vMerge/>
            <w:shd w:val="clear" w:color="auto" w:fill="FFFFFF"/>
          </w:tcPr>
          <w:p w14:paraId="43B6954F" w14:textId="77777777" w:rsidR="00EF2CF7" w:rsidRPr="00B57B36" w:rsidRDefault="00EF2CF7" w:rsidP="00057E7B">
            <w:pPr>
              <w:pStyle w:val="CETBodytext"/>
              <w:ind w:right="-1"/>
              <w:jc w:val="center"/>
              <w:rPr>
                <w:rFonts w:cs="Arial"/>
                <w:szCs w:val="18"/>
                <w:lang w:val="en-GB"/>
              </w:rPr>
            </w:pPr>
          </w:p>
        </w:tc>
        <w:tc>
          <w:tcPr>
            <w:tcW w:w="1560" w:type="dxa"/>
            <w:vMerge/>
            <w:shd w:val="clear" w:color="auto" w:fill="FFFFFF"/>
          </w:tcPr>
          <w:p w14:paraId="4E8AC9AC" w14:textId="77777777" w:rsidR="00EF2CF7" w:rsidRPr="00057E7B" w:rsidRDefault="00EF2CF7" w:rsidP="00057E7B">
            <w:pPr>
              <w:pStyle w:val="CETBodytext"/>
              <w:ind w:right="-1"/>
              <w:jc w:val="center"/>
              <w:rPr>
                <w:rFonts w:asciiTheme="majorBidi" w:hAnsiTheme="majorBidi" w:cstheme="majorBidi"/>
                <w:i/>
                <w:iCs/>
                <w:szCs w:val="18"/>
                <w:lang w:val="en-GB"/>
              </w:rPr>
            </w:pPr>
          </w:p>
        </w:tc>
        <w:tc>
          <w:tcPr>
            <w:tcW w:w="1134" w:type="dxa"/>
            <w:vMerge/>
            <w:shd w:val="clear" w:color="auto" w:fill="FFFFFF"/>
          </w:tcPr>
          <w:p w14:paraId="3D679A62" w14:textId="77777777" w:rsidR="00EF2CF7" w:rsidRPr="00B57B36" w:rsidRDefault="00EF2CF7" w:rsidP="00057E7B">
            <w:pPr>
              <w:pStyle w:val="CETBodytext"/>
              <w:ind w:right="-1"/>
              <w:jc w:val="center"/>
              <w:rPr>
                <w:rFonts w:cs="Arial"/>
                <w:szCs w:val="18"/>
                <w:lang w:val="en-GB"/>
              </w:rPr>
            </w:pPr>
          </w:p>
        </w:tc>
        <w:tc>
          <w:tcPr>
            <w:tcW w:w="1701" w:type="dxa"/>
            <w:shd w:val="clear" w:color="auto" w:fill="FFFFFF"/>
          </w:tcPr>
          <w:p w14:paraId="4A9A85B5" w14:textId="7FA6DA1E" w:rsidR="00EF2CF7" w:rsidRPr="00B57B36" w:rsidRDefault="00EF2CF7" w:rsidP="00057E7B">
            <w:pPr>
              <w:pStyle w:val="CETBodytext"/>
              <w:ind w:right="-1"/>
              <w:jc w:val="center"/>
              <w:rPr>
                <w:rFonts w:cs="Arial"/>
                <w:szCs w:val="18"/>
                <w:lang w:val="en-GB"/>
              </w:rPr>
            </w:pPr>
            <w:r>
              <w:rPr>
                <w:rFonts w:cs="Arial"/>
                <w:szCs w:val="18"/>
                <w:lang w:val="en-GB"/>
              </w:rPr>
              <w:t xml:space="preserve">MM = </w:t>
            </w:r>
            <w:r w:rsidR="00281FDA">
              <w:rPr>
                <w:rFonts w:cs="Arial"/>
                <w:szCs w:val="18"/>
                <w:lang w:val="en-GB"/>
              </w:rPr>
              <w:t>1 (no system)</w:t>
            </w:r>
          </w:p>
        </w:tc>
        <w:tc>
          <w:tcPr>
            <w:tcW w:w="567" w:type="dxa"/>
            <w:vMerge/>
            <w:shd w:val="clear" w:color="auto" w:fill="FFFFFF"/>
            <w:vAlign w:val="center"/>
          </w:tcPr>
          <w:p w14:paraId="25083E02" w14:textId="77777777" w:rsidR="00EF2CF7" w:rsidRPr="00B57B36" w:rsidRDefault="00EF2CF7" w:rsidP="00057E7B">
            <w:pPr>
              <w:pStyle w:val="CETBodytext"/>
              <w:ind w:right="-1"/>
              <w:jc w:val="center"/>
              <w:rPr>
                <w:rFonts w:cs="Arial"/>
                <w:szCs w:val="18"/>
                <w:lang w:val="en-GB"/>
              </w:rPr>
            </w:pPr>
          </w:p>
        </w:tc>
      </w:tr>
    </w:tbl>
    <w:p w14:paraId="1CFBE489" w14:textId="0E5C1043" w:rsidR="009410DF" w:rsidRDefault="009410DF" w:rsidP="009410DF">
      <w:pPr>
        <w:pStyle w:val="CETTabletitle"/>
      </w:pPr>
      <w:r>
        <w:t xml:space="preserve">Table </w:t>
      </w:r>
      <w:r w:rsidR="00493989">
        <w:t>3</w:t>
      </w:r>
      <w:r>
        <w:t xml:space="preserve">: </w:t>
      </w:r>
      <w:r w:rsidRPr="00BB541D">
        <w:t xml:space="preserve">Process deviations in the </w:t>
      </w:r>
      <w:r>
        <w:t>S</w:t>
      </w:r>
      <w:r w:rsidRPr="00BB541D">
        <w:t>IB production cycle, their causes and consequences, corrective actions, and risk ind</w:t>
      </w:r>
      <w:r>
        <w:t>exe</w:t>
      </w:r>
      <w:r w:rsidRPr="00BB541D">
        <w:t>s</w:t>
      </w:r>
    </w:p>
    <w:tbl>
      <w:tblPr>
        <w:tblW w:w="8931"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3"/>
        <w:gridCol w:w="1559"/>
        <w:gridCol w:w="1417"/>
        <w:gridCol w:w="1560"/>
        <w:gridCol w:w="1134"/>
        <w:gridCol w:w="1701"/>
        <w:gridCol w:w="567"/>
      </w:tblGrid>
      <w:tr w:rsidR="00493989" w:rsidRPr="00B57B36" w14:paraId="4C5BC745" w14:textId="77777777" w:rsidTr="00424A5B">
        <w:tc>
          <w:tcPr>
            <w:tcW w:w="993" w:type="dxa"/>
            <w:tcBorders>
              <w:top w:val="single" w:sz="12" w:space="0" w:color="008000"/>
              <w:bottom w:val="single" w:sz="6" w:space="0" w:color="008000"/>
            </w:tcBorders>
            <w:shd w:val="clear" w:color="auto" w:fill="FFFFFF"/>
          </w:tcPr>
          <w:p w14:paraId="69D6536B" w14:textId="77777777" w:rsidR="00493989" w:rsidRPr="00B57B36" w:rsidRDefault="00493989" w:rsidP="00057E7B">
            <w:pPr>
              <w:pStyle w:val="CETBodytext"/>
              <w:ind w:right="-1"/>
              <w:jc w:val="center"/>
              <w:rPr>
                <w:rFonts w:cs="Arial"/>
                <w:szCs w:val="18"/>
                <w:lang w:val="en-GB"/>
              </w:rPr>
            </w:pPr>
            <w:r>
              <w:rPr>
                <w:lang w:val="en-GB"/>
              </w:rPr>
              <w:t>Component</w:t>
            </w:r>
          </w:p>
        </w:tc>
        <w:tc>
          <w:tcPr>
            <w:tcW w:w="1559" w:type="dxa"/>
            <w:tcBorders>
              <w:top w:val="single" w:sz="12" w:space="0" w:color="008000"/>
              <w:bottom w:val="single" w:sz="6" w:space="0" w:color="008000"/>
            </w:tcBorders>
            <w:shd w:val="clear" w:color="auto" w:fill="FFFFFF"/>
          </w:tcPr>
          <w:p w14:paraId="5E4B2283" w14:textId="77777777" w:rsidR="00493989" w:rsidRDefault="00493989" w:rsidP="00057E7B">
            <w:pPr>
              <w:pStyle w:val="CETBodytext"/>
              <w:jc w:val="center"/>
            </w:pPr>
            <w:r>
              <w:rPr>
                <w:lang w:val="en-GB"/>
              </w:rPr>
              <w:t>Deviation</w:t>
            </w:r>
          </w:p>
          <w:p w14:paraId="0377D1FC" w14:textId="77777777" w:rsidR="00493989" w:rsidRPr="00B57B36" w:rsidRDefault="00493989" w:rsidP="00057E7B">
            <w:pPr>
              <w:pStyle w:val="CETBodytext"/>
              <w:jc w:val="center"/>
              <w:rPr>
                <w:rFonts w:cs="Arial"/>
                <w:szCs w:val="18"/>
                <w:lang w:val="en-GB"/>
              </w:rPr>
            </w:pPr>
            <w:r w:rsidRPr="00A40339">
              <w:rPr>
                <w:i/>
                <w:iCs/>
                <w:lang w:val="en-GB"/>
              </w:rPr>
              <w:t>process parameter</w:t>
            </w:r>
            <w:r>
              <w:rPr>
                <w:i/>
                <w:iCs/>
                <w:lang w:val="en-GB"/>
              </w:rPr>
              <w:t>/</w:t>
            </w:r>
            <w:r w:rsidRPr="00A40339">
              <w:rPr>
                <w:i/>
                <w:iCs/>
                <w:lang w:val="en-GB"/>
              </w:rPr>
              <w:t>keyword</w:t>
            </w:r>
          </w:p>
        </w:tc>
        <w:tc>
          <w:tcPr>
            <w:tcW w:w="1417" w:type="dxa"/>
            <w:tcBorders>
              <w:top w:val="single" w:sz="12" w:space="0" w:color="008000"/>
              <w:bottom w:val="single" w:sz="6" w:space="0" w:color="008000"/>
            </w:tcBorders>
            <w:shd w:val="clear" w:color="auto" w:fill="FFFFFF"/>
          </w:tcPr>
          <w:p w14:paraId="26BF7495" w14:textId="77777777" w:rsidR="00493989" w:rsidRPr="00B57B36" w:rsidRDefault="00493989" w:rsidP="00057E7B">
            <w:pPr>
              <w:pStyle w:val="CETBodytext"/>
              <w:ind w:right="-1"/>
              <w:jc w:val="center"/>
              <w:rPr>
                <w:rFonts w:cs="Arial"/>
                <w:szCs w:val="18"/>
                <w:lang w:val="en-GB"/>
              </w:rPr>
            </w:pPr>
            <w:r>
              <w:rPr>
                <w:rFonts w:cs="Arial"/>
                <w:szCs w:val="18"/>
                <w:lang w:val="en-GB"/>
              </w:rPr>
              <w:t>Cause</w:t>
            </w:r>
          </w:p>
        </w:tc>
        <w:tc>
          <w:tcPr>
            <w:tcW w:w="1560" w:type="dxa"/>
            <w:tcBorders>
              <w:top w:val="single" w:sz="12" w:space="0" w:color="008000"/>
              <w:bottom w:val="single" w:sz="6" w:space="0" w:color="008000"/>
            </w:tcBorders>
            <w:shd w:val="clear" w:color="auto" w:fill="FFFFFF"/>
          </w:tcPr>
          <w:p w14:paraId="19E84F46" w14:textId="77777777" w:rsidR="00493989" w:rsidRPr="00B57B36" w:rsidRDefault="00493989" w:rsidP="00057E7B">
            <w:pPr>
              <w:pStyle w:val="CETBodytext"/>
              <w:ind w:right="-1"/>
              <w:jc w:val="center"/>
              <w:rPr>
                <w:rFonts w:cs="Arial"/>
                <w:szCs w:val="18"/>
                <w:lang w:val="en-GB"/>
              </w:rPr>
            </w:pPr>
            <w:r>
              <w:rPr>
                <w:lang w:val="en-GB"/>
              </w:rPr>
              <w:t>Consequence</w:t>
            </w:r>
          </w:p>
        </w:tc>
        <w:tc>
          <w:tcPr>
            <w:tcW w:w="1134" w:type="dxa"/>
            <w:tcBorders>
              <w:top w:val="single" w:sz="12" w:space="0" w:color="008000"/>
              <w:bottom w:val="single" w:sz="6" w:space="0" w:color="008000"/>
            </w:tcBorders>
            <w:shd w:val="clear" w:color="auto" w:fill="FFFFFF"/>
          </w:tcPr>
          <w:p w14:paraId="0035ED6D" w14:textId="77777777" w:rsidR="00493989" w:rsidRPr="001C5E10" w:rsidRDefault="00493989" w:rsidP="00057E7B">
            <w:pPr>
              <w:pStyle w:val="CETBodytext"/>
              <w:ind w:right="-1"/>
              <w:jc w:val="center"/>
              <w:rPr>
                <w:lang w:val="en-GB"/>
              </w:rPr>
            </w:pPr>
            <w:r>
              <w:rPr>
                <w:lang w:val="en-GB"/>
              </w:rPr>
              <w:t>Corrective action</w:t>
            </w:r>
          </w:p>
        </w:tc>
        <w:tc>
          <w:tcPr>
            <w:tcW w:w="1701" w:type="dxa"/>
            <w:tcBorders>
              <w:top w:val="single" w:sz="12" w:space="0" w:color="008000"/>
              <w:bottom w:val="single" w:sz="6" w:space="0" w:color="008000"/>
            </w:tcBorders>
            <w:shd w:val="clear" w:color="auto" w:fill="FFFFFF"/>
          </w:tcPr>
          <w:p w14:paraId="2FE21C88" w14:textId="77777777" w:rsidR="00493989" w:rsidRPr="001C5E10" w:rsidRDefault="00493989" w:rsidP="00057E7B">
            <w:pPr>
              <w:pStyle w:val="CETBodytext"/>
              <w:ind w:right="-1"/>
              <w:jc w:val="center"/>
              <w:rPr>
                <w:lang w:val="en-GB"/>
              </w:rPr>
            </w:pPr>
            <w:r>
              <w:rPr>
                <w:lang w:val="en-GB"/>
              </w:rPr>
              <w:t>Partial index</w:t>
            </w:r>
          </w:p>
        </w:tc>
        <w:tc>
          <w:tcPr>
            <w:tcW w:w="567" w:type="dxa"/>
            <w:tcBorders>
              <w:top w:val="single" w:sz="12" w:space="0" w:color="008000"/>
              <w:bottom w:val="single" w:sz="6" w:space="0" w:color="008000"/>
            </w:tcBorders>
            <w:shd w:val="clear" w:color="auto" w:fill="FFFFFF"/>
          </w:tcPr>
          <w:p w14:paraId="106D4E26" w14:textId="5170913A" w:rsidR="00493989" w:rsidRPr="001C5E10" w:rsidRDefault="00C16240" w:rsidP="00057E7B">
            <w:pPr>
              <w:pStyle w:val="CETBodytext"/>
              <w:ind w:right="-1"/>
              <w:jc w:val="center"/>
              <w:rPr>
                <w:lang w:val="en-GB"/>
              </w:rPr>
            </w:pPr>
            <w:r>
              <w:rPr>
                <w:lang w:val="en-GB"/>
              </w:rPr>
              <w:t>Risk i</w:t>
            </w:r>
            <w:r w:rsidR="00493989">
              <w:rPr>
                <w:lang w:val="en-GB"/>
              </w:rPr>
              <w:t>ndex</w:t>
            </w:r>
          </w:p>
        </w:tc>
      </w:tr>
      <w:tr w:rsidR="00493989" w:rsidRPr="00B57B36" w14:paraId="0C5F8AEE" w14:textId="77777777" w:rsidTr="00424A5B">
        <w:tc>
          <w:tcPr>
            <w:tcW w:w="993" w:type="dxa"/>
            <w:vMerge w:val="restart"/>
            <w:tcBorders>
              <w:top w:val="single" w:sz="6" w:space="0" w:color="008000"/>
            </w:tcBorders>
            <w:shd w:val="clear" w:color="auto" w:fill="FFFFFF"/>
          </w:tcPr>
          <w:p w14:paraId="77F87622" w14:textId="3BA7F189" w:rsidR="00493989" w:rsidRPr="00B57B36" w:rsidRDefault="00493989" w:rsidP="00493989">
            <w:pPr>
              <w:pStyle w:val="CETBodytext"/>
              <w:rPr>
                <w:lang w:val="en-GB"/>
              </w:rPr>
            </w:pPr>
            <w:r>
              <w:rPr>
                <w:lang w:val="en-GB"/>
              </w:rPr>
              <w:t>SIB anode</w:t>
            </w:r>
          </w:p>
        </w:tc>
        <w:tc>
          <w:tcPr>
            <w:tcW w:w="1559" w:type="dxa"/>
            <w:vMerge w:val="restart"/>
            <w:tcBorders>
              <w:top w:val="single" w:sz="6" w:space="0" w:color="008000"/>
            </w:tcBorders>
            <w:shd w:val="clear" w:color="auto" w:fill="FFFFFF"/>
          </w:tcPr>
          <w:p w14:paraId="6436469E" w14:textId="77777777" w:rsidR="00493989" w:rsidRDefault="00493989" w:rsidP="00493989">
            <w:pPr>
              <w:pStyle w:val="CETBodytext"/>
              <w:jc w:val="center"/>
              <w:rPr>
                <w:lang w:val="en-GB"/>
              </w:rPr>
            </w:pPr>
            <w:r w:rsidRPr="00493989">
              <w:rPr>
                <w:lang w:val="en-GB"/>
              </w:rPr>
              <w:t>Temperature in the electrolyzer above 600°C</w:t>
            </w:r>
          </w:p>
          <w:p w14:paraId="4A524486" w14:textId="32D6598D" w:rsidR="00493989" w:rsidRPr="00B57B36" w:rsidRDefault="00493989" w:rsidP="00493989">
            <w:pPr>
              <w:pStyle w:val="CETBodytext"/>
              <w:jc w:val="center"/>
              <w:rPr>
                <w:lang w:val="en-GB"/>
              </w:rPr>
            </w:pPr>
            <w:r w:rsidRPr="00A40339">
              <w:rPr>
                <w:i/>
                <w:iCs/>
                <w:lang w:val="en-GB"/>
              </w:rPr>
              <w:t>More</w:t>
            </w:r>
            <w:r>
              <w:rPr>
                <w:i/>
                <w:iCs/>
                <w:lang w:val="en-GB"/>
              </w:rPr>
              <w:t>/</w:t>
            </w:r>
            <w:r w:rsidRPr="00A40339">
              <w:rPr>
                <w:i/>
                <w:iCs/>
                <w:lang w:val="en-GB"/>
              </w:rPr>
              <w:t>temperature</w:t>
            </w:r>
          </w:p>
        </w:tc>
        <w:tc>
          <w:tcPr>
            <w:tcW w:w="1417" w:type="dxa"/>
            <w:vMerge w:val="restart"/>
            <w:tcBorders>
              <w:top w:val="single" w:sz="6" w:space="0" w:color="008000"/>
            </w:tcBorders>
            <w:shd w:val="clear" w:color="auto" w:fill="FFFFFF"/>
          </w:tcPr>
          <w:p w14:paraId="511BA763" w14:textId="77777777" w:rsidR="00493989" w:rsidRPr="00B57B36" w:rsidRDefault="00493989" w:rsidP="00493989">
            <w:pPr>
              <w:pStyle w:val="CETBodytext"/>
              <w:ind w:right="-1"/>
              <w:jc w:val="center"/>
              <w:rPr>
                <w:rFonts w:cs="Arial"/>
                <w:szCs w:val="18"/>
                <w:lang w:val="en-GB"/>
              </w:rPr>
            </w:pPr>
            <w:r w:rsidRPr="00A40339">
              <w:rPr>
                <w:rFonts w:cs="Arial"/>
                <w:szCs w:val="18"/>
                <w:lang w:val="en-GB"/>
              </w:rPr>
              <w:t>Electrolyzer heating system malfunction</w:t>
            </w:r>
          </w:p>
        </w:tc>
        <w:tc>
          <w:tcPr>
            <w:tcW w:w="1560" w:type="dxa"/>
            <w:vMerge w:val="restart"/>
            <w:tcBorders>
              <w:top w:val="single" w:sz="6" w:space="0" w:color="008000"/>
            </w:tcBorders>
            <w:shd w:val="clear" w:color="auto" w:fill="FFFFFF"/>
          </w:tcPr>
          <w:p w14:paraId="2CF17195" w14:textId="77777777" w:rsidR="00493989" w:rsidRDefault="00493989" w:rsidP="00493989">
            <w:pPr>
              <w:pStyle w:val="CETBodytext"/>
              <w:ind w:right="-1"/>
              <w:jc w:val="center"/>
              <w:rPr>
                <w:rFonts w:cs="Arial"/>
                <w:szCs w:val="18"/>
                <w:lang w:val="en-GB"/>
              </w:rPr>
            </w:pPr>
            <w:r w:rsidRPr="00A40339">
              <w:rPr>
                <w:rFonts w:cs="Arial"/>
                <w:szCs w:val="18"/>
                <w:lang w:val="en-GB"/>
              </w:rPr>
              <w:t xml:space="preserve">Increased reaction </w:t>
            </w:r>
            <w:r>
              <w:rPr>
                <w:rFonts w:cs="Arial"/>
                <w:szCs w:val="18"/>
                <w:lang w:val="en-GB"/>
              </w:rPr>
              <w:t>rate</w:t>
            </w:r>
          </w:p>
          <w:p w14:paraId="08AEAD62" w14:textId="215932E3" w:rsidR="00493989" w:rsidRPr="00B57B36" w:rsidRDefault="00493989" w:rsidP="00493989">
            <w:pPr>
              <w:pStyle w:val="CETBodytext"/>
              <w:ind w:right="-1"/>
              <w:jc w:val="center"/>
              <w:rPr>
                <w:rFonts w:cs="Arial"/>
                <w:szCs w:val="18"/>
                <w:lang w:val="en-GB"/>
              </w:rPr>
            </w:pPr>
            <w:r>
              <w:rPr>
                <w:rFonts w:cs="Arial"/>
                <w:szCs w:val="18"/>
                <w:lang w:val="en-GB"/>
              </w:rPr>
              <w:t>E</w:t>
            </w:r>
            <w:r w:rsidRPr="00A40339">
              <w:rPr>
                <w:rFonts w:cs="Arial"/>
                <w:szCs w:val="18"/>
                <w:lang w:val="en-GB"/>
              </w:rPr>
              <w:t>xplosions</w:t>
            </w:r>
            <w:r>
              <w:rPr>
                <w:rFonts w:cs="Arial"/>
                <w:szCs w:val="18"/>
                <w:lang w:val="en-GB"/>
              </w:rPr>
              <w:t xml:space="preserve"> and release of Cl</w:t>
            </w:r>
            <w:r w:rsidRPr="00C16240">
              <w:rPr>
                <w:rFonts w:cs="Arial"/>
                <w:szCs w:val="18"/>
                <w:vertAlign w:val="subscript"/>
                <w:lang w:val="en-GB"/>
              </w:rPr>
              <w:t>2</w:t>
            </w:r>
          </w:p>
        </w:tc>
        <w:tc>
          <w:tcPr>
            <w:tcW w:w="1134" w:type="dxa"/>
            <w:vMerge w:val="restart"/>
            <w:tcBorders>
              <w:top w:val="single" w:sz="6" w:space="0" w:color="008000"/>
            </w:tcBorders>
            <w:shd w:val="clear" w:color="auto" w:fill="FFFFFF"/>
          </w:tcPr>
          <w:p w14:paraId="5CA8130D" w14:textId="0521D28F" w:rsidR="00493989" w:rsidRPr="00B57B36" w:rsidRDefault="00493989" w:rsidP="00493989">
            <w:pPr>
              <w:pStyle w:val="CETBodytext"/>
              <w:ind w:right="-1"/>
              <w:jc w:val="center"/>
              <w:rPr>
                <w:rFonts w:cs="Arial"/>
                <w:szCs w:val="18"/>
                <w:lang w:val="en-GB"/>
              </w:rPr>
            </w:pPr>
            <w:r w:rsidRPr="004D501E">
              <w:rPr>
                <w:rFonts w:cs="Arial"/>
                <w:szCs w:val="18"/>
                <w:lang w:val="en-GB"/>
              </w:rPr>
              <w:t>Continuous temperature monitoring</w:t>
            </w:r>
          </w:p>
        </w:tc>
        <w:tc>
          <w:tcPr>
            <w:tcW w:w="1701" w:type="dxa"/>
            <w:tcBorders>
              <w:top w:val="single" w:sz="6" w:space="0" w:color="008000"/>
            </w:tcBorders>
            <w:shd w:val="clear" w:color="auto" w:fill="FFFFFF"/>
          </w:tcPr>
          <w:p w14:paraId="36EFC146" w14:textId="7E52ECD6" w:rsidR="00493989" w:rsidRPr="00B57B36" w:rsidRDefault="00493989" w:rsidP="00493989">
            <w:pPr>
              <w:pStyle w:val="CETBodytext"/>
              <w:ind w:right="-1"/>
              <w:jc w:val="center"/>
              <w:rPr>
                <w:rFonts w:cs="Arial"/>
                <w:szCs w:val="18"/>
                <w:lang w:val="en-GB"/>
              </w:rPr>
            </w:pPr>
            <w:r>
              <w:rPr>
                <w:rFonts w:cs="Arial"/>
                <w:szCs w:val="18"/>
                <w:lang w:val="en-GB"/>
              </w:rPr>
              <w:t>T = 4; F = --; E= 2</w:t>
            </w:r>
          </w:p>
        </w:tc>
        <w:tc>
          <w:tcPr>
            <w:tcW w:w="567" w:type="dxa"/>
            <w:vMerge w:val="restart"/>
            <w:tcBorders>
              <w:top w:val="single" w:sz="6" w:space="0" w:color="008000"/>
            </w:tcBorders>
            <w:shd w:val="clear" w:color="auto" w:fill="FFFFFF"/>
            <w:vAlign w:val="center"/>
          </w:tcPr>
          <w:p w14:paraId="26D67552" w14:textId="4BE2C9D2" w:rsidR="00493989" w:rsidRPr="00B57B36" w:rsidRDefault="00C16240" w:rsidP="00493989">
            <w:pPr>
              <w:pStyle w:val="CETBodytext"/>
              <w:ind w:right="-1"/>
              <w:jc w:val="center"/>
              <w:rPr>
                <w:rFonts w:cs="Arial"/>
                <w:szCs w:val="18"/>
                <w:lang w:val="en-GB"/>
              </w:rPr>
            </w:pPr>
            <w:r>
              <w:rPr>
                <w:rFonts w:cs="Arial"/>
                <w:szCs w:val="18"/>
                <w:lang w:val="en-GB"/>
              </w:rPr>
              <w:t>1.20</w:t>
            </w:r>
          </w:p>
        </w:tc>
      </w:tr>
      <w:tr w:rsidR="00493989" w:rsidRPr="00B57B36" w14:paraId="7F9A4106" w14:textId="77777777" w:rsidTr="00424A5B">
        <w:tc>
          <w:tcPr>
            <w:tcW w:w="993" w:type="dxa"/>
            <w:vMerge/>
            <w:shd w:val="clear" w:color="auto" w:fill="FFFFFF"/>
          </w:tcPr>
          <w:p w14:paraId="48619285" w14:textId="77777777" w:rsidR="00493989" w:rsidRDefault="00493989" w:rsidP="00493989">
            <w:pPr>
              <w:pStyle w:val="CETBodytext"/>
              <w:rPr>
                <w:lang w:val="en-GB"/>
              </w:rPr>
            </w:pPr>
          </w:p>
        </w:tc>
        <w:tc>
          <w:tcPr>
            <w:tcW w:w="1559" w:type="dxa"/>
            <w:vMerge/>
            <w:shd w:val="clear" w:color="auto" w:fill="FFFFFF"/>
          </w:tcPr>
          <w:p w14:paraId="623ECBC9" w14:textId="77777777" w:rsidR="00493989" w:rsidRPr="00B57B36" w:rsidRDefault="00493989" w:rsidP="00493989">
            <w:pPr>
              <w:pStyle w:val="CETBodytext"/>
              <w:jc w:val="center"/>
              <w:rPr>
                <w:lang w:val="en-GB"/>
              </w:rPr>
            </w:pPr>
          </w:p>
        </w:tc>
        <w:tc>
          <w:tcPr>
            <w:tcW w:w="1417" w:type="dxa"/>
            <w:vMerge/>
            <w:shd w:val="clear" w:color="auto" w:fill="FFFFFF"/>
          </w:tcPr>
          <w:p w14:paraId="1E1CC533" w14:textId="77777777" w:rsidR="00493989" w:rsidRPr="00B57B36" w:rsidRDefault="00493989" w:rsidP="00493989">
            <w:pPr>
              <w:pStyle w:val="CETBodytext"/>
              <w:ind w:right="-1"/>
              <w:jc w:val="center"/>
              <w:rPr>
                <w:rFonts w:cs="Arial"/>
                <w:szCs w:val="18"/>
                <w:lang w:val="en-GB"/>
              </w:rPr>
            </w:pPr>
          </w:p>
        </w:tc>
        <w:tc>
          <w:tcPr>
            <w:tcW w:w="1560" w:type="dxa"/>
            <w:vMerge/>
            <w:shd w:val="clear" w:color="auto" w:fill="FFFFFF"/>
          </w:tcPr>
          <w:p w14:paraId="50C5ED93" w14:textId="77777777" w:rsidR="00493989" w:rsidRPr="00B57B36" w:rsidRDefault="00493989" w:rsidP="00493989">
            <w:pPr>
              <w:pStyle w:val="CETBodytext"/>
              <w:ind w:right="-1"/>
              <w:jc w:val="center"/>
              <w:rPr>
                <w:rFonts w:cs="Arial"/>
                <w:szCs w:val="18"/>
                <w:lang w:val="en-GB"/>
              </w:rPr>
            </w:pPr>
          </w:p>
        </w:tc>
        <w:tc>
          <w:tcPr>
            <w:tcW w:w="1134" w:type="dxa"/>
            <w:vMerge/>
            <w:shd w:val="clear" w:color="auto" w:fill="FFFFFF"/>
          </w:tcPr>
          <w:p w14:paraId="5437F525" w14:textId="77777777" w:rsidR="00493989" w:rsidRPr="00B57B36" w:rsidRDefault="00493989" w:rsidP="00493989">
            <w:pPr>
              <w:pStyle w:val="CETBodytext"/>
              <w:ind w:right="-1"/>
              <w:jc w:val="center"/>
              <w:rPr>
                <w:rFonts w:cs="Arial"/>
                <w:szCs w:val="18"/>
                <w:lang w:val="en-GB"/>
              </w:rPr>
            </w:pPr>
          </w:p>
        </w:tc>
        <w:tc>
          <w:tcPr>
            <w:tcW w:w="1701" w:type="dxa"/>
            <w:shd w:val="clear" w:color="auto" w:fill="FFFFFF"/>
          </w:tcPr>
          <w:p w14:paraId="01C476FE" w14:textId="77777777" w:rsidR="00493989" w:rsidRPr="00B57B36" w:rsidRDefault="00493989" w:rsidP="00493989">
            <w:pPr>
              <w:pStyle w:val="CETBodytext"/>
              <w:ind w:right="-1"/>
              <w:jc w:val="center"/>
              <w:rPr>
                <w:rFonts w:cs="Arial"/>
                <w:szCs w:val="18"/>
                <w:lang w:val="en-GB"/>
              </w:rPr>
            </w:pPr>
            <w:r>
              <w:rPr>
                <w:rFonts w:cs="Arial"/>
                <w:szCs w:val="18"/>
                <w:lang w:val="en-GB"/>
              </w:rPr>
              <w:t>PF = 2</w:t>
            </w:r>
          </w:p>
        </w:tc>
        <w:tc>
          <w:tcPr>
            <w:tcW w:w="567" w:type="dxa"/>
            <w:vMerge/>
            <w:shd w:val="clear" w:color="auto" w:fill="FFFFFF"/>
          </w:tcPr>
          <w:p w14:paraId="6915ACFC" w14:textId="77777777" w:rsidR="00493989" w:rsidRPr="00B57B36" w:rsidRDefault="00493989" w:rsidP="00493989">
            <w:pPr>
              <w:pStyle w:val="CETBodytext"/>
              <w:ind w:right="-1"/>
              <w:jc w:val="center"/>
              <w:rPr>
                <w:rFonts w:cs="Arial"/>
                <w:szCs w:val="18"/>
                <w:lang w:val="en-GB"/>
              </w:rPr>
            </w:pPr>
          </w:p>
        </w:tc>
      </w:tr>
      <w:tr w:rsidR="00493989" w:rsidRPr="00B57B36" w14:paraId="55B7FE70" w14:textId="77777777" w:rsidTr="00424A5B">
        <w:tc>
          <w:tcPr>
            <w:tcW w:w="993" w:type="dxa"/>
            <w:vMerge/>
            <w:shd w:val="clear" w:color="auto" w:fill="FFFFFF"/>
          </w:tcPr>
          <w:p w14:paraId="5BBD6F3A" w14:textId="77777777" w:rsidR="00493989" w:rsidRDefault="00493989" w:rsidP="00493989">
            <w:pPr>
              <w:pStyle w:val="CETBodytext"/>
              <w:rPr>
                <w:lang w:val="en-GB"/>
              </w:rPr>
            </w:pPr>
          </w:p>
        </w:tc>
        <w:tc>
          <w:tcPr>
            <w:tcW w:w="1559" w:type="dxa"/>
            <w:vMerge/>
            <w:shd w:val="clear" w:color="auto" w:fill="FFFFFF"/>
          </w:tcPr>
          <w:p w14:paraId="0D60DB37" w14:textId="77777777" w:rsidR="00493989" w:rsidRPr="00B57B36" w:rsidRDefault="00493989" w:rsidP="00493989">
            <w:pPr>
              <w:pStyle w:val="CETBodytext"/>
              <w:jc w:val="center"/>
              <w:rPr>
                <w:lang w:val="en-GB"/>
              </w:rPr>
            </w:pPr>
          </w:p>
        </w:tc>
        <w:tc>
          <w:tcPr>
            <w:tcW w:w="1417" w:type="dxa"/>
            <w:vMerge/>
            <w:shd w:val="clear" w:color="auto" w:fill="FFFFFF"/>
          </w:tcPr>
          <w:p w14:paraId="57C689F9" w14:textId="77777777" w:rsidR="00493989" w:rsidRPr="00B57B36" w:rsidRDefault="00493989" w:rsidP="00493989">
            <w:pPr>
              <w:pStyle w:val="CETBodytext"/>
              <w:ind w:right="-1"/>
              <w:jc w:val="center"/>
              <w:rPr>
                <w:rFonts w:cs="Arial"/>
                <w:szCs w:val="18"/>
                <w:lang w:val="en-GB"/>
              </w:rPr>
            </w:pPr>
          </w:p>
        </w:tc>
        <w:tc>
          <w:tcPr>
            <w:tcW w:w="1560" w:type="dxa"/>
            <w:vMerge/>
            <w:shd w:val="clear" w:color="auto" w:fill="FFFFFF"/>
          </w:tcPr>
          <w:p w14:paraId="76A7E9C0" w14:textId="77777777" w:rsidR="00493989" w:rsidRPr="00B57B36" w:rsidRDefault="00493989" w:rsidP="00493989">
            <w:pPr>
              <w:pStyle w:val="CETBodytext"/>
              <w:ind w:right="-1"/>
              <w:jc w:val="center"/>
              <w:rPr>
                <w:rFonts w:cs="Arial"/>
                <w:szCs w:val="18"/>
                <w:lang w:val="en-GB"/>
              </w:rPr>
            </w:pPr>
          </w:p>
        </w:tc>
        <w:tc>
          <w:tcPr>
            <w:tcW w:w="1134" w:type="dxa"/>
            <w:vMerge/>
            <w:shd w:val="clear" w:color="auto" w:fill="FFFFFF"/>
          </w:tcPr>
          <w:p w14:paraId="22BF51DA" w14:textId="77777777" w:rsidR="00493989" w:rsidRPr="00B57B36" w:rsidRDefault="00493989" w:rsidP="00493989">
            <w:pPr>
              <w:pStyle w:val="CETBodytext"/>
              <w:ind w:right="-1"/>
              <w:jc w:val="center"/>
              <w:rPr>
                <w:rFonts w:cs="Arial"/>
                <w:szCs w:val="18"/>
                <w:lang w:val="en-GB"/>
              </w:rPr>
            </w:pPr>
          </w:p>
        </w:tc>
        <w:tc>
          <w:tcPr>
            <w:tcW w:w="1701" w:type="dxa"/>
            <w:shd w:val="clear" w:color="auto" w:fill="FFFFFF"/>
          </w:tcPr>
          <w:p w14:paraId="20B3EFA4" w14:textId="2FB8CC74" w:rsidR="00493989" w:rsidRPr="00B57B36" w:rsidRDefault="00493989" w:rsidP="00493989">
            <w:pPr>
              <w:pStyle w:val="CETBodytext"/>
              <w:ind w:right="-1"/>
              <w:jc w:val="center"/>
              <w:rPr>
                <w:rFonts w:cs="Arial"/>
                <w:szCs w:val="18"/>
                <w:lang w:val="en-GB"/>
              </w:rPr>
            </w:pPr>
            <w:r>
              <w:rPr>
                <w:rFonts w:cs="Arial"/>
                <w:szCs w:val="18"/>
                <w:lang w:val="en-GB"/>
              </w:rPr>
              <w:t>CF = 3</w:t>
            </w:r>
          </w:p>
        </w:tc>
        <w:tc>
          <w:tcPr>
            <w:tcW w:w="567" w:type="dxa"/>
            <w:vMerge/>
            <w:shd w:val="clear" w:color="auto" w:fill="FFFFFF"/>
          </w:tcPr>
          <w:p w14:paraId="31FD1915" w14:textId="77777777" w:rsidR="00493989" w:rsidRPr="00B57B36" w:rsidRDefault="00493989" w:rsidP="00493989">
            <w:pPr>
              <w:pStyle w:val="CETBodytext"/>
              <w:ind w:right="-1"/>
              <w:jc w:val="center"/>
              <w:rPr>
                <w:rFonts w:cs="Arial"/>
                <w:szCs w:val="18"/>
                <w:lang w:val="en-GB"/>
              </w:rPr>
            </w:pPr>
          </w:p>
        </w:tc>
      </w:tr>
      <w:tr w:rsidR="00493989" w:rsidRPr="00B57B36" w14:paraId="05006CCC" w14:textId="77777777" w:rsidTr="00424A5B">
        <w:tc>
          <w:tcPr>
            <w:tcW w:w="993" w:type="dxa"/>
            <w:vMerge/>
            <w:shd w:val="clear" w:color="auto" w:fill="FFFFFF"/>
          </w:tcPr>
          <w:p w14:paraId="0EA8F74A" w14:textId="77777777" w:rsidR="00493989" w:rsidRDefault="00493989" w:rsidP="00493989">
            <w:pPr>
              <w:pStyle w:val="CETBodytext"/>
              <w:rPr>
                <w:lang w:val="en-GB"/>
              </w:rPr>
            </w:pPr>
          </w:p>
        </w:tc>
        <w:tc>
          <w:tcPr>
            <w:tcW w:w="1559" w:type="dxa"/>
            <w:vMerge/>
            <w:shd w:val="clear" w:color="auto" w:fill="FFFFFF"/>
          </w:tcPr>
          <w:p w14:paraId="03239B3E" w14:textId="77777777" w:rsidR="00493989" w:rsidRPr="00B57B36" w:rsidRDefault="00493989" w:rsidP="00493989">
            <w:pPr>
              <w:pStyle w:val="CETBodytext"/>
              <w:jc w:val="center"/>
              <w:rPr>
                <w:lang w:val="en-GB"/>
              </w:rPr>
            </w:pPr>
          </w:p>
        </w:tc>
        <w:tc>
          <w:tcPr>
            <w:tcW w:w="1417" w:type="dxa"/>
            <w:vMerge/>
            <w:shd w:val="clear" w:color="auto" w:fill="FFFFFF"/>
          </w:tcPr>
          <w:p w14:paraId="08074656" w14:textId="77777777" w:rsidR="00493989" w:rsidRPr="00B57B36" w:rsidRDefault="00493989" w:rsidP="00493989">
            <w:pPr>
              <w:pStyle w:val="CETBodytext"/>
              <w:ind w:right="-1"/>
              <w:jc w:val="center"/>
              <w:rPr>
                <w:rFonts w:cs="Arial"/>
                <w:szCs w:val="18"/>
                <w:lang w:val="en-GB"/>
              </w:rPr>
            </w:pPr>
          </w:p>
        </w:tc>
        <w:tc>
          <w:tcPr>
            <w:tcW w:w="1560" w:type="dxa"/>
            <w:vMerge/>
            <w:shd w:val="clear" w:color="auto" w:fill="FFFFFF"/>
          </w:tcPr>
          <w:p w14:paraId="1A21F630" w14:textId="77777777" w:rsidR="00493989" w:rsidRPr="00B57B36" w:rsidRDefault="00493989" w:rsidP="00493989">
            <w:pPr>
              <w:pStyle w:val="CETBodytext"/>
              <w:ind w:right="-1"/>
              <w:jc w:val="center"/>
              <w:rPr>
                <w:rFonts w:cs="Arial"/>
                <w:szCs w:val="18"/>
                <w:lang w:val="en-GB"/>
              </w:rPr>
            </w:pPr>
          </w:p>
        </w:tc>
        <w:tc>
          <w:tcPr>
            <w:tcW w:w="1134" w:type="dxa"/>
            <w:vMerge/>
            <w:shd w:val="clear" w:color="auto" w:fill="FFFFFF"/>
          </w:tcPr>
          <w:p w14:paraId="23EE489A" w14:textId="77777777" w:rsidR="00493989" w:rsidRPr="00B57B36" w:rsidRDefault="00493989" w:rsidP="00493989">
            <w:pPr>
              <w:pStyle w:val="CETBodytext"/>
              <w:ind w:right="-1"/>
              <w:jc w:val="center"/>
              <w:rPr>
                <w:rFonts w:cs="Arial"/>
                <w:szCs w:val="18"/>
                <w:lang w:val="en-GB"/>
              </w:rPr>
            </w:pPr>
          </w:p>
        </w:tc>
        <w:tc>
          <w:tcPr>
            <w:tcW w:w="1701" w:type="dxa"/>
            <w:shd w:val="clear" w:color="auto" w:fill="FFFFFF"/>
          </w:tcPr>
          <w:p w14:paraId="0763F6E1" w14:textId="75960F35" w:rsidR="00493989" w:rsidRPr="00B57B36" w:rsidRDefault="00493989" w:rsidP="00493989">
            <w:pPr>
              <w:pStyle w:val="CETBodytext"/>
              <w:ind w:right="-1"/>
              <w:jc w:val="center"/>
              <w:rPr>
                <w:rFonts w:cs="Arial"/>
                <w:szCs w:val="18"/>
                <w:lang w:val="en-GB"/>
              </w:rPr>
            </w:pPr>
            <w:r>
              <w:rPr>
                <w:rFonts w:cs="Arial"/>
                <w:szCs w:val="18"/>
                <w:lang w:val="en-GB"/>
              </w:rPr>
              <w:t xml:space="preserve">PM = </w:t>
            </w:r>
            <w:r w:rsidR="00C16240">
              <w:rPr>
                <w:rFonts w:cs="Arial"/>
                <w:szCs w:val="18"/>
                <w:lang w:val="en-GB"/>
              </w:rPr>
              <w:t>1 – 0.</w:t>
            </w:r>
            <w:r>
              <w:rPr>
                <w:rFonts w:cs="Arial"/>
                <w:szCs w:val="18"/>
                <w:lang w:val="en-GB"/>
              </w:rPr>
              <w:t>95</w:t>
            </w:r>
          </w:p>
        </w:tc>
        <w:tc>
          <w:tcPr>
            <w:tcW w:w="567" w:type="dxa"/>
            <w:vMerge/>
            <w:shd w:val="clear" w:color="auto" w:fill="FFFFFF"/>
          </w:tcPr>
          <w:p w14:paraId="2102D70A" w14:textId="77777777" w:rsidR="00493989" w:rsidRPr="00B57B36" w:rsidRDefault="00493989" w:rsidP="00493989">
            <w:pPr>
              <w:pStyle w:val="CETBodytext"/>
              <w:ind w:right="-1"/>
              <w:jc w:val="center"/>
              <w:rPr>
                <w:rFonts w:cs="Arial"/>
                <w:szCs w:val="18"/>
                <w:lang w:val="en-GB"/>
              </w:rPr>
            </w:pPr>
          </w:p>
        </w:tc>
      </w:tr>
      <w:tr w:rsidR="00493989" w:rsidRPr="00B57B36" w14:paraId="46127EAE" w14:textId="77777777" w:rsidTr="00424A5B">
        <w:tc>
          <w:tcPr>
            <w:tcW w:w="993" w:type="dxa"/>
            <w:vMerge/>
            <w:shd w:val="clear" w:color="auto" w:fill="FFFFFF"/>
          </w:tcPr>
          <w:p w14:paraId="7C5A74E2" w14:textId="77777777" w:rsidR="00493989" w:rsidRDefault="00493989" w:rsidP="00493989">
            <w:pPr>
              <w:pStyle w:val="CETBodytext"/>
              <w:rPr>
                <w:lang w:val="en-GB"/>
              </w:rPr>
            </w:pPr>
          </w:p>
        </w:tc>
        <w:tc>
          <w:tcPr>
            <w:tcW w:w="1559" w:type="dxa"/>
            <w:vMerge/>
            <w:shd w:val="clear" w:color="auto" w:fill="FFFFFF"/>
          </w:tcPr>
          <w:p w14:paraId="3542EF16" w14:textId="77777777" w:rsidR="00493989" w:rsidRPr="00B57B36" w:rsidRDefault="00493989" w:rsidP="00493989">
            <w:pPr>
              <w:pStyle w:val="CETBodytext"/>
              <w:jc w:val="center"/>
              <w:rPr>
                <w:lang w:val="en-GB"/>
              </w:rPr>
            </w:pPr>
          </w:p>
        </w:tc>
        <w:tc>
          <w:tcPr>
            <w:tcW w:w="1417" w:type="dxa"/>
            <w:vMerge/>
            <w:shd w:val="clear" w:color="auto" w:fill="FFFFFF"/>
          </w:tcPr>
          <w:p w14:paraId="63DAED4A" w14:textId="77777777" w:rsidR="00493989" w:rsidRPr="00B57B36" w:rsidRDefault="00493989" w:rsidP="00493989">
            <w:pPr>
              <w:pStyle w:val="CETBodytext"/>
              <w:ind w:right="-1"/>
              <w:jc w:val="center"/>
              <w:rPr>
                <w:rFonts w:cs="Arial"/>
                <w:szCs w:val="18"/>
                <w:lang w:val="en-GB"/>
              </w:rPr>
            </w:pPr>
          </w:p>
        </w:tc>
        <w:tc>
          <w:tcPr>
            <w:tcW w:w="1560" w:type="dxa"/>
            <w:vMerge/>
            <w:shd w:val="clear" w:color="auto" w:fill="FFFFFF"/>
          </w:tcPr>
          <w:p w14:paraId="60CE28F7" w14:textId="77777777" w:rsidR="00493989" w:rsidRPr="00B57B36" w:rsidRDefault="00493989" w:rsidP="00493989">
            <w:pPr>
              <w:pStyle w:val="CETBodytext"/>
              <w:ind w:right="-1"/>
              <w:jc w:val="center"/>
              <w:rPr>
                <w:rFonts w:cs="Arial"/>
                <w:szCs w:val="18"/>
                <w:lang w:val="en-GB"/>
              </w:rPr>
            </w:pPr>
          </w:p>
        </w:tc>
        <w:tc>
          <w:tcPr>
            <w:tcW w:w="1134" w:type="dxa"/>
            <w:vMerge/>
            <w:shd w:val="clear" w:color="auto" w:fill="FFFFFF"/>
          </w:tcPr>
          <w:p w14:paraId="600679F3" w14:textId="77777777" w:rsidR="00493989" w:rsidRPr="00B57B36" w:rsidRDefault="00493989" w:rsidP="00493989">
            <w:pPr>
              <w:pStyle w:val="CETBodytext"/>
              <w:ind w:right="-1"/>
              <w:jc w:val="center"/>
              <w:rPr>
                <w:rFonts w:cs="Arial"/>
                <w:szCs w:val="18"/>
                <w:lang w:val="en-GB"/>
              </w:rPr>
            </w:pPr>
          </w:p>
        </w:tc>
        <w:tc>
          <w:tcPr>
            <w:tcW w:w="1701" w:type="dxa"/>
            <w:shd w:val="clear" w:color="auto" w:fill="FFFFFF"/>
          </w:tcPr>
          <w:p w14:paraId="73814088" w14:textId="191945A5" w:rsidR="00493989" w:rsidRPr="00B57B36" w:rsidRDefault="00281FDA" w:rsidP="00493989">
            <w:pPr>
              <w:pStyle w:val="CETBodytext"/>
              <w:ind w:right="-1"/>
              <w:jc w:val="center"/>
              <w:rPr>
                <w:rFonts w:cs="Arial"/>
                <w:szCs w:val="18"/>
                <w:lang w:val="en-GB"/>
              </w:rPr>
            </w:pPr>
            <w:r>
              <w:rPr>
                <w:rFonts w:cs="Arial"/>
                <w:szCs w:val="18"/>
                <w:lang w:val="en-GB"/>
              </w:rPr>
              <w:t>MM = 1 (no system)</w:t>
            </w:r>
          </w:p>
        </w:tc>
        <w:tc>
          <w:tcPr>
            <w:tcW w:w="567" w:type="dxa"/>
            <w:vMerge/>
            <w:shd w:val="clear" w:color="auto" w:fill="FFFFFF"/>
          </w:tcPr>
          <w:p w14:paraId="409598C4" w14:textId="77777777" w:rsidR="00493989" w:rsidRPr="00B57B36" w:rsidRDefault="00493989" w:rsidP="00493989">
            <w:pPr>
              <w:pStyle w:val="CETBodytext"/>
              <w:ind w:right="-1"/>
              <w:jc w:val="center"/>
              <w:rPr>
                <w:rFonts w:cs="Arial"/>
                <w:szCs w:val="18"/>
                <w:lang w:val="en-GB"/>
              </w:rPr>
            </w:pPr>
          </w:p>
        </w:tc>
      </w:tr>
      <w:tr w:rsidR="00493989" w:rsidRPr="00B57B36" w14:paraId="5D095E92" w14:textId="77777777" w:rsidTr="00424A5B">
        <w:tc>
          <w:tcPr>
            <w:tcW w:w="993" w:type="dxa"/>
            <w:vMerge w:val="restart"/>
            <w:shd w:val="clear" w:color="auto" w:fill="FFFFFF"/>
          </w:tcPr>
          <w:p w14:paraId="4E92AD21" w14:textId="3F8F37A2" w:rsidR="00493989" w:rsidRPr="00B57B36" w:rsidRDefault="00493989" w:rsidP="00493989">
            <w:pPr>
              <w:pStyle w:val="CETBodytext"/>
              <w:jc w:val="left"/>
              <w:rPr>
                <w:lang w:val="en-GB"/>
              </w:rPr>
            </w:pPr>
            <w:r>
              <w:rPr>
                <w:lang w:val="en-GB"/>
              </w:rPr>
              <w:t>SIB cathode</w:t>
            </w:r>
          </w:p>
        </w:tc>
        <w:tc>
          <w:tcPr>
            <w:tcW w:w="1559" w:type="dxa"/>
            <w:vMerge w:val="restart"/>
            <w:shd w:val="clear" w:color="auto" w:fill="FFFFFF"/>
          </w:tcPr>
          <w:p w14:paraId="6C08B59C" w14:textId="4C09361E" w:rsidR="00493989" w:rsidRDefault="00493989" w:rsidP="00493989">
            <w:pPr>
              <w:pStyle w:val="CETBodytext"/>
              <w:jc w:val="center"/>
              <w:rPr>
                <w:lang w:val="en-GB"/>
              </w:rPr>
            </w:pPr>
            <w:r w:rsidRPr="00493989">
              <w:rPr>
                <w:lang w:val="en-GB"/>
              </w:rPr>
              <w:t xml:space="preserve">Temperature in the </w:t>
            </w:r>
            <w:r>
              <w:rPr>
                <w:lang w:val="en-GB"/>
              </w:rPr>
              <w:t>o</w:t>
            </w:r>
            <w:r w:rsidRPr="00493989">
              <w:rPr>
                <w:lang w:val="en-GB"/>
              </w:rPr>
              <w:t>ven above 600°</w:t>
            </w:r>
            <w:r w:rsidRPr="00FC42D4">
              <w:rPr>
                <w:lang w:val="en-GB"/>
              </w:rPr>
              <w:t>C</w:t>
            </w:r>
          </w:p>
          <w:p w14:paraId="252C0DB8" w14:textId="77777777" w:rsidR="00493989" w:rsidRPr="00FC42D4" w:rsidRDefault="00493989" w:rsidP="00493989">
            <w:pPr>
              <w:pStyle w:val="CETBodytext"/>
              <w:jc w:val="center"/>
              <w:rPr>
                <w:i/>
                <w:iCs/>
                <w:lang w:val="en-GB"/>
              </w:rPr>
            </w:pPr>
            <w:r w:rsidRPr="00A40339">
              <w:rPr>
                <w:i/>
                <w:iCs/>
                <w:lang w:val="en-GB"/>
              </w:rPr>
              <w:t>More</w:t>
            </w:r>
            <w:r>
              <w:rPr>
                <w:i/>
                <w:iCs/>
                <w:lang w:val="en-GB"/>
              </w:rPr>
              <w:t>/</w:t>
            </w:r>
            <w:r w:rsidRPr="00A40339">
              <w:rPr>
                <w:i/>
                <w:iCs/>
                <w:lang w:val="en-GB"/>
              </w:rPr>
              <w:t>temperature</w:t>
            </w:r>
          </w:p>
        </w:tc>
        <w:tc>
          <w:tcPr>
            <w:tcW w:w="1417" w:type="dxa"/>
            <w:vMerge w:val="restart"/>
            <w:shd w:val="clear" w:color="auto" w:fill="FFFFFF"/>
          </w:tcPr>
          <w:p w14:paraId="261722FD" w14:textId="5BD9091C" w:rsidR="00493989" w:rsidRPr="00B57B36" w:rsidRDefault="00493989" w:rsidP="00493989">
            <w:pPr>
              <w:pStyle w:val="CETBodytext"/>
              <w:ind w:right="-1"/>
              <w:jc w:val="center"/>
              <w:rPr>
                <w:rFonts w:cs="Arial"/>
                <w:szCs w:val="18"/>
                <w:lang w:val="en-GB"/>
              </w:rPr>
            </w:pPr>
            <w:r>
              <w:rPr>
                <w:rFonts w:cs="Arial"/>
                <w:szCs w:val="18"/>
                <w:lang w:val="en-GB"/>
              </w:rPr>
              <w:t xml:space="preserve">Oven </w:t>
            </w:r>
            <w:r w:rsidRPr="00FC42D4">
              <w:rPr>
                <w:rFonts w:cs="Arial"/>
                <w:szCs w:val="18"/>
                <w:lang w:val="en-GB"/>
              </w:rPr>
              <w:t>heating system malfunction</w:t>
            </w:r>
          </w:p>
        </w:tc>
        <w:tc>
          <w:tcPr>
            <w:tcW w:w="1560" w:type="dxa"/>
            <w:vMerge w:val="restart"/>
            <w:shd w:val="clear" w:color="auto" w:fill="FFFFFF"/>
          </w:tcPr>
          <w:p w14:paraId="769368B7" w14:textId="1ECB361D" w:rsidR="00493989" w:rsidRPr="00B57B36" w:rsidRDefault="00493989" w:rsidP="00493989">
            <w:pPr>
              <w:pStyle w:val="CETBodytext"/>
              <w:ind w:right="-1"/>
              <w:jc w:val="center"/>
              <w:rPr>
                <w:rFonts w:cs="Arial"/>
                <w:szCs w:val="18"/>
                <w:lang w:val="en-GB"/>
              </w:rPr>
            </w:pPr>
            <w:r w:rsidRPr="006C5D94">
              <w:rPr>
                <w:rFonts w:cs="Arial"/>
                <w:szCs w:val="18"/>
              </w:rPr>
              <w:t>Total combustion of sucrose</w:t>
            </w:r>
            <w:r>
              <w:rPr>
                <w:rFonts w:cs="Arial"/>
                <w:szCs w:val="18"/>
              </w:rPr>
              <w:t xml:space="preserve"> and </w:t>
            </w:r>
            <w:r w:rsidRPr="001D2CA5">
              <w:rPr>
                <w:rFonts w:cs="Arial"/>
                <w:szCs w:val="18"/>
                <w:lang w:val="en-GB"/>
              </w:rPr>
              <w:t>alteration of the cathode composition</w:t>
            </w:r>
          </w:p>
        </w:tc>
        <w:tc>
          <w:tcPr>
            <w:tcW w:w="1134" w:type="dxa"/>
            <w:vMerge w:val="restart"/>
            <w:shd w:val="clear" w:color="auto" w:fill="FFFFFF"/>
          </w:tcPr>
          <w:p w14:paraId="1025324A" w14:textId="77777777" w:rsidR="00493989" w:rsidRPr="00B57B36" w:rsidRDefault="00493989" w:rsidP="00493989">
            <w:pPr>
              <w:pStyle w:val="CETBodytext"/>
              <w:ind w:right="-1"/>
              <w:jc w:val="center"/>
              <w:rPr>
                <w:rFonts w:cs="Arial"/>
                <w:szCs w:val="18"/>
                <w:lang w:val="en-GB"/>
              </w:rPr>
            </w:pPr>
            <w:r w:rsidRPr="004D501E">
              <w:rPr>
                <w:rFonts w:cs="Arial"/>
                <w:szCs w:val="18"/>
                <w:lang w:val="en-GB"/>
              </w:rPr>
              <w:t>Continuous temperature monitoring</w:t>
            </w:r>
          </w:p>
        </w:tc>
        <w:tc>
          <w:tcPr>
            <w:tcW w:w="1701" w:type="dxa"/>
            <w:shd w:val="clear" w:color="auto" w:fill="FFFFFF"/>
          </w:tcPr>
          <w:p w14:paraId="7E06F375" w14:textId="1F52829D" w:rsidR="00493989" w:rsidRPr="00B57B36" w:rsidRDefault="00493989" w:rsidP="00493989">
            <w:pPr>
              <w:pStyle w:val="CETBodytext"/>
              <w:ind w:right="-1"/>
              <w:jc w:val="center"/>
              <w:rPr>
                <w:rFonts w:cs="Arial"/>
                <w:szCs w:val="18"/>
                <w:lang w:val="en-GB"/>
              </w:rPr>
            </w:pPr>
            <w:r>
              <w:rPr>
                <w:rFonts w:cs="Arial"/>
                <w:szCs w:val="18"/>
                <w:lang w:val="en-GB"/>
              </w:rPr>
              <w:t>T = 1; F = 2; E= 2</w:t>
            </w:r>
          </w:p>
        </w:tc>
        <w:tc>
          <w:tcPr>
            <w:tcW w:w="567" w:type="dxa"/>
            <w:vMerge w:val="restart"/>
            <w:shd w:val="clear" w:color="auto" w:fill="FFFFFF"/>
            <w:vAlign w:val="center"/>
          </w:tcPr>
          <w:p w14:paraId="6BB6C0A5" w14:textId="0F70B82D" w:rsidR="00493989" w:rsidRPr="00B57B36" w:rsidRDefault="00C16240" w:rsidP="00493989">
            <w:pPr>
              <w:pStyle w:val="CETBodytext"/>
              <w:ind w:right="-1"/>
              <w:jc w:val="center"/>
              <w:rPr>
                <w:rFonts w:cs="Arial"/>
                <w:szCs w:val="18"/>
                <w:lang w:val="en-GB"/>
              </w:rPr>
            </w:pPr>
            <w:r>
              <w:rPr>
                <w:rFonts w:cs="Arial"/>
                <w:szCs w:val="18"/>
                <w:lang w:val="en-GB"/>
              </w:rPr>
              <w:t>0.40</w:t>
            </w:r>
          </w:p>
        </w:tc>
      </w:tr>
      <w:tr w:rsidR="00493989" w:rsidRPr="00B57B36" w14:paraId="27722505" w14:textId="77777777" w:rsidTr="00424A5B">
        <w:tc>
          <w:tcPr>
            <w:tcW w:w="993" w:type="dxa"/>
            <w:vMerge/>
            <w:shd w:val="clear" w:color="auto" w:fill="FFFFFF"/>
          </w:tcPr>
          <w:p w14:paraId="4B7DDEC8" w14:textId="77777777" w:rsidR="00493989" w:rsidRDefault="00493989" w:rsidP="00493989">
            <w:pPr>
              <w:pStyle w:val="CETBodytext"/>
              <w:jc w:val="left"/>
              <w:rPr>
                <w:lang w:val="en-GB"/>
              </w:rPr>
            </w:pPr>
          </w:p>
        </w:tc>
        <w:tc>
          <w:tcPr>
            <w:tcW w:w="1559" w:type="dxa"/>
            <w:vMerge/>
            <w:shd w:val="clear" w:color="auto" w:fill="FFFFFF"/>
          </w:tcPr>
          <w:p w14:paraId="36D86D08" w14:textId="77777777" w:rsidR="00493989" w:rsidRPr="00B57B36" w:rsidRDefault="00493989" w:rsidP="00493989">
            <w:pPr>
              <w:pStyle w:val="CETBodytext"/>
              <w:jc w:val="center"/>
              <w:rPr>
                <w:lang w:val="en-GB"/>
              </w:rPr>
            </w:pPr>
          </w:p>
        </w:tc>
        <w:tc>
          <w:tcPr>
            <w:tcW w:w="1417" w:type="dxa"/>
            <w:vMerge/>
            <w:shd w:val="clear" w:color="auto" w:fill="FFFFFF"/>
          </w:tcPr>
          <w:p w14:paraId="27DBA599" w14:textId="77777777" w:rsidR="00493989" w:rsidRPr="00B57B36" w:rsidRDefault="00493989" w:rsidP="00493989">
            <w:pPr>
              <w:pStyle w:val="CETBodytext"/>
              <w:ind w:right="-1"/>
              <w:jc w:val="center"/>
              <w:rPr>
                <w:rFonts w:cs="Arial"/>
                <w:szCs w:val="18"/>
                <w:lang w:val="en-GB"/>
              </w:rPr>
            </w:pPr>
          </w:p>
        </w:tc>
        <w:tc>
          <w:tcPr>
            <w:tcW w:w="1560" w:type="dxa"/>
            <w:vMerge/>
            <w:shd w:val="clear" w:color="auto" w:fill="FFFFFF"/>
          </w:tcPr>
          <w:p w14:paraId="306CA252" w14:textId="77777777" w:rsidR="00493989" w:rsidRPr="00B57B36" w:rsidRDefault="00493989" w:rsidP="00493989">
            <w:pPr>
              <w:pStyle w:val="CETBodytext"/>
              <w:ind w:right="-1"/>
              <w:jc w:val="center"/>
              <w:rPr>
                <w:rFonts w:cs="Arial"/>
                <w:szCs w:val="18"/>
                <w:lang w:val="en-GB"/>
              </w:rPr>
            </w:pPr>
          </w:p>
        </w:tc>
        <w:tc>
          <w:tcPr>
            <w:tcW w:w="1134" w:type="dxa"/>
            <w:vMerge/>
            <w:shd w:val="clear" w:color="auto" w:fill="FFFFFF"/>
          </w:tcPr>
          <w:p w14:paraId="529BDF0E" w14:textId="77777777" w:rsidR="00493989" w:rsidRPr="00B57B36" w:rsidRDefault="00493989" w:rsidP="00493989">
            <w:pPr>
              <w:pStyle w:val="CETBodytext"/>
              <w:ind w:right="-1"/>
              <w:jc w:val="center"/>
              <w:rPr>
                <w:rFonts w:cs="Arial"/>
                <w:szCs w:val="18"/>
                <w:lang w:val="en-GB"/>
              </w:rPr>
            </w:pPr>
          </w:p>
        </w:tc>
        <w:tc>
          <w:tcPr>
            <w:tcW w:w="1701" w:type="dxa"/>
            <w:shd w:val="clear" w:color="auto" w:fill="FFFFFF"/>
          </w:tcPr>
          <w:p w14:paraId="40C90FED" w14:textId="66CBE090" w:rsidR="00493989" w:rsidRPr="00B57B36" w:rsidRDefault="00493989" w:rsidP="00493989">
            <w:pPr>
              <w:pStyle w:val="CETBodytext"/>
              <w:ind w:right="-1"/>
              <w:jc w:val="center"/>
              <w:rPr>
                <w:rFonts w:cs="Arial"/>
                <w:szCs w:val="18"/>
                <w:lang w:val="en-GB"/>
              </w:rPr>
            </w:pPr>
            <w:r>
              <w:rPr>
                <w:rFonts w:cs="Arial"/>
                <w:szCs w:val="18"/>
                <w:lang w:val="en-GB"/>
              </w:rPr>
              <w:t>PF = 2</w:t>
            </w:r>
          </w:p>
        </w:tc>
        <w:tc>
          <w:tcPr>
            <w:tcW w:w="567" w:type="dxa"/>
            <w:vMerge/>
            <w:shd w:val="clear" w:color="auto" w:fill="FFFFFF"/>
          </w:tcPr>
          <w:p w14:paraId="7C74C9E4" w14:textId="77777777" w:rsidR="00493989" w:rsidRPr="00B57B36" w:rsidRDefault="00493989" w:rsidP="00493989">
            <w:pPr>
              <w:pStyle w:val="CETBodytext"/>
              <w:ind w:right="-1"/>
              <w:jc w:val="center"/>
              <w:rPr>
                <w:rFonts w:cs="Arial"/>
                <w:szCs w:val="18"/>
                <w:lang w:val="en-GB"/>
              </w:rPr>
            </w:pPr>
          </w:p>
        </w:tc>
      </w:tr>
      <w:tr w:rsidR="00493989" w:rsidRPr="00B57B36" w14:paraId="42D1C540" w14:textId="77777777" w:rsidTr="00424A5B">
        <w:tc>
          <w:tcPr>
            <w:tcW w:w="993" w:type="dxa"/>
            <w:vMerge/>
            <w:shd w:val="clear" w:color="auto" w:fill="FFFFFF"/>
          </w:tcPr>
          <w:p w14:paraId="6102E796" w14:textId="77777777" w:rsidR="00493989" w:rsidRDefault="00493989" w:rsidP="00493989">
            <w:pPr>
              <w:pStyle w:val="CETBodytext"/>
              <w:jc w:val="left"/>
              <w:rPr>
                <w:lang w:val="en-GB"/>
              </w:rPr>
            </w:pPr>
          </w:p>
        </w:tc>
        <w:tc>
          <w:tcPr>
            <w:tcW w:w="1559" w:type="dxa"/>
            <w:vMerge/>
            <w:shd w:val="clear" w:color="auto" w:fill="FFFFFF"/>
          </w:tcPr>
          <w:p w14:paraId="477B5D3A" w14:textId="77777777" w:rsidR="00493989" w:rsidRPr="00B57B36" w:rsidRDefault="00493989" w:rsidP="00493989">
            <w:pPr>
              <w:pStyle w:val="CETBodytext"/>
              <w:jc w:val="center"/>
              <w:rPr>
                <w:lang w:val="en-GB"/>
              </w:rPr>
            </w:pPr>
          </w:p>
        </w:tc>
        <w:tc>
          <w:tcPr>
            <w:tcW w:w="1417" w:type="dxa"/>
            <w:vMerge/>
            <w:shd w:val="clear" w:color="auto" w:fill="FFFFFF"/>
          </w:tcPr>
          <w:p w14:paraId="62B45DF3" w14:textId="77777777" w:rsidR="00493989" w:rsidRPr="00B57B36" w:rsidRDefault="00493989" w:rsidP="00493989">
            <w:pPr>
              <w:pStyle w:val="CETBodytext"/>
              <w:ind w:right="-1"/>
              <w:jc w:val="center"/>
              <w:rPr>
                <w:rFonts w:cs="Arial"/>
                <w:szCs w:val="18"/>
                <w:lang w:val="en-GB"/>
              </w:rPr>
            </w:pPr>
          </w:p>
        </w:tc>
        <w:tc>
          <w:tcPr>
            <w:tcW w:w="1560" w:type="dxa"/>
            <w:vMerge/>
            <w:shd w:val="clear" w:color="auto" w:fill="FFFFFF"/>
          </w:tcPr>
          <w:p w14:paraId="3C8511FD" w14:textId="77777777" w:rsidR="00493989" w:rsidRPr="00B57B36" w:rsidRDefault="00493989" w:rsidP="00493989">
            <w:pPr>
              <w:pStyle w:val="CETBodytext"/>
              <w:ind w:right="-1"/>
              <w:jc w:val="center"/>
              <w:rPr>
                <w:rFonts w:cs="Arial"/>
                <w:szCs w:val="18"/>
                <w:lang w:val="en-GB"/>
              </w:rPr>
            </w:pPr>
          </w:p>
        </w:tc>
        <w:tc>
          <w:tcPr>
            <w:tcW w:w="1134" w:type="dxa"/>
            <w:vMerge/>
            <w:shd w:val="clear" w:color="auto" w:fill="FFFFFF"/>
          </w:tcPr>
          <w:p w14:paraId="580FE12A" w14:textId="77777777" w:rsidR="00493989" w:rsidRPr="00B57B36" w:rsidRDefault="00493989" w:rsidP="00493989">
            <w:pPr>
              <w:pStyle w:val="CETBodytext"/>
              <w:ind w:right="-1"/>
              <w:jc w:val="center"/>
              <w:rPr>
                <w:rFonts w:cs="Arial"/>
                <w:szCs w:val="18"/>
                <w:lang w:val="en-GB"/>
              </w:rPr>
            </w:pPr>
          </w:p>
        </w:tc>
        <w:tc>
          <w:tcPr>
            <w:tcW w:w="1701" w:type="dxa"/>
            <w:shd w:val="clear" w:color="auto" w:fill="FFFFFF"/>
          </w:tcPr>
          <w:p w14:paraId="743DE252" w14:textId="310E7B75" w:rsidR="00493989" w:rsidRPr="00B57B36" w:rsidRDefault="00493989" w:rsidP="00493989">
            <w:pPr>
              <w:pStyle w:val="CETBodytext"/>
              <w:ind w:right="-1"/>
              <w:jc w:val="center"/>
              <w:rPr>
                <w:rFonts w:cs="Arial"/>
                <w:szCs w:val="18"/>
                <w:lang w:val="en-GB"/>
              </w:rPr>
            </w:pPr>
            <w:r>
              <w:rPr>
                <w:rFonts w:cs="Arial"/>
                <w:szCs w:val="18"/>
                <w:lang w:val="en-GB"/>
              </w:rPr>
              <w:t>CF = 2</w:t>
            </w:r>
          </w:p>
        </w:tc>
        <w:tc>
          <w:tcPr>
            <w:tcW w:w="567" w:type="dxa"/>
            <w:vMerge/>
            <w:shd w:val="clear" w:color="auto" w:fill="FFFFFF"/>
          </w:tcPr>
          <w:p w14:paraId="05204A5F" w14:textId="77777777" w:rsidR="00493989" w:rsidRPr="00B57B36" w:rsidRDefault="00493989" w:rsidP="00493989">
            <w:pPr>
              <w:pStyle w:val="CETBodytext"/>
              <w:ind w:right="-1"/>
              <w:jc w:val="center"/>
              <w:rPr>
                <w:rFonts w:cs="Arial"/>
                <w:szCs w:val="18"/>
                <w:lang w:val="en-GB"/>
              </w:rPr>
            </w:pPr>
          </w:p>
        </w:tc>
      </w:tr>
      <w:tr w:rsidR="00493989" w:rsidRPr="00B57B36" w14:paraId="7371B2E7" w14:textId="77777777" w:rsidTr="00424A5B">
        <w:tc>
          <w:tcPr>
            <w:tcW w:w="993" w:type="dxa"/>
            <w:vMerge/>
            <w:shd w:val="clear" w:color="auto" w:fill="FFFFFF"/>
          </w:tcPr>
          <w:p w14:paraId="0488FE92" w14:textId="77777777" w:rsidR="00493989" w:rsidRDefault="00493989" w:rsidP="00493989">
            <w:pPr>
              <w:pStyle w:val="CETBodytext"/>
              <w:jc w:val="left"/>
              <w:rPr>
                <w:lang w:val="en-GB"/>
              </w:rPr>
            </w:pPr>
          </w:p>
        </w:tc>
        <w:tc>
          <w:tcPr>
            <w:tcW w:w="1559" w:type="dxa"/>
            <w:vMerge/>
            <w:shd w:val="clear" w:color="auto" w:fill="FFFFFF"/>
          </w:tcPr>
          <w:p w14:paraId="169AE41C" w14:textId="77777777" w:rsidR="00493989" w:rsidRPr="00B57B36" w:rsidRDefault="00493989" w:rsidP="00493989">
            <w:pPr>
              <w:pStyle w:val="CETBodytext"/>
              <w:jc w:val="center"/>
              <w:rPr>
                <w:lang w:val="en-GB"/>
              </w:rPr>
            </w:pPr>
          </w:p>
        </w:tc>
        <w:tc>
          <w:tcPr>
            <w:tcW w:w="1417" w:type="dxa"/>
            <w:vMerge/>
            <w:shd w:val="clear" w:color="auto" w:fill="FFFFFF"/>
          </w:tcPr>
          <w:p w14:paraId="4F2DBB12" w14:textId="77777777" w:rsidR="00493989" w:rsidRPr="00B57B36" w:rsidRDefault="00493989" w:rsidP="00493989">
            <w:pPr>
              <w:pStyle w:val="CETBodytext"/>
              <w:ind w:right="-1"/>
              <w:jc w:val="center"/>
              <w:rPr>
                <w:rFonts w:cs="Arial"/>
                <w:szCs w:val="18"/>
                <w:lang w:val="en-GB"/>
              </w:rPr>
            </w:pPr>
          </w:p>
        </w:tc>
        <w:tc>
          <w:tcPr>
            <w:tcW w:w="1560" w:type="dxa"/>
            <w:vMerge/>
            <w:shd w:val="clear" w:color="auto" w:fill="FFFFFF"/>
          </w:tcPr>
          <w:p w14:paraId="286E8485" w14:textId="77777777" w:rsidR="00493989" w:rsidRPr="00B57B36" w:rsidRDefault="00493989" w:rsidP="00493989">
            <w:pPr>
              <w:pStyle w:val="CETBodytext"/>
              <w:ind w:right="-1"/>
              <w:jc w:val="center"/>
              <w:rPr>
                <w:rFonts w:cs="Arial"/>
                <w:szCs w:val="18"/>
                <w:lang w:val="en-GB"/>
              </w:rPr>
            </w:pPr>
          </w:p>
        </w:tc>
        <w:tc>
          <w:tcPr>
            <w:tcW w:w="1134" w:type="dxa"/>
            <w:vMerge/>
            <w:shd w:val="clear" w:color="auto" w:fill="FFFFFF"/>
          </w:tcPr>
          <w:p w14:paraId="32DEBA22" w14:textId="77777777" w:rsidR="00493989" w:rsidRPr="00B57B36" w:rsidRDefault="00493989" w:rsidP="00493989">
            <w:pPr>
              <w:pStyle w:val="CETBodytext"/>
              <w:ind w:right="-1"/>
              <w:jc w:val="center"/>
              <w:rPr>
                <w:rFonts w:cs="Arial"/>
                <w:szCs w:val="18"/>
                <w:lang w:val="en-GB"/>
              </w:rPr>
            </w:pPr>
          </w:p>
        </w:tc>
        <w:tc>
          <w:tcPr>
            <w:tcW w:w="1701" w:type="dxa"/>
            <w:shd w:val="clear" w:color="auto" w:fill="FFFFFF"/>
          </w:tcPr>
          <w:p w14:paraId="25977FB2" w14:textId="64528B51" w:rsidR="00493989" w:rsidRPr="00B57B36" w:rsidRDefault="00493989" w:rsidP="00493989">
            <w:pPr>
              <w:pStyle w:val="CETBodytext"/>
              <w:ind w:right="-1"/>
              <w:jc w:val="center"/>
              <w:rPr>
                <w:rFonts w:cs="Arial"/>
                <w:szCs w:val="18"/>
                <w:lang w:val="en-GB"/>
              </w:rPr>
            </w:pPr>
            <w:r>
              <w:rPr>
                <w:rFonts w:cs="Arial"/>
                <w:szCs w:val="18"/>
                <w:lang w:val="en-GB"/>
              </w:rPr>
              <w:t xml:space="preserve">PM = </w:t>
            </w:r>
            <w:r w:rsidR="00C16240">
              <w:rPr>
                <w:rFonts w:cs="Arial"/>
                <w:szCs w:val="18"/>
                <w:lang w:val="en-GB"/>
              </w:rPr>
              <w:t xml:space="preserve">1 – </w:t>
            </w:r>
            <w:r>
              <w:rPr>
                <w:rFonts w:cs="Arial"/>
                <w:szCs w:val="18"/>
                <w:lang w:val="en-GB"/>
              </w:rPr>
              <w:t>0.95</w:t>
            </w:r>
          </w:p>
        </w:tc>
        <w:tc>
          <w:tcPr>
            <w:tcW w:w="567" w:type="dxa"/>
            <w:vMerge/>
            <w:shd w:val="clear" w:color="auto" w:fill="FFFFFF"/>
          </w:tcPr>
          <w:p w14:paraId="400AA53C" w14:textId="77777777" w:rsidR="00493989" w:rsidRPr="00B57B36" w:rsidRDefault="00493989" w:rsidP="00493989">
            <w:pPr>
              <w:pStyle w:val="CETBodytext"/>
              <w:ind w:right="-1"/>
              <w:jc w:val="center"/>
              <w:rPr>
                <w:rFonts w:cs="Arial"/>
                <w:szCs w:val="18"/>
                <w:lang w:val="en-GB"/>
              </w:rPr>
            </w:pPr>
          </w:p>
        </w:tc>
      </w:tr>
      <w:tr w:rsidR="00493989" w:rsidRPr="00B57B36" w14:paraId="3D5C23B6" w14:textId="77777777" w:rsidTr="00424A5B">
        <w:tc>
          <w:tcPr>
            <w:tcW w:w="993" w:type="dxa"/>
            <w:vMerge/>
            <w:shd w:val="clear" w:color="auto" w:fill="FFFFFF"/>
          </w:tcPr>
          <w:p w14:paraId="6BE94C64" w14:textId="77777777" w:rsidR="00493989" w:rsidRDefault="00493989" w:rsidP="00493989">
            <w:pPr>
              <w:pStyle w:val="CETBodytext"/>
              <w:jc w:val="left"/>
              <w:rPr>
                <w:lang w:val="en-GB"/>
              </w:rPr>
            </w:pPr>
          </w:p>
        </w:tc>
        <w:tc>
          <w:tcPr>
            <w:tcW w:w="1559" w:type="dxa"/>
            <w:vMerge/>
            <w:shd w:val="clear" w:color="auto" w:fill="FFFFFF"/>
          </w:tcPr>
          <w:p w14:paraId="7024778F" w14:textId="77777777" w:rsidR="00493989" w:rsidRPr="00B57B36" w:rsidRDefault="00493989" w:rsidP="00493989">
            <w:pPr>
              <w:pStyle w:val="CETBodytext"/>
              <w:jc w:val="center"/>
              <w:rPr>
                <w:lang w:val="en-GB"/>
              </w:rPr>
            </w:pPr>
          </w:p>
        </w:tc>
        <w:tc>
          <w:tcPr>
            <w:tcW w:w="1417" w:type="dxa"/>
            <w:vMerge/>
            <w:shd w:val="clear" w:color="auto" w:fill="FFFFFF"/>
          </w:tcPr>
          <w:p w14:paraId="420BA40E" w14:textId="77777777" w:rsidR="00493989" w:rsidRPr="00B57B36" w:rsidRDefault="00493989" w:rsidP="00493989">
            <w:pPr>
              <w:pStyle w:val="CETBodytext"/>
              <w:ind w:right="-1"/>
              <w:jc w:val="center"/>
              <w:rPr>
                <w:rFonts w:cs="Arial"/>
                <w:szCs w:val="18"/>
                <w:lang w:val="en-GB"/>
              </w:rPr>
            </w:pPr>
          </w:p>
        </w:tc>
        <w:tc>
          <w:tcPr>
            <w:tcW w:w="1560" w:type="dxa"/>
            <w:vMerge/>
            <w:shd w:val="clear" w:color="auto" w:fill="FFFFFF"/>
          </w:tcPr>
          <w:p w14:paraId="53A197B5" w14:textId="77777777" w:rsidR="00493989" w:rsidRPr="00B57B36" w:rsidRDefault="00493989" w:rsidP="00493989">
            <w:pPr>
              <w:pStyle w:val="CETBodytext"/>
              <w:ind w:right="-1"/>
              <w:jc w:val="center"/>
              <w:rPr>
                <w:rFonts w:cs="Arial"/>
                <w:szCs w:val="18"/>
                <w:lang w:val="en-GB"/>
              </w:rPr>
            </w:pPr>
          </w:p>
        </w:tc>
        <w:tc>
          <w:tcPr>
            <w:tcW w:w="1134" w:type="dxa"/>
            <w:vMerge/>
            <w:shd w:val="clear" w:color="auto" w:fill="FFFFFF"/>
          </w:tcPr>
          <w:p w14:paraId="7945E6CC" w14:textId="77777777" w:rsidR="00493989" w:rsidRPr="00B57B36" w:rsidRDefault="00493989" w:rsidP="00493989">
            <w:pPr>
              <w:pStyle w:val="CETBodytext"/>
              <w:ind w:right="-1"/>
              <w:jc w:val="center"/>
              <w:rPr>
                <w:rFonts w:cs="Arial"/>
                <w:szCs w:val="18"/>
                <w:lang w:val="en-GB"/>
              </w:rPr>
            </w:pPr>
          </w:p>
        </w:tc>
        <w:tc>
          <w:tcPr>
            <w:tcW w:w="1701" w:type="dxa"/>
            <w:shd w:val="clear" w:color="auto" w:fill="FFFFFF"/>
          </w:tcPr>
          <w:p w14:paraId="09B41D78" w14:textId="79919BB6" w:rsidR="00493989" w:rsidRPr="00B57B36" w:rsidRDefault="00281FDA" w:rsidP="00493989">
            <w:pPr>
              <w:pStyle w:val="CETBodytext"/>
              <w:ind w:right="-1"/>
              <w:jc w:val="center"/>
              <w:rPr>
                <w:rFonts w:cs="Arial"/>
                <w:szCs w:val="18"/>
                <w:lang w:val="en-GB"/>
              </w:rPr>
            </w:pPr>
            <w:r>
              <w:rPr>
                <w:rFonts w:cs="Arial"/>
                <w:szCs w:val="18"/>
                <w:lang w:val="en-GB"/>
              </w:rPr>
              <w:t>MM = 1 (no system)</w:t>
            </w:r>
          </w:p>
        </w:tc>
        <w:tc>
          <w:tcPr>
            <w:tcW w:w="567" w:type="dxa"/>
            <w:vMerge/>
            <w:shd w:val="clear" w:color="auto" w:fill="FFFFFF"/>
          </w:tcPr>
          <w:p w14:paraId="5DDB33B9" w14:textId="77777777" w:rsidR="00493989" w:rsidRPr="00B57B36" w:rsidRDefault="00493989" w:rsidP="00493989">
            <w:pPr>
              <w:pStyle w:val="CETBodytext"/>
              <w:ind w:right="-1"/>
              <w:jc w:val="center"/>
              <w:rPr>
                <w:rFonts w:cs="Arial"/>
                <w:szCs w:val="18"/>
                <w:lang w:val="en-GB"/>
              </w:rPr>
            </w:pPr>
          </w:p>
        </w:tc>
      </w:tr>
      <w:tr w:rsidR="00493989" w:rsidRPr="00B57B36" w14:paraId="65C2574B" w14:textId="77777777" w:rsidTr="00424A5B">
        <w:tc>
          <w:tcPr>
            <w:tcW w:w="993" w:type="dxa"/>
            <w:vMerge w:val="restart"/>
            <w:shd w:val="clear" w:color="auto" w:fill="FFFFFF"/>
          </w:tcPr>
          <w:p w14:paraId="058CED19" w14:textId="142AEF47" w:rsidR="00493989" w:rsidRDefault="00493989" w:rsidP="00493989">
            <w:pPr>
              <w:pStyle w:val="CETBodytext"/>
              <w:ind w:right="-1"/>
              <w:jc w:val="left"/>
              <w:rPr>
                <w:rFonts w:cs="Arial"/>
                <w:szCs w:val="18"/>
                <w:lang w:val="en-GB"/>
              </w:rPr>
            </w:pPr>
            <w:r>
              <w:rPr>
                <w:rFonts w:cs="Arial"/>
                <w:szCs w:val="18"/>
                <w:lang w:val="en-GB"/>
              </w:rPr>
              <w:t>SIB electrolyte</w:t>
            </w:r>
          </w:p>
        </w:tc>
        <w:tc>
          <w:tcPr>
            <w:tcW w:w="1559" w:type="dxa"/>
            <w:vMerge w:val="restart"/>
            <w:shd w:val="clear" w:color="auto" w:fill="FFFFFF"/>
          </w:tcPr>
          <w:p w14:paraId="0A70990C" w14:textId="5EB72961" w:rsidR="00493989" w:rsidRDefault="00493989" w:rsidP="00493989">
            <w:pPr>
              <w:pStyle w:val="CETBodytext"/>
              <w:jc w:val="center"/>
              <w:rPr>
                <w:rFonts w:asciiTheme="minorBidi" w:hAnsiTheme="minorBidi" w:cstheme="minorBidi"/>
              </w:rPr>
            </w:pPr>
            <w:r w:rsidRPr="00801A62">
              <w:rPr>
                <w:rFonts w:asciiTheme="minorBidi" w:hAnsiTheme="minorBidi" w:cstheme="minorBidi"/>
              </w:rPr>
              <w:t xml:space="preserve">Undesired </w:t>
            </w:r>
            <w:r>
              <w:rPr>
                <w:rFonts w:asciiTheme="minorBidi" w:hAnsiTheme="minorBidi" w:cstheme="minorBidi"/>
              </w:rPr>
              <w:t>Na</w:t>
            </w:r>
            <w:r w:rsidRPr="00801A62">
              <w:rPr>
                <w:rFonts w:asciiTheme="minorBidi" w:hAnsiTheme="minorBidi" w:cstheme="minorBidi"/>
              </w:rPr>
              <w:t>PF</w:t>
            </w:r>
            <w:r w:rsidRPr="00801A62">
              <w:rPr>
                <w:rFonts w:asciiTheme="minorBidi" w:hAnsiTheme="minorBidi" w:cstheme="minorBidi"/>
                <w:vertAlign w:val="subscript"/>
              </w:rPr>
              <w:t>6</w:t>
            </w:r>
            <w:r w:rsidRPr="00801A62">
              <w:rPr>
                <w:rFonts w:asciiTheme="minorBidi" w:hAnsiTheme="minorBidi" w:cstheme="minorBidi"/>
              </w:rPr>
              <w:t>/</w:t>
            </w:r>
            <w:r>
              <w:rPr>
                <w:rFonts w:asciiTheme="minorBidi" w:hAnsiTheme="minorBidi" w:cstheme="minorBidi"/>
              </w:rPr>
              <w:t>diglyme</w:t>
            </w:r>
            <w:r w:rsidRPr="00801A62">
              <w:rPr>
                <w:rFonts w:asciiTheme="minorBidi" w:hAnsiTheme="minorBidi" w:cstheme="minorBidi"/>
              </w:rPr>
              <w:t xml:space="preserve"> ratio </w:t>
            </w:r>
            <w:r w:rsidRPr="00057E7B">
              <w:rPr>
                <w:rFonts w:asciiTheme="minorBidi" w:hAnsiTheme="minorBidi" w:cstheme="minorBidi"/>
                <w:i/>
                <w:iCs/>
              </w:rPr>
              <w:t xml:space="preserve">More/Less </w:t>
            </w:r>
            <w:r>
              <w:rPr>
                <w:rFonts w:asciiTheme="minorBidi" w:hAnsiTheme="minorBidi" w:cstheme="minorBidi"/>
                <w:i/>
                <w:iCs/>
              </w:rPr>
              <w:t>Na</w:t>
            </w:r>
            <w:r w:rsidRPr="00057E7B">
              <w:rPr>
                <w:rFonts w:asciiTheme="minorBidi" w:hAnsiTheme="minorBidi" w:cstheme="minorBidi"/>
                <w:i/>
                <w:iCs/>
              </w:rPr>
              <w:t>PF</w:t>
            </w:r>
            <w:r w:rsidRPr="00057E7B">
              <w:rPr>
                <w:rFonts w:asciiTheme="minorBidi" w:hAnsiTheme="minorBidi" w:cstheme="minorBidi"/>
                <w:i/>
                <w:iCs/>
                <w:vertAlign w:val="subscript"/>
              </w:rPr>
              <w:t>6</w:t>
            </w:r>
            <w:r w:rsidRPr="00057E7B">
              <w:rPr>
                <w:rFonts w:asciiTheme="minorBidi" w:hAnsiTheme="minorBidi" w:cstheme="minorBidi"/>
                <w:i/>
                <w:iCs/>
              </w:rPr>
              <w:t>/</w:t>
            </w:r>
            <w:r>
              <w:rPr>
                <w:rFonts w:asciiTheme="minorBidi" w:hAnsiTheme="minorBidi" w:cstheme="minorBidi"/>
                <w:i/>
                <w:iCs/>
              </w:rPr>
              <w:t>Diglyme</w:t>
            </w:r>
            <w:r w:rsidRPr="00057E7B">
              <w:rPr>
                <w:rFonts w:asciiTheme="minorBidi" w:hAnsiTheme="minorBidi" w:cstheme="minorBidi"/>
                <w:i/>
                <w:iCs/>
              </w:rPr>
              <w:t xml:space="preserve"> ratio</w:t>
            </w:r>
            <w:r w:rsidRPr="00801A62" w:rsidDel="00EF2CF7">
              <w:rPr>
                <w:rFonts w:asciiTheme="minorBidi" w:hAnsiTheme="minorBidi" w:cstheme="minorBidi"/>
              </w:rPr>
              <w:t xml:space="preserve"> </w:t>
            </w:r>
          </w:p>
        </w:tc>
        <w:tc>
          <w:tcPr>
            <w:tcW w:w="1417" w:type="dxa"/>
            <w:vMerge w:val="restart"/>
            <w:shd w:val="clear" w:color="auto" w:fill="FFFFFF"/>
          </w:tcPr>
          <w:p w14:paraId="1CAC2758" w14:textId="77777777" w:rsidR="00493989" w:rsidRDefault="00493989" w:rsidP="00493989">
            <w:pPr>
              <w:pStyle w:val="CETBodytext"/>
              <w:ind w:right="-1"/>
              <w:jc w:val="center"/>
              <w:rPr>
                <w:rFonts w:cs="Arial"/>
                <w:szCs w:val="18"/>
                <w:lang w:val="en-GB"/>
              </w:rPr>
            </w:pPr>
            <w:r>
              <w:rPr>
                <w:rFonts w:cs="Arial"/>
                <w:szCs w:val="18"/>
                <w:lang w:val="en-GB"/>
              </w:rPr>
              <w:t>I</w:t>
            </w:r>
            <w:r w:rsidRPr="00117B70">
              <w:rPr>
                <w:rFonts w:cs="Arial"/>
                <w:szCs w:val="18"/>
                <w:lang w:val="en-GB"/>
              </w:rPr>
              <w:t>ncorrect incoming flows</w:t>
            </w:r>
          </w:p>
        </w:tc>
        <w:tc>
          <w:tcPr>
            <w:tcW w:w="1560" w:type="dxa"/>
            <w:vMerge w:val="restart"/>
            <w:shd w:val="clear" w:color="auto" w:fill="FFFFFF"/>
          </w:tcPr>
          <w:p w14:paraId="136E2779" w14:textId="77777777" w:rsidR="00493989" w:rsidRDefault="00493989" w:rsidP="00493989">
            <w:pPr>
              <w:pStyle w:val="CETBodytext"/>
              <w:ind w:right="-1"/>
              <w:jc w:val="center"/>
              <w:rPr>
                <w:rFonts w:cs="Arial"/>
                <w:szCs w:val="18"/>
                <w:lang w:val="en-GB"/>
              </w:rPr>
            </w:pPr>
            <w:r>
              <w:rPr>
                <w:rFonts w:cs="Arial"/>
                <w:szCs w:val="18"/>
                <w:lang w:val="en-GB"/>
              </w:rPr>
              <w:t>Undesired concentration of the mixture</w:t>
            </w:r>
          </w:p>
          <w:p w14:paraId="03ED11E5" w14:textId="77777777" w:rsidR="00493989" w:rsidRDefault="00493989" w:rsidP="00493989">
            <w:pPr>
              <w:pStyle w:val="CETBodytext"/>
              <w:ind w:right="-1"/>
              <w:jc w:val="center"/>
              <w:rPr>
                <w:rFonts w:cs="Arial"/>
                <w:szCs w:val="18"/>
                <w:lang w:val="en-GB"/>
              </w:rPr>
            </w:pPr>
            <w:r w:rsidRPr="00117B70">
              <w:rPr>
                <w:rFonts w:cs="Arial"/>
                <w:szCs w:val="18"/>
                <w:lang w:val="en-GB"/>
              </w:rPr>
              <w:t>Ionic conductivity reduction</w:t>
            </w:r>
          </w:p>
        </w:tc>
        <w:tc>
          <w:tcPr>
            <w:tcW w:w="1134" w:type="dxa"/>
            <w:vMerge w:val="restart"/>
            <w:shd w:val="clear" w:color="auto" w:fill="FFFFFF"/>
          </w:tcPr>
          <w:p w14:paraId="38D435DD" w14:textId="77777777" w:rsidR="00493989" w:rsidRDefault="00493989" w:rsidP="00493989">
            <w:pPr>
              <w:pStyle w:val="CETBodytext"/>
              <w:ind w:right="-1"/>
              <w:jc w:val="center"/>
              <w:rPr>
                <w:rFonts w:cs="Arial"/>
                <w:szCs w:val="18"/>
                <w:lang w:val="en-GB"/>
              </w:rPr>
            </w:pPr>
            <w:r w:rsidRPr="00117B70">
              <w:rPr>
                <w:rFonts w:cs="Arial"/>
                <w:szCs w:val="18"/>
                <w:lang w:val="en-GB"/>
              </w:rPr>
              <w:t>Continuous ratio control of incoming flows</w:t>
            </w:r>
          </w:p>
        </w:tc>
        <w:tc>
          <w:tcPr>
            <w:tcW w:w="1701" w:type="dxa"/>
            <w:shd w:val="clear" w:color="auto" w:fill="FFFFFF"/>
          </w:tcPr>
          <w:p w14:paraId="4023378D" w14:textId="77777777" w:rsidR="00493989" w:rsidRDefault="00493989" w:rsidP="00493989">
            <w:pPr>
              <w:pStyle w:val="CETBodytext"/>
              <w:ind w:right="-1"/>
              <w:jc w:val="center"/>
              <w:rPr>
                <w:rFonts w:cs="Arial"/>
                <w:szCs w:val="18"/>
                <w:lang w:val="en-GB"/>
              </w:rPr>
            </w:pPr>
            <w:r>
              <w:rPr>
                <w:rFonts w:cs="Arial"/>
                <w:szCs w:val="18"/>
                <w:lang w:val="en-GB"/>
              </w:rPr>
              <w:t>T = 1; F = 2; E= 1</w:t>
            </w:r>
          </w:p>
        </w:tc>
        <w:tc>
          <w:tcPr>
            <w:tcW w:w="567" w:type="dxa"/>
            <w:vMerge w:val="restart"/>
            <w:shd w:val="clear" w:color="auto" w:fill="FFFFFF"/>
            <w:vAlign w:val="center"/>
          </w:tcPr>
          <w:p w14:paraId="2216F504" w14:textId="46B54BE8" w:rsidR="00493989" w:rsidRDefault="00C16240" w:rsidP="00493989">
            <w:pPr>
              <w:pStyle w:val="CETBodytext"/>
              <w:ind w:right="-1"/>
              <w:jc w:val="center"/>
              <w:rPr>
                <w:rFonts w:cs="Arial"/>
                <w:szCs w:val="18"/>
                <w:lang w:val="en-GB"/>
              </w:rPr>
            </w:pPr>
            <w:r>
              <w:rPr>
                <w:rFonts w:cs="Arial"/>
                <w:szCs w:val="18"/>
                <w:lang w:val="en-GB"/>
              </w:rPr>
              <w:t>0.60</w:t>
            </w:r>
          </w:p>
        </w:tc>
      </w:tr>
      <w:tr w:rsidR="00493989" w:rsidRPr="00B57B36" w14:paraId="3EE551A5" w14:textId="77777777" w:rsidTr="00424A5B">
        <w:tc>
          <w:tcPr>
            <w:tcW w:w="993" w:type="dxa"/>
            <w:vMerge/>
            <w:shd w:val="clear" w:color="auto" w:fill="FFFFFF"/>
          </w:tcPr>
          <w:p w14:paraId="6B9BC4F7" w14:textId="77777777" w:rsidR="00493989" w:rsidDel="00EF2CF7" w:rsidRDefault="00493989" w:rsidP="00057E7B">
            <w:pPr>
              <w:pStyle w:val="CETBodytext"/>
              <w:ind w:right="-1"/>
              <w:jc w:val="left"/>
              <w:rPr>
                <w:rFonts w:cs="Arial"/>
                <w:szCs w:val="18"/>
                <w:lang w:val="en-GB"/>
              </w:rPr>
            </w:pPr>
          </w:p>
        </w:tc>
        <w:tc>
          <w:tcPr>
            <w:tcW w:w="1559" w:type="dxa"/>
            <w:vMerge/>
            <w:shd w:val="clear" w:color="auto" w:fill="FFFFFF"/>
          </w:tcPr>
          <w:p w14:paraId="51E02713" w14:textId="77777777" w:rsidR="00493989" w:rsidRPr="00801A62" w:rsidDel="00EF2CF7" w:rsidRDefault="00493989" w:rsidP="00057E7B">
            <w:pPr>
              <w:pStyle w:val="CETBodytext"/>
              <w:jc w:val="center"/>
              <w:rPr>
                <w:rFonts w:asciiTheme="minorBidi" w:hAnsiTheme="minorBidi" w:cstheme="minorBidi"/>
              </w:rPr>
            </w:pPr>
          </w:p>
        </w:tc>
        <w:tc>
          <w:tcPr>
            <w:tcW w:w="1417" w:type="dxa"/>
            <w:vMerge/>
            <w:shd w:val="clear" w:color="auto" w:fill="FFFFFF"/>
          </w:tcPr>
          <w:p w14:paraId="1F47DABF" w14:textId="77777777" w:rsidR="00493989" w:rsidRDefault="00493989" w:rsidP="00057E7B">
            <w:pPr>
              <w:pStyle w:val="CETBodytext"/>
              <w:ind w:right="-1"/>
              <w:jc w:val="center"/>
              <w:rPr>
                <w:rFonts w:cs="Arial"/>
                <w:szCs w:val="18"/>
                <w:lang w:val="en-GB"/>
              </w:rPr>
            </w:pPr>
          </w:p>
        </w:tc>
        <w:tc>
          <w:tcPr>
            <w:tcW w:w="1560" w:type="dxa"/>
            <w:vMerge/>
            <w:shd w:val="clear" w:color="auto" w:fill="FFFFFF"/>
          </w:tcPr>
          <w:p w14:paraId="229F98DF" w14:textId="77777777" w:rsidR="00493989" w:rsidRDefault="00493989" w:rsidP="00057E7B">
            <w:pPr>
              <w:pStyle w:val="CETBodytext"/>
              <w:ind w:right="-1"/>
              <w:jc w:val="center"/>
              <w:rPr>
                <w:rFonts w:cs="Arial"/>
                <w:szCs w:val="18"/>
                <w:lang w:val="en-GB"/>
              </w:rPr>
            </w:pPr>
          </w:p>
        </w:tc>
        <w:tc>
          <w:tcPr>
            <w:tcW w:w="1134" w:type="dxa"/>
            <w:vMerge/>
            <w:shd w:val="clear" w:color="auto" w:fill="FFFFFF"/>
          </w:tcPr>
          <w:p w14:paraId="5FB8616D" w14:textId="77777777" w:rsidR="00493989" w:rsidRDefault="00493989" w:rsidP="00057E7B">
            <w:pPr>
              <w:pStyle w:val="CETBodytext"/>
              <w:ind w:right="-1"/>
              <w:jc w:val="center"/>
              <w:rPr>
                <w:rFonts w:cs="Arial"/>
                <w:szCs w:val="18"/>
                <w:lang w:val="en-GB"/>
              </w:rPr>
            </w:pPr>
          </w:p>
        </w:tc>
        <w:tc>
          <w:tcPr>
            <w:tcW w:w="1701" w:type="dxa"/>
            <w:shd w:val="clear" w:color="auto" w:fill="FFFFFF"/>
          </w:tcPr>
          <w:p w14:paraId="3F7E7833" w14:textId="77777777" w:rsidR="00493989" w:rsidRDefault="00493989" w:rsidP="00057E7B">
            <w:pPr>
              <w:pStyle w:val="CETBodytext"/>
              <w:ind w:right="-1"/>
              <w:jc w:val="center"/>
              <w:rPr>
                <w:rFonts w:cs="Arial"/>
                <w:szCs w:val="18"/>
                <w:lang w:val="en-GB"/>
              </w:rPr>
            </w:pPr>
            <w:r>
              <w:rPr>
                <w:rFonts w:cs="Arial"/>
                <w:szCs w:val="18"/>
                <w:lang w:val="en-GB"/>
              </w:rPr>
              <w:t>PF = 3</w:t>
            </w:r>
          </w:p>
        </w:tc>
        <w:tc>
          <w:tcPr>
            <w:tcW w:w="567" w:type="dxa"/>
            <w:vMerge/>
            <w:shd w:val="clear" w:color="auto" w:fill="FFFFFF"/>
            <w:vAlign w:val="center"/>
          </w:tcPr>
          <w:p w14:paraId="71D6220D" w14:textId="77777777" w:rsidR="00493989" w:rsidRDefault="00493989" w:rsidP="00057E7B">
            <w:pPr>
              <w:pStyle w:val="CETBodytext"/>
              <w:ind w:right="-1"/>
              <w:jc w:val="center"/>
              <w:rPr>
                <w:rFonts w:cs="Arial"/>
                <w:szCs w:val="18"/>
                <w:lang w:val="en-GB"/>
              </w:rPr>
            </w:pPr>
          </w:p>
        </w:tc>
      </w:tr>
      <w:tr w:rsidR="00493989" w:rsidRPr="00B57B36" w14:paraId="0C558A67" w14:textId="77777777" w:rsidTr="00424A5B">
        <w:tc>
          <w:tcPr>
            <w:tcW w:w="993" w:type="dxa"/>
            <w:vMerge/>
            <w:shd w:val="clear" w:color="auto" w:fill="FFFFFF"/>
          </w:tcPr>
          <w:p w14:paraId="7E7A09C5" w14:textId="77777777" w:rsidR="00493989" w:rsidRDefault="00493989" w:rsidP="00057E7B">
            <w:pPr>
              <w:pStyle w:val="CETBodytext"/>
              <w:ind w:right="-1"/>
              <w:jc w:val="left"/>
              <w:rPr>
                <w:rFonts w:cs="Arial"/>
                <w:szCs w:val="18"/>
                <w:lang w:val="en-GB"/>
              </w:rPr>
            </w:pPr>
          </w:p>
        </w:tc>
        <w:tc>
          <w:tcPr>
            <w:tcW w:w="1559" w:type="dxa"/>
            <w:vMerge/>
            <w:shd w:val="clear" w:color="auto" w:fill="FFFFFF"/>
          </w:tcPr>
          <w:p w14:paraId="2AD5BAD0" w14:textId="77777777" w:rsidR="00493989" w:rsidRDefault="00493989" w:rsidP="00057E7B">
            <w:pPr>
              <w:pStyle w:val="CETBodytext"/>
              <w:jc w:val="center"/>
              <w:rPr>
                <w:rFonts w:asciiTheme="minorBidi" w:hAnsiTheme="minorBidi" w:cstheme="minorBidi"/>
              </w:rPr>
            </w:pPr>
          </w:p>
        </w:tc>
        <w:tc>
          <w:tcPr>
            <w:tcW w:w="1417" w:type="dxa"/>
            <w:vMerge/>
            <w:shd w:val="clear" w:color="auto" w:fill="FFFFFF"/>
          </w:tcPr>
          <w:p w14:paraId="646C74EF" w14:textId="77777777" w:rsidR="00493989" w:rsidRDefault="00493989" w:rsidP="00057E7B">
            <w:pPr>
              <w:pStyle w:val="CETBodytext"/>
              <w:ind w:right="-1"/>
              <w:jc w:val="center"/>
              <w:rPr>
                <w:rFonts w:cs="Arial"/>
                <w:szCs w:val="18"/>
                <w:lang w:val="en-GB"/>
              </w:rPr>
            </w:pPr>
          </w:p>
        </w:tc>
        <w:tc>
          <w:tcPr>
            <w:tcW w:w="1560" w:type="dxa"/>
            <w:vMerge/>
            <w:shd w:val="clear" w:color="auto" w:fill="FFFFFF"/>
          </w:tcPr>
          <w:p w14:paraId="2FCED795" w14:textId="77777777" w:rsidR="00493989" w:rsidRDefault="00493989" w:rsidP="00057E7B">
            <w:pPr>
              <w:pStyle w:val="CETBodytext"/>
              <w:ind w:right="-1"/>
              <w:jc w:val="center"/>
              <w:rPr>
                <w:rFonts w:cs="Arial"/>
                <w:szCs w:val="18"/>
                <w:lang w:val="en-GB"/>
              </w:rPr>
            </w:pPr>
          </w:p>
        </w:tc>
        <w:tc>
          <w:tcPr>
            <w:tcW w:w="1134" w:type="dxa"/>
            <w:vMerge/>
            <w:shd w:val="clear" w:color="auto" w:fill="FFFFFF"/>
          </w:tcPr>
          <w:p w14:paraId="2D31320B" w14:textId="77777777" w:rsidR="00493989" w:rsidRDefault="00493989" w:rsidP="00057E7B">
            <w:pPr>
              <w:pStyle w:val="CETBodytext"/>
              <w:ind w:right="-1"/>
              <w:jc w:val="center"/>
              <w:rPr>
                <w:rFonts w:cs="Arial"/>
                <w:szCs w:val="18"/>
                <w:lang w:val="en-GB"/>
              </w:rPr>
            </w:pPr>
          </w:p>
        </w:tc>
        <w:tc>
          <w:tcPr>
            <w:tcW w:w="1701" w:type="dxa"/>
            <w:shd w:val="clear" w:color="auto" w:fill="FFFFFF"/>
          </w:tcPr>
          <w:p w14:paraId="53598B57" w14:textId="77777777" w:rsidR="00493989" w:rsidRDefault="00493989" w:rsidP="00057E7B">
            <w:pPr>
              <w:pStyle w:val="CETBodytext"/>
              <w:ind w:right="-1"/>
              <w:jc w:val="center"/>
              <w:rPr>
                <w:rFonts w:cs="Arial"/>
                <w:szCs w:val="18"/>
                <w:lang w:val="en-GB"/>
              </w:rPr>
            </w:pPr>
            <w:r>
              <w:rPr>
                <w:rFonts w:cs="Arial"/>
                <w:szCs w:val="18"/>
                <w:lang w:val="en-GB"/>
              </w:rPr>
              <w:t>CF = 1</w:t>
            </w:r>
          </w:p>
        </w:tc>
        <w:tc>
          <w:tcPr>
            <w:tcW w:w="567" w:type="dxa"/>
            <w:vMerge/>
            <w:shd w:val="clear" w:color="auto" w:fill="FFFFFF"/>
            <w:vAlign w:val="center"/>
          </w:tcPr>
          <w:p w14:paraId="2D435D0D" w14:textId="77777777" w:rsidR="00493989" w:rsidRDefault="00493989" w:rsidP="00057E7B">
            <w:pPr>
              <w:pStyle w:val="CETBodytext"/>
              <w:ind w:right="-1"/>
              <w:jc w:val="center"/>
              <w:rPr>
                <w:rFonts w:cs="Arial"/>
                <w:szCs w:val="18"/>
                <w:lang w:val="en-GB"/>
              </w:rPr>
            </w:pPr>
          </w:p>
        </w:tc>
      </w:tr>
      <w:tr w:rsidR="00493989" w:rsidRPr="00B57B36" w14:paraId="2DAE6B7B" w14:textId="77777777" w:rsidTr="00424A5B">
        <w:tc>
          <w:tcPr>
            <w:tcW w:w="993" w:type="dxa"/>
            <w:vMerge/>
            <w:shd w:val="clear" w:color="auto" w:fill="FFFFFF"/>
          </w:tcPr>
          <w:p w14:paraId="48AB3A41" w14:textId="77777777" w:rsidR="00493989" w:rsidRPr="00B57B36" w:rsidRDefault="00493989" w:rsidP="00057E7B">
            <w:pPr>
              <w:pStyle w:val="CETBodytext"/>
              <w:ind w:right="-1"/>
              <w:jc w:val="left"/>
              <w:rPr>
                <w:lang w:val="en-GB"/>
              </w:rPr>
            </w:pPr>
          </w:p>
        </w:tc>
        <w:tc>
          <w:tcPr>
            <w:tcW w:w="1559" w:type="dxa"/>
            <w:vMerge/>
            <w:shd w:val="clear" w:color="auto" w:fill="FFFFFF"/>
          </w:tcPr>
          <w:p w14:paraId="6BE6A93A" w14:textId="77777777" w:rsidR="00493989" w:rsidRPr="00B57B36" w:rsidRDefault="00493989" w:rsidP="00057E7B">
            <w:pPr>
              <w:pStyle w:val="CETBodytext"/>
              <w:jc w:val="center"/>
              <w:rPr>
                <w:lang w:val="en-GB"/>
              </w:rPr>
            </w:pPr>
          </w:p>
        </w:tc>
        <w:tc>
          <w:tcPr>
            <w:tcW w:w="1417" w:type="dxa"/>
            <w:vMerge/>
            <w:shd w:val="clear" w:color="auto" w:fill="FFFFFF"/>
          </w:tcPr>
          <w:p w14:paraId="0AF6F934" w14:textId="77777777" w:rsidR="00493989" w:rsidRPr="00B57B36" w:rsidRDefault="00493989" w:rsidP="00057E7B">
            <w:pPr>
              <w:pStyle w:val="CETBodytext"/>
              <w:ind w:right="-1"/>
              <w:jc w:val="center"/>
              <w:rPr>
                <w:rFonts w:cs="Arial"/>
                <w:szCs w:val="18"/>
                <w:lang w:val="en-GB"/>
              </w:rPr>
            </w:pPr>
          </w:p>
        </w:tc>
        <w:tc>
          <w:tcPr>
            <w:tcW w:w="1560" w:type="dxa"/>
            <w:vMerge/>
            <w:shd w:val="clear" w:color="auto" w:fill="FFFFFF"/>
          </w:tcPr>
          <w:p w14:paraId="3FC2FF5B" w14:textId="77777777" w:rsidR="00493989" w:rsidRPr="00B57B36" w:rsidRDefault="00493989" w:rsidP="00057E7B">
            <w:pPr>
              <w:pStyle w:val="CETBodytext"/>
              <w:ind w:right="-1"/>
              <w:jc w:val="center"/>
              <w:rPr>
                <w:rFonts w:cs="Arial"/>
                <w:szCs w:val="18"/>
                <w:lang w:val="en-GB"/>
              </w:rPr>
            </w:pPr>
          </w:p>
        </w:tc>
        <w:tc>
          <w:tcPr>
            <w:tcW w:w="1134" w:type="dxa"/>
            <w:vMerge/>
            <w:shd w:val="clear" w:color="auto" w:fill="FFFFFF"/>
          </w:tcPr>
          <w:p w14:paraId="36CB1A21" w14:textId="77777777" w:rsidR="00493989" w:rsidRPr="00B57B36" w:rsidRDefault="00493989" w:rsidP="00057E7B">
            <w:pPr>
              <w:pStyle w:val="CETBodytext"/>
              <w:ind w:right="-1"/>
              <w:jc w:val="center"/>
              <w:rPr>
                <w:rFonts w:cs="Arial"/>
                <w:szCs w:val="18"/>
                <w:lang w:val="en-GB"/>
              </w:rPr>
            </w:pPr>
          </w:p>
        </w:tc>
        <w:tc>
          <w:tcPr>
            <w:tcW w:w="1701" w:type="dxa"/>
            <w:shd w:val="clear" w:color="auto" w:fill="FFFFFF"/>
          </w:tcPr>
          <w:p w14:paraId="28B63630" w14:textId="71ABEE8B" w:rsidR="00493989" w:rsidRPr="00B57B36" w:rsidRDefault="00493989" w:rsidP="00057E7B">
            <w:pPr>
              <w:pStyle w:val="CETBodytext"/>
              <w:ind w:right="-1"/>
              <w:jc w:val="center"/>
              <w:rPr>
                <w:rFonts w:cs="Arial"/>
                <w:szCs w:val="18"/>
                <w:lang w:val="en-GB"/>
              </w:rPr>
            </w:pPr>
            <w:r>
              <w:rPr>
                <w:rFonts w:cs="Arial"/>
                <w:szCs w:val="18"/>
                <w:lang w:val="en-GB"/>
              </w:rPr>
              <w:t xml:space="preserve">PM = </w:t>
            </w:r>
            <w:r w:rsidR="00C16240">
              <w:rPr>
                <w:rFonts w:cs="Arial"/>
                <w:szCs w:val="18"/>
                <w:lang w:val="en-GB"/>
              </w:rPr>
              <w:t xml:space="preserve">1 – </w:t>
            </w:r>
            <w:r>
              <w:rPr>
                <w:rFonts w:cs="Arial"/>
                <w:szCs w:val="18"/>
                <w:lang w:val="en-GB"/>
              </w:rPr>
              <w:t>0.90</w:t>
            </w:r>
          </w:p>
        </w:tc>
        <w:tc>
          <w:tcPr>
            <w:tcW w:w="567" w:type="dxa"/>
            <w:vMerge/>
            <w:shd w:val="clear" w:color="auto" w:fill="FFFFFF"/>
            <w:vAlign w:val="center"/>
          </w:tcPr>
          <w:p w14:paraId="71498CE0" w14:textId="77777777" w:rsidR="00493989" w:rsidRPr="00B57B36" w:rsidRDefault="00493989" w:rsidP="00057E7B">
            <w:pPr>
              <w:pStyle w:val="CETBodytext"/>
              <w:ind w:right="-1"/>
              <w:jc w:val="center"/>
              <w:rPr>
                <w:rFonts w:cs="Arial"/>
                <w:szCs w:val="18"/>
                <w:lang w:val="en-GB"/>
              </w:rPr>
            </w:pPr>
          </w:p>
        </w:tc>
      </w:tr>
      <w:tr w:rsidR="00493989" w:rsidRPr="00B57B36" w14:paraId="7A8D1915" w14:textId="77777777" w:rsidTr="00424A5B">
        <w:tc>
          <w:tcPr>
            <w:tcW w:w="993" w:type="dxa"/>
            <w:vMerge/>
            <w:shd w:val="clear" w:color="auto" w:fill="FFFFFF"/>
          </w:tcPr>
          <w:p w14:paraId="175E1C23" w14:textId="77777777" w:rsidR="00493989" w:rsidRPr="00B57B36" w:rsidRDefault="00493989" w:rsidP="00057E7B">
            <w:pPr>
              <w:pStyle w:val="CETBodytext"/>
              <w:ind w:right="-1"/>
              <w:jc w:val="left"/>
              <w:rPr>
                <w:rFonts w:cs="Arial"/>
                <w:szCs w:val="18"/>
                <w:lang w:val="en-GB"/>
              </w:rPr>
            </w:pPr>
          </w:p>
        </w:tc>
        <w:tc>
          <w:tcPr>
            <w:tcW w:w="1559" w:type="dxa"/>
            <w:vMerge/>
            <w:shd w:val="clear" w:color="auto" w:fill="FFFFFF"/>
          </w:tcPr>
          <w:p w14:paraId="106A2503" w14:textId="77777777" w:rsidR="00493989" w:rsidRPr="00B57B36" w:rsidRDefault="00493989" w:rsidP="00057E7B">
            <w:pPr>
              <w:pStyle w:val="CETBodytext"/>
              <w:ind w:right="-1"/>
              <w:jc w:val="center"/>
              <w:rPr>
                <w:rFonts w:cs="Arial"/>
                <w:szCs w:val="18"/>
                <w:lang w:val="en-GB"/>
              </w:rPr>
            </w:pPr>
          </w:p>
        </w:tc>
        <w:tc>
          <w:tcPr>
            <w:tcW w:w="1417" w:type="dxa"/>
            <w:vMerge/>
            <w:shd w:val="clear" w:color="auto" w:fill="FFFFFF"/>
          </w:tcPr>
          <w:p w14:paraId="531AA3B4" w14:textId="77777777" w:rsidR="00493989" w:rsidRPr="00B57B36" w:rsidRDefault="00493989" w:rsidP="00057E7B">
            <w:pPr>
              <w:pStyle w:val="CETBodytext"/>
              <w:ind w:right="-1"/>
              <w:jc w:val="center"/>
              <w:rPr>
                <w:rFonts w:cs="Arial"/>
                <w:szCs w:val="18"/>
                <w:lang w:val="en-GB"/>
              </w:rPr>
            </w:pPr>
          </w:p>
        </w:tc>
        <w:tc>
          <w:tcPr>
            <w:tcW w:w="1560" w:type="dxa"/>
            <w:vMerge/>
            <w:shd w:val="clear" w:color="auto" w:fill="FFFFFF"/>
          </w:tcPr>
          <w:p w14:paraId="40071266" w14:textId="77777777" w:rsidR="00493989" w:rsidRPr="00057E7B" w:rsidRDefault="00493989" w:rsidP="00057E7B">
            <w:pPr>
              <w:pStyle w:val="CETBodytext"/>
              <w:ind w:right="-1"/>
              <w:jc w:val="center"/>
              <w:rPr>
                <w:rFonts w:asciiTheme="majorBidi" w:hAnsiTheme="majorBidi" w:cstheme="majorBidi"/>
                <w:i/>
                <w:iCs/>
                <w:szCs w:val="18"/>
                <w:lang w:val="en-GB"/>
              </w:rPr>
            </w:pPr>
          </w:p>
        </w:tc>
        <w:tc>
          <w:tcPr>
            <w:tcW w:w="1134" w:type="dxa"/>
            <w:vMerge/>
            <w:shd w:val="clear" w:color="auto" w:fill="FFFFFF"/>
          </w:tcPr>
          <w:p w14:paraId="6A599D02" w14:textId="77777777" w:rsidR="00493989" w:rsidRPr="00B57B36" w:rsidRDefault="00493989" w:rsidP="00057E7B">
            <w:pPr>
              <w:pStyle w:val="CETBodytext"/>
              <w:ind w:right="-1"/>
              <w:jc w:val="center"/>
              <w:rPr>
                <w:rFonts w:cs="Arial"/>
                <w:szCs w:val="18"/>
                <w:lang w:val="en-GB"/>
              </w:rPr>
            </w:pPr>
          </w:p>
        </w:tc>
        <w:tc>
          <w:tcPr>
            <w:tcW w:w="1701" w:type="dxa"/>
            <w:shd w:val="clear" w:color="auto" w:fill="FFFFFF"/>
          </w:tcPr>
          <w:p w14:paraId="0AE93A49" w14:textId="620F8DFA" w:rsidR="00493989" w:rsidRPr="00B57B36" w:rsidRDefault="00493989" w:rsidP="00057E7B">
            <w:pPr>
              <w:pStyle w:val="CETBodytext"/>
              <w:ind w:right="-1"/>
              <w:jc w:val="center"/>
              <w:rPr>
                <w:rFonts w:cs="Arial"/>
                <w:szCs w:val="18"/>
                <w:lang w:val="en-GB"/>
              </w:rPr>
            </w:pPr>
            <w:r>
              <w:rPr>
                <w:rFonts w:cs="Arial"/>
                <w:szCs w:val="18"/>
                <w:lang w:val="en-GB"/>
              </w:rPr>
              <w:t xml:space="preserve">MM = </w:t>
            </w:r>
            <w:r w:rsidR="00281FDA">
              <w:rPr>
                <w:rFonts w:cs="Arial"/>
                <w:szCs w:val="18"/>
                <w:lang w:val="en-GB"/>
              </w:rPr>
              <w:t>1 (no system)</w:t>
            </w:r>
          </w:p>
        </w:tc>
        <w:tc>
          <w:tcPr>
            <w:tcW w:w="567" w:type="dxa"/>
            <w:vMerge/>
            <w:shd w:val="clear" w:color="auto" w:fill="FFFFFF"/>
            <w:vAlign w:val="center"/>
          </w:tcPr>
          <w:p w14:paraId="306DACDB" w14:textId="77777777" w:rsidR="00493989" w:rsidRPr="00B57B36" w:rsidRDefault="00493989" w:rsidP="00057E7B">
            <w:pPr>
              <w:pStyle w:val="CETBodytext"/>
              <w:ind w:right="-1"/>
              <w:jc w:val="center"/>
              <w:rPr>
                <w:rFonts w:cs="Arial"/>
                <w:szCs w:val="18"/>
                <w:lang w:val="en-GB"/>
              </w:rPr>
            </w:pPr>
          </w:p>
        </w:tc>
      </w:tr>
    </w:tbl>
    <w:p w14:paraId="52186A1D" w14:textId="77777777" w:rsidR="00EF2CF7" w:rsidRDefault="00EF2CF7" w:rsidP="00EF2CF7">
      <w:pPr>
        <w:pStyle w:val="CETBodytext"/>
        <w:rPr>
          <w:lang w:val="en-GB"/>
        </w:rPr>
      </w:pPr>
    </w:p>
    <w:p w14:paraId="41010751" w14:textId="77777777" w:rsidR="00A24D24" w:rsidRPr="00D86804" w:rsidRDefault="00A24D24" w:rsidP="00A24D24">
      <w:pPr>
        <w:pStyle w:val="CETBodytext"/>
      </w:pPr>
      <w:r w:rsidRPr="00D86804">
        <w:t>Before commenting on the results, some considerations must be made:</w:t>
      </w:r>
    </w:p>
    <w:p w14:paraId="5F8283B1" w14:textId="77777777" w:rsidR="00A24D24" w:rsidRPr="00D86804" w:rsidRDefault="00A24D24" w:rsidP="00A24D24">
      <w:pPr>
        <w:pStyle w:val="CETBodytext"/>
        <w:numPr>
          <w:ilvl w:val="0"/>
          <w:numId w:val="41"/>
        </w:numPr>
      </w:pPr>
      <w:r w:rsidRPr="00D86804">
        <w:t>the assignment of the score to the hazard factor is carried out by considering the highest level of dangerousness between toxicity, flammability and explosiveness;</w:t>
      </w:r>
    </w:p>
    <w:p w14:paraId="2D031244" w14:textId="77777777" w:rsidR="00A24D24" w:rsidRPr="00D86804" w:rsidRDefault="00A24D24" w:rsidP="00A24D24">
      <w:pPr>
        <w:pStyle w:val="CETBodytext"/>
        <w:numPr>
          <w:ilvl w:val="0"/>
          <w:numId w:val="41"/>
        </w:numPr>
      </w:pPr>
      <w:r w:rsidRPr="00D86804">
        <w:lastRenderedPageBreak/>
        <w:t>each partial score is assigned on the basis of indications provided by researchers with experience in the processes under study;</w:t>
      </w:r>
    </w:p>
    <w:p w14:paraId="69E082EF" w14:textId="77777777" w:rsidR="00A24D24" w:rsidRPr="00D86804" w:rsidRDefault="00A24D24" w:rsidP="00A24D24">
      <w:pPr>
        <w:pStyle w:val="CETBodytext"/>
        <w:numPr>
          <w:ilvl w:val="0"/>
          <w:numId w:val="41"/>
        </w:numPr>
      </w:pPr>
      <w:r w:rsidRPr="00D86804">
        <w:t>the prevention and/or mitigation factors reduce the risk index, decreasing it by a percentage equal to the efficiency of the prevention and mitigation systems installed.</w:t>
      </w:r>
    </w:p>
    <w:p w14:paraId="2762F8B3" w14:textId="5A07FF02" w:rsidR="001A3618" w:rsidRPr="00D86804" w:rsidRDefault="00622DD4" w:rsidP="00622DD4">
      <w:pPr>
        <w:pStyle w:val="CETBodytext"/>
      </w:pPr>
      <w:r w:rsidRPr="00D86804">
        <w:t xml:space="preserve">The findings of this analysis reveal a significantly elevated risk profile for electrolytic processes that inherently involve the generation of hazardous byproducts, for example by the Downs process for sodium metal production. This heightened risk stems from the potential release and exposure to toxic substances during operation. However, the strategic implementation of robust prevention and mitigation systems, such as advanced ventilation, containment measures, and real-time monitoring, can effectively attenuate the calculated risk indicator values when these systems are diligently installed and maintained. Conversely, the highest risk index is attributed to the autoclave process. This is primarily due to the intrinsic dangerousness of the substances handled within the autoclave, notably their potential for explosiveness under specific temperature and pressure conditions. </w:t>
      </w:r>
      <w:r w:rsidR="001A3618" w:rsidRPr="00D86804">
        <w:t xml:space="preserve">A limitation of the study concerns </w:t>
      </w:r>
      <w:r w:rsidR="00424A5B" w:rsidRPr="00D86804">
        <w:t xml:space="preserve">its </w:t>
      </w:r>
      <w:r w:rsidR="001A3618" w:rsidRPr="00D86804">
        <w:t xml:space="preserve">scale </w:t>
      </w:r>
      <w:r w:rsidR="00424A5B" w:rsidRPr="00D86804">
        <w:t>that is</w:t>
      </w:r>
      <w:r w:rsidR="001A3618" w:rsidRPr="00D86804">
        <w:t xml:space="preserve"> currently limited to the laboratory level</w:t>
      </w:r>
      <w:r w:rsidR="003E3AD1" w:rsidRPr="00D86804">
        <w:t>. The</w:t>
      </w:r>
      <w:r w:rsidR="001A3618" w:rsidRPr="00D86804">
        <w:t xml:space="preserve"> extension on a larger scale would allow to better understand the safety associated with the processes studied, taking into account </w:t>
      </w:r>
      <w:r w:rsidR="00424A5B" w:rsidRPr="00D86804">
        <w:t>the effects of</w:t>
      </w:r>
      <w:r w:rsidR="001A3618" w:rsidRPr="00D86804">
        <w:t xml:space="preserve"> all the </w:t>
      </w:r>
      <w:r w:rsidR="00424A5B" w:rsidRPr="00D86804">
        <w:t xml:space="preserve">installed </w:t>
      </w:r>
      <w:r w:rsidR="001A3618" w:rsidRPr="00D86804">
        <w:t>systems for the prevention and mitigation of risks and also considering the contributions of mechanical failures.</w:t>
      </w:r>
    </w:p>
    <w:p w14:paraId="68D26B83" w14:textId="77777777" w:rsidR="00600535" w:rsidRPr="00D86804" w:rsidRDefault="00600535" w:rsidP="00600535">
      <w:pPr>
        <w:pStyle w:val="CETHeading1"/>
        <w:rPr>
          <w:lang w:val="en-GB"/>
        </w:rPr>
      </w:pPr>
      <w:r w:rsidRPr="00D86804">
        <w:rPr>
          <w:lang w:val="en-GB"/>
        </w:rPr>
        <w:t>Conclusions</w:t>
      </w:r>
    </w:p>
    <w:p w14:paraId="5E092E12" w14:textId="7CF87962" w:rsidR="003E3AD1" w:rsidRPr="00D86804" w:rsidRDefault="007C15FD" w:rsidP="003E3AD1">
      <w:pPr>
        <w:pStyle w:val="CETBodytext"/>
        <w:rPr>
          <w:lang w:val="en-GB"/>
        </w:rPr>
      </w:pPr>
      <w:r w:rsidRPr="00D86804">
        <w:t xml:space="preserve">This study compared safety risks in lithium-ion (LIB) and sodium-ion (SIB) battery production using HazOp analysis, focusing on anode, cathode, and electrolyte chemical </w:t>
      </w:r>
      <w:r w:rsidR="00FF5347" w:rsidRPr="00D86804">
        <w:t xml:space="preserve">production </w:t>
      </w:r>
      <w:r w:rsidRPr="00D86804">
        <w:t>processes. Risk analysis considered hazard levels, probabilities, consequences, and mitigation effectiveness. Higher risks were found in electrolytic (Risk Index =1.20) and autoclave processes (Risk Index = 1.35), respectively for SIBs and LIBs, reduced by mitigation systems. Future work should expand to transportation, usage, end-of-life, and industrial-scale failures for improved safety in battery development.</w:t>
      </w:r>
    </w:p>
    <w:p w14:paraId="459D05E6" w14:textId="77777777" w:rsidR="00600535" w:rsidRPr="00776A5C" w:rsidRDefault="00600535" w:rsidP="00600535">
      <w:pPr>
        <w:pStyle w:val="CETAcknowledgementstitle"/>
        <w:rPr>
          <w:lang w:val="en-US"/>
        </w:rPr>
      </w:pPr>
      <w:r w:rsidRPr="00776A5C">
        <w:rPr>
          <w:lang w:val="en-US"/>
        </w:rPr>
        <w:t>Acknowledgments</w:t>
      </w:r>
    </w:p>
    <w:p w14:paraId="4355E7D3" w14:textId="590EE0A5" w:rsidR="00D02EDE" w:rsidRPr="00776A5C" w:rsidRDefault="007E7FD7" w:rsidP="00D02EDE">
      <w:pPr>
        <w:pStyle w:val="CETBodytext"/>
      </w:pPr>
      <w:r w:rsidRPr="00776A5C">
        <w:t xml:space="preserve">This research was funded </w:t>
      </w:r>
      <w:r w:rsidR="00D02EDE" w:rsidRPr="00776A5C">
        <w:t>by</w:t>
      </w:r>
      <w:r w:rsidRPr="00776A5C">
        <w:t xml:space="preserve"> Consiglio Nazionale delle Ricerche CNR </w:t>
      </w:r>
      <w:r w:rsidR="00D02EDE" w:rsidRPr="00776A5C">
        <w:t xml:space="preserve">within </w:t>
      </w:r>
      <w:r w:rsidRPr="00776A5C">
        <w:t xml:space="preserve">the </w:t>
      </w:r>
      <w:r w:rsidR="00D02EDE" w:rsidRPr="00776A5C">
        <w:t xml:space="preserve">“Piano Triennale della </w:t>
      </w:r>
      <w:r w:rsidR="003E3AD1" w:rsidRPr="00776A5C">
        <w:t>Ricerca del</w:t>
      </w:r>
      <w:r w:rsidR="00D02EDE" w:rsidRPr="00776A5C">
        <w:t xml:space="preserve"> Sistema Elettrico Nazionale 2022-2024</w:t>
      </w:r>
      <w:r w:rsidRPr="00776A5C">
        <w:t xml:space="preserve"> </w:t>
      </w:r>
      <w:r w:rsidR="00D02EDE" w:rsidRPr="00776A5C">
        <w:t>(</w:t>
      </w:r>
      <w:r w:rsidRPr="00776A5C">
        <w:t>AdP PT 22-24</w:t>
      </w:r>
      <w:r w:rsidR="00D02EDE" w:rsidRPr="00776A5C">
        <w:t>)”</w:t>
      </w:r>
      <w:r w:rsidRPr="00776A5C">
        <w:t xml:space="preserve">, </w:t>
      </w:r>
      <w:r w:rsidR="00D02EDE" w:rsidRPr="00776A5C">
        <w:t>Project “ACCUMULO 1.2</w:t>
      </w:r>
      <w:r w:rsidR="008A0372" w:rsidRPr="00776A5C">
        <w:t xml:space="preserve"> </w:t>
      </w:r>
      <w:r w:rsidR="00D02EDE" w:rsidRPr="00776A5C">
        <w:t>- Progetto Integrato su Tecnologie di accumulo elettrochimico e termico”, Activity 1.8 “</w:t>
      </w:r>
      <w:r w:rsidR="00A532EB" w:rsidRPr="00776A5C">
        <w:t>Risk analysis associated with the extraction and processing processes of the materials constituting the electrochemical storage devices and their use</w:t>
      </w:r>
      <w:r w:rsidR="00D02EDE" w:rsidRPr="00776A5C">
        <w:t>”.</w:t>
      </w:r>
    </w:p>
    <w:p w14:paraId="4F1327F8" w14:textId="287FA126" w:rsidR="00600535" w:rsidRPr="00D86804" w:rsidRDefault="00600535" w:rsidP="00600535">
      <w:pPr>
        <w:pStyle w:val="CETReference"/>
        <w:rPr>
          <w:lang w:val="en-US"/>
        </w:rPr>
      </w:pPr>
      <w:r w:rsidRPr="00D86804">
        <w:rPr>
          <w:lang w:val="en-US"/>
        </w:rPr>
        <w:t>References</w:t>
      </w:r>
    </w:p>
    <w:p w14:paraId="597FF51B" w14:textId="77777777" w:rsidR="00C56C05" w:rsidRPr="00D86804" w:rsidRDefault="00C56C05" w:rsidP="00C56C05">
      <w:pPr>
        <w:pStyle w:val="CETReferencetext"/>
        <w:rPr>
          <w:lang w:val="en-US"/>
        </w:rPr>
      </w:pPr>
      <w:r w:rsidRPr="00D86804">
        <w:t xml:space="preserve">Arshad F., Lin J., Manurkar N., Fan E., </w:t>
      </w:r>
      <w:r w:rsidRPr="00D86804">
        <w:rPr>
          <w:lang w:val="en-US"/>
        </w:rPr>
        <w:t>Ahmad A., Tariq M., Wu F., Chen R., Li L., 2022, Life Cycle Assessment of Lithium-ion Batteries: A Critical Review, Resources, Conservation and Recycling, 180, 106164-106188.</w:t>
      </w:r>
    </w:p>
    <w:p w14:paraId="2401C608" w14:textId="6B36550F" w:rsidR="007C1180" w:rsidRPr="00D86804" w:rsidRDefault="007C1180" w:rsidP="007C1180">
      <w:pPr>
        <w:pStyle w:val="CETReferencetext"/>
        <w:rPr>
          <w:lang w:val="en-US"/>
        </w:rPr>
      </w:pPr>
      <w:r w:rsidRPr="00D86804">
        <w:rPr>
          <w:lang w:val="en-US"/>
        </w:rPr>
        <w:t>Batuecas E., Martínez-Cisneros C.S., Serrano D., Varez A., 2024, Life cycle assessment of lab-scale solid sodium-ion batteries: A sustainable alternative to liquid lithium-ion batteries, Journal of Energy Storage, 80, 110355-110364.</w:t>
      </w:r>
    </w:p>
    <w:p w14:paraId="7524CEAA" w14:textId="34AE766B" w:rsidR="00C56C05" w:rsidRPr="00D86804" w:rsidRDefault="00C56C05" w:rsidP="00C56C05">
      <w:pPr>
        <w:pStyle w:val="CETReferencetext"/>
        <w:rPr>
          <w:lang w:val="en-US"/>
        </w:rPr>
      </w:pPr>
      <w:r w:rsidRPr="00D86804">
        <w:rPr>
          <w:lang w:val="en-US"/>
        </w:rPr>
        <w:t>Cai X., Yue Y., Yi Z., Liu J., Sheng Y., Lu Y., 2024, Challenges and industrial perspectives on the development of sodium ion batteries, Nano Energy, 129, 110052-110070.</w:t>
      </w:r>
    </w:p>
    <w:p w14:paraId="59170468" w14:textId="77777777" w:rsidR="00C56C05" w:rsidRPr="00D86804" w:rsidRDefault="00C56C05" w:rsidP="00C56C05">
      <w:pPr>
        <w:pStyle w:val="CETReferencetext"/>
      </w:pPr>
      <w:r w:rsidRPr="00D86804">
        <w:t>Hamdan A., Daudu C.D., Fabuyide A., Etukudoh E.A., Sonko S., 2024, Next-generation batteries and U.S. energy storage: A comprehensive review: Scrutinizing advancements in battery technology, their role in renewable energy, and grid stability, World Journal of Advanced Research and Reviews, 21, 1984–1998.</w:t>
      </w:r>
    </w:p>
    <w:p w14:paraId="1C497B48" w14:textId="7DC63085" w:rsidR="008D3838" w:rsidRPr="00D86804" w:rsidRDefault="008D3838" w:rsidP="00C56C05">
      <w:pPr>
        <w:pStyle w:val="CETReferencetext"/>
      </w:pPr>
      <w:r w:rsidRPr="00D86804">
        <w:t xml:space="preserve">Health and Safety Executive &lt;hse.gov.uk/explosives/licensing/hazard-classification.htm&gt; </w:t>
      </w:r>
      <w:r w:rsidR="003E3AD1" w:rsidRPr="00D86804">
        <w:t>accessed 18.02.2024</w:t>
      </w:r>
    </w:p>
    <w:p w14:paraId="7F962E59" w14:textId="62040B79" w:rsidR="006F15A4" w:rsidRPr="00D86804" w:rsidRDefault="006F15A4" w:rsidP="006F15A4">
      <w:pPr>
        <w:pStyle w:val="CETReferencetext"/>
        <w:rPr>
          <w:rFonts w:ascii="Calibri" w:hAnsi="Calibri" w:cs="Calibri"/>
          <w:i/>
          <w:sz w:val="22"/>
          <w:szCs w:val="22"/>
          <w:lang w:eastAsia="it-IT"/>
        </w:rPr>
      </w:pPr>
      <w:r w:rsidRPr="00D86804">
        <w:t xml:space="preserve">Rudola A., Wright C.J., Barker J., 2021, Reviewing the Safe Shipping of Lithium-Ion and Sodium-Ion Cells: A Materials Chemistry Perspective, Energy Material Advances, </w:t>
      </w:r>
      <w:r w:rsidR="001823A5" w:rsidRPr="00D86804">
        <w:t>2021, 1-12</w:t>
      </w:r>
      <w:r w:rsidRPr="00D86804">
        <w:t>.</w:t>
      </w:r>
    </w:p>
    <w:p w14:paraId="5E525AD8" w14:textId="38A8AE8C" w:rsidR="001823A5" w:rsidRPr="00D86804" w:rsidRDefault="001823A5" w:rsidP="00C56C05">
      <w:pPr>
        <w:pStyle w:val="CETReferencetext"/>
        <w:rPr>
          <w:lang w:val="en-US"/>
        </w:rPr>
      </w:pPr>
      <w:r w:rsidRPr="00D86804">
        <w:rPr>
          <w:lang w:val="en-US"/>
        </w:rPr>
        <w:t>Russo P., Mazzaro M., De Rosa A., 2018, Effective fire extinguishing systems for lithium-ion battery, Chemical Engineering Transactions, 67, 727-732.</w:t>
      </w:r>
    </w:p>
    <w:p w14:paraId="0E3CD312" w14:textId="59BDB840" w:rsidR="00C56C05" w:rsidRPr="00D86804" w:rsidRDefault="00C56C05" w:rsidP="00C56C05">
      <w:pPr>
        <w:pStyle w:val="CETReferencetext"/>
      </w:pPr>
      <w:r w:rsidRPr="00D86804">
        <w:t>Song, G., Son, H. B., Han, D. Y., Je, M., Nam, S., &amp; Park, S. (2021). A renewable future: a comprehensive perspective from materials to systems for next-generation batteries. Materials Chemistry Frontiers, 5, 3344-3377.</w:t>
      </w:r>
    </w:p>
    <w:p w14:paraId="56E3FC5D" w14:textId="77777777" w:rsidR="00C56C05" w:rsidRPr="00D86804" w:rsidRDefault="00C56C05" w:rsidP="00C56C05">
      <w:pPr>
        <w:pStyle w:val="CETReferencetext"/>
      </w:pPr>
      <w:r w:rsidRPr="00D86804">
        <w:t>Yabuuchi N., Kubota K., Dahbi M., Komaba S., 2014, Research development on sodium-ion batteries, Chemical Reviews Journal, 114, 11636-11682.</w:t>
      </w:r>
    </w:p>
    <w:p w14:paraId="19C4FC68" w14:textId="6F0770C9" w:rsidR="004628D2" w:rsidRPr="00D86804" w:rsidRDefault="00296C66" w:rsidP="006F15A4">
      <w:pPr>
        <w:pStyle w:val="CETReferencetext"/>
      </w:pPr>
      <w:r w:rsidRPr="00D86804">
        <w:t>Zhao L., Zhang T., Li W., Li T., Zhang L., Zhang X., Wang Z., 2023, Engineering of Sodium-Ion Batteries: Opportunities and Challenges, Engineering, 24, 172-183.</w:t>
      </w:r>
    </w:p>
    <w:p w14:paraId="42ABF142" w14:textId="57B0A185" w:rsidR="002202C0" w:rsidRDefault="002202C0" w:rsidP="00065BDA">
      <w:pPr>
        <w:pStyle w:val="CETReferencetext"/>
      </w:pPr>
    </w:p>
    <w:sectPr w:rsidR="002202C0"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E4283" w14:textId="77777777" w:rsidR="00C60FB2" w:rsidRDefault="00C60FB2" w:rsidP="004F5E36">
      <w:r>
        <w:separator/>
      </w:r>
    </w:p>
  </w:endnote>
  <w:endnote w:type="continuationSeparator" w:id="0">
    <w:p w14:paraId="41DB81E7" w14:textId="77777777" w:rsidR="00C60FB2" w:rsidRDefault="00C60FB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095A3" w14:textId="77777777" w:rsidR="00C60FB2" w:rsidRDefault="00C60FB2" w:rsidP="004F5E36">
      <w:r>
        <w:separator/>
      </w:r>
    </w:p>
  </w:footnote>
  <w:footnote w:type="continuationSeparator" w:id="0">
    <w:p w14:paraId="7FE27DE0" w14:textId="77777777" w:rsidR="00C60FB2" w:rsidRDefault="00C60FB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A093D41"/>
    <w:multiLevelType w:val="hybridMultilevel"/>
    <w:tmpl w:val="A8647C02"/>
    <w:lvl w:ilvl="0" w:tplc="CCE2B3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805664"/>
    <w:multiLevelType w:val="hybridMultilevel"/>
    <w:tmpl w:val="03F65D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AC59B6"/>
    <w:multiLevelType w:val="hybridMultilevel"/>
    <w:tmpl w:val="98880B76"/>
    <w:lvl w:ilvl="0" w:tplc="52FE35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7F27AF"/>
    <w:multiLevelType w:val="hybridMultilevel"/>
    <w:tmpl w:val="1B248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B6E62"/>
    <w:multiLevelType w:val="hybridMultilevel"/>
    <w:tmpl w:val="F8C097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8680129"/>
    <w:multiLevelType w:val="hybridMultilevel"/>
    <w:tmpl w:val="85160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4D722C"/>
    <w:multiLevelType w:val="hybridMultilevel"/>
    <w:tmpl w:val="3B8012BA"/>
    <w:lvl w:ilvl="0" w:tplc="268E9B6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57094BCE"/>
    <w:multiLevelType w:val="hybridMultilevel"/>
    <w:tmpl w:val="E2962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707977"/>
    <w:multiLevelType w:val="hybridMultilevel"/>
    <w:tmpl w:val="C30E84E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617708"/>
    <w:multiLevelType w:val="hybridMultilevel"/>
    <w:tmpl w:val="73B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37D0F"/>
    <w:multiLevelType w:val="hybridMultilevel"/>
    <w:tmpl w:val="9D9AA3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415014"/>
    <w:multiLevelType w:val="hybridMultilevel"/>
    <w:tmpl w:val="8F960F18"/>
    <w:lvl w:ilvl="0" w:tplc="52CCF4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C1727F"/>
    <w:multiLevelType w:val="hybridMultilevel"/>
    <w:tmpl w:val="71485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C47408"/>
    <w:multiLevelType w:val="hybridMultilevel"/>
    <w:tmpl w:val="C2A25226"/>
    <w:lvl w:ilvl="0" w:tplc="BA2CB14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5293991">
    <w:abstractNumId w:val="14"/>
  </w:num>
  <w:num w:numId="2" w16cid:durableId="5786449">
    <w:abstractNumId w:val="8"/>
  </w:num>
  <w:num w:numId="3" w16cid:durableId="79956891">
    <w:abstractNumId w:val="3"/>
  </w:num>
  <w:num w:numId="4" w16cid:durableId="1533806224">
    <w:abstractNumId w:val="2"/>
  </w:num>
  <w:num w:numId="5" w16cid:durableId="1932468899">
    <w:abstractNumId w:val="1"/>
  </w:num>
  <w:num w:numId="6" w16cid:durableId="1164126521">
    <w:abstractNumId w:val="0"/>
  </w:num>
  <w:num w:numId="7" w16cid:durableId="1265307919">
    <w:abstractNumId w:val="9"/>
  </w:num>
  <w:num w:numId="8" w16cid:durableId="1280601016">
    <w:abstractNumId w:val="7"/>
  </w:num>
  <w:num w:numId="9" w16cid:durableId="870537647">
    <w:abstractNumId w:val="6"/>
  </w:num>
  <w:num w:numId="10" w16cid:durableId="1665236890">
    <w:abstractNumId w:val="5"/>
  </w:num>
  <w:num w:numId="11" w16cid:durableId="1846553780">
    <w:abstractNumId w:val="4"/>
  </w:num>
  <w:num w:numId="12" w16cid:durableId="24334843">
    <w:abstractNumId w:val="25"/>
  </w:num>
  <w:num w:numId="13" w16cid:durableId="1569725358">
    <w:abstractNumId w:val="16"/>
  </w:num>
  <w:num w:numId="14" w16cid:durableId="1072200250">
    <w:abstractNumId w:val="28"/>
  </w:num>
  <w:num w:numId="15" w16cid:durableId="703676237">
    <w:abstractNumId w:val="32"/>
  </w:num>
  <w:num w:numId="16" w16cid:durableId="99111677">
    <w:abstractNumId w:val="31"/>
  </w:num>
  <w:num w:numId="17" w16cid:durableId="1777402307">
    <w:abstractNumId w:val="15"/>
  </w:num>
  <w:num w:numId="18" w16cid:durableId="1089235712">
    <w:abstractNumId w:val="16"/>
    <w:lvlOverride w:ilvl="0">
      <w:startOverride w:val="1"/>
    </w:lvlOverride>
  </w:num>
  <w:num w:numId="19" w16cid:durableId="662782853">
    <w:abstractNumId w:val="23"/>
  </w:num>
  <w:num w:numId="20" w16cid:durableId="715274368">
    <w:abstractNumId w:val="22"/>
  </w:num>
  <w:num w:numId="21" w16cid:durableId="1689912643">
    <w:abstractNumId w:val="20"/>
  </w:num>
  <w:num w:numId="22" w16cid:durableId="893615744">
    <w:abstractNumId w:val="18"/>
  </w:num>
  <w:num w:numId="23" w16cid:durableId="1528374283">
    <w:abstractNumId w:val="11"/>
  </w:num>
  <w:num w:numId="24" w16cid:durableId="1652900322">
    <w:abstractNumId w:val="29"/>
  </w:num>
  <w:num w:numId="25" w16cid:durableId="1866554448">
    <w:abstractNumId w:val="35"/>
  </w:num>
  <w:num w:numId="26" w16cid:durableId="52244554">
    <w:abstractNumId w:val="19"/>
  </w:num>
  <w:num w:numId="27" w16cid:durableId="934246294">
    <w:abstractNumId w:val="12"/>
  </w:num>
  <w:num w:numId="28" w16cid:durableId="673996639">
    <w:abstractNumId w:val="30"/>
  </w:num>
  <w:num w:numId="29" w16cid:durableId="1591353075">
    <w:abstractNumId w:val="14"/>
  </w:num>
  <w:num w:numId="30" w16cid:durableId="2056733046">
    <w:abstractNumId w:val="14"/>
  </w:num>
  <w:num w:numId="31" w16cid:durableId="671688698">
    <w:abstractNumId w:val="14"/>
  </w:num>
  <w:num w:numId="32" w16cid:durableId="109051949">
    <w:abstractNumId w:val="14"/>
  </w:num>
  <w:num w:numId="33" w16cid:durableId="124079648">
    <w:abstractNumId w:val="21"/>
  </w:num>
  <w:num w:numId="34" w16cid:durableId="645162413">
    <w:abstractNumId w:val="17"/>
  </w:num>
  <w:num w:numId="35" w16cid:durableId="759570958">
    <w:abstractNumId w:val="33"/>
  </w:num>
  <w:num w:numId="36" w16cid:durableId="1645697247">
    <w:abstractNumId w:val="24"/>
  </w:num>
  <w:num w:numId="37" w16cid:durableId="694037816">
    <w:abstractNumId w:val="13"/>
  </w:num>
  <w:num w:numId="38" w16cid:durableId="1776290909">
    <w:abstractNumId w:val="26"/>
  </w:num>
  <w:num w:numId="39" w16cid:durableId="360252568">
    <w:abstractNumId w:val="10"/>
  </w:num>
  <w:num w:numId="40" w16cid:durableId="1188836390">
    <w:abstractNumId w:val="27"/>
  </w:num>
  <w:num w:numId="41" w16cid:durableId="6147567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40EA"/>
    <w:rsid w:val="00025912"/>
    <w:rsid w:val="0003148D"/>
    <w:rsid w:val="00031EEC"/>
    <w:rsid w:val="00042BEC"/>
    <w:rsid w:val="00051566"/>
    <w:rsid w:val="000562A9"/>
    <w:rsid w:val="0006285D"/>
    <w:rsid w:val="00062A9A"/>
    <w:rsid w:val="00065058"/>
    <w:rsid w:val="00065BDA"/>
    <w:rsid w:val="00086C39"/>
    <w:rsid w:val="000A03B2"/>
    <w:rsid w:val="000A5354"/>
    <w:rsid w:val="000C61FF"/>
    <w:rsid w:val="000D0268"/>
    <w:rsid w:val="000D34BE"/>
    <w:rsid w:val="000E0B3C"/>
    <w:rsid w:val="000E102F"/>
    <w:rsid w:val="000E36F1"/>
    <w:rsid w:val="000E3A73"/>
    <w:rsid w:val="000E414A"/>
    <w:rsid w:val="000E556C"/>
    <w:rsid w:val="000E59AD"/>
    <w:rsid w:val="000E75FD"/>
    <w:rsid w:val="000F093C"/>
    <w:rsid w:val="000F787B"/>
    <w:rsid w:val="00100E16"/>
    <w:rsid w:val="00101B84"/>
    <w:rsid w:val="001155D8"/>
    <w:rsid w:val="00117B70"/>
    <w:rsid w:val="0012091F"/>
    <w:rsid w:val="0012555C"/>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71A62"/>
    <w:rsid w:val="00172B12"/>
    <w:rsid w:val="0018171E"/>
    <w:rsid w:val="001823A5"/>
    <w:rsid w:val="00184AD6"/>
    <w:rsid w:val="00197AC1"/>
    <w:rsid w:val="001A3618"/>
    <w:rsid w:val="001A4AF7"/>
    <w:rsid w:val="001A655C"/>
    <w:rsid w:val="001B0349"/>
    <w:rsid w:val="001B1E93"/>
    <w:rsid w:val="001B65C1"/>
    <w:rsid w:val="001C0F82"/>
    <w:rsid w:val="001C260F"/>
    <w:rsid w:val="001C5C3A"/>
    <w:rsid w:val="001C684B"/>
    <w:rsid w:val="001D0CFB"/>
    <w:rsid w:val="001D21AF"/>
    <w:rsid w:val="001D2CA5"/>
    <w:rsid w:val="001D3D32"/>
    <w:rsid w:val="001D53FC"/>
    <w:rsid w:val="001F42A5"/>
    <w:rsid w:val="001F7B9D"/>
    <w:rsid w:val="001F7BBA"/>
    <w:rsid w:val="00201C93"/>
    <w:rsid w:val="00213329"/>
    <w:rsid w:val="002150F6"/>
    <w:rsid w:val="002202C0"/>
    <w:rsid w:val="002224B4"/>
    <w:rsid w:val="002354DC"/>
    <w:rsid w:val="00240A48"/>
    <w:rsid w:val="002447EF"/>
    <w:rsid w:val="00251550"/>
    <w:rsid w:val="00263B05"/>
    <w:rsid w:val="0027221A"/>
    <w:rsid w:val="00275B61"/>
    <w:rsid w:val="00280FAF"/>
    <w:rsid w:val="00281FDA"/>
    <w:rsid w:val="00282656"/>
    <w:rsid w:val="002950E2"/>
    <w:rsid w:val="00296B83"/>
    <w:rsid w:val="00296C66"/>
    <w:rsid w:val="002B0EE8"/>
    <w:rsid w:val="002B4015"/>
    <w:rsid w:val="002B78CE"/>
    <w:rsid w:val="002C2FB6"/>
    <w:rsid w:val="002C6742"/>
    <w:rsid w:val="002D1EDF"/>
    <w:rsid w:val="002E594E"/>
    <w:rsid w:val="002E5FA7"/>
    <w:rsid w:val="002F3309"/>
    <w:rsid w:val="003008CE"/>
    <w:rsid w:val="003009B7"/>
    <w:rsid w:val="00300E56"/>
    <w:rsid w:val="0030152C"/>
    <w:rsid w:val="0030469C"/>
    <w:rsid w:val="00304CE8"/>
    <w:rsid w:val="00321CA6"/>
    <w:rsid w:val="00323763"/>
    <w:rsid w:val="00323C5F"/>
    <w:rsid w:val="0033104A"/>
    <w:rsid w:val="00334C09"/>
    <w:rsid w:val="0036129D"/>
    <w:rsid w:val="003723D4"/>
    <w:rsid w:val="00381905"/>
    <w:rsid w:val="00384CC8"/>
    <w:rsid w:val="00386D56"/>
    <w:rsid w:val="003871FD"/>
    <w:rsid w:val="003A1E30"/>
    <w:rsid w:val="003A2829"/>
    <w:rsid w:val="003A7D1C"/>
    <w:rsid w:val="003B2569"/>
    <w:rsid w:val="003B304B"/>
    <w:rsid w:val="003B3146"/>
    <w:rsid w:val="003B49CD"/>
    <w:rsid w:val="003D1528"/>
    <w:rsid w:val="003D1E02"/>
    <w:rsid w:val="003D3DB8"/>
    <w:rsid w:val="003E3AD1"/>
    <w:rsid w:val="003F015E"/>
    <w:rsid w:val="003F1CD7"/>
    <w:rsid w:val="00400414"/>
    <w:rsid w:val="0041446B"/>
    <w:rsid w:val="00424A5B"/>
    <w:rsid w:val="00432020"/>
    <w:rsid w:val="0044071E"/>
    <w:rsid w:val="0044236C"/>
    <w:rsid w:val="0044329C"/>
    <w:rsid w:val="00453E24"/>
    <w:rsid w:val="00454793"/>
    <w:rsid w:val="004555EB"/>
    <w:rsid w:val="00457456"/>
    <w:rsid w:val="004577FE"/>
    <w:rsid w:val="00457B9C"/>
    <w:rsid w:val="0046164A"/>
    <w:rsid w:val="004628D2"/>
    <w:rsid w:val="00462DCD"/>
    <w:rsid w:val="004648AD"/>
    <w:rsid w:val="00464BAE"/>
    <w:rsid w:val="004703A9"/>
    <w:rsid w:val="004760DE"/>
    <w:rsid w:val="004763D7"/>
    <w:rsid w:val="00476D24"/>
    <w:rsid w:val="004855F7"/>
    <w:rsid w:val="00493989"/>
    <w:rsid w:val="004A004E"/>
    <w:rsid w:val="004A24CF"/>
    <w:rsid w:val="004B3C61"/>
    <w:rsid w:val="004B49C4"/>
    <w:rsid w:val="004B6DD6"/>
    <w:rsid w:val="004C3D1D"/>
    <w:rsid w:val="004C3D84"/>
    <w:rsid w:val="004C7913"/>
    <w:rsid w:val="004D501E"/>
    <w:rsid w:val="004E321D"/>
    <w:rsid w:val="004E3F1D"/>
    <w:rsid w:val="004E4DD6"/>
    <w:rsid w:val="004F5E36"/>
    <w:rsid w:val="0050055C"/>
    <w:rsid w:val="00504CBE"/>
    <w:rsid w:val="005077CB"/>
    <w:rsid w:val="00507B47"/>
    <w:rsid w:val="00507BEF"/>
    <w:rsid w:val="00507CC9"/>
    <w:rsid w:val="005119A5"/>
    <w:rsid w:val="005232AE"/>
    <w:rsid w:val="005278B7"/>
    <w:rsid w:val="00532016"/>
    <w:rsid w:val="00534227"/>
    <w:rsid w:val="005346C8"/>
    <w:rsid w:val="00543E7D"/>
    <w:rsid w:val="00547A68"/>
    <w:rsid w:val="005531C9"/>
    <w:rsid w:val="00554879"/>
    <w:rsid w:val="005614A7"/>
    <w:rsid w:val="00566D3A"/>
    <w:rsid w:val="00570C43"/>
    <w:rsid w:val="00574861"/>
    <w:rsid w:val="00592274"/>
    <w:rsid w:val="005B2110"/>
    <w:rsid w:val="005B350B"/>
    <w:rsid w:val="005B61E6"/>
    <w:rsid w:val="005C38EA"/>
    <w:rsid w:val="005C77E1"/>
    <w:rsid w:val="005D32BB"/>
    <w:rsid w:val="005D668A"/>
    <w:rsid w:val="005D6A2F"/>
    <w:rsid w:val="005E0592"/>
    <w:rsid w:val="005E1A82"/>
    <w:rsid w:val="005E5DBF"/>
    <w:rsid w:val="005E794C"/>
    <w:rsid w:val="005F0A28"/>
    <w:rsid w:val="005F0E5E"/>
    <w:rsid w:val="00600535"/>
    <w:rsid w:val="00610CD6"/>
    <w:rsid w:val="00614CE7"/>
    <w:rsid w:val="00620DEE"/>
    <w:rsid w:val="00621F92"/>
    <w:rsid w:val="0062280A"/>
    <w:rsid w:val="00622DD4"/>
    <w:rsid w:val="006231E1"/>
    <w:rsid w:val="00625639"/>
    <w:rsid w:val="00626342"/>
    <w:rsid w:val="0062661C"/>
    <w:rsid w:val="00631B33"/>
    <w:rsid w:val="0064184D"/>
    <w:rsid w:val="006422CC"/>
    <w:rsid w:val="00646D78"/>
    <w:rsid w:val="00651D18"/>
    <w:rsid w:val="00660E3E"/>
    <w:rsid w:val="00662E74"/>
    <w:rsid w:val="00680C23"/>
    <w:rsid w:val="00683E23"/>
    <w:rsid w:val="00686BA7"/>
    <w:rsid w:val="00693766"/>
    <w:rsid w:val="006A3281"/>
    <w:rsid w:val="006A6DE5"/>
    <w:rsid w:val="006B4888"/>
    <w:rsid w:val="006C2E45"/>
    <w:rsid w:val="006C359C"/>
    <w:rsid w:val="006C5579"/>
    <w:rsid w:val="006D6E8B"/>
    <w:rsid w:val="006D7209"/>
    <w:rsid w:val="006E096C"/>
    <w:rsid w:val="006E1A52"/>
    <w:rsid w:val="006E3F2C"/>
    <w:rsid w:val="006E6852"/>
    <w:rsid w:val="006E737D"/>
    <w:rsid w:val="006F15A4"/>
    <w:rsid w:val="00707DD1"/>
    <w:rsid w:val="00713973"/>
    <w:rsid w:val="00720A24"/>
    <w:rsid w:val="00724D16"/>
    <w:rsid w:val="00732386"/>
    <w:rsid w:val="0073514D"/>
    <w:rsid w:val="007447F3"/>
    <w:rsid w:val="0075499F"/>
    <w:rsid w:val="00756EEE"/>
    <w:rsid w:val="00764B4F"/>
    <w:rsid w:val="007661C8"/>
    <w:rsid w:val="0077098D"/>
    <w:rsid w:val="007763EB"/>
    <w:rsid w:val="00776A5C"/>
    <w:rsid w:val="00785BF9"/>
    <w:rsid w:val="007931FA"/>
    <w:rsid w:val="00797EFB"/>
    <w:rsid w:val="007A4861"/>
    <w:rsid w:val="007A7BBA"/>
    <w:rsid w:val="007B0C50"/>
    <w:rsid w:val="007B48F9"/>
    <w:rsid w:val="007B4AE5"/>
    <w:rsid w:val="007C010E"/>
    <w:rsid w:val="007C1180"/>
    <w:rsid w:val="007C15FD"/>
    <w:rsid w:val="007C1A43"/>
    <w:rsid w:val="007D0951"/>
    <w:rsid w:val="007D610D"/>
    <w:rsid w:val="007E7FD7"/>
    <w:rsid w:val="0080013E"/>
    <w:rsid w:val="00801759"/>
    <w:rsid w:val="00813288"/>
    <w:rsid w:val="008168FC"/>
    <w:rsid w:val="00830996"/>
    <w:rsid w:val="008345F1"/>
    <w:rsid w:val="00837C73"/>
    <w:rsid w:val="0085171F"/>
    <w:rsid w:val="00852D51"/>
    <w:rsid w:val="008618DD"/>
    <w:rsid w:val="00865B07"/>
    <w:rsid w:val="008667EA"/>
    <w:rsid w:val="0087637F"/>
    <w:rsid w:val="00892AD5"/>
    <w:rsid w:val="008A0372"/>
    <w:rsid w:val="008A1512"/>
    <w:rsid w:val="008A6161"/>
    <w:rsid w:val="008B1B95"/>
    <w:rsid w:val="008B6AB7"/>
    <w:rsid w:val="008D32B9"/>
    <w:rsid w:val="008D3838"/>
    <w:rsid w:val="008D433B"/>
    <w:rsid w:val="008D4A16"/>
    <w:rsid w:val="008E4BC5"/>
    <w:rsid w:val="008E5401"/>
    <w:rsid w:val="008E566E"/>
    <w:rsid w:val="008F4453"/>
    <w:rsid w:val="00900650"/>
    <w:rsid w:val="0090161A"/>
    <w:rsid w:val="00901EB6"/>
    <w:rsid w:val="009041F8"/>
    <w:rsid w:val="00904C62"/>
    <w:rsid w:val="00910F73"/>
    <w:rsid w:val="00922BA8"/>
    <w:rsid w:val="00924DAC"/>
    <w:rsid w:val="00927058"/>
    <w:rsid w:val="009301DD"/>
    <w:rsid w:val="009410DF"/>
    <w:rsid w:val="00942750"/>
    <w:rsid w:val="00943A80"/>
    <w:rsid w:val="009450CE"/>
    <w:rsid w:val="009459BB"/>
    <w:rsid w:val="00947179"/>
    <w:rsid w:val="0095164B"/>
    <w:rsid w:val="00954090"/>
    <w:rsid w:val="009573E7"/>
    <w:rsid w:val="009608A3"/>
    <w:rsid w:val="00963D0C"/>
    <w:rsid w:val="00963E05"/>
    <w:rsid w:val="00964A45"/>
    <w:rsid w:val="00967843"/>
    <w:rsid w:val="00967D54"/>
    <w:rsid w:val="00970FE8"/>
    <w:rsid w:val="00971028"/>
    <w:rsid w:val="00993B84"/>
    <w:rsid w:val="00994C6A"/>
    <w:rsid w:val="00996483"/>
    <w:rsid w:val="00996B29"/>
    <w:rsid w:val="00996F5A"/>
    <w:rsid w:val="009B041A"/>
    <w:rsid w:val="009B6E57"/>
    <w:rsid w:val="009C37C3"/>
    <w:rsid w:val="009C7C86"/>
    <w:rsid w:val="009D0067"/>
    <w:rsid w:val="009D2FF7"/>
    <w:rsid w:val="009E7884"/>
    <w:rsid w:val="009E788A"/>
    <w:rsid w:val="009F0E08"/>
    <w:rsid w:val="00A079AE"/>
    <w:rsid w:val="00A11BC9"/>
    <w:rsid w:val="00A1763D"/>
    <w:rsid w:val="00A17CEC"/>
    <w:rsid w:val="00A230EF"/>
    <w:rsid w:val="00A24D24"/>
    <w:rsid w:val="00A27EF0"/>
    <w:rsid w:val="00A354D7"/>
    <w:rsid w:val="00A42361"/>
    <w:rsid w:val="00A50B20"/>
    <w:rsid w:val="00A51390"/>
    <w:rsid w:val="00A532EB"/>
    <w:rsid w:val="00A60D13"/>
    <w:rsid w:val="00A620B0"/>
    <w:rsid w:val="00A62EA7"/>
    <w:rsid w:val="00A7223D"/>
    <w:rsid w:val="00A72745"/>
    <w:rsid w:val="00A76EFC"/>
    <w:rsid w:val="00A87D50"/>
    <w:rsid w:val="00A91010"/>
    <w:rsid w:val="00A97562"/>
    <w:rsid w:val="00A97F29"/>
    <w:rsid w:val="00AA702E"/>
    <w:rsid w:val="00AA7D26"/>
    <w:rsid w:val="00AB0964"/>
    <w:rsid w:val="00AB5011"/>
    <w:rsid w:val="00AC7368"/>
    <w:rsid w:val="00AC7E2E"/>
    <w:rsid w:val="00AD16B9"/>
    <w:rsid w:val="00AE15E7"/>
    <w:rsid w:val="00AE377D"/>
    <w:rsid w:val="00AF0EBA"/>
    <w:rsid w:val="00AF2463"/>
    <w:rsid w:val="00B02C8A"/>
    <w:rsid w:val="00B03D38"/>
    <w:rsid w:val="00B17FBD"/>
    <w:rsid w:val="00B315A6"/>
    <w:rsid w:val="00B31813"/>
    <w:rsid w:val="00B31AFC"/>
    <w:rsid w:val="00B33365"/>
    <w:rsid w:val="00B37FDA"/>
    <w:rsid w:val="00B421AC"/>
    <w:rsid w:val="00B42562"/>
    <w:rsid w:val="00B46B73"/>
    <w:rsid w:val="00B50E99"/>
    <w:rsid w:val="00B57B36"/>
    <w:rsid w:val="00B57E6F"/>
    <w:rsid w:val="00B82908"/>
    <w:rsid w:val="00B8686D"/>
    <w:rsid w:val="00B93F69"/>
    <w:rsid w:val="00B942F1"/>
    <w:rsid w:val="00BB1DDC"/>
    <w:rsid w:val="00BB541D"/>
    <w:rsid w:val="00BC2233"/>
    <w:rsid w:val="00BC30C9"/>
    <w:rsid w:val="00BD06D3"/>
    <w:rsid w:val="00BD077D"/>
    <w:rsid w:val="00BE2624"/>
    <w:rsid w:val="00BE2659"/>
    <w:rsid w:val="00BE3E58"/>
    <w:rsid w:val="00BE5DE5"/>
    <w:rsid w:val="00BF13CE"/>
    <w:rsid w:val="00C01616"/>
    <w:rsid w:val="00C0162B"/>
    <w:rsid w:val="00C068ED"/>
    <w:rsid w:val="00C14E30"/>
    <w:rsid w:val="00C16240"/>
    <w:rsid w:val="00C22E0C"/>
    <w:rsid w:val="00C31708"/>
    <w:rsid w:val="00C345B1"/>
    <w:rsid w:val="00C40142"/>
    <w:rsid w:val="00C52C3C"/>
    <w:rsid w:val="00C5599C"/>
    <w:rsid w:val="00C56C05"/>
    <w:rsid w:val="00C57182"/>
    <w:rsid w:val="00C57863"/>
    <w:rsid w:val="00C60FB2"/>
    <w:rsid w:val="00C618F2"/>
    <w:rsid w:val="00C640AF"/>
    <w:rsid w:val="00C655FD"/>
    <w:rsid w:val="00C75407"/>
    <w:rsid w:val="00C841C6"/>
    <w:rsid w:val="00C86E1D"/>
    <w:rsid w:val="00C870A8"/>
    <w:rsid w:val="00C94434"/>
    <w:rsid w:val="00CA0A4B"/>
    <w:rsid w:val="00CA0D75"/>
    <w:rsid w:val="00CA1C95"/>
    <w:rsid w:val="00CA5A9C"/>
    <w:rsid w:val="00CB7A83"/>
    <w:rsid w:val="00CC4C20"/>
    <w:rsid w:val="00CD3517"/>
    <w:rsid w:val="00CD5FE2"/>
    <w:rsid w:val="00CE7AF9"/>
    <w:rsid w:val="00CE7C68"/>
    <w:rsid w:val="00CF3596"/>
    <w:rsid w:val="00D02B4C"/>
    <w:rsid w:val="00D02EDE"/>
    <w:rsid w:val="00D040C4"/>
    <w:rsid w:val="00D050F5"/>
    <w:rsid w:val="00D20AD1"/>
    <w:rsid w:val="00D24B8F"/>
    <w:rsid w:val="00D2582C"/>
    <w:rsid w:val="00D451FD"/>
    <w:rsid w:val="00D46B7E"/>
    <w:rsid w:val="00D55494"/>
    <w:rsid w:val="00D55855"/>
    <w:rsid w:val="00D57C84"/>
    <w:rsid w:val="00D6057D"/>
    <w:rsid w:val="00D65236"/>
    <w:rsid w:val="00D6743F"/>
    <w:rsid w:val="00D71640"/>
    <w:rsid w:val="00D836C5"/>
    <w:rsid w:val="00D84576"/>
    <w:rsid w:val="00D86804"/>
    <w:rsid w:val="00DA1399"/>
    <w:rsid w:val="00DA24C6"/>
    <w:rsid w:val="00DA4D7B"/>
    <w:rsid w:val="00DB6ABE"/>
    <w:rsid w:val="00DB7E67"/>
    <w:rsid w:val="00DC2840"/>
    <w:rsid w:val="00DC73EE"/>
    <w:rsid w:val="00DD271C"/>
    <w:rsid w:val="00DE264A"/>
    <w:rsid w:val="00DE4139"/>
    <w:rsid w:val="00DF5072"/>
    <w:rsid w:val="00E02D18"/>
    <w:rsid w:val="00E041E7"/>
    <w:rsid w:val="00E23CA1"/>
    <w:rsid w:val="00E409A8"/>
    <w:rsid w:val="00E466BE"/>
    <w:rsid w:val="00E50C12"/>
    <w:rsid w:val="00E61BC0"/>
    <w:rsid w:val="00E65B91"/>
    <w:rsid w:val="00E7209D"/>
    <w:rsid w:val="00E72EAD"/>
    <w:rsid w:val="00E73C74"/>
    <w:rsid w:val="00E77223"/>
    <w:rsid w:val="00E8528B"/>
    <w:rsid w:val="00E85B94"/>
    <w:rsid w:val="00E978D0"/>
    <w:rsid w:val="00EA16E7"/>
    <w:rsid w:val="00EA4613"/>
    <w:rsid w:val="00EA7F91"/>
    <w:rsid w:val="00EB1523"/>
    <w:rsid w:val="00EC0697"/>
    <w:rsid w:val="00EC0E49"/>
    <w:rsid w:val="00EC101F"/>
    <w:rsid w:val="00EC1D9F"/>
    <w:rsid w:val="00EC4BCB"/>
    <w:rsid w:val="00EC602F"/>
    <w:rsid w:val="00ED0716"/>
    <w:rsid w:val="00ED18A4"/>
    <w:rsid w:val="00EE0131"/>
    <w:rsid w:val="00EE1721"/>
    <w:rsid w:val="00EE17B0"/>
    <w:rsid w:val="00EF06D9"/>
    <w:rsid w:val="00EF2CF7"/>
    <w:rsid w:val="00F1068A"/>
    <w:rsid w:val="00F3049E"/>
    <w:rsid w:val="00F30C64"/>
    <w:rsid w:val="00F32BA2"/>
    <w:rsid w:val="00F32CDB"/>
    <w:rsid w:val="00F41EE4"/>
    <w:rsid w:val="00F45350"/>
    <w:rsid w:val="00F50492"/>
    <w:rsid w:val="00F516E8"/>
    <w:rsid w:val="00F530A9"/>
    <w:rsid w:val="00F565FE"/>
    <w:rsid w:val="00F60D19"/>
    <w:rsid w:val="00F63A70"/>
    <w:rsid w:val="00F63D8C"/>
    <w:rsid w:val="00F64426"/>
    <w:rsid w:val="00F7534E"/>
    <w:rsid w:val="00F81D1A"/>
    <w:rsid w:val="00F93EDF"/>
    <w:rsid w:val="00FA1802"/>
    <w:rsid w:val="00FA21D0"/>
    <w:rsid w:val="00FA5F5F"/>
    <w:rsid w:val="00FB730C"/>
    <w:rsid w:val="00FC0784"/>
    <w:rsid w:val="00FC2695"/>
    <w:rsid w:val="00FC3E03"/>
    <w:rsid w:val="00FC3FC1"/>
    <w:rsid w:val="00FC6DDE"/>
    <w:rsid w:val="00FE4C62"/>
    <w:rsid w:val="00FE6DA8"/>
    <w:rsid w:val="00FF0AB5"/>
    <w:rsid w:val="00FF534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F4535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33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56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3106">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E2DE-35AE-4492-8C9C-CB32A4C5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3709</Words>
  <Characters>21147</Characters>
  <Application>Microsoft Office Word</Application>
  <DocSecurity>0</DocSecurity>
  <Lines>176</Lines>
  <Paragraphs>49</Paragraphs>
  <ScaleCrop>false</ScaleCrop>
  <HeadingPairs>
    <vt:vector size="6" baseType="variant">
      <vt:variant>
        <vt:lpstr>Title</vt:lpstr>
      </vt:variant>
      <vt:variant>
        <vt:i4>1</vt:i4>
      </vt:variant>
      <vt:variant>
        <vt:lpstr>Headings</vt:lpstr>
      </vt:variant>
      <vt:variant>
        <vt:i4>1</vt:i4>
      </vt:variant>
      <vt:variant>
        <vt:lpstr>Titolo</vt:lpstr>
      </vt:variant>
      <vt:variant>
        <vt:i4>1</vt:i4>
      </vt:variant>
    </vt:vector>
  </HeadingPairs>
  <TitlesOfParts>
    <vt:vector size="3" baseType="lpstr">
      <vt:lpstr/>
      <vt:lpstr>A Preliminary Comparative Analysis of Sodium-Ion and Lithium-Ion Batteries: A Fo</vt:lpstr>
      <vt:lpstr/>
    </vt:vector>
  </TitlesOfParts>
  <Company>Dipartimento CMIC - Politecnico di Milano</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Elpida Piperopoulos</cp:lastModifiedBy>
  <cp:revision>3</cp:revision>
  <cp:lastPrinted>2015-05-12T18:31:00Z</cp:lastPrinted>
  <dcterms:created xsi:type="dcterms:W3CDTF">2025-04-15T11:59:00Z</dcterms:created>
  <dcterms:modified xsi:type="dcterms:W3CDTF">2025-04-15T18:22:00Z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