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4043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4043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40434">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0D538E7E" w14:textId="37068D6B" w:rsidR="004B2412" w:rsidRPr="00D26305" w:rsidRDefault="00D26305" w:rsidP="003B67C9">
      <w:pPr>
        <w:pStyle w:val="CETTitle"/>
        <w:rPr>
          <w:lang w:val="en-US"/>
        </w:rPr>
      </w:pPr>
      <w:r w:rsidRPr="00D26305">
        <w:t>Risk Assessment of Chemical Interactions in Wastewater Treatment: A Safety Engineering Approach</w:t>
      </w:r>
    </w:p>
    <w:p w14:paraId="16750C27" w14:textId="77777777" w:rsidR="00540434" w:rsidRPr="005C02E7" w:rsidRDefault="00540434" w:rsidP="00540434">
      <w:pPr>
        <w:pStyle w:val="CETAuthors"/>
        <w:rPr>
          <w:lang w:val="fr-FR"/>
        </w:rPr>
      </w:pPr>
      <w:r w:rsidRPr="005C02E7">
        <w:rPr>
          <w:lang w:val="fr-FR"/>
        </w:rPr>
        <w:t>Astan Traoré</w:t>
      </w:r>
      <w:r w:rsidRPr="005C02E7">
        <w:rPr>
          <w:vertAlign w:val="superscript"/>
          <w:lang w:val="fr-FR"/>
        </w:rPr>
        <w:t>a</w:t>
      </w:r>
      <w:r w:rsidRPr="005C02E7">
        <w:rPr>
          <w:lang w:val="fr-FR"/>
        </w:rPr>
        <w:t>, Pierre Hodot</w:t>
      </w:r>
      <w:r w:rsidRPr="005C02E7">
        <w:rPr>
          <w:vertAlign w:val="superscript"/>
          <w:lang w:val="fr-FR"/>
        </w:rPr>
        <w:t>b</w:t>
      </w:r>
      <w:r w:rsidRPr="005C02E7">
        <w:rPr>
          <w:lang w:val="fr-FR"/>
        </w:rPr>
        <w:t>, Sabrina Guerin</w:t>
      </w:r>
      <w:r w:rsidRPr="005C02E7">
        <w:rPr>
          <w:vertAlign w:val="superscript"/>
          <w:lang w:val="fr-FR"/>
        </w:rPr>
        <w:t>b</w:t>
      </w:r>
      <w:r w:rsidRPr="005C02E7">
        <w:rPr>
          <w:lang w:val="fr-FR"/>
        </w:rPr>
        <w:t>, Sam Azimi</w:t>
      </w:r>
      <w:r w:rsidRPr="005C02E7">
        <w:rPr>
          <w:vertAlign w:val="superscript"/>
          <w:lang w:val="fr-FR"/>
        </w:rPr>
        <w:t>b</w:t>
      </w:r>
      <w:r w:rsidRPr="005C02E7">
        <w:rPr>
          <w:lang w:val="fr-FR"/>
        </w:rPr>
        <w:t>, Christophe Proust</w:t>
      </w:r>
      <w:r w:rsidRPr="005C02E7">
        <w:rPr>
          <w:vertAlign w:val="superscript"/>
          <w:lang w:val="fr-FR"/>
        </w:rPr>
        <w:t>c</w:t>
      </w:r>
      <w:r w:rsidRPr="005C02E7">
        <w:rPr>
          <w:lang w:val="fr-FR"/>
        </w:rPr>
        <w:t xml:space="preserve"> and Edvina Lamy</w:t>
      </w:r>
      <w:r w:rsidRPr="005C02E7">
        <w:rPr>
          <w:vertAlign w:val="superscript"/>
          <w:lang w:val="fr-FR"/>
        </w:rPr>
        <w:t>a,</w:t>
      </w:r>
      <w:r w:rsidRPr="005C02E7">
        <w:rPr>
          <w:lang w:val="fr-FR"/>
        </w:rPr>
        <w:t xml:space="preserve">* </w:t>
      </w:r>
    </w:p>
    <w:p w14:paraId="52B13779" w14:textId="77777777" w:rsidR="00540434" w:rsidRPr="000E0AD4" w:rsidRDefault="00540434" w:rsidP="00540434">
      <w:pPr>
        <w:pStyle w:val="CETAddress"/>
        <w:rPr>
          <w:lang w:val="fr-FR"/>
        </w:rPr>
      </w:pPr>
      <w:r w:rsidRPr="000E0AD4">
        <w:rPr>
          <w:vertAlign w:val="superscript"/>
          <w:lang w:val="fr-FR"/>
        </w:rPr>
        <w:t>a</w:t>
      </w:r>
      <w:r w:rsidRPr="000E0AD4">
        <w:rPr>
          <w:lang w:val="fr-FR"/>
        </w:rPr>
        <w:t xml:space="preserve"> A</w:t>
      </w:r>
      <w:r>
        <w:rPr>
          <w:lang w:val="fr-FR"/>
        </w:rPr>
        <w:t xml:space="preserve">lliance Sorbonne </w:t>
      </w:r>
      <w:r w:rsidRPr="000E0AD4">
        <w:rPr>
          <w:lang w:val="fr-FR"/>
        </w:rPr>
        <w:t xml:space="preserve">Université, Université de Technologie de Compiègne, EA 4297 TIMR (UTC/ESCOM), Centre de Recherche de Royallieu, </w:t>
      </w:r>
      <w:r w:rsidRPr="00F5734B">
        <w:rPr>
          <w:lang w:val="fr-FR"/>
        </w:rPr>
        <w:t>- CS 60 319 - 60 203 Compiègne cedex, France</w:t>
      </w:r>
    </w:p>
    <w:p w14:paraId="73AA004F" w14:textId="77777777" w:rsidR="00540434" w:rsidRDefault="00540434" w:rsidP="00540434">
      <w:pPr>
        <w:pStyle w:val="CETAddress"/>
        <w:rPr>
          <w:lang w:val="fr-FR"/>
        </w:rPr>
      </w:pPr>
      <w:r w:rsidRPr="00F5734B">
        <w:rPr>
          <w:vertAlign w:val="superscript"/>
          <w:lang w:val="fr-FR"/>
        </w:rPr>
        <w:t>b</w:t>
      </w:r>
      <w:r w:rsidRPr="00851407">
        <w:rPr>
          <w:lang w:val="fr-FR"/>
        </w:rPr>
        <w:t>Syndicat interdépartemental pour l’assainissement de l’agglomération parisienne SIAAP</w:t>
      </w:r>
      <w:r>
        <w:rPr>
          <w:lang w:val="fr-FR"/>
        </w:rPr>
        <w:t>,</w:t>
      </w:r>
      <w:r w:rsidRPr="00E96763">
        <w:rPr>
          <w:lang w:val="fr-FR"/>
        </w:rPr>
        <w:t xml:space="preserve"> 82 avenue Kléber 92700 Colombes</w:t>
      </w:r>
      <w:r>
        <w:rPr>
          <w:lang w:val="fr-FR"/>
        </w:rPr>
        <w:t>, France</w:t>
      </w:r>
      <w:r w:rsidRPr="00F5734B">
        <w:rPr>
          <w:lang w:val="fr-FR"/>
        </w:rPr>
        <w:t xml:space="preserve"> </w:t>
      </w:r>
    </w:p>
    <w:p w14:paraId="5BDAD15B" w14:textId="77777777" w:rsidR="00540434" w:rsidRPr="00E96763" w:rsidRDefault="00540434" w:rsidP="00540434">
      <w:pPr>
        <w:pStyle w:val="CETAddress"/>
        <w:rPr>
          <w:lang w:val="fr-FR"/>
        </w:rPr>
      </w:pPr>
      <w:r>
        <w:rPr>
          <w:vertAlign w:val="superscript"/>
          <w:lang w:val="fr-FR"/>
        </w:rPr>
        <w:t>c</w:t>
      </w:r>
      <w:r w:rsidRPr="00E96763">
        <w:rPr>
          <w:lang w:val="fr-FR"/>
        </w:rPr>
        <w:t>Institut national de l’environnement industriel et des risques INERIS</w:t>
      </w:r>
      <w:r>
        <w:rPr>
          <w:lang w:val="fr-FR"/>
        </w:rPr>
        <w:t>,</w:t>
      </w:r>
      <w:r w:rsidRPr="00E96763">
        <w:rPr>
          <w:lang w:val="fr-FR"/>
        </w:rPr>
        <w:t xml:space="preserve"> av Parc Alata, 60550 Verneuil en Halatte</w:t>
      </w:r>
      <w:r>
        <w:rPr>
          <w:lang w:val="fr-FR"/>
        </w:rPr>
        <w:t>, France</w:t>
      </w:r>
    </w:p>
    <w:p w14:paraId="38F76186" w14:textId="2A245DAF" w:rsidR="006A6DE5" w:rsidRPr="003B67C9" w:rsidRDefault="00540434" w:rsidP="003B67C9">
      <w:pPr>
        <w:pStyle w:val="CETemail"/>
      </w:pPr>
      <w:r>
        <w:t>edvina.lamy@utc.fr</w:t>
      </w:r>
    </w:p>
    <w:p w14:paraId="521C9D1D" w14:textId="52695C98" w:rsidR="004B2412" w:rsidRPr="00CC0A76" w:rsidRDefault="00741BA5" w:rsidP="000F2F31">
      <w:pPr>
        <w:pStyle w:val="CETBodytext"/>
        <w:rPr>
          <w:lang w:val="en-GB"/>
        </w:rPr>
      </w:pPr>
      <w:r w:rsidRPr="00741BA5">
        <w:rPr>
          <w:lang w:val="en-GB"/>
        </w:rPr>
        <w:t xml:space="preserve">Wastewater treatment plants (WWTPs) rely on various chemicals for essential processes such as sludge treatment, </w:t>
      </w:r>
      <w:r w:rsidR="00FA7669" w:rsidRPr="00741BA5">
        <w:rPr>
          <w:lang w:val="en-GB"/>
        </w:rPr>
        <w:t>odour</w:t>
      </w:r>
      <w:r w:rsidRPr="00741BA5">
        <w:rPr>
          <w:lang w:val="en-GB"/>
        </w:rPr>
        <w:t xml:space="preserve"> control and disinfection. However, the handling and storage of these chemicals present significant safety challenges, as incompatible substances can react to form hazardous, toxic, flammable or explosive compounds. This study focuses on the Seine Aval wastewater treatment plant (Service public de </w:t>
      </w:r>
      <w:proofErr w:type="spellStart"/>
      <w:r w:rsidRPr="00741BA5">
        <w:rPr>
          <w:lang w:val="en-GB"/>
        </w:rPr>
        <w:t>l’assainissement</w:t>
      </w:r>
      <w:proofErr w:type="spellEnd"/>
      <w:r w:rsidRPr="00741BA5">
        <w:rPr>
          <w:lang w:val="en-GB"/>
        </w:rPr>
        <w:t xml:space="preserve"> </w:t>
      </w:r>
      <w:proofErr w:type="spellStart"/>
      <w:r w:rsidRPr="00741BA5">
        <w:rPr>
          <w:lang w:val="en-GB"/>
        </w:rPr>
        <w:t>francilien</w:t>
      </w:r>
      <w:proofErr w:type="spellEnd"/>
      <w:r w:rsidR="00574FB9">
        <w:rPr>
          <w:lang w:val="en-GB"/>
        </w:rPr>
        <w:t xml:space="preserve">, </w:t>
      </w:r>
      <w:r w:rsidRPr="00741BA5">
        <w:rPr>
          <w:lang w:val="en-GB"/>
        </w:rPr>
        <w:t xml:space="preserve">SIAAP, France), where large-scale chemical storage increases the potential risks associated with accidental mixing. A systematic risk assessment was conducted using Safety Data Sheets (SDS) to identify the </w:t>
      </w:r>
      <w:proofErr w:type="spellStart"/>
      <w:r w:rsidRPr="00741BA5">
        <w:rPr>
          <w:lang w:val="en-GB"/>
        </w:rPr>
        <w:t>physico</w:t>
      </w:r>
      <w:proofErr w:type="spellEnd"/>
      <w:r w:rsidRPr="00741BA5">
        <w:rPr>
          <w:lang w:val="en-GB"/>
        </w:rPr>
        <w:t>-chemical properties of stored chemicals and determine possible hazardous reactions, including exothermic events, toxic gas releases and combined thermal and chemical hazards. The study aims to enhance process safety and loss prevention by developing a hazard classification tool that categorizes risks based on reagent compatibility. This approach provides a structured framework for improving chemical risk management, optimizing storage and handling protocols, and ensuring safer operations in WWTPs.</w:t>
      </w:r>
    </w:p>
    <w:p w14:paraId="18B29642" w14:textId="36F15ECD" w:rsidR="00324857" w:rsidRPr="003B67C9" w:rsidRDefault="00D240B2" w:rsidP="00D240B2">
      <w:pPr>
        <w:pStyle w:val="CETHeading1"/>
        <w:numPr>
          <w:ilvl w:val="0"/>
          <w:numId w:val="0"/>
        </w:numPr>
        <w:rPr>
          <w:lang w:val="en-GB"/>
        </w:rPr>
      </w:pPr>
      <w:r w:rsidRPr="00D240B2">
        <w:rPr>
          <w:lang w:val="en-GB"/>
        </w:rPr>
        <w:t>1.</w:t>
      </w:r>
      <w:r>
        <w:rPr>
          <w:lang w:val="en-GB"/>
        </w:rPr>
        <w:t xml:space="preserve"> </w:t>
      </w:r>
      <w:r w:rsidR="00C84F7E">
        <w:rPr>
          <w:lang w:val="en-GB"/>
        </w:rPr>
        <w:t>I</w:t>
      </w:r>
      <w:r w:rsidR="00600535" w:rsidRPr="00B57B36">
        <w:rPr>
          <w:lang w:val="en-GB"/>
        </w:rPr>
        <w:t>ntroduction</w:t>
      </w:r>
    </w:p>
    <w:p w14:paraId="3FBB2B49" w14:textId="657A085D" w:rsidR="00741BA5" w:rsidRDefault="00741BA5" w:rsidP="00BB103B">
      <w:pPr>
        <w:pStyle w:val="CETBodytext"/>
        <w:rPr>
          <w:lang w:val="en-GB"/>
        </w:rPr>
      </w:pPr>
      <w:r w:rsidRPr="00741BA5">
        <w:rPr>
          <w:lang w:val="en-GB"/>
        </w:rPr>
        <w:t xml:space="preserve">Wastewater treatment plants (WWTPs) are critical infrastructures that ensure environmental protection by processing domestic, industrial and stormwater effluents. However, these facilities also present significant process safety and risk management challenges, particularly due to the storage and handling of hazardous chemicals and the generation of biogas. </w:t>
      </w:r>
      <w:r w:rsidR="00324857" w:rsidRPr="00324857">
        <w:rPr>
          <w:lang w:val="en-GB"/>
        </w:rPr>
        <w:t xml:space="preserve">The </w:t>
      </w:r>
      <w:proofErr w:type="spellStart"/>
      <w:r w:rsidR="00324857" w:rsidRPr="00324857">
        <w:rPr>
          <w:lang w:val="en-GB"/>
        </w:rPr>
        <w:t>Syndicat</w:t>
      </w:r>
      <w:proofErr w:type="spellEnd"/>
      <w:r w:rsidR="00324857" w:rsidRPr="00324857">
        <w:rPr>
          <w:lang w:val="en-GB"/>
        </w:rPr>
        <w:t xml:space="preserve"> </w:t>
      </w:r>
      <w:proofErr w:type="spellStart"/>
      <w:r w:rsidR="00324857" w:rsidRPr="00324857">
        <w:rPr>
          <w:lang w:val="en-GB"/>
        </w:rPr>
        <w:t>Interdépartemental</w:t>
      </w:r>
      <w:proofErr w:type="spellEnd"/>
      <w:r w:rsidR="00324857" w:rsidRPr="00324857">
        <w:rPr>
          <w:lang w:val="en-GB"/>
        </w:rPr>
        <w:t xml:space="preserve"> pour </w:t>
      </w:r>
      <w:proofErr w:type="spellStart"/>
      <w:r w:rsidR="00324857" w:rsidRPr="00324857">
        <w:rPr>
          <w:lang w:val="en-GB"/>
        </w:rPr>
        <w:t>l'Assainissement</w:t>
      </w:r>
      <w:proofErr w:type="spellEnd"/>
      <w:r w:rsidR="00324857" w:rsidRPr="00324857">
        <w:rPr>
          <w:lang w:val="en-GB"/>
        </w:rPr>
        <w:t xml:space="preserve"> de </w:t>
      </w:r>
      <w:proofErr w:type="spellStart"/>
      <w:r w:rsidR="00324857" w:rsidRPr="00324857">
        <w:rPr>
          <w:lang w:val="en-GB"/>
        </w:rPr>
        <w:t>l'Agglomération</w:t>
      </w:r>
      <w:proofErr w:type="spellEnd"/>
      <w:r w:rsidR="00324857" w:rsidRPr="00324857">
        <w:rPr>
          <w:lang w:val="en-GB"/>
        </w:rPr>
        <w:t xml:space="preserve"> Parisienne (SIAAP) is responsible for the treatment of wastewater in the Paris region. Operating six wastewater treatment plants, SIAAP processes approximately 2.5 million cubic meters of wastewater per day, serving over 9 million residents across a service area of 1,800 km². The wastewater, which includes domestic, industrial and stormwater effluents, is collected through a vast 440 km sewer network and transported to one of the six treatment plants. </w:t>
      </w:r>
      <w:r w:rsidRPr="00741BA5">
        <w:rPr>
          <w:lang w:val="en-GB"/>
        </w:rPr>
        <w:t>The Seine Aval wastewater treatment plant (SIAAP, France), one of the largest in Europe, treats approximately 1.5 million cubic meters of wastewater per day and has been classified as a Seveso site since 2010 due to the presence of large quantities of biogas and high-risk chemicals</w:t>
      </w:r>
      <w:r w:rsidR="004C5F98">
        <w:rPr>
          <w:lang w:val="en-GB"/>
        </w:rPr>
        <w:t>.</w:t>
      </w:r>
    </w:p>
    <w:p w14:paraId="0E50017E" w14:textId="1520D526" w:rsidR="00324857" w:rsidRDefault="009C0BD9" w:rsidP="00BB103B">
      <w:pPr>
        <w:pStyle w:val="CETBodytext"/>
        <w:rPr>
          <w:lang w:val="en-GB"/>
        </w:rPr>
      </w:pPr>
      <w:r>
        <w:rPr>
          <w:lang w:val="en-GB"/>
        </w:rPr>
        <w:t>It is well known that b</w:t>
      </w:r>
      <w:r w:rsidR="00324857" w:rsidRPr="00324857">
        <w:rPr>
          <w:lang w:val="en-GB"/>
        </w:rPr>
        <w:t>iogas production at WWTPs introduce</w:t>
      </w:r>
      <w:r>
        <w:rPr>
          <w:lang w:val="en-GB"/>
        </w:rPr>
        <w:t>s</w:t>
      </w:r>
      <w:r w:rsidR="00324857" w:rsidRPr="00324857">
        <w:rPr>
          <w:lang w:val="en-GB"/>
        </w:rPr>
        <w:t xml:space="preserve"> explos</w:t>
      </w:r>
      <w:r>
        <w:rPr>
          <w:lang w:val="en-GB"/>
        </w:rPr>
        <w:t xml:space="preserve">ion, fire and toxic </w:t>
      </w:r>
      <w:r w:rsidR="00324857" w:rsidRPr="00324857">
        <w:rPr>
          <w:lang w:val="en-GB"/>
        </w:rPr>
        <w:t>hazards,</w:t>
      </w:r>
      <w:r>
        <w:rPr>
          <w:lang w:val="en-GB"/>
        </w:rPr>
        <w:t xml:space="preserve"> but </w:t>
      </w:r>
      <w:r w:rsidR="00574FB9">
        <w:rPr>
          <w:lang w:val="en-GB"/>
        </w:rPr>
        <w:t xml:space="preserve">the operators </w:t>
      </w:r>
      <w:r>
        <w:rPr>
          <w:lang w:val="en-GB"/>
        </w:rPr>
        <w:t xml:space="preserve">are much less aware that improper mixing of chemicals in such plant may be very hazardous also, with similar </w:t>
      </w:r>
      <w:r w:rsidR="000D566B">
        <w:rPr>
          <w:lang w:val="en-GB"/>
        </w:rPr>
        <w:t>consequences.</w:t>
      </w:r>
      <w:r w:rsidR="00230DF6">
        <w:rPr>
          <w:lang w:val="en-GB"/>
        </w:rPr>
        <w:t xml:space="preserve"> </w:t>
      </w:r>
      <w:r w:rsidR="00324857" w:rsidRPr="00324857">
        <w:rPr>
          <w:lang w:val="en-GB"/>
        </w:rPr>
        <w:t>The ARIA database</w:t>
      </w:r>
      <w:r w:rsidR="00065183">
        <w:rPr>
          <w:rFonts w:ascii="Open Sans" w:hAnsi="Open Sans" w:cs="Open Sans"/>
          <w:color w:val="333333"/>
          <w:sz w:val="20"/>
          <w:shd w:val="clear" w:color="auto" w:fill="FFFFFF"/>
          <w:lang w:val="en-GB"/>
        </w:rPr>
        <w:t xml:space="preserve"> </w:t>
      </w:r>
      <w:r w:rsidR="00065183" w:rsidRPr="00065183">
        <w:rPr>
          <w:lang w:val="en-GB"/>
        </w:rPr>
        <w:t>(Analysis, Research and Information on Accidents)</w:t>
      </w:r>
      <w:r w:rsidR="00324857">
        <w:rPr>
          <w:lang w:val="en-GB"/>
        </w:rPr>
        <w:t>, which provides f</w:t>
      </w:r>
      <w:r w:rsidR="00324857" w:rsidRPr="00A0608C">
        <w:rPr>
          <w:lang w:val="en-GB"/>
        </w:rPr>
        <w:t xml:space="preserve">eedback from </w:t>
      </w:r>
      <w:r w:rsidR="00A66271" w:rsidRPr="00A66271">
        <w:rPr>
          <w:lang w:val="en-GB"/>
        </w:rPr>
        <w:t xml:space="preserve">over </w:t>
      </w:r>
      <w:r w:rsidR="008C2ADF">
        <w:rPr>
          <w:lang w:val="en-GB"/>
        </w:rPr>
        <w:t>54</w:t>
      </w:r>
      <w:r w:rsidR="00A66271" w:rsidRPr="00A66271">
        <w:rPr>
          <w:lang w:val="en-GB"/>
        </w:rPr>
        <w:t>,000 accidents and incidents occurring in France or abroad</w:t>
      </w:r>
      <w:r w:rsidR="00324857">
        <w:rPr>
          <w:lang w:val="en-GB"/>
        </w:rPr>
        <w:t>,</w:t>
      </w:r>
      <w:r w:rsidR="00324857" w:rsidRPr="00324857">
        <w:rPr>
          <w:lang w:val="en-GB"/>
        </w:rPr>
        <w:t xml:space="preserve"> highlights that most technical incidents in WWTPs are linked to biogas leaks (ARIA 59817, 47989, 53089, 44662</w:t>
      </w:r>
      <w:r w:rsidR="00702C7D">
        <w:rPr>
          <w:lang w:val="en-GB"/>
        </w:rPr>
        <w:t>…</w:t>
      </w:r>
      <w:r w:rsidR="00324857" w:rsidRPr="00324857">
        <w:rPr>
          <w:lang w:val="en-GB"/>
        </w:rPr>
        <w:t xml:space="preserve">), but chemical accidents </w:t>
      </w:r>
      <w:r w:rsidR="002237DA">
        <w:rPr>
          <w:lang w:val="en-GB"/>
        </w:rPr>
        <w:t xml:space="preserve">are </w:t>
      </w:r>
      <w:r w:rsidR="00324857" w:rsidRPr="00324857">
        <w:rPr>
          <w:lang w:val="en-GB"/>
        </w:rPr>
        <w:t>also present. At Seine Aval, large volumes of methanol and ferric chloride are stored, both of which are classified as high-risk substances (Lewis and Sax, 1987). Ferric chloride, in particular, has been involved in multiple chemical incompatibility incidents, reacting violently with strong bases such as sodium hypochlorite</w:t>
      </w:r>
      <w:r w:rsidR="00324857">
        <w:rPr>
          <w:lang w:val="en-GB"/>
        </w:rPr>
        <w:t xml:space="preserve"> </w:t>
      </w:r>
      <w:r w:rsidR="00324857" w:rsidRPr="00324857">
        <w:rPr>
          <w:lang w:val="en-GB"/>
        </w:rPr>
        <w:lastRenderedPageBreak/>
        <w:t>(ARIA 44835, 43664, 47623, 18064, 17351</w:t>
      </w:r>
      <w:r w:rsidR="00324857">
        <w:rPr>
          <w:lang w:val="en-GB"/>
        </w:rPr>
        <w:t>)</w:t>
      </w:r>
      <w:r w:rsidR="00324857" w:rsidRPr="00324857">
        <w:rPr>
          <w:lang w:val="en-GB"/>
        </w:rPr>
        <w:t>, sodium chlorite</w:t>
      </w:r>
      <w:r w:rsidR="00324857">
        <w:rPr>
          <w:lang w:val="en-GB"/>
        </w:rPr>
        <w:t xml:space="preserve"> (ARIA </w:t>
      </w:r>
      <w:r w:rsidR="00324857" w:rsidRPr="00324857">
        <w:rPr>
          <w:lang w:val="en-GB"/>
        </w:rPr>
        <w:t>15598</w:t>
      </w:r>
      <w:r w:rsidR="00324857">
        <w:rPr>
          <w:lang w:val="en-GB"/>
        </w:rPr>
        <w:t>)</w:t>
      </w:r>
      <w:r w:rsidR="00574FB9">
        <w:rPr>
          <w:lang w:val="en-GB"/>
        </w:rPr>
        <w:t>,</w:t>
      </w:r>
      <w:r w:rsidR="00324857" w:rsidRPr="00324857">
        <w:rPr>
          <w:lang w:val="en-GB"/>
        </w:rPr>
        <w:t xml:space="preserve"> sulfuric acid</w:t>
      </w:r>
      <w:r w:rsidR="005F0CC3">
        <w:rPr>
          <w:lang w:val="en-GB"/>
        </w:rPr>
        <w:t xml:space="preserve"> (ARIA </w:t>
      </w:r>
      <w:r w:rsidR="00324857" w:rsidRPr="00324857">
        <w:rPr>
          <w:lang w:val="en-GB"/>
        </w:rPr>
        <w:t xml:space="preserve">30614) and sodium hydroxide. </w:t>
      </w:r>
      <w:r w:rsidR="00702C7D" w:rsidRPr="00702C7D">
        <w:rPr>
          <w:lang w:val="en-GB"/>
        </w:rPr>
        <w:t xml:space="preserve">Most of these incidents result from human error during unloading of one of the two products, which mix and form a toxic cloud, notably chlorinated </w:t>
      </w:r>
      <w:r w:rsidR="00F2467A" w:rsidRPr="00702C7D">
        <w:rPr>
          <w:lang w:val="en-GB"/>
        </w:rPr>
        <w:t>vapours</w:t>
      </w:r>
      <w:r w:rsidR="00702C7D" w:rsidRPr="00702C7D">
        <w:rPr>
          <w:lang w:val="en-GB"/>
        </w:rPr>
        <w:t xml:space="preserve"> (Pasquet V., 2020) leading to poisoning of varying severity depending on the level of exposure.</w:t>
      </w:r>
    </w:p>
    <w:p w14:paraId="1DF5CC54" w14:textId="5BB8E512" w:rsidR="00702C7D" w:rsidRPr="00CA32E4" w:rsidRDefault="00702C7D" w:rsidP="00BB103B">
      <w:pPr>
        <w:pStyle w:val="CETBodytext"/>
        <w:rPr>
          <w:lang w:val="en-GB"/>
        </w:rPr>
      </w:pPr>
      <w:r w:rsidRPr="00702C7D">
        <w:rPr>
          <w:lang w:val="en-GB"/>
        </w:rPr>
        <w:t>Given the potential severity of these risks</w:t>
      </w:r>
      <w:r w:rsidR="002237DA">
        <w:rPr>
          <w:lang w:val="en-GB"/>
        </w:rPr>
        <w:t xml:space="preserve"> and because many aspects are unknown</w:t>
      </w:r>
      <w:r w:rsidRPr="00702C7D">
        <w:rPr>
          <w:lang w:val="en-GB"/>
        </w:rPr>
        <w:t xml:space="preserve">, this study focuses on process safety and loss prevention strategies to mitigate chemical </w:t>
      </w:r>
      <w:r w:rsidR="002237DA">
        <w:rPr>
          <w:lang w:val="en-GB"/>
        </w:rPr>
        <w:t xml:space="preserve">incompatibility </w:t>
      </w:r>
      <w:r w:rsidRPr="00702C7D">
        <w:rPr>
          <w:lang w:val="en-GB"/>
        </w:rPr>
        <w:t xml:space="preserve">hazards in WWTPs. By </w:t>
      </w:r>
      <w:r w:rsidR="00324FDF" w:rsidRPr="00702C7D">
        <w:rPr>
          <w:lang w:val="en-GB"/>
        </w:rPr>
        <w:t>analysing</w:t>
      </w:r>
      <w:r w:rsidRPr="00702C7D">
        <w:rPr>
          <w:lang w:val="en-GB"/>
        </w:rPr>
        <w:t xml:space="preserve"> accidental chemical reactions and historical incidents, th</w:t>
      </w:r>
      <w:r w:rsidR="00574FB9">
        <w:rPr>
          <w:lang w:val="en-GB"/>
        </w:rPr>
        <w:t xml:space="preserve">is </w:t>
      </w:r>
      <w:r w:rsidR="00BF73FF">
        <w:rPr>
          <w:lang w:val="en-GB"/>
        </w:rPr>
        <w:t>study</w:t>
      </w:r>
      <w:r w:rsidR="00574FB9">
        <w:rPr>
          <w:lang w:val="en-GB"/>
        </w:rPr>
        <w:t xml:space="preserve"> </w:t>
      </w:r>
      <w:r w:rsidRPr="00702C7D">
        <w:rPr>
          <w:lang w:val="en-GB"/>
        </w:rPr>
        <w:t>aims to develop a structured hazard classification tool to support risk assessment, storage optimization and safer handling of chemical reagents.</w:t>
      </w:r>
      <w:r w:rsidR="00CA32E4">
        <w:rPr>
          <w:lang w:val="en-GB"/>
        </w:rPr>
        <w:t xml:space="preserve"> </w:t>
      </w:r>
      <w:r w:rsidR="002237DA" w:rsidRPr="002237DA">
        <w:t xml:space="preserve">At this stage, </w:t>
      </w:r>
      <w:r w:rsidR="00BF73FF">
        <w:t>this work is restricted</w:t>
      </w:r>
      <w:r w:rsidR="002237DA" w:rsidRPr="002237DA">
        <w:t xml:space="preserve"> to clarif</w:t>
      </w:r>
      <w:r w:rsidR="00BF73FF">
        <w:t xml:space="preserve">ication </w:t>
      </w:r>
      <w:r w:rsidR="00BF73FF" w:rsidRPr="002237DA">
        <w:t xml:space="preserve">of chemical incompatibility </w:t>
      </w:r>
      <w:r w:rsidR="002237DA" w:rsidRPr="002237DA">
        <w:t xml:space="preserve">situations and </w:t>
      </w:r>
      <w:r w:rsidR="00BF73FF">
        <w:t>find easy</w:t>
      </w:r>
      <w:r w:rsidR="002237DA" w:rsidRPr="002237DA">
        <w:t xml:space="preserve"> way</w:t>
      </w:r>
      <w:r w:rsidR="00BF73FF">
        <w:t>s</w:t>
      </w:r>
      <w:r w:rsidR="002237DA" w:rsidRPr="002237DA">
        <w:t xml:space="preserve"> </w:t>
      </w:r>
      <w:r w:rsidR="00BF73FF">
        <w:t xml:space="preserve">to </w:t>
      </w:r>
      <w:r w:rsidR="002237DA" w:rsidRPr="002237DA">
        <w:t>identify hazard</w:t>
      </w:r>
      <w:r w:rsidR="00BF73FF">
        <w:t>s</w:t>
      </w:r>
      <w:r w:rsidR="002237DA" w:rsidRPr="002237DA">
        <w:t xml:space="preserve"> on site. The work on consequence prediction and control measures </w:t>
      </w:r>
      <w:r w:rsidR="00574FB9" w:rsidRPr="00574FB9">
        <w:t xml:space="preserve">is </w:t>
      </w:r>
      <w:r w:rsidR="00BF73FF">
        <w:t xml:space="preserve">actually </w:t>
      </w:r>
      <w:r w:rsidR="00574FB9" w:rsidRPr="00574FB9">
        <w:t xml:space="preserve">a subject for </w:t>
      </w:r>
      <w:r w:rsidR="006036FE">
        <w:t>ongoing research</w:t>
      </w:r>
      <w:r w:rsidR="002237DA" w:rsidRPr="002237DA">
        <w:t>.</w:t>
      </w:r>
    </w:p>
    <w:p w14:paraId="64BC61C6" w14:textId="1ADD2DB7" w:rsidR="00C874E0" w:rsidRPr="004E0D2E" w:rsidRDefault="00D240B2" w:rsidP="004E0D2E">
      <w:pPr>
        <w:pStyle w:val="CETHeading1"/>
        <w:numPr>
          <w:ilvl w:val="0"/>
          <w:numId w:val="0"/>
        </w:numPr>
      </w:pPr>
      <w:r>
        <w:t xml:space="preserve">2. </w:t>
      </w:r>
      <w:r w:rsidR="0075587A">
        <w:t xml:space="preserve">The chemical incompatibility </w:t>
      </w:r>
      <w:r w:rsidR="003A2BE9">
        <w:t>hazard</w:t>
      </w:r>
      <w:r w:rsidR="0075587A">
        <w:t xml:space="preserve"> for SIAAP</w:t>
      </w:r>
    </w:p>
    <w:p w14:paraId="548D0C74" w14:textId="15F89CDD" w:rsidR="008A7560" w:rsidRDefault="00421457" w:rsidP="004E0D2E">
      <w:pPr>
        <w:pStyle w:val="CETBodytext"/>
        <w:rPr>
          <w:lang w:val="en-GB"/>
        </w:rPr>
      </w:pPr>
      <w:r w:rsidRPr="000D79E3">
        <w:rPr>
          <w:lang w:val="en-GB"/>
        </w:rPr>
        <w:t>The identification of chemical incompatibilities and the associated hazardous reactions is a critical aspect of ensuring process safety and loss prevention</w:t>
      </w:r>
      <w:r>
        <w:rPr>
          <w:lang w:val="en-GB"/>
        </w:rPr>
        <w:t xml:space="preserve"> in wastewater treatment plants</w:t>
      </w:r>
      <w:r>
        <w:t xml:space="preserve">. </w:t>
      </w:r>
      <w:r w:rsidR="002237DA">
        <w:t xml:space="preserve">A </w:t>
      </w:r>
      <w:r w:rsidR="002237DA" w:rsidRPr="00A837EE">
        <w:t>number of tools are available</w:t>
      </w:r>
      <w:r w:rsidR="002237DA">
        <w:t xml:space="preserve"> and can provide f</w:t>
      </w:r>
      <w:r w:rsidR="002237DA" w:rsidRPr="00BD4443">
        <w:t>urther insights</w:t>
      </w:r>
      <w:r w:rsidR="002237DA">
        <w:t xml:space="preserve"> </w:t>
      </w:r>
      <w:r w:rsidR="002237DA" w:rsidRPr="00477602">
        <w:t>to understand the</w:t>
      </w:r>
      <w:r w:rsidR="002237DA">
        <w:t xml:space="preserve"> in</w:t>
      </w:r>
      <w:r w:rsidR="002237DA" w:rsidRPr="00A837EE">
        <w:t>compatibility</w:t>
      </w:r>
      <w:r w:rsidR="002237DA" w:rsidRPr="00477602">
        <w:t xml:space="preserve"> phenomenon</w:t>
      </w:r>
      <w:r w:rsidR="002237DA">
        <w:t>. T</w:t>
      </w:r>
      <w:r w:rsidR="002237DA" w:rsidRPr="000E51F4">
        <w:t>he Chemical Reactivity Worksheet tool (CRW)</w:t>
      </w:r>
      <w:r w:rsidR="002237DA">
        <w:t xml:space="preserve">, </w:t>
      </w:r>
      <w:r w:rsidR="002237DA" w:rsidRPr="00871251">
        <w:rPr>
          <w:lang w:val="en-GB"/>
        </w:rPr>
        <w:t>initially developed in 1995</w:t>
      </w:r>
      <w:r w:rsidR="002237DA">
        <w:rPr>
          <w:lang w:val="en-GB"/>
        </w:rPr>
        <w:t xml:space="preserve"> </w:t>
      </w:r>
      <w:r w:rsidR="002237DA" w:rsidRPr="00871251">
        <w:rPr>
          <w:lang w:val="en-GB"/>
        </w:rPr>
        <w:t>by Dr</w:t>
      </w:r>
      <w:r w:rsidR="002237DA">
        <w:rPr>
          <w:lang w:val="en-GB"/>
        </w:rPr>
        <w:t>.</w:t>
      </w:r>
      <w:r w:rsidR="002237DA" w:rsidRPr="00871251">
        <w:rPr>
          <w:lang w:val="en-GB"/>
        </w:rPr>
        <w:t xml:space="preserve"> James Farr from the National Oceanic and Atmospheric Administration (NOAA)</w:t>
      </w:r>
      <w:r w:rsidR="002237DA">
        <w:rPr>
          <w:lang w:val="en-GB"/>
        </w:rPr>
        <w:t>,</w:t>
      </w:r>
      <w:r w:rsidR="002237DA">
        <w:t xml:space="preserve"> is a free </w:t>
      </w:r>
      <w:r w:rsidR="002237DA" w:rsidRPr="00D147C3">
        <w:t>software tool</w:t>
      </w:r>
      <w:r w:rsidR="002237DA">
        <w:t xml:space="preserve"> widely </w:t>
      </w:r>
      <w:r w:rsidR="002237DA" w:rsidRPr="00DA134A">
        <w:rPr>
          <w:lang w:val="en-GB"/>
        </w:rPr>
        <w:t>used</w:t>
      </w:r>
      <w:r w:rsidR="002237DA">
        <w:rPr>
          <w:lang w:val="en-GB"/>
        </w:rPr>
        <w:t xml:space="preserve"> in industry </w:t>
      </w:r>
      <w:r w:rsidR="002237DA" w:rsidRPr="001C0C06">
        <w:rPr>
          <w:lang w:val="en-GB"/>
        </w:rPr>
        <w:t>to</w:t>
      </w:r>
      <w:r w:rsidR="002237DA">
        <w:rPr>
          <w:lang w:val="en-GB"/>
        </w:rPr>
        <w:t xml:space="preserve"> </w:t>
      </w:r>
      <w:r w:rsidR="002237DA" w:rsidRPr="00DA134A">
        <w:rPr>
          <w:lang w:val="en-GB"/>
        </w:rPr>
        <w:t>assess the compatibility of various chemicals</w:t>
      </w:r>
      <w:r w:rsidR="002237DA">
        <w:rPr>
          <w:lang w:val="en-GB"/>
        </w:rPr>
        <w:t>. It can help to</w:t>
      </w:r>
      <w:r w:rsidR="002237DA" w:rsidRPr="001C0C06">
        <w:rPr>
          <w:lang w:val="en-GB"/>
        </w:rPr>
        <w:t xml:space="preserve"> identify potential chemical hazards that may occur when different chemicals are mixed</w:t>
      </w:r>
      <w:r w:rsidR="002237DA">
        <w:rPr>
          <w:lang w:val="en-GB"/>
        </w:rPr>
        <w:t>.</w:t>
      </w:r>
      <w:r w:rsidR="00A053C5">
        <w:rPr>
          <w:lang w:val="en-GB"/>
        </w:rPr>
        <w:t xml:space="preserve"> A product from </w:t>
      </w:r>
      <w:r w:rsidR="00186F18">
        <w:rPr>
          <w:lang w:val="en-GB"/>
        </w:rPr>
        <w:t xml:space="preserve">the </w:t>
      </w:r>
      <w:r w:rsidR="00A053C5">
        <w:rPr>
          <w:lang w:val="en-GB"/>
        </w:rPr>
        <w:t>CAMEO</w:t>
      </w:r>
      <w:r w:rsidR="000D16E0">
        <w:rPr>
          <w:lang w:val="en-GB"/>
        </w:rPr>
        <w:t xml:space="preserve"> </w:t>
      </w:r>
      <w:r w:rsidR="000D16E0" w:rsidRPr="000D16E0">
        <w:rPr>
          <w:lang w:val="en-GB"/>
        </w:rPr>
        <w:t>(Computer-Aided Management of Emergency Operations)</w:t>
      </w:r>
      <w:r w:rsidR="00186F18">
        <w:rPr>
          <w:lang w:val="en-GB"/>
        </w:rPr>
        <w:t xml:space="preserve"> software</w:t>
      </w:r>
      <w:r w:rsidR="0044288E">
        <w:rPr>
          <w:lang w:val="en-GB"/>
        </w:rPr>
        <w:t xml:space="preserve"> suite</w:t>
      </w:r>
      <w:r w:rsidR="00A053C5">
        <w:rPr>
          <w:lang w:val="en-GB"/>
        </w:rPr>
        <w:t>, CAMEO chemicals</w:t>
      </w:r>
      <w:r w:rsidR="002237DA">
        <w:rPr>
          <w:lang w:val="en-GB"/>
        </w:rPr>
        <w:t xml:space="preserve"> is also a useful tool for chemical reactivity predictions.</w:t>
      </w:r>
      <w:r w:rsidR="00274E94">
        <w:rPr>
          <w:lang w:val="en-GB"/>
        </w:rPr>
        <w:t xml:space="preserve"> However,</w:t>
      </w:r>
      <w:r w:rsidR="00024F26">
        <w:rPr>
          <w:lang w:val="en-GB"/>
        </w:rPr>
        <w:t xml:space="preserve"> </w:t>
      </w:r>
      <w:r w:rsidR="0005658D">
        <w:rPr>
          <w:lang w:val="en-GB"/>
        </w:rPr>
        <w:t>both</w:t>
      </w:r>
      <w:r w:rsidR="00274E94">
        <w:rPr>
          <w:lang w:val="en-GB"/>
        </w:rPr>
        <w:t xml:space="preserve"> tools</w:t>
      </w:r>
      <w:r w:rsidR="00024F26" w:rsidRPr="00024F26">
        <w:rPr>
          <w:lang w:val="en-GB"/>
        </w:rPr>
        <w:t xml:space="preserve"> </w:t>
      </w:r>
      <w:r w:rsidR="00274E94">
        <w:rPr>
          <w:lang w:val="en-GB"/>
        </w:rPr>
        <w:t>are</w:t>
      </w:r>
      <w:r w:rsidR="00024F26" w:rsidRPr="00024F26">
        <w:rPr>
          <w:lang w:val="en-GB"/>
        </w:rPr>
        <w:t xml:space="preserve"> optimized for binary mixtures</w:t>
      </w:r>
      <w:r w:rsidR="00024F26">
        <w:rPr>
          <w:lang w:val="en-GB"/>
        </w:rPr>
        <w:t xml:space="preserve"> and </w:t>
      </w:r>
      <w:r w:rsidR="00120B49">
        <w:rPr>
          <w:lang w:val="en-GB"/>
        </w:rPr>
        <w:t xml:space="preserve">do </w:t>
      </w:r>
      <w:r w:rsidR="00024F26" w:rsidRPr="00024F26">
        <w:rPr>
          <w:lang w:val="en-GB"/>
        </w:rPr>
        <w:t>not explicitly predict incompatibility for multiple chemicals simultaneously</w:t>
      </w:r>
      <w:r w:rsidR="005C0736">
        <w:rPr>
          <w:lang w:val="en-GB"/>
        </w:rPr>
        <w:t>.</w:t>
      </w:r>
      <w:r w:rsidR="00075D0C">
        <w:rPr>
          <w:lang w:val="en-GB"/>
        </w:rPr>
        <w:t xml:space="preserve"> </w:t>
      </w:r>
      <w:r w:rsidR="00C22BC1" w:rsidRPr="00C22BC1">
        <w:rPr>
          <w:lang w:val="en-GB"/>
        </w:rPr>
        <w:t xml:space="preserve">Therefore, </w:t>
      </w:r>
      <w:r w:rsidR="00C132A5">
        <w:rPr>
          <w:lang w:val="en-GB"/>
        </w:rPr>
        <w:t xml:space="preserve">they </w:t>
      </w:r>
      <w:r w:rsidR="00C22BC1" w:rsidRPr="00C22BC1">
        <w:rPr>
          <w:lang w:val="en-GB"/>
        </w:rPr>
        <w:t xml:space="preserve">may struggle to accurately predict hazards associated with reactions that occur under </w:t>
      </w:r>
      <w:r w:rsidR="001F4200">
        <w:rPr>
          <w:lang w:val="en-GB"/>
        </w:rPr>
        <w:t>specific</w:t>
      </w:r>
      <w:r w:rsidR="00C22BC1" w:rsidRPr="00C22BC1">
        <w:rPr>
          <w:lang w:val="en-GB"/>
        </w:rPr>
        <w:t xml:space="preserve"> conditions</w:t>
      </w:r>
      <w:r w:rsidR="00B073AF">
        <w:rPr>
          <w:lang w:val="en-GB"/>
        </w:rPr>
        <w:t xml:space="preserve"> (temperature, pressure, humidity)</w:t>
      </w:r>
      <w:r w:rsidR="00C22BC1" w:rsidRPr="00C22BC1">
        <w:rPr>
          <w:lang w:val="en-GB"/>
        </w:rPr>
        <w:t xml:space="preserve"> or when specific impurities are</w:t>
      </w:r>
      <w:r w:rsidR="005724A7">
        <w:rPr>
          <w:lang w:val="en-GB"/>
        </w:rPr>
        <w:t xml:space="preserve"> present</w:t>
      </w:r>
      <w:r w:rsidR="00C22BC1" w:rsidRPr="00C22BC1">
        <w:rPr>
          <w:lang w:val="en-GB"/>
        </w:rPr>
        <w:t xml:space="preserve"> i</w:t>
      </w:r>
      <w:r w:rsidR="00C132A5">
        <w:rPr>
          <w:lang w:val="en-GB"/>
        </w:rPr>
        <w:t>n the</w:t>
      </w:r>
      <w:r w:rsidR="00ED3A50">
        <w:rPr>
          <w:lang w:val="en-GB"/>
        </w:rPr>
        <w:t xml:space="preserve"> incompatible</w:t>
      </w:r>
      <w:r w:rsidR="00C132A5">
        <w:rPr>
          <w:lang w:val="en-GB"/>
        </w:rPr>
        <w:t xml:space="preserve"> mix</w:t>
      </w:r>
      <w:r w:rsidR="005724A7">
        <w:rPr>
          <w:lang w:val="en-GB"/>
        </w:rPr>
        <w:t>ture</w:t>
      </w:r>
      <w:r w:rsidR="001F4200">
        <w:rPr>
          <w:lang w:val="en-GB"/>
        </w:rPr>
        <w:t>.</w:t>
      </w:r>
      <w:r w:rsidR="00A657A1">
        <w:rPr>
          <w:lang w:val="en-GB"/>
        </w:rPr>
        <w:t xml:space="preserve"> </w:t>
      </w:r>
    </w:p>
    <w:p w14:paraId="29FFC3BF" w14:textId="7DA68E3E" w:rsidR="00C874E0" w:rsidRDefault="00C874E0" w:rsidP="004E0D2E">
      <w:pPr>
        <w:pStyle w:val="CETBodytext"/>
        <w:rPr>
          <w:lang w:val="en-GB"/>
        </w:rPr>
      </w:pPr>
      <w:r w:rsidRPr="00C40A37">
        <w:rPr>
          <w:lang w:val="en-GB"/>
        </w:rPr>
        <w:t xml:space="preserve">The typology of accidents due to incompatibilities results from the identification of the chemicals used in the process, the study of their reactivity when mixed with other species and the analysis of </w:t>
      </w:r>
      <w:r w:rsidR="00421457" w:rsidRPr="00C40A37">
        <w:rPr>
          <w:lang w:val="en-GB"/>
        </w:rPr>
        <w:t>feedback</w:t>
      </w:r>
      <w:r w:rsidR="00421457" w:rsidRPr="00B53355">
        <w:rPr>
          <w:lang w:val="en-GB"/>
        </w:rPr>
        <w:t>.</w:t>
      </w:r>
      <w:r w:rsidRPr="00B53355">
        <w:rPr>
          <w:lang w:val="en-GB"/>
        </w:rPr>
        <w:t xml:space="preserve"> The chemicals used in large quantities</w:t>
      </w:r>
      <w:r w:rsidR="00C31071">
        <w:rPr>
          <w:lang w:val="en-GB"/>
        </w:rPr>
        <w:t xml:space="preserve"> </w:t>
      </w:r>
      <w:r w:rsidR="00C31071" w:rsidRPr="00B53355">
        <w:rPr>
          <w:lang w:val="en-GB"/>
        </w:rPr>
        <w:t>in the wastewater treatment processes at the Seine Aval plant</w:t>
      </w:r>
      <w:r w:rsidRPr="00B53355">
        <w:rPr>
          <w:lang w:val="en-GB"/>
        </w:rPr>
        <w:t xml:space="preserve"> were identified</w:t>
      </w:r>
      <w:r>
        <w:rPr>
          <w:lang w:val="en-GB"/>
        </w:rPr>
        <w:t xml:space="preserve"> </w:t>
      </w:r>
      <w:r w:rsidRPr="00B53355">
        <w:rPr>
          <w:lang w:val="en-GB"/>
        </w:rPr>
        <w:t>and the reactivity of these chemicals when mixed with others was studied by consulting their Safety Data Sheets (SDS) and reviewing relevant scientific literature</w:t>
      </w:r>
      <w:r>
        <w:rPr>
          <w:lang w:val="en-GB"/>
        </w:rPr>
        <w:t>.</w:t>
      </w:r>
      <w:r w:rsidRPr="00B53355">
        <w:rPr>
          <w:lang w:val="en-GB"/>
        </w:rPr>
        <w:t xml:space="preserve"> This allowed for the development of a chemical incompatibility </w:t>
      </w:r>
      <w:r w:rsidR="00E307DC">
        <w:rPr>
          <w:lang w:val="en-GB"/>
        </w:rPr>
        <w:t>matrix</w:t>
      </w:r>
      <w:r w:rsidRPr="00B53355">
        <w:rPr>
          <w:lang w:val="en-GB"/>
        </w:rPr>
        <w:t>, which outlines the potential risks associated with accidental chemical mixing.</w:t>
      </w:r>
      <w:r>
        <w:rPr>
          <w:lang w:val="en-GB"/>
        </w:rPr>
        <w:t xml:space="preserve"> </w:t>
      </w:r>
      <w:r w:rsidRPr="00B53355">
        <w:rPr>
          <w:lang w:val="en-GB"/>
        </w:rPr>
        <w:t xml:space="preserve">The study focused on 21 chemicals present in quantities greater than 1 m³, as </w:t>
      </w:r>
      <w:r w:rsidR="003A2BE9">
        <w:rPr>
          <w:lang w:val="en-GB"/>
        </w:rPr>
        <w:t>such quantity can produce consequences outside the plant</w:t>
      </w:r>
      <w:r w:rsidRPr="00B53355">
        <w:rPr>
          <w:lang w:val="en-GB"/>
        </w:rPr>
        <w:t xml:space="preserve">. </w:t>
      </w:r>
      <w:r>
        <w:rPr>
          <w:lang w:val="en-GB"/>
        </w:rPr>
        <w:t>(</w:t>
      </w:r>
      <w:r w:rsidRPr="00B53355">
        <w:rPr>
          <w:lang w:val="en-GB"/>
        </w:rPr>
        <w:t>Table 1</w:t>
      </w:r>
      <w:r>
        <w:rPr>
          <w:lang w:val="en-GB"/>
        </w:rPr>
        <w:t>)</w:t>
      </w:r>
      <w:r w:rsidRPr="00B53355">
        <w:rPr>
          <w:lang w:val="en-GB"/>
        </w:rPr>
        <w:t>. These chemicals were selected due to their common use in SIAAP’s wastewater treatment processes and their potential for hazardous interactions.</w:t>
      </w:r>
    </w:p>
    <w:p w14:paraId="54052F8E" w14:textId="77777777" w:rsidR="00C874E0" w:rsidRPr="000F0983" w:rsidRDefault="00C874E0" w:rsidP="004E0D2E">
      <w:pPr>
        <w:pStyle w:val="CETTabletitle"/>
      </w:pPr>
      <w:r w:rsidRPr="000F0983">
        <w:t>Table 1: List of chemicals present in proportions greater than 1 m</w:t>
      </w:r>
      <w:r w:rsidRPr="000F0983">
        <w:rPr>
          <w:vertAlign w:val="superscript"/>
        </w:rPr>
        <w:t>3</w:t>
      </w:r>
    </w:p>
    <w:tbl>
      <w:tblPr>
        <w:tblStyle w:val="Grilledutableau"/>
        <w:tblW w:w="0" w:type="auto"/>
        <w:tblBorders>
          <w:top w:val="single" w:sz="18" w:space="0" w:color="00B050"/>
          <w:left w:val="none" w:sz="0" w:space="0" w:color="auto"/>
          <w:bottom w:val="single" w:sz="18" w:space="0" w:color="00B050"/>
          <w:right w:val="none" w:sz="0" w:space="0" w:color="auto"/>
          <w:insideH w:val="single" w:sz="8" w:space="0" w:color="00B050"/>
          <w:insideV w:val="none" w:sz="0" w:space="0" w:color="auto"/>
        </w:tblBorders>
        <w:tblLook w:val="04A0" w:firstRow="1" w:lastRow="0" w:firstColumn="1" w:lastColumn="0" w:noHBand="0" w:noVBand="1"/>
      </w:tblPr>
      <w:tblGrid>
        <w:gridCol w:w="2934"/>
        <w:gridCol w:w="2919"/>
        <w:gridCol w:w="2934"/>
      </w:tblGrid>
      <w:tr w:rsidR="00C874E0" w:rsidRPr="009B3AA6" w14:paraId="67950415" w14:textId="77777777" w:rsidTr="00CF2C24">
        <w:tc>
          <w:tcPr>
            <w:tcW w:w="8787" w:type="dxa"/>
            <w:gridSpan w:val="3"/>
          </w:tcPr>
          <w:p w14:paraId="65FE4B20" w14:textId="77777777" w:rsidR="00C874E0" w:rsidRPr="009B3AA6" w:rsidRDefault="00C874E0" w:rsidP="00CF2C24">
            <w:pPr>
              <w:pStyle w:val="CETBodytext"/>
              <w:jc w:val="left"/>
            </w:pPr>
            <w:r w:rsidRPr="009B3AA6">
              <w:t xml:space="preserve">List of 21 chemicals </w:t>
            </w:r>
            <w:r w:rsidRPr="001E2AC8">
              <w:t>inventoried</w:t>
            </w:r>
            <w:r w:rsidRPr="009B3AA6">
              <w:t xml:space="preserve"> on the sites</w:t>
            </w:r>
          </w:p>
        </w:tc>
      </w:tr>
      <w:tr w:rsidR="00C874E0" w:rsidRPr="00580F38" w14:paraId="3141F1AA" w14:textId="77777777" w:rsidTr="00CF2C24">
        <w:tc>
          <w:tcPr>
            <w:tcW w:w="2934" w:type="dxa"/>
          </w:tcPr>
          <w:p w14:paraId="5ACA8453" w14:textId="77777777" w:rsidR="00C874E0" w:rsidRPr="00580F38" w:rsidRDefault="00C874E0" w:rsidP="00CF2C24">
            <w:pPr>
              <w:pStyle w:val="CETBodytext"/>
              <w:rPr>
                <w:color w:val="000000"/>
                <w:lang w:eastAsia="fr-FR"/>
              </w:rPr>
            </w:pPr>
            <w:r w:rsidRPr="00580F38">
              <w:rPr>
                <w:color w:val="000000"/>
                <w:lang w:eastAsia="fr-FR"/>
              </w:rPr>
              <w:t xml:space="preserve">Ferric Chloride </w:t>
            </w:r>
          </w:p>
          <w:p w14:paraId="2643572B" w14:textId="77777777" w:rsidR="00C874E0" w:rsidRDefault="00C874E0" w:rsidP="00CF2C24">
            <w:pPr>
              <w:pStyle w:val="CETBodytext"/>
              <w:rPr>
                <w:color w:val="000000"/>
                <w:lang w:eastAsia="fr-FR"/>
              </w:rPr>
            </w:pPr>
            <w:r w:rsidRPr="009B3AA6">
              <w:rPr>
                <w:color w:val="000000"/>
                <w:lang w:eastAsia="fr-FR"/>
              </w:rPr>
              <w:t xml:space="preserve">Sodium </w:t>
            </w:r>
            <w:r>
              <w:rPr>
                <w:color w:val="000000"/>
                <w:lang w:eastAsia="fr-FR"/>
              </w:rPr>
              <w:t>B</w:t>
            </w:r>
            <w:r w:rsidRPr="009B3AA6">
              <w:rPr>
                <w:color w:val="000000"/>
                <w:lang w:eastAsia="fr-FR"/>
              </w:rPr>
              <w:t xml:space="preserve">isulfite </w:t>
            </w:r>
          </w:p>
          <w:p w14:paraId="0073DF7F" w14:textId="77777777" w:rsidR="00C874E0" w:rsidRPr="009B3AA6" w:rsidRDefault="00C874E0" w:rsidP="00CF2C24">
            <w:pPr>
              <w:pStyle w:val="CETBodytext"/>
              <w:rPr>
                <w:color w:val="000000"/>
                <w:lang w:eastAsia="fr-FR"/>
              </w:rPr>
            </w:pPr>
            <w:r w:rsidRPr="00580F38">
              <w:rPr>
                <w:color w:val="000000"/>
                <w:lang w:eastAsia="fr-FR"/>
              </w:rPr>
              <w:t xml:space="preserve">Sodium hydroxide </w:t>
            </w:r>
          </w:p>
          <w:p w14:paraId="7851BA90" w14:textId="77777777" w:rsidR="00C874E0" w:rsidRPr="009B3AA6" w:rsidRDefault="00C874E0" w:rsidP="00CF2C24">
            <w:pPr>
              <w:pStyle w:val="CETBodytext"/>
              <w:rPr>
                <w:color w:val="000000"/>
                <w:lang w:eastAsia="fr-FR"/>
              </w:rPr>
            </w:pPr>
            <w:r w:rsidRPr="009B3AA6">
              <w:rPr>
                <w:color w:val="000000"/>
                <w:lang w:eastAsia="fr-FR"/>
              </w:rPr>
              <w:t xml:space="preserve">Sodium </w:t>
            </w:r>
            <w:r>
              <w:rPr>
                <w:color w:val="000000"/>
                <w:lang w:eastAsia="fr-FR"/>
              </w:rPr>
              <w:t>T</w:t>
            </w:r>
            <w:r w:rsidRPr="009B3AA6">
              <w:rPr>
                <w:color w:val="000000"/>
                <w:lang w:eastAsia="fr-FR"/>
              </w:rPr>
              <w:t xml:space="preserve">hiosulfate </w:t>
            </w:r>
          </w:p>
          <w:p w14:paraId="726F25B0" w14:textId="77777777" w:rsidR="00C874E0" w:rsidRPr="00580F38" w:rsidRDefault="00C874E0" w:rsidP="00CF2C24">
            <w:pPr>
              <w:pStyle w:val="CETBodytext"/>
              <w:rPr>
                <w:color w:val="000000"/>
                <w:lang w:eastAsia="fr-FR"/>
              </w:rPr>
            </w:pPr>
            <w:r w:rsidRPr="00580F38">
              <w:rPr>
                <w:color w:val="000000"/>
                <w:lang w:eastAsia="fr-FR"/>
              </w:rPr>
              <w:t xml:space="preserve">Sodium Bicarbonate </w:t>
            </w:r>
          </w:p>
          <w:p w14:paraId="2D05D497" w14:textId="77777777" w:rsidR="00C874E0" w:rsidRDefault="00C874E0" w:rsidP="00CF2C24">
            <w:pPr>
              <w:pStyle w:val="CETBodytext"/>
              <w:rPr>
                <w:color w:val="000000"/>
                <w:lang w:eastAsia="fr-FR"/>
              </w:rPr>
            </w:pPr>
            <w:r w:rsidRPr="00580F38">
              <w:rPr>
                <w:color w:val="000000"/>
                <w:lang w:eastAsia="fr-FR"/>
              </w:rPr>
              <w:t xml:space="preserve">Sodium </w:t>
            </w:r>
            <w:r>
              <w:rPr>
                <w:color w:val="000000"/>
                <w:lang w:eastAsia="fr-FR"/>
              </w:rPr>
              <w:t>H</w:t>
            </w:r>
            <w:r w:rsidRPr="00580F38">
              <w:rPr>
                <w:color w:val="000000"/>
                <w:lang w:eastAsia="fr-FR"/>
              </w:rPr>
              <w:t>ypochlorite</w:t>
            </w:r>
          </w:p>
          <w:p w14:paraId="53B95DE0" w14:textId="77777777" w:rsidR="00C874E0" w:rsidRPr="00580F38" w:rsidRDefault="00C874E0" w:rsidP="00CF2C24">
            <w:pPr>
              <w:pStyle w:val="CETBodytext"/>
              <w:rPr>
                <w:color w:val="000000"/>
                <w:lang w:eastAsia="fr-FR"/>
              </w:rPr>
            </w:pPr>
            <w:r>
              <w:rPr>
                <w:color w:val="000000"/>
                <w:lang w:eastAsia="fr-FR"/>
              </w:rPr>
              <w:t>A</w:t>
            </w:r>
            <w:r w:rsidRPr="009B3AA6">
              <w:rPr>
                <w:color w:val="000000"/>
                <w:lang w:eastAsia="fr-FR"/>
              </w:rPr>
              <w:t xml:space="preserve">mmonium </w:t>
            </w:r>
            <w:r>
              <w:rPr>
                <w:color w:val="000000"/>
                <w:lang w:eastAsia="fr-FR"/>
              </w:rPr>
              <w:t>H</w:t>
            </w:r>
            <w:r w:rsidRPr="009B3AA6">
              <w:rPr>
                <w:color w:val="000000"/>
                <w:lang w:eastAsia="fr-FR"/>
              </w:rPr>
              <w:t xml:space="preserve">ydroxide </w:t>
            </w:r>
          </w:p>
        </w:tc>
        <w:tc>
          <w:tcPr>
            <w:tcW w:w="2919" w:type="dxa"/>
          </w:tcPr>
          <w:p w14:paraId="09533CFC" w14:textId="77777777" w:rsidR="00C874E0" w:rsidRPr="001A5941" w:rsidRDefault="00C874E0" w:rsidP="00CF2C24">
            <w:pPr>
              <w:pStyle w:val="CETBodytext"/>
              <w:rPr>
                <w:color w:val="000000"/>
                <w:lang w:eastAsia="fr-FR"/>
              </w:rPr>
            </w:pPr>
            <w:r w:rsidRPr="001A5941">
              <w:rPr>
                <w:color w:val="000000"/>
                <w:lang w:eastAsia="fr-FR"/>
              </w:rPr>
              <w:t xml:space="preserve">Fuel oil </w:t>
            </w:r>
          </w:p>
          <w:p w14:paraId="59574485" w14:textId="77777777" w:rsidR="00C874E0" w:rsidRPr="001A5941" w:rsidRDefault="00C874E0" w:rsidP="00CF2C24">
            <w:pPr>
              <w:pStyle w:val="CETBodytext"/>
              <w:rPr>
                <w:color w:val="000000"/>
                <w:lang w:eastAsia="fr-FR"/>
              </w:rPr>
            </w:pPr>
            <w:r w:rsidRPr="001A5941">
              <w:rPr>
                <w:color w:val="000000"/>
                <w:lang w:eastAsia="fr-FR"/>
              </w:rPr>
              <w:t xml:space="preserve">Methanol </w:t>
            </w:r>
          </w:p>
          <w:p w14:paraId="03EC8C45" w14:textId="77777777" w:rsidR="00C874E0" w:rsidRPr="0015410E" w:rsidRDefault="00C874E0" w:rsidP="00CF2C24">
            <w:pPr>
              <w:pStyle w:val="CETBodytext"/>
              <w:rPr>
                <w:color w:val="000000"/>
                <w:lang w:eastAsia="fr-FR"/>
              </w:rPr>
            </w:pPr>
            <w:r w:rsidRPr="0015410E">
              <w:rPr>
                <w:color w:val="000000"/>
                <w:lang w:eastAsia="fr-FR"/>
              </w:rPr>
              <w:t xml:space="preserve">Acetylene </w:t>
            </w:r>
          </w:p>
          <w:p w14:paraId="24CDE066" w14:textId="77777777" w:rsidR="00C874E0" w:rsidRPr="0015410E" w:rsidRDefault="00C874E0" w:rsidP="00CF2C24">
            <w:pPr>
              <w:pStyle w:val="CETBodytext"/>
              <w:rPr>
                <w:color w:val="000000"/>
                <w:lang w:eastAsia="fr-FR"/>
              </w:rPr>
            </w:pPr>
            <w:r w:rsidRPr="0015410E">
              <w:rPr>
                <w:color w:val="000000"/>
                <w:lang w:eastAsia="fr-FR"/>
              </w:rPr>
              <w:t xml:space="preserve">Slaked </w:t>
            </w:r>
            <w:r>
              <w:rPr>
                <w:color w:val="000000"/>
                <w:lang w:eastAsia="fr-FR"/>
              </w:rPr>
              <w:t>L</w:t>
            </w:r>
            <w:r w:rsidRPr="0015410E">
              <w:rPr>
                <w:color w:val="000000"/>
                <w:lang w:eastAsia="fr-FR"/>
              </w:rPr>
              <w:t xml:space="preserve">ime </w:t>
            </w:r>
          </w:p>
          <w:p w14:paraId="09267EC7" w14:textId="77777777" w:rsidR="00C874E0" w:rsidRPr="0015410E" w:rsidRDefault="00C874E0" w:rsidP="00CF2C24">
            <w:pPr>
              <w:pStyle w:val="CETBodytext"/>
              <w:rPr>
                <w:color w:val="000000"/>
                <w:lang w:eastAsia="fr-FR"/>
              </w:rPr>
            </w:pPr>
            <w:r w:rsidRPr="0015410E">
              <w:rPr>
                <w:color w:val="000000"/>
                <w:lang w:eastAsia="fr-FR"/>
              </w:rPr>
              <w:t xml:space="preserve">Calcium </w:t>
            </w:r>
            <w:r>
              <w:rPr>
                <w:color w:val="000000"/>
                <w:lang w:eastAsia="fr-FR"/>
              </w:rPr>
              <w:t>O</w:t>
            </w:r>
            <w:r w:rsidRPr="0015410E">
              <w:rPr>
                <w:color w:val="000000"/>
                <w:lang w:eastAsia="fr-FR"/>
              </w:rPr>
              <w:t xml:space="preserve">xide </w:t>
            </w:r>
          </w:p>
          <w:p w14:paraId="24DA43FA" w14:textId="77777777" w:rsidR="00C874E0" w:rsidRDefault="00C874E0" w:rsidP="00CF2C24">
            <w:pPr>
              <w:pStyle w:val="CETBodytext"/>
              <w:rPr>
                <w:color w:val="000000"/>
                <w:lang w:eastAsia="fr-FR"/>
              </w:rPr>
            </w:pPr>
            <w:r w:rsidRPr="001A5941">
              <w:rPr>
                <w:color w:val="000000"/>
                <w:lang w:eastAsia="fr-FR"/>
              </w:rPr>
              <w:t>Calcium Nitrate</w:t>
            </w:r>
          </w:p>
          <w:p w14:paraId="646EA3B0" w14:textId="77777777" w:rsidR="00C874E0" w:rsidRPr="001A5941" w:rsidRDefault="00C874E0" w:rsidP="00CF2C24">
            <w:pPr>
              <w:pStyle w:val="CETBodytext"/>
              <w:rPr>
                <w:color w:val="000000"/>
                <w:lang w:eastAsia="fr-FR"/>
              </w:rPr>
            </w:pPr>
            <w:r>
              <w:rPr>
                <w:color w:val="000000"/>
                <w:lang w:eastAsia="fr-FR"/>
              </w:rPr>
              <w:t>H</w:t>
            </w:r>
            <w:r w:rsidRPr="00EF76CC">
              <w:rPr>
                <w:color w:val="000000"/>
                <w:lang w:eastAsia="fr-FR"/>
              </w:rPr>
              <w:t xml:space="preserve">ydrogen </w:t>
            </w:r>
            <w:r>
              <w:rPr>
                <w:color w:val="000000"/>
                <w:lang w:eastAsia="fr-FR"/>
              </w:rPr>
              <w:t>P</w:t>
            </w:r>
            <w:r w:rsidRPr="00EF76CC">
              <w:rPr>
                <w:color w:val="000000"/>
                <w:lang w:eastAsia="fr-FR"/>
              </w:rPr>
              <w:t>eroxide</w:t>
            </w:r>
          </w:p>
        </w:tc>
        <w:tc>
          <w:tcPr>
            <w:tcW w:w="2934" w:type="dxa"/>
          </w:tcPr>
          <w:p w14:paraId="038A76ED" w14:textId="77777777" w:rsidR="00C874E0" w:rsidRPr="00580F38" w:rsidRDefault="00C874E0" w:rsidP="00CF2C24">
            <w:pPr>
              <w:pStyle w:val="CETBodytext"/>
              <w:rPr>
                <w:color w:val="000000"/>
                <w:lang w:eastAsia="fr-FR"/>
              </w:rPr>
            </w:pPr>
            <w:proofErr w:type="spellStart"/>
            <w:r w:rsidRPr="00580F38">
              <w:rPr>
                <w:color w:val="000000"/>
                <w:lang w:eastAsia="fr-FR"/>
              </w:rPr>
              <w:t>Alufer</w:t>
            </w:r>
            <w:proofErr w:type="spellEnd"/>
            <w:r w:rsidRPr="00580F38">
              <w:rPr>
                <w:color w:val="000000"/>
                <w:lang w:eastAsia="fr-FR"/>
              </w:rPr>
              <w:t xml:space="preserve"> </w:t>
            </w:r>
          </w:p>
          <w:p w14:paraId="7201095B" w14:textId="77777777" w:rsidR="00C874E0" w:rsidRPr="00580F38" w:rsidRDefault="00C874E0" w:rsidP="00CF2C24">
            <w:pPr>
              <w:pStyle w:val="CETBodytext"/>
              <w:rPr>
                <w:color w:val="000000"/>
                <w:lang w:eastAsia="fr-FR"/>
              </w:rPr>
            </w:pPr>
            <w:r w:rsidRPr="00580F38">
              <w:rPr>
                <w:color w:val="000000"/>
                <w:lang w:eastAsia="fr-FR"/>
              </w:rPr>
              <w:t xml:space="preserve">Propane </w:t>
            </w:r>
          </w:p>
          <w:p w14:paraId="2CD0EF28" w14:textId="77777777" w:rsidR="00C874E0" w:rsidRPr="00580F38" w:rsidRDefault="00C874E0" w:rsidP="00CF2C24">
            <w:pPr>
              <w:pStyle w:val="CETBodytext"/>
              <w:rPr>
                <w:color w:val="000000"/>
                <w:lang w:eastAsia="fr-FR"/>
              </w:rPr>
            </w:pPr>
            <w:r w:rsidRPr="00580F38">
              <w:rPr>
                <w:color w:val="000000"/>
                <w:lang w:eastAsia="fr-FR"/>
              </w:rPr>
              <w:t xml:space="preserve">Citric </w:t>
            </w:r>
            <w:r>
              <w:rPr>
                <w:color w:val="000000"/>
                <w:lang w:eastAsia="fr-FR"/>
              </w:rPr>
              <w:t>A</w:t>
            </w:r>
            <w:r w:rsidRPr="00580F38">
              <w:rPr>
                <w:color w:val="000000"/>
                <w:lang w:eastAsia="fr-FR"/>
              </w:rPr>
              <w:t xml:space="preserve">cid </w:t>
            </w:r>
          </w:p>
          <w:p w14:paraId="66739830" w14:textId="77777777" w:rsidR="00C874E0" w:rsidRPr="00580F38" w:rsidRDefault="00C874E0" w:rsidP="00CF2C24">
            <w:pPr>
              <w:pStyle w:val="CETBodytext"/>
              <w:rPr>
                <w:color w:val="000000"/>
                <w:lang w:eastAsia="fr-FR"/>
              </w:rPr>
            </w:pPr>
            <w:r w:rsidRPr="00580F38">
              <w:rPr>
                <w:color w:val="000000"/>
                <w:lang w:eastAsia="fr-FR"/>
              </w:rPr>
              <w:t xml:space="preserve">Formic </w:t>
            </w:r>
            <w:r>
              <w:rPr>
                <w:color w:val="000000"/>
                <w:lang w:eastAsia="fr-FR"/>
              </w:rPr>
              <w:t>A</w:t>
            </w:r>
            <w:r w:rsidRPr="00580F38">
              <w:rPr>
                <w:color w:val="000000"/>
                <w:lang w:eastAsia="fr-FR"/>
              </w:rPr>
              <w:t xml:space="preserve">cid </w:t>
            </w:r>
          </w:p>
          <w:p w14:paraId="7BA24E4A" w14:textId="77777777" w:rsidR="00C874E0" w:rsidRDefault="00C874E0" w:rsidP="00CF2C24">
            <w:pPr>
              <w:pStyle w:val="CETBodytext"/>
              <w:rPr>
                <w:color w:val="000000"/>
                <w:lang w:eastAsia="fr-FR"/>
              </w:rPr>
            </w:pPr>
            <w:r w:rsidRPr="00580F38">
              <w:rPr>
                <w:color w:val="000000"/>
                <w:lang w:eastAsia="fr-FR"/>
              </w:rPr>
              <w:t xml:space="preserve">Sulfuric </w:t>
            </w:r>
            <w:r>
              <w:rPr>
                <w:color w:val="000000"/>
                <w:lang w:eastAsia="fr-FR"/>
              </w:rPr>
              <w:t>A</w:t>
            </w:r>
            <w:r w:rsidRPr="00580F38">
              <w:rPr>
                <w:color w:val="000000"/>
                <w:lang w:eastAsia="fr-FR"/>
              </w:rPr>
              <w:t xml:space="preserve">cid </w:t>
            </w:r>
          </w:p>
          <w:p w14:paraId="1CA25975" w14:textId="77777777" w:rsidR="00C874E0" w:rsidRPr="00580F38" w:rsidRDefault="00C874E0" w:rsidP="00CF2C24">
            <w:pPr>
              <w:pStyle w:val="CETBodytext"/>
              <w:rPr>
                <w:color w:val="000000"/>
                <w:lang w:eastAsia="fr-FR"/>
              </w:rPr>
            </w:pPr>
            <w:r w:rsidRPr="00580F38">
              <w:rPr>
                <w:color w:val="000000"/>
                <w:lang w:eastAsia="fr-FR"/>
              </w:rPr>
              <w:t xml:space="preserve">Phosphoric </w:t>
            </w:r>
            <w:r>
              <w:rPr>
                <w:color w:val="000000"/>
                <w:lang w:eastAsia="fr-FR"/>
              </w:rPr>
              <w:t>A</w:t>
            </w:r>
            <w:r w:rsidRPr="00580F38">
              <w:rPr>
                <w:color w:val="000000"/>
                <w:lang w:eastAsia="fr-FR"/>
              </w:rPr>
              <w:t>cid</w:t>
            </w:r>
          </w:p>
          <w:p w14:paraId="1B4E98A0" w14:textId="77777777" w:rsidR="00C874E0" w:rsidRPr="00580F38" w:rsidRDefault="00C874E0" w:rsidP="00CF2C24">
            <w:pPr>
              <w:pStyle w:val="CETBodytext"/>
              <w:rPr>
                <w:color w:val="000000"/>
                <w:lang w:eastAsia="fr-FR"/>
              </w:rPr>
            </w:pPr>
            <w:r w:rsidRPr="00580F38">
              <w:rPr>
                <w:color w:val="000000"/>
                <w:lang w:eastAsia="fr-FR"/>
              </w:rPr>
              <w:t xml:space="preserve">Hydrochloric </w:t>
            </w:r>
            <w:r>
              <w:rPr>
                <w:color w:val="000000"/>
                <w:lang w:eastAsia="fr-FR"/>
              </w:rPr>
              <w:t>A</w:t>
            </w:r>
            <w:r w:rsidRPr="00580F38">
              <w:rPr>
                <w:color w:val="000000"/>
                <w:lang w:eastAsia="fr-FR"/>
              </w:rPr>
              <w:t xml:space="preserve">cid </w:t>
            </w:r>
          </w:p>
        </w:tc>
      </w:tr>
    </w:tbl>
    <w:p w14:paraId="50C37841" w14:textId="77777777" w:rsidR="00C874E0" w:rsidRDefault="00C874E0" w:rsidP="004E0D2E">
      <w:pPr>
        <w:pStyle w:val="CETBodytext"/>
      </w:pPr>
    </w:p>
    <w:p w14:paraId="60CFB8AC" w14:textId="79ABD70F" w:rsidR="00873887" w:rsidRDefault="003A2BE9" w:rsidP="000F0983">
      <w:pPr>
        <w:pStyle w:val="CETBodytext"/>
        <w:rPr>
          <w:rFonts w:cs="Arial"/>
        </w:rPr>
      </w:pPr>
      <w:r w:rsidRPr="00B53355">
        <w:t>By analyzing these chemicals and their reactivity profiles,</w:t>
      </w:r>
      <w:r w:rsidR="000A3721">
        <w:t xml:space="preserve"> </w:t>
      </w:r>
      <w:r>
        <w:t>a literature search</w:t>
      </w:r>
      <w:r w:rsidR="000A3721">
        <w:t xml:space="preserve"> </w:t>
      </w:r>
      <w:r w:rsidR="000A3721" w:rsidRPr="000A3721">
        <w:rPr>
          <w:lang w:val="en-GB"/>
        </w:rPr>
        <w:t>was first carried out</w:t>
      </w:r>
      <w:r>
        <w:t xml:space="preserve"> to identify potential</w:t>
      </w:r>
      <w:r w:rsidRPr="00B53355">
        <w:t xml:space="preserve"> hazardous reactions that can occur when incompatible substances are mixed</w:t>
      </w:r>
      <w:r>
        <w:t xml:space="preserve"> or when a chemical reacts with its container</w:t>
      </w:r>
      <w:r w:rsidRPr="00B53355">
        <w:t>.</w:t>
      </w:r>
      <w:r w:rsidR="00873887">
        <w:t xml:space="preserve"> </w:t>
      </w:r>
      <w:r w:rsidR="00DF7B98" w:rsidRPr="00BB7439">
        <w:rPr>
          <w:rFonts w:cs="Arial"/>
        </w:rPr>
        <w:t>Hydrogen peroxide is known to pose fire and explosion hazards, the risk of explosion is heightened by factors such as temperature, concentration and the presence of catalysts or impurities (Wu et al., 2010).</w:t>
      </w:r>
      <w:r w:rsidR="00873887">
        <w:rPr>
          <w:rFonts w:cs="Arial"/>
        </w:rPr>
        <w:t xml:space="preserve"> </w:t>
      </w:r>
      <w:r w:rsidR="00DF7B98" w:rsidRPr="00BB7439">
        <w:rPr>
          <w:rFonts w:cs="Arial"/>
        </w:rPr>
        <w:t>Strong oxidizing acids also pose a risk, since they can react violently with other acids, leading to explosions, toxic gas release, or extreme heat generation. For instance, the combination of nitric acid (HNO</w:t>
      </w:r>
      <w:r w:rsidR="00DF7B98" w:rsidRPr="00BB7439">
        <w:rPr>
          <w:rFonts w:ascii="Cambria Math" w:hAnsi="Cambria Math" w:cs="Cambria Math"/>
        </w:rPr>
        <w:t>₃</w:t>
      </w:r>
      <w:r w:rsidR="00DF7B98" w:rsidRPr="00BB7439">
        <w:rPr>
          <w:rFonts w:cs="Arial"/>
        </w:rPr>
        <w:t>) with formic acid (CH</w:t>
      </w:r>
      <w:r w:rsidR="00DF7B98" w:rsidRPr="00BB7439">
        <w:rPr>
          <w:rFonts w:ascii="Cambria Math" w:hAnsi="Cambria Math" w:cs="Cambria Math"/>
        </w:rPr>
        <w:t>₂</w:t>
      </w:r>
      <w:r w:rsidR="00DF7B98" w:rsidRPr="00BB7439">
        <w:rPr>
          <w:rFonts w:cs="Arial"/>
        </w:rPr>
        <w:t>O</w:t>
      </w:r>
      <w:r w:rsidR="00DF7B98" w:rsidRPr="00BB7439">
        <w:rPr>
          <w:rFonts w:ascii="Cambria Math" w:hAnsi="Cambria Math" w:cs="Cambria Math"/>
        </w:rPr>
        <w:t>₂</w:t>
      </w:r>
      <w:r w:rsidR="00DF7B98" w:rsidRPr="00BB7439">
        <w:rPr>
          <w:rFonts w:cs="Arial"/>
        </w:rPr>
        <w:t>) has been reported to produce acid gases and significant heat, potentially resulting in explosive reactions (Huang et al., 2013). The scientific literature (Margossian, 2010) underlines that the reaction between an acid and certain compound such as hypochlorite, cyanides and sulfites can lead to the formation of a dangerous gas causing intoxication. In the specific context of the SIAAP plant, a problematic scenario could be the reaction between sodium bisulfite and hydrochloric acid, which produces gaseous sulfur dioxide (SO</w:t>
      </w:r>
      <w:r w:rsidR="00DF7B98" w:rsidRPr="00BB7439">
        <w:rPr>
          <w:rFonts w:cs="Arial"/>
          <w:vertAlign w:val="subscript"/>
        </w:rPr>
        <w:t>2</w:t>
      </w:r>
      <w:r w:rsidR="00DF7B98" w:rsidRPr="00BB7439">
        <w:rPr>
          <w:rFonts w:cs="Arial"/>
        </w:rPr>
        <w:t>), or the reaction between hydrochloric acid and sodium hypochlorite, which produces gaseous chloride (Cl</w:t>
      </w:r>
      <w:r w:rsidR="00DF7B98" w:rsidRPr="00BB7439">
        <w:rPr>
          <w:rFonts w:cs="Arial"/>
          <w:vertAlign w:val="subscript"/>
        </w:rPr>
        <w:t>2</w:t>
      </w:r>
      <w:r w:rsidR="00DF7B98" w:rsidRPr="00BB7439">
        <w:rPr>
          <w:rFonts w:cs="Arial"/>
        </w:rPr>
        <w:t xml:space="preserve">). </w:t>
      </w:r>
      <w:r w:rsidR="00DF7B98" w:rsidRPr="00BB7439">
        <w:rPr>
          <w:rFonts w:cs="Arial"/>
        </w:rPr>
        <w:lastRenderedPageBreak/>
        <w:t xml:space="preserve">These toxic gases, even in low concentrations, can be dangerous to human’s health. So, in the event of toxic gas formation, the risk created could be significant. </w:t>
      </w:r>
    </w:p>
    <w:p w14:paraId="3A973C7D" w14:textId="3077038B" w:rsidR="00242F39" w:rsidRPr="00873887" w:rsidRDefault="00DF7B98" w:rsidP="000F0983">
      <w:pPr>
        <w:pStyle w:val="CETBodytext"/>
      </w:pPr>
      <w:r w:rsidRPr="00BB7439">
        <w:rPr>
          <w:rFonts w:cs="Arial"/>
        </w:rPr>
        <w:t xml:space="preserve">Among hazardous chemical interactions, acid-base reactions are a concern, particularly those involving strong acids and bases, as they are often exothermic. Depending on the concentration of the acids/bases involved, the reaction can result in the vaporization of an aerosol containing a toxic product. </w:t>
      </w:r>
    </w:p>
    <w:p w14:paraId="0EC8BBAE" w14:textId="037480E0" w:rsidR="00873887" w:rsidRDefault="00242F39" w:rsidP="000F0983">
      <w:pPr>
        <w:pStyle w:val="CETBodytext"/>
      </w:pPr>
      <w:r w:rsidRPr="00242F39">
        <w:t>Additionally, the potential for flammable gas formation was identified, particularly in redox reactions that could lead to the release of hydrogen gas (H</w:t>
      </w:r>
      <w:r w:rsidR="001706AE">
        <w:rPr>
          <w:vertAlign w:val="subscript"/>
        </w:rPr>
        <w:t>2</w:t>
      </w:r>
      <w:r w:rsidR="004A6A57" w:rsidRPr="00242F39">
        <w:t>).</w:t>
      </w:r>
      <w:r w:rsidR="004A6A57" w:rsidRPr="00432903">
        <w:t xml:space="preserve"> These</w:t>
      </w:r>
      <w:r w:rsidR="000F0983" w:rsidRPr="00432903">
        <w:t xml:space="preserve"> reactions often occur in factories. In fact, products such as strong acids can rapidly attack storage tanks. These products, known as reducers, mainly oxidize reactive metals (such as iron, magnesium or zinc). Available feedback (ARIA 169, 22278, 31082) reports several explosions </w:t>
      </w:r>
      <w:r w:rsidR="007B1315" w:rsidRPr="007B1315">
        <w:rPr>
          <w:lang w:val="en-GB"/>
        </w:rPr>
        <w:t>occurred after</w:t>
      </w:r>
      <w:r w:rsidR="000F0983" w:rsidRPr="00432903">
        <w:t xml:space="preserve"> the accidental ignition of hydrogen gas (H</w:t>
      </w:r>
      <w:r w:rsidR="000F0983">
        <w:rPr>
          <w:vertAlign w:val="subscript"/>
        </w:rPr>
        <w:t>2</w:t>
      </w:r>
      <w:r w:rsidR="000F0983" w:rsidRPr="00432903">
        <w:t>) produced by the attack of a steel tank by its container, sulfuric acid (</w:t>
      </w:r>
      <w:r w:rsidR="000F0983" w:rsidRPr="00F84AAC">
        <w:t>H</w:t>
      </w:r>
      <w:r w:rsidR="000F0983">
        <w:rPr>
          <w:vertAlign w:val="subscript"/>
        </w:rPr>
        <w:t>2</w:t>
      </w:r>
      <w:r w:rsidR="000F0983" w:rsidRPr="00F84AAC">
        <w:t>SO</w:t>
      </w:r>
      <w:r w:rsidR="000F0983">
        <w:rPr>
          <w:vertAlign w:val="subscript"/>
        </w:rPr>
        <w:t>4</w:t>
      </w:r>
      <w:r w:rsidR="000F0983" w:rsidRPr="00432903">
        <w:t>).</w:t>
      </w:r>
      <w:r w:rsidR="000E06D3">
        <w:t xml:space="preserve"> In fact,</w:t>
      </w:r>
      <w:r w:rsidR="000F0983" w:rsidRPr="00432903">
        <w:t xml:space="preserve"> </w:t>
      </w:r>
      <w:r w:rsidR="00120B49">
        <w:rPr>
          <w:lang w:val="en-GB"/>
        </w:rPr>
        <w:t>if</w:t>
      </w:r>
      <w:r w:rsidR="000E06D3" w:rsidRPr="000E06D3">
        <w:rPr>
          <w:lang w:val="en-GB"/>
        </w:rPr>
        <w:t xml:space="preserve"> the leaked hydrogen is not ignited immediately and instead fully mixes with air to form a combustible hydrogen-air mixture, ignition can lead to deflagration</w:t>
      </w:r>
      <w:r w:rsidR="000E06D3">
        <w:rPr>
          <w:lang w:val="en-GB"/>
        </w:rPr>
        <w:t xml:space="preserve"> (Hu et al., 2023)</w:t>
      </w:r>
      <w:r w:rsidR="00120B49">
        <w:rPr>
          <w:lang w:val="en-GB"/>
        </w:rPr>
        <w:t>,</w:t>
      </w:r>
      <w:r w:rsidR="000E06D3" w:rsidRPr="000E06D3">
        <w:rPr>
          <w:lang w:val="en-GB"/>
        </w:rPr>
        <w:t xml:space="preserve"> which may escalate into detonation</w:t>
      </w:r>
      <w:r w:rsidR="000F0983" w:rsidRPr="00432903">
        <w:t xml:space="preserve">. However, compared with a toxic cloud, to create a significant risk, a </w:t>
      </w:r>
      <w:r w:rsidR="00CA21DB">
        <w:t>suitable</w:t>
      </w:r>
      <w:r w:rsidR="000F0983" w:rsidRPr="00432903">
        <w:t xml:space="preserve"> concentration and </w:t>
      </w:r>
      <w:r w:rsidR="00A7796C" w:rsidRPr="00A7796C">
        <w:t xml:space="preserve">ignition sources </w:t>
      </w:r>
      <w:r w:rsidR="00E840CB">
        <w:t>(</w:t>
      </w:r>
      <w:r w:rsidR="00A7796C" w:rsidRPr="00A7796C">
        <w:t>such as static electricity</w:t>
      </w:r>
      <w:r w:rsidR="00E840CB">
        <w:t>, open flame, hot surface</w:t>
      </w:r>
      <w:r w:rsidR="00120B49">
        <w:t>…</w:t>
      </w:r>
      <w:r w:rsidR="00E840CB">
        <w:t>)</w:t>
      </w:r>
      <w:r w:rsidR="005E5F57">
        <w:t xml:space="preserve"> </w:t>
      </w:r>
      <w:r w:rsidR="000F0983" w:rsidRPr="00432903">
        <w:t>are required</w:t>
      </w:r>
      <w:r w:rsidR="00E840CB">
        <w:t xml:space="preserve"> and can </w:t>
      </w:r>
      <w:r w:rsidR="00B5786B" w:rsidRPr="00B5786B">
        <w:t>sometimes</w:t>
      </w:r>
      <w:r w:rsidR="00E840CB">
        <w:t xml:space="preserve"> be</w:t>
      </w:r>
      <w:r w:rsidR="005A5F98" w:rsidRPr="005A5F98">
        <w:t xml:space="preserve"> generated by</w:t>
      </w:r>
      <w:r w:rsidR="005A5F98">
        <w:t xml:space="preserve"> maintenance</w:t>
      </w:r>
      <w:r w:rsidR="005A5F98" w:rsidRPr="005A5F98">
        <w:t xml:space="preserve"> </w:t>
      </w:r>
      <w:r w:rsidR="000B0852">
        <w:t>operatio</w:t>
      </w:r>
      <w:r w:rsidR="003B4CA9">
        <w:t xml:space="preserve">n </w:t>
      </w:r>
      <w:r w:rsidR="000B0852">
        <w:t xml:space="preserve">performed close to </w:t>
      </w:r>
      <w:r w:rsidR="005A5F98" w:rsidRPr="005A5F98">
        <w:t>the reservoir in concerned</w:t>
      </w:r>
      <w:r w:rsidR="003B4CA9">
        <w:t>, a</w:t>
      </w:r>
      <w:r w:rsidR="003B4CA9" w:rsidRPr="003B4CA9">
        <w:t xml:space="preserve">s reported by Sales et al. (2007) and in the </w:t>
      </w:r>
      <w:r w:rsidR="003B4CA9">
        <w:t>(</w:t>
      </w:r>
      <w:r w:rsidR="003B4CA9" w:rsidRPr="003B4CA9">
        <w:t>ARIA 22278</w:t>
      </w:r>
      <w:r w:rsidR="003B4CA9">
        <w:t>) accident</w:t>
      </w:r>
      <w:r w:rsidR="003B4CA9" w:rsidRPr="003B4CA9">
        <w:t xml:space="preserve"> feedback</w:t>
      </w:r>
      <w:r w:rsidR="003B4CA9">
        <w:t>.</w:t>
      </w:r>
      <w:r w:rsidR="00A7796C">
        <w:t xml:space="preserve"> </w:t>
      </w:r>
    </w:p>
    <w:p w14:paraId="122142CF" w14:textId="47FBA0F3" w:rsidR="000F0983" w:rsidRDefault="00242F39" w:rsidP="000F0983">
      <w:pPr>
        <w:pStyle w:val="CETBodytext"/>
      </w:pPr>
      <w:r w:rsidRPr="00242F39">
        <w:t>Another risk involves exothermic reactions</w:t>
      </w:r>
      <w:r w:rsidR="001706AE">
        <w:t xml:space="preserve"> </w:t>
      </w:r>
      <w:r w:rsidR="000F0983" w:rsidRPr="00432903">
        <w:t>created by the dissolution of one product in another. The most classic case is the dissolution of concentrated sulfuric acid in water. This type of reaction can be exothermic and therefore create a risk for SIAAP plants.</w:t>
      </w:r>
      <w:r w:rsidR="00396511">
        <w:t xml:space="preserve"> </w:t>
      </w:r>
      <w:r w:rsidR="003A2BE9" w:rsidRPr="007D7CE2">
        <w:t>Since the final goal is to mitigate the chemical incompatibility danger, the risk need</w:t>
      </w:r>
      <w:r w:rsidR="003A2BE9">
        <w:t>s</w:t>
      </w:r>
      <w:r w:rsidR="003A2BE9" w:rsidRPr="007D7CE2">
        <w:t xml:space="preserve"> to be described accurately. The focal point is th</w:t>
      </w:r>
      <w:r w:rsidR="009D7701">
        <w:t>at</w:t>
      </w:r>
      <w:r w:rsidR="003A2BE9" w:rsidRPr="007D7CE2">
        <w:t xml:space="preserve"> the accident that </w:t>
      </w:r>
      <w:r w:rsidR="009D7701">
        <w:t>may occur</w:t>
      </w:r>
      <w:r w:rsidR="003A2BE9" w:rsidRPr="007D7CE2">
        <w:t xml:space="preserve"> for which the causes need to be identified (circumstances, nature of the incompatibility, quantities, …) and the consequences calculated. Starting from this point, the risk could then be ranked and mitigation strategies defined.</w:t>
      </w:r>
      <w:r w:rsidR="008F249F">
        <w:t xml:space="preserve"> </w:t>
      </w:r>
      <w:r w:rsidR="003A2BE9" w:rsidRPr="007D7CE2">
        <w:t xml:space="preserve">Thus, from the preceding information and some </w:t>
      </w:r>
      <w:r w:rsidR="00396511" w:rsidRPr="007D7CE2">
        <w:t>brainstorming,</w:t>
      </w:r>
      <w:r w:rsidR="003A2BE9" w:rsidRPr="007D7CE2">
        <w:t xml:space="preserve"> the following typology of accidents was defined for SIAAP</w:t>
      </w:r>
      <w:r w:rsidR="001706AE">
        <w:t>:</w:t>
      </w:r>
    </w:p>
    <w:p w14:paraId="210CAD6F" w14:textId="7341C22C" w:rsidR="000F0983" w:rsidRDefault="000F0983" w:rsidP="004E0D2E">
      <w:pPr>
        <w:pStyle w:val="CETnumberinga"/>
        <w:numPr>
          <w:ilvl w:val="0"/>
          <w:numId w:val="25"/>
        </w:numPr>
      </w:pPr>
      <w:r w:rsidRPr="00AD4A86">
        <w:t xml:space="preserve">Formation of an unstable substance that explodes (e.g. mixture of a peroxide and a </w:t>
      </w:r>
      <w:r w:rsidR="0004262D">
        <w:t>combustible</w:t>
      </w:r>
      <w:r w:rsidRPr="00AD4A86">
        <w:t>).</w:t>
      </w:r>
    </w:p>
    <w:p w14:paraId="7E663192" w14:textId="77777777" w:rsidR="000F0983" w:rsidRDefault="000F0983" w:rsidP="004E0D2E">
      <w:pPr>
        <w:pStyle w:val="CETnumberinga"/>
        <w:numPr>
          <w:ilvl w:val="0"/>
          <w:numId w:val="25"/>
        </w:numPr>
      </w:pPr>
      <w:r w:rsidRPr="00AD4A86">
        <w:t>Formation of a toxic cloud (e.g. release of Cl</w:t>
      </w:r>
      <w:r>
        <w:rPr>
          <w:vertAlign w:val="subscript"/>
        </w:rPr>
        <w:t>2</w:t>
      </w:r>
      <w:r w:rsidRPr="00AD4A86">
        <w:t xml:space="preserve"> from a </w:t>
      </w:r>
      <w:proofErr w:type="spellStart"/>
      <w:r w:rsidRPr="00AD4A86">
        <w:t>NaOCl+acid</w:t>
      </w:r>
      <w:proofErr w:type="spellEnd"/>
      <w:r w:rsidRPr="00AD4A86">
        <w:t xml:space="preserve"> mixture)</w:t>
      </w:r>
    </w:p>
    <w:p w14:paraId="31889B5C" w14:textId="77777777" w:rsidR="000F0983" w:rsidRDefault="000F0983" w:rsidP="004E0D2E">
      <w:pPr>
        <w:pStyle w:val="CETnumberinga"/>
        <w:numPr>
          <w:ilvl w:val="0"/>
          <w:numId w:val="25"/>
        </w:numPr>
      </w:pPr>
      <w:r w:rsidRPr="00AD4A86">
        <w:t>Formation of an aerosol containing a toxic reagent by vaporization of water (e.g. dissolution of concentrated sulfuric acid in water).</w:t>
      </w:r>
    </w:p>
    <w:p w14:paraId="60BCF2DC" w14:textId="77777777" w:rsidR="000F0983" w:rsidRDefault="000F0983" w:rsidP="004E0D2E">
      <w:pPr>
        <w:pStyle w:val="CETnumberinga"/>
        <w:numPr>
          <w:ilvl w:val="0"/>
          <w:numId w:val="25"/>
        </w:numPr>
      </w:pPr>
      <w:r w:rsidRPr="00AD4A86">
        <w:t>Formation of a flammable cloud (e.g. release of H</w:t>
      </w:r>
      <w:r>
        <w:rPr>
          <w:vertAlign w:val="subscript"/>
        </w:rPr>
        <w:t>2</w:t>
      </w:r>
      <w:r w:rsidRPr="00AD4A86">
        <w:t xml:space="preserve"> by acid attack on a metal)</w:t>
      </w:r>
    </w:p>
    <w:p w14:paraId="4BBDC4FA" w14:textId="6C2BE70E" w:rsidR="000F0983" w:rsidRDefault="00D532FE" w:rsidP="004E0D2E">
      <w:pPr>
        <w:pStyle w:val="CETnumberinga"/>
        <w:numPr>
          <w:ilvl w:val="0"/>
          <w:numId w:val="25"/>
        </w:numPr>
      </w:pPr>
      <w:r>
        <w:t xml:space="preserve">Thermal degradation of equipment </w:t>
      </w:r>
      <w:r w:rsidR="000F0983" w:rsidRPr="00AD4A86">
        <w:t>under the effect of excessive heating (e.g. plastic joints/tubes if temperature &gt;80 to 100</w:t>
      </w:r>
      <w:r w:rsidR="0004262D">
        <w:t xml:space="preserve"> </w:t>
      </w:r>
      <w:r w:rsidR="000F0983" w:rsidRPr="00AD4A86">
        <w:t>°C following an exothermic reaction)</w:t>
      </w:r>
    </w:p>
    <w:p w14:paraId="4A3A899B" w14:textId="0D30DB50" w:rsidR="000F0983" w:rsidRDefault="00D532FE" w:rsidP="004E0D2E">
      <w:pPr>
        <w:pStyle w:val="CETnumberinga"/>
        <w:numPr>
          <w:ilvl w:val="0"/>
          <w:numId w:val="25"/>
        </w:numPr>
      </w:pPr>
      <w:r>
        <w:t>Chemical degradation of equipment</w:t>
      </w:r>
      <w:r w:rsidR="00AF347C">
        <w:t xml:space="preserve"> and corrosion</w:t>
      </w:r>
      <w:r w:rsidR="000F0983" w:rsidRPr="00AD4A86">
        <w:t xml:space="preserve"> (e.g. attack on metal container by acid content)</w:t>
      </w:r>
    </w:p>
    <w:p w14:paraId="0DF2F1FC" w14:textId="43E2F0BC" w:rsidR="003A2BE9" w:rsidRDefault="000F0983" w:rsidP="00123A18">
      <w:pPr>
        <w:pStyle w:val="CETnumberinga"/>
        <w:numPr>
          <w:ilvl w:val="0"/>
          <w:numId w:val="25"/>
        </w:numPr>
      </w:pPr>
      <w:r w:rsidRPr="00AD4A86">
        <w:t>Plugging due to solid formation (e.g. precipitation</w:t>
      </w:r>
      <w:r w:rsidR="00766564">
        <w:t xml:space="preserve"> reactions</w:t>
      </w:r>
      <w:r w:rsidRPr="00AD4A86">
        <w:t>)</w:t>
      </w:r>
    </w:p>
    <w:p w14:paraId="7FFBB23F" w14:textId="0401B4FF" w:rsidR="00B72E1C" w:rsidRDefault="00B72E1C" w:rsidP="00B72E1C">
      <w:pPr>
        <w:pStyle w:val="CETBodytext"/>
      </w:pPr>
      <w:r w:rsidRPr="00B72E1C">
        <w:tab/>
        <w:t>Each type of accident was analyzed starting from the chemical dimension</w:t>
      </w:r>
      <w:r w:rsidR="009D7701">
        <w:t>,</w:t>
      </w:r>
      <w:r w:rsidRPr="00B72E1C">
        <w:t xml:space="preserve"> looking for some identification parameter</w:t>
      </w:r>
      <w:r w:rsidR="009D7701">
        <w:t>s</w:t>
      </w:r>
      <w:r w:rsidRPr="00B72E1C">
        <w:t xml:space="preserve"> and for potential quantities of hazardous substances. The human and </w:t>
      </w:r>
      <w:r w:rsidR="009D7701" w:rsidRPr="00B72E1C">
        <w:t>organizational</w:t>
      </w:r>
      <w:r w:rsidRPr="00B72E1C">
        <w:t xml:space="preserve"> aspects wi</w:t>
      </w:r>
      <w:r w:rsidR="006036FE">
        <w:t>ll be subject for further research.</w:t>
      </w:r>
    </w:p>
    <w:p w14:paraId="18BAFA6F" w14:textId="78631C51" w:rsidR="00453E24" w:rsidRPr="00B57B36" w:rsidRDefault="004E3E0E" w:rsidP="00DF3907">
      <w:pPr>
        <w:pStyle w:val="CETHeading1"/>
        <w:numPr>
          <w:ilvl w:val="0"/>
          <w:numId w:val="0"/>
        </w:numPr>
      </w:pPr>
      <w:r>
        <w:t>3</w:t>
      </w:r>
      <w:r w:rsidR="00DF3907">
        <w:t xml:space="preserve">. </w:t>
      </w:r>
      <w:r w:rsidR="000F0983" w:rsidRPr="00AD4A86">
        <w:t xml:space="preserve">Identification of relevant </w:t>
      </w:r>
      <w:proofErr w:type="spellStart"/>
      <w:r w:rsidR="000F0983" w:rsidRPr="00AD4A86">
        <w:t>physico</w:t>
      </w:r>
      <w:proofErr w:type="spellEnd"/>
      <w:r w:rsidR="000F0983" w:rsidRPr="00AD4A86">
        <w:t>-chemical parameters</w:t>
      </w:r>
    </w:p>
    <w:p w14:paraId="438A7269" w14:textId="13D2E30C" w:rsidR="00D43DA7" w:rsidRPr="00DF3907" w:rsidRDefault="004E3E0E" w:rsidP="00DF3907">
      <w:pPr>
        <w:pStyle w:val="CETheadingx"/>
      </w:pPr>
      <w:r w:rsidRPr="00DF3907">
        <w:t>3.</w:t>
      </w:r>
      <w:r w:rsidR="00DF3907" w:rsidRPr="00DF3907">
        <w:t>1</w:t>
      </w:r>
      <w:r w:rsidRPr="00DF3907">
        <w:t xml:space="preserve"> </w:t>
      </w:r>
      <w:r w:rsidR="00D43DA7" w:rsidRPr="00DF3907">
        <w:t xml:space="preserve">Scenario A_ </w:t>
      </w:r>
      <w:r w:rsidR="00171B77" w:rsidRPr="00DF3907">
        <w:t>Formation of an unstable, exploding substance</w:t>
      </w:r>
      <w:r w:rsidR="00D43DA7" w:rsidRPr="00DF3907">
        <w:t xml:space="preserve"> </w:t>
      </w:r>
    </w:p>
    <w:p w14:paraId="1EBD5813" w14:textId="49C45845" w:rsidR="002D68CC" w:rsidRPr="002D68CC" w:rsidRDefault="002D68CC" w:rsidP="00D43DA7">
      <w:pPr>
        <w:pStyle w:val="CETBodytext"/>
        <w:rPr>
          <w:lang w:val="en-GB"/>
        </w:rPr>
      </w:pPr>
      <w:r w:rsidRPr="002D68CC">
        <w:rPr>
          <w:lang w:val="en-GB"/>
        </w:rPr>
        <w:t xml:space="preserve">Unstable substances typically contain both a powerful oxidant and a combustible. The reaction can be highly exothermic, leading to rapid energy release that may result in an explosion under certain conditions, such as impact or temperature increases. In the context of SIAAP operations, hydrogen peroxide is a potential oxidant. When mixed with certain products, it can decompose in a highly exothermic reaction, as shown in </w:t>
      </w:r>
      <w:proofErr w:type="spellStart"/>
      <w:proofErr w:type="gramStart"/>
      <w:r w:rsidRPr="002D68CC">
        <w:rPr>
          <w:lang w:val="en-GB"/>
        </w:rPr>
        <w:t>Eq</w:t>
      </w:r>
      <w:proofErr w:type="spellEnd"/>
      <w:r w:rsidRPr="002D68CC">
        <w:rPr>
          <w:lang w:val="en-GB"/>
        </w:rPr>
        <w:t>(</w:t>
      </w:r>
      <w:proofErr w:type="gramEnd"/>
      <w:r w:rsidRPr="002D68CC">
        <w:rPr>
          <w:lang w:val="en-GB"/>
        </w:rPr>
        <w:t>1):</w:t>
      </w:r>
    </w:p>
    <w:tbl>
      <w:tblPr>
        <w:tblW w:w="5000" w:type="pct"/>
        <w:tblLook w:val="04A0" w:firstRow="1" w:lastRow="0" w:firstColumn="1" w:lastColumn="0" w:noHBand="0" w:noVBand="1"/>
      </w:tblPr>
      <w:tblGrid>
        <w:gridCol w:w="7982"/>
        <w:gridCol w:w="805"/>
      </w:tblGrid>
      <w:tr w:rsidR="00D43DA7" w:rsidRPr="00B57B36" w14:paraId="2D41ABDF" w14:textId="77777777" w:rsidTr="002D68CC">
        <w:tc>
          <w:tcPr>
            <w:tcW w:w="7982" w:type="dxa"/>
            <w:shd w:val="clear" w:color="auto" w:fill="auto"/>
            <w:vAlign w:val="center"/>
          </w:tcPr>
          <w:p w14:paraId="3153F7AB" w14:textId="77777777" w:rsidR="00D43DA7" w:rsidRPr="00DF618B" w:rsidRDefault="00D43DA7" w:rsidP="00AA2B01">
            <w:pPr>
              <w:pStyle w:val="CETEquation"/>
              <w:rPr>
                <w:noProof/>
                <w:vertAlign w:val="subscript"/>
                <w:lang w:val="it-IT" w:eastAsia="it-IT"/>
              </w:rPr>
            </w:pPr>
            <w:r>
              <w:rPr>
                <w:noProof/>
                <w:lang w:val="it-IT" w:eastAsia="it-IT"/>
              </w:rPr>
              <mc:AlternateContent>
                <mc:Choice Requires="wps">
                  <w:drawing>
                    <wp:anchor distT="0" distB="0" distL="114300" distR="114300" simplePos="0" relativeHeight="251659264" behindDoc="0" locked="0" layoutInCell="1" allowOverlap="1" wp14:anchorId="6FAF0D36" wp14:editId="299AD278">
                      <wp:simplePos x="0" y="0"/>
                      <wp:positionH relativeFrom="column">
                        <wp:posOffset>329565</wp:posOffset>
                      </wp:positionH>
                      <wp:positionV relativeFrom="paragraph">
                        <wp:posOffset>137160</wp:posOffset>
                      </wp:positionV>
                      <wp:extent cx="419100" cy="7620"/>
                      <wp:effectExtent l="0" t="57150" r="38100" b="87630"/>
                      <wp:wrapNone/>
                      <wp:docPr id="1389378618" name="Straight Arrow Connector 3"/>
                      <wp:cNvGraphicFramePr/>
                      <a:graphic xmlns:a="http://schemas.openxmlformats.org/drawingml/2006/main">
                        <a:graphicData uri="http://schemas.microsoft.com/office/word/2010/wordprocessingShape">
                          <wps:wsp>
                            <wps:cNvCnPr/>
                            <wps:spPr>
                              <a:xfrm>
                                <a:off x="0" y="0"/>
                                <a:ext cx="4191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E85E51B" id="_x0000_t32" coordsize="21600,21600" o:spt="32" o:oned="t" path="m,l21600,21600e" filled="f">
                      <v:path arrowok="t" fillok="f" o:connecttype="none"/>
                      <o:lock v:ext="edit" shapetype="t"/>
                    </v:shapetype>
                    <v:shape id="Straight Arrow Connector 3" o:spid="_x0000_s1026" type="#_x0000_t32" style="position:absolute;margin-left:25.95pt;margin-top:10.8pt;width:33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" strokecolor="black [3040]">
                      <v:stroke endarrow="block"/>
                    </v:shape>
                  </w:pict>
                </mc:Fallback>
              </mc:AlternateContent>
            </w:r>
            <w:r>
              <w:rPr>
                <w:noProof/>
                <w:lang w:val="it-IT" w:eastAsia="it-IT"/>
              </w:rPr>
              <w:t>H</w:t>
            </w:r>
            <w:r>
              <w:rPr>
                <w:noProof/>
                <w:vertAlign w:val="subscript"/>
                <w:lang w:val="it-IT" w:eastAsia="it-IT"/>
              </w:rPr>
              <w:t>2</w:t>
            </w:r>
            <w:r>
              <w:rPr>
                <w:noProof/>
                <w:lang w:val="it-IT" w:eastAsia="it-IT"/>
              </w:rPr>
              <w:t>O</w:t>
            </w:r>
            <w:r>
              <w:rPr>
                <w:noProof/>
                <w:vertAlign w:val="subscript"/>
                <w:lang w:val="it-IT" w:eastAsia="it-IT"/>
              </w:rPr>
              <w:t xml:space="preserve">2                           </w:t>
            </w:r>
            <w:r w:rsidRPr="00DF618B">
              <w:rPr>
                <w:noProof/>
                <w:lang w:val="it-IT" w:eastAsia="it-IT"/>
              </w:rPr>
              <w:t>H</w:t>
            </w:r>
            <w:r>
              <w:rPr>
                <w:noProof/>
                <w:vertAlign w:val="subscript"/>
                <w:lang w:val="it-IT" w:eastAsia="it-IT"/>
              </w:rPr>
              <w:t>2</w:t>
            </w:r>
            <w:r w:rsidRPr="00DF618B">
              <w:rPr>
                <w:noProof/>
                <w:lang w:val="it-IT" w:eastAsia="it-IT"/>
              </w:rPr>
              <w:t>O</w:t>
            </w:r>
            <w:r>
              <w:rPr>
                <w:noProof/>
                <w:lang w:val="it-IT" w:eastAsia="it-IT"/>
              </w:rPr>
              <w:t xml:space="preserve"> + ½ O</w:t>
            </w:r>
            <w:r>
              <w:rPr>
                <w:noProof/>
                <w:vertAlign w:val="subscript"/>
                <w:lang w:val="it-IT" w:eastAsia="it-IT"/>
              </w:rPr>
              <w:t>2</w:t>
            </w:r>
          </w:p>
        </w:tc>
        <w:tc>
          <w:tcPr>
            <w:tcW w:w="805" w:type="dxa"/>
            <w:shd w:val="clear" w:color="auto" w:fill="auto"/>
            <w:vAlign w:val="center"/>
          </w:tcPr>
          <w:p w14:paraId="7D512692" w14:textId="77777777" w:rsidR="00D43DA7" w:rsidRPr="00B57B36" w:rsidRDefault="00D43DA7" w:rsidP="00AA2B01">
            <w:pPr>
              <w:pStyle w:val="CETEquation"/>
              <w:jc w:val="right"/>
            </w:pPr>
            <w:r w:rsidRPr="00B57B36">
              <w:t>(1)</w:t>
            </w:r>
          </w:p>
        </w:tc>
      </w:tr>
    </w:tbl>
    <w:p w14:paraId="1CCB8831" w14:textId="01A06BED" w:rsidR="009351AB" w:rsidRDefault="002D68CC" w:rsidP="00D43DA7">
      <w:pPr>
        <w:pStyle w:val="CETBodytext"/>
      </w:pPr>
      <w:r w:rsidRPr="002D68CC">
        <w:t xml:space="preserve">The decomposition of hydrogen peroxide releases oxygen, which can trigger secondary combustion reactions. </w:t>
      </w:r>
      <w:r w:rsidR="00BC78B9" w:rsidRPr="00BC78B9">
        <w:t>At SIAAP, methanol is unlikely to be accidentally mixed with hydrogen peroxide, since they are used at distinct sites</w:t>
      </w:r>
      <w:r w:rsidRPr="002D68CC">
        <w:t xml:space="preserve">. However, fuel oil, sometimes used by </w:t>
      </w:r>
      <w:r w:rsidR="00D85689">
        <w:t xml:space="preserve">SIAAP </w:t>
      </w:r>
      <w:r w:rsidRPr="002D68CC">
        <w:t xml:space="preserve">subcontractors, could be a concern. To estimate the effects of hydrogen peroxide decomposition, </w:t>
      </w:r>
      <w:r w:rsidR="007E1363" w:rsidRPr="002D68CC">
        <w:t>the reaction is</w:t>
      </w:r>
      <w:r w:rsidR="007E1363">
        <w:t xml:space="preserve"> </w:t>
      </w:r>
      <w:r w:rsidR="007E1363" w:rsidRPr="002D68CC">
        <w:t>assume</w:t>
      </w:r>
      <w:r w:rsidR="007E1363">
        <w:t>d to be</w:t>
      </w:r>
      <w:r w:rsidR="007E1363" w:rsidRPr="002D68CC">
        <w:t xml:space="preserve"> complete</w:t>
      </w:r>
      <w:r w:rsidR="007E1363">
        <w:t xml:space="preserve"> </w:t>
      </w:r>
      <w:r w:rsidR="007E1363" w:rsidRPr="002D68CC">
        <w:t>in a worst-case scenario</w:t>
      </w:r>
      <w:r w:rsidR="00C426BD">
        <w:t xml:space="preserve">. </w:t>
      </w:r>
      <w:r w:rsidR="00DE0B61" w:rsidRPr="00DE0B61">
        <w:t>Hess's Law</w:t>
      </w:r>
      <w:r w:rsidR="00045997">
        <w:t xml:space="preserve"> </w:t>
      </w:r>
      <w:r w:rsidR="00C426BD">
        <w:t>can be</w:t>
      </w:r>
      <w:r w:rsidR="00045997">
        <w:t xml:space="preserve"> </w:t>
      </w:r>
      <w:r w:rsidR="00C426BD">
        <w:t>used</w:t>
      </w:r>
      <w:r w:rsidR="00DE0B61" w:rsidRPr="00DE0B61">
        <w:t xml:space="preserve"> to calculate the enthalpy change of the decomposition reaction </w:t>
      </w:r>
      <w:proofErr w:type="gramStart"/>
      <w:r w:rsidR="00DE0B61" w:rsidRPr="00DE0B61">
        <w:t>Eq</w:t>
      </w:r>
      <w:r w:rsidR="009D0B63">
        <w:t>(</w:t>
      </w:r>
      <w:proofErr w:type="gramEnd"/>
      <w:r w:rsidR="00DE0B61" w:rsidRPr="00DE0B61">
        <w:t>2). Based on these parameters, the reaction releases 98 kJ of heat per mole of hydrogen peroxide.</w:t>
      </w:r>
      <w:r w:rsidR="00C426BD">
        <w:t xml:space="preserve"> </w:t>
      </w:r>
      <w:r w:rsidR="006F266E">
        <w:t>Depending on initial hydrogen peroxide concentration, the released</w:t>
      </w:r>
      <w:r w:rsidR="007E1363" w:rsidRPr="00571879">
        <w:t xml:space="preserve"> energy could significantly raise temperatures</w:t>
      </w:r>
      <w:r w:rsidR="00DE0B61" w:rsidRPr="00DE0B61">
        <w:t>, potentially vaporizing water and causing explosive pressure effects similar to the detonation of explosives</w:t>
      </w:r>
      <w:r w:rsidR="005855E9">
        <w:t xml:space="preserve">. </w:t>
      </w:r>
      <w:r w:rsidR="005855E9">
        <w:rPr>
          <w:rStyle w:val="Marquedecommentaire"/>
          <w:lang w:val="en-GB"/>
        </w:rPr>
        <w:t>T</w:t>
      </w:r>
      <w:r w:rsidR="005855E9" w:rsidRPr="00EB6D30">
        <w:t>he hydrocarbons and alcohols mentioned above are easily vaporized and ignited under these conditions</w:t>
      </w:r>
      <w:r w:rsidR="005855E9">
        <w:t>.</w:t>
      </w:r>
      <w:r w:rsidR="00DE0B61" w:rsidRPr="00DE0B61">
        <w:t xml:space="preserve"> This situation would pose a significant safety risk, with a potential for catastrophic consequences.</w:t>
      </w:r>
    </w:p>
    <w:tbl>
      <w:tblPr>
        <w:tblW w:w="5000" w:type="pct"/>
        <w:tblLook w:val="04A0" w:firstRow="1" w:lastRow="0" w:firstColumn="1" w:lastColumn="0" w:noHBand="0" w:noVBand="1"/>
      </w:tblPr>
      <w:tblGrid>
        <w:gridCol w:w="7959"/>
        <w:gridCol w:w="828"/>
      </w:tblGrid>
      <w:tr w:rsidR="009351AB" w:rsidRPr="00B57B36" w14:paraId="19747893" w14:textId="77777777" w:rsidTr="006036FE">
        <w:tc>
          <w:tcPr>
            <w:tcW w:w="7959" w:type="dxa"/>
            <w:shd w:val="clear" w:color="auto" w:fill="auto"/>
            <w:vAlign w:val="center"/>
          </w:tcPr>
          <w:p w14:paraId="7D9C3800" w14:textId="1C05ADB0" w:rsidR="009351AB" w:rsidRPr="009351AB" w:rsidRDefault="009351AB" w:rsidP="00B73E3E">
            <w:pPr>
              <w:pStyle w:val="CETEquation"/>
              <w:rPr>
                <w:noProof/>
                <w:vertAlign w:val="subscript"/>
                <w:lang w:val="it-IT" w:eastAsia="it-IT"/>
              </w:rPr>
            </w:pPr>
            <m:oMathPara>
              <m:oMathParaPr>
                <m:jc m:val="left"/>
              </m:oMathParaPr>
              <m:oMath>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r</m:t>
                    </m:r>
                    <m:r>
                      <m:rPr>
                        <m:sty m:val="p"/>
                      </m:rPr>
                      <w:rPr>
                        <w:rFonts w:ascii="Cambria Math" w:hAnsi="Cambria Math"/>
                      </w:rPr>
                      <m:t>é</m:t>
                    </m:r>
                    <m:r>
                      <w:rPr>
                        <w:rFonts w:ascii="Cambria Math" w:hAnsi="Cambria Math"/>
                      </w:rPr>
                      <m:t>action</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O2</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H</m:t>
                    </m:r>
                    <m:r>
                      <m:rPr>
                        <m:sty m:val="p"/>
                      </m:rPr>
                      <w:rPr>
                        <w:rFonts w:ascii="Cambria Math" w:hAnsi="Cambria Math"/>
                      </w:rPr>
                      <m:t>2</m:t>
                    </m:r>
                    <m:r>
                      <w:rPr>
                        <w:rFonts w:ascii="Cambria Math" w:hAnsi="Cambria Math"/>
                      </w:rPr>
                      <m:t>O</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H</m:t>
                    </m:r>
                    <m:r>
                      <m:rPr>
                        <m:sty m:val="p"/>
                      </m:rPr>
                      <w:rPr>
                        <w:rFonts w:ascii="Cambria Math" w:hAnsi="Cambria Math"/>
                      </w:rPr>
                      <m:t>2</m:t>
                    </m:r>
                    <m:r>
                      <w:rPr>
                        <w:rFonts w:ascii="Cambria Math" w:hAnsi="Cambria Math"/>
                      </w:rPr>
                      <m:t>O</m:t>
                    </m:r>
                    <m:r>
                      <m:rPr>
                        <m:sty m:val="p"/>
                      </m:rPr>
                      <w:rPr>
                        <w:rFonts w:ascii="Cambria Math" w:hAnsi="Cambria Math"/>
                      </w:rPr>
                      <m:t>2</m:t>
                    </m:r>
                  </m:sub>
                </m:sSub>
                <m:r>
                  <m:rPr>
                    <m:sty m:val="p"/>
                  </m:rPr>
                  <w:rPr>
                    <w:rFonts w:ascii="Cambria Math" w:eastAsiaTheme="minorEastAsia" w:hAnsi="Cambria Math" w:cs="Arial"/>
                  </w:rPr>
                  <m:t xml:space="preserve">= 0 + </m:t>
                </m:r>
                <m:d>
                  <m:dPr>
                    <m:ctrlPr>
                      <w:rPr>
                        <w:rFonts w:ascii="Cambria Math" w:eastAsiaTheme="minorEastAsia" w:hAnsi="Cambria Math" w:cs="Arial"/>
                      </w:rPr>
                    </m:ctrlPr>
                  </m:dPr>
                  <m:e>
                    <m:r>
                      <m:rPr>
                        <m:sty m:val="p"/>
                      </m:rPr>
                      <w:rPr>
                        <w:rFonts w:ascii="Cambria Math" w:eastAsiaTheme="minorEastAsia" w:hAnsi="Cambria Math" w:cs="Arial"/>
                      </w:rPr>
                      <m:t>-285.8</m:t>
                    </m:r>
                  </m:e>
                </m:d>
                <m:r>
                  <m:rPr>
                    <m:sty m:val="p"/>
                  </m:rPr>
                  <w:rPr>
                    <w:rFonts w:ascii="Cambria Math" w:eastAsiaTheme="minorEastAsia" w:hAnsi="Cambria Math" w:cs="Arial"/>
                  </w:rPr>
                  <m:t xml:space="preserve">– </m:t>
                </m:r>
                <m:d>
                  <m:dPr>
                    <m:ctrlPr>
                      <w:rPr>
                        <w:rFonts w:ascii="Cambria Math" w:eastAsiaTheme="minorEastAsia" w:hAnsi="Cambria Math" w:cs="Arial"/>
                      </w:rPr>
                    </m:ctrlPr>
                  </m:dPr>
                  <m:e>
                    <m:r>
                      <m:rPr>
                        <m:sty m:val="p"/>
                      </m:rPr>
                      <w:rPr>
                        <w:rFonts w:ascii="Cambria Math" w:eastAsiaTheme="minorEastAsia" w:hAnsi="Cambria Math" w:cs="Arial"/>
                      </w:rPr>
                      <m:t>-187.8</m:t>
                    </m:r>
                  </m:e>
                </m:d>
                <m:r>
                  <m:rPr>
                    <m:sty m:val="p"/>
                  </m:rPr>
                  <w:rPr>
                    <w:rFonts w:ascii="Cambria Math" w:eastAsiaTheme="minorEastAsia" w:hAnsi="Cambria Math"/>
                  </w:rPr>
                  <m:t>=-98 kJ/mol</m:t>
                </m:r>
              </m:oMath>
            </m:oMathPara>
          </w:p>
        </w:tc>
        <w:tc>
          <w:tcPr>
            <w:tcW w:w="828" w:type="dxa"/>
            <w:shd w:val="clear" w:color="auto" w:fill="auto"/>
            <w:vAlign w:val="center"/>
          </w:tcPr>
          <w:p w14:paraId="6D1D55E1" w14:textId="32E0015C" w:rsidR="009351AB" w:rsidRPr="00B57B36" w:rsidRDefault="009351AB" w:rsidP="00B73E3E">
            <w:pPr>
              <w:pStyle w:val="CETEquation"/>
              <w:jc w:val="right"/>
            </w:pPr>
            <w:r w:rsidRPr="00B57B36">
              <w:t>(</w:t>
            </w:r>
            <w:r>
              <w:t>2</w:t>
            </w:r>
            <w:r w:rsidRPr="00B57B36">
              <w:t>)</w:t>
            </w:r>
          </w:p>
        </w:tc>
      </w:tr>
    </w:tbl>
    <w:p w14:paraId="4B492E4E" w14:textId="52A398C5" w:rsidR="00D43DA7" w:rsidRDefault="0020662B" w:rsidP="00D43DA7">
      <w:pPr>
        <w:pStyle w:val="CETBodytext"/>
      </w:pPr>
      <w:r w:rsidRPr="0020662B">
        <w:lastRenderedPageBreak/>
        <w:t>To characterize this scenario, it is sufficient to identify the “peroxide” and “combustible” properties, which are usually clearly accessible on the safety data sheet.</w:t>
      </w:r>
      <w:r w:rsidR="00D43DA7" w:rsidRPr="00EB6D30">
        <w:t xml:space="preserve"> </w:t>
      </w:r>
    </w:p>
    <w:p w14:paraId="48926B18" w14:textId="5CF9881A" w:rsidR="00E67541" w:rsidRDefault="004E3E0E" w:rsidP="00DF3907">
      <w:pPr>
        <w:pStyle w:val="CETheadingx"/>
      </w:pPr>
      <w:r>
        <w:t xml:space="preserve">3.2 </w:t>
      </w:r>
      <w:r w:rsidR="00D43DA7" w:rsidRPr="00EB6D30">
        <w:t>Scenario B_ Formation of a toxic cloud</w:t>
      </w:r>
    </w:p>
    <w:p w14:paraId="0DD7F6FB" w14:textId="53FF6743" w:rsidR="00B61BE6" w:rsidRDefault="00D43DA7" w:rsidP="00D43DA7">
      <w:pPr>
        <w:pStyle w:val="CETBodytext"/>
      </w:pPr>
      <w:r w:rsidRPr="00EB6D30">
        <w:t>A leak of a toxic substance (chlorine, ammonia, phosgene, acid, etc.) from a plant can cause serious damage through inhalation, skin or eye contact, or ingestion. The effects may include acute lung oedema, nervous system damage or chemical burns to the skin or eyes. Emissions of toxic substances</w:t>
      </w:r>
      <w:r w:rsidR="00B61BE6">
        <w:t xml:space="preserve"> </w:t>
      </w:r>
      <w:r w:rsidRPr="00EB6D30">
        <w:t>in SIAAP</w:t>
      </w:r>
      <w:r w:rsidR="00B61BE6">
        <w:t xml:space="preserve"> operations</w:t>
      </w:r>
      <w:r w:rsidRPr="00EB6D30">
        <w:t>, could result from the degradation of chlorinated substances (ferric chloride, sodium hypochlorite, hydrochloric acid), releasing chlorine</w:t>
      </w:r>
      <w:r w:rsidR="001F13C8">
        <w:t xml:space="preserve"> Cl</w:t>
      </w:r>
      <w:r w:rsidR="001F13C8">
        <w:rPr>
          <w:vertAlign w:val="subscript"/>
        </w:rPr>
        <w:t xml:space="preserve">2 </w:t>
      </w:r>
      <w:r w:rsidR="001F13C8">
        <w:t>gas</w:t>
      </w:r>
      <w:r w:rsidRPr="00EB6D30">
        <w:t>, or sulfurous substances (sulfuric acid, sodium bisulfite), releasing</w:t>
      </w:r>
      <w:r w:rsidR="001F13C8">
        <w:t xml:space="preserve"> sulfur dioxide</w:t>
      </w:r>
      <w:r w:rsidRPr="00EB6D30">
        <w:t xml:space="preserve"> SO</w:t>
      </w:r>
      <w:r w:rsidR="001F13C8">
        <w:rPr>
          <w:vertAlign w:val="subscript"/>
        </w:rPr>
        <w:t xml:space="preserve">2 </w:t>
      </w:r>
      <w:r w:rsidR="001F13C8">
        <w:t>gas</w:t>
      </w:r>
      <w:r w:rsidRPr="00EB6D30">
        <w:t>. Typically, these toxic gas emissions result from aggressive chemical reactions, since the compounds in question are</w:t>
      </w:r>
      <w:r w:rsidR="001F13C8">
        <w:t xml:space="preserve"> </w:t>
      </w:r>
      <w:r w:rsidR="001F13C8" w:rsidRPr="001F13C8">
        <w:t>relatively</w:t>
      </w:r>
      <w:r w:rsidRPr="00EB6D30">
        <w:t xml:space="preserve"> stable. These reactions include acid-base neutralization and oxidation-reduction.</w:t>
      </w:r>
      <w:r>
        <w:t xml:space="preserve"> </w:t>
      </w:r>
      <w:r w:rsidRPr="007F5E7C">
        <w:t xml:space="preserve">In order to consider the release of one of these toxic substances, it seems essential that the pairing can be described as acidic and basic, or oxidizing and reducing. </w:t>
      </w:r>
      <w:r w:rsidR="007C01A3">
        <w:t>F</w:t>
      </w:r>
      <w:r w:rsidR="007C01A3" w:rsidRPr="007C01A3">
        <w:t>or example, the mixture of sodium hypochlorite and hydrochloric acid</w:t>
      </w:r>
      <w:r w:rsidR="007C01A3">
        <w:t xml:space="preserve"> can </w:t>
      </w:r>
      <w:r w:rsidR="007C01A3" w:rsidRPr="007F5E7C">
        <w:t>release</w:t>
      </w:r>
      <w:r w:rsidRPr="007F5E7C">
        <w:t xml:space="preserve"> Cl</w:t>
      </w:r>
      <w:r w:rsidR="007C01A3">
        <w:rPr>
          <w:vertAlign w:val="subscript"/>
        </w:rPr>
        <w:t xml:space="preserve">2 </w:t>
      </w:r>
      <w:r w:rsidR="007C01A3">
        <w:t>gas</w:t>
      </w:r>
      <w:r w:rsidRPr="007F5E7C">
        <w:t>. This is also the case for FeCl</w:t>
      </w:r>
      <w:r w:rsidR="007C01A3">
        <w:rPr>
          <w:vertAlign w:val="subscript"/>
        </w:rPr>
        <w:t>3</w:t>
      </w:r>
      <w:r w:rsidRPr="007F5E7C">
        <w:t xml:space="preserve"> with </w:t>
      </w:r>
      <w:r w:rsidR="00874192">
        <w:t xml:space="preserve">concentrated </w:t>
      </w:r>
      <w:r w:rsidRPr="007F5E7C">
        <w:t>sulfuric acid</w:t>
      </w:r>
      <w:r w:rsidR="00874192">
        <w:t xml:space="preserve"> (which acts as a</w:t>
      </w:r>
      <w:r w:rsidR="009943BE">
        <w:t>n</w:t>
      </w:r>
      <w:r w:rsidR="00874192">
        <w:t xml:space="preserve"> oxidizer)</w:t>
      </w:r>
      <w:r w:rsidRPr="007F5E7C">
        <w:t xml:space="preserve"> for a reaction at high temperature or in the presence of a reducing agent.</w:t>
      </w:r>
      <w:r>
        <w:t xml:space="preserve"> </w:t>
      </w:r>
      <w:r w:rsidRPr="007F5E7C">
        <w:t xml:space="preserve">To characterize this scenario, </w:t>
      </w:r>
      <w:r w:rsidR="007C01A3" w:rsidRPr="007C01A3">
        <w:t>it is necessary to</w:t>
      </w:r>
      <w:r w:rsidR="007C01A3">
        <w:t xml:space="preserve"> </w:t>
      </w:r>
      <w:r w:rsidRPr="007F5E7C">
        <w:t>identify the “oxidizing” and “reducing” or “acidic” and “basic” properties of the product pair, and</w:t>
      </w:r>
      <w:r w:rsidR="007C01A3">
        <w:t xml:space="preserve"> also</w:t>
      </w:r>
      <w:r w:rsidRPr="007F5E7C">
        <w:t xml:space="preserve"> identify the presence of Cl</w:t>
      </w:r>
      <w:r w:rsidR="00233C22">
        <w:t xml:space="preserve"> (chlorine)</w:t>
      </w:r>
      <w:r w:rsidRPr="007F5E7C">
        <w:t xml:space="preserve"> and S</w:t>
      </w:r>
      <w:r w:rsidR="00233C22">
        <w:t xml:space="preserve"> (sulfur)</w:t>
      </w:r>
      <w:r w:rsidRPr="007F5E7C">
        <w:t xml:space="preserve"> in the molecules. This information is usually available on safety data sheets.</w:t>
      </w:r>
    </w:p>
    <w:p w14:paraId="4B8171D4" w14:textId="571174FE" w:rsidR="00B61BE6" w:rsidRDefault="004E3E0E" w:rsidP="00DF3907">
      <w:pPr>
        <w:pStyle w:val="CETheadingx"/>
      </w:pPr>
      <w:r>
        <w:t>3.</w:t>
      </w:r>
      <w:r w:rsidR="00DF3907">
        <w:t>3</w:t>
      </w:r>
      <w:r>
        <w:t xml:space="preserve"> </w:t>
      </w:r>
      <w:r w:rsidR="00D43DA7" w:rsidRPr="007F5E7C">
        <w:t xml:space="preserve">Scenario C_ Formation of an aerosol containing a toxic reagent by water vaporization, and scenario E_ </w:t>
      </w:r>
      <w:r w:rsidR="00CC00C9">
        <w:t>Thermal degradation of e</w:t>
      </w:r>
      <w:r w:rsidR="00D43DA7" w:rsidRPr="007F5E7C">
        <w:t xml:space="preserve">quipment </w:t>
      </w:r>
    </w:p>
    <w:p w14:paraId="07D86D09" w14:textId="78A54333" w:rsidR="00D43DA7" w:rsidRDefault="00D43DA7" w:rsidP="00D43DA7">
      <w:pPr>
        <w:pStyle w:val="CETBodytext"/>
      </w:pPr>
      <w:r w:rsidRPr="007F5E7C">
        <w:t>These scenarios involve the same reactions. It</w:t>
      </w:r>
      <w:r w:rsidR="009D7701">
        <w:t xml:space="preserve"> is</w:t>
      </w:r>
      <w:r w:rsidRPr="007F5E7C">
        <w:t xml:space="preserve"> only the temperature levels reached that differ. </w:t>
      </w:r>
      <w:r w:rsidR="0089052E" w:rsidRPr="0089052E">
        <w:t>The</w:t>
      </w:r>
      <w:r w:rsidR="0089052E">
        <w:t xml:space="preserve"> </w:t>
      </w:r>
      <w:r w:rsidR="0089052E" w:rsidRPr="0089052E">
        <w:t>specific case of reactions of non-combustible products with hydrogen peroxide has been identified</w:t>
      </w:r>
      <w:r w:rsidRPr="007F5E7C">
        <w:t>. Many substances can induce the decomposition</w:t>
      </w:r>
      <w:r w:rsidR="00BC5284">
        <w:t xml:space="preserve"> of</w:t>
      </w:r>
      <w:r w:rsidRPr="007F5E7C">
        <w:t xml:space="preserve"> hydrogen peroxide</w:t>
      </w:r>
      <w:r w:rsidR="00BC5284">
        <w:t xml:space="preserve"> depending on its concentration</w:t>
      </w:r>
      <w:r w:rsidRPr="007F5E7C">
        <w:t>. At the present stage of method development, it might be</w:t>
      </w:r>
      <w:r w:rsidR="0089052E">
        <w:t xml:space="preserve"> </w:t>
      </w:r>
      <w:r w:rsidR="00753585">
        <w:t xml:space="preserve">appropriate </w:t>
      </w:r>
      <w:r w:rsidRPr="007F5E7C">
        <w:t>to consider that all products other than those declared compatible</w:t>
      </w:r>
      <w:r w:rsidR="00763B90">
        <w:t xml:space="preserve"> on </w:t>
      </w:r>
      <w:r w:rsidR="007538B4">
        <w:rPr>
          <w:lang w:val="en-GB"/>
        </w:rPr>
        <w:t>s</w:t>
      </w:r>
      <w:r w:rsidR="00763B90" w:rsidRPr="00B53355">
        <w:rPr>
          <w:lang w:val="en-GB"/>
        </w:rPr>
        <w:t xml:space="preserve">afety </w:t>
      </w:r>
      <w:r w:rsidR="007538B4">
        <w:rPr>
          <w:lang w:val="en-GB"/>
        </w:rPr>
        <w:t>d</w:t>
      </w:r>
      <w:r w:rsidR="00763B90" w:rsidRPr="00B53355">
        <w:rPr>
          <w:lang w:val="en-GB"/>
        </w:rPr>
        <w:t xml:space="preserve">ata </w:t>
      </w:r>
      <w:r w:rsidR="007538B4">
        <w:rPr>
          <w:lang w:val="en-GB"/>
        </w:rPr>
        <w:t>s</w:t>
      </w:r>
      <w:r w:rsidR="00763B90" w:rsidRPr="00B53355">
        <w:rPr>
          <w:lang w:val="en-GB"/>
        </w:rPr>
        <w:t>heets</w:t>
      </w:r>
      <w:r w:rsidR="007538B4">
        <w:rPr>
          <w:lang w:val="en-GB"/>
        </w:rPr>
        <w:t xml:space="preserve"> </w:t>
      </w:r>
      <w:r w:rsidRPr="007F5E7C">
        <w:t>are incompatible and induce decomposition</w:t>
      </w:r>
      <w:r w:rsidR="004A290D">
        <w:t xml:space="preserve"> and heat release</w:t>
      </w:r>
      <w:r w:rsidRPr="007F5E7C">
        <w:t xml:space="preserve">. </w:t>
      </w:r>
      <w:r w:rsidR="00A42989" w:rsidRPr="00A42989">
        <w:t>Acid-base reactions in aqueous media generally generate heat through the reconstitution of water molecules based on the neutralization of hydroxide and hydronium ions.</w:t>
      </w:r>
      <w:r w:rsidRPr="007F5E7C">
        <w:t xml:space="preserve"> </w:t>
      </w:r>
      <w:r w:rsidR="00A42989">
        <w:t>T</w:t>
      </w:r>
      <w:r w:rsidR="00A42989" w:rsidRPr="00A42989">
        <w:t xml:space="preserve">he exothermicity of the reaction is therefore highly dependent on the relative concentrations of these ions, and </w:t>
      </w:r>
      <w:r w:rsidR="00A42989">
        <w:t>t</w:t>
      </w:r>
      <w:r w:rsidR="00A42989" w:rsidRPr="00A42989">
        <w:t>he criteria to be adopted</w:t>
      </w:r>
      <w:r w:rsidR="00A42989">
        <w:t xml:space="preserve"> for this scenario</w:t>
      </w:r>
      <w:r w:rsidR="00A42989" w:rsidRPr="00A42989">
        <w:t xml:space="preserve"> are examined below</w:t>
      </w:r>
      <w:r w:rsidR="00B61BE6">
        <w:t xml:space="preserve">. </w:t>
      </w:r>
      <w:r w:rsidR="001650AF">
        <w:t>They</w:t>
      </w:r>
      <w:r w:rsidR="007538B4">
        <w:t xml:space="preserve"> </w:t>
      </w:r>
      <w:r w:rsidRPr="007F5E7C">
        <w:t>focus on the Ni/m molar concentration of the ion, OH</w:t>
      </w:r>
      <w:r w:rsidR="00C4457E">
        <w:rPr>
          <w:vertAlign w:val="superscript"/>
        </w:rPr>
        <w:t>-</w:t>
      </w:r>
      <w:r w:rsidRPr="007F5E7C">
        <w:t xml:space="preserve"> or H</w:t>
      </w:r>
      <w:r w:rsidR="002D6B13">
        <w:rPr>
          <w:vertAlign w:val="superscript"/>
        </w:rPr>
        <w:t>+</w:t>
      </w:r>
      <w:r w:rsidRPr="007F5E7C">
        <w:t>, deficient in the neutralization reaction, which enables the targeted critical temperature (</w:t>
      </w:r>
      <w:proofErr w:type="spellStart"/>
      <w:r w:rsidRPr="007F5E7C">
        <w:t>T</w:t>
      </w:r>
      <w:r w:rsidRPr="00A40177">
        <w:rPr>
          <w:vertAlign w:val="subscript"/>
        </w:rPr>
        <w:t>critica</w:t>
      </w:r>
      <w:r w:rsidR="002D6B13">
        <w:rPr>
          <w:vertAlign w:val="subscript"/>
        </w:rPr>
        <w:t>l</w:t>
      </w:r>
      <w:proofErr w:type="spellEnd"/>
      <w:r w:rsidRPr="007F5E7C">
        <w:t>) to be released by neutralization.</w:t>
      </w:r>
    </w:p>
    <w:tbl>
      <w:tblPr>
        <w:tblW w:w="5000" w:type="pct"/>
        <w:tblLook w:val="04A0" w:firstRow="1" w:lastRow="0" w:firstColumn="1" w:lastColumn="0" w:noHBand="0" w:noVBand="1"/>
      </w:tblPr>
      <w:tblGrid>
        <w:gridCol w:w="7983"/>
        <w:gridCol w:w="804"/>
      </w:tblGrid>
      <w:tr w:rsidR="00D43DA7" w:rsidRPr="00B57B36" w14:paraId="1C8A672D" w14:textId="77777777" w:rsidTr="00AA2B01">
        <w:tc>
          <w:tcPr>
            <w:tcW w:w="7983" w:type="dxa"/>
            <w:shd w:val="clear" w:color="auto" w:fill="auto"/>
            <w:vAlign w:val="center"/>
          </w:tcPr>
          <w:p w14:paraId="14DBAF1D" w14:textId="503229BD" w:rsidR="00D43DA7" w:rsidRPr="007F5E7C" w:rsidRDefault="00D43DA7" w:rsidP="00AA2B01">
            <w:pPr>
              <w:pStyle w:val="CETEquation"/>
              <w:rPr>
                <w:rFonts w:eastAsiaTheme="minorEastAsia"/>
              </w:rPr>
            </w:pPr>
            <m:oMathPara>
              <m:oMathParaPr>
                <m:jc m:val="left"/>
              </m:oMathParaPr>
              <m:oMath>
                <m:r>
                  <w:rPr>
                    <w:rFonts w:ascii="Cambria Math" w:eastAsiaTheme="minorEastAsia" w:hAnsi="Cambria Math"/>
                  </w:rPr>
                  <m:t>Ni*</m:t>
                </m:r>
                <m:r>
                  <m:rPr>
                    <m:sty m:val="p"/>
                  </m:rPr>
                  <w:rPr>
                    <w:rFonts w:ascii="Cambria Math" w:eastAsiaTheme="minorEastAsia" w:hAnsi="Cambria Math"/>
                  </w:rPr>
                  <m:t xml:space="preserve">60000= </m:t>
                </m:r>
                <m:sSub>
                  <m:sSubPr>
                    <m:ctrlPr>
                      <w:rPr>
                        <w:rFonts w:ascii="Cambria Math" w:eastAsiaTheme="minorEastAsia" w:hAnsi="Cambria Math"/>
                      </w:rPr>
                    </m:ctrlPr>
                  </m:sSubPr>
                  <m:e>
                    <m:r>
                      <m:rPr>
                        <m:sty m:val="p"/>
                      </m:rPr>
                      <w:rPr>
                        <w:rFonts w:ascii="Cambria Math" w:eastAsiaTheme="minorEastAsia" w:hAnsi="Cambria Math"/>
                      </w:rPr>
                      <m:t>2*</m:t>
                    </m:r>
                    <m:r>
                      <w:rPr>
                        <w:rFonts w:ascii="Cambria Math" w:eastAsiaTheme="minorEastAsia" w:hAnsi="Cambria Math"/>
                      </w:rPr>
                      <m:t>m*C</m:t>
                    </m:r>
                  </m:e>
                  <m:sub>
                    <m:r>
                      <w:rPr>
                        <w:rFonts w:ascii="Cambria Math" w:eastAsiaTheme="minorEastAsia" w:hAnsi="Cambria Math"/>
                      </w:rPr>
                      <m:t>p</m:t>
                    </m:r>
                  </m:sub>
                </m:sSub>
                <m:r>
                  <w:rPr>
                    <w:rFonts w:ascii="Cambria Math" w:eastAsiaTheme="minorEastAsia" w:hAnsi="Cambria Math"/>
                  </w:rPr>
                  <m:t>*</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critical</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T</m:t>
                        </m:r>
                      </m:e>
                      <m:sub>
                        <m:r>
                          <w:rPr>
                            <w:rFonts w:ascii="Cambria Math" w:eastAsiaTheme="minorEastAsia" w:hAnsi="Cambria Math"/>
                          </w:rPr>
                          <m:t>ambient</m:t>
                        </m:r>
                      </m:sub>
                    </m:sSub>
                  </m:e>
                </m:d>
              </m:oMath>
            </m:oMathPara>
          </w:p>
        </w:tc>
        <w:tc>
          <w:tcPr>
            <w:tcW w:w="804" w:type="dxa"/>
            <w:shd w:val="clear" w:color="auto" w:fill="auto"/>
            <w:vAlign w:val="center"/>
          </w:tcPr>
          <w:p w14:paraId="4AD9B1E4" w14:textId="642DBDBE" w:rsidR="00D43DA7" w:rsidRPr="00B57B36" w:rsidRDefault="00D43DA7" w:rsidP="00AA2B01">
            <w:pPr>
              <w:pStyle w:val="CETEquation"/>
              <w:jc w:val="right"/>
            </w:pPr>
            <w:r w:rsidRPr="00B57B36">
              <w:t>(</w:t>
            </w:r>
            <w:r w:rsidR="006036FE">
              <w:t>3</w:t>
            </w:r>
            <w:r w:rsidRPr="00B57B36">
              <w:t>)</w:t>
            </w:r>
          </w:p>
        </w:tc>
      </w:tr>
    </w:tbl>
    <w:p w14:paraId="04A4D9AE" w14:textId="551E4EBE" w:rsidR="00D43DA7" w:rsidRDefault="00D43DA7" w:rsidP="00D43DA7">
      <w:pPr>
        <w:pStyle w:val="CETBodytext"/>
      </w:pPr>
      <w:r w:rsidRPr="007F5E7C">
        <w:t>Where Ni is the number of moles of the deficit ion, C</w:t>
      </w:r>
      <w:r w:rsidRPr="006036FE">
        <w:rPr>
          <w:vertAlign w:val="subscript"/>
        </w:rPr>
        <w:t>p</w:t>
      </w:r>
      <w:r w:rsidRPr="007F5E7C">
        <w:t xml:space="preserve"> is the heat capacity of the final mixture,</w:t>
      </w:r>
      <w:r w:rsidR="00DB12E8">
        <w:t xml:space="preserve"> </w:t>
      </w:r>
      <w:r w:rsidR="00B61BE6">
        <w:t xml:space="preserve">similar to </w:t>
      </w:r>
      <w:r w:rsidRPr="007F5E7C">
        <w:t>that of water (4000 J/</w:t>
      </w:r>
      <w:r w:rsidR="0051507E">
        <w:t>(</w:t>
      </w:r>
      <w:proofErr w:type="spellStart"/>
      <w:proofErr w:type="gramStart"/>
      <w:r w:rsidRPr="007F5E7C">
        <w:t>kg</w:t>
      </w:r>
      <w:r w:rsidR="0051507E">
        <w:t>.</w:t>
      </w:r>
      <w:r w:rsidR="00392123">
        <w:t>°</w:t>
      </w:r>
      <w:proofErr w:type="gramEnd"/>
      <w:r w:rsidR="00392123">
        <w:t>C</w:t>
      </w:r>
      <w:proofErr w:type="spellEnd"/>
      <w:r w:rsidR="0051507E">
        <w:t>)</w:t>
      </w:r>
      <w:r w:rsidRPr="007F5E7C">
        <w:t xml:space="preserve"> can be assumed), and </w:t>
      </w:r>
      <w:r w:rsidR="00423D45">
        <w:t>(</w:t>
      </w:r>
      <m:oMath>
        <m:r>
          <w:rPr>
            <w:rFonts w:ascii="Cambria Math" w:hAnsi="Cambria Math"/>
          </w:rPr>
          <m:t>2*m</m:t>
        </m:r>
      </m:oMath>
      <w:r w:rsidR="00423D45">
        <w:t>)</w:t>
      </w:r>
      <w:r w:rsidRPr="007F5E7C">
        <w:t xml:space="preserve"> is the mass of the initial mixture (identical mass of base and acid are assumed). </w:t>
      </w:r>
      <w:r w:rsidR="001B5CEF" w:rsidRPr="007F5E7C">
        <w:t>Finally:</w:t>
      </w:r>
    </w:p>
    <w:tbl>
      <w:tblPr>
        <w:tblW w:w="5000" w:type="pct"/>
        <w:tblLook w:val="04A0" w:firstRow="1" w:lastRow="0" w:firstColumn="1" w:lastColumn="0" w:noHBand="0" w:noVBand="1"/>
      </w:tblPr>
      <w:tblGrid>
        <w:gridCol w:w="7986"/>
        <w:gridCol w:w="801"/>
      </w:tblGrid>
      <w:tr w:rsidR="00D43DA7" w:rsidRPr="00B57B36" w14:paraId="154E3B35" w14:textId="77777777" w:rsidTr="00AA2B01">
        <w:tc>
          <w:tcPr>
            <w:tcW w:w="7986" w:type="dxa"/>
            <w:shd w:val="clear" w:color="auto" w:fill="auto"/>
            <w:vAlign w:val="center"/>
          </w:tcPr>
          <w:p w14:paraId="433FA1C2" w14:textId="4AB10464" w:rsidR="00D43DA7" w:rsidRPr="00336F48" w:rsidRDefault="00000000" w:rsidP="00AA2B01">
            <w:pPr>
              <w:pStyle w:val="CETEquation"/>
            </w:pPr>
            <m:oMathPara>
              <m:oMathParaPr>
                <m:jc m:val="left"/>
              </m:oMathParaPr>
              <m:oMath>
                <m:f>
                  <m:fPr>
                    <m:ctrlPr>
                      <w:rPr>
                        <w:rFonts w:ascii="Cambria Math" w:eastAsiaTheme="minorEastAsia" w:hAnsi="Cambria Math"/>
                        <w:i/>
                      </w:rPr>
                    </m:ctrlPr>
                  </m:fPr>
                  <m:num>
                    <m:r>
                      <w:rPr>
                        <w:rFonts w:ascii="Cambria Math" w:eastAsiaTheme="minorEastAsia" w:hAnsi="Cambria Math"/>
                      </w:rPr>
                      <m:t>Ni</m:t>
                    </m:r>
                  </m:num>
                  <m:den>
                    <m:r>
                      <w:rPr>
                        <w:rFonts w:ascii="Cambria Math" w:eastAsiaTheme="minorEastAsia" w:hAnsi="Cambria Math"/>
                      </w:rPr>
                      <m:t>m</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8000*</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critical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ambient</m:t>
                            </m:r>
                          </m:sub>
                        </m:sSub>
                      </m:e>
                    </m:d>
                  </m:num>
                  <m:den>
                    <m:r>
                      <w:rPr>
                        <w:rFonts w:ascii="Cambria Math" w:eastAsiaTheme="minorEastAsia" w:hAnsi="Cambria Math"/>
                      </w:rPr>
                      <m:t>60000</m:t>
                    </m:r>
                  </m:den>
                </m:f>
              </m:oMath>
            </m:oMathPara>
          </w:p>
        </w:tc>
        <w:tc>
          <w:tcPr>
            <w:tcW w:w="801" w:type="dxa"/>
            <w:shd w:val="clear" w:color="auto" w:fill="auto"/>
            <w:vAlign w:val="center"/>
          </w:tcPr>
          <w:p w14:paraId="7B2D5621" w14:textId="49D5030E" w:rsidR="00D43DA7" w:rsidRPr="00B57B36" w:rsidRDefault="00D43DA7" w:rsidP="00AA2B01">
            <w:pPr>
              <w:pStyle w:val="CETEquation"/>
              <w:jc w:val="right"/>
            </w:pPr>
            <w:r w:rsidRPr="00B57B36">
              <w:t>(</w:t>
            </w:r>
            <w:r w:rsidR="006036FE">
              <w:t>4</w:t>
            </w:r>
            <w:r w:rsidRPr="00B57B36">
              <w:t>)</w:t>
            </w:r>
          </w:p>
        </w:tc>
      </w:tr>
    </w:tbl>
    <w:p w14:paraId="7542269C" w14:textId="77100637" w:rsidR="00D43DA7" w:rsidRDefault="00D43DA7" w:rsidP="00D43DA7">
      <w:pPr>
        <w:pStyle w:val="CETBodytext"/>
      </w:pPr>
      <w:r w:rsidRPr="00336F48">
        <w:t xml:space="preserve">For </w:t>
      </w:r>
      <w:proofErr w:type="spellStart"/>
      <w:r w:rsidRPr="00336F48">
        <w:t>T</w:t>
      </w:r>
      <w:r w:rsidRPr="001808BB">
        <w:rPr>
          <w:vertAlign w:val="subscript"/>
        </w:rPr>
        <w:t>critica</w:t>
      </w:r>
      <w:r w:rsidR="00D35010">
        <w:rPr>
          <w:vertAlign w:val="subscript"/>
        </w:rPr>
        <w:t>l</w:t>
      </w:r>
      <w:proofErr w:type="spellEnd"/>
      <w:r w:rsidRPr="00336F48">
        <w:t xml:space="preserve"> = 100</w:t>
      </w:r>
      <w:r w:rsidR="001B5CEF">
        <w:t xml:space="preserve"> </w:t>
      </w:r>
      <w:r w:rsidRPr="00336F48">
        <w:t xml:space="preserve">°C and </w:t>
      </w:r>
      <w:proofErr w:type="spellStart"/>
      <w:r w:rsidRPr="00336F48">
        <w:t>T</w:t>
      </w:r>
      <w:r w:rsidRPr="001808BB">
        <w:rPr>
          <w:vertAlign w:val="subscript"/>
        </w:rPr>
        <w:t>ambient</w:t>
      </w:r>
      <w:proofErr w:type="spellEnd"/>
      <w:r w:rsidR="001B5CEF">
        <w:rPr>
          <w:vertAlign w:val="subscript"/>
        </w:rPr>
        <w:t xml:space="preserve"> </w:t>
      </w:r>
      <w:r w:rsidRPr="00336F48">
        <w:t>=</w:t>
      </w:r>
      <w:r w:rsidR="001B5CEF">
        <w:t xml:space="preserve"> </w:t>
      </w:r>
      <w:r w:rsidRPr="00336F48">
        <w:t>20</w:t>
      </w:r>
      <w:r w:rsidR="001B5CEF">
        <w:t xml:space="preserve"> </w:t>
      </w:r>
      <w:r w:rsidRPr="00336F48">
        <w:t>°C, Ni/m</w:t>
      </w:r>
      <w:r w:rsidR="001B5CEF">
        <w:t xml:space="preserve"> </w:t>
      </w:r>
      <w:r w:rsidRPr="00336F48">
        <w:t>=</w:t>
      </w:r>
      <w:r w:rsidR="001B5CEF">
        <w:t xml:space="preserve"> </w:t>
      </w:r>
      <w:r w:rsidRPr="00336F48">
        <w:t xml:space="preserve">11 and for </w:t>
      </w:r>
      <w:proofErr w:type="spellStart"/>
      <w:r w:rsidRPr="00336F48">
        <w:t>T</w:t>
      </w:r>
      <w:r w:rsidRPr="001808BB">
        <w:rPr>
          <w:vertAlign w:val="subscript"/>
        </w:rPr>
        <w:t>critical</w:t>
      </w:r>
      <w:proofErr w:type="spellEnd"/>
      <w:r w:rsidRPr="00336F48">
        <w:t xml:space="preserve"> = 80</w:t>
      </w:r>
      <w:r w:rsidR="001B5CEF">
        <w:t xml:space="preserve"> </w:t>
      </w:r>
      <w:r w:rsidRPr="00336F48">
        <w:t xml:space="preserve">°C and </w:t>
      </w:r>
      <w:proofErr w:type="spellStart"/>
      <w:r w:rsidRPr="00336F48">
        <w:t>T</w:t>
      </w:r>
      <w:r w:rsidRPr="00A40177">
        <w:rPr>
          <w:vertAlign w:val="subscript"/>
        </w:rPr>
        <w:t>ambient</w:t>
      </w:r>
      <w:proofErr w:type="spellEnd"/>
      <w:r w:rsidR="001B5CEF">
        <w:rPr>
          <w:vertAlign w:val="subscript"/>
        </w:rPr>
        <w:t xml:space="preserve"> </w:t>
      </w:r>
      <w:r w:rsidRPr="00336F48">
        <w:t>=</w:t>
      </w:r>
      <w:r w:rsidR="001B5CEF">
        <w:t xml:space="preserve"> </w:t>
      </w:r>
      <w:r w:rsidRPr="00336F48">
        <w:t>20</w:t>
      </w:r>
      <w:r w:rsidR="001B5CEF">
        <w:t xml:space="preserve"> </w:t>
      </w:r>
      <w:r w:rsidRPr="00336F48">
        <w:t>°C, Ni/m= 8.</w:t>
      </w:r>
    </w:p>
    <w:p w14:paraId="13B3C3EE" w14:textId="2060474D" w:rsidR="00B61BE6" w:rsidRDefault="00D43DA7" w:rsidP="00D43DA7">
      <w:pPr>
        <w:pStyle w:val="CETBodytext"/>
      </w:pPr>
      <w:r w:rsidRPr="00336F48">
        <w:t>To assess the heating induced by an acid-base neutralization reaction, there does</w:t>
      </w:r>
      <w:r w:rsidR="00A87258">
        <w:t xml:space="preserve"> not </w:t>
      </w:r>
      <w:r w:rsidRPr="00336F48">
        <w:t>seem to be a criterion directly accessible from the safety data sheet</w:t>
      </w:r>
      <w:r w:rsidR="00B77AEA">
        <w:t>: consider</w:t>
      </w:r>
      <w:r w:rsidRPr="00336F48">
        <w:t xml:space="preserve"> the solvation reaction of the acid (or base) and estimate the quantity of hydronium (or hydroxide) ion per unit mass. If the values exceed the above thresholds, there is a possibility of scenarios C or E occurring.</w:t>
      </w:r>
    </w:p>
    <w:p w14:paraId="414A8937" w14:textId="0A4400EA" w:rsidR="00B61BE6" w:rsidRDefault="004E3E0E" w:rsidP="00DF3907">
      <w:pPr>
        <w:pStyle w:val="CETheadingx"/>
      </w:pPr>
      <w:r>
        <w:t>3.</w:t>
      </w:r>
      <w:r w:rsidR="00DF3907">
        <w:t>4</w:t>
      </w:r>
      <w:r>
        <w:t xml:space="preserve"> </w:t>
      </w:r>
      <w:r w:rsidR="00D43DA7" w:rsidRPr="00336F48">
        <w:t xml:space="preserve">Scenario D_ Formation of a flammable cloud </w:t>
      </w:r>
    </w:p>
    <w:p w14:paraId="1C1C564C" w14:textId="4F857951" w:rsidR="00D43DA7" w:rsidRDefault="00D43DA7" w:rsidP="00D43DA7">
      <w:pPr>
        <w:pStyle w:val="CETBodytext"/>
      </w:pPr>
      <w:r w:rsidRPr="00336F48">
        <w:t>The most likely situation is an acid attack on metals or reducing materials, resulting in the release of hydrogen.</w:t>
      </w:r>
      <w:r w:rsidR="00C73C1A">
        <w:t xml:space="preserve"> </w:t>
      </w:r>
      <w:r w:rsidR="00C73C1A" w:rsidRPr="00C73C1A">
        <w:t>When metals come into contact with acidic substances, they undergo chemical reactions that lead to surface deterioration.</w:t>
      </w:r>
      <w:r w:rsidR="00C73C1A">
        <w:t xml:space="preserve"> </w:t>
      </w:r>
      <w:r w:rsidRPr="00336F48">
        <w:t>Acids release H+ ions. H+ ions can oxidize (take electrons from) metals, particularly those that are more reactive, such as zinc, iron, aluminum</w:t>
      </w:r>
      <w:r w:rsidR="00EF174F">
        <w:t xml:space="preserve">, etc. </w:t>
      </w:r>
      <w:r w:rsidRPr="00336F48">
        <w:t>typically metals at the top of the metal reactivity range.</w:t>
      </w:r>
      <w:r w:rsidR="00C73C1A" w:rsidRPr="00C73C1A">
        <w:t xml:space="preserve"> This process is especially significant in industrial settings, where different alloys face corrosion challenges in acidic environments.</w:t>
      </w:r>
      <w:r w:rsidR="00F01989">
        <w:t xml:space="preserve"> F</w:t>
      </w:r>
      <w:r w:rsidRPr="00336F48">
        <w:t xml:space="preserve">or example, for iron, the reaction </w:t>
      </w:r>
      <w:r w:rsidR="00794C63">
        <w:t xml:space="preserve">involved </w:t>
      </w:r>
      <w:r w:rsidRPr="00336F48">
        <w:t>is:</w:t>
      </w:r>
    </w:p>
    <w:tbl>
      <w:tblPr>
        <w:tblW w:w="5000" w:type="pct"/>
        <w:tblLook w:val="04A0" w:firstRow="1" w:lastRow="0" w:firstColumn="1" w:lastColumn="0" w:noHBand="0" w:noVBand="1"/>
      </w:tblPr>
      <w:tblGrid>
        <w:gridCol w:w="7982"/>
        <w:gridCol w:w="805"/>
      </w:tblGrid>
      <w:tr w:rsidR="00D43DA7" w:rsidRPr="00B57B36" w14:paraId="216209F5" w14:textId="77777777" w:rsidTr="00AA2B01">
        <w:tc>
          <w:tcPr>
            <w:tcW w:w="7982" w:type="dxa"/>
            <w:shd w:val="clear" w:color="auto" w:fill="auto"/>
            <w:vAlign w:val="center"/>
          </w:tcPr>
          <w:p w14:paraId="06276918" w14:textId="40FDC7CC" w:rsidR="00D43DA7" w:rsidRPr="00336F48" w:rsidRDefault="005014B8" w:rsidP="00AA2B01">
            <w:pPr>
              <w:pStyle w:val="CETEquation"/>
              <w:rPr>
                <w:vertAlign w:val="subscript"/>
              </w:rPr>
            </w:pPr>
            <w:r>
              <w:t>(</w:t>
            </w:r>
            <w:r w:rsidR="00D43DA7" w:rsidRPr="00BC7DA9">
              <w:t>2</w:t>
            </w:r>
            <w:r w:rsidR="00363FE0">
              <w:t xml:space="preserve"> </w:t>
            </w:r>
            <w:r w:rsidR="00D43DA7" w:rsidRPr="00BC7DA9">
              <w:t>H</w:t>
            </w:r>
            <w:r w:rsidR="00D43DA7" w:rsidRPr="00BC7DA9">
              <w:rPr>
                <w:vertAlign w:val="superscript"/>
              </w:rPr>
              <w:t>+</w:t>
            </w:r>
            <w:r w:rsidR="00D43DA7" w:rsidRPr="00BC7DA9">
              <w:t xml:space="preserve"> +2 Cl</w:t>
            </w:r>
            <w:r w:rsidR="00D43DA7" w:rsidRPr="00BC7DA9">
              <w:rPr>
                <w:vertAlign w:val="superscript"/>
              </w:rPr>
              <w:t>-</w:t>
            </w:r>
            <w:r>
              <w:t>)</w:t>
            </w:r>
            <w:r w:rsidR="00D43DA7" w:rsidRPr="00BC7DA9">
              <w:t xml:space="preserve"> + Fe </w:t>
            </w:r>
            <w:r w:rsidR="00D43DA7" w:rsidRPr="001406AF">
              <w:sym w:font="Wingdings" w:char="F0E0"/>
            </w:r>
            <w:r w:rsidR="00D43DA7" w:rsidRPr="00BC7DA9">
              <w:t xml:space="preserve"> (Fe</w:t>
            </w:r>
            <w:r w:rsidR="00D43DA7" w:rsidRPr="00BC7DA9">
              <w:rPr>
                <w:vertAlign w:val="superscript"/>
              </w:rPr>
              <w:t>2+</w:t>
            </w:r>
            <w:r w:rsidR="00D43DA7" w:rsidRPr="00BC7DA9">
              <w:t xml:space="preserve"> + 2</w:t>
            </w:r>
            <w:r w:rsidR="00363FE0">
              <w:t xml:space="preserve"> </w:t>
            </w:r>
            <w:r w:rsidR="00D43DA7" w:rsidRPr="00BC7DA9">
              <w:t>Cl</w:t>
            </w:r>
            <w:r w:rsidR="00D43DA7" w:rsidRPr="00BC7DA9">
              <w:rPr>
                <w:vertAlign w:val="superscript"/>
              </w:rPr>
              <w:t>-</w:t>
            </w:r>
            <w:r w:rsidR="00D43DA7" w:rsidRPr="00BC7DA9">
              <w:t>) + H</w:t>
            </w:r>
            <w:r w:rsidR="00D43DA7">
              <w:rPr>
                <w:vertAlign w:val="subscript"/>
              </w:rPr>
              <w:t>2</w:t>
            </w:r>
          </w:p>
        </w:tc>
        <w:tc>
          <w:tcPr>
            <w:tcW w:w="805" w:type="dxa"/>
            <w:shd w:val="clear" w:color="auto" w:fill="auto"/>
            <w:vAlign w:val="center"/>
          </w:tcPr>
          <w:p w14:paraId="30F77C23" w14:textId="0BE3128C" w:rsidR="00D43DA7" w:rsidRPr="00B57B36" w:rsidRDefault="00D43DA7" w:rsidP="00AA2B01">
            <w:pPr>
              <w:pStyle w:val="CETEquation"/>
              <w:jc w:val="right"/>
            </w:pPr>
            <w:r w:rsidRPr="00B57B36">
              <w:t>(</w:t>
            </w:r>
            <w:r w:rsidR="006036FE">
              <w:t>5</w:t>
            </w:r>
            <w:r w:rsidRPr="00B57B36">
              <w:t>)</w:t>
            </w:r>
          </w:p>
        </w:tc>
      </w:tr>
    </w:tbl>
    <w:p w14:paraId="01906187" w14:textId="7B8C8A9A" w:rsidR="00B61BE6" w:rsidRDefault="00D43DA7" w:rsidP="00D43DA7">
      <w:pPr>
        <w:pStyle w:val="CETBodytext"/>
      </w:pPr>
      <w:r w:rsidRPr="00336F48">
        <w:t>However, these corrosion reactions are heterogeneous, meaning that the different phases involved (solid metal, acid in solution, reaction products) are not in the same phase (solid, liquid, gas). This has a direct impact on the speed and scale of the reactions, as well as on the quantity of gas produced. Reactions are therefore slow and produce small volumes of flammable gas.</w:t>
      </w:r>
    </w:p>
    <w:p w14:paraId="590FC5CD" w14:textId="5B279E24" w:rsidR="00B61BE6" w:rsidRDefault="004E3E0E" w:rsidP="00DF3907">
      <w:pPr>
        <w:pStyle w:val="CETheadingx"/>
      </w:pPr>
      <w:r>
        <w:lastRenderedPageBreak/>
        <w:t>3.</w:t>
      </w:r>
      <w:r w:rsidR="00DF3907">
        <w:t>5</w:t>
      </w:r>
      <w:r>
        <w:t xml:space="preserve"> </w:t>
      </w:r>
      <w:r w:rsidR="00D43DA7" w:rsidRPr="00941896">
        <w:t>Scenario F_ Accelerated</w:t>
      </w:r>
      <w:r w:rsidR="00F60A2F">
        <w:t xml:space="preserve"> chemical </w:t>
      </w:r>
      <w:r w:rsidR="00DB1DBF">
        <w:t>degra</w:t>
      </w:r>
      <w:r w:rsidR="00F60A2F">
        <w:t>da</w:t>
      </w:r>
      <w:r w:rsidR="00DB1DBF">
        <w:t>tion</w:t>
      </w:r>
      <w:r w:rsidR="00F60A2F">
        <w:t xml:space="preserve"> of equipment</w:t>
      </w:r>
      <w:r w:rsidR="00D43DA7" w:rsidRPr="00941896">
        <w:t xml:space="preserve">/container </w:t>
      </w:r>
      <w:r w:rsidR="00F60A2F" w:rsidRPr="00941896">
        <w:t>attack</w:t>
      </w:r>
      <w:r w:rsidR="00D43DA7" w:rsidRPr="00941896">
        <w:t xml:space="preserve"> </w:t>
      </w:r>
    </w:p>
    <w:p w14:paraId="212D3F2F" w14:textId="72704B90" w:rsidR="00D43DA7" w:rsidRDefault="00D43DA7" w:rsidP="00D43DA7">
      <w:pPr>
        <w:pStyle w:val="CETBodytext"/>
      </w:pPr>
      <w:r w:rsidRPr="00941896">
        <w:t xml:space="preserve">Acids react with certain metals to form hydrogen, attacking the metal in a corrosion reaction. Concrete appears to be relatively insensitive to corrosion. Plastics can be sensitive to solvents. The incompatibility criteria corresponding to this scenario can be established </w:t>
      </w:r>
      <w:r w:rsidR="006B7BB4" w:rsidRPr="006B7BB4">
        <w:t>as follows</w:t>
      </w:r>
      <w:r w:rsidRPr="00941896">
        <w:t>:</w:t>
      </w:r>
    </w:p>
    <w:p w14:paraId="5FDDAA64" w14:textId="696C98F0" w:rsidR="00D43DA7" w:rsidRDefault="00AF347C" w:rsidP="00D43DA7">
      <w:pPr>
        <w:pStyle w:val="CETnumberingbullets"/>
      </w:pPr>
      <w:r w:rsidRPr="00AF347C">
        <w:t>Acids can accelerate the degradation of light metals with a molecular weight lower than that of zinc.</w:t>
      </w:r>
    </w:p>
    <w:p w14:paraId="55DEA0A2" w14:textId="0C4C2DCC" w:rsidR="00D43DA7" w:rsidRDefault="00E72992" w:rsidP="00D43DA7">
      <w:pPr>
        <w:pStyle w:val="CETnumberingbullets"/>
      </w:pPr>
      <w:r w:rsidRPr="00E72992">
        <w:t>Solvents (such as hydrocarbons and alcohols) can lead to hazardous reactions with the double bonds in plastics like ABS and polybutadiene</w:t>
      </w:r>
      <w:r w:rsidR="00D43DA7" w:rsidRPr="00941896">
        <w:t>.</w:t>
      </w:r>
    </w:p>
    <w:p w14:paraId="71D1CCC2" w14:textId="77777777" w:rsidR="00073A08" w:rsidRDefault="00073A08" w:rsidP="009351AB">
      <w:pPr>
        <w:pStyle w:val="CETnumberingbullets"/>
        <w:numPr>
          <w:ilvl w:val="0"/>
          <w:numId w:val="0"/>
        </w:numPr>
        <w:jc w:val="both"/>
      </w:pPr>
      <w:r w:rsidRPr="00073A08">
        <w:t>In SIAAP, this scenario is relevant when acids come into contact with metals or when solvents interact with</w:t>
      </w:r>
    </w:p>
    <w:p w14:paraId="6185A806" w14:textId="20CD0B36" w:rsidR="00073A08" w:rsidRDefault="00073A08" w:rsidP="009351AB">
      <w:pPr>
        <w:pStyle w:val="CETnumberingbullets"/>
        <w:numPr>
          <w:ilvl w:val="0"/>
          <w:numId w:val="0"/>
        </w:numPr>
        <w:jc w:val="both"/>
      </w:pPr>
      <w:r w:rsidRPr="00073A08">
        <w:t xml:space="preserve">plastic containers. The critical </w:t>
      </w:r>
      <w:proofErr w:type="spellStart"/>
      <w:r w:rsidRPr="00073A08">
        <w:t>physico</w:t>
      </w:r>
      <w:proofErr w:type="spellEnd"/>
      <w:r w:rsidRPr="00073A08">
        <w:t>-chemical parameters for this scenario include the materia</w:t>
      </w:r>
      <w:r>
        <w:t xml:space="preserve">l </w:t>
      </w:r>
      <w:r w:rsidRPr="00073A08">
        <w:t>composition of equipment and the chemical reactivity of the substances involved.</w:t>
      </w:r>
    </w:p>
    <w:p w14:paraId="5E80D087" w14:textId="5CDEF959" w:rsidR="00073A08" w:rsidRDefault="004E3E0E" w:rsidP="00DF3907">
      <w:pPr>
        <w:pStyle w:val="CETheadingx"/>
      </w:pPr>
      <w:r>
        <w:t>3.</w:t>
      </w:r>
      <w:r w:rsidR="00DF3907">
        <w:t>6</w:t>
      </w:r>
      <w:r>
        <w:t xml:space="preserve"> </w:t>
      </w:r>
      <w:r w:rsidR="00D43DA7" w:rsidRPr="00941896">
        <w:t xml:space="preserve">Scenario G_ Clogging by solid formation </w:t>
      </w:r>
    </w:p>
    <w:p w14:paraId="08A4BC22" w14:textId="107695C5" w:rsidR="00D43DA7" w:rsidRDefault="00D43DA7" w:rsidP="00D43DA7">
      <w:pPr>
        <w:pStyle w:val="CETBodytext"/>
      </w:pPr>
      <w:r w:rsidRPr="00941896">
        <w:t>This situation typically corresponds to the formation of precipitates and concerns all salts resulting from acid-base reactions and corrosion.</w:t>
      </w:r>
      <w:r>
        <w:t xml:space="preserve"> </w:t>
      </w:r>
      <w:r w:rsidRPr="00941896">
        <w:t>This</w:t>
      </w:r>
      <w:r w:rsidR="00DB12E8">
        <w:t xml:space="preserve"> </w:t>
      </w:r>
      <w:r w:rsidR="00073A08" w:rsidRPr="009351AB">
        <w:t xml:space="preserve">may be </w:t>
      </w:r>
      <w:r w:rsidRPr="00073A08">
        <w:t>a</w:t>
      </w:r>
      <w:r w:rsidRPr="00941896">
        <w:t xml:space="preserve"> point of vigilance to be associated with scenarios C, E </w:t>
      </w:r>
      <w:r w:rsidR="00073A08">
        <w:t xml:space="preserve">and </w:t>
      </w:r>
      <w:r w:rsidRPr="00941896">
        <w:t>F.</w:t>
      </w:r>
    </w:p>
    <w:p w14:paraId="32D2173B" w14:textId="14B3EA42" w:rsidR="00D43DA7" w:rsidRDefault="00D43DA7" w:rsidP="00D43DA7">
      <w:pPr>
        <w:pStyle w:val="CETBodytext"/>
      </w:pPr>
      <w:r w:rsidRPr="00941896">
        <w:t xml:space="preserve">Consequently, the </w:t>
      </w:r>
      <w:proofErr w:type="spellStart"/>
      <w:r w:rsidRPr="00941896">
        <w:t>physico</w:t>
      </w:r>
      <w:proofErr w:type="spellEnd"/>
      <w:r w:rsidRPr="00941896">
        <w:t xml:space="preserve">-chemical parameters to be extracted from the product data sheets </w:t>
      </w:r>
      <w:r w:rsidR="00432E82" w:rsidRPr="00941896">
        <w:t>are:</w:t>
      </w:r>
    </w:p>
    <w:p w14:paraId="40D1F2B9" w14:textId="0630AEF0" w:rsidR="00D43DA7" w:rsidRDefault="00D43DA7" w:rsidP="00D43DA7">
      <w:pPr>
        <w:pStyle w:val="CETnumberingbullets"/>
      </w:pPr>
      <w:r>
        <w:t>Peroxide character</w:t>
      </w:r>
    </w:p>
    <w:p w14:paraId="51597733" w14:textId="1CA9F6F6" w:rsidR="00D43DA7" w:rsidRDefault="00D43DA7" w:rsidP="00D43DA7">
      <w:pPr>
        <w:pStyle w:val="CETnumberingbullets"/>
      </w:pPr>
      <w:r>
        <w:t>Flammability</w:t>
      </w:r>
    </w:p>
    <w:p w14:paraId="703ED11E" w14:textId="77777777" w:rsidR="00D43DA7" w:rsidRDefault="00D43DA7" w:rsidP="00D43DA7">
      <w:pPr>
        <w:pStyle w:val="CETnumberingbullets"/>
      </w:pPr>
      <w:r>
        <w:t>Oxidizing or reducing properties</w:t>
      </w:r>
    </w:p>
    <w:p w14:paraId="34E953D3" w14:textId="01A1BE60" w:rsidR="00D43DA7" w:rsidRDefault="00D43DA7" w:rsidP="00D43DA7">
      <w:pPr>
        <w:pStyle w:val="CETnumberingbullets"/>
      </w:pPr>
      <w:r>
        <w:t xml:space="preserve">Contains chlorine or </w:t>
      </w:r>
      <w:r w:rsidR="00F22B01">
        <w:t>sulphur</w:t>
      </w:r>
      <w:r>
        <w:t xml:space="preserve"> (possibly bromine or fluorine)</w:t>
      </w:r>
    </w:p>
    <w:p w14:paraId="76419D17" w14:textId="77777777" w:rsidR="00D43DA7" w:rsidRDefault="00D43DA7" w:rsidP="00D43DA7">
      <w:pPr>
        <w:pStyle w:val="CETnumberingbullets"/>
      </w:pPr>
      <w:r>
        <w:t>Acidic or basic character</w:t>
      </w:r>
    </w:p>
    <w:p w14:paraId="4E347A95" w14:textId="77777777" w:rsidR="00D43DA7" w:rsidRDefault="00D43DA7" w:rsidP="00D43DA7">
      <w:pPr>
        <w:pStyle w:val="CETnumberingbullets"/>
      </w:pPr>
      <w:r>
        <w:t xml:space="preserve">Hydronium/hydroxide ion concentration greater than 11 mol/kg </w:t>
      </w:r>
    </w:p>
    <w:p w14:paraId="4E4F9074" w14:textId="77777777" w:rsidR="00D43DA7" w:rsidRDefault="00D43DA7" w:rsidP="00D43DA7">
      <w:pPr>
        <w:pStyle w:val="CETnumberingbullets"/>
      </w:pPr>
      <w:r>
        <w:t xml:space="preserve">Hydronium/hydroxide ion concentration greater than 8 mol/kg </w:t>
      </w:r>
    </w:p>
    <w:p w14:paraId="5D658250" w14:textId="77777777" w:rsidR="00D43DA7" w:rsidRDefault="00D43DA7" w:rsidP="00D43DA7">
      <w:pPr>
        <w:pStyle w:val="CETnumberingbullets"/>
      </w:pPr>
      <w:r>
        <w:t>Metal lighter than zinc</w:t>
      </w:r>
    </w:p>
    <w:p w14:paraId="3F2441E7" w14:textId="25BD9CCD" w:rsidR="00C874E0" w:rsidRDefault="00D43DA7" w:rsidP="00D01215">
      <w:pPr>
        <w:pStyle w:val="CETnumberingbullets"/>
      </w:pPr>
      <w:r>
        <w:t>Plastics containing double bonds</w:t>
      </w:r>
    </w:p>
    <w:p w14:paraId="5E1301CF" w14:textId="427D1A56" w:rsidR="00C874E0" w:rsidRDefault="002A2D04" w:rsidP="002A2D04">
      <w:pPr>
        <w:pStyle w:val="CETHeading1"/>
        <w:numPr>
          <w:ilvl w:val="0"/>
          <w:numId w:val="0"/>
        </w:numPr>
      </w:pPr>
      <w:r>
        <w:t xml:space="preserve">4. </w:t>
      </w:r>
      <w:r w:rsidR="0075587A">
        <w:t>Toward a decision tool</w:t>
      </w:r>
    </w:p>
    <w:p w14:paraId="3C4286D4" w14:textId="16E55B9F" w:rsidR="00AB158B" w:rsidRPr="00CC141B" w:rsidRDefault="00DA72C5" w:rsidP="00DA72C5">
      <w:pPr>
        <w:pStyle w:val="CETheadingx"/>
      </w:pPr>
      <w:r>
        <w:t>4.</w:t>
      </w:r>
      <w:r w:rsidR="00636D09">
        <w:t>1</w:t>
      </w:r>
      <w:r>
        <w:t xml:space="preserve"> Chemical hazard classification tool</w:t>
      </w:r>
    </w:p>
    <w:p w14:paraId="4E67F712" w14:textId="2516CD75" w:rsidR="00C874E0" w:rsidRPr="00636D09" w:rsidRDefault="00C874E0" w:rsidP="00636D09">
      <w:pPr>
        <w:pStyle w:val="CETBodytext"/>
      </w:pPr>
      <w:r w:rsidRPr="00CF2C24">
        <w:rPr>
          <w:lang w:val="en-GB"/>
        </w:rPr>
        <w:t>To demonstrate the effectiveness of th</w:t>
      </w:r>
      <w:r>
        <w:rPr>
          <w:lang w:val="en-GB"/>
        </w:rPr>
        <w:t>e</w:t>
      </w:r>
      <w:r w:rsidRPr="00CF2C24">
        <w:rPr>
          <w:lang w:val="en-GB"/>
        </w:rPr>
        <w:t xml:space="preserve"> method</w:t>
      </w:r>
      <w:r>
        <w:rPr>
          <w:lang w:val="en-GB"/>
        </w:rPr>
        <w:t>ology developed</w:t>
      </w:r>
      <w:r w:rsidRPr="00CF2C24">
        <w:rPr>
          <w:lang w:val="en-GB"/>
        </w:rPr>
        <w:t xml:space="preserve">, ferric chloride (diluted to 40%) is used as a case study, as it is a commonly used reagent at SIAAP. Key properties of interest include the substance's potential for peroxide formation, combustibility, presence of halogen elements (F, Cl, I, Br, S), acid/base characteristics, oxidation/reduction </w:t>
      </w:r>
      <w:r>
        <w:rPr>
          <w:lang w:val="en-GB"/>
        </w:rPr>
        <w:t>behaviour</w:t>
      </w:r>
      <w:r w:rsidRPr="00CF2C24">
        <w:rPr>
          <w:lang w:val="en-GB"/>
        </w:rPr>
        <w:t xml:space="preserve"> and its interactions with materials such as light metals and plastics containing double bonds. According to its safety data sheet, ferric chloride is an acidic substance that can produce three hydronium ions per FeC</w:t>
      </w:r>
      <w:r w:rsidR="00505016">
        <w:rPr>
          <w:lang w:val="en-GB"/>
        </w:rPr>
        <w:t>l</w:t>
      </w:r>
      <w:r w:rsidR="00505016">
        <w:rPr>
          <w:vertAlign w:val="subscript"/>
          <w:lang w:val="en-GB"/>
        </w:rPr>
        <w:t>3</w:t>
      </w:r>
      <w:r w:rsidRPr="00CF2C24">
        <w:rPr>
          <w:lang w:val="en-GB"/>
        </w:rPr>
        <w:t xml:space="preserve"> molecule, resulting in a theoretical Ni/m ratio of 7.4, a threshold value for potential safety hazards.</w:t>
      </w:r>
    </w:p>
    <w:p w14:paraId="5BB5812E" w14:textId="2382894C" w:rsidR="00C874E0" w:rsidRPr="00CF2C24" w:rsidRDefault="00C874E0" w:rsidP="00C874E0">
      <w:pPr>
        <w:pStyle w:val="CETBodytext"/>
        <w:rPr>
          <w:lang w:val="en-GB"/>
        </w:rPr>
      </w:pPr>
      <w:r w:rsidRPr="00CF2C24">
        <w:rPr>
          <w:lang w:val="en-GB"/>
        </w:rPr>
        <w:t>Based on this, the matrix highlights the following safety scenarios for ferric chloride under specific conditions:</w:t>
      </w:r>
    </w:p>
    <w:p w14:paraId="5D29ADFB" w14:textId="7EECA764" w:rsidR="00C874E0" w:rsidRPr="006669E8" w:rsidRDefault="00C874E0" w:rsidP="006669E8">
      <w:pPr>
        <w:pStyle w:val="CETnumberingbullets"/>
      </w:pPr>
      <w:r w:rsidRPr="006669E8">
        <w:t>Scenario B: Interaction with a base</w:t>
      </w:r>
      <w:r w:rsidR="008B4C7A">
        <w:t xml:space="preserve"> </w:t>
      </w:r>
      <w:r w:rsidRPr="006669E8">
        <w:t>could lead to the formation of a toxic cloud.</w:t>
      </w:r>
    </w:p>
    <w:p w14:paraId="23046215" w14:textId="77777777" w:rsidR="00C874E0" w:rsidRPr="006669E8" w:rsidRDefault="00C874E0" w:rsidP="006669E8">
      <w:pPr>
        <w:pStyle w:val="CETnumberingbullets"/>
      </w:pPr>
      <w:r w:rsidRPr="006669E8">
        <w:t>Scenario D: Contact with a light metal may lead to the formation of hydrogen gas, creating a flammable cloud.</w:t>
      </w:r>
    </w:p>
    <w:p w14:paraId="7A3388AE" w14:textId="77777777" w:rsidR="00C874E0" w:rsidRPr="006669E8" w:rsidRDefault="00C874E0" w:rsidP="006669E8">
      <w:pPr>
        <w:pStyle w:val="CETnumberingbullets"/>
      </w:pPr>
      <w:r w:rsidRPr="006669E8">
        <w:t>Scenario F: The degradation of equipment and containers may be accelerated through corrosion reactions with acids.</w:t>
      </w:r>
    </w:p>
    <w:p w14:paraId="44B07E0A" w14:textId="1616ABE3" w:rsidR="00636D09" w:rsidRDefault="00C874E0" w:rsidP="00636D09">
      <w:pPr>
        <w:pStyle w:val="CETnumberingbullets"/>
      </w:pPr>
      <w:r w:rsidRPr="006669E8">
        <w:t>Scenario G: Solid formation, resulting from acid-base reactions, could lead to clogging and operational disruptions</w:t>
      </w:r>
      <w:r w:rsidRPr="00CF2C24">
        <w:t>.</w:t>
      </w:r>
    </w:p>
    <w:p w14:paraId="4B0B7438" w14:textId="16CAF248" w:rsidR="00636D09" w:rsidRPr="00CC141B" w:rsidRDefault="00636D09" w:rsidP="00636D09">
      <w:pPr>
        <w:pStyle w:val="CETheadingx"/>
      </w:pPr>
      <w:r>
        <w:t xml:space="preserve">4.2 </w:t>
      </w:r>
      <w:r w:rsidRPr="00DD7162">
        <w:t>Establishment of a criticality grid</w:t>
      </w:r>
    </w:p>
    <w:p w14:paraId="117675BE" w14:textId="32D16D90" w:rsidR="00636D09" w:rsidRDefault="00636D09" w:rsidP="00636D09">
      <w:pPr>
        <w:pStyle w:val="CETBodytext"/>
      </w:pPr>
      <w:r>
        <w:t xml:space="preserve">This study proposes a method to rank accident scenarios </w:t>
      </w:r>
      <w:r w:rsidR="00687645">
        <w:t>a</w:t>
      </w:r>
      <w:r w:rsidR="00687645" w:rsidRPr="00687645">
        <w:t>ccording to their impact</w:t>
      </w:r>
      <w:r>
        <w:t>. A criticality grid is used to categorize scenarios into three levels: low, moderate, and high criticality. The classification is based on three key criteria: the extent of the effects, severity, and accident kinetics.</w:t>
      </w:r>
    </w:p>
    <w:p w14:paraId="088FB4FF" w14:textId="77777777" w:rsidR="00636D09" w:rsidRDefault="00636D09" w:rsidP="006036FE">
      <w:pPr>
        <w:pStyle w:val="CETnumberingbullets"/>
      </w:pPr>
      <w:r>
        <w:t>Extent of effects: Scenarios are classified as impacting the unit (localized), the plant, or beyond the plant boundaries.</w:t>
      </w:r>
    </w:p>
    <w:p w14:paraId="0C1F4C3E" w14:textId="77777777" w:rsidR="00636D09" w:rsidRDefault="00636D09" w:rsidP="006036FE">
      <w:pPr>
        <w:pStyle w:val="CETnumberingbullets"/>
      </w:pPr>
      <w:r>
        <w:t>Severity: Assessed based on health and structural damage thresholds, ranging from minor material damage to significant external fatalities.</w:t>
      </w:r>
    </w:p>
    <w:p w14:paraId="27BCA371" w14:textId="77777777" w:rsidR="00636D09" w:rsidRDefault="00636D09" w:rsidP="006036FE">
      <w:pPr>
        <w:pStyle w:val="CETnumberingbullets"/>
      </w:pPr>
      <w:r>
        <w:t>Accident kinetics: Evaluates the speed of development, affecting the feasibility of sheltering and intervention.</w:t>
      </w:r>
    </w:p>
    <w:p w14:paraId="758E2613" w14:textId="77777777" w:rsidR="00687645" w:rsidRDefault="00636D09" w:rsidP="00687645">
      <w:pPr>
        <w:pStyle w:val="CETBodytext"/>
        <w:rPr>
          <w:lang w:val="en-GB"/>
        </w:rPr>
      </w:pPr>
      <w:r w:rsidRPr="00AE1FC3">
        <w:rPr>
          <w:lang w:val="en-GB"/>
        </w:rPr>
        <w:t>To establish the criticality of a scenario, the level corresponding to the most 'critical' criterion was selected.</w:t>
      </w:r>
    </w:p>
    <w:p w14:paraId="0AD6F361" w14:textId="15FBBCFE" w:rsidR="00636D09" w:rsidRDefault="00636D09" w:rsidP="00636D09">
      <w:pPr>
        <w:pStyle w:val="CETBodytext"/>
        <w:rPr>
          <w:lang w:val="en-GB"/>
        </w:rPr>
      </w:pPr>
      <w:r w:rsidRPr="00AE1FC3">
        <w:rPr>
          <w:lang w:val="en-GB"/>
        </w:rPr>
        <w:t>Ultimately, the rating presented in Table 2 was obtained</w:t>
      </w:r>
      <w:r>
        <w:rPr>
          <w:lang w:val="en-GB"/>
        </w:rPr>
        <w:t>.</w:t>
      </w:r>
    </w:p>
    <w:p w14:paraId="73439518" w14:textId="77777777" w:rsidR="00636D09" w:rsidRDefault="00636D09" w:rsidP="00636D09">
      <w:pPr>
        <w:pStyle w:val="CETTabletitle"/>
      </w:pPr>
      <w:r w:rsidRPr="000F0983">
        <w:lastRenderedPageBreak/>
        <w:t xml:space="preserve">Table </w:t>
      </w:r>
      <w:r>
        <w:t>2</w:t>
      </w:r>
      <w:r w:rsidRPr="000F0983">
        <w:t xml:space="preserve">: </w:t>
      </w:r>
      <w:r w:rsidRPr="001E29A3">
        <w:t>Assessment of event criticality</w:t>
      </w:r>
    </w:p>
    <w:tbl>
      <w:tblPr>
        <w:tblStyle w:val="Grilledutableau"/>
        <w:tblW w:w="0" w:type="auto"/>
        <w:tblBorders>
          <w:top w:val="single" w:sz="18" w:space="0" w:color="00B050"/>
          <w:left w:val="none" w:sz="0" w:space="0" w:color="auto"/>
          <w:bottom w:val="single" w:sz="18" w:space="0" w:color="00B050"/>
          <w:right w:val="none" w:sz="0" w:space="0" w:color="auto"/>
          <w:insideH w:val="none" w:sz="0" w:space="0" w:color="auto"/>
          <w:insideV w:val="none" w:sz="0" w:space="0" w:color="auto"/>
        </w:tblBorders>
        <w:tblLook w:val="04A0" w:firstRow="1" w:lastRow="0" w:firstColumn="1" w:lastColumn="0" w:noHBand="0" w:noVBand="1"/>
      </w:tblPr>
      <w:tblGrid>
        <w:gridCol w:w="927"/>
        <w:gridCol w:w="2593"/>
        <w:gridCol w:w="1755"/>
        <w:gridCol w:w="1756"/>
        <w:gridCol w:w="1756"/>
      </w:tblGrid>
      <w:tr w:rsidR="00636D09" w14:paraId="4F4CADE2" w14:textId="77777777" w:rsidTr="006E4600">
        <w:tc>
          <w:tcPr>
            <w:tcW w:w="927" w:type="dxa"/>
            <w:tcBorders>
              <w:top w:val="single" w:sz="18" w:space="0" w:color="00B050"/>
              <w:bottom w:val="single" w:sz="4" w:space="0" w:color="00B050"/>
            </w:tcBorders>
          </w:tcPr>
          <w:p w14:paraId="02BBB727" w14:textId="77777777" w:rsidR="00636D09" w:rsidRDefault="00636D09" w:rsidP="00480573">
            <w:pPr>
              <w:pStyle w:val="CETBodytext"/>
              <w:rPr>
                <w:lang w:val="en-GB"/>
              </w:rPr>
            </w:pPr>
            <w:r>
              <w:rPr>
                <w:lang w:val="en-GB"/>
              </w:rPr>
              <w:t>Scenario</w:t>
            </w:r>
          </w:p>
        </w:tc>
        <w:tc>
          <w:tcPr>
            <w:tcW w:w="2593" w:type="dxa"/>
            <w:tcBorders>
              <w:top w:val="single" w:sz="18" w:space="0" w:color="00B050"/>
              <w:bottom w:val="single" w:sz="4" w:space="0" w:color="00B050"/>
            </w:tcBorders>
          </w:tcPr>
          <w:p w14:paraId="766E0957" w14:textId="3F7A215B" w:rsidR="00636D09" w:rsidRDefault="000B5DBB" w:rsidP="00480573">
            <w:pPr>
              <w:pStyle w:val="CETBodytext"/>
              <w:rPr>
                <w:lang w:val="en-GB"/>
              </w:rPr>
            </w:pPr>
            <w:r>
              <w:rPr>
                <w:lang w:val="en-GB"/>
              </w:rPr>
              <w:t>Severity</w:t>
            </w:r>
          </w:p>
        </w:tc>
        <w:tc>
          <w:tcPr>
            <w:tcW w:w="1755" w:type="dxa"/>
            <w:tcBorders>
              <w:top w:val="single" w:sz="18" w:space="0" w:color="00B050"/>
              <w:bottom w:val="single" w:sz="4" w:space="0" w:color="00B050"/>
            </w:tcBorders>
          </w:tcPr>
          <w:p w14:paraId="766934F5" w14:textId="77777777" w:rsidR="00636D09" w:rsidRDefault="00636D09" w:rsidP="00480573">
            <w:pPr>
              <w:pStyle w:val="CETBodytext"/>
              <w:rPr>
                <w:lang w:val="en-GB"/>
              </w:rPr>
            </w:pPr>
            <w:r>
              <w:t>E</w:t>
            </w:r>
            <w:r w:rsidRPr="00DD7162">
              <w:t>xtent of effects</w:t>
            </w:r>
          </w:p>
        </w:tc>
        <w:tc>
          <w:tcPr>
            <w:tcW w:w="1756" w:type="dxa"/>
            <w:tcBorders>
              <w:top w:val="single" w:sz="18" w:space="0" w:color="00B050"/>
              <w:bottom w:val="single" w:sz="4" w:space="0" w:color="00B050"/>
            </w:tcBorders>
          </w:tcPr>
          <w:p w14:paraId="3D219091" w14:textId="77777777" w:rsidR="00636D09" w:rsidRDefault="00636D09" w:rsidP="00480573">
            <w:pPr>
              <w:pStyle w:val="CETBodytext"/>
              <w:rPr>
                <w:lang w:val="en-GB"/>
              </w:rPr>
            </w:pPr>
            <w:r>
              <w:rPr>
                <w:lang w:val="en-GB"/>
              </w:rPr>
              <w:t>K</w:t>
            </w:r>
            <w:r w:rsidRPr="006C0FFF">
              <w:rPr>
                <w:lang w:val="en-GB"/>
              </w:rPr>
              <w:t>inetics</w:t>
            </w:r>
          </w:p>
        </w:tc>
        <w:tc>
          <w:tcPr>
            <w:tcW w:w="1756" w:type="dxa"/>
            <w:tcBorders>
              <w:top w:val="single" w:sz="18" w:space="0" w:color="00B050"/>
              <w:bottom w:val="single" w:sz="4" w:space="0" w:color="00B050"/>
            </w:tcBorders>
          </w:tcPr>
          <w:p w14:paraId="4BB3E45D" w14:textId="77777777" w:rsidR="00636D09" w:rsidRDefault="00636D09" w:rsidP="00480573">
            <w:pPr>
              <w:pStyle w:val="CETBodytext"/>
              <w:rPr>
                <w:lang w:val="en-GB"/>
              </w:rPr>
            </w:pPr>
            <w:r>
              <w:rPr>
                <w:lang w:val="en-GB"/>
              </w:rPr>
              <w:t>C</w:t>
            </w:r>
            <w:r w:rsidRPr="006C0FFF">
              <w:rPr>
                <w:lang w:val="en-GB"/>
              </w:rPr>
              <w:t>riticality</w:t>
            </w:r>
          </w:p>
        </w:tc>
      </w:tr>
      <w:tr w:rsidR="00636D09" w14:paraId="63174E63" w14:textId="77777777" w:rsidTr="006E4600">
        <w:tc>
          <w:tcPr>
            <w:tcW w:w="927" w:type="dxa"/>
            <w:tcBorders>
              <w:top w:val="single" w:sz="4" w:space="0" w:color="00B050"/>
            </w:tcBorders>
          </w:tcPr>
          <w:p w14:paraId="4BB798BC" w14:textId="77777777" w:rsidR="00636D09" w:rsidRDefault="00636D09" w:rsidP="00480573">
            <w:pPr>
              <w:pStyle w:val="CETBodytext"/>
              <w:rPr>
                <w:lang w:val="en-GB"/>
              </w:rPr>
            </w:pPr>
            <w:r>
              <w:rPr>
                <w:lang w:val="en-GB"/>
              </w:rPr>
              <w:t>A</w:t>
            </w:r>
          </w:p>
        </w:tc>
        <w:tc>
          <w:tcPr>
            <w:tcW w:w="2593" w:type="dxa"/>
            <w:tcBorders>
              <w:top w:val="single" w:sz="4" w:space="0" w:color="00B050"/>
            </w:tcBorders>
          </w:tcPr>
          <w:p w14:paraId="5D6B31C5" w14:textId="77777777" w:rsidR="00636D09" w:rsidRDefault="00636D09" w:rsidP="00480573">
            <w:pPr>
              <w:pStyle w:val="CETBodytext"/>
              <w:rPr>
                <w:lang w:val="en-GB"/>
              </w:rPr>
            </w:pPr>
            <w:r w:rsidRPr="00FA66D4">
              <w:rPr>
                <w:lang w:val="en-GB"/>
              </w:rPr>
              <w:t>Death</w:t>
            </w:r>
            <w:r w:rsidRPr="00E9546B">
              <w:rPr>
                <w:lang w:val="en-GB"/>
              </w:rPr>
              <w:t xml:space="preserve"> </w:t>
            </w:r>
            <w:r>
              <w:rPr>
                <w:lang w:val="en-GB"/>
              </w:rPr>
              <w:t>and</w:t>
            </w:r>
            <w:r w:rsidRPr="00E9546B">
              <w:rPr>
                <w:lang w:val="en-GB"/>
              </w:rPr>
              <w:t xml:space="preserve"> destruction</w:t>
            </w:r>
          </w:p>
        </w:tc>
        <w:tc>
          <w:tcPr>
            <w:tcW w:w="1755" w:type="dxa"/>
            <w:tcBorders>
              <w:top w:val="single" w:sz="4" w:space="0" w:color="00B050"/>
            </w:tcBorders>
          </w:tcPr>
          <w:p w14:paraId="74614BB9" w14:textId="77777777" w:rsidR="00636D09" w:rsidRDefault="00636D09" w:rsidP="00480573">
            <w:pPr>
              <w:pStyle w:val="CETBodytext"/>
              <w:rPr>
                <w:lang w:val="en-GB"/>
              </w:rPr>
            </w:pPr>
            <w:r>
              <w:rPr>
                <w:lang w:val="en-GB"/>
              </w:rPr>
              <w:t>The plant</w:t>
            </w:r>
          </w:p>
        </w:tc>
        <w:tc>
          <w:tcPr>
            <w:tcW w:w="1756" w:type="dxa"/>
            <w:tcBorders>
              <w:top w:val="single" w:sz="4" w:space="0" w:color="00B050"/>
            </w:tcBorders>
          </w:tcPr>
          <w:p w14:paraId="53A2ED65" w14:textId="77777777" w:rsidR="00636D09" w:rsidRDefault="00636D09" w:rsidP="00480573">
            <w:pPr>
              <w:pStyle w:val="CETBodytext"/>
              <w:rPr>
                <w:lang w:val="en-GB"/>
              </w:rPr>
            </w:pPr>
            <w:r w:rsidRPr="00B26E41">
              <w:rPr>
                <w:lang w:val="en-GB"/>
              </w:rPr>
              <w:t>Seconds</w:t>
            </w:r>
          </w:p>
        </w:tc>
        <w:tc>
          <w:tcPr>
            <w:tcW w:w="1756" w:type="dxa"/>
            <w:tcBorders>
              <w:top w:val="single" w:sz="4" w:space="0" w:color="00B050"/>
            </w:tcBorders>
          </w:tcPr>
          <w:p w14:paraId="2C7A18D4" w14:textId="77777777" w:rsidR="00636D09" w:rsidRDefault="00636D09" w:rsidP="00480573">
            <w:pPr>
              <w:pStyle w:val="CETBodytext"/>
              <w:rPr>
                <w:lang w:val="en-GB"/>
              </w:rPr>
            </w:pPr>
            <w:r>
              <w:rPr>
                <w:lang w:val="en-GB"/>
              </w:rPr>
              <w:t>H</w:t>
            </w:r>
            <w:r w:rsidRPr="00B26E41">
              <w:rPr>
                <w:lang w:val="en-GB"/>
              </w:rPr>
              <w:t>igh</w:t>
            </w:r>
          </w:p>
        </w:tc>
      </w:tr>
      <w:tr w:rsidR="00636D09" w14:paraId="1F4AA22E" w14:textId="77777777" w:rsidTr="006E4600">
        <w:tc>
          <w:tcPr>
            <w:tcW w:w="927" w:type="dxa"/>
          </w:tcPr>
          <w:p w14:paraId="10270FD9" w14:textId="77777777" w:rsidR="00636D09" w:rsidRDefault="00636D09" w:rsidP="00480573">
            <w:pPr>
              <w:pStyle w:val="CETBodytext"/>
              <w:rPr>
                <w:lang w:val="en-GB"/>
              </w:rPr>
            </w:pPr>
            <w:r>
              <w:rPr>
                <w:lang w:val="en-GB"/>
              </w:rPr>
              <w:t>B</w:t>
            </w:r>
          </w:p>
        </w:tc>
        <w:tc>
          <w:tcPr>
            <w:tcW w:w="2593" w:type="dxa"/>
          </w:tcPr>
          <w:p w14:paraId="4597B02E" w14:textId="77777777" w:rsidR="00636D09" w:rsidRDefault="00636D09" w:rsidP="00480573">
            <w:pPr>
              <w:pStyle w:val="CETBodytext"/>
              <w:rPr>
                <w:lang w:val="en-GB"/>
              </w:rPr>
            </w:pPr>
            <w:r>
              <w:rPr>
                <w:lang w:val="en-GB"/>
              </w:rPr>
              <w:t>Intoxication</w:t>
            </w:r>
          </w:p>
        </w:tc>
        <w:tc>
          <w:tcPr>
            <w:tcW w:w="1755" w:type="dxa"/>
          </w:tcPr>
          <w:p w14:paraId="674E9EF6" w14:textId="77777777" w:rsidR="00636D09" w:rsidRDefault="00636D09" w:rsidP="00480573">
            <w:pPr>
              <w:pStyle w:val="CETBodytext"/>
              <w:rPr>
                <w:lang w:val="en-GB"/>
              </w:rPr>
            </w:pPr>
            <w:r w:rsidRPr="00467B26">
              <w:t>Beyond the plant</w:t>
            </w:r>
          </w:p>
        </w:tc>
        <w:tc>
          <w:tcPr>
            <w:tcW w:w="1756" w:type="dxa"/>
          </w:tcPr>
          <w:p w14:paraId="4E3543CB" w14:textId="77777777" w:rsidR="00636D09" w:rsidRDefault="00636D09" w:rsidP="00480573">
            <w:pPr>
              <w:pStyle w:val="CETBodytext"/>
              <w:rPr>
                <w:lang w:val="en-GB"/>
              </w:rPr>
            </w:pPr>
            <w:r>
              <w:rPr>
                <w:lang w:val="en-GB"/>
              </w:rPr>
              <w:t>M</w:t>
            </w:r>
            <w:r w:rsidRPr="00B26E41">
              <w:rPr>
                <w:lang w:val="en-GB"/>
              </w:rPr>
              <w:t>inutes</w:t>
            </w:r>
          </w:p>
        </w:tc>
        <w:tc>
          <w:tcPr>
            <w:tcW w:w="1756" w:type="dxa"/>
          </w:tcPr>
          <w:p w14:paraId="6C76A952" w14:textId="77777777" w:rsidR="00636D09" w:rsidRDefault="00636D09" w:rsidP="00480573">
            <w:pPr>
              <w:pStyle w:val="CETBodytext"/>
              <w:rPr>
                <w:lang w:val="en-GB"/>
              </w:rPr>
            </w:pPr>
            <w:r>
              <w:rPr>
                <w:lang w:val="en-GB"/>
              </w:rPr>
              <w:t>H</w:t>
            </w:r>
            <w:r w:rsidRPr="00B26E41">
              <w:rPr>
                <w:lang w:val="en-GB"/>
              </w:rPr>
              <w:t>igh</w:t>
            </w:r>
          </w:p>
        </w:tc>
      </w:tr>
      <w:tr w:rsidR="00636D09" w14:paraId="036624B8" w14:textId="77777777" w:rsidTr="006E4600">
        <w:tc>
          <w:tcPr>
            <w:tcW w:w="927" w:type="dxa"/>
          </w:tcPr>
          <w:p w14:paraId="0D3C8E10" w14:textId="77777777" w:rsidR="00636D09" w:rsidRDefault="00636D09" w:rsidP="00480573">
            <w:pPr>
              <w:pStyle w:val="CETBodytext"/>
              <w:rPr>
                <w:lang w:val="en-GB"/>
              </w:rPr>
            </w:pPr>
            <w:r>
              <w:rPr>
                <w:lang w:val="en-GB"/>
              </w:rPr>
              <w:t>C</w:t>
            </w:r>
          </w:p>
        </w:tc>
        <w:tc>
          <w:tcPr>
            <w:tcW w:w="2593" w:type="dxa"/>
          </w:tcPr>
          <w:p w14:paraId="6722BD00" w14:textId="77777777" w:rsidR="00636D09" w:rsidRDefault="00636D09" w:rsidP="00480573">
            <w:pPr>
              <w:pStyle w:val="CETBodytext"/>
              <w:rPr>
                <w:lang w:val="en-GB"/>
              </w:rPr>
            </w:pPr>
            <w:r>
              <w:rPr>
                <w:lang w:val="en-GB"/>
              </w:rPr>
              <w:t>Intoxication</w:t>
            </w:r>
          </w:p>
        </w:tc>
        <w:tc>
          <w:tcPr>
            <w:tcW w:w="1755" w:type="dxa"/>
          </w:tcPr>
          <w:p w14:paraId="3AB983E3" w14:textId="77777777" w:rsidR="00636D09" w:rsidRDefault="00636D09" w:rsidP="00480573">
            <w:pPr>
              <w:pStyle w:val="CETBodytext"/>
              <w:rPr>
                <w:lang w:val="en-GB"/>
              </w:rPr>
            </w:pPr>
            <w:r w:rsidRPr="00467B26">
              <w:t>The unit</w:t>
            </w:r>
          </w:p>
        </w:tc>
        <w:tc>
          <w:tcPr>
            <w:tcW w:w="1756" w:type="dxa"/>
          </w:tcPr>
          <w:p w14:paraId="7A0581F7" w14:textId="77777777" w:rsidR="00636D09" w:rsidRDefault="00636D09" w:rsidP="00480573">
            <w:pPr>
              <w:pStyle w:val="CETBodytext"/>
              <w:rPr>
                <w:lang w:val="en-GB"/>
              </w:rPr>
            </w:pPr>
            <w:r>
              <w:rPr>
                <w:lang w:val="en-GB"/>
              </w:rPr>
              <w:t>M</w:t>
            </w:r>
            <w:r w:rsidRPr="00B26E41">
              <w:rPr>
                <w:lang w:val="en-GB"/>
              </w:rPr>
              <w:t>inutes</w:t>
            </w:r>
          </w:p>
        </w:tc>
        <w:tc>
          <w:tcPr>
            <w:tcW w:w="1756" w:type="dxa"/>
          </w:tcPr>
          <w:p w14:paraId="4057CD27" w14:textId="77777777" w:rsidR="00636D09" w:rsidRDefault="00636D09" w:rsidP="00480573">
            <w:pPr>
              <w:pStyle w:val="CETBodytext"/>
              <w:rPr>
                <w:lang w:val="en-GB"/>
              </w:rPr>
            </w:pPr>
            <w:r>
              <w:rPr>
                <w:lang w:val="en-GB"/>
              </w:rPr>
              <w:t>M</w:t>
            </w:r>
            <w:r w:rsidRPr="00E9546B">
              <w:rPr>
                <w:lang w:val="en-GB"/>
              </w:rPr>
              <w:t>oderate</w:t>
            </w:r>
          </w:p>
        </w:tc>
      </w:tr>
      <w:tr w:rsidR="00636D09" w14:paraId="790F17BC" w14:textId="77777777" w:rsidTr="006E4600">
        <w:tc>
          <w:tcPr>
            <w:tcW w:w="927" w:type="dxa"/>
          </w:tcPr>
          <w:p w14:paraId="009B4844" w14:textId="77777777" w:rsidR="00636D09" w:rsidRDefault="00636D09" w:rsidP="00480573">
            <w:pPr>
              <w:pStyle w:val="CETBodytext"/>
              <w:rPr>
                <w:lang w:val="en-GB"/>
              </w:rPr>
            </w:pPr>
            <w:r>
              <w:rPr>
                <w:lang w:val="en-GB"/>
              </w:rPr>
              <w:t>D</w:t>
            </w:r>
          </w:p>
        </w:tc>
        <w:tc>
          <w:tcPr>
            <w:tcW w:w="2593" w:type="dxa"/>
          </w:tcPr>
          <w:p w14:paraId="60300CA0" w14:textId="77777777" w:rsidR="00636D09" w:rsidRDefault="00636D09" w:rsidP="00480573">
            <w:pPr>
              <w:pStyle w:val="CETBodytext"/>
              <w:rPr>
                <w:lang w:val="en-GB"/>
              </w:rPr>
            </w:pPr>
            <w:r>
              <w:rPr>
                <w:lang w:val="en-GB"/>
              </w:rPr>
              <w:t>I</w:t>
            </w:r>
            <w:r w:rsidRPr="00E9546B">
              <w:rPr>
                <w:lang w:val="en-GB"/>
              </w:rPr>
              <w:t xml:space="preserve">njury </w:t>
            </w:r>
            <w:r>
              <w:rPr>
                <w:lang w:val="en-GB"/>
              </w:rPr>
              <w:t>and</w:t>
            </w:r>
            <w:r w:rsidRPr="00E9546B">
              <w:rPr>
                <w:lang w:val="en-GB"/>
              </w:rPr>
              <w:t xml:space="preserve"> destruction</w:t>
            </w:r>
          </w:p>
        </w:tc>
        <w:tc>
          <w:tcPr>
            <w:tcW w:w="1755" w:type="dxa"/>
          </w:tcPr>
          <w:p w14:paraId="2E61519C" w14:textId="77777777" w:rsidR="00636D09" w:rsidRDefault="00636D09" w:rsidP="00480573">
            <w:pPr>
              <w:pStyle w:val="CETBodytext"/>
              <w:rPr>
                <w:lang w:val="en-GB"/>
              </w:rPr>
            </w:pPr>
            <w:r w:rsidRPr="00467B26">
              <w:t>The unit</w:t>
            </w:r>
          </w:p>
        </w:tc>
        <w:tc>
          <w:tcPr>
            <w:tcW w:w="1756" w:type="dxa"/>
          </w:tcPr>
          <w:p w14:paraId="668499CC" w14:textId="2AF8AE47" w:rsidR="00636D09" w:rsidRDefault="000B5DBB" w:rsidP="00480573">
            <w:pPr>
              <w:pStyle w:val="CETBodytext"/>
              <w:rPr>
                <w:lang w:val="en-GB"/>
              </w:rPr>
            </w:pPr>
            <w:r>
              <w:rPr>
                <w:lang w:val="en-GB"/>
              </w:rPr>
              <w:t>Seconds</w:t>
            </w:r>
          </w:p>
        </w:tc>
        <w:tc>
          <w:tcPr>
            <w:tcW w:w="1756" w:type="dxa"/>
          </w:tcPr>
          <w:p w14:paraId="080D15EF" w14:textId="15115DF6" w:rsidR="00636D09" w:rsidRDefault="000B5DBB" w:rsidP="00480573">
            <w:pPr>
              <w:pStyle w:val="CETBodytext"/>
              <w:rPr>
                <w:lang w:val="en-GB"/>
              </w:rPr>
            </w:pPr>
            <w:r>
              <w:rPr>
                <w:lang w:val="en-GB"/>
              </w:rPr>
              <w:t>High</w:t>
            </w:r>
          </w:p>
        </w:tc>
      </w:tr>
      <w:tr w:rsidR="00636D09" w14:paraId="0A92382E" w14:textId="77777777" w:rsidTr="006E4600">
        <w:tc>
          <w:tcPr>
            <w:tcW w:w="927" w:type="dxa"/>
          </w:tcPr>
          <w:p w14:paraId="530E840D" w14:textId="77777777" w:rsidR="00636D09" w:rsidRDefault="00636D09" w:rsidP="00480573">
            <w:pPr>
              <w:pStyle w:val="CETBodytext"/>
              <w:rPr>
                <w:lang w:val="en-GB"/>
              </w:rPr>
            </w:pPr>
            <w:r>
              <w:rPr>
                <w:lang w:val="en-GB"/>
              </w:rPr>
              <w:t>E</w:t>
            </w:r>
          </w:p>
        </w:tc>
        <w:tc>
          <w:tcPr>
            <w:tcW w:w="2593" w:type="dxa"/>
          </w:tcPr>
          <w:p w14:paraId="6EECD131" w14:textId="77777777" w:rsidR="00636D09" w:rsidRDefault="00636D09" w:rsidP="00480573">
            <w:pPr>
              <w:pStyle w:val="CETBodytext"/>
              <w:rPr>
                <w:lang w:val="en-GB"/>
              </w:rPr>
            </w:pPr>
            <w:r>
              <w:t>Equipment degradation</w:t>
            </w:r>
          </w:p>
        </w:tc>
        <w:tc>
          <w:tcPr>
            <w:tcW w:w="1755" w:type="dxa"/>
          </w:tcPr>
          <w:p w14:paraId="0E224947" w14:textId="77777777" w:rsidR="00636D09" w:rsidRDefault="00636D09" w:rsidP="00480573">
            <w:pPr>
              <w:pStyle w:val="CETBodytext"/>
              <w:rPr>
                <w:lang w:val="en-GB"/>
              </w:rPr>
            </w:pPr>
            <w:r w:rsidRPr="00467B26">
              <w:t>The unit</w:t>
            </w:r>
          </w:p>
        </w:tc>
        <w:tc>
          <w:tcPr>
            <w:tcW w:w="1756" w:type="dxa"/>
          </w:tcPr>
          <w:p w14:paraId="5461E1AA" w14:textId="77777777" w:rsidR="00636D09" w:rsidRDefault="00636D09" w:rsidP="00480573">
            <w:pPr>
              <w:pStyle w:val="CETBodytext"/>
              <w:rPr>
                <w:lang w:val="en-GB"/>
              </w:rPr>
            </w:pPr>
            <w:r>
              <w:rPr>
                <w:lang w:val="en-GB"/>
              </w:rPr>
              <w:t>M</w:t>
            </w:r>
            <w:r w:rsidRPr="00B26E41">
              <w:rPr>
                <w:lang w:val="en-GB"/>
              </w:rPr>
              <w:t>inutes</w:t>
            </w:r>
          </w:p>
        </w:tc>
        <w:tc>
          <w:tcPr>
            <w:tcW w:w="1756" w:type="dxa"/>
          </w:tcPr>
          <w:p w14:paraId="4A1B0B6D" w14:textId="77777777" w:rsidR="00636D09" w:rsidRDefault="00636D09" w:rsidP="00480573">
            <w:pPr>
              <w:pStyle w:val="CETBodytext"/>
              <w:rPr>
                <w:lang w:val="en-GB"/>
              </w:rPr>
            </w:pPr>
            <w:r>
              <w:rPr>
                <w:lang w:val="en-GB"/>
              </w:rPr>
              <w:t>M</w:t>
            </w:r>
            <w:r w:rsidRPr="00E9546B">
              <w:rPr>
                <w:lang w:val="en-GB"/>
              </w:rPr>
              <w:t>oderate</w:t>
            </w:r>
          </w:p>
        </w:tc>
      </w:tr>
      <w:tr w:rsidR="00636D09" w14:paraId="5A910535" w14:textId="77777777" w:rsidTr="006E4600">
        <w:tc>
          <w:tcPr>
            <w:tcW w:w="927" w:type="dxa"/>
          </w:tcPr>
          <w:p w14:paraId="2681FF8D" w14:textId="77777777" w:rsidR="00636D09" w:rsidRDefault="00636D09" w:rsidP="00480573">
            <w:pPr>
              <w:pStyle w:val="CETBodytext"/>
              <w:rPr>
                <w:lang w:val="en-GB"/>
              </w:rPr>
            </w:pPr>
            <w:r>
              <w:rPr>
                <w:lang w:val="en-GB"/>
              </w:rPr>
              <w:t>F</w:t>
            </w:r>
          </w:p>
        </w:tc>
        <w:tc>
          <w:tcPr>
            <w:tcW w:w="2593" w:type="dxa"/>
          </w:tcPr>
          <w:p w14:paraId="64357898" w14:textId="77777777" w:rsidR="00636D09" w:rsidRDefault="00636D09" w:rsidP="00480573">
            <w:pPr>
              <w:pStyle w:val="CETBodytext"/>
              <w:rPr>
                <w:lang w:val="en-GB"/>
              </w:rPr>
            </w:pPr>
            <w:r>
              <w:t>Equipment degradation</w:t>
            </w:r>
          </w:p>
        </w:tc>
        <w:tc>
          <w:tcPr>
            <w:tcW w:w="1755" w:type="dxa"/>
          </w:tcPr>
          <w:p w14:paraId="72605E25" w14:textId="77777777" w:rsidR="00636D09" w:rsidRDefault="00636D09" w:rsidP="00480573">
            <w:pPr>
              <w:pStyle w:val="CETBodytext"/>
              <w:rPr>
                <w:lang w:val="en-GB"/>
              </w:rPr>
            </w:pPr>
            <w:r w:rsidRPr="00467B26">
              <w:t>The unit</w:t>
            </w:r>
          </w:p>
        </w:tc>
        <w:tc>
          <w:tcPr>
            <w:tcW w:w="1756" w:type="dxa"/>
          </w:tcPr>
          <w:p w14:paraId="7608A61A" w14:textId="77777777" w:rsidR="00636D09" w:rsidRDefault="00636D09" w:rsidP="00480573">
            <w:pPr>
              <w:pStyle w:val="CETBodytext"/>
              <w:rPr>
                <w:lang w:val="en-GB"/>
              </w:rPr>
            </w:pPr>
            <w:r w:rsidRPr="004C6DFD">
              <w:rPr>
                <w:lang w:val="en-GB"/>
              </w:rPr>
              <w:t>hours</w:t>
            </w:r>
          </w:p>
        </w:tc>
        <w:tc>
          <w:tcPr>
            <w:tcW w:w="1756" w:type="dxa"/>
          </w:tcPr>
          <w:p w14:paraId="44D92C9B" w14:textId="77777777" w:rsidR="00636D09" w:rsidRDefault="00636D09" w:rsidP="00480573">
            <w:pPr>
              <w:pStyle w:val="CETBodytext"/>
              <w:rPr>
                <w:lang w:val="en-GB"/>
              </w:rPr>
            </w:pPr>
            <w:r>
              <w:rPr>
                <w:lang w:val="en-GB"/>
              </w:rPr>
              <w:t>Low</w:t>
            </w:r>
          </w:p>
        </w:tc>
      </w:tr>
      <w:tr w:rsidR="00636D09" w14:paraId="3791B930" w14:textId="77777777" w:rsidTr="006E4600">
        <w:tc>
          <w:tcPr>
            <w:tcW w:w="927" w:type="dxa"/>
          </w:tcPr>
          <w:p w14:paraId="0881A65D" w14:textId="77777777" w:rsidR="00636D09" w:rsidRDefault="00636D09" w:rsidP="00480573">
            <w:pPr>
              <w:pStyle w:val="CETBodytext"/>
              <w:rPr>
                <w:lang w:val="en-GB"/>
              </w:rPr>
            </w:pPr>
            <w:r>
              <w:rPr>
                <w:lang w:val="en-GB"/>
              </w:rPr>
              <w:t>G</w:t>
            </w:r>
          </w:p>
        </w:tc>
        <w:tc>
          <w:tcPr>
            <w:tcW w:w="2593" w:type="dxa"/>
          </w:tcPr>
          <w:p w14:paraId="70D7E4AC" w14:textId="77777777" w:rsidR="00636D09" w:rsidRDefault="00636D09" w:rsidP="00480573">
            <w:pPr>
              <w:pStyle w:val="CETnumberingbullets"/>
              <w:numPr>
                <w:ilvl w:val="0"/>
                <w:numId w:val="0"/>
              </w:numPr>
            </w:pPr>
            <w:r>
              <w:t>O</w:t>
            </w:r>
            <w:r w:rsidRPr="006669E8">
              <w:t>perational disruptions</w:t>
            </w:r>
          </w:p>
        </w:tc>
        <w:tc>
          <w:tcPr>
            <w:tcW w:w="1755" w:type="dxa"/>
          </w:tcPr>
          <w:p w14:paraId="256C7EBE" w14:textId="77777777" w:rsidR="00636D09" w:rsidRDefault="00636D09" w:rsidP="00480573">
            <w:pPr>
              <w:pStyle w:val="CETBodytext"/>
              <w:rPr>
                <w:lang w:val="en-GB"/>
              </w:rPr>
            </w:pPr>
            <w:r w:rsidRPr="00467B26">
              <w:t>The unit</w:t>
            </w:r>
          </w:p>
        </w:tc>
        <w:tc>
          <w:tcPr>
            <w:tcW w:w="1756" w:type="dxa"/>
          </w:tcPr>
          <w:p w14:paraId="4E46F3FF" w14:textId="77777777" w:rsidR="00636D09" w:rsidRDefault="00636D09" w:rsidP="00480573">
            <w:pPr>
              <w:pStyle w:val="CETBodytext"/>
              <w:rPr>
                <w:lang w:val="en-GB"/>
              </w:rPr>
            </w:pPr>
            <w:r w:rsidRPr="004C6DFD">
              <w:rPr>
                <w:lang w:val="en-GB"/>
              </w:rPr>
              <w:t>hours</w:t>
            </w:r>
          </w:p>
        </w:tc>
        <w:tc>
          <w:tcPr>
            <w:tcW w:w="1756" w:type="dxa"/>
          </w:tcPr>
          <w:p w14:paraId="130B6797" w14:textId="77777777" w:rsidR="00636D09" w:rsidRDefault="00636D09" w:rsidP="00480573">
            <w:pPr>
              <w:pStyle w:val="CETBodytext"/>
              <w:rPr>
                <w:lang w:val="en-GB"/>
              </w:rPr>
            </w:pPr>
            <w:r>
              <w:rPr>
                <w:lang w:val="en-GB"/>
              </w:rPr>
              <w:t>Low</w:t>
            </w:r>
          </w:p>
        </w:tc>
      </w:tr>
    </w:tbl>
    <w:p w14:paraId="7A6BD752" w14:textId="40D15B9D" w:rsidR="006E4600" w:rsidRDefault="006E4600" w:rsidP="00EA102E">
      <w:pPr>
        <w:pStyle w:val="CETheadingx"/>
      </w:pPr>
      <w:r>
        <w:t xml:space="preserve">4.3 </w:t>
      </w:r>
      <w:r w:rsidR="00EA102E">
        <w:t>Prevention</w:t>
      </w:r>
      <w:r>
        <w:t xml:space="preserve"> strategies and existing control measures at SIAAP</w:t>
      </w:r>
    </w:p>
    <w:p w14:paraId="17B0E279" w14:textId="5CDC181D" w:rsidR="00EA102E" w:rsidRPr="00EA102E" w:rsidRDefault="006E73B0" w:rsidP="00EA102E">
      <w:pPr>
        <w:pStyle w:val="CETBodytext"/>
      </w:pPr>
      <w:r w:rsidRPr="006E73B0">
        <w:t>Chemical risk prevention involves the separate storage of incompatible substances in appropriate containers to prevent dangerous reactions. To avoid inadvertent mixing during product delivery and unloading</w:t>
      </w:r>
      <w:r w:rsidR="00FF4B8C">
        <w:t xml:space="preserve"> on the site</w:t>
      </w:r>
      <w:r w:rsidRPr="006E73B0">
        <w:t xml:space="preserve">, </w:t>
      </w:r>
      <w:r>
        <w:t xml:space="preserve">the Seine Aval WWTP </w:t>
      </w:r>
      <w:r w:rsidRPr="006E73B0">
        <w:t xml:space="preserve">employs an IDIS pot (Installation de </w:t>
      </w:r>
      <w:proofErr w:type="spellStart"/>
      <w:r w:rsidRPr="006E73B0">
        <w:t>Dépotage</w:t>
      </w:r>
      <w:proofErr w:type="spellEnd"/>
      <w:r w:rsidRPr="006E73B0">
        <w:t xml:space="preserve"> </w:t>
      </w:r>
      <w:proofErr w:type="spellStart"/>
      <w:r w:rsidRPr="006E73B0">
        <w:t>Intrinsèquement</w:t>
      </w:r>
      <w:proofErr w:type="spellEnd"/>
      <w:r w:rsidRPr="006E73B0">
        <w:t xml:space="preserve"> </w:t>
      </w:r>
      <w:proofErr w:type="spellStart"/>
      <w:r w:rsidRPr="006E73B0">
        <w:t>Sûre</w:t>
      </w:r>
      <w:proofErr w:type="spellEnd"/>
      <w:r w:rsidRPr="006E73B0">
        <w:t xml:space="preserve">) to ensure that the product </w:t>
      </w:r>
      <w:r w:rsidR="005E19E5" w:rsidRPr="005E19E5">
        <w:rPr>
          <w:lang w:val="en-GB"/>
        </w:rPr>
        <w:t>received is indeed the one expected</w:t>
      </w:r>
      <w:r w:rsidRPr="006E73B0">
        <w:t xml:space="preserve">, </w:t>
      </w:r>
      <w:r w:rsidR="009A5BCA" w:rsidRPr="009A5BCA">
        <w:t>thus preventing incompatible mixing within the storage tank</w:t>
      </w:r>
      <w:r w:rsidR="00EA102E">
        <w:t>.</w:t>
      </w:r>
    </w:p>
    <w:p w14:paraId="7F53E4E4" w14:textId="22D2574D" w:rsidR="00670CEC" w:rsidRPr="00D61F96" w:rsidRDefault="002A2D04" w:rsidP="00077E31">
      <w:pPr>
        <w:pStyle w:val="CETHeading1"/>
        <w:numPr>
          <w:ilvl w:val="0"/>
          <w:numId w:val="0"/>
        </w:numPr>
        <w:rPr>
          <w:lang w:val="en-GB"/>
        </w:rPr>
      </w:pPr>
      <w:r>
        <w:rPr>
          <w:lang w:val="en-GB"/>
        </w:rPr>
        <w:t>5</w:t>
      </w:r>
      <w:r w:rsidR="00077E31">
        <w:rPr>
          <w:lang w:val="en-GB"/>
        </w:rPr>
        <w:t xml:space="preserve">. </w:t>
      </w:r>
      <w:r w:rsidR="00600535" w:rsidRPr="00B57B36">
        <w:rPr>
          <w:lang w:val="en-GB"/>
        </w:rPr>
        <w:t>Conclusions</w:t>
      </w:r>
    </w:p>
    <w:p w14:paraId="07A6D20F" w14:textId="3111911F" w:rsidR="00C45E5D" w:rsidRPr="00AD5AE2" w:rsidRDefault="00324FDF" w:rsidP="00DB3887">
      <w:pPr>
        <w:pStyle w:val="CETBodytext"/>
        <w:sectPr w:rsidR="00C45E5D" w:rsidRPr="00AD5AE2" w:rsidSect="00DC73EE">
          <w:type w:val="continuous"/>
          <w:pgSz w:w="11906" w:h="16838" w:code="9"/>
          <w:pgMar w:top="1701" w:right="1418" w:bottom="1701" w:left="1701" w:header="1701" w:footer="0" w:gutter="0"/>
          <w:cols w:space="708"/>
          <w:formProt w:val="0"/>
          <w:titlePg/>
          <w:docGrid w:linePitch="360"/>
        </w:sectPr>
      </w:pPr>
      <w:r w:rsidRPr="00DB12E8">
        <w:rPr>
          <w:lang w:val="en-GB"/>
        </w:rPr>
        <w:t xml:space="preserve">The </w:t>
      </w:r>
      <w:r w:rsidR="00670CEC">
        <w:rPr>
          <w:lang w:val="en-GB"/>
        </w:rPr>
        <w:t>work</w:t>
      </w:r>
      <w:r w:rsidRPr="00DB12E8">
        <w:rPr>
          <w:lang w:val="en-GB"/>
        </w:rPr>
        <w:t xml:space="preserve"> </w:t>
      </w:r>
      <w:r w:rsidR="00670CEC">
        <w:rPr>
          <w:lang w:val="en-GB"/>
        </w:rPr>
        <w:t xml:space="preserve">analysis performed </w:t>
      </w:r>
      <w:r w:rsidRPr="00DB12E8">
        <w:rPr>
          <w:lang w:val="en-GB"/>
        </w:rPr>
        <w:t xml:space="preserve">in this paper </w:t>
      </w:r>
      <w:r w:rsidR="00670CEC">
        <w:rPr>
          <w:lang w:val="en-GB"/>
        </w:rPr>
        <w:t xml:space="preserve">lead to </w:t>
      </w:r>
      <w:r w:rsidRPr="00DB12E8">
        <w:rPr>
          <w:lang w:val="en-GB"/>
        </w:rPr>
        <w:t xml:space="preserve">the creation of an "incompatibility matrix" that serves as a tool for identifying potential risks when a new product is introduced into the process. This matrix, represented as a diagram, </w:t>
      </w:r>
      <w:r w:rsidR="00C874E0">
        <w:rPr>
          <w:lang w:val="en-GB"/>
        </w:rPr>
        <w:t>was</w:t>
      </w:r>
      <w:r w:rsidR="00670CEC">
        <w:rPr>
          <w:lang w:val="en-GB"/>
        </w:rPr>
        <w:t xml:space="preserve"> designed to</w:t>
      </w:r>
      <w:r w:rsidRPr="00DB12E8">
        <w:rPr>
          <w:lang w:val="en-GB"/>
        </w:rPr>
        <w:t xml:space="preserve"> </w:t>
      </w:r>
      <w:r w:rsidR="00670CEC">
        <w:rPr>
          <w:lang w:val="en-GB"/>
        </w:rPr>
        <w:t>identify</w:t>
      </w:r>
      <w:r w:rsidRPr="00DB12E8">
        <w:rPr>
          <w:lang w:val="en-GB"/>
        </w:rPr>
        <w:t xml:space="preserve"> potential incompatibilities between the newly-introduced product (substance or material) and the existing substances or materials in use. </w:t>
      </w:r>
      <w:r w:rsidR="00C874E0">
        <w:rPr>
          <w:lang w:val="en-GB"/>
        </w:rPr>
        <w:t>This tool may</w:t>
      </w:r>
      <w:r w:rsidRPr="00DB12E8">
        <w:rPr>
          <w:lang w:val="en-GB"/>
        </w:rPr>
        <w:t xml:space="preserve"> evaluate the safety risks associated with new additions in a systematic manner, considering factors such as chemical reactions, energy release, and material degradation.</w:t>
      </w:r>
      <w:r w:rsidR="00C874E0">
        <w:rPr>
          <w:lang w:val="en-GB"/>
        </w:rPr>
        <w:t xml:space="preserve"> </w:t>
      </w:r>
      <w:r w:rsidRPr="00DB12E8">
        <w:rPr>
          <w:lang w:val="en-GB"/>
        </w:rPr>
        <w:t>SIAAP’s accident history confirm</w:t>
      </w:r>
      <w:r w:rsidR="002E48FE">
        <w:rPr>
          <w:lang w:val="en-GB"/>
        </w:rPr>
        <w:t>ed</w:t>
      </w:r>
      <w:r w:rsidRPr="00DB12E8">
        <w:rPr>
          <w:lang w:val="en-GB"/>
        </w:rPr>
        <w:t xml:space="preserve"> that these scenarios are plausible and should be carefully monitored. </w:t>
      </w:r>
      <w:r w:rsidR="002329FE" w:rsidRPr="00974365">
        <w:t xml:space="preserve">Beyond the screening that the tool allows, </w:t>
      </w:r>
      <w:r w:rsidR="002C17AB" w:rsidRPr="002C17AB">
        <w:rPr>
          <w:lang w:val="en-GB"/>
        </w:rPr>
        <w:t xml:space="preserve">which </w:t>
      </w:r>
      <w:r w:rsidR="00D35010">
        <w:rPr>
          <w:lang w:val="en-GB"/>
        </w:rPr>
        <w:t xml:space="preserve">has </w:t>
      </w:r>
      <w:r w:rsidR="002C17AB" w:rsidRPr="002C17AB">
        <w:rPr>
          <w:lang w:val="en-GB"/>
        </w:rPr>
        <w:t>to be validated and refined</w:t>
      </w:r>
      <w:r w:rsidR="002329FE" w:rsidRPr="00974365">
        <w:t xml:space="preserve">, </w:t>
      </w:r>
      <w:r w:rsidR="002C17AB" w:rsidRPr="002C17AB">
        <w:t xml:space="preserve">the </w:t>
      </w:r>
      <w:r w:rsidR="00F03F3D" w:rsidRPr="00F03F3D">
        <w:rPr>
          <w:lang w:val="en-GB"/>
        </w:rPr>
        <w:t xml:space="preserve">intention </w:t>
      </w:r>
      <w:r w:rsidR="002C17AB" w:rsidRPr="002C17AB">
        <w:t xml:space="preserve">is to </w:t>
      </w:r>
      <w:r w:rsidR="009A5BCA" w:rsidRPr="009A5BCA">
        <w:t xml:space="preserve">accurately </w:t>
      </w:r>
      <w:r w:rsidR="002C17AB" w:rsidRPr="002C17AB">
        <w:t>estimate</w:t>
      </w:r>
      <w:r w:rsidR="002329FE" w:rsidRPr="00974365">
        <w:t xml:space="preserve"> the consequences of each scenario (quantity, dispersion, speed)</w:t>
      </w:r>
      <w:r w:rsidR="00383B15">
        <w:t xml:space="preserve">, </w:t>
      </w:r>
      <w:r w:rsidR="002C17AB">
        <w:t>identify</w:t>
      </w:r>
      <w:r w:rsidR="002329FE" w:rsidRPr="00974365">
        <w:t xml:space="preserve"> the causes of these incompatible mixtures</w:t>
      </w:r>
      <w:r w:rsidR="00383B15">
        <w:t xml:space="preserve"> and then propose safety measures to mitigate them</w:t>
      </w:r>
      <w:r w:rsidR="002329FE" w:rsidRPr="00974365">
        <w:t>. Tests are</w:t>
      </w:r>
      <w:r w:rsidR="002C17AB">
        <w:t xml:space="preserve"> </w:t>
      </w:r>
      <w:r w:rsidR="002329FE" w:rsidRPr="00974365">
        <w:t xml:space="preserve">planned for the chemical aspects, while a risk analysis method </w:t>
      </w:r>
      <w:r w:rsidR="00D35010">
        <w:t>should</w:t>
      </w:r>
      <w:r w:rsidR="002329FE" w:rsidRPr="00974365">
        <w:t xml:space="preserve"> be chosen</w:t>
      </w:r>
      <w:r w:rsidR="00D35010">
        <w:t>,</w:t>
      </w:r>
      <w:r w:rsidR="002329FE" w:rsidRPr="00974365">
        <w:t xml:space="preserve"> that can integrate the socio-technical aspects</w:t>
      </w:r>
      <w:r w:rsidR="00B5253B">
        <w:t xml:space="preserve"> for probability estimation</w:t>
      </w:r>
      <w:r w:rsidR="002329FE" w:rsidRPr="00974365">
        <w:t>.</w:t>
      </w:r>
      <w:r w:rsidR="009D03CF" w:rsidRPr="009D03CF">
        <w:t xml:space="preserve"> </w:t>
      </w:r>
      <w:r w:rsidR="00D35010">
        <w:t>For</w:t>
      </w:r>
      <w:r w:rsidR="009D03CF" w:rsidRPr="00974365">
        <w:t xml:space="preserve"> </w:t>
      </w:r>
      <w:r w:rsidR="00D35010" w:rsidRPr="00974365">
        <w:t>this</w:t>
      </w:r>
      <w:r w:rsidR="00D35010">
        <w:t xml:space="preserve"> purpose</w:t>
      </w:r>
      <w:r w:rsidR="00681FA9">
        <w:t xml:space="preserve">, </w:t>
      </w:r>
      <w:r w:rsidR="009D03CF" w:rsidRPr="00974365">
        <w:t>the precise course of a few accidents</w:t>
      </w:r>
      <w:r w:rsidR="00681FA9">
        <w:t xml:space="preserve"> will be analyzed as</w:t>
      </w:r>
      <w:r w:rsidR="00681FA9" w:rsidRPr="00681FA9">
        <w:t xml:space="preserve"> a starting point</w:t>
      </w:r>
      <w:r w:rsidR="00B5253B">
        <w:t>.</w:t>
      </w:r>
    </w:p>
    <w:p w14:paraId="38BFE636" w14:textId="7CA03012" w:rsidR="00280FAF" w:rsidRPr="002329FE" w:rsidRDefault="00280FAF" w:rsidP="00280FAF">
      <w:pPr>
        <w:pStyle w:val="CETBodytext"/>
        <w:jc w:val="left"/>
        <w:rPr>
          <w:rFonts w:eastAsia="SimSun"/>
        </w:rPr>
        <w:sectPr w:rsidR="00280FAF" w:rsidRPr="002329FE" w:rsidSect="00DB3887">
          <w:type w:val="continuous"/>
          <w:pgSz w:w="11906" w:h="16838" w:code="9"/>
          <w:pgMar w:top="1701" w:right="1418" w:bottom="1701" w:left="1701" w:header="1701" w:footer="0" w:gutter="0"/>
          <w:cols w:num="2" w:space="708"/>
          <w:formProt w:val="0"/>
          <w:titlePg/>
          <w:docGrid w:linePitch="360"/>
        </w:sectPr>
      </w:pPr>
    </w:p>
    <w:p w14:paraId="428B022A" w14:textId="4B478ED2" w:rsidR="00E65B91" w:rsidRDefault="00600535" w:rsidP="002B6AE9">
      <w:pPr>
        <w:pStyle w:val="CETReference"/>
      </w:pPr>
      <w:r w:rsidRPr="00B57B36">
        <w:t>References</w:t>
      </w:r>
    </w:p>
    <w:p w14:paraId="3C262932" w14:textId="7F75E5BB" w:rsidR="006E384E" w:rsidRDefault="001F4598" w:rsidP="00B122BB">
      <w:pPr>
        <w:pStyle w:val="CETReferencetext"/>
      </w:pPr>
      <w:r>
        <w:t xml:space="preserve">ARIA database, </w:t>
      </w:r>
      <w:r w:rsidRPr="009B0A63">
        <w:t>the reference for feedback on technological accidents</w:t>
      </w:r>
      <w:r>
        <w:t xml:space="preserve"> &lt;</w:t>
      </w:r>
      <w:r w:rsidRPr="009B0A63">
        <w:t>www.aria.developpement-durable.gouv.fr/le-barpi/la-base-de-donnees-aria/</w:t>
      </w:r>
      <w:r>
        <w:t>&gt;</w:t>
      </w:r>
      <w:r w:rsidRPr="009B0A63">
        <w:t xml:space="preserve"> accessed 2</w:t>
      </w:r>
      <w:r>
        <w:t>0</w:t>
      </w:r>
      <w:r w:rsidRPr="009B0A63">
        <w:t>.0</w:t>
      </w:r>
      <w:r>
        <w:t>1</w:t>
      </w:r>
      <w:r w:rsidRPr="009B0A63">
        <w:t>.20</w:t>
      </w:r>
      <w:r>
        <w:t>25</w:t>
      </w:r>
    </w:p>
    <w:p w14:paraId="57F00AF7" w14:textId="5BF38240" w:rsidR="00E1569F" w:rsidRDefault="00E1569F" w:rsidP="00B122BB">
      <w:pPr>
        <w:pStyle w:val="CETReferencetext"/>
      </w:pPr>
      <w:r w:rsidRPr="00E1569F">
        <w:t>Farr J. K., Gorman D. B., Sliva D., Hielscher</w:t>
      </w:r>
      <w:r>
        <w:t xml:space="preserve"> </w:t>
      </w:r>
      <w:r w:rsidRPr="00E1569F">
        <w:t xml:space="preserve">A., Nguyen T., Baran G., Drake B. L., Ford E., </w:t>
      </w:r>
      <w:proofErr w:type="spellStart"/>
      <w:r w:rsidRPr="00E1569F">
        <w:t>Frurip</w:t>
      </w:r>
      <w:proofErr w:type="spellEnd"/>
      <w:r w:rsidRPr="00E1569F">
        <w:t xml:space="preserve"> D., Mulligan K., Ryan J. W.,</w:t>
      </w:r>
      <w:r>
        <w:t xml:space="preserve"> </w:t>
      </w:r>
      <w:r w:rsidRPr="00E1569F">
        <w:t>Viveros, D.</w:t>
      </w:r>
      <w:r>
        <w:t>,</w:t>
      </w:r>
      <w:r w:rsidRPr="00E1569F">
        <w:t xml:space="preserve"> 2017</w:t>
      </w:r>
      <w:r>
        <w:t>,</w:t>
      </w:r>
      <w:r w:rsidRPr="00E1569F">
        <w:t xml:space="preserve"> Expanded Chemical Reactivity Worksheet (CRW4) for determining chemical compatibility, past, present, and future. Process Safety Progress</w:t>
      </w:r>
    </w:p>
    <w:p w14:paraId="2006A653" w14:textId="77777777" w:rsidR="006E384E" w:rsidRDefault="006E384E" w:rsidP="006E384E">
      <w:pPr>
        <w:pStyle w:val="CETReferencetext"/>
      </w:pPr>
      <w:r>
        <w:t xml:space="preserve">Hu Q., Zhang X., Hao H., 2023, A review of hydrogen-air cloud explosions: The fundamentals, overpressure prediction methods, and influencing factors, International Journal of Hydrogen </w:t>
      </w:r>
      <w:proofErr w:type="spellStart"/>
      <w:proofErr w:type="gramStart"/>
      <w:r>
        <w:t>Energy,Volume</w:t>
      </w:r>
      <w:proofErr w:type="spellEnd"/>
      <w:proofErr w:type="gramEnd"/>
      <w:r>
        <w:t xml:space="preserve"> 48, Issue 36,</w:t>
      </w:r>
    </w:p>
    <w:p w14:paraId="2DED458E" w14:textId="39E9EFC1" w:rsidR="006E384E" w:rsidRDefault="006E384E" w:rsidP="006E384E">
      <w:pPr>
        <w:pStyle w:val="CETReferencetext"/>
      </w:pPr>
      <w:r w:rsidRPr="001A5941">
        <w:t>Huang Y</w:t>
      </w:r>
      <w:r>
        <w:t>.</w:t>
      </w:r>
      <w:r w:rsidRPr="001A5941">
        <w:t>H., Chiang C</w:t>
      </w:r>
      <w:r>
        <w:t>.</w:t>
      </w:r>
      <w:r w:rsidRPr="001A5941">
        <w:t>C., I Y</w:t>
      </w:r>
      <w:r>
        <w:t>.</w:t>
      </w:r>
      <w:r w:rsidRPr="001A5941">
        <w:t>P.</w:t>
      </w:r>
      <w:r>
        <w:t>,</w:t>
      </w:r>
      <w:r w:rsidRPr="001A5941">
        <w:t xml:space="preserve"> </w:t>
      </w:r>
      <w:r>
        <w:t xml:space="preserve">Kuo C.T., Wu S.H., Hsu J.P., Charpentier J.C., </w:t>
      </w:r>
      <w:r w:rsidRPr="001A5941">
        <w:t>2013</w:t>
      </w:r>
      <w:r>
        <w:t>,</w:t>
      </w:r>
      <w:r w:rsidRPr="001A5941">
        <w:t xml:space="preserve"> Incompatible reaction evaluation and accident investigation of various acids in chemical industries. J </w:t>
      </w:r>
      <w:proofErr w:type="spellStart"/>
      <w:r w:rsidRPr="001A5941">
        <w:t>Therm</w:t>
      </w:r>
      <w:proofErr w:type="spellEnd"/>
      <w:r w:rsidRPr="001A5941">
        <w:t xml:space="preserve"> Anal </w:t>
      </w:r>
      <w:proofErr w:type="spellStart"/>
      <w:r w:rsidRPr="001A5941">
        <w:t>Calorim</w:t>
      </w:r>
      <w:proofErr w:type="spellEnd"/>
      <w:r w:rsidRPr="001A5941">
        <w:t xml:space="preserve"> 114</w:t>
      </w:r>
    </w:p>
    <w:p w14:paraId="512F0A03" w14:textId="6A64637D" w:rsidR="006E384E" w:rsidRDefault="006E384E" w:rsidP="006E384E">
      <w:pPr>
        <w:pStyle w:val="CETReferencetext"/>
      </w:pPr>
      <w:r w:rsidRPr="00957358">
        <w:t>Lewis R.J.</w:t>
      </w:r>
      <w:r>
        <w:t>, Sax N.I.,</w:t>
      </w:r>
      <w:r w:rsidRPr="00957358">
        <w:t xml:space="preserve"> 1987, Hazardous chemicals desk reference</w:t>
      </w:r>
      <w:r>
        <w:t xml:space="preserve">. Van Nostrand Reinhold Company Inc. Library of congress </w:t>
      </w:r>
      <w:proofErr w:type="spellStart"/>
      <w:r>
        <w:t>Catalog</w:t>
      </w:r>
      <w:proofErr w:type="spellEnd"/>
      <w:r>
        <w:t xml:space="preserve"> Card Number 87-2084 ISBN 0-442-28208-7</w:t>
      </w:r>
    </w:p>
    <w:p w14:paraId="00DE41FF" w14:textId="77777777" w:rsidR="006E384E" w:rsidRDefault="006E384E" w:rsidP="006E384E">
      <w:pPr>
        <w:pStyle w:val="CETReferencetext"/>
      </w:pPr>
      <w:r w:rsidRPr="00E504E6">
        <w:t>Margossian</w:t>
      </w:r>
      <w:r>
        <w:t xml:space="preserve"> N., 2010, </w:t>
      </w:r>
      <w:r w:rsidRPr="00E504E6">
        <w:t>Treating chemical risk, risk and hazard science</w:t>
      </w:r>
      <w:r>
        <w:t xml:space="preserve">, </w:t>
      </w:r>
      <w:r w:rsidRPr="00E504E6">
        <w:t>LAVOISIER</w:t>
      </w:r>
      <w:r>
        <w:t xml:space="preserve">, Paris, France </w:t>
      </w:r>
      <w:r w:rsidRPr="00E504E6">
        <w:t>(in French)</w:t>
      </w:r>
    </w:p>
    <w:p w14:paraId="578525F5" w14:textId="1168F04B" w:rsidR="006E384E" w:rsidRDefault="006E384E" w:rsidP="006E384E">
      <w:pPr>
        <w:pStyle w:val="CETReferencetext"/>
      </w:pPr>
      <w:proofErr w:type="spellStart"/>
      <w:r w:rsidRPr="00BB1859">
        <w:t>Miletiev</w:t>
      </w:r>
      <w:proofErr w:type="spellEnd"/>
      <w:r w:rsidRPr="00BB1859">
        <w:t xml:space="preserve"> R., Simeonov I., Stefanova V., Georgiev M., 2013, Thermodynamic analysis of the hydrogen peroxide decomposition parameters. </w:t>
      </w:r>
      <w:r w:rsidRPr="00BB1859">
        <w:rPr>
          <w:i/>
          <w:iCs/>
        </w:rPr>
        <w:t xml:space="preserve">J </w:t>
      </w:r>
      <w:proofErr w:type="spellStart"/>
      <w:r w:rsidRPr="00BB1859">
        <w:rPr>
          <w:i/>
          <w:iCs/>
        </w:rPr>
        <w:t>Therm</w:t>
      </w:r>
      <w:proofErr w:type="spellEnd"/>
      <w:r w:rsidRPr="00BB1859">
        <w:rPr>
          <w:i/>
          <w:iCs/>
        </w:rPr>
        <w:t xml:space="preserve"> Anal </w:t>
      </w:r>
      <w:proofErr w:type="spellStart"/>
      <w:r w:rsidRPr="00BB1859">
        <w:rPr>
          <w:i/>
          <w:iCs/>
        </w:rPr>
        <w:t>Calorim</w:t>
      </w:r>
      <w:proofErr w:type="spellEnd"/>
      <w:r w:rsidRPr="00BB1859">
        <w:t> 113, 985–989</w:t>
      </w:r>
    </w:p>
    <w:p w14:paraId="41E1E3D8" w14:textId="77777777" w:rsidR="006E384E" w:rsidRDefault="006E384E" w:rsidP="006E384E">
      <w:pPr>
        <w:pStyle w:val="CETReferencetext"/>
      </w:pPr>
      <w:r w:rsidRPr="009045AC">
        <w:t>Pasquet</w:t>
      </w:r>
      <w:r>
        <w:t xml:space="preserve"> V., 2020, </w:t>
      </w:r>
      <w:r w:rsidRPr="009045AC">
        <w:t xml:space="preserve">Ferric chloride: a corrosive liquid for everyday use. </w:t>
      </w:r>
      <w:r w:rsidRPr="00543CB4">
        <w:t>Faced with the risk</w:t>
      </w:r>
      <w:r w:rsidRPr="009045AC">
        <w:t>,</w:t>
      </w:r>
      <w:r>
        <w:t xml:space="preserve"> </w:t>
      </w:r>
      <w:r w:rsidRPr="00BC7511">
        <w:t>feedback</w:t>
      </w:r>
      <w:r>
        <w:t>,</w:t>
      </w:r>
      <w:r w:rsidRPr="009045AC">
        <w:t xml:space="preserve"> 565, pp.10-12. </w:t>
      </w:r>
      <w:r w:rsidRPr="009045AC">
        <w:rPr>
          <w:rFonts w:ascii="Cambria Math" w:hAnsi="Cambria Math" w:cs="Cambria Math"/>
        </w:rPr>
        <w:t>⟨</w:t>
      </w:r>
      <w:r w:rsidRPr="009045AC">
        <w:t>hal-03019017</w:t>
      </w:r>
      <w:r w:rsidRPr="009045AC">
        <w:rPr>
          <w:rFonts w:ascii="Cambria Math" w:hAnsi="Cambria Math" w:cs="Cambria Math"/>
        </w:rPr>
        <w:t>⟩</w:t>
      </w:r>
      <w:r>
        <w:rPr>
          <w:rFonts w:ascii="Cambria Math" w:hAnsi="Cambria Math" w:cs="Cambria Math"/>
        </w:rPr>
        <w:t xml:space="preserve"> </w:t>
      </w:r>
      <w:r w:rsidRPr="00E504E6">
        <w:t>(in French)</w:t>
      </w:r>
    </w:p>
    <w:p w14:paraId="631E3B95" w14:textId="77777777" w:rsidR="006E384E" w:rsidRDefault="006E384E" w:rsidP="006E384E">
      <w:pPr>
        <w:pStyle w:val="CETReferencetext"/>
      </w:pPr>
      <w:proofErr w:type="spellStart"/>
      <w:r>
        <w:t>Pohanish</w:t>
      </w:r>
      <w:proofErr w:type="spellEnd"/>
      <w:r>
        <w:t xml:space="preserve"> R.P., Greene S.A., 2009, Wiley guide to chemical incompatibilities. John Wiley </w:t>
      </w:r>
      <w:r>
        <w:rPr>
          <w:rFonts w:cs="Arial"/>
        </w:rPr>
        <w:t>&amp;</w:t>
      </w:r>
      <w:r>
        <w:t xml:space="preserve"> Sons, Inc., Hoboken, New Jersey.</w:t>
      </w:r>
    </w:p>
    <w:p w14:paraId="15308869" w14:textId="77777777" w:rsidR="006E384E" w:rsidRDefault="006E384E" w:rsidP="006E384E">
      <w:pPr>
        <w:pStyle w:val="CETReferencetext"/>
      </w:pPr>
      <w:r>
        <w:t xml:space="preserve">Sales J., Mushtaq F., Christou M.D., Nomen R., 2007, Study of Major Accidents Involving Chemical Reactive Substances: Analysis and Lessons Learned, Process Safety and Environmental </w:t>
      </w:r>
      <w:proofErr w:type="spellStart"/>
      <w:proofErr w:type="gramStart"/>
      <w:r>
        <w:t>Protection,Volume</w:t>
      </w:r>
      <w:proofErr w:type="spellEnd"/>
      <w:proofErr w:type="gramEnd"/>
      <w:r>
        <w:t xml:space="preserve"> 85</w:t>
      </w:r>
    </w:p>
    <w:p w14:paraId="4A6A8737" w14:textId="77777777" w:rsidR="006E384E" w:rsidRDefault="006E384E" w:rsidP="006E384E">
      <w:pPr>
        <w:pStyle w:val="CETReferencetext"/>
      </w:pPr>
      <w:r w:rsidRPr="005C5379">
        <w:t>Wu, M.L., Tsai,</w:t>
      </w:r>
      <w:r>
        <w:t xml:space="preserve"> </w:t>
      </w:r>
      <w:r w:rsidRPr="005C5379">
        <w:t>W.-J., Ger, J.,</w:t>
      </w:r>
      <w:r>
        <w:t xml:space="preserve"> </w:t>
      </w:r>
      <w:r w:rsidRPr="005C5379">
        <w:t>Deng, J.F.</w:t>
      </w:r>
      <w:r>
        <w:t xml:space="preserve">, </w:t>
      </w:r>
      <w:r w:rsidRPr="005C5379">
        <w:t>2003</w:t>
      </w:r>
      <w:r>
        <w:t xml:space="preserve">, </w:t>
      </w:r>
      <w:r w:rsidRPr="005C5379">
        <w:t>Clinical experience of acute ferric chloride poisoning. </w:t>
      </w:r>
      <w:r w:rsidRPr="005C5379">
        <w:rPr>
          <w:i/>
          <w:iCs/>
        </w:rPr>
        <w:t>Veterinary and Human Toxicology</w:t>
      </w:r>
      <w:r w:rsidRPr="005C5379">
        <w:t>, </w:t>
      </w:r>
      <w:r w:rsidRPr="005C5379">
        <w:rPr>
          <w:i/>
          <w:iCs/>
        </w:rPr>
        <w:t>45</w:t>
      </w:r>
      <w:r w:rsidRPr="005C5379">
        <w:t>(5), 243–246</w:t>
      </w:r>
    </w:p>
    <w:p w14:paraId="2D2B2F32" w14:textId="135A7708" w:rsidR="006E384E" w:rsidRDefault="006E384E" w:rsidP="006E384E">
      <w:pPr>
        <w:pStyle w:val="CETReferencetext"/>
      </w:pPr>
      <w:r w:rsidRPr="001B6E0A">
        <w:rPr>
          <w:lang w:val="en-US"/>
        </w:rPr>
        <w:t>Wu S</w:t>
      </w:r>
      <w:r>
        <w:rPr>
          <w:lang w:val="en-US"/>
        </w:rPr>
        <w:t>.</w:t>
      </w:r>
      <w:r w:rsidRPr="001B6E0A">
        <w:rPr>
          <w:lang w:val="en-US"/>
        </w:rPr>
        <w:t>H., Chi J</w:t>
      </w:r>
      <w:r>
        <w:rPr>
          <w:lang w:val="en-US"/>
        </w:rPr>
        <w:t>.</w:t>
      </w:r>
      <w:r w:rsidRPr="001B6E0A">
        <w:rPr>
          <w:lang w:val="en-US"/>
        </w:rPr>
        <w:t>H., Huang</w:t>
      </w:r>
      <w:r w:rsidR="00DD102E">
        <w:rPr>
          <w:lang w:val="en-US"/>
        </w:rPr>
        <w:t xml:space="preserve"> </w:t>
      </w:r>
      <w:r w:rsidRPr="001B6E0A">
        <w:rPr>
          <w:lang w:val="en-US"/>
        </w:rPr>
        <w:t>C</w:t>
      </w:r>
      <w:r>
        <w:rPr>
          <w:lang w:val="en-US"/>
        </w:rPr>
        <w:t>.</w:t>
      </w:r>
      <w:r w:rsidRPr="001B6E0A">
        <w:rPr>
          <w:lang w:val="en-US"/>
        </w:rPr>
        <w:t>C.</w:t>
      </w:r>
      <w:r>
        <w:rPr>
          <w:lang w:val="en-US"/>
        </w:rPr>
        <w:t>, Lin N.K., Peng J.J., Shu C.M., 2010,</w:t>
      </w:r>
      <w:r w:rsidRPr="001B6E0A">
        <w:rPr>
          <w:lang w:val="en-US"/>
        </w:rPr>
        <w:t xml:space="preserve"> </w:t>
      </w:r>
      <w:r w:rsidRPr="001B6E0A">
        <w:t xml:space="preserve">Thermal hazard analyses and incompatible reaction evaluation of hydrogen peroxide by DSC. J </w:t>
      </w:r>
      <w:proofErr w:type="spellStart"/>
      <w:r w:rsidRPr="001B6E0A">
        <w:t>Therm</w:t>
      </w:r>
      <w:proofErr w:type="spellEnd"/>
      <w:r w:rsidRPr="001B6E0A">
        <w:t xml:space="preserve"> Anal </w:t>
      </w:r>
      <w:proofErr w:type="spellStart"/>
      <w:r w:rsidRPr="001B6E0A">
        <w:t>Calorim</w:t>
      </w:r>
      <w:proofErr w:type="spellEnd"/>
      <w:r w:rsidRPr="001B6E0A">
        <w:t xml:space="preserve"> 102, 563–568</w:t>
      </w:r>
    </w:p>
    <w:p w14:paraId="727E4F07" w14:textId="77777777" w:rsidR="00FB2064" w:rsidRPr="00FB2064" w:rsidRDefault="00FB2064" w:rsidP="00FB2064">
      <w:pPr>
        <w:pStyle w:val="CETBodytext"/>
        <w:rPr>
          <w:lang w:val="en-GB"/>
        </w:rPr>
      </w:pPr>
    </w:p>
    <w:sectPr w:rsidR="00FB2064" w:rsidRPr="00FB2064" w:rsidSect="00DB388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5A838" w14:textId="77777777" w:rsidR="00EB6E1D" w:rsidRDefault="00EB6E1D" w:rsidP="004F5E36">
      <w:r>
        <w:separator/>
      </w:r>
    </w:p>
  </w:endnote>
  <w:endnote w:type="continuationSeparator" w:id="0">
    <w:p w14:paraId="79F2B243" w14:textId="77777777" w:rsidR="00EB6E1D" w:rsidRDefault="00EB6E1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Open Sans">
    <w:altName w:val="Calibr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4994B" w14:textId="77777777" w:rsidR="00EB6E1D" w:rsidRDefault="00EB6E1D" w:rsidP="004F5E36">
      <w:r>
        <w:separator/>
      </w:r>
    </w:p>
  </w:footnote>
  <w:footnote w:type="continuationSeparator" w:id="0">
    <w:p w14:paraId="761B2DD6" w14:textId="77777777" w:rsidR="00EB6E1D" w:rsidRDefault="00EB6E1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153C02"/>
    <w:multiLevelType w:val="hybridMultilevel"/>
    <w:tmpl w:val="D5FA5D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5C1698"/>
    <w:multiLevelType w:val="multilevel"/>
    <w:tmpl w:val="E35E1B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9291EE0"/>
    <w:multiLevelType w:val="hybridMultilevel"/>
    <w:tmpl w:val="D1820F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CA330E"/>
    <w:multiLevelType w:val="hybridMultilevel"/>
    <w:tmpl w:val="AB5A30F6"/>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0EB034CB"/>
    <w:multiLevelType w:val="hybridMultilevel"/>
    <w:tmpl w:val="0E4A9BB4"/>
    <w:lvl w:ilvl="0" w:tplc="E4AAD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3845726"/>
    <w:multiLevelType w:val="hybridMultilevel"/>
    <w:tmpl w:val="0850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31780"/>
    <w:multiLevelType w:val="hybridMultilevel"/>
    <w:tmpl w:val="03402BF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DB26E45"/>
    <w:multiLevelType w:val="hybridMultilevel"/>
    <w:tmpl w:val="71B0D804"/>
    <w:lvl w:ilvl="0" w:tplc="E4AAD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38217E"/>
    <w:multiLevelType w:val="multilevel"/>
    <w:tmpl w:val="CDCED53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25851CEB"/>
    <w:multiLevelType w:val="hybridMultilevel"/>
    <w:tmpl w:val="2152A0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26CB9"/>
    <w:multiLevelType w:val="hybridMultilevel"/>
    <w:tmpl w:val="FCAAB7C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D24F72"/>
    <w:multiLevelType w:val="hybridMultilevel"/>
    <w:tmpl w:val="79F2B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675" w:hanging="360"/>
      </w:pPr>
      <w:rPr>
        <w:rFonts w:ascii="Courier New" w:hAnsi="Courier New" w:cs="Courier New" w:hint="default"/>
      </w:rPr>
    </w:lvl>
    <w:lvl w:ilvl="2" w:tplc="040C0005" w:tentative="1">
      <w:start w:val="1"/>
      <w:numFmt w:val="bullet"/>
      <w:lvlText w:val=""/>
      <w:lvlJc w:val="left"/>
      <w:pPr>
        <w:ind w:left="2395" w:hanging="360"/>
      </w:pPr>
      <w:rPr>
        <w:rFonts w:ascii="Wingdings" w:hAnsi="Wingdings" w:hint="default"/>
      </w:rPr>
    </w:lvl>
    <w:lvl w:ilvl="3" w:tplc="040C0001" w:tentative="1">
      <w:start w:val="1"/>
      <w:numFmt w:val="bullet"/>
      <w:lvlText w:val=""/>
      <w:lvlJc w:val="left"/>
      <w:pPr>
        <w:ind w:left="3115" w:hanging="360"/>
      </w:pPr>
      <w:rPr>
        <w:rFonts w:ascii="Symbol" w:hAnsi="Symbol" w:hint="default"/>
      </w:rPr>
    </w:lvl>
    <w:lvl w:ilvl="4" w:tplc="040C0003" w:tentative="1">
      <w:start w:val="1"/>
      <w:numFmt w:val="bullet"/>
      <w:lvlText w:val="o"/>
      <w:lvlJc w:val="left"/>
      <w:pPr>
        <w:ind w:left="3835" w:hanging="360"/>
      </w:pPr>
      <w:rPr>
        <w:rFonts w:ascii="Courier New" w:hAnsi="Courier New" w:cs="Courier New" w:hint="default"/>
      </w:rPr>
    </w:lvl>
    <w:lvl w:ilvl="5" w:tplc="040C0005" w:tentative="1">
      <w:start w:val="1"/>
      <w:numFmt w:val="bullet"/>
      <w:lvlText w:val=""/>
      <w:lvlJc w:val="left"/>
      <w:pPr>
        <w:ind w:left="4555" w:hanging="360"/>
      </w:pPr>
      <w:rPr>
        <w:rFonts w:ascii="Wingdings" w:hAnsi="Wingdings" w:hint="default"/>
      </w:rPr>
    </w:lvl>
    <w:lvl w:ilvl="6" w:tplc="040C0001" w:tentative="1">
      <w:start w:val="1"/>
      <w:numFmt w:val="bullet"/>
      <w:lvlText w:val=""/>
      <w:lvlJc w:val="left"/>
      <w:pPr>
        <w:ind w:left="5275" w:hanging="360"/>
      </w:pPr>
      <w:rPr>
        <w:rFonts w:ascii="Symbol" w:hAnsi="Symbol" w:hint="default"/>
      </w:rPr>
    </w:lvl>
    <w:lvl w:ilvl="7" w:tplc="040C0003" w:tentative="1">
      <w:start w:val="1"/>
      <w:numFmt w:val="bullet"/>
      <w:lvlText w:val="o"/>
      <w:lvlJc w:val="left"/>
      <w:pPr>
        <w:ind w:left="5995" w:hanging="360"/>
      </w:pPr>
      <w:rPr>
        <w:rFonts w:ascii="Courier New" w:hAnsi="Courier New" w:cs="Courier New" w:hint="default"/>
      </w:rPr>
    </w:lvl>
    <w:lvl w:ilvl="8" w:tplc="040C0005" w:tentative="1">
      <w:start w:val="1"/>
      <w:numFmt w:val="bullet"/>
      <w:lvlText w:val=""/>
      <w:lvlJc w:val="left"/>
      <w:pPr>
        <w:ind w:left="6715" w:hanging="360"/>
      </w:pPr>
      <w:rPr>
        <w:rFonts w:ascii="Wingdings" w:hAnsi="Wingdings" w:hint="default"/>
      </w:rPr>
    </w:lvl>
  </w:abstractNum>
  <w:abstractNum w:abstractNumId="31" w15:restartNumberingAfterBreak="0">
    <w:nsid w:val="5D1D62B9"/>
    <w:multiLevelType w:val="hybridMultilevel"/>
    <w:tmpl w:val="53C29E0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B60D65"/>
    <w:multiLevelType w:val="hybridMultilevel"/>
    <w:tmpl w:val="065091A8"/>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F920BD"/>
    <w:multiLevelType w:val="hybridMultilevel"/>
    <w:tmpl w:val="5D9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35A87"/>
    <w:multiLevelType w:val="hybridMultilevel"/>
    <w:tmpl w:val="D3E48B5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34D5B"/>
    <w:multiLevelType w:val="hybridMultilevel"/>
    <w:tmpl w:val="A164EB9C"/>
    <w:lvl w:ilvl="0" w:tplc="040C0015">
      <w:start w:val="1"/>
      <w:numFmt w:val="upperLetter"/>
      <w:lvlText w:val="%1."/>
      <w:lvlJc w:val="left"/>
      <w:pPr>
        <w:ind w:left="473"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80192A"/>
    <w:multiLevelType w:val="hybridMultilevel"/>
    <w:tmpl w:val="8676FEA0"/>
    <w:lvl w:ilvl="0" w:tplc="E4AADE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D7E151B"/>
    <w:multiLevelType w:val="hybridMultilevel"/>
    <w:tmpl w:val="BEF6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8643105">
    <w:abstractNumId w:val="19"/>
  </w:num>
  <w:num w:numId="2" w16cid:durableId="1377855624">
    <w:abstractNumId w:val="8"/>
  </w:num>
  <w:num w:numId="3" w16cid:durableId="1147816304">
    <w:abstractNumId w:val="3"/>
  </w:num>
  <w:num w:numId="4" w16cid:durableId="60183366">
    <w:abstractNumId w:val="2"/>
  </w:num>
  <w:num w:numId="5" w16cid:durableId="800340442">
    <w:abstractNumId w:val="1"/>
  </w:num>
  <w:num w:numId="6" w16cid:durableId="1982346098">
    <w:abstractNumId w:val="0"/>
  </w:num>
  <w:num w:numId="7" w16cid:durableId="1186870961">
    <w:abstractNumId w:val="9"/>
  </w:num>
  <w:num w:numId="8" w16cid:durableId="1319265956">
    <w:abstractNumId w:val="7"/>
  </w:num>
  <w:num w:numId="9" w16cid:durableId="1411005026">
    <w:abstractNumId w:val="6"/>
  </w:num>
  <w:num w:numId="10" w16cid:durableId="708727802">
    <w:abstractNumId w:val="5"/>
  </w:num>
  <w:num w:numId="11" w16cid:durableId="1613124949">
    <w:abstractNumId w:val="4"/>
  </w:num>
  <w:num w:numId="12" w16cid:durableId="565339769">
    <w:abstractNumId w:val="28"/>
  </w:num>
  <w:num w:numId="13" w16cid:durableId="1091781055">
    <w:abstractNumId w:val="22"/>
  </w:num>
  <w:num w:numId="14" w16cid:durableId="1512798580">
    <w:abstractNumId w:val="29"/>
  </w:num>
  <w:num w:numId="15" w16cid:durableId="1421564268">
    <w:abstractNumId w:val="35"/>
  </w:num>
  <w:num w:numId="16" w16cid:durableId="1499225419">
    <w:abstractNumId w:val="34"/>
  </w:num>
  <w:num w:numId="17" w16cid:durableId="1445225566">
    <w:abstractNumId w:val="21"/>
  </w:num>
  <w:num w:numId="18" w16cid:durableId="1651134059">
    <w:abstractNumId w:val="22"/>
    <w:lvlOverride w:ilvl="0">
      <w:startOverride w:val="1"/>
    </w:lvlOverride>
  </w:num>
  <w:num w:numId="19" w16cid:durableId="157506318">
    <w:abstractNumId w:val="27"/>
  </w:num>
  <w:num w:numId="20" w16cid:durableId="233710948">
    <w:abstractNumId w:val="26"/>
  </w:num>
  <w:num w:numId="21" w16cid:durableId="492649415">
    <w:abstractNumId w:val="25"/>
  </w:num>
  <w:num w:numId="22" w16cid:durableId="1425305214">
    <w:abstractNumId w:val="23"/>
  </w:num>
  <w:num w:numId="23" w16cid:durableId="793866417">
    <w:abstractNumId w:val="15"/>
  </w:num>
  <w:num w:numId="24" w16cid:durableId="251284130">
    <w:abstractNumId w:val="30"/>
  </w:num>
  <w:num w:numId="25" w16cid:durableId="1201672827">
    <w:abstractNumId w:val="37"/>
  </w:num>
  <w:num w:numId="26" w16cid:durableId="1817255092">
    <w:abstractNumId w:val="20"/>
  </w:num>
  <w:num w:numId="27" w16cid:durableId="680788227">
    <w:abstractNumId w:val="10"/>
  </w:num>
  <w:num w:numId="28" w16cid:durableId="116339492">
    <w:abstractNumId w:val="18"/>
  </w:num>
  <w:num w:numId="29" w16cid:durableId="1153328448">
    <w:abstractNumId w:val="14"/>
  </w:num>
  <w:num w:numId="30" w16cid:durableId="617949055">
    <w:abstractNumId w:val="38"/>
  </w:num>
  <w:num w:numId="31" w16cid:durableId="1964531704">
    <w:abstractNumId w:val="12"/>
  </w:num>
  <w:num w:numId="32" w16cid:durableId="272903819">
    <w:abstractNumId w:val="32"/>
  </w:num>
  <w:num w:numId="33" w16cid:durableId="275259281">
    <w:abstractNumId w:val="36"/>
  </w:num>
  <w:num w:numId="34" w16cid:durableId="312759170">
    <w:abstractNumId w:val="11"/>
  </w:num>
  <w:num w:numId="35" w16cid:durableId="18512076">
    <w:abstractNumId w:val="17"/>
  </w:num>
  <w:num w:numId="36" w16cid:durableId="1265965653">
    <w:abstractNumId w:val="24"/>
  </w:num>
  <w:num w:numId="37" w16cid:durableId="398676325">
    <w:abstractNumId w:val="31"/>
  </w:num>
  <w:num w:numId="38" w16cid:durableId="573391949">
    <w:abstractNumId w:val="33"/>
  </w:num>
  <w:num w:numId="39" w16cid:durableId="406462964">
    <w:abstractNumId w:val="16"/>
  </w:num>
  <w:num w:numId="40" w16cid:durableId="553396645">
    <w:abstractNumId w:val="13"/>
  </w:num>
  <w:num w:numId="41" w16cid:durableId="4959237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880"/>
    <w:rsid w:val="000117CB"/>
    <w:rsid w:val="000142A6"/>
    <w:rsid w:val="00014D65"/>
    <w:rsid w:val="00024F26"/>
    <w:rsid w:val="0003148D"/>
    <w:rsid w:val="00031EEC"/>
    <w:rsid w:val="00037F81"/>
    <w:rsid w:val="00041B3D"/>
    <w:rsid w:val="0004262D"/>
    <w:rsid w:val="000455CC"/>
    <w:rsid w:val="00045997"/>
    <w:rsid w:val="00051566"/>
    <w:rsid w:val="0005252C"/>
    <w:rsid w:val="00052A38"/>
    <w:rsid w:val="000562A9"/>
    <w:rsid w:val="0005658D"/>
    <w:rsid w:val="0005706C"/>
    <w:rsid w:val="00060F41"/>
    <w:rsid w:val="00062A9A"/>
    <w:rsid w:val="00065058"/>
    <w:rsid w:val="00065183"/>
    <w:rsid w:val="0007074F"/>
    <w:rsid w:val="00073A08"/>
    <w:rsid w:val="00073A19"/>
    <w:rsid w:val="00075337"/>
    <w:rsid w:val="00075D0C"/>
    <w:rsid w:val="00077E31"/>
    <w:rsid w:val="00082B5F"/>
    <w:rsid w:val="00082EE8"/>
    <w:rsid w:val="00086C39"/>
    <w:rsid w:val="0008706E"/>
    <w:rsid w:val="00091C52"/>
    <w:rsid w:val="000A03B2"/>
    <w:rsid w:val="000A3721"/>
    <w:rsid w:val="000B0852"/>
    <w:rsid w:val="000B0E99"/>
    <w:rsid w:val="000B2683"/>
    <w:rsid w:val="000B5DBB"/>
    <w:rsid w:val="000C0048"/>
    <w:rsid w:val="000C0EAA"/>
    <w:rsid w:val="000C0EB1"/>
    <w:rsid w:val="000C4928"/>
    <w:rsid w:val="000C70ED"/>
    <w:rsid w:val="000D0268"/>
    <w:rsid w:val="000D16E0"/>
    <w:rsid w:val="000D259F"/>
    <w:rsid w:val="000D34BE"/>
    <w:rsid w:val="000D566B"/>
    <w:rsid w:val="000D79E3"/>
    <w:rsid w:val="000E06D3"/>
    <w:rsid w:val="000E0B3C"/>
    <w:rsid w:val="000E102F"/>
    <w:rsid w:val="000E23ED"/>
    <w:rsid w:val="000E36F1"/>
    <w:rsid w:val="000E3A73"/>
    <w:rsid w:val="000E414A"/>
    <w:rsid w:val="000E51F4"/>
    <w:rsid w:val="000E75FD"/>
    <w:rsid w:val="000F058A"/>
    <w:rsid w:val="000F075B"/>
    <w:rsid w:val="000F093C"/>
    <w:rsid w:val="000F0983"/>
    <w:rsid w:val="000F2F31"/>
    <w:rsid w:val="000F4B99"/>
    <w:rsid w:val="000F787B"/>
    <w:rsid w:val="00103830"/>
    <w:rsid w:val="0012081A"/>
    <w:rsid w:val="0012091F"/>
    <w:rsid w:val="00120B49"/>
    <w:rsid w:val="00123A18"/>
    <w:rsid w:val="00126BC2"/>
    <w:rsid w:val="001308B6"/>
    <w:rsid w:val="0013121F"/>
    <w:rsid w:val="00131584"/>
    <w:rsid w:val="00131FE6"/>
    <w:rsid w:val="0013263F"/>
    <w:rsid w:val="001331DF"/>
    <w:rsid w:val="00134DE4"/>
    <w:rsid w:val="0014034D"/>
    <w:rsid w:val="00140FE3"/>
    <w:rsid w:val="00141C25"/>
    <w:rsid w:val="00144D16"/>
    <w:rsid w:val="001452F9"/>
    <w:rsid w:val="00150E59"/>
    <w:rsid w:val="00152DE3"/>
    <w:rsid w:val="00153D2F"/>
    <w:rsid w:val="00157E57"/>
    <w:rsid w:val="00162D78"/>
    <w:rsid w:val="00164CF9"/>
    <w:rsid w:val="001650AF"/>
    <w:rsid w:val="0016668E"/>
    <w:rsid w:val="001667A6"/>
    <w:rsid w:val="00166E8B"/>
    <w:rsid w:val="001706AE"/>
    <w:rsid w:val="00171B77"/>
    <w:rsid w:val="00172477"/>
    <w:rsid w:val="00180D8E"/>
    <w:rsid w:val="0018171E"/>
    <w:rsid w:val="00184AD6"/>
    <w:rsid w:val="00186F18"/>
    <w:rsid w:val="00193D97"/>
    <w:rsid w:val="001A4AF7"/>
    <w:rsid w:val="001B0349"/>
    <w:rsid w:val="001B1467"/>
    <w:rsid w:val="001B1E93"/>
    <w:rsid w:val="001B54E5"/>
    <w:rsid w:val="001B5CEF"/>
    <w:rsid w:val="001B65C1"/>
    <w:rsid w:val="001B6E0A"/>
    <w:rsid w:val="001C035A"/>
    <w:rsid w:val="001C0C06"/>
    <w:rsid w:val="001C260F"/>
    <w:rsid w:val="001C3FA2"/>
    <w:rsid w:val="001C5C3A"/>
    <w:rsid w:val="001C684B"/>
    <w:rsid w:val="001D0CFB"/>
    <w:rsid w:val="001D21AF"/>
    <w:rsid w:val="001D3D32"/>
    <w:rsid w:val="001D4972"/>
    <w:rsid w:val="001D53FC"/>
    <w:rsid w:val="001D6A44"/>
    <w:rsid w:val="001D7DE6"/>
    <w:rsid w:val="001E29A3"/>
    <w:rsid w:val="001E6044"/>
    <w:rsid w:val="001F0BC4"/>
    <w:rsid w:val="001F13C8"/>
    <w:rsid w:val="001F1C13"/>
    <w:rsid w:val="001F1F94"/>
    <w:rsid w:val="001F3DAE"/>
    <w:rsid w:val="001F4200"/>
    <w:rsid w:val="001F42A5"/>
    <w:rsid w:val="001F4598"/>
    <w:rsid w:val="001F4E1D"/>
    <w:rsid w:val="001F59D4"/>
    <w:rsid w:val="001F7B9D"/>
    <w:rsid w:val="00201C93"/>
    <w:rsid w:val="002045C0"/>
    <w:rsid w:val="00205413"/>
    <w:rsid w:val="0020662B"/>
    <w:rsid w:val="00215D0E"/>
    <w:rsid w:val="002167E4"/>
    <w:rsid w:val="002210D4"/>
    <w:rsid w:val="002224B4"/>
    <w:rsid w:val="002237DA"/>
    <w:rsid w:val="00230DF6"/>
    <w:rsid w:val="002329FE"/>
    <w:rsid w:val="00233C22"/>
    <w:rsid w:val="00242F39"/>
    <w:rsid w:val="00243B79"/>
    <w:rsid w:val="002447EF"/>
    <w:rsid w:val="00246E93"/>
    <w:rsid w:val="00251550"/>
    <w:rsid w:val="00251F05"/>
    <w:rsid w:val="00254589"/>
    <w:rsid w:val="00254F8B"/>
    <w:rsid w:val="00255120"/>
    <w:rsid w:val="0025655A"/>
    <w:rsid w:val="0026327D"/>
    <w:rsid w:val="00263B05"/>
    <w:rsid w:val="0027221A"/>
    <w:rsid w:val="00274E94"/>
    <w:rsid w:val="00275B61"/>
    <w:rsid w:val="00280FAF"/>
    <w:rsid w:val="00282656"/>
    <w:rsid w:val="002859B3"/>
    <w:rsid w:val="00296B83"/>
    <w:rsid w:val="002A1079"/>
    <w:rsid w:val="002A2D04"/>
    <w:rsid w:val="002A650A"/>
    <w:rsid w:val="002B0E3F"/>
    <w:rsid w:val="002B232C"/>
    <w:rsid w:val="002B4015"/>
    <w:rsid w:val="002B6A44"/>
    <w:rsid w:val="002B6AE9"/>
    <w:rsid w:val="002B71AE"/>
    <w:rsid w:val="002B78CE"/>
    <w:rsid w:val="002C1439"/>
    <w:rsid w:val="002C17AB"/>
    <w:rsid w:val="002C2FB6"/>
    <w:rsid w:val="002C5B02"/>
    <w:rsid w:val="002C6C37"/>
    <w:rsid w:val="002D09B5"/>
    <w:rsid w:val="002D0A3D"/>
    <w:rsid w:val="002D3302"/>
    <w:rsid w:val="002D5DC0"/>
    <w:rsid w:val="002D68CC"/>
    <w:rsid w:val="002D6B13"/>
    <w:rsid w:val="002D7E75"/>
    <w:rsid w:val="002E2D94"/>
    <w:rsid w:val="002E3EC0"/>
    <w:rsid w:val="002E48FE"/>
    <w:rsid w:val="002E5FA7"/>
    <w:rsid w:val="002F198F"/>
    <w:rsid w:val="002F29A0"/>
    <w:rsid w:val="002F3309"/>
    <w:rsid w:val="003008CE"/>
    <w:rsid w:val="003009B7"/>
    <w:rsid w:val="00300E56"/>
    <w:rsid w:val="0030152C"/>
    <w:rsid w:val="0030469C"/>
    <w:rsid w:val="00304CE8"/>
    <w:rsid w:val="0031069A"/>
    <w:rsid w:val="00321212"/>
    <w:rsid w:val="00321CA6"/>
    <w:rsid w:val="00323763"/>
    <w:rsid w:val="00323C5F"/>
    <w:rsid w:val="00324857"/>
    <w:rsid w:val="00324FDF"/>
    <w:rsid w:val="00334C09"/>
    <w:rsid w:val="0033613B"/>
    <w:rsid w:val="00345E0D"/>
    <w:rsid w:val="003503F6"/>
    <w:rsid w:val="00354697"/>
    <w:rsid w:val="003574FD"/>
    <w:rsid w:val="00360322"/>
    <w:rsid w:val="00363FE0"/>
    <w:rsid w:val="003723D4"/>
    <w:rsid w:val="00380C5D"/>
    <w:rsid w:val="00381874"/>
    <w:rsid w:val="00381905"/>
    <w:rsid w:val="00383B15"/>
    <w:rsid w:val="00384CC8"/>
    <w:rsid w:val="0038537C"/>
    <w:rsid w:val="003871FD"/>
    <w:rsid w:val="00392123"/>
    <w:rsid w:val="00396511"/>
    <w:rsid w:val="003A1E30"/>
    <w:rsid w:val="003A2829"/>
    <w:rsid w:val="003A2BE9"/>
    <w:rsid w:val="003A2F69"/>
    <w:rsid w:val="003A60EA"/>
    <w:rsid w:val="003A7D1C"/>
    <w:rsid w:val="003B304B"/>
    <w:rsid w:val="003B3146"/>
    <w:rsid w:val="003B49CD"/>
    <w:rsid w:val="003B4CA9"/>
    <w:rsid w:val="003B4EEC"/>
    <w:rsid w:val="003B67C9"/>
    <w:rsid w:val="003C04AB"/>
    <w:rsid w:val="003C1325"/>
    <w:rsid w:val="003D1E02"/>
    <w:rsid w:val="003D2DA8"/>
    <w:rsid w:val="003E11E9"/>
    <w:rsid w:val="003E3FF9"/>
    <w:rsid w:val="003E6E14"/>
    <w:rsid w:val="003E7AE3"/>
    <w:rsid w:val="003F015E"/>
    <w:rsid w:val="00400414"/>
    <w:rsid w:val="004050D5"/>
    <w:rsid w:val="0041446B"/>
    <w:rsid w:val="00417294"/>
    <w:rsid w:val="00421457"/>
    <w:rsid w:val="00422938"/>
    <w:rsid w:val="00423D45"/>
    <w:rsid w:val="00424350"/>
    <w:rsid w:val="004314DC"/>
    <w:rsid w:val="00432E82"/>
    <w:rsid w:val="0044071E"/>
    <w:rsid w:val="00441F81"/>
    <w:rsid w:val="0044288E"/>
    <w:rsid w:val="0044318A"/>
    <w:rsid w:val="0044329C"/>
    <w:rsid w:val="00451920"/>
    <w:rsid w:val="00453E24"/>
    <w:rsid w:val="00457456"/>
    <w:rsid w:val="004577FE"/>
    <w:rsid w:val="00457B9C"/>
    <w:rsid w:val="0046164A"/>
    <w:rsid w:val="004628D2"/>
    <w:rsid w:val="00462DCD"/>
    <w:rsid w:val="004648AD"/>
    <w:rsid w:val="00467B26"/>
    <w:rsid w:val="004703A9"/>
    <w:rsid w:val="004760DE"/>
    <w:rsid w:val="004763D7"/>
    <w:rsid w:val="00477602"/>
    <w:rsid w:val="0048126C"/>
    <w:rsid w:val="0048498F"/>
    <w:rsid w:val="004917CA"/>
    <w:rsid w:val="004A004E"/>
    <w:rsid w:val="004A24CF"/>
    <w:rsid w:val="004A290D"/>
    <w:rsid w:val="004A352B"/>
    <w:rsid w:val="004A6A57"/>
    <w:rsid w:val="004A75AB"/>
    <w:rsid w:val="004B2412"/>
    <w:rsid w:val="004B4F9F"/>
    <w:rsid w:val="004B67FA"/>
    <w:rsid w:val="004C3D1D"/>
    <w:rsid w:val="004C3D84"/>
    <w:rsid w:val="004C5F98"/>
    <w:rsid w:val="004C6DFD"/>
    <w:rsid w:val="004C7371"/>
    <w:rsid w:val="004C7913"/>
    <w:rsid w:val="004E0D2E"/>
    <w:rsid w:val="004E3E0E"/>
    <w:rsid w:val="004E4DD6"/>
    <w:rsid w:val="004E5539"/>
    <w:rsid w:val="004F3C91"/>
    <w:rsid w:val="004F5E36"/>
    <w:rsid w:val="005014B8"/>
    <w:rsid w:val="00505016"/>
    <w:rsid w:val="00507B47"/>
    <w:rsid w:val="00507BEF"/>
    <w:rsid w:val="00507CC9"/>
    <w:rsid w:val="005100D6"/>
    <w:rsid w:val="005119A5"/>
    <w:rsid w:val="0051507E"/>
    <w:rsid w:val="005204CC"/>
    <w:rsid w:val="00526AFE"/>
    <w:rsid w:val="00526D96"/>
    <w:rsid w:val="005278B7"/>
    <w:rsid w:val="00531A3B"/>
    <w:rsid w:val="00532016"/>
    <w:rsid w:val="005346C8"/>
    <w:rsid w:val="0053674B"/>
    <w:rsid w:val="00536D65"/>
    <w:rsid w:val="00540434"/>
    <w:rsid w:val="00541613"/>
    <w:rsid w:val="00543CB4"/>
    <w:rsid w:val="00543E7D"/>
    <w:rsid w:val="00547A68"/>
    <w:rsid w:val="005531C9"/>
    <w:rsid w:val="00554879"/>
    <w:rsid w:val="00560401"/>
    <w:rsid w:val="00565E38"/>
    <w:rsid w:val="00567ECC"/>
    <w:rsid w:val="00570C43"/>
    <w:rsid w:val="005724A7"/>
    <w:rsid w:val="0057327A"/>
    <w:rsid w:val="0057364A"/>
    <w:rsid w:val="00574FB9"/>
    <w:rsid w:val="00580117"/>
    <w:rsid w:val="005855E9"/>
    <w:rsid w:val="00586E7C"/>
    <w:rsid w:val="00592274"/>
    <w:rsid w:val="00594F36"/>
    <w:rsid w:val="005966BE"/>
    <w:rsid w:val="005A5F98"/>
    <w:rsid w:val="005B2110"/>
    <w:rsid w:val="005B350B"/>
    <w:rsid w:val="005B61E6"/>
    <w:rsid w:val="005C02E7"/>
    <w:rsid w:val="005C0736"/>
    <w:rsid w:val="005C5379"/>
    <w:rsid w:val="005C5656"/>
    <w:rsid w:val="005C68CA"/>
    <w:rsid w:val="005C77E1"/>
    <w:rsid w:val="005D668A"/>
    <w:rsid w:val="005D6A2F"/>
    <w:rsid w:val="005E0592"/>
    <w:rsid w:val="005E19E5"/>
    <w:rsid w:val="005E1A82"/>
    <w:rsid w:val="005E29DA"/>
    <w:rsid w:val="005E5056"/>
    <w:rsid w:val="005E5F57"/>
    <w:rsid w:val="005E675B"/>
    <w:rsid w:val="005E794C"/>
    <w:rsid w:val="005F0A28"/>
    <w:rsid w:val="005F0CC3"/>
    <w:rsid w:val="005F0E5E"/>
    <w:rsid w:val="005F5DE0"/>
    <w:rsid w:val="00600535"/>
    <w:rsid w:val="006036FE"/>
    <w:rsid w:val="00604451"/>
    <w:rsid w:val="00604CF2"/>
    <w:rsid w:val="00610CD6"/>
    <w:rsid w:val="00620D5D"/>
    <w:rsid w:val="00620DEE"/>
    <w:rsid w:val="00621F92"/>
    <w:rsid w:val="0062280A"/>
    <w:rsid w:val="006231E1"/>
    <w:rsid w:val="0062379E"/>
    <w:rsid w:val="00624CCA"/>
    <w:rsid w:val="00625639"/>
    <w:rsid w:val="00626342"/>
    <w:rsid w:val="00631B33"/>
    <w:rsid w:val="006335FB"/>
    <w:rsid w:val="0063615D"/>
    <w:rsid w:val="00636D09"/>
    <w:rsid w:val="0064184D"/>
    <w:rsid w:val="006422CC"/>
    <w:rsid w:val="00645C76"/>
    <w:rsid w:val="00651D18"/>
    <w:rsid w:val="006549D2"/>
    <w:rsid w:val="00656216"/>
    <w:rsid w:val="006607C8"/>
    <w:rsid w:val="00660E3E"/>
    <w:rsid w:val="00662E74"/>
    <w:rsid w:val="00664FBE"/>
    <w:rsid w:val="006669E8"/>
    <w:rsid w:val="00670CEC"/>
    <w:rsid w:val="006752C2"/>
    <w:rsid w:val="00676A45"/>
    <w:rsid w:val="00680C23"/>
    <w:rsid w:val="00681FA9"/>
    <w:rsid w:val="00683E23"/>
    <w:rsid w:val="00687645"/>
    <w:rsid w:val="00693766"/>
    <w:rsid w:val="006960EC"/>
    <w:rsid w:val="006A10A9"/>
    <w:rsid w:val="006A20CB"/>
    <w:rsid w:val="006A3281"/>
    <w:rsid w:val="006A6DE5"/>
    <w:rsid w:val="006A7942"/>
    <w:rsid w:val="006B4888"/>
    <w:rsid w:val="006B493A"/>
    <w:rsid w:val="006B7BB4"/>
    <w:rsid w:val="006C0FFF"/>
    <w:rsid w:val="006C2E45"/>
    <w:rsid w:val="006C359C"/>
    <w:rsid w:val="006C5579"/>
    <w:rsid w:val="006C584B"/>
    <w:rsid w:val="006C5BF7"/>
    <w:rsid w:val="006C788D"/>
    <w:rsid w:val="006D6E8B"/>
    <w:rsid w:val="006D7209"/>
    <w:rsid w:val="006E384E"/>
    <w:rsid w:val="006E4600"/>
    <w:rsid w:val="006E737D"/>
    <w:rsid w:val="006E73B0"/>
    <w:rsid w:val="006F266E"/>
    <w:rsid w:val="006F7297"/>
    <w:rsid w:val="00701CBE"/>
    <w:rsid w:val="00702080"/>
    <w:rsid w:val="00702C7D"/>
    <w:rsid w:val="00707DD1"/>
    <w:rsid w:val="00713973"/>
    <w:rsid w:val="00714CA1"/>
    <w:rsid w:val="0071730E"/>
    <w:rsid w:val="00720A24"/>
    <w:rsid w:val="0072420A"/>
    <w:rsid w:val="00732386"/>
    <w:rsid w:val="0073514D"/>
    <w:rsid w:val="0074039E"/>
    <w:rsid w:val="00741BA5"/>
    <w:rsid w:val="00742250"/>
    <w:rsid w:val="007447F3"/>
    <w:rsid w:val="00744BB0"/>
    <w:rsid w:val="00747998"/>
    <w:rsid w:val="00753585"/>
    <w:rsid w:val="007535C8"/>
    <w:rsid w:val="007538B4"/>
    <w:rsid w:val="0075499F"/>
    <w:rsid w:val="0075587A"/>
    <w:rsid w:val="00755EF7"/>
    <w:rsid w:val="00762956"/>
    <w:rsid w:val="00763B90"/>
    <w:rsid w:val="0076609A"/>
    <w:rsid w:val="007661C8"/>
    <w:rsid w:val="00766564"/>
    <w:rsid w:val="0077098D"/>
    <w:rsid w:val="00774C68"/>
    <w:rsid w:val="007817A4"/>
    <w:rsid w:val="00782107"/>
    <w:rsid w:val="0078281D"/>
    <w:rsid w:val="00784238"/>
    <w:rsid w:val="00785BF9"/>
    <w:rsid w:val="0079251F"/>
    <w:rsid w:val="007931FA"/>
    <w:rsid w:val="00794279"/>
    <w:rsid w:val="00794C63"/>
    <w:rsid w:val="00795652"/>
    <w:rsid w:val="00795ABA"/>
    <w:rsid w:val="007A0C81"/>
    <w:rsid w:val="007A4861"/>
    <w:rsid w:val="007A581A"/>
    <w:rsid w:val="007A7BBA"/>
    <w:rsid w:val="007A7C7B"/>
    <w:rsid w:val="007B0C50"/>
    <w:rsid w:val="007B10FB"/>
    <w:rsid w:val="007B1315"/>
    <w:rsid w:val="007B23E1"/>
    <w:rsid w:val="007B48F9"/>
    <w:rsid w:val="007C01A3"/>
    <w:rsid w:val="007C1A43"/>
    <w:rsid w:val="007C7E53"/>
    <w:rsid w:val="007D0951"/>
    <w:rsid w:val="007D558F"/>
    <w:rsid w:val="007D5831"/>
    <w:rsid w:val="007D610D"/>
    <w:rsid w:val="007D7CE2"/>
    <w:rsid w:val="007E1363"/>
    <w:rsid w:val="007E4152"/>
    <w:rsid w:val="007E4C49"/>
    <w:rsid w:val="007E690F"/>
    <w:rsid w:val="007F0443"/>
    <w:rsid w:val="0080013E"/>
    <w:rsid w:val="00801759"/>
    <w:rsid w:val="00805884"/>
    <w:rsid w:val="00813288"/>
    <w:rsid w:val="008168FC"/>
    <w:rsid w:val="00823850"/>
    <w:rsid w:val="008244E5"/>
    <w:rsid w:val="00830996"/>
    <w:rsid w:val="008345F1"/>
    <w:rsid w:val="00852F41"/>
    <w:rsid w:val="00854128"/>
    <w:rsid w:val="00863A27"/>
    <w:rsid w:val="00865B07"/>
    <w:rsid w:val="008667EA"/>
    <w:rsid w:val="00866EBC"/>
    <w:rsid w:val="008703CC"/>
    <w:rsid w:val="00871251"/>
    <w:rsid w:val="00871622"/>
    <w:rsid w:val="00871961"/>
    <w:rsid w:val="00873887"/>
    <w:rsid w:val="00874192"/>
    <w:rsid w:val="0087637F"/>
    <w:rsid w:val="0089052E"/>
    <w:rsid w:val="00892AD5"/>
    <w:rsid w:val="0089349E"/>
    <w:rsid w:val="008A02B0"/>
    <w:rsid w:val="008A0436"/>
    <w:rsid w:val="008A1512"/>
    <w:rsid w:val="008A7560"/>
    <w:rsid w:val="008B4C7A"/>
    <w:rsid w:val="008B6251"/>
    <w:rsid w:val="008C1C82"/>
    <w:rsid w:val="008C2ADF"/>
    <w:rsid w:val="008D112F"/>
    <w:rsid w:val="008D32B9"/>
    <w:rsid w:val="008D4064"/>
    <w:rsid w:val="008D433B"/>
    <w:rsid w:val="008D4A16"/>
    <w:rsid w:val="008E4805"/>
    <w:rsid w:val="008E5401"/>
    <w:rsid w:val="008E566E"/>
    <w:rsid w:val="008F249F"/>
    <w:rsid w:val="0090161A"/>
    <w:rsid w:val="00901EB6"/>
    <w:rsid w:val="009041F8"/>
    <w:rsid w:val="009045AC"/>
    <w:rsid w:val="00904C62"/>
    <w:rsid w:val="00905ACE"/>
    <w:rsid w:val="00905B97"/>
    <w:rsid w:val="0091089A"/>
    <w:rsid w:val="00912794"/>
    <w:rsid w:val="00922BA8"/>
    <w:rsid w:val="00924DAC"/>
    <w:rsid w:val="00927058"/>
    <w:rsid w:val="009351AB"/>
    <w:rsid w:val="00935C8F"/>
    <w:rsid w:val="00937491"/>
    <w:rsid w:val="009378D8"/>
    <w:rsid w:val="00942668"/>
    <w:rsid w:val="00942750"/>
    <w:rsid w:val="00944C36"/>
    <w:rsid w:val="009450CE"/>
    <w:rsid w:val="009459BB"/>
    <w:rsid w:val="00947179"/>
    <w:rsid w:val="0094796B"/>
    <w:rsid w:val="00947CDC"/>
    <w:rsid w:val="0095164B"/>
    <w:rsid w:val="00954090"/>
    <w:rsid w:val="0095570B"/>
    <w:rsid w:val="00957358"/>
    <w:rsid w:val="009573E7"/>
    <w:rsid w:val="00960FEC"/>
    <w:rsid w:val="00963E05"/>
    <w:rsid w:val="00964A45"/>
    <w:rsid w:val="00964DFB"/>
    <w:rsid w:val="00967843"/>
    <w:rsid w:val="00967D54"/>
    <w:rsid w:val="00971028"/>
    <w:rsid w:val="0097445E"/>
    <w:rsid w:val="00975E51"/>
    <w:rsid w:val="009822B4"/>
    <w:rsid w:val="00983CF9"/>
    <w:rsid w:val="00993B84"/>
    <w:rsid w:val="009943BE"/>
    <w:rsid w:val="00994C6A"/>
    <w:rsid w:val="00996483"/>
    <w:rsid w:val="00996F5A"/>
    <w:rsid w:val="00997B67"/>
    <w:rsid w:val="00997BB3"/>
    <w:rsid w:val="009A2B97"/>
    <w:rsid w:val="009A5BCA"/>
    <w:rsid w:val="009A6505"/>
    <w:rsid w:val="009B041A"/>
    <w:rsid w:val="009B6E57"/>
    <w:rsid w:val="009C0BD9"/>
    <w:rsid w:val="009C1C7D"/>
    <w:rsid w:val="009C1F60"/>
    <w:rsid w:val="009C3367"/>
    <w:rsid w:val="009C37C3"/>
    <w:rsid w:val="009C5C5E"/>
    <w:rsid w:val="009C7C86"/>
    <w:rsid w:val="009D03CF"/>
    <w:rsid w:val="009D0B63"/>
    <w:rsid w:val="009D2FF7"/>
    <w:rsid w:val="009D315D"/>
    <w:rsid w:val="009D5124"/>
    <w:rsid w:val="009D7701"/>
    <w:rsid w:val="009E6DDC"/>
    <w:rsid w:val="009E7884"/>
    <w:rsid w:val="009E788A"/>
    <w:rsid w:val="009F0E08"/>
    <w:rsid w:val="009F2024"/>
    <w:rsid w:val="00A01F30"/>
    <w:rsid w:val="00A053C5"/>
    <w:rsid w:val="00A079AE"/>
    <w:rsid w:val="00A10061"/>
    <w:rsid w:val="00A14FAD"/>
    <w:rsid w:val="00A1763D"/>
    <w:rsid w:val="00A17CEC"/>
    <w:rsid w:val="00A20E96"/>
    <w:rsid w:val="00A23197"/>
    <w:rsid w:val="00A26518"/>
    <w:rsid w:val="00A27EF0"/>
    <w:rsid w:val="00A328E5"/>
    <w:rsid w:val="00A42361"/>
    <w:rsid w:val="00A42989"/>
    <w:rsid w:val="00A447BF"/>
    <w:rsid w:val="00A4498E"/>
    <w:rsid w:val="00A50B20"/>
    <w:rsid w:val="00A51390"/>
    <w:rsid w:val="00A60D13"/>
    <w:rsid w:val="00A657A1"/>
    <w:rsid w:val="00A66271"/>
    <w:rsid w:val="00A66793"/>
    <w:rsid w:val="00A7223D"/>
    <w:rsid w:val="00A72745"/>
    <w:rsid w:val="00A76EFC"/>
    <w:rsid w:val="00A7796C"/>
    <w:rsid w:val="00A811FA"/>
    <w:rsid w:val="00A837EE"/>
    <w:rsid w:val="00A85DB0"/>
    <w:rsid w:val="00A87258"/>
    <w:rsid w:val="00A87D50"/>
    <w:rsid w:val="00A91010"/>
    <w:rsid w:val="00A940C0"/>
    <w:rsid w:val="00A966EA"/>
    <w:rsid w:val="00A9752F"/>
    <w:rsid w:val="00A97F29"/>
    <w:rsid w:val="00AA702E"/>
    <w:rsid w:val="00AA7D26"/>
    <w:rsid w:val="00AB0964"/>
    <w:rsid w:val="00AB0BAA"/>
    <w:rsid w:val="00AB158B"/>
    <w:rsid w:val="00AB2568"/>
    <w:rsid w:val="00AB5011"/>
    <w:rsid w:val="00AB6275"/>
    <w:rsid w:val="00AB6AAD"/>
    <w:rsid w:val="00AB6EC1"/>
    <w:rsid w:val="00AB795A"/>
    <w:rsid w:val="00AC1495"/>
    <w:rsid w:val="00AC2C93"/>
    <w:rsid w:val="00AC5B95"/>
    <w:rsid w:val="00AC7368"/>
    <w:rsid w:val="00AD10DC"/>
    <w:rsid w:val="00AD16B9"/>
    <w:rsid w:val="00AD342D"/>
    <w:rsid w:val="00AD5AE2"/>
    <w:rsid w:val="00AE1FC3"/>
    <w:rsid w:val="00AE377D"/>
    <w:rsid w:val="00AE5B45"/>
    <w:rsid w:val="00AF0EBA"/>
    <w:rsid w:val="00AF2463"/>
    <w:rsid w:val="00AF347C"/>
    <w:rsid w:val="00AF3990"/>
    <w:rsid w:val="00AF6CE5"/>
    <w:rsid w:val="00B02C8A"/>
    <w:rsid w:val="00B073AF"/>
    <w:rsid w:val="00B122BB"/>
    <w:rsid w:val="00B14DCB"/>
    <w:rsid w:val="00B16E5A"/>
    <w:rsid w:val="00B17FBD"/>
    <w:rsid w:val="00B208F7"/>
    <w:rsid w:val="00B25BC5"/>
    <w:rsid w:val="00B26E41"/>
    <w:rsid w:val="00B315A6"/>
    <w:rsid w:val="00B31813"/>
    <w:rsid w:val="00B33365"/>
    <w:rsid w:val="00B35726"/>
    <w:rsid w:val="00B407E8"/>
    <w:rsid w:val="00B4126B"/>
    <w:rsid w:val="00B446C8"/>
    <w:rsid w:val="00B5253B"/>
    <w:rsid w:val="00B53355"/>
    <w:rsid w:val="00B54581"/>
    <w:rsid w:val="00B5786B"/>
    <w:rsid w:val="00B57B36"/>
    <w:rsid w:val="00B57E6F"/>
    <w:rsid w:val="00B61BE6"/>
    <w:rsid w:val="00B64E38"/>
    <w:rsid w:val="00B66668"/>
    <w:rsid w:val="00B7043D"/>
    <w:rsid w:val="00B71246"/>
    <w:rsid w:val="00B72E1C"/>
    <w:rsid w:val="00B7475E"/>
    <w:rsid w:val="00B770EE"/>
    <w:rsid w:val="00B77AEA"/>
    <w:rsid w:val="00B8123C"/>
    <w:rsid w:val="00B8686D"/>
    <w:rsid w:val="00B869BE"/>
    <w:rsid w:val="00B9125A"/>
    <w:rsid w:val="00B93F69"/>
    <w:rsid w:val="00B95447"/>
    <w:rsid w:val="00BA08F0"/>
    <w:rsid w:val="00BA4B63"/>
    <w:rsid w:val="00BA632A"/>
    <w:rsid w:val="00BB103B"/>
    <w:rsid w:val="00BB1DDC"/>
    <w:rsid w:val="00BC069F"/>
    <w:rsid w:val="00BC30C9"/>
    <w:rsid w:val="00BC5284"/>
    <w:rsid w:val="00BC7511"/>
    <w:rsid w:val="00BC78B9"/>
    <w:rsid w:val="00BD077D"/>
    <w:rsid w:val="00BD4443"/>
    <w:rsid w:val="00BE07F4"/>
    <w:rsid w:val="00BE3975"/>
    <w:rsid w:val="00BE3998"/>
    <w:rsid w:val="00BE3E58"/>
    <w:rsid w:val="00BE720B"/>
    <w:rsid w:val="00BF002A"/>
    <w:rsid w:val="00BF13CE"/>
    <w:rsid w:val="00BF73FF"/>
    <w:rsid w:val="00C004A0"/>
    <w:rsid w:val="00C01616"/>
    <w:rsid w:val="00C0162B"/>
    <w:rsid w:val="00C068ED"/>
    <w:rsid w:val="00C132A5"/>
    <w:rsid w:val="00C13C7D"/>
    <w:rsid w:val="00C20DD2"/>
    <w:rsid w:val="00C21945"/>
    <w:rsid w:val="00C22BC1"/>
    <w:rsid w:val="00C22E0C"/>
    <w:rsid w:val="00C27194"/>
    <w:rsid w:val="00C302C7"/>
    <w:rsid w:val="00C31071"/>
    <w:rsid w:val="00C345B1"/>
    <w:rsid w:val="00C3542E"/>
    <w:rsid w:val="00C40142"/>
    <w:rsid w:val="00C40A37"/>
    <w:rsid w:val="00C426BD"/>
    <w:rsid w:val="00C44150"/>
    <w:rsid w:val="00C4457E"/>
    <w:rsid w:val="00C45E5D"/>
    <w:rsid w:val="00C462F7"/>
    <w:rsid w:val="00C478EA"/>
    <w:rsid w:val="00C52C3C"/>
    <w:rsid w:val="00C56875"/>
    <w:rsid w:val="00C57182"/>
    <w:rsid w:val="00C57863"/>
    <w:rsid w:val="00C6194C"/>
    <w:rsid w:val="00C640AF"/>
    <w:rsid w:val="00C655FD"/>
    <w:rsid w:val="00C6737B"/>
    <w:rsid w:val="00C71349"/>
    <w:rsid w:val="00C71ED2"/>
    <w:rsid w:val="00C72781"/>
    <w:rsid w:val="00C73C1A"/>
    <w:rsid w:val="00C75407"/>
    <w:rsid w:val="00C754E4"/>
    <w:rsid w:val="00C81970"/>
    <w:rsid w:val="00C841C6"/>
    <w:rsid w:val="00C84F7E"/>
    <w:rsid w:val="00C870A8"/>
    <w:rsid w:val="00C874E0"/>
    <w:rsid w:val="00C93CB1"/>
    <w:rsid w:val="00C94434"/>
    <w:rsid w:val="00C97AF5"/>
    <w:rsid w:val="00CA0D75"/>
    <w:rsid w:val="00CA1C95"/>
    <w:rsid w:val="00CA21DB"/>
    <w:rsid w:val="00CA32E4"/>
    <w:rsid w:val="00CA5A9C"/>
    <w:rsid w:val="00CB0B13"/>
    <w:rsid w:val="00CC00C9"/>
    <w:rsid w:val="00CC0A76"/>
    <w:rsid w:val="00CC141B"/>
    <w:rsid w:val="00CC34EE"/>
    <w:rsid w:val="00CC4C20"/>
    <w:rsid w:val="00CD172A"/>
    <w:rsid w:val="00CD25A8"/>
    <w:rsid w:val="00CD3517"/>
    <w:rsid w:val="00CD5FE2"/>
    <w:rsid w:val="00CD7A11"/>
    <w:rsid w:val="00CE0246"/>
    <w:rsid w:val="00CE29AF"/>
    <w:rsid w:val="00CE7C68"/>
    <w:rsid w:val="00CF210A"/>
    <w:rsid w:val="00CF32D2"/>
    <w:rsid w:val="00CF39DB"/>
    <w:rsid w:val="00D01215"/>
    <w:rsid w:val="00D02B4C"/>
    <w:rsid w:val="00D02F67"/>
    <w:rsid w:val="00D0315A"/>
    <w:rsid w:val="00D040C4"/>
    <w:rsid w:val="00D147C3"/>
    <w:rsid w:val="00D1514C"/>
    <w:rsid w:val="00D209D6"/>
    <w:rsid w:val="00D20AD1"/>
    <w:rsid w:val="00D240B2"/>
    <w:rsid w:val="00D2582C"/>
    <w:rsid w:val="00D26305"/>
    <w:rsid w:val="00D3077F"/>
    <w:rsid w:val="00D33EC4"/>
    <w:rsid w:val="00D35010"/>
    <w:rsid w:val="00D351CC"/>
    <w:rsid w:val="00D41308"/>
    <w:rsid w:val="00D41422"/>
    <w:rsid w:val="00D43DA7"/>
    <w:rsid w:val="00D46B7E"/>
    <w:rsid w:val="00D4782E"/>
    <w:rsid w:val="00D50FD0"/>
    <w:rsid w:val="00D532FE"/>
    <w:rsid w:val="00D5698D"/>
    <w:rsid w:val="00D56DDD"/>
    <w:rsid w:val="00D57C84"/>
    <w:rsid w:val="00D6057D"/>
    <w:rsid w:val="00D61F96"/>
    <w:rsid w:val="00D639A2"/>
    <w:rsid w:val="00D71640"/>
    <w:rsid w:val="00D723F2"/>
    <w:rsid w:val="00D729E6"/>
    <w:rsid w:val="00D733A0"/>
    <w:rsid w:val="00D75499"/>
    <w:rsid w:val="00D81834"/>
    <w:rsid w:val="00D836C5"/>
    <w:rsid w:val="00D84576"/>
    <w:rsid w:val="00D85689"/>
    <w:rsid w:val="00D90B1A"/>
    <w:rsid w:val="00D95288"/>
    <w:rsid w:val="00DA134A"/>
    <w:rsid w:val="00DA1399"/>
    <w:rsid w:val="00DA24C6"/>
    <w:rsid w:val="00DA34B8"/>
    <w:rsid w:val="00DA4D7B"/>
    <w:rsid w:val="00DA72C5"/>
    <w:rsid w:val="00DB12E8"/>
    <w:rsid w:val="00DB13F2"/>
    <w:rsid w:val="00DB1DBF"/>
    <w:rsid w:val="00DB3887"/>
    <w:rsid w:val="00DC2840"/>
    <w:rsid w:val="00DC6230"/>
    <w:rsid w:val="00DC73EE"/>
    <w:rsid w:val="00DD102E"/>
    <w:rsid w:val="00DD271C"/>
    <w:rsid w:val="00DD2D26"/>
    <w:rsid w:val="00DD38F5"/>
    <w:rsid w:val="00DD52A5"/>
    <w:rsid w:val="00DD7162"/>
    <w:rsid w:val="00DE0B61"/>
    <w:rsid w:val="00DE264A"/>
    <w:rsid w:val="00DE3093"/>
    <w:rsid w:val="00DE7053"/>
    <w:rsid w:val="00DF3267"/>
    <w:rsid w:val="00DF3907"/>
    <w:rsid w:val="00DF5072"/>
    <w:rsid w:val="00DF5FFA"/>
    <w:rsid w:val="00DF601A"/>
    <w:rsid w:val="00DF62EF"/>
    <w:rsid w:val="00DF7B98"/>
    <w:rsid w:val="00DF7DE0"/>
    <w:rsid w:val="00E028CE"/>
    <w:rsid w:val="00E02A8E"/>
    <w:rsid w:val="00E02D18"/>
    <w:rsid w:val="00E041E7"/>
    <w:rsid w:val="00E1105F"/>
    <w:rsid w:val="00E11A91"/>
    <w:rsid w:val="00E1569F"/>
    <w:rsid w:val="00E1658F"/>
    <w:rsid w:val="00E212E9"/>
    <w:rsid w:val="00E23CA1"/>
    <w:rsid w:val="00E307DC"/>
    <w:rsid w:val="00E34213"/>
    <w:rsid w:val="00E34233"/>
    <w:rsid w:val="00E409A8"/>
    <w:rsid w:val="00E44BFB"/>
    <w:rsid w:val="00E50C12"/>
    <w:rsid w:val="00E52F89"/>
    <w:rsid w:val="00E575BB"/>
    <w:rsid w:val="00E65B91"/>
    <w:rsid w:val="00E66808"/>
    <w:rsid w:val="00E67541"/>
    <w:rsid w:val="00E7209D"/>
    <w:rsid w:val="00E72992"/>
    <w:rsid w:val="00E72EAD"/>
    <w:rsid w:val="00E733E4"/>
    <w:rsid w:val="00E73F70"/>
    <w:rsid w:val="00E765E4"/>
    <w:rsid w:val="00E77223"/>
    <w:rsid w:val="00E776E5"/>
    <w:rsid w:val="00E819B3"/>
    <w:rsid w:val="00E840CB"/>
    <w:rsid w:val="00E8528B"/>
    <w:rsid w:val="00E85B94"/>
    <w:rsid w:val="00E94E41"/>
    <w:rsid w:val="00E9546B"/>
    <w:rsid w:val="00E978D0"/>
    <w:rsid w:val="00EA102E"/>
    <w:rsid w:val="00EA3345"/>
    <w:rsid w:val="00EA4613"/>
    <w:rsid w:val="00EA7F91"/>
    <w:rsid w:val="00EB1523"/>
    <w:rsid w:val="00EB6400"/>
    <w:rsid w:val="00EB6E1D"/>
    <w:rsid w:val="00EB7275"/>
    <w:rsid w:val="00EC0E49"/>
    <w:rsid w:val="00EC0EA1"/>
    <w:rsid w:val="00EC101F"/>
    <w:rsid w:val="00EC18F4"/>
    <w:rsid w:val="00EC1D9F"/>
    <w:rsid w:val="00EC4721"/>
    <w:rsid w:val="00EC6580"/>
    <w:rsid w:val="00EC7CD9"/>
    <w:rsid w:val="00ED3A50"/>
    <w:rsid w:val="00ED5B26"/>
    <w:rsid w:val="00EE0131"/>
    <w:rsid w:val="00EE110F"/>
    <w:rsid w:val="00EE17B0"/>
    <w:rsid w:val="00EE64C3"/>
    <w:rsid w:val="00EF06D9"/>
    <w:rsid w:val="00EF174F"/>
    <w:rsid w:val="00EF34EB"/>
    <w:rsid w:val="00EF76CC"/>
    <w:rsid w:val="00F01989"/>
    <w:rsid w:val="00F03F3D"/>
    <w:rsid w:val="00F06D5B"/>
    <w:rsid w:val="00F075E2"/>
    <w:rsid w:val="00F13C9E"/>
    <w:rsid w:val="00F222B7"/>
    <w:rsid w:val="00F22B01"/>
    <w:rsid w:val="00F236E0"/>
    <w:rsid w:val="00F2467A"/>
    <w:rsid w:val="00F3049E"/>
    <w:rsid w:val="00F30C64"/>
    <w:rsid w:val="00F30DA5"/>
    <w:rsid w:val="00F30FFA"/>
    <w:rsid w:val="00F32BA2"/>
    <w:rsid w:val="00F32CDB"/>
    <w:rsid w:val="00F33D2D"/>
    <w:rsid w:val="00F34850"/>
    <w:rsid w:val="00F41EE4"/>
    <w:rsid w:val="00F46CA8"/>
    <w:rsid w:val="00F5174C"/>
    <w:rsid w:val="00F565FE"/>
    <w:rsid w:val="00F60A2F"/>
    <w:rsid w:val="00F62ADD"/>
    <w:rsid w:val="00F63A70"/>
    <w:rsid w:val="00F63D8C"/>
    <w:rsid w:val="00F739F7"/>
    <w:rsid w:val="00F7534E"/>
    <w:rsid w:val="00F81B2D"/>
    <w:rsid w:val="00F82519"/>
    <w:rsid w:val="00F92991"/>
    <w:rsid w:val="00F93EDF"/>
    <w:rsid w:val="00FA033B"/>
    <w:rsid w:val="00FA1802"/>
    <w:rsid w:val="00FA21D0"/>
    <w:rsid w:val="00FA29E4"/>
    <w:rsid w:val="00FA5F5F"/>
    <w:rsid w:val="00FA66D4"/>
    <w:rsid w:val="00FA70B3"/>
    <w:rsid w:val="00FA75B5"/>
    <w:rsid w:val="00FA7669"/>
    <w:rsid w:val="00FB1142"/>
    <w:rsid w:val="00FB2064"/>
    <w:rsid w:val="00FB5547"/>
    <w:rsid w:val="00FB730C"/>
    <w:rsid w:val="00FC2695"/>
    <w:rsid w:val="00FC3E03"/>
    <w:rsid w:val="00FC3FC1"/>
    <w:rsid w:val="00FC5705"/>
    <w:rsid w:val="00FC58DF"/>
    <w:rsid w:val="00FD153B"/>
    <w:rsid w:val="00FD2100"/>
    <w:rsid w:val="00FD754F"/>
    <w:rsid w:val="00FE54A6"/>
    <w:rsid w:val="00FE6328"/>
    <w:rsid w:val="00FF44EF"/>
    <w:rsid w:val="00FF4B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F390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F3907"/>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character" w:customStyle="1" w:styleId="gmail-apple-converted-space">
    <w:name w:val="gmail-apple-converted-space"/>
    <w:basedOn w:val="Policepardfaut"/>
    <w:rsid w:val="00005A19"/>
  </w:style>
  <w:style w:type="character" w:styleId="Mentionnonrsolue">
    <w:name w:val="Unresolved Mention"/>
    <w:basedOn w:val="Policepardfaut"/>
    <w:uiPriority w:val="99"/>
    <w:semiHidden/>
    <w:unhideWhenUsed/>
    <w:rsid w:val="00C3542E"/>
    <w:rPr>
      <w:color w:val="605E5C"/>
      <w:shd w:val="clear" w:color="auto" w:fill="E1DFDD"/>
    </w:rPr>
  </w:style>
  <w:style w:type="paragraph" w:styleId="Rvision">
    <w:name w:val="Revision"/>
    <w:hidden/>
    <w:uiPriority w:val="99"/>
    <w:semiHidden/>
    <w:rsid w:val="003B67C9"/>
    <w:pPr>
      <w:spacing w:after="0" w:line="240" w:lineRule="auto"/>
    </w:pPr>
    <w:rPr>
      <w:rFonts w:ascii="Arial" w:eastAsia="Times New Roman" w:hAnsi="Arial" w:cs="Times New Roman"/>
      <w:sz w:val="18"/>
      <w:szCs w:val="20"/>
      <w:lang w:val="en-GB"/>
    </w:rPr>
  </w:style>
  <w:style w:type="character" w:styleId="Textedelespacerserv">
    <w:name w:val="Placeholder Text"/>
    <w:basedOn w:val="Policepardfaut"/>
    <w:uiPriority w:val="99"/>
    <w:semiHidden/>
    <w:rsid w:val="00A20E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53">
      <w:bodyDiv w:val="1"/>
      <w:marLeft w:val="0"/>
      <w:marRight w:val="0"/>
      <w:marTop w:val="0"/>
      <w:marBottom w:val="0"/>
      <w:divBdr>
        <w:top w:val="none" w:sz="0" w:space="0" w:color="auto"/>
        <w:left w:val="none" w:sz="0" w:space="0" w:color="auto"/>
        <w:bottom w:val="none" w:sz="0" w:space="0" w:color="auto"/>
        <w:right w:val="none" w:sz="0" w:space="0" w:color="auto"/>
      </w:divBdr>
    </w:div>
    <w:div w:id="494298331">
      <w:bodyDiv w:val="1"/>
      <w:marLeft w:val="0"/>
      <w:marRight w:val="0"/>
      <w:marTop w:val="0"/>
      <w:marBottom w:val="0"/>
      <w:divBdr>
        <w:top w:val="none" w:sz="0" w:space="0" w:color="auto"/>
        <w:left w:val="none" w:sz="0" w:space="0" w:color="auto"/>
        <w:bottom w:val="none" w:sz="0" w:space="0" w:color="auto"/>
        <w:right w:val="none" w:sz="0" w:space="0" w:color="auto"/>
      </w:divBdr>
    </w:div>
    <w:div w:id="579102642">
      <w:bodyDiv w:val="1"/>
      <w:marLeft w:val="0"/>
      <w:marRight w:val="0"/>
      <w:marTop w:val="0"/>
      <w:marBottom w:val="0"/>
      <w:divBdr>
        <w:top w:val="none" w:sz="0" w:space="0" w:color="auto"/>
        <w:left w:val="none" w:sz="0" w:space="0" w:color="auto"/>
        <w:bottom w:val="none" w:sz="0" w:space="0" w:color="auto"/>
        <w:right w:val="none" w:sz="0" w:space="0" w:color="auto"/>
      </w:divBdr>
    </w:div>
    <w:div w:id="689377162">
      <w:bodyDiv w:val="1"/>
      <w:marLeft w:val="0"/>
      <w:marRight w:val="0"/>
      <w:marTop w:val="0"/>
      <w:marBottom w:val="0"/>
      <w:divBdr>
        <w:top w:val="none" w:sz="0" w:space="0" w:color="auto"/>
        <w:left w:val="none" w:sz="0" w:space="0" w:color="auto"/>
        <w:bottom w:val="none" w:sz="0" w:space="0" w:color="auto"/>
        <w:right w:val="none" w:sz="0" w:space="0" w:color="auto"/>
      </w:divBdr>
    </w:div>
    <w:div w:id="7690096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9888">
      <w:bodyDiv w:val="1"/>
      <w:marLeft w:val="0"/>
      <w:marRight w:val="0"/>
      <w:marTop w:val="0"/>
      <w:marBottom w:val="0"/>
      <w:divBdr>
        <w:top w:val="none" w:sz="0" w:space="0" w:color="auto"/>
        <w:left w:val="none" w:sz="0" w:space="0" w:color="auto"/>
        <w:bottom w:val="none" w:sz="0" w:space="0" w:color="auto"/>
        <w:right w:val="none" w:sz="0" w:space="0" w:color="auto"/>
      </w:divBdr>
    </w:div>
    <w:div w:id="1075590790">
      <w:bodyDiv w:val="1"/>
      <w:marLeft w:val="0"/>
      <w:marRight w:val="0"/>
      <w:marTop w:val="0"/>
      <w:marBottom w:val="0"/>
      <w:divBdr>
        <w:top w:val="none" w:sz="0" w:space="0" w:color="auto"/>
        <w:left w:val="none" w:sz="0" w:space="0" w:color="auto"/>
        <w:bottom w:val="none" w:sz="0" w:space="0" w:color="auto"/>
        <w:right w:val="none" w:sz="0" w:space="0" w:color="auto"/>
      </w:divBdr>
    </w:div>
    <w:div w:id="1152792758">
      <w:bodyDiv w:val="1"/>
      <w:marLeft w:val="0"/>
      <w:marRight w:val="0"/>
      <w:marTop w:val="0"/>
      <w:marBottom w:val="0"/>
      <w:divBdr>
        <w:top w:val="none" w:sz="0" w:space="0" w:color="auto"/>
        <w:left w:val="none" w:sz="0" w:space="0" w:color="auto"/>
        <w:bottom w:val="none" w:sz="0" w:space="0" w:color="auto"/>
        <w:right w:val="none" w:sz="0" w:space="0" w:color="auto"/>
      </w:divBdr>
    </w:div>
    <w:div w:id="1179075410">
      <w:bodyDiv w:val="1"/>
      <w:marLeft w:val="0"/>
      <w:marRight w:val="0"/>
      <w:marTop w:val="0"/>
      <w:marBottom w:val="0"/>
      <w:divBdr>
        <w:top w:val="none" w:sz="0" w:space="0" w:color="auto"/>
        <w:left w:val="none" w:sz="0" w:space="0" w:color="auto"/>
        <w:bottom w:val="none" w:sz="0" w:space="0" w:color="auto"/>
        <w:right w:val="none" w:sz="0" w:space="0" w:color="auto"/>
      </w:divBdr>
    </w:div>
    <w:div w:id="1226061880">
      <w:bodyDiv w:val="1"/>
      <w:marLeft w:val="0"/>
      <w:marRight w:val="0"/>
      <w:marTop w:val="0"/>
      <w:marBottom w:val="0"/>
      <w:divBdr>
        <w:top w:val="none" w:sz="0" w:space="0" w:color="auto"/>
        <w:left w:val="none" w:sz="0" w:space="0" w:color="auto"/>
        <w:bottom w:val="none" w:sz="0" w:space="0" w:color="auto"/>
        <w:right w:val="none" w:sz="0" w:space="0" w:color="auto"/>
      </w:divBdr>
    </w:div>
    <w:div w:id="1236278339">
      <w:bodyDiv w:val="1"/>
      <w:marLeft w:val="0"/>
      <w:marRight w:val="0"/>
      <w:marTop w:val="0"/>
      <w:marBottom w:val="0"/>
      <w:divBdr>
        <w:top w:val="none" w:sz="0" w:space="0" w:color="auto"/>
        <w:left w:val="none" w:sz="0" w:space="0" w:color="auto"/>
        <w:bottom w:val="none" w:sz="0" w:space="0" w:color="auto"/>
        <w:right w:val="none" w:sz="0" w:space="0" w:color="auto"/>
      </w:divBdr>
    </w:div>
    <w:div w:id="1271275870">
      <w:bodyDiv w:val="1"/>
      <w:marLeft w:val="0"/>
      <w:marRight w:val="0"/>
      <w:marTop w:val="0"/>
      <w:marBottom w:val="0"/>
      <w:divBdr>
        <w:top w:val="none" w:sz="0" w:space="0" w:color="auto"/>
        <w:left w:val="none" w:sz="0" w:space="0" w:color="auto"/>
        <w:bottom w:val="none" w:sz="0" w:space="0" w:color="auto"/>
        <w:right w:val="none" w:sz="0" w:space="0" w:color="auto"/>
      </w:divBdr>
    </w:div>
    <w:div w:id="128627587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1848996">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308538">
      <w:bodyDiv w:val="1"/>
      <w:marLeft w:val="0"/>
      <w:marRight w:val="0"/>
      <w:marTop w:val="0"/>
      <w:marBottom w:val="0"/>
      <w:divBdr>
        <w:top w:val="none" w:sz="0" w:space="0" w:color="auto"/>
        <w:left w:val="none" w:sz="0" w:space="0" w:color="auto"/>
        <w:bottom w:val="none" w:sz="0" w:space="0" w:color="auto"/>
        <w:right w:val="none" w:sz="0" w:space="0" w:color="auto"/>
      </w:divBdr>
    </w:div>
    <w:div w:id="1497497680">
      <w:bodyDiv w:val="1"/>
      <w:marLeft w:val="0"/>
      <w:marRight w:val="0"/>
      <w:marTop w:val="0"/>
      <w:marBottom w:val="0"/>
      <w:divBdr>
        <w:top w:val="none" w:sz="0" w:space="0" w:color="auto"/>
        <w:left w:val="none" w:sz="0" w:space="0" w:color="auto"/>
        <w:bottom w:val="none" w:sz="0" w:space="0" w:color="auto"/>
        <w:right w:val="none" w:sz="0" w:space="0" w:color="auto"/>
      </w:divBdr>
    </w:div>
    <w:div w:id="1520049202">
      <w:bodyDiv w:val="1"/>
      <w:marLeft w:val="0"/>
      <w:marRight w:val="0"/>
      <w:marTop w:val="0"/>
      <w:marBottom w:val="0"/>
      <w:divBdr>
        <w:top w:val="none" w:sz="0" w:space="0" w:color="auto"/>
        <w:left w:val="none" w:sz="0" w:space="0" w:color="auto"/>
        <w:bottom w:val="none" w:sz="0" w:space="0" w:color="auto"/>
        <w:right w:val="none" w:sz="0" w:space="0" w:color="auto"/>
      </w:divBdr>
    </w:div>
    <w:div w:id="1533034453">
      <w:bodyDiv w:val="1"/>
      <w:marLeft w:val="0"/>
      <w:marRight w:val="0"/>
      <w:marTop w:val="0"/>
      <w:marBottom w:val="0"/>
      <w:divBdr>
        <w:top w:val="none" w:sz="0" w:space="0" w:color="auto"/>
        <w:left w:val="none" w:sz="0" w:space="0" w:color="auto"/>
        <w:bottom w:val="none" w:sz="0" w:space="0" w:color="auto"/>
        <w:right w:val="none" w:sz="0" w:space="0" w:color="auto"/>
      </w:divBdr>
    </w:div>
    <w:div w:id="154540477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84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7462409">
      <w:bodyDiv w:val="1"/>
      <w:marLeft w:val="0"/>
      <w:marRight w:val="0"/>
      <w:marTop w:val="0"/>
      <w:marBottom w:val="0"/>
      <w:divBdr>
        <w:top w:val="none" w:sz="0" w:space="0" w:color="auto"/>
        <w:left w:val="none" w:sz="0" w:space="0" w:color="auto"/>
        <w:bottom w:val="none" w:sz="0" w:space="0" w:color="auto"/>
        <w:right w:val="none" w:sz="0" w:space="0" w:color="auto"/>
      </w:divBdr>
    </w:div>
    <w:div w:id="1863546895">
      <w:bodyDiv w:val="1"/>
      <w:marLeft w:val="0"/>
      <w:marRight w:val="0"/>
      <w:marTop w:val="0"/>
      <w:marBottom w:val="0"/>
      <w:divBdr>
        <w:top w:val="none" w:sz="0" w:space="0" w:color="auto"/>
        <w:left w:val="none" w:sz="0" w:space="0" w:color="auto"/>
        <w:bottom w:val="none" w:sz="0" w:space="0" w:color="auto"/>
        <w:right w:val="none" w:sz="0" w:space="0" w:color="auto"/>
      </w:divBdr>
    </w:div>
    <w:div w:id="1908567501">
      <w:bodyDiv w:val="1"/>
      <w:marLeft w:val="0"/>
      <w:marRight w:val="0"/>
      <w:marTop w:val="0"/>
      <w:marBottom w:val="0"/>
      <w:divBdr>
        <w:top w:val="none" w:sz="0" w:space="0" w:color="auto"/>
        <w:left w:val="none" w:sz="0" w:space="0" w:color="auto"/>
        <w:bottom w:val="none" w:sz="0" w:space="0" w:color="auto"/>
        <w:right w:val="none" w:sz="0" w:space="0" w:color="auto"/>
      </w:divBdr>
    </w:div>
    <w:div w:id="1910186809">
      <w:bodyDiv w:val="1"/>
      <w:marLeft w:val="0"/>
      <w:marRight w:val="0"/>
      <w:marTop w:val="0"/>
      <w:marBottom w:val="0"/>
      <w:divBdr>
        <w:top w:val="none" w:sz="0" w:space="0" w:color="auto"/>
        <w:left w:val="none" w:sz="0" w:space="0" w:color="auto"/>
        <w:bottom w:val="none" w:sz="0" w:space="0" w:color="auto"/>
        <w:right w:val="none" w:sz="0" w:space="0" w:color="auto"/>
      </w:divBdr>
    </w:div>
    <w:div w:id="1913851530">
      <w:bodyDiv w:val="1"/>
      <w:marLeft w:val="0"/>
      <w:marRight w:val="0"/>
      <w:marTop w:val="0"/>
      <w:marBottom w:val="0"/>
      <w:divBdr>
        <w:top w:val="none" w:sz="0" w:space="0" w:color="auto"/>
        <w:left w:val="none" w:sz="0" w:space="0" w:color="auto"/>
        <w:bottom w:val="none" w:sz="0" w:space="0" w:color="auto"/>
        <w:right w:val="none" w:sz="0" w:space="0" w:color="auto"/>
      </w:divBdr>
    </w:div>
    <w:div w:id="2059233320">
      <w:bodyDiv w:val="1"/>
      <w:marLeft w:val="0"/>
      <w:marRight w:val="0"/>
      <w:marTop w:val="0"/>
      <w:marBottom w:val="0"/>
      <w:divBdr>
        <w:top w:val="none" w:sz="0" w:space="0" w:color="auto"/>
        <w:left w:val="none" w:sz="0" w:space="0" w:color="auto"/>
        <w:bottom w:val="none" w:sz="0" w:space="0" w:color="auto"/>
        <w:right w:val="none" w:sz="0" w:space="0" w:color="auto"/>
      </w:divBdr>
    </w:div>
    <w:div w:id="2060931421">
      <w:bodyDiv w:val="1"/>
      <w:marLeft w:val="0"/>
      <w:marRight w:val="0"/>
      <w:marTop w:val="0"/>
      <w:marBottom w:val="0"/>
      <w:divBdr>
        <w:top w:val="none" w:sz="0" w:space="0" w:color="auto"/>
        <w:left w:val="none" w:sz="0" w:space="0" w:color="auto"/>
        <w:bottom w:val="none" w:sz="0" w:space="0" w:color="auto"/>
        <w:right w:val="none" w:sz="0" w:space="0" w:color="auto"/>
      </w:divBdr>
    </w:div>
    <w:div w:id="2103837987">
      <w:bodyDiv w:val="1"/>
      <w:marLeft w:val="0"/>
      <w:marRight w:val="0"/>
      <w:marTop w:val="0"/>
      <w:marBottom w:val="0"/>
      <w:divBdr>
        <w:top w:val="none" w:sz="0" w:space="0" w:color="auto"/>
        <w:left w:val="none" w:sz="0" w:space="0" w:color="auto"/>
        <w:bottom w:val="none" w:sz="0" w:space="0" w:color="auto"/>
        <w:right w:val="none" w:sz="0" w:space="0" w:color="auto"/>
      </w:divBdr>
    </w:div>
    <w:div w:id="211786842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2A14-FCD6-284C-AB1B-3B537021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4195</Words>
  <Characters>23078</Characters>
  <Application>Microsoft Office Word</Application>
  <DocSecurity>0</DocSecurity>
  <Lines>192</Lines>
  <Paragraphs>54</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DELL</cp:lastModifiedBy>
  <cp:revision>7</cp:revision>
  <cp:lastPrinted>2025-01-30T07:28:00Z</cp:lastPrinted>
  <dcterms:created xsi:type="dcterms:W3CDTF">2025-04-07T15:36:00Z</dcterms:created>
  <dcterms:modified xsi:type="dcterms:W3CDTF">2025-04-08T09:46:00Z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