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5416E6">
            <w:pPr>
              <w:tabs>
                <w:tab w:val="left" w:pos="-108"/>
              </w:tabs>
              <w:ind w:left="-108"/>
              <w:contextualSpacing/>
              <w:mirrorIndents/>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47EF826C" w:rsidR="000A03B2" w:rsidRPr="00B57B36" w:rsidRDefault="00A76EFC" w:rsidP="005416E6">
            <w:pPr>
              <w:tabs>
                <w:tab w:val="left" w:pos="-108"/>
              </w:tabs>
              <w:ind w:left="-108"/>
              <w:contextualSpacing/>
              <w:mirrorIndents/>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994C6A">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994C6A">
              <w:rPr>
                <w:rFonts w:cs="Arial"/>
                <w:b/>
                <w:bCs/>
                <w:i/>
                <w:iCs/>
                <w:color w:val="000066"/>
                <w:sz w:val="22"/>
                <w:szCs w:val="22"/>
                <w:lang w:eastAsia="it-IT"/>
              </w:rPr>
              <w:t>5</w:t>
            </w:r>
          </w:p>
        </w:tc>
        <w:tc>
          <w:tcPr>
            <w:tcW w:w="1843" w:type="dxa"/>
            <w:tcBorders>
              <w:left w:val="single" w:sz="4" w:space="0" w:color="auto"/>
              <w:bottom w:val="nil"/>
              <w:right w:val="single" w:sz="4" w:space="0" w:color="auto"/>
            </w:tcBorders>
          </w:tcPr>
          <w:p w14:paraId="56782132" w14:textId="77777777" w:rsidR="000A03B2" w:rsidRPr="00B57B36" w:rsidRDefault="000A03B2" w:rsidP="005416E6">
            <w:pPr>
              <w:spacing w:line="140" w:lineRule="atLeast"/>
              <w:contextualSpacing/>
              <w:mirrorIndents/>
              <w:jc w:val="right"/>
              <w:rPr>
                <w:rFonts w:cs="Arial"/>
                <w:sz w:val="14"/>
                <w:szCs w:val="14"/>
              </w:rPr>
            </w:pPr>
            <w:r w:rsidRPr="00B57B36">
              <w:rPr>
                <w:rFonts w:cs="Arial"/>
                <w:sz w:val="14"/>
                <w:szCs w:val="14"/>
              </w:rPr>
              <w:t>A publication of</w:t>
            </w:r>
          </w:p>
          <w:p w14:paraId="599E5441" w14:textId="77777777" w:rsidR="000A03B2" w:rsidRPr="00B57B36" w:rsidRDefault="000A03B2" w:rsidP="005416E6">
            <w:pPr>
              <w:contextualSpacing/>
              <w:mirrorIndents/>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5416E6">
            <w:pPr>
              <w:tabs>
                <w:tab w:val="left" w:pos="-108"/>
              </w:tabs>
              <w:contextualSpacing/>
              <w:mirrorIndents/>
            </w:pPr>
          </w:p>
        </w:tc>
        <w:tc>
          <w:tcPr>
            <w:tcW w:w="1843" w:type="dxa"/>
            <w:tcBorders>
              <w:left w:val="single" w:sz="4" w:space="0" w:color="auto"/>
              <w:bottom w:val="nil"/>
              <w:right w:val="single" w:sz="4" w:space="0" w:color="auto"/>
            </w:tcBorders>
          </w:tcPr>
          <w:p w14:paraId="43858A98" w14:textId="77777777" w:rsidR="000A03B2" w:rsidRPr="00B57B36" w:rsidRDefault="000A03B2" w:rsidP="005416E6">
            <w:pPr>
              <w:spacing w:line="140" w:lineRule="atLeast"/>
              <w:contextualSpacing/>
              <w:mirrorIndents/>
              <w:jc w:val="right"/>
              <w:rPr>
                <w:rFonts w:cs="Arial"/>
                <w:sz w:val="14"/>
                <w:szCs w:val="14"/>
              </w:rPr>
            </w:pPr>
            <w:r w:rsidRPr="00B57B36">
              <w:rPr>
                <w:rFonts w:cs="Arial"/>
                <w:sz w:val="14"/>
                <w:szCs w:val="14"/>
              </w:rPr>
              <w:t>The Italian Association</w:t>
            </w:r>
          </w:p>
          <w:p w14:paraId="7522B1D2" w14:textId="77777777" w:rsidR="000A03B2" w:rsidRPr="00B57B36" w:rsidRDefault="000A03B2" w:rsidP="005416E6">
            <w:pPr>
              <w:spacing w:line="140" w:lineRule="atLeast"/>
              <w:contextualSpacing/>
              <w:mirrorIndents/>
              <w:jc w:val="right"/>
              <w:rPr>
                <w:rFonts w:cs="Arial"/>
                <w:sz w:val="14"/>
                <w:szCs w:val="14"/>
              </w:rPr>
            </w:pPr>
            <w:r w:rsidRPr="00B57B36">
              <w:rPr>
                <w:rFonts w:cs="Arial"/>
                <w:sz w:val="14"/>
                <w:szCs w:val="14"/>
              </w:rPr>
              <w:t>of Chemical Engineering</w:t>
            </w:r>
          </w:p>
          <w:p w14:paraId="4F0CC5DE" w14:textId="47FDB2FC" w:rsidR="000A03B2" w:rsidRPr="000D0268" w:rsidRDefault="000D0268" w:rsidP="005416E6">
            <w:pPr>
              <w:spacing w:line="140" w:lineRule="atLeast"/>
              <w:contextualSpacing/>
              <w:mirrorIndents/>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1D8DD3C9" w14:textId="025D7B18" w:rsidR="00AA7D26" w:rsidRPr="007D610D" w:rsidRDefault="00AA7D26" w:rsidP="005416E6">
            <w:pPr>
              <w:ind w:left="-107"/>
              <w:contextualSpacing/>
              <w:mirrorIndents/>
              <w:outlineLvl w:val="2"/>
              <w:rPr>
                <w:rFonts w:ascii="Tahoma" w:hAnsi="Tahoma" w:cs="Tahoma"/>
                <w:color w:val="000000"/>
                <w:sz w:val="14"/>
                <w:szCs w:val="14"/>
                <w:shd w:val="clear" w:color="auto" w:fill="FFFFFF"/>
                <w:lang w:val="it-IT"/>
              </w:rPr>
            </w:pPr>
            <w:r w:rsidRPr="007D610D">
              <w:rPr>
                <w:rFonts w:ascii="Tahoma" w:hAnsi="Tahoma" w:cs="Tahoma"/>
                <w:iCs/>
                <w:color w:val="333333"/>
                <w:sz w:val="14"/>
                <w:szCs w:val="14"/>
                <w:lang w:val="it-IT" w:eastAsia="it-IT"/>
              </w:rPr>
              <w:t>Guest Editors:</w:t>
            </w:r>
            <w:r w:rsidR="007D610D" w:rsidRPr="007D610D">
              <w:rPr>
                <w:rFonts w:ascii="Aptos" w:eastAsiaTheme="minorHAnsi" w:hAnsi="Aptos" w:cs="Aptos"/>
                <w:sz w:val="22"/>
                <w:szCs w:val="22"/>
                <w:lang w:val="it-IT"/>
                <w14:ligatures w14:val="standardContextual"/>
              </w:rPr>
              <w:t xml:space="preserve"> </w:t>
            </w:r>
            <w:r w:rsidR="007D610D" w:rsidRPr="007D610D">
              <w:rPr>
                <w:rFonts w:ascii="Tahoma" w:hAnsi="Tahoma" w:cs="Tahoma"/>
                <w:color w:val="000000"/>
                <w:sz w:val="14"/>
                <w:szCs w:val="14"/>
                <w:shd w:val="clear" w:color="auto" w:fill="FFFFFF"/>
                <w:lang w:val="it-IT"/>
              </w:rPr>
              <w:t xml:space="preserve">Fabrizio Bezzo, </w:t>
            </w:r>
            <w:r w:rsidR="001D3D32">
              <w:rPr>
                <w:rFonts w:ascii="Tahoma" w:hAnsi="Tahoma" w:cs="Tahoma"/>
                <w:color w:val="000000"/>
                <w:sz w:val="14"/>
                <w:szCs w:val="14"/>
                <w:shd w:val="clear" w:color="auto" w:fill="FFFFFF"/>
                <w:lang w:val="it-IT"/>
              </w:rPr>
              <w:t>Flavio Manenti</w:t>
            </w:r>
            <w:r w:rsidR="00304CE8">
              <w:rPr>
                <w:rFonts w:ascii="Tahoma" w:hAnsi="Tahoma" w:cs="Tahoma"/>
                <w:color w:val="000000"/>
                <w:sz w:val="14"/>
                <w:szCs w:val="14"/>
                <w:shd w:val="clear" w:color="auto" w:fill="FFFFFF"/>
                <w:lang w:val="it-IT"/>
              </w:rPr>
              <w:t>,</w:t>
            </w:r>
            <w:r w:rsidR="001D3D32">
              <w:rPr>
                <w:rFonts w:ascii="Tahoma" w:hAnsi="Tahoma" w:cs="Tahoma"/>
                <w:color w:val="000000"/>
                <w:sz w:val="14"/>
                <w:szCs w:val="14"/>
                <w:shd w:val="clear" w:color="auto" w:fill="FFFFFF"/>
                <w:lang w:val="it-IT"/>
              </w:rPr>
              <w:t xml:space="preserve"> </w:t>
            </w:r>
            <w:r w:rsidR="007D610D" w:rsidRPr="007D610D">
              <w:rPr>
                <w:rFonts w:ascii="Tahoma" w:hAnsi="Tahoma" w:cs="Tahoma"/>
                <w:color w:val="000000"/>
                <w:sz w:val="14"/>
                <w:szCs w:val="14"/>
                <w:shd w:val="clear" w:color="auto" w:fill="FFFFFF"/>
                <w:lang w:val="it-IT"/>
              </w:rPr>
              <w:t>Gabriele Pannocchia, Almerinda di Benedetto</w:t>
            </w:r>
          </w:p>
          <w:p w14:paraId="1B0F1814" w14:textId="7C54DC3A" w:rsidR="000A03B2" w:rsidRPr="00B57B36" w:rsidRDefault="00AA7D26" w:rsidP="005416E6">
            <w:pPr>
              <w:tabs>
                <w:tab w:val="left" w:pos="-108"/>
              </w:tabs>
              <w:spacing w:line="140" w:lineRule="atLeast"/>
              <w:ind w:left="-107"/>
              <w:contextualSpacing/>
              <w:mirrorIndents/>
              <w:jc w:val="left"/>
            </w:pPr>
            <w:r>
              <w:rPr>
                <w:rFonts w:ascii="Tahoma" w:hAnsi="Tahoma" w:cs="Tahoma"/>
                <w:iCs/>
                <w:color w:val="333333"/>
                <w:sz w:val="14"/>
                <w:szCs w:val="14"/>
                <w:lang w:eastAsia="it-IT"/>
              </w:rPr>
              <w:t>Copyright © 202</w:t>
            </w:r>
            <w:r w:rsidR="00994C6A">
              <w:rPr>
                <w:rFonts w:ascii="Tahoma" w:hAnsi="Tahoma" w:cs="Tahoma"/>
                <w:iCs/>
                <w:color w:val="333333"/>
                <w:sz w:val="14"/>
                <w:szCs w:val="14"/>
                <w:lang w:eastAsia="it-IT"/>
              </w:rPr>
              <w:t>5</w:t>
            </w:r>
            <w:r w:rsidRPr="00B57B36">
              <w:rPr>
                <w:rFonts w:ascii="Tahoma" w:hAnsi="Tahoma" w:cs="Tahoma"/>
                <w:iCs/>
                <w:color w:val="333333"/>
                <w:sz w:val="14"/>
                <w:szCs w:val="14"/>
                <w:lang w:eastAsia="it-IT"/>
              </w:rPr>
              <w:t>, AIDIC Servizi 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3B49CD" w:rsidRPr="000562A9">
              <w:rPr>
                <w:rFonts w:ascii="Tahoma" w:hAnsi="Tahoma" w:cs="Tahoma"/>
                <w:sz w:val="14"/>
                <w:szCs w:val="14"/>
              </w:rPr>
              <w:t>97</w:t>
            </w:r>
            <w:r w:rsidR="003B49CD">
              <w:rPr>
                <w:rFonts w:ascii="Tahoma" w:hAnsi="Tahoma" w:cs="Tahoma"/>
                <w:sz w:val="14"/>
                <w:szCs w:val="14"/>
              </w:rPr>
              <w:t>9</w:t>
            </w:r>
            <w:r w:rsidR="003B49CD" w:rsidRPr="000562A9">
              <w:rPr>
                <w:rFonts w:ascii="Tahoma" w:hAnsi="Tahoma" w:cs="Tahoma"/>
                <w:sz w:val="14"/>
                <w:szCs w:val="14"/>
              </w:rPr>
              <w:t>-</w:t>
            </w:r>
            <w:r w:rsidR="003B49CD">
              <w:rPr>
                <w:rFonts w:ascii="Tahoma" w:hAnsi="Tahoma" w:cs="Tahoma"/>
                <w:sz w:val="14"/>
                <w:szCs w:val="14"/>
              </w:rPr>
              <w:t>12</w:t>
            </w:r>
            <w:r w:rsidR="003B49CD" w:rsidRPr="000562A9">
              <w:rPr>
                <w:rFonts w:ascii="Tahoma" w:hAnsi="Tahoma" w:cs="Tahoma"/>
                <w:sz w:val="14"/>
                <w:szCs w:val="14"/>
              </w:rPr>
              <w:t>-</w:t>
            </w:r>
            <w:r w:rsidR="003B49CD">
              <w:rPr>
                <w:rFonts w:ascii="Tahoma" w:hAnsi="Tahoma" w:cs="Tahoma"/>
                <w:sz w:val="14"/>
                <w:szCs w:val="14"/>
              </w:rPr>
              <w:t>81206-1</w:t>
            </w:r>
            <w:r w:rsidR="00994C6A">
              <w:rPr>
                <w:rFonts w:ascii="Tahoma" w:hAnsi="Tahoma" w:cs="Tahoma"/>
                <w:sz w:val="14"/>
                <w:szCs w:val="14"/>
              </w:rPr>
              <w:t>7</w:t>
            </w:r>
            <w:r w:rsidR="003B49CD">
              <w:rPr>
                <w:rFonts w:ascii="Tahoma" w:hAnsi="Tahoma" w:cs="Tahoma"/>
                <w:sz w:val="14"/>
                <w:szCs w:val="14"/>
              </w:rPr>
              <w:t>-</w:t>
            </w:r>
            <w:r w:rsidR="00994C6A">
              <w:rPr>
                <w:rFonts w:ascii="Tahoma" w:hAnsi="Tahoma" w:cs="Tahoma"/>
                <w:sz w:val="14"/>
                <w:szCs w:val="14"/>
              </w:rPr>
              <w:t>5</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0"/>
    <w:p w14:paraId="2E667253" w14:textId="37F5CA03" w:rsidR="00E978D0" w:rsidRPr="00B57B36" w:rsidRDefault="00193D63" w:rsidP="005416E6">
      <w:pPr>
        <w:pStyle w:val="CETTitle"/>
        <w:contextualSpacing/>
        <w:mirrorIndents/>
      </w:pPr>
      <w:r>
        <w:t xml:space="preserve">Glucose Production </w:t>
      </w:r>
      <w:proofErr w:type="gramStart"/>
      <w:r>
        <w:t>From</w:t>
      </w:r>
      <w:proofErr w:type="gramEnd"/>
      <w:r>
        <w:t xml:space="preserve"> Cellulosic Sludge </w:t>
      </w:r>
      <w:r w:rsidR="00CE0405">
        <w:br/>
      </w:r>
      <w:r>
        <w:t>Innovating Wastewater Recovery</w:t>
      </w:r>
    </w:p>
    <w:p w14:paraId="0488FED2" w14:textId="179FB126" w:rsidR="00B57E6F" w:rsidRPr="00B57B36" w:rsidRDefault="00193D63" w:rsidP="00681B04">
      <w:pPr>
        <w:pStyle w:val="CETAuthors"/>
        <w:spacing w:line="276" w:lineRule="auto"/>
        <w:contextualSpacing/>
        <w:mirrorIndents/>
      </w:pPr>
      <w:r>
        <w:t>Federico Micolucci</w:t>
      </w:r>
      <w:r w:rsidR="00C37061">
        <w:t>*</w:t>
      </w:r>
      <w:r w:rsidR="00B57E6F" w:rsidRPr="00B57B36">
        <w:t xml:space="preserve">, </w:t>
      </w:r>
      <w:r>
        <w:t>Nicola Frison</w:t>
      </w:r>
    </w:p>
    <w:p w14:paraId="3D72B0B0" w14:textId="16A4F337" w:rsidR="00B57E6F" w:rsidRPr="00B57B36" w:rsidRDefault="00C37061" w:rsidP="00681B04">
      <w:pPr>
        <w:pStyle w:val="CETAddress"/>
        <w:mirrorIndents/>
      </w:pPr>
      <w:r>
        <w:t xml:space="preserve">University of Verona, Strada le Grazie </w:t>
      </w:r>
      <w:r w:rsidR="009906ED">
        <w:t>15, 3</w:t>
      </w:r>
      <w:r w:rsidR="00DA23CE">
        <w:t>71</w:t>
      </w:r>
      <w:r w:rsidR="009906ED">
        <w:t xml:space="preserve">34 </w:t>
      </w:r>
      <w:r>
        <w:t>Verona, Italy</w:t>
      </w:r>
    </w:p>
    <w:p w14:paraId="73F1267A" w14:textId="06AEC0B9" w:rsidR="00B57E6F" w:rsidRPr="00B57B36" w:rsidRDefault="00C37061" w:rsidP="00681B04">
      <w:pPr>
        <w:pStyle w:val="CETemail"/>
        <w:contextualSpacing/>
        <w:mirrorIndents/>
      </w:pPr>
      <w:r>
        <w:t>*federico.micolucci</w:t>
      </w:r>
      <w:r w:rsidR="00B57E6F" w:rsidRPr="00B57B36">
        <w:t>@</w:t>
      </w:r>
      <w:r>
        <w:t>univr.it</w:t>
      </w:r>
    </w:p>
    <w:p w14:paraId="6893AF25" w14:textId="52894DA5" w:rsidR="00600535" w:rsidRPr="00B57B36" w:rsidRDefault="005403DB" w:rsidP="005403DB">
      <w:pPr>
        <w:pStyle w:val="CETBodytext"/>
        <w:spacing w:line="276" w:lineRule="auto"/>
        <w:contextualSpacing/>
        <w:mirrorIndents/>
        <w:rPr>
          <w:lang w:val="en-GB"/>
        </w:rPr>
      </w:pPr>
      <w:r w:rsidRPr="005403DB">
        <w:rPr>
          <w:lang w:val="en-GB"/>
        </w:rPr>
        <w:t>The transition from conventional wastewater treatment toward resource recovery and energy efficiency has become a central focus in wastewater treatment plant optimization. This study investigates the integration of pre-filtration and cellulosic primary sludge (CPS) hydrolysis as a strategy to enhance carbon recovery while reducing energy consumption. Using pilot-scale and batch experiments, the efficiency of CPS recovery via rotating belt filtration was compared with conventional pre-sedimentation, and hydrolysis conditions were optimized to maximize cellulose degradation and fermentable carbon production.</w:t>
      </w:r>
      <w:r>
        <w:rPr>
          <w:lang w:val="en-GB"/>
        </w:rPr>
        <w:t xml:space="preserve"> </w:t>
      </w:r>
      <w:r w:rsidRPr="005403DB">
        <w:rPr>
          <w:lang w:val="en-GB"/>
        </w:rPr>
        <w:t xml:space="preserve">The results demonstrated that mesophilic conditions (38°C) enabled up to 42% cellulose degradation </w:t>
      </w:r>
      <w:r w:rsidR="00563338">
        <w:rPr>
          <w:lang w:val="en-GB"/>
        </w:rPr>
        <w:t xml:space="preserve">of the CPS </w:t>
      </w:r>
      <w:r w:rsidRPr="005403DB">
        <w:rPr>
          <w:lang w:val="en-GB"/>
        </w:rPr>
        <w:t>without pH adjustment, while alkaline hydrolysis (pH 12, at thermophilic 55°C) achieved the highest soluble chemical oxygen demand (sCOD) production. The observed correlation between total suspended solids reduction and sCOD increase confirms that CPS hydrolysis enhances the availability of bioavailable organics</w:t>
      </w:r>
      <w:r w:rsidR="00563338">
        <w:rPr>
          <w:lang w:val="en-GB"/>
        </w:rPr>
        <w:t xml:space="preserve"> (e.g. Glucose, Xylose)</w:t>
      </w:r>
      <w:r w:rsidRPr="005403DB">
        <w:rPr>
          <w:lang w:val="en-GB"/>
        </w:rPr>
        <w:t>, which can serve for example as an internal carbon source for biological nutrient removal processes. Additionally, the hydrolysate’s potential for volatile fatty acid production highlights new opportunities for biopolymer synthesis and resource recovery.</w:t>
      </w:r>
      <w:r>
        <w:rPr>
          <w:lang w:val="en-GB"/>
        </w:rPr>
        <w:t xml:space="preserve"> </w:t>
      </w:r>
      <w:r w:rsidRPr="005403DB">
        <w:rPr>
          <w:lang w:val="en-GB"/>
        </w:rPr>
        <w:t xml:space="preserve">Energy balance calculations indicate that CPS removal before biological treatment could reduce aeration energy consumption by 5–15%, translating into annual savings of 149,480–442,776 kWh for a treatment plant of 150,000 </w:t>
      </w:r>
      <w:r w:rsidR="005E4A86">
        <w:rPr>
          <w:lang w:val="en-GB"/>
        </w:rPr>
        <w:t>people equivalent</w:t>
      </w:r>
      <w:r w:rsidR="003C4D92">
        <w:rPr>
          <w:lang w:val="en-GB"/>
        </w:rPr>
        <w:t xml:space="preserve"> (PE)</w:t>
      </w:r>
      <w:r w:rsidRPr="005403DB">
        <w:rPr>
          <w:lang w:val="en-GB"/>
        </w:rPr>
        <w:t xml:space="preserve">. These findings support the role of CPS pre-filtration and hydrolysis in transforming </w:t>
      </w:r>
      <w:r w:rsidR="003C4D92">
        <w:rPr>
          <w:lang w:val="en-GB"/>
        </w:rPr>
        <w:t>wastewater treatment plants</w:t>
      </w:r>
      <w:r w:rsidRPr="005403DB">
        <w:rPr>
          <w:lang w:val="en-GB"/>
        </w:rPr>
        <w:t xml:space="preserve"> into energy-efficient water resource recovery facilities.</w:t>
      </w:r>
    </w:p>
    <w:p w14:paraId="476B2F2E" w14:textId="52B36035" w:rsidR="00600535" w:rsidRPr="00B57B36" w:rsidRDefault="00600535" w:rsidP="00DB11B5">
      <w:pPr>
        <w:pStyle w:val="CETHeading1"/>
        <w:rPr>
          <w:lang w:val="en-GB"/>
        </w:rPr>
      </w:pPr>
      <w:r w:rsidRPr="00B57B36">
        <w:rPr>
          <w:lang w:val="en-GB"/>
        </w:rPr>
        <w:t>Introduction</w:t>
      </w:r>
    </w:p>
    <w:p w14:paraId="06415213" w14:textId="0521F8E7" w:rsidR="00947461" w:rsidRDefault="00CE0405" w:rsidP="00681B04">
      <w:pPr>
        <w:spacing w:after="80" w:line="276" w:lineRule="auto"/>
        <w:contextualSpacing/>
        <w:mirrorIndents/>
        <w:rPr>
          <w:rFonts w:cs="Arial"/>
          <w:szCs w:val="18"/>
          <w:lang w:val="en-US"/>
        </w:rPr>
      </w:pPr>
      <w:r w:rsidRPr="00266837">
        <w:rPr>
          <w:rFonts w:cs="Arial"/>
          <w:szCs w:val="18"/>
          <w:lang w:val="en-US"/>
        </w:rPr>
        <w:t xml:space="preserve">The paradigm of wastewater treatment is shifting from pollutant removal toward resource recovery and energy efficiency, driven by environmental sustainability concerns and regulatory advancements. </w:t>
      </w:r>
      <w:r>
        <w:rPr>
          <w:rFonts w:cs="Arial"/>
          <w:szCs w:val="18"/>
          <w:lang w:val="en-US"/>
        </w:rPr>
        <w:t>The</w:t>
      </w:r>
      <w:r w:rsidRPr="00266837">
        <w:rPr>
          <w:rFonts w:cs="Arial"/>
          <w:szCs w:val="18"/>
          <w:lang w:val="en-US"/>
        </w:rPr>
        <w:t xml:space="preserve"> 2024 European Urban Wastewater Directive mandates a significant reduction in energy consumption across treatment facilities, emphasizing the need for more efficient wastewater management strategies (European Commission, 2024).</w:t>
      </w:r>
      <w:r>
        <w:rPr>
          <w:rFonts w:cs="Arial"/>
          <w:szCs w:val="18"/>
          <w:lang w:val="en-US"/>
        </w:rPr>
        <w:br/>
      </w:r>
      <w:r w:rsidRPr="00266837">
        <w:rPr>
          <w:rFonts w:cs="Arial"/>
          <w:szCs w:val="18"/>
          <w:lang w:val="en-US"/>
        </w:rPr>
        <w:t xml:space="preserve">Traditional wastewater treatment plants (WWTPs) primarily focus on pollutant removal but often fail to maximize resource recovery, especially regarding organic carbon, which is abundant in sewage. </w:t>
      </w:r>
      <w:r w:rsidR="001C3DEB">
        <w:rPr>
          <w:rFonts w:cs="Arial"/>
          <w:szCs w:val="18"/>
          <w:lang w:val="en-US"/>
        </w:rPr>
        <w:t>C</w:t>
      </w:r>
      <w:r w:rsidRPr="00266837">
        <w:rPr>
          <w:rFonts w:cs="Arial"/>
          <w:szCs w:val="18"/>
          <w:lang w:val="en-US"/>
        </w:rPr>
        <w:t>onventional primary treatment methods, such as pre-sedimentation, require substantial energy inputs and generate large volumes of sludge, contributing to high operational costs and environmental burdens. This highlights the necessity of transitioning toward energy-efficient treatment strategies that not only purify water but also facilitate the recovery of valuable organic components, effectively transforming WWTPs into water resource recovery facilities (WRRFs) (</w:t>
      </w:r>
      <w:r>
        <w:rPr>
          <w:rFonts w:cs="Arial"/>
          <w:szCs w:val="18"/>
          <w:lang w:val="en-US"/>
        </w:rPr>
        <w:t>F</w:t>
      </w:r>
      <w:r w:rsidR="00D13A39">
        <w:rPr>
          <w:rFonts w:cs="Arial"/>
          <w:szCs w:val="18"/>
          <w:lang w:val="en-US"/>
        </w:rPr>
        <w:t>oglia</w:t>
      </w:r>
      <w:r w:rsidRPr="00266837">
        <w:rPr>
          <w:rFonts w:cs="Arial"/>
          <w:szCs w:val="18"/>
          <w:lang w:val="en-US"/>
        </w:rPr>
        <w:t xml:space="preserve"> et al., 20</w:t>
      </w:r>
      <w:r w:rsidR="00D13A39">
        <w:rPr>
          <w:rFonts w:cs="Arial"/>
          <w:szCs w:val="18"/>
          <w:lang w:val="en-US"/>
        </w:rPr>
        <w:t>21</w:t>
      </w:r>
      <w:r w:rsidRPr="00266837">
        <w:rPr>
          <w:rFonts w:cs="Arial"/>
          <w:szCs w:val="18"/>
          <w:lang w:val="en-US"/>
        </w:rPr>
        <w:t>).</w:t>
      </w:r>
      <w:r w:rsidR="00CA34FF">
        <w:rPr>
          <w:rFonts w:cs="Arial"/>
          <w:szCs w:val="18"/>
          <w:lang w:val="en-US"/>
        </w:rPr>
        <w:t xml:space="preserve"> </w:t>
      </w:r>
      <w:r w:rsidRPr="00266837">
        <w:rPr>
          <w:rFonts w:cs="Arial"/>
          <w:szCs w:val="18"/>
          <w:lang w:val="en-US"/>
        </w:rPr>
        <w:t>A promising alternative to pre-sedimentation is pre-filtration, a process that employs rotating belt filters (RBFs) or other fine-mesh filtration systems to separate suspended solids from wastewater more efficiently. This method enables 50% removal of suspended solids</w:t>
      </w:r>
      <w:r w:rsidR="00C3502E">
        <w:rPr>
          <w:rFonts w:cs="Arial"/>
          <w:szCs w:val="18"/>
          <w:lang w:val="en-US"/>
        </w:rPr>
        <w:t xml:space="preserve"> (Da Ros et al., 2020)</w:t>
      </w:r>
      <w:r w:rsidRPr="00266837">
        <w:rPr>
          <w:rFonts w:cs="Arial"/>
          <w:szCs w:val="18"/>
          <w:lang w:val="en-US"/>
        </w:rPr>
        <w:t>, significantly reducing the organic load entering the biological treatment stage and, consequently, lowering energy demands for aeration. Pre-filtration also allows for targeted recovery of cellulosic primary sludge (CPS), a sludge fraction rich in cellulose, primarily derived from toilet paper. Given that cellulose constitutes 30–40% of suspended solids in municipal wastewater, CPS represents a valuable yet underutilized resource (</w:t>
      </w:r>
      <w:r w:rsidR="00D13A39">
        <w:rPr>
          <w:rFonts w:cs="Arial"/>
          <w:szCs w:val="18"/>
          <w:lang w:val="en-US"/>
        </w:rPr>
        <w:t>Wang</w:t>
      </w:r>
      <w:r w:rsidRPr="00266837">
        <w:rPr>
          <w:rFonts w:cs="Arial"/>
          <w:szCs w:val="18"/>
          <w:lang w:val="en-US"/>
        </w:rPr>
        <w:t xml:space="preserve"> et al., 202</w:t>
      </w:r>
      <w:r w:rsidR="00D13A39">
        <w:rPr>
          <w:rFonts w:cs="Arial"/>
          <w:szCs w:val="18"/>
          <w:lang w:val="en-US"/>
        </w:rPr>
        <w:t>3</w:t>
      </w:r>
      <w:r w:rsidRPr="00266837">
        <w:rPr>
          <w:rFonts w:cs="Arial"/>
          <w:szCs w:val="18"/>
          <w:lang w:val="en-US"/>
        </w:rPr>
        <w:t>).</w:t>
      </w:r>
      <w:r w:rsidR="00947461">
        <w:rPr>
          <w:rFonts w:cs="Arial"/>
          <w:szCs w:val="18"/>
          <w:lang w:val="en-US"/>
        </w:rPr>
        <w:t xml:space="preserve"> </w:t>
      </w:r>
      <w:r w:rsidR="00947461" w:rsidRPr="00266837">
        <w:rPr>
          <w:rFonts w:cs="Arial"/>
          <w:szCs w:val="18"/>
          <w:lang w:val="en-US"/>
        </w:rPr>
        <w:t>Following its separation, CPS can undergo hydrolysis under oxygen-limited conditions, breaking down complex carbohydrates into fermentable substrates. This hydrolysate, rich in</w:t>
      </w:r>
      <w:r w:rsidR="006F2A64">
        <w:rPr>
          <w:rFonts w:cs="Arial"/>
          <w:szCs w:val="18"/>
          <w:lang w:val="en-US"/>
        </w:rPr>
        <w:t xml:space="preserve"> glucose</w:t>
      </w:r>
      <w:r w:rsidR="00FF09FF">
        <w:rPr>
          <w:rFonts w:cs="Arial"/>
          <w:szCs w:val="18"/>
          <w:lang w:val="en-US"/>
        </w:rPr>
        <w:t xml:space="preserve"> and partially volatile </w:t>
      </w:r>
      <w:r w:rsidR="00FF09FF">
        <w:rPr>
          <w:rFonts w:cs="Arial"/>
          <w:szCs w:val="18"/>
          <w:lang w:val="en-US"/>
        </w:rPr>
        <w:lastRenderedPageBreak/>
        <w:t>fatty acids (VFAs)</w:t>
      </w:r>
      <w:r w:rsidR="00947461" w:rsidRPr="00266837">
        <w:rPr>
          <w:rFonts w:cs="Arial"/>
          <w:szCs w:val="18"/>
          <w:lang w:val="en-US"/>
        </w:rPr>
        <w:t>, holds significant potential as an internal carbon source for biological nutrient removal (BNR) processes, including enhanced biological phosphorus removal (EBPR)</w:t>
      </w:r>
      <w:r w:rsidR="00FF09FF">
        <w:rPr>
          <w:rFonts w:cs="Arial"/>
          <w:szCs w:val="18"/>
          <w:lang w:val="en-US"/>
        </w:rPr>
        <w:t>, especially if further treated anaerobically to enhance VFAs concentrations</w:t>
      </w:r>
      <w:r w:rsidR="00947461" w:rsidRPr="00266837">
        <w:rPr>
          <w:rFonts w:cs="Arial"/>
          <w:szCs w:val="18"/>
          <w:lang w:val="en-US"/>
        </w:rPr>
        <w:t>. By reducing reliance on external carbon additives, this approach fosters a circular economy within wastewater treatment, minimizing environmental impact and operational costs (</w:t>
      </w:r>
      <w:r w:rsidR="00D13A39">
        <w:rPr>
          <w:rFonts w:cs="Arial"/>
          <w:szCs w:val="18"/>
          <w:lang w:val="en-US"/>
        </w:rPr>
        <w:t>Ossiansson</w:t>
      </w:r>
      <w:r w:rsidR="00D13A39" w:rsidRPr="00266837">
        <w:rPr>
          <w:rFonts w:cs="Arial"/>
          <w:szCs w:val="18"/>
          <w:lang w:val="en-US"/>
        </w:rPr>
        <w:t xml:space="preserve"> et al., 202</w:t>
      </w:r>
      <w:r w:rsidR="00D13A39">
        <w:rPr>
          <w:rFonts w:cs="Arial"/>
          <w:szCs w:val="18"/>
          <w:lang w:val="en-US"/>
        </w:rPr>
        <w:t>3</w:t>
      </w:r>
      <w:r w:rsidR="00947461" w:rsidRPr="00266837">
        <w:rPr>
          <w:rFonts w:cs="Arial"/>
          <w:szCs w:val="18"/>
          <w:lang w:val="en-US"/>
        </w:rPr>
        <w:t>).</w:t>
      </w:r>
      <w:r w:rsidR="00CA34FF">
        <w:rPr>
          <w:rFonts w:cs="Arial"/>
          <w:szCs w:val="18"/>
          <w:lang w:val="en-US"/>
        </w:rPr>
        <w:t xml:space="preserve"> </w:t>
      </w:r>
      <w:r w:rsidR="00947461" w:rsidRPr="00266837">
        <w:rPr>
          <w:rFonts w:cs="Arial"/>
          <w:szCs w:val="18"/>
          <w:lang w:val="en-US"/>
        </w:rPr>
        <w:t>Moreover, hydrolysis-derived VFAs can serve as precursors for value-added bioproducts, such as polyhydroxyalkanoates (PHAs), which have applications in biopolymer production. This further supports the transformation of WWTPs into urban biorefineries, integrating wastewater treatment with sustainable resource recovery.</w:t>
      </w:r>
      <w:r w:rsidR="00CA34FF">
        <w:rPr>
          <w:rFonts w:cs="Arial"/>
          <w:szCs w:val="18"/>
          <w:lang w:val="en-US"/>
        </w:rPr>
        <w:t xml:space="preserve"> </w:t>
      </w:r>
      <w:r w:rsidR="00947461" w:rsidRPr="00266837">
        <w:rPr>
          <w:rFonts w:cs="Arial"/>
          <w:szCs w:val="18"/>
          <w:lang w:val="en-US"/>
        </w:rPr>
        <w:t xml:space="preserve">Despite its advantages, the implementation of pre-filtration and CPS hydrolysis remains underexplored, particularly regarding process optimization and large-scale feasibility. Computational modeling suggests that pre-filtration can lead to an 8% reduction in aeration energy consumption while extending sludge age and enhancing nitrification efficiency (Behera et al., 2018). </w:t>
      </w:r>
    </w:p>
    <w:p w14:paraId="0A22F7F1" w14:textId="610CD735" w:rsidR="00173763" w:rsidRPr="00266837" w:rsidRDefault="00173763" w:rsidP="00681B04">
      <w:pPr>
        <w:spacing w:after="80" w:line="276" w:lineRule="auto"/>
        <w:contextualSpacing/>
        <w:mirrorIndents/>
        <w:rPr>
          <w:rFonts w:cs="Arial"/>
          <w:szCs w:val="18"/>
          <w:lang w:val="en-US"/>
        </w:rPr>
      </w:pPr>
      <w:r w:rsidRPr="00173763">
        <w:rPr>
          <w:rFonts w:cs="Arial"/>
          <w:szCs w:val="18"/>
          <w:lang w:val="en-US"/>
        </w:rPr>
        <w:t xml:space="preserve">This study investigates the efficiency of CPS pre-filtration and hydrolysis through pilot-scale and batch experiments. The primary objectives are to evaluate CPS recovery via pre-filtration, compare its performance with conventional pre-sedimentation, and optimize hydrolysis conditions such as sludge residence time, pH, and temperature to maximize cellulose conversion into </w:t>
      </w:r>
      <w:r w:rsidR="00EF7F1A">
        <w:rPr>
          <w:rFonts w:cs="Arial"/>
          <w:szCs w:val="18"/>
          <w:lang w:val="en-US"/>
        </w:rPr>
        <w:t xml:space="preserve">sugars as </w:t>
      </w:r>
      <w:r w:rsidRPr="00173763">
        <w:rPr>
          <w:rFonts w:cs="Arial"/>
          <w:szCs w:val="18"/>
          <w:lang w:val="en-US"/>
        </w:rPr>
        <w:t>fermentable carbon sources. The hydrolysate is characterized through glucose analysis to assess its suitability as a substrate for subsequent fermentation. Additionally, the scalability and energy-saving potential of integrating CPS pre-filtration and hydrolysis into full-scale WWTP operations are explored.</w:t>
      </w:r>
    </w:p>
    <w:p w14:paraId="5741900F" w14:textId="63BB94A5" w:rsidR="00453E24" w:rsidRDefault="00A21787" w:rsidP="00681B04">
      <w:pPr>
        <w:pStyle w:val="CETHeading1"/>
        <w:spacing w:line="276" w:lineRule="auto"/>
        <w:contextualSpacing/>
        <w:mirrorIndents/>
      </w:pPr>
      <w:r>
        <w:t>Material and methods</w:t>
      </w:r>
    </w:p>
    <w:p w14:paraId="75E204C8" w14:textId="5FB8A4EF" w:rsidR="004B1293" w:rsidRDefault="00827639" w:rsidP="003E4997">
      <w:pPr>
        <w:pStyle w:val="Liststycke"/>
        <w:spacing w:line="276" w:lineRule="auto"/>
        <w:ind w:left="0"/>
        <w:mirrorIndents/>
        <w:rPr>
          <w:rFonts w:cs="Arial"/>
          <w:szCs w:val="18"/>
          <w:lang w:val="en-US"/>
        </w:rPr>
      </w:pPr>
      <w:r w:rsidRPr="00B72BAD">
        <w:rPr>
          <w:rFonts w:eastAsia="ari" w:cs="Arial"/>
          <w:lang w:val="en-US"/>
        </w:rPr>
        <w:t xml:space="preserve">This paper presents </w:t>
      </w:r>
      <w:r w:rsidR="00111D21">
        <w:rPr>
          <w:rFonts w:eastAsia="ari" w:cs="Arial"/>
          <w:lang w:val="en-US"/>
        </w:rPr>
        <w:t>part</w:t>
      </w:r>
      <w:r w:rsidRPr="00B72BAD">
        <w:rPr>
          <w:rFonts w:eastAsia="ari" w:cs="Arial"/>
          <w:lang w:val="en-US"/>
        </w:rPr>
        <w:t xml:space="preserve"> of the REFRAME project (HORIZON-MSCA,10/23, </w:t>
      </w:r>
      <w:r w:rsidR="002C401B">
        <w:rPr>
          <w:rFonts w:eastAsia="ari" w:cs="Arial"/>
          <w:i/>
          <w:iCs/>
          <w:lang w:val="en-US"/>
        </w:rPr>
        <w:t>Figure 2</w:t>
      </w:r>
      <w:r>
        <w:rPr>
          <w:rFonts w:eastAsia="ari" w:cs="Arial"/>
          <w:lang w:val="en-US"/>
        </w:rPr>
        <w:t>).</w:t>
      </w:r>
      <w:r w:rsidR="00111D21">
        <w:rPr>
          <w:rFonts w:cs="Arial"/>
          <w:szCs w:val="18"/>
          <w:lang w:val="en-US"/>
        </w:rPr>
        <w:t xml:space="preserve"> </w:t>
      </w:r>
      <w:r w:rsidR="00F554E4" w:rsidRPr="00F554E4">
        <w:rPr>
          <w:rFonts w:cs="Arial"/>
          <w:szCs w:val="18"/>
          <w:lang w:val="en-US"/>
        </w:rPr>
        <w:t xml:space="preserve">Municipal wastewater </w:t>
      </w:r>
      <w:r w:rsidR="00F554E4">
        <w:rPr>
          <w:rFonts w:cs="Arial"/>
          <w:szCs w:val="18"/>
          <w:lang w:val="en-US"/>
        </w:rPr>
        <w:t xml:space="preserve">and sludge </w:t>
      </w:r>
      <w:r w:rsidR="00F554E4" w:rsidRPr="00F554E4">
        <w:rPr>
          <w:rFonts w:cs="Arial"/>
          <w:szCs w:val="18"/>
          <w:lang w:val="en-US"/>
        </w:rPr>
        <w:t>from the Källby Wastewater Treatment Plant (Lund, Sweden) underwent an initial pre-treatment stage to remove coarse solids and sand</w:t>
      </w:r>
      <w:r w:rsidR="00F554E4">
        <w:rPr>
          <w:rFonts w:cs="Arial"/>
          <w:szCs w:val="18"/>
          <w:lang w:val="en-US"/>
        </w:rPr>
        <w:t xml:space="preserve"> at the full-scale plant</w:t>
      </w:r>
      <w:r w:rsidR="00F554E4" w:rsidRPr="00F554E4">
        <w:rPr>
          <w:rFonts w:cs="Arial"/>
          <w:szCs w:val="18"/>
          <w:lang w:val="en-US"/>
        </w:rPr>
        <w:t>.</w:t>
      </w:r>
      <w:r w:rsidR="00F554E4">
        <w:rPr>
          <w:rFonts w:cs="Arial"/>
          <w:szCs w:val="18"/>
          <w:lang w:val="en-US"/>
        </w:rPr>
        <w:t xml:space="preserve"> </w:t>
      </w:r>
      <w:r w:rsidR="00F554E4" w:rsidRPr="00F554E4">
        <w:rPr>
          <w:rFonts w:cs="Arial"/>
          <w:szCs w:val="18"/>
          <w:lang w:val="en-US"/>
        </w:rPr>
        <w:t>The process began with mechanical screening, employing grids with gap widths between 2 and 10 mm to capture larger debris, such as rags and other non-biodegradable materials that could interfere with downstream processes</w:t>
      </w:r>
      <w:r w:rsidR="00633D58">
        <w:rPr>
          <w:rFonts w:cs="Arial"/>
          <w:szCs w:val="18"/>
          <w:lang w:val="en-US"/>
        </w:rPr>
        <w:t xml:space="preserve"> </w:t>
      </w:r>
      <w:r w:rsidR="00633D58" w:rsidRPr="00266837">
        <w:rPr>
          <w:rFonts w:cs="Arial"/>
          <w:szCs w:val="18"/>
          <w:lang w:val="en-US"/>
        </w:rPr>
        <w:t>(</w:t>
      </w:r>
      <w:r w:rsidR="00633D58">
        <w:rPr>
          <w:rFonts w:cs="Arial"/>
          <w:szCs w:val="18"/>
          <w:lang w:val="en-US"/>
        </w:rPr>
        <w:t>Ossiansson</w:t>
      </w:r>
      <w:r w:rsidR="00633D58" w:rsidRPr="00266837">
        <w:rPr>
          <w:rFonts w:cs="Arial"/>
          <w:szCs w:val="18"/>
          <w:lang w:val="en-US"/>
        </w:rPr>
        <w:t xml:space="preserve"> et al., 202</w:t>
      </w:r>
      <w:r w:rsidR="00633D58">
        <w:rPr>
          <w:rFonts w:cs="Arial"/>
          <w:szCs w:val="18"/>
          <w:lang w:val="en-US"/>
        </w:rPr>
        <w:t>3</w:t>
      </w:r>
      <w:r w:rsidR="00633D58" w:rsidRPr="00266837">
        <w:rPr>
          <w:rFonts w:cs="Arial"/>
          <w:szCs w:val="18"/>
          <w:lang w:val="en-US"/>
        </w:rPr>
        <w:t>)</w:t>
      </w:r>
      <w:r w:rsidR="00F554E4" w:rsidRPr="00F554E4">
        <w:rPr>
          <w:rFonts w:cs="Arial"/>
          <w:szCs w:val="18"/>
          <w:lang w:val="en-US"/>
        </w:rPr>
        <w:t>. Following this preliminary step, fine particle separation was performed using a Salsnes SF:2000 drum filter with a total filtration area of 2.4 m². This rotating belt filter</w:t>
      </w:r>
      <w:r w:rsidR="008D2677">
        <w:rPr>
          <w:rFonts w:cs="Arial"/>
          <w:szCs w:val="18"/>
          <w:lang w:val="en-US"/>
        </w:rPr>
        <w:t xml:space="preserve"> (</w:t>
      </w:r>
      <w:r w:rsidR="008D2677" w:rsidRPr="008D2677">
        <w:rPr>
          <w:rFonts w:cs="Arial"/>
          <w:i/>
          <w:iCs/>
          <w:szCs w:val="18"/>
          <w:lang w:val="en-US"/>
        </w:rPr>
        <w:t>Figure 1</w:t>
      </w:r>
      <w:r w:rsidR="008D2677">
        <w:rPr>
          <w:rFonts w:cs="Arial"/>
          <w:szCs w:val="18"/>
          <w:lang w:val="en-US"/>
        </w:rPr>
        <w:t>)</w:t>
      </w:r>
      <w:r w:rsidR="00F554E4" w:rsidRPr="00F554E4">
        <w:rPr>
          <w:rFonts w:cs="Arial"/>
          <w:szCs w:val="18"/>
          <w:lang w:val="en-US"/>
        </w:rPr>
        <w:t>, equipped with 350 μm mesh elements, was selected based on its ability to effectively retain suspended organic matter. Unlike conventional setups that incorporate chemical dosing, wastewater was filtered directly without prior coagulation or flocculation. Solids retained by the filter were continuously removed through backwashing and directed into a sludge collection channel. The operational hydraulic capacity of the filtration system was determined by the available filter area and influent flow conditions.</w:t>
      </w:r>
    </w:p>
    <w:p w14:paraId="5D3E5FFA" w14:textId="77777777" w:rsidR="003E4997" w:rsidRDefault="003E4997" w:rsidP="003E4997">
      <w:pPr>
        <w:pStyle w:val="Liststycke"/>
        <w:spacing w:line="276" w:lineRule="auto"/>
        <w:ind w:left="0"/>
        <w:mirrorIndents/>
        <w:rPr>
          <w:rFonts w:cs="Arial"/>
          <w:szCs w:val="18"/>
          <w:lang w:val="en-US"/>
        </w:rPr>
      </w:pPr>
    </w:p>
    <w:p w14:paraId="5935D678" w14:textId="77777777" w:rsidR="00F554E4" w:rsidRPr="00726EC1" w:rsidRDefault="00F554E4" w:rsidP="00681B04">
      <w:pPr>
        <w:spacing w:line="276" w:lineRule="auto"/>
        <w:contextualSpacing/>
        <w:mirrorIndents/>
        <w:rPr>
          <w:rFonts w:ascii="Segoe UI" w:hAnsi="Segoe UI" w:cs="Segoe UI"/>
          <w:sz w:val="22"/>
          <w:szCs w:val="22"/>
          <w:lang w:val="en-US"/>
        </w:rPr>
      </w:pPr>
      <w:r w:rsidRPr="00726EC1">
        <w:rPr>
          <w:rFonts w:ascii="Segoe UI" w:hAnsi="Segoe UI" w:cs="Segoe UI"/>
          <w:noProof/>
        </w:rPr>
        <w:drawing>
          <wp:inline distT="0" distB="0" distL="0" distR="0" wp14:anchorId="722FE4DA" wp14:editId="3363A955">
            <wp:extent cx="3340100" cy="1718707"/>
            <wp:effectExtent l="0" t="0" r="0" b="0"/>
            <wp:docPr id="1980429905" name="Bildobjekt 6" descr="En bild som visar maski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6" descr="En bild som visar maskin&#10;&#10;Automatiskt genererad beskrivning"/>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359410" cy="1728643"/>
                    </a:xfrm>
                    <a:prstGeom prst="rect">
                      <a:avLst/>
                    </a:prstGeom>
                    <a:noFill/>
                    <a:ln>
                      <a:noFill/>
                    </a:ln>
                  </pic:spPr>
                </pic:pic>
              </a:graphicData>
            </a:graphic>
          </wp:inline>
        </w:drawing>
      </w:r>
    </w:p>
    <w:p w14:paraId="0171ACEA" w14:textId="77777777" w:rsidR="00F554E4" w:rsidRPr="00726EC1" w:rsidRDefault="00F554E4" w:rsidP="00681B04">
      <w:pPr>
        <w:spacing w:line="276" w:lineRule="auto"/>
        <w:contextualSpacing/>
        <w:mirrorIndents/>
        <w:rPr>
          <w:rFonts w:ascii="Segoe UI" w:hAnsi="Segoe UI" w:cs="Segoe UI"/>
          <w:szCs w:val="18"/>
          <w:lang w:val="en-US"/>
        </w:rPr>
      </w:pPr>
    </w:p>
    <w:p w14:paraId="01032F08" w14:textId="59377977" w:rsidR="00F554E4" w:rsidRDefault="00F554E4" w:rsidP="00681B04">
      <w:pPr>
        <w:spacing w:line="276" w:lineRule="auto"/>
        <w:contextualSpacing/>
        <w:mirrorIndents/>
        <w:rPr>
          <w:rFonts w:cs="Arial"/>
          <w:i/>
          <w:iCs/>
          <w:szCs w:val="18"/>
          <w:lang w:val="en-US"/>
        </w:rPr>
      </w:pPr>
      <w:r w:rsidRPr="009F475C">
        <w:rPr>
          <w:rFonts w:cs="Arial"/>
          <w:i/>
          <w:iCs/>
          <w:szCs w:val="18"/>
          <w:lang w:val="en-US"/>
        </w:rPr>
        <w:t>Figure 1</w:t>
      </w:r>
      <w:r w:rsidR="009F475C" w:rsidRPr="009F475C">
        <w:rPr>
          <w:rFonts w:cs="Arial"/>
          <w:i/>
          <w:iCs/>
          <w:szCs w:val="18"/>
          <w:lang w:val="en-US"/>
        </w:rPr>
        <w:t>:</w:t>
      </w:r>
      <w:r w:rsidRPr="009F475C">
        <w:rPr>
          <w:rFonts w:cs="Arial"/>
          <w:i/>
          <w:iCs/>
          <w:szCs w:val="18"/>
          <w:lang w:val="en-US"/>
        </w:rPr>
        <w:t xml:space="preserve"> Salsnes SF:2000 drum filter, chemical-free pre-filtration Process</w:t>
      </w:r>
    </w:p>
    <w:p w14:paraId="3B9103E8" w14:textId="77777777" w:rsidR="000B2858" w:rsidRPr="000B2858" w:rsidRDefault="000B2858" w:rsidP="00681B04">
      <w:pPr>
        <w:spacing w:line="276" w:lineRule="auto"/>
        <w:contextualSpacing/>
        <w:mirrorIndents/>
        <w:rPr>
          <w:rFonts w:cs="Arial"/>
          <w:szCs w:val="18"/>
          <w:lang w:val="en-US"/>
        </w:rPr>
      </w:pPr>
    </w:p>
    <w:p w14:paraId="2103699D" w14:textId="26425398" w:rsidR="00C37061" w:rsidRDefault="00C37061" w:rsidP="00681B04">
      <w:pPr>
        <w:spacing w:after="80" w:line="276" w:lineRule="auto"/>
        <w:contextualSpacing/>
        <w:mirrorIndents/>
        <w:rPr>
          <w:rFonts w:cs="Arial"/>
          <w:szCs w:val="18"/>
          <w:lang w:val="en-US"/>
        </w:rPr>
      </w:pPr>
      <w:r w:rsidRPr="00C37061">
        <w:rPr>
          <w:rFonts w:cs="Arial"/>
          <w:szCs w:val="18"/>
          <w:lang w:val="en-US"/>
        </w:rPr>
        <w:t>The recovery of cellulose from retained solids was assessed by quantifying the organic fraction captured through the filtration process. To evaluate the hydrolysis potential of CPS, batch experiments were conducted</w:t>
      </w:r>
      <w:r>
        <w:rPr>
          <w:rFonts w:cs="Arial"/>
          <w:szCs w:val="18"/>
          <w:lang w:val="en-US"/>
        </w:rPr>
        <w:t xml:space="preserve"> on triplicates</w:t>
      </w:r>
      <w:r w:rsidRPr="00C37061">
        <w:rPr>
          <w:rFonts w:cs="Arial"/>
          <w:szCs w:val="18"/>
          <w:lang w:val="en-US"/>
        </w:rPr>
        <w:t xml:space="preserve"> in 5 L reactors under controlled </w:t>
      </w:r>
      <w:r>
        <w:rPr>
          <w:rFonts w:cs="Arial"/>
          <w:szCs w:val="18"/>
          <w:lang w:val="en-US"/>
        </w:rPr>
        <w:t xml:space="preserve">and non controlled </w:t>
      </w:r>
      <w:r w:rsidRPr="00C37061">
        <w:rPr>
          <w:rFonts w:cs="Arial"/>
          <w:szCs w:val="18"/>
          <w:lang w:val="en-US"/>
        </w:rPr>
        <w:t>conditions. Hydrolysis trials were performed at three different temperatures</w:t>
      </w:r>
      <w:r>
        <w:rPr>
          <w:rFonts w:cs="Arial"/>
          <w:szCs w:val="18"/>
          <w:lang w:val="en-US"/>
        </w:rPr>
        <w:t xml:space="preserve"> under different </w:t>
      </w:r>
      <w:r w:rsidRPr="00C37061">
        <w:rPr>
          <w:rFonts w:cs="Arial"/>
          <w:szCs w:val="18"/>
          <w:lang w:val="en-US"/>
        </w:rPr>
        <w:t xml:space="preserve">pH conditions: an unaltered control (CTRL), </w:t>
      </w:r>
      <w:r w:rsidR="00633D58" w:rsidRPr="00C37061">
        <w:rPr>
          <w:rFonts w:cs="Arial"/>
          <w:szCs w:val="18"/>
          <w:lang w:val="en-US"/>
        </w:rPr>
        <w:t xml:space="preserve">an unaltered </w:t>
      </w:r>
      <w:r w:rsidR="00633D58">
        <w:rPr>
          <w:rFonts w:cs="Arial"/>
          <w:szCs w:val="18"/>
          <w:lang w:val="en-US"/>
        </w:rPr>
        <w:t xml:space="preserve">pH </w:t>
      </w:r>
      <w:r w:rsidR="00633D58" w:rsidRPr="00C37061">
        <w:rPr>
          <w:rFonts w:cs="Arial"/>
          <w:szCs w:val="18"/>
          <w:lang w:val="en-US"/>
        </w:rPr>
        <w:t>control (</w:t>
      </w:r>
      <w:r w:rsidR="00633D58">
        <w:rPr>
          <w:rFonts w:cs="Arial"/>
          <w:szCs w:val="18"/>
          <w:lang w:val="en-US"/>
        </w:rPr>
        <w:t xml:space="preserve">NO pH </w:t>
      </w:r>
      <w:r w:rsidR="00633D58" w:rsidRPr="00C37061">
        <w:rPr>
          <w:rFonts w:cs="Arial"/>
          <w:szCs w:val="18"/>
          <w:lang w:val="en-US"/>
        </w:rPr>
        <w:t xml:space="preserve">CTRL), </w:t>
      </w:r>
      <w:r w:rsidRPr="00C37061">
        <w:rPr>
          <w:rFonts w:cs="Arial"/>
          <w:szCs w:val="18"/>
          <w:lang w:val="en-US"/>
        </w:rPr>
        <w:t xml:space="preserve">acidic (pH 4), and alkaline (pH 12). Retention times of </w:t>
      </w:r>
      <w:r>
        <w:rPr>
          <w:rFonts w:cs="Arial"/>
          <w:szCs w:val="18"/>
          <w:lang w:val="en-US"/>
        </w:rPr>
        <w:t>1</w:t>
      </w:r>
      <w:r w:rsidRPr="00C37061">
        <w:rPr>
          <w:rFonts w:cs="Arial"/>
          <w:szCs w:val="18"/>
          <w:lang w:val="en-US"/>
        </w:rPr>
        <w:t xml:space="preserve"> and </w:t>
      </w:r>
      <w:r>
        <w:rPr>
          <w:rFonts w:cs="Arial"/>
          <w:szCs w:val="18"/>
          <w:lang w:val="en-US"/>
        </w:rPr>
        <w:t>2</w:t>
      </w:r>
      <w:r w:rsidRPr="00C37061">
        <w:rPr>
          <w:rFonts w:cs="Arial"/>
          <w:szCs w:val="18"/>
          <w:lang w:val="en-US"/>
        </w:rPr>
        <w:t xml:space="preserve"> </w:t>
      </w:r>
      <w:r>
        <w:rPr>
          <w:rFonts w:cs="Arial"/>
          <w:szCs w:val="18"/>
          <w:lang w:val="en-US"/>
        </w:rPr>
        <w:t>days</w:t>
      </w:r>
      <w:r w:rsidRPr="00C37061">
        <w:rPr>
          <w:rFonts w:cs="Arial"/>
          <w:szCs w:val="18"/>
          <w:lang w:val="en-US"/>
        </w:rPr>
        <w:t xml:space="preserve"> were investigated to determine the influence of reaction time on cellulose degradation and the composition of the hydrolysate.</w:t>
      </w:r>
      <w:r>
        <w:rPr>
          <w:rFonts w:cs="Arial"/>
          <w:szCs w:val="18"/>
          <w:lang w:val="en-US"/>
        </w:rPr>
        <w:t xml:space="preserve"> </w:t>
      </w:r>
    </w:p>
    <w:p w14:paraId="281F9703" w14:textId="535B7408" w:rsidR="00C37061" w:rsidRDefault="00C37061" w:rsidP="00681B04">
      <w:pPr>
        <w:spacing w:after="80" w:line="276" w:lineRule="auto"/>
        <w:contextualSpacing/>
        <w:mirrorIndents/>
        <w:rPr>
          <w:rFonts w:cs="Arial"/>
          <w:szCs w:val="18"/>
          <w:lang w:val="en-US"/>
        </w:rPr>
      </w:pPr>
      <w:r w:rsidRPr="00C37061">
        <w:rPr>
          <w:rFonts w:cs="Arial"/>
          <w:szCs w:val="18"/>
          <w:lang w:val="en-US"/>
        </w:rPr>
        <w:t xml:space="preserve">The pre-treatment step aimed to solubilize organic matter, including volatile solids (VS) and cellulose present in CPS, thereby increasing glucose concentrations and soluble chemical oxygen demand in the liquid phase. </w:t>
      </w:r>
      <w:r w:rsidRPr="00C37061">
        <w:rPr>
          <w:rFonts w:cs="Arial"/>
          <w:szCs w:val="18"/>
          <w:lang w:val="en-US"/>
        </w:rPr>
        <w:lastRenderedPageBreak/>
        <w:t>Alkaline and acidic hydrolysis tests were performed by adjusting the pH to 12 and 4 using 3.0 M NaOH and H</w:t>
      </w:r>
      <w:r w:rsidRPr="00C37061">
        <w:rPr>
          <w:rFonts w:ascii="Cambria Math" w:hAnsi="Cambria Math" w:cs="Cambria Math"/>
          <w:szCs w:val="18"/>
          <w:lang w:val="en-US"/>
        </w:rPr>
        <w:t>₂</w:t>
      </w:r>
      <w:r w:rsidRPr="00C37061">
        <w:rPr>
          <w:rFonts w:cs="Arial"/>
          <w:szCs w:val="18"/>
          <w:lang w:val="en-US"/>
        </w:rPr>
        <w:t>SO</w:t>
      </w:r>
      <w:r w:rsidRPr="00C37061">
        <w:rPr>
          <w:rFonts w:ascii="Cambria Math" w:hAnsi="Cambria Math" w:cs="Cambria Math"/>
          <w:szCs w:val="18"/>
          <w:lang w:val="en-US"/>
        </w:rPr>
        <w:t>₄</w:t>
      </w:r>
      <w:r w:rsidRPr="00C37061">
        <w:rPr>
          <w:rFonts w:cs="Arial"/>
          <w:szCs w:val="18"/>
          <w:lang w:val="en-US"/>
        </w:rPr>
        <w:t xml:space="preserve"> solutions, respectively. Thermal pre-treatment was carried out with temperature control maintained through a temperature-controlled chamber. For the combined pre-treatment approach, the pH was set to 12.0 </w:t>
      </w:r>
      <w:r>
        <w:rPr>
          <w:rFonts w:cs="Arial"/>
          <w:szCs w:val="18"/>
          <w:lang w:val="en-US"/>
        </w:rPr>
        <w:t xml:space="preserve">or 4.0 </w:t>
      </w:r>
      <w:r w:rsidR="00BA4676">
        <w:rPr>
          <w:rFonts w:cs="Arial"/>
          <w:szCs w:val="18"/>
          <w:lang w:val="en-US"/>
        </w:rPr>
        <w:t xml:space="preserve">or without adjustment, </w:t>
      </w:r>
      <w:r w:rsidRPr="00C37061">
        <w:rPr>
          <w:rFonts w:cs="Arial"/>
          <w:szCs w:val="18"/>
          <w:lang w:val="en-US"/>
        </w:rPr>
        <w:t>while temperature was controlled at 55°C, as well as at 38°C and 20°C. Each experimental condition was tested in triplicate using 5.0 L glass bottles, with reaction times of 24 and 48 hours.</w:t>
      </w:r>
    </w:p>
    <w:p w14:paraId="50F2DE21" w14:textId="7314DA93" w:rsidR="00C37061" w:rsidRPr="00F554E4" w:rsidRDefault="00C37061" w:rsidP="00DB11B5">
      <w:pPr>
        <w:spacing w:after="80" w:line="276" w:lineRule="auto"/>
        <w:contextualSpacing/>
        <w:mirrorIndents/>
        <w:rPr>
          <w:rFonts w:cs="Arial"/>
          <w:szCs w:val="18"/>
          <w:lang w:val="en-US"/>
        </w:rPr>
      </w:pPr>
      <w:r w:rsidRPr="00C37061">
        <w:rPr>
          <w:rFonts w:cs="Arial"/>
          <w:szCs w:val="18"/>
          <w:lang w:val="en-US"/>
        </w:rPr>
        <w:t xml:space="preserve">In addition to laboratory experiments, a study was conducted based on </w:t>
      </w:r>
      <w:r w:rsidR="00BA4676">
        <w:rPr>
          <w:rFonts w:cs="Arial"/>
          <w:szCs w:val="18"/>
          <w:lang w:val="en-US"/>
        </w:rPr>
        <w:t xml:space="preserve">real </w:t>
      </w:r>
      <w:r w:rsidRPr="00C37061">
        <w:rPr>
          <w:rFonts w:cs="Arial"/>
          <w:szCs w:val="18"/>
          <w:lang w:val="en-US"/>
        </w:rPr>
        <w:t xml:space="preserve">annual data </w:t>
      </w:r>
      <w:r w:rsidR="00827639">
        <w:rPr>
          <w:rFonts w:cs="Arial"/>
          <w:szCs w:val="18"/>
          <w:lang w:val="en-US"/>
        </w:rPr>
        <w:t xml:space="preserve">(2023) </w:t>
      </w:r>
      <w:r w:rsidRPr="00C37061">
        <w:rPr>
          <w:rFonts w:cs="Arial"/>
          <w:szCs w:val="18"/>
          <w:lang w:val="en-US"/>
        </w:rPr>
        <w:t>from a municipal WWTP designed for 150,000 population equivalents (PE)</w:t>
      </w:r>
      <w:r w:rsidR="00827639">
        <w:rPr>
          <w:rFonts w:cs="Arial"/>
          <w:szCs w:val="18"/>
          <w:lang w:val="en-US"/>
        </w:rPr>
        <w:t xml:space="preserve">. </w:t>
      </w:r>
      <w:r w:rsidRPr="00C37061">
        <w:rPr>
          <w:rFonts w:cs="Arial"/>
          <w:szCs w:val="18"/>
          <w:lang w:val="en-US"/>
        </w:rPr>
        <w:t>The WWTP employed an activated sludge system with enhanced biological phosphorus removal (EBPR). CPS was characterized to assess its contribution to the organic load of the plant, providing insight into its potential for resource recovery</w:t>
      </w:r>
      <w:r w:rsidR="00827639">
        <w:rPr>
          <w:rFonts w:cs="Arial"/>
          <w:szCs w:val="18"/>
          <w:lang w:val="en-US"/>
        </w:rPr>
        <w:t xml:space="preserve"> and energy consumption optimization</w:t>
      </w:r>
      <w:r w:rsidRPr="00C37061">
        <w:rPr>
          <w:rFonts w:cs="Arial"/>
          <w:szCs w:val="18"/>
          <w:lang w:val="en-US"/>
        </w:rPr>
        <w:t>.</w:t>
      </w:r>
    </w:p>
    <w:p w14:paraId="0636B784" w14:textId="3B3ED986" w:rsidR="00453E24" w:rsidRDefault="00D33498" w:rsidP="00681B04">
      <w:pPr>
        <w:pStyle w:val="CETheadingx"/>
        <w:spacing w:line="276" w:lineRule="auto"/>
        <w:contextualSpacing/>
        <w:mirrorIndents/>
      </w:pPr>
      <w:r>
        <w:t>Analytical methods</w:t>
      </w:r>
    </w:p>
    <w:p w14:paraId="3BB3B455" w14:textId="53B49585" w:rsidR="004B1293" w:rsidRDefault="00827639" w:rsidP="00CA34FF">
      <w:pPr>
        <w:pStyle w:val="Liststycke"/>
        <w:spacing w:after="80" w:line="276" w:lineRule="auto"/>
        <w:ind w:left="0"/>
        <w:mirrorIndents/>
        <w:rPr>
          <w:rFonts w:cs="Arial"/>
          <w:szCs w:val="18"/>
          <w:lang w:val="en-US"/>
        </w:rPr>
      </w:pPr>
      <w:r w:rsidRPr="00827639">
        <w:rPr>
          <w:rFonts w:cs="Arial"/>
          <w:szCs w:val="18"/>
          <w:lang w:val="en-US"/>
        </w:rPr>
        <w:t>Samples were collected at the beginning and end of each experiment for the analysis of chemical oxygen demand (COD), soluble COD (sCOD), total suspended solids (TSS), cellulose content</w:t>
      </w:r>
      <w:r w:rsidR="00B2520D">
        <w:rPr>
          <w:rFonts w:cs="Arial"/>
          <w:szCs w:val="18"/>
          <w:lang w:val="en-US"/>
        </w:rPr>
        <w:t xml:space="preserve"> as </w:t>
      </w:r>
      <w:r w:rsidRPr="00827639">
        <w:rPr>
          <w:rFonts w:cs="Arial"/>
          <w:szCs w:val="18"/>
          <w:lang w:val="en-US"/>
        </w:rPr>
        <w:t>glucose and other sugars content, along with pH measurements. During sampling, the bottles were opened and maintained under a nitrogen (N</w:t>
      </w:r>
      <w:r w:rsidRPr="00827639">
        <w:rPr>
          <w:rFonts w:ascii="Cambria Math" w:hAnsi="Cambria Math" w:cs="Cambria Math"/>
          <w:szCs w:val="18"/>
          <w:lang w:val="en-US"/>
        </w:rPr>
        <w:t>₂</w:t>
      </w:r>
      <w:r w:rsidRPr="00827639">
        <w:rPr>
          <w:rFonts w:cs="Arial"/>
          <w:szCs w:val="18"/>
          <w:lang w:val="en-US"/>
        </w:rPr>
        <w:t>) flux for 15 minutes to restore anaerobic conditions.</w:t>
      </w:r>
      <w:r w:rsidR="00CA34FF">
        <w:rPr>
          <w:rFonts w:cs="Arial"/>
          <w:szCs w:val="18"/>
          <w:lang w:val="en-US"/>
        </w:rPr>
        <w:t xml:space="preserve"> </w:t>
      </w:r>
      <w:r w:rsidR="00D33498" w:rsidRPr="00D33498">
        <w:rPr>
          <w:rFonts w:cs="Arial"/>
          <w:szCs w:val="18"/>
          <w:lang w:val="en-US"/>
        </w:rPr>
        <w:t xml:space="preserve">For the quantification of total suspended solids TSS, sCOD the analyses were performed in accordance with Standard Methods (APHA et al. 1998). The analysis of cellulose content, as glucose, xylose and eventually other sugars, in the hydrolyzed sludge </w:t>
      </w:r>
      <w:r w:rsidR="00B2520D">
        <w:rPr>
          <w:rFonts w:cs="Arial"/>
          <w:szCs w:val="18"/>
          <w:lang w:val="en-US"/>
        </w:rPr>
        <w:t xml:space="preserve">and the CPS substrate </w:t>
      </w:r>
      <w:r w:rsidR="00D33498" w:rsidRPr="00D33498">
        <w:rPr>
          <w:rFonts w:cs="Arial"/>
          <w:szCs w:val="18"/>
          <w:lang w:val="en-US"/>
        </w:rPr>
        <w:t>followed a standardized protocol commonly used for plant-derived materials in environmental studies (Suiter et al., 2008).</w:t>
      </w:r>
    </w:p>
    <w:p w14:paraId="3A6EBFC0" w14:textId="77777777" w:rsidR="00DA4518" w:rsidRPr="00DA4518" w:rsidRDefault="00DA4518" w:rsidP="00DA4518">
      <w:pPr>
        <w:pStyle w:val="Liststycke"/>
        <w:spacing w:line="276" w:lineRule="auto"/>
        <w:ind w:left="0"/>
        <w:mirrorIndents/>
        <w:rPr>
          <w:rFonts w:cs="Arial"/>
          <w:szCs w:val="18"/>
          <w:lang w:val="en-US"/>
        </w:rPr>
      </w:pPr>
    </w:p>
    <w:p w14:paraId="781A044E" w14:textId="77777777" w:rsidR="004B1293" w:rsidRDefault="004B1293" w:rsidP="00681B04">
      <w:pPr>
        <w:widowControl w:val="0"/>
        <w:tabs>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line="276" w:lineRule="auto"/>
        <w:contextualSpacing/>
        <w:mirrorIndents/>
        <w:rPr>
          <w:rFonts w:cs="Arial"/>
          <w:szCs w:val="18"/>
        </w:rPr>
      </w:pPr>
      <w:r w:rsidRPr="00615CF9">
        <w:rPr>
          <w:rFonts w:cs="Arial"/>
          <w:noProof/>
          <w:szCs w:val="18"/>
        </w:rPr>
        <w:drawing>
          <wp:inline distT="0" distB="0" distL="0" distR="0" wp14:anchorId="192425F7" wp14:editId="392A3202">
            <wp:extent cx="5118056" cy="2438400"/>
            <wp:effectExtent l="0" t="0" r="6985" b="0"/>
            <wp:docPr id="1628845332" name="Immagine 1628845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rcRect l="5555" t="8504" r="5255" b="8504"/>
                    <a:stretch>
                      <a:fillRect/>
                    </a:stretch>
                  </pic:blipFill>
                  <pic:spPr>
                    <a:xfrm>
                      <a:off x="0" y="0"/>
                      <a:ext cx="5118056" cy="2438400"/>
                    </a:xfrm>
                    <a:prstGeom prst="rect">
                      <a:avLst/>
                    </a:prstGeom>
                  </pic:spPr>
                </pic:pic>
              </a:graphicData>
            </a:graphic>
          </wp:inline>
        </w:drawing>
      </w:r>
    </w:p>
    <w:p w14:paraId="3ADFEDD4" w14:textId="32B005C4" w:rsidR="004B1293" w:rsidRPr="00CA34FF" w:rsidRDefault="004B1293" w:rsidP="00CA34FF">
      <w:pPr>
        <w:widowControl w:val="0"/>
        <w:tabs>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line="276" w:lineRule="auto"/>
        <w:contextualSpacing/>
        <w:mirrorIndents/>
        <w:rPr>
          <w:rFonts w:cs="Arial"/>
          <w:i/>
          <w:iCs/>
          <w:szCs w:val="18"/>
        </w:rPr>
      </w:pPr>
      <w:r w:rsidRPr="004B1293">
        <w:rPr>
          <w:rFonts w:cs="Arial"/>
          <w:i/>
          <w:iCs/>
          <w:szCs w:val="18"/>
        </w:rPr>
        <w:t>Figure 2: REFRAME process scheme</w:t>
      </w:r>
    </w:p>
    <w:p w14:paraId="677EBFF0" w14:textId="50D33F24" w:rsidR="00600535" w:rsidRPr="00DB11B5" w:rsidRDefault="004B1293" w:rsidP="00DB11B5">
      <w:pPr>
        <w:pStyle w:val="CETHeading1"/>
        <w:numPr>
          <w:ilvl w:val="1"/>
          <w:numId w:val="24"/>
        </w:numPr>
        <w:rPr>
          <w:lang w:val="en-GB"/>
        </w:rPr>
      </w:pPr>
      <w:r w:rsidRPr="00DB11B5">
        <w:rPr>
          <w:lang w:val="en-GB"/>
        </w:rPr>
        <w:t>Results and discussion</w:t>
      </w:r>
    </w:p>
    <w:p w14:paraId="3627EBA7" w14:textId="77777777" w:rsidR="00C728A9" w:rsidRDefault="00C728A9" w:rsidP="00681B04">
      <w:pPr>
        <w:pStyle w:val="CETheadingx"/>
        <w:spacing w:line="276" w:lineRule="auto"/>
        <w:contextualSpacing/>
        <w:mirrorIndents/>
        <w:rPr>
          <w:rFonts w:cs="Arial"/>
          <w:szCs w:val="18"/>
        </w:rPr>
      </w:pPr>
      <w:r w:rsidRPr="00601365">
        <w:rPr>
          <w:rFonts w:cs="Arial"/>
          <w:szCs w:val="18"/>
        </w:rPr>
        <w:t xml:space="preserve">Cellulose </w:t>
      </w:r>
      <w:r w:rsidRPr="00C728A9">
        <w:rPr>
          <w:rFonts w:cs="Arial"/>
          <w:szCs w:val="18"/>
        </w:rPr>
        <w:t>h</w:t>
      </w:r>
      <w:r w:rsidRPr="00601365">
        <w:rPr>
          <w:rFonts w:cs="Arial"/>
          <w:szCs w:val="18"/>
        </w:rPr>
        <w:t xml:space="preserve">ydrolysis </w:t>
      </w:r>
      <w:r w:rsidRPr="00C728A9">
        <w:rPr>
          <w:rFonts w:cs="Arial"/>
          <w:szCs w:val="18"/>
        </w:rPr>
        <w:t>e</w:t>
      </w:r>
      <w:r w:rsidRPr="00601365">
        <w:rPr>
          <w:rFonts w:cs="Arial"/>
          <w:szCs w:val="18"/>
        </w:rPr>
        <w:t>fficiency</w:t>
      </w:r>
    </w:p>
    <w:p w14:paraId="4A622EFC" w14:textId="424465B7" w:rsidR="00D57A95" w:rsidRPr="00DB11B5" w:rsidRDefault="00527B94" w:rsidP="00DB11B5">
      <w:pPr>
        <w:pStyle w:val="CETBodytext"/>
        <w:spacing w:line="276" w:lineRule="auto"/>
        <w:contextualSpacing/>
        <w:mirrorIndents/>
        <w:rPr>
          <w:rFonts w:cs="Arial"/>
          <w:szCs w:val="18"/>
        </w:rPr>
      </w:pPr>
      <w:r>
        <w:rPr>
          <w:rFonts w:cs="Arial"/>
          <w:szCs w:val="18"/>
        </w:rPr>
        <w:t>The characteristics of CPS are</w:t>
      </w:r>
      <w:r w:rsidR="008679EF">
        <w:rPr>
          <w:rFonts w:cs="Arial"/>
          <w:szCs w:val="18"/>
        </w:rPr>
        <w:t xml:space="preserve"> summarized in table 1. </w:t>
      </w:r>
      <w:r w:rsidR="00C728A9" w:rsidRPr="00601365">
        <w:rPr>
          <w:rFonts w:cs="Arial"/>
          <w:szCs w:val="18"/>
        </w:rPr>
        <w:t xml:space="preserve">The hydrolysis of </w:t>
      </w:r>
      <w:r w:rsidR="00AF4B86">
        <w:rPr>
          <w:rFonts w:cs="Arial"/>
          <w:szCs w:val="18"/>
        </w:rPr>
        <w:t>CPS</w:t>
      </w:r>
      <w:r w:rsidR="00C728A9" w:rsidRPr="00601365">
        <w:rPr>
          <w:rFonts w:cs="Arial"/>
          <w:szCs w:val="18"/>
        </w:rPr>
        <w:t xml:space="preserve"> was assessed under various </w:t>
      </w:r>
      <w:r w:rsidR="00DA4518" w:rsidRPr="00601365">
        <w:rPr>
          <w:rFonts w:cs="Arial"/>
          <w:szCs w:val="18"/>
        </w:rPr>
        <w:t>temperatures</w:t>
      </w:r>
      <w:r w:rsidR="00C728A9" w:rsidRPr="00601365">
        <w:rPr>
          <w:rFonts w:cs="Arial"/>
          <w:szCs w:val="18"/>
        </w:rPr>
        <w:t>, pH, and retention time conditions to determine their impact on cellulose degradation, glucose and xylose production, and the generation of soluble organic compounds. The results demonstrated that temperature and pH were the most influential parameters, with trends in TSS reduction</w:t>
      </w:r>
      <w:r w:rsidR="00AF4B86">
        <w:rPr>
          <w:rFonts w:cs="Arial"/>
          <w:szCs w:val="18"/>
        </w:rPr>
        <w:t xml:space="preserve"> and notable decrease of cellulose concentration</w:t>
      </w:r>
      <w:r w:rsidR="00C728A9" w:rsidRPr="00601365">
        <w:rPr>
          <w:rFonts w:cs="Arial"/>
          <w:szCs w:val="18"/>
        </w:rPr>
        <w:t xml:space="preserve"> and </w:t>
      </w:r>
      <w:r w:rsidR="00C53EE5">
        <w:rPr>
          <w:rFonts w:cs="Arial"/>
          <w:szCs w:val="18"/>
        </w:rPr>
        <w:t>s</w:t>
      </w:r>
      <w:r w:rsidR="00C728A9" w:rsidRPr="00601365">
        <w:rPr>
          <w:rFonts w:cs="Arial"/>
          <w:szCs w:val="18"/>
        </w:rPr>
        <w:t>COD increase, both of which indicate the extent of hydrolysis.</w:t>
      </w:r>
      <w:r w:rsidR="00172C8B">
        <w:rPr>
          <w:rFonts w:cs="Arial"/>
          <w:szCs w:val="18"/>
        </w:rPr>
        <w:t xml:space="preserve"> </w:t>
      </w:r>
      <w:r w:rsidR="00172C8B" w:rsidRPr="007F457D">
        <w:rPr>
          <w:rFonts w:cs="Arial"/>
          <w:szCs w:val="18"/>
        </w:rPr>
        <w:t xml:space="preserve">CTRL </w:t>
      </w:r>
      <w:r w:rsidR="007F457D">
        <w:rPr>
          <w:rFonts w:cs="Arial"/>
          <w:szCs w:val="18"/>
        </w:rPr>
        <w:t>stands for</w:t>
      </w:r>
      <w:r w:rsidR="007F457D" w:rsidRPr="007F457D">
        <w:rPr>
          <w:rFonts w:cs="Arial"/>
          <w:szCs w:val="18"/>
        </w:rPr>
        <w:t xml:space="preserve"> </w:t>
      </w:r>
      <w:r w:rsidR="00172C8B" w:rsidRPr="007F457D">
        <w:t xml:space="preserve">untreated </w:t>
      </w:r>
      <w:r w:rsidR="007660B4">
        <w:t xml:space="preserve">sample </w:t>
      </w:r>
      <w:r w:rsidR="00172C8B" w:rsidRPr="007F457D">
        <w:t>control</w:t>
      </w:r>
      <w:r w:rsidR="007F457D" w:rsidRPr="007F457D">
        <w:t xml:space="preserve"> (</w:t>
      </w:r>
      <w:r w:rsidR="00C94A23">
        <w:t xml:space="preserve">red column, </w:t>
      </w:r>
      <w:r w:rsidR="00032AAA">
        <w:t xml:space="preserve">cellulose, </w:t>
      </w:r>
      <w:r w:rsidR="007F457D" w:rsidRPr="004B1293">
        <w:rPr>
          <w:rFonts w:cs="Arial"/>
          <w:i/>
          <w:iCs/>
          <w:szCs w:val="18"/>
        </w:rPr>
        <w:t xml:space="preserve">Figure </w:t>
      </w:r>
      <w:r w:rsidR="007F457D">
        <w:rPr>
          <w:rFonts w:cs="Arial"/>
          <w:i/>
          <w:iCs/>
          <w:szCs w:val="18"/>
        </w:rPr>
        <w:t>3</w:t>
      </w:r>
      <w:r w:rsidR="007F457D" w:rsidRPr="007F457D">
        <w:rPr>
          <w:rFonts w:cs="Arial"/>
          <w:szCs w:val="18"/>
        </w:rPr>
        <w:t>)</w:t>
      </w:r>
      <w:r w:rsidR="007F457D" w:rsidRPr="007F457D">
        <w:t>.</w:t>
      </w:r>
    </w:p>
    <w:p w14:paraId="33B1472C" w14:textId="77777777" w:rsidR="00D57A95" w:rsidRPr="00B57B36" w:rsidRDefault="00D57A95" w:rsidP="00D57A95">
      <w:pPr>
        <w:pStyle w:val="CETTabletitle"/>
        <w:spacing w:line="276" w:lineRule="auto"/>
        <w:contextualSpacing/>
        <w:mirrorIndents/>
      </w:pPr>
      <w:r w:rsidRPr="00B57B36">
        <w:t xml:space="preserve">Table 1: </w:t>
      </w:r>
      <w:r>
        <w:t>Cellulosic primary sludge characteristics</w:t>
      </w:r>
    </w:p>
    <w:tbl>
      <w:tblPr>
        <w:tblW w:w="0" w:type="auto"/>
        <w:tblBorders>
          <w:top w:val="single" w:sz="12" w:space="0" w:color="008000"/>
          <w:bottom w:val="single" w:sz="12" w:space="0" w:color="008000"/>
        </w:tblBorders>
        <w:shd w:val="clear" w:color="auto" w:fill="FFFFFF"/>
        <w:tblLayout w:type="fixed"/>
        <w:tblCellMar>
          <w:left w:w="0" w:type="dxa"/>
          <w:right w:w="0" w:type="dxa"/>
        </w:tblCellMar>
        <w:tblLook w:val="00A0" w:firstRow="1" w:lastRow="0" w:firstColumn="1" w:lastColumn="0" w:noHBand="0" w:noVBand="0"/>
      </w:tblPr>
      <w:tblGrid>
        <w:gridCol w:w="2268"/>
        <w:gridCol w:w="2268"/>
        <w:gridCol w:w="1319"/>
      </w:tblGrid>
      <w:tr w:rsidR="00D57A95" w:rsidRPr="00092CAB" w14:paraId="5A1D1660" w14:textId="77777777" w:rsidTr="0011515C">
        <w:trPr>
          <w:trHeight w:val="254"/>
        </w:trPr>
        <w:tc>
          <w:tcPr>
            <w:tcW w:w="2268" w:type="dxa"/>
            <w:tcBorders>
              <w:top w:val="single" w:sz="12" w:space="0" w:color="008000"/>
              <w:bottom w:val="single" w:sz="6" w:space="0" w:color="008000"/>
            </w:tcBorders>
            <w:shd w:val="clear" w:color="auto" w:fill="FFFFFF"/>
          </w:tcPr>
          <w:p w14:paraId="330443B8" w14:textId="77777777" w:rsidR="00D57A95" w:rsidRPr="00092CAB" w:rsidRDefault="00D57A95" w:rsidP="0011515C">
            <w:pPr>
              <w:pStyle w:val="CETBodytext"/>
              <w:spacing w:line="276" w:lineRule="auto"/>
              <w:contextualSpacing/>
              <w:mirrorIndents/>
              <w:rPr>
                <w:lang w:val="en-GB"/>
              </w:rPr>
            </w:pPr>
            <w:r w:rsidRPr="00092CAB">
              <w:rPr>
                <w:lang w:val="en-GB"/>
              </w:rPr>
              <w:t xml:space="preserve">Parameter </w:t>
            </w:r>
          </w:p>
        </w:tc>
        <w:tc>
          <w:tcPr>
            <w:tcW w:w="2268" w:type="dxa"/>
            <w:tcBorders>
              <w:top w:val="single" w:sz="12" w:space="0" w:color="008000"/>
              <w:bottom w:val="single" w:sz="6" w:space="0" w:color="008000"/>
            </w:tcBorders>
            <w:shd w:val="clear" w:color="auto" w:fill="FFFFFF"/>
          </w:tcPr>
          <w:p w14:paraId="45A6B06D" w14:textId="77777777" w:rsidR="00D57A95" w:rsidRPr="00092CAB" w:rsidRDefault="00D57A95" w:rsidP="0011515C">
            <w:pPr>
              <w:pStyle w:val="CETBodytext"/>
              <w:spacing w:line="276" w:lineRule="auto"/>
              <w:contextualSpacing/>
              <w:mirrorIndents/>
              <w:rPr>
                <w:lang w:val="en-GB"/>
              </w:rPr>
            </w:pPr>
            <w:r w:rsidRPr="00092CAB">
              <w:rPr>
                <w:lang w:val="en-GB"/>
              </w:rPr>
              <w:t>Value</w:t>
            </w:r>
          </w:p>
        </w:tc>
        <w:tc>
          <w:tcPr>
            <w:tcW w:w="1319" w:type="dxa"/>
            <w:tcBorders>
              <w:top w:val="single" w:sz="12" w:space="0" w:color="008000"/>
              <w:bottom w:val="single" w:sz="6" w:space="0" w:color="008000"/>
            </w:tcBorders>
            <w:shd w:val="clear" w:color="auto" w:fill="FFFFFF"/>
          </w:tcPr>
          <w:p w14:paraId="26CB237C" w14:textId="77777777" w:rsidR="00D57A95" w:rsidRPr="00092CAB" w:rsidRDefault="00D57A95" w:rsidP="0011515C">
            <w:pPr>
              <w:pStyle w:val="CETBodytext"/>
              <w:spacing w:line="276" w:lineRule="auto"/>
              <w:contextualSpacing/>
              <w:mirrorIndents/>
              <w:rPr>
                <w:lang w:val="en-GB"/>
              </w:rPr>
            </w:pPr>
            <w:r w:rsidRPr="00092CAB">
              <w:rPr>
                <w:lang w:val="en-GB"/>
              </w:rPr>
              <w:t>%</w:t>
            </w:r>
          </w:p>
        </w:tc>
      </w:tr>
      <w:tr w:rsidR="00D57A95" w:rsidRPr="00092CAB" w14:paraId="0FD0757D" w14:textId="77777777" w:rsidTr="0011515C">
        <w:trPr>
          <w:trHeight w:val="1053"/>
        </w:trPr>
        <w:tc>
          <w:tcPr>
            <w:tcW w:w="2268" w:type="dxa"/>
            <w:shd w:val="clear" w:color="auto" w:fill="FFFFFF"/>
          </w:tcPr>
          <w:p w14:paraId="28F041E9" w14:textId="77777777" w:rsidR="00D57A95" w:rsidRPr="00092CAB" w:rsidRDefault="00D57A95" w:rsidP="0011515C">
            <w:pPr>
              <w:pStyle w:val="CETBodytext"/>
              <w:spacing w:line="276" w:lineRule="auto"/>
              <w:contextualSpacing/>
              <w:mirrorIndents/>
              <w:rPr>
                <w:lang w:val="en-GB"/>
              </w:rPr>
            </w:pPr>
            <w:r w:rsidRPr="00092CAB">
              <w:rPr>
                <w:lang w:val="en-GB"/>
              </w:rPr>
              <w:t>Total Solids (TS)</w:t>
            </w:r>
          </w:p>
          <w:p w14:paraId="241D43BD" w14:textId="77777777" w:rsidR="00D57A95" w:rsidRPr="00092CAB" w:rsidRDefault="00D57A95" w:rsidP="0011515C">
            <w:pPr>
              <w:pStyle w:val="CETBodytext"/>
              <w:spacing w:line="276" w:lineRule="auto"/>
              <w:contextualSpacing/>
              <w:mirrorIndents/>
              <w:rPr>
                <w:lang w:val="en-GB"/>
              </w:rPr>
            </w:pPr>
            <w:r w:rsidRPr="00092CAB">
              <w:rPr>
                <w:lang w:val="en-GB"/>
              </w:rPr>
              <w:t>Volatile Solids (VS)</w:t>
            </w:r>
          </w:p>
          <w:p w14:paraId="11BC7710" w14:textId="77777777" w:rsidR="00D57A95" w:rsidRPr="00092CAB" w:rsidRDefault="00D57A95" w:rsidP="0011515C">
            <w:pPr>
              <w:pStyle w:val="CETBodytext"/>
              <w:spacing w:line="276" w:lineRule="auto"/>
              <w:contextualSpacing/>
              <w:mirrorIndents/>
              <w:rPr>
                <w:lang w:val="en-GB"/>
              </w:rPr>
            </w:pPr>
            <w:r w:rsidRPr="00092CAB">
              <w:rPr>
                <w:lang w:val="en-GB"/>
              </w:rPr>
              <w:t>VS/TS ratio</w:t>
            </w:r>
          </w:p>
          <w:p w14:paraId="06306CA5" w14:textId="77777777" w:rsidR="00D57A95" w:rsidRPr="00092CAB" w:rsidRDefault="00D57A95" w:rsidP="0011515C">
            <w:pPr>
              <w:pStyle w:val="CETBodytext"/>
              <w:spacing w:line="276" w:lineRule="auto"/>
              <w:contextualSpacing/>
              <w:mirrorIndents/>
              <w:rPr>
                <w:lang w:val="en-GB"/>
              </w:rPr>
            </w:pPr>
            <w:r w:rsidRPr="00092CAB">
              <w:rPr>
                <w:lang w:val="en-GB"/>
              </w:rPr>
              <w:t xml:space="preserve">Cellulose </w:t>
            </w:r>
          </w:p>
        </w:tc>
        <w:tc>
          <w:tcPr>
            <w:tcW w:w="2268" w:type="dxa"/>
            <w:shd w:val="clear" w:color="auto" w:fill="FFFFFF"/>
          </w:tcPr>
          <w:p w14:paraId="0AC4A287" w14:textId="77777777" w:rsidR="00D57A95" w:rsidRPr="00092CAB" w:rsidRDefault="00D57A95" w:rsidP="0011515C">
            <w:pPr>
              <w:pStyle w:val="CETBodytext"/>
              <w:spacing w:line="276" w:lineRule="auto"/>
              <w:contextualSpacing/>
              <w:mirrorIndents/>
              <w:rPr>
                <w:rFonts w:cs="Arial"/>
                <w:szCs w:val="18"/>
              </w:rPr>
            </w:pPr>
            <w:r w:rsidRPr="00092CAB">
              <w:rPr>
                <w:lang w:val="en-GB"/>
              </w:rPr>
              <w:t xml:space="preserve">50,373 mg/L </w:t>
            </w:r>
            <w:r w:rsidRPr="00D202D0">
              <w:rPr>
                <w:rFonts w:cs="Arial"/>
                <w:szCs w:val="18"/>
              </w:rPr>
              <w:t>± 11,550</w:t>
            </w:r>
          </w:p>
          <w:p w14:paraId="349BCB71" w14:textId="77777777" w:rsidR="00D57A95" w:rsidRPr="00092CAB" w:rsidRDefault="00D57A95" w:rsidP="0011515C">
            <w:pPr>
              <w:pStyle w:val="CETBodytext"/>
              <w:spacing w:line="276" w:lineRule="auto"/>
              <w:contextualSpacing/>
              <w:mirrorIndents/>
              <w:rPr>
                <w:lang w:val="en-GB"/>
              </w:rPr>
            </w:pPr>
            <w:r w:rsidRPr="00D202D0">
              <w:rPr>
                <w:rFonts w:cs="Arial"/>
                <w:szCs w:val="18"/>
              </w:rPr>
              <w:t>45,738 mg/L ± 6,340</w:t>
            </w:r>
          </w:p>
        </w:tc>
        <w:tc>
          <w:tcPr>
            <w:tcW w:w="1319" w:type="dxa"/>
            <w:shd w:val="clear" w:color="auto" w:fill="FFFFFF"/>
          </w:tcPr>
          <w:p w14:paraId="57D882F2" w14:textId="77777777" w:rsidR="00D57A95" w:rsidRPr="00092CAB" w:rsidRDefault="00D57A95" w:rsidP="0011515C">
            <w:pPr>
              <w:pStyle w:val="CETBodytext"/>
              <w:spacing w:line="276" w:lineRule="auto"/>
              <w:contextualSpacing/>
              <w:mirrorIndents/>
              <w:rPr>
                <w:lang w:val="en-GB"/>
              </w:rPr>
            </w:pPr>
          </w:p>
          <w:p w14:paraId="2824500A" w14:textId="77777777" w:rsidR="00D57A95" w:rsidRPr="00092CAB" w:rsidRDefault="00D57A95" w:rsidP="0011515C">
            <w:pPr>
              <w:pStyle w:val="CETBodytext"/>
              <w:spacing w:line="276" w:lineRule="auto"/>
              <w:contextualSpacing/>
              <w:mirrorIndents/>
              <w:rPr>
                <w:lang w:val="en-GB"/>
              </w:rPr>
            </w:pPr>
          </w:p>
          <w:p w14:paraId="141F461C" w14:textId="77777777" w:rsidR="00D57A95" w:rsidRPr="00092CAB" w:rsidRDefault="00D57A95" w:rsidP="0011515C">
            <w:pPr>
              <w:pStyle w:val="CETBodytext"/>
              <w:spacing w:line="276" w:lineRule="auto"/>
              <w:contextualSpacing/>
              <w:mirrorIndents/>
              <w:rPr>
                <w:rFonts w:cs="Arial"/>
                <w:szCs w:val="18"/>
              </w:rPr>
            </w:pPr>
            <w:r w:rsidRPr="00D202D0">
              <w:rPr>
                <w:rFonts w:cs="Arial"/>
                <w:szCs w:val="18"/>
              </w:rPr>
              <w:t>90.8% ± 4.5</w:t>
            </w:r>
          </w:p>
          <w:p w14:paraId="0ED155AD" w14:textId="77777777" w:rsidR="00D57A95" w:rsidRPr="00092CAB" w:rsidRDefault="00D57A95" w:rsidP="0011515C">
            <w:pPr>
              <w:pStyle w:val="CETBodytext"/>
              <w:spacing w:line="276" w:lineRule="auto"/>
              <w:contextualSpacing/>
              <w:mirrorIndents/>
              <w:rPr>
                <w:lang w:val="en-GB"/>
              </w:rPr>
            </w:pPr>
            <w:r w:rsidRPr="00D202D0">
              <w:rPr>
                <w:rFonts w:cs="Arial"/>
                <w:szCs w:val="18"/>
              </w:rPr>
              <w:t>52% ± 3 COD</w:t>
            </w:r>
          </w:p>
        </w:tc>
      </w:tr>
    </w:tbl>
    <w:p w14:paraId="3D7E8386" w14:textId="3DDE55C4" w:rsidR="00BF08D9" w:rsidRDefault="00F03D17" w:rsidP="00BF08D9">
      <w:pPr>
        <w:widowControl w:val="0"/>
        <w:tabs>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line="276" w:lineRule="auto"/>
        <w:contextualSpacing/>
        <w:mirrorIndents/>
        <w:rPr>
          <w:rFonts w:cs="Arial"/>
          <w:i/>
          <w:iCs/>
          <w:szCs w:val="18"/>
        </w:rPr>
      </w:pPr>
      <w:r>
        <w:rPr>
          <w:rFonts w:cs="Arial"/>
          <w:i/>
          <w:iCs/>
          <w:noProof/>
          <w:szCs w:val="18"/>
        </w:rPr>
        <w:lastRenderedPageBreak/>
        <w:drawing>
          <wp:inline distT="0" distB="0" distL="0" distR="0" wp14:anchorId="7E267D0A" wp14:editId="296D6638">
            <wp:extent cx="5588000" cy="2329588"/>
            <wp:effectExtent l="0" t="0" r="0" b="0"/>
            <wp:docPr id="1638383964"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657366" cy="2358506"/>
                    </a:xfrm>
                    <a:prstGeom prst="rect">
                      <a:avLst/>
                    </a:prstGeom>
                    <a:noFill/>
                  </pic:spPr>
                </pic:pic>
              </a:graphicData>
            </a:graphic>
          </wp:inline>
        </w:drawing>
      </w:r>
      <w:r w:rsidR="00BF08D9" w:rsidRPr="004B1293">
        <w:rPr>
          <w:rFonts w:cs="Arial"/>
          <w:i/>
          <w:iCs/>
          <w:szCs w:val="18"/>
        </w:rPr>
        <w:t xml:space="preserve">Figure </w:t>
      </w:r>
      <w:r w:rsidR="00BF08D9">
        <w:rPr>
          <w:rFonts w:cs="Arial"/>
          <w:i/>
          <w:iCs/>
          <w:szCs w:val="18"/>
        </w:rPr>
        <w:t>3</w:t>
      </w:r>
      <w:r w:rsidR="00BF08D9" w:rsidRPr="004B1293">
        <w:rPr>
          <w:rFonts w:cs="Arial"/>
          <w:i/>
          <w:iCs/>
          <w:szCs w:val="18"/>
        </w:rPr>
        <w:t xml:space="preserve">: </w:t>
      </w:r>
      <w:r w:rsidR="00BF08D9">
        <w:rPr>
          <w:rFonts w:cs="Arial"/>
          <w:i/>
          <w:iCs/>
          <w:szCs w:val="18"/>
        </w:rPr>
        <w:t>SCOD, TSS and Cellulose concentration in the triplicate trials.</w:t>
      </w:r>
    </w:p>
    <w:p w14:paraId="3C4A078F" w14:textId="77777777" w:rsidR="00C728A9" w:rsidRPr="00C728A9" w:rsidRDefault="00C728A9" w:rsidP="00681B04">
      <w:pPr>
        <w:pStyle w:val="CETBodytext"/>
        <w:spacing w:line="276" w:lineRule="auto"/>
        <w:contextualSpacing/>
        <w:mirrorIndents/>
      </w:pPr>
    </w:p>
    <w:p w14:paraId="3417BAF7" w14:textId="196BC062" w:rsidR="00C728A9" w:rsidRDefault="00C728A9" w:rsidP="00681B04">
      <w:pPr>
        <w:pStyle w:val="CETheadingx"/>
        <w:spacing w:line="276" w:lineRule="auto"/>
        <w:contextualSpacing/>
        <w:mirrorIndents/>
      </w:pPr>
      <w:r>
        <w:t>Impact of temperature on cellulose degradation</w:t>
      </w:r>
    </w:p>
    <w:p w14:paraId="007F9A12" w14:textId="209ED1B8" w:rsidR="00C728A9" w:rsidRPr="00601365" w:rsidRDefault="00C728A9" w:rsidP="00681B04">
      <w:pPr>
        <w:spacing w:after="80" w:line="276" w:lineRule="auto"/>
        <w:contextualSpacing/>
        <w:mirrorIndents/>
        <w:rPr>
          <w:rFonts w:cs="Arial"/>
          <w:szCs w:val="18"/>
          <w:lang w:val="en-US"/>
        </w:rPr>
      </w:pPr>
      <w:r w:rsidRPr="00601365">
        <w:rPr>
          <w:rFonts w:cs="Arial"/>
          <w:szCs w:val="18"/>
          <w:lang w:val="en-US"/>
        </w:rPr>
        <w:t xml:space="preserve">A clear temperature dependency was observed in the hydrolysis process, with cellulose degradation rates increasing with temperature across all tested conditions (20°C, 38°C, and 55°C). At </w:t>
      </w:r>
      <w:r w:rsidR="00D514C4">
        <w:rPr>
          <w:rFonts w:cs="Arial"/>
          <w:szCs w:val="18"/>
          <w:lang w:val="en-US"/>
        </w:rPr>
        <w:t>meso</w:t>
      </w:r>
      <w:r w:rsidRPr="00601365">
        <w:rPr>
          <w:rFonts w:cs="Arial"/>
          <w:szCs w:val="18"/>
          <w:lang w:val="en-US"/>
        </w:rPr>
        <w:t xml:space="preserve">ophilic conditions (38°C, pH 12), cellulose content decreased significantly from 48.9% at 24 hours to 22.5% at 48 hours, yielding a hydrolysate composition of </w:t>
      </w:r>
      <w:r w:rsidR="00D514C4">
        <w:rPr>
          <w:rFonts w:cs="Arial"/>
          <w:szCs w:val="18"/>
          <w:lang w:val="en-US"/>
        </w:rPr>
        <w:t>57</w:t>
      </w:r>
      <w:r w:rsidRPr="00601365">
        <w:rPr>
          <w:rFonts w:cs="Arial"/>
          <w:szCs w:val="18"/>
          <w:lang w:val="en-US"/>
        </w:rPr>
        <w:t>% glucose and 4% xylose</w:t>
      </w:r>
      <w:r w:rsidR="00D514C4">
        <w:rPr>
          <w:rFonts w:cs="Arial"/>
          <w:szCs w:val="18"/>
          <w:lang w:val="en-US"/>
        </w:rPr>
        <w:t xml:space="preserve"> and 39% VFAs of the total sCOD</w:t>
      </w:r>
      <w:r w:rsidRPr="00601365">
        <w:rPr>
          <w:rFonts w:cs="Arial"/>
          <w:szCs w:val="18"/>
          <w:lang w:val="en-US"/>
        </w:rPr>
        <w:t>. Higher temperatures further enhanced degradation efficiency, as seen at 55°C (pH 12), where cellulose degradation exceeded 50% at both 24 and 48 hours.</w:t>
      </w:r>
      <w:r w:rsidR="00F06CB4">
        <w:rPr>
          <w:rFonts w:cs="Arial"/>
          <w:szCs w:val="18"/>
          <w:lang w:val="en-US"/>
        </w:rPr>
        <w:t xml:space="preserve"> </w:t>
      </w:r>
      <w:r w:rsidR="00F06CB4" w:rsidRPr="00601365">
        <w:rPr>
          <w:rFonts w:cs="Arial"/>
          <w:szCs w:val="18"/>
          <w:lang w:val="en-US"/>
        </w:rPr>
        <w:t>These findings align with previous studies reporting that thermophilic conditions (≥50°C) accelerate the enzymatic and microbial degradation of polysaccharides, thereby enhancing the release of fermentable organic substrates (</w:t>
      </w:r>
      <w:r w:rsidR="00F06CB4">
        <w:rPr>
          <w:rFonts w:cs="Arial"/>
          <w:szCs w:val="18"/>
          <w:lang w:val="en-US"/>
        </w:rPr>
        <w:t>Yi et al., 2022</w:t>
      </w:r>
      <w:r w:rsidR="00F06CB4" w:rsidRPr="00601365">
        <w:rPr>
          <w:rFonts w:cs="Arial"/>
          <w:szCs w:val="18"/>
          <w:lang w:val="en-US"/>
        </w:rPr>
        <w:t>).</w:t>
      </w:r>
      <w:r w:rsidR="00F06CB4">
        <w:rPr>
          <w:rFonts w:cs="Arial"/>
          <w:szCs w:val="18"/>
          <w:lang w:val="en-US"/>
        </w:rPr>
        <w:t xml:space="preserve"> </w:t>
      </w:r>
      <w:r w:rsidRPr="00601365">
        <w:rPr>
          <w:rFonts w:cs="Arial"/>
          <w:szCs w:val="18"/>
          <w:lang w:val="en-US"/>
        </w:rPr>
        <w:t xml:space="preserve">At 38°C without pH adjustment, 42% of cellulose was converted into glucose, with an additional 2% conversion into xylose, suggesting that temperature and retention time alone can drive substantial hydrolysis, potentially eliminating the need for chemical additives. </w:t>
      </w:r>
    </w:p>
    <w:p w14:paraId="3A464CF7" w14:textId="47E071F8" w:rsidR="00C728A9" w:rsidRPr="00601365" w:rsidRDefault="00C728A9" w:rsidP="00681B04">
      <w:pPr>
        <w:spacing w:after="80" w:line="276" w:lineRule="auto"/>
        <w:contextualSpacing/>
        <w:mirrorIndents/>
        <w:rPr>
          <w:rFonts w:cs="Arial"/>
          <w:szCs w:val="18"/>
          <w:lang w:val="en-US"/>
        </w:rPr>
      </w:pPr>
      <w:r w:rsidRPr="00601365">
        <w:rPr>
          <w:rFonts w:cs="Arial"/>
          <w:szCs w:val="18"/>
          <w:lang w:val="en-US"/>
        </w:rPr>
        <w:t xml:space="preserve">The superior performance of hydrolysis at 38–55°C is attributed to enhanced reaction kinetics, microbial activity, and enzyme functionality at elevated temperatures. Increased thermal energy likely weakens hydrogen bonds in cellulose fibrils, promoting their breakdown into monomeric sugars. These results support the potential for </w:t>
      </w:r>
      <w:r w:rsidR="00F06CB4">
        <w:rPr>
          <w:rFonts w:cs="Arial"/>
          <w:szCs w:val="18"/>
          <w:lang w:val="en-US"/>
        </w:rPr>
        <w:t>mesophilic</w:t>
      </w:r>
      <w:r w:rsidRPr="00601365">
        <w:rPr>
          <w:rFonts w:cs="Arial"/>
          <w:szCs w:val="18"/>
          <w:lang w:val="en-US"/>
        </w:rPr>
        <w:t xml:space="preserve"> hydrolysis (38°C) as an energy-efficient approach, as it offers high cellulose degradation without the excessive energy demand associated with thermophilic (≥50°C) conditions.</w:t>
      </w:r>
    </w:p>
    <w:p w14:paraId="2A4115D5" w14:textId="77777777" w:rsidR="00C728A9" w:rsidRPr="00C728A9" w:rsidRDefault="00C728A9" w:rsidP="00681B04">
      <w:pPr>
        <w:pStyle w:val="CETBodytext"/>
        <w:spacing w:line="276" w:lineRule="auto"/>
        <w:contextualSpacing/>
        <w:mirrorIndents/>
      </w:pPr>
    </w:p>
    <w:p w14:paraId="6F11122B" w14:textId="666261E1" w:rsidR="00C728A9" w:rsidRDefault="00C728A9" w:rsidP="00681B04">
      <w:pPr>
        <w:pStyle w:val="CETheadingx"/>
        <w:spacing w:line="276" w:lineRule="auto"/>
        <w:contextualSpacing/>
        <w:mirrorIndents/>
      </w:pPr>
      <w:r>
        <w:t>Effect of pH on hydrolysis efficiency and sCOD production</w:t>
      </w:r>
    </w:p>
    <w:p w14:paraId="4454AE6C" w14:textId="7C98935D" w:rsidR="005416E6" w:rsidRDefault="00C728A9" w:rsidP="00681B04">
      <w:pPr>
        <w:spacing w:after="80" w:line="276" w:lineRule="auto"/>
        <w:contextualSpacing/>
        <w:mirrorIndents/>
        <w:rPr>
          <w:rFonts w:cs="Arial"/>
          <w:szCs w:val="18"/>
          <w:lang w:val="en-US"/>
        </w:rPr>
      </w:pPr>
      <w:r w:rsidRPr="00601365">
        <w:rPr>
          <w:rFonts w:cs="Arial"/>
          <w:szCs w:val="18"/>
          <w:lang w:val="en-US"/>
        </w:rPr>
        <w:t>pH played a crucial role in influencing cellulose degradation and the solubilization of organic matter, with both acidic (pH 4) and alkaline (pH 12) conditions showing significant effects compared to unmodified</w:t>
      </w:r>
      <w:r w:rsidR="00660949">
        <w:rPr>
          <w:rFonts w:cs="Arial"/>
          <w:szCs w:val="18"/>
          <w:lang w:val="en-US"/>
        </w:rPr>
        <w:t xml:space="preserve"> pH</w:t>
      </w:r>
      <w:r w:rsidRPr="00601365">
        <w:rPr>
          <w:rFonts w:cs="Arial"/>
          <w:szCs w:val="18"/>
          <w:lang w:val="en-US"/>
        </w:rPr>
        <w:t xml:space="preserve"> control samples. </w:t>
      </w:r>
      <w:r w:rsidR="00076849" w:rsidRPr="00601365">
        <w:rPr>
          <w:rFonts w:cs="Arial"/>
          <w:szCs w:val="18"/>
          <w:lang w:val="en-US"/>
        </w:rPr>
        <w:t>Alkaline</w:t>
      </w:r>
      <w:r w:rsidRPr="00601365">
        <w:rPr>
          <w:rFonts w:cs="Arial"/>
          <w:szCs w:val="18"/>
          <w:lang w:val="en-US"/>
        </w:rPr>
        <w:t xml:space="preserve"> hydrolysis (pH 12) at 55°C resulted in the highest </w:t>
      </w:r>
      <w:r w:rsidR="00660949">
        <w:rPr>
          <w:rFonts w:cs="Arial"/>
          <w:szCs w:val="18"/>
          <w:lang w:val="en-US"/>
        </w:rPr>
        <w:t>s</w:t>
      </w:r>
      <w:r w:rsidRPr="00601365">
        <w:rPr>
          <w:rFonts w:cs="Arial"/>
          <w:szCs w:val="18"/>
          <w:lang w:val="en-US"/>
        </w:rPr>
        <w:t xml:space="preserve">COD values, indicating extensive solubilization of cellulose into bioavailable dissolved organic matter. The increased </w:t>
      </w:r>
      <w:r w:rsidR="00660949">
        <w:rPr>
          <w:rFonts w:cs="Arial"/>
          <w:szCs w:val="18"/>
          <w:lang w:val="en-US"/>
        </w:rPr>
        <w:t>s</w:t>
      </w:r>
      <w:r w:rsidRPr="00601365">
        <w:rPr>
          <w:rFonts w:cs="Arial"/>
          <w:szCs w:val="18"/>
          <w:lang w:val="en-US"/>
        </w:rPr>
        <w:t>COD production under alkaline conditions suggests that cellulose fibrils underwent enhanced glycosidic bond cleavage, facilitating the release of glucose and other fermentable intermediates.</w:t>
      </w:r>
      <w:r w:rsidR="00CA34FF">
        <w:rPr>
          <w:rFonts w:cs="Arial"/>
          <w:szCs w:val="18"/>
          <w:lang w:val="en-US"/>
        </w:rPr>
        <w:t xml:space="preserve"> </w:t>
      </w:r>
      <w:r w:rsidRPr="00601365">
        <w:rPr>
          <w:rFonts w:cs="Arial"/>
          <w:szCs w:val="18"/>
          <w:lang w:val="en-US"/>
        </w:rPr>
        <w:t xml:space="preserve">Acidic hydrolysis (pH 4) also promoted cellulose degradation, particularly at lower temperatures (20–38°C). The effectiveness of acid-catalyzed hydrolysis is well-documented in biomass conversion processes, where protonation of glycosidic linkages accelerates cellulose breakdown. However, compared to alkaline hydrolysis, acidic conditions resulted in lower </w:t>
      </w:r>
      <w:r w:rsidR="00660949">
        <w:rPr>
          <w:rFonts w:cs="Arial"/>
          <w:szCs w:val="18"/>
          <w:lang w:val="en-US"/>
        </w:rPr>
        <w:t>s</w:t>
      </w:r>
      <w:r w:rsidRPr="00601365">
        <w:rPr>
          <w:rFonts w:cs="Arial"/>
          <w:szCs w:val="18"/>
          <w:lang w:val="en-US"/>
        </w:rPr>
        <w:t>COD values, suggesting a slower solubilization rate. The differences in hydrolysis efficiency between acidic and alkaline conditions could be attributed to the distinct mechanisms governing cellulose breakdown</w:t>
      </w:r>
      <w:r w:rsidR="00660949">
        <w:rPr>
          <w:rFonts w:cs="Arial"/>
          <w:szCs w:val="18"/>
          <w:lang w:val="en-US"/>
        </w:rPr>
        <w:t xml:space="preserve">, </w:t>
      </w:r>
      <w:r w:rsidRPr="00601365">
        <w:rPr>
          <w:rFonts w:cs="Arial"/>
          <w:szCs w:val="18"/>
          <w:lang w:val="en-US"/>
        </w:rPr>
        <w:t>whereas acid hydrolysis primarily facilitates protonation-driven bond cleavage, alkaline hydrolysis enhances the swelling of cellulose fibrils, making them more susceptible to enzymatic or microbial degradation (</w:t>
      </w:r>
      <w:r w:rsidR="00A8478C">
        <w:rPr>
          <w:rFonts w:cs="Arial"/>
          <w:szCs w:val="18"/>
          <w:lang w:val="en-US"/>
        </w:rPr>
        <w:t>Sun et al., 2005</w:t>
      </w:r>
      <w:r w:rsidRPr="00601365">
        <w:rPr>
          <w:rFonts w:cs="Arial"/>
          <w:szCs w:val="18"/>
          <w:lang w:val="en-US"/>
        </w:rPr>
        <w:t>).</w:t>
      </w:r>
      <w:r w:rsidR="00CA34FF">
        <w:rPr>
          <w:rFonts w:cs="Arial"/>
          <w:szCs w:val="18"/>
          <w:lang w:val="en-US"/>
        </w:rPr>
        <w:t xml:space="preserve"> </w:t>
      </w:r>
      <w:r w:rsidRPr="00601365">
        <w:rPr>
          <w:rFonts w:cs="Arial"/>
          <w:szCs w:val="18"/>
          <w:lang w:val="en-US"/>
        </w:rPr>
        <w:t xml:space="preserve">The reduction in TSS across all experimental conditions indicated that cellulose degradation was accompanied by extensive solubilization, leading to a measurable increase in dissolved organic matter availability. The greatest TSS reduction was observed at 55°C, pH 12, aligning with the highest </w:t>
      </w:r>
      <w:r w:rsidR="00660949">
        <w:rPr>
          <w:rFonts w:cs="Arial"/>
          <w:szCs w:val="18"/>
          <w:lang w:val="en-US"/>
        </w:rPr>
        <w:t>s</w:t>
      </w:r>
      <w:r w:rsidRPr="00601365">
        <w:rPr>
          <w:rFonts w:cs="Arial"/>
          <w:szCs w:val="18"/>
          <w:lang w:val="en-US"/>
        </w:rPr>
        <w:t>COD production, further confirming that hydrolysis under these conditions maximizes the conversion of solid-phase organic matter into bioavailable soluble compounds.</w:t>
      </w:r>
      <w:r w:rsidR="00CA34FF">
        <w:rPr>
          <w:rFonts w:cs="Arial"/>
          <w:szCs w:val="18"/>
          <w:lang w:val="en-US"/>
        </w:rPr>
        <w:t xml:space="preserve"> </w:t>
      </w:r>
      <w:r w:rsidRPr="00601365">
        <w:rPr>
          <w:rFonts w:cs="Arial"/>
          <w:szCs w:val="18"/>
          <w:lang w:val="en-US"/>
        </w:rPr>
        <w:t xml:space="preserve">This relationship between TSS decrease and </w:t>
      </w:r>
      <w:r w:rsidR="00660949">
        <w:rPr>
          <w:rFonts w:cs="Arial"/>
          <w:szCs w:val="18"/>
          <w:lang w:val="en-US"/>
        </w:rPr>
        <w:t>s</w:t>
      </w:r>
      <w:r w:rsidRPr="00601365">
        <w:rPr>
          <w:rFonts w:cs="Arial"/>
          <w:szCs w:val="18"/>
          <w:lang w:val="en-US"/>
        </w:rPr>
        <w:t xml:space="preserve">COD increase has direct implications for </w:t>
      </w:r>
      <w:r w:rsidRPr="00601365">
        <w:rPr>
          <w:rFonts w:cs="Arial"/>
          <w:szCs w:val="18"/>
          <w:lang w:val="en-US"/>
        </w:rPr>
        <w:lastRenderedPageBreak/>
        <w:t xml:space="preserve">biological wastewater treatment. The hydrolyzed cellulose contributes directly to the pool of soluble organics, which can serve as an internal carbon source for microbial metabolic processes. </w:t>
      </w:r>
      <w:r w:rsidR="00660949" w:rsidRPr="00601365">
        <w:rPr>
          <w:rFonts w:cs="Arial"/>
          <w:szCs w:val="18"/>
          <w:lang w:val="en-US"/>
        </w:rPr>
        <w:t>Interestingly</w:t>
      </w:r>
      <w:r w:rsidR="00660949">
        <w:rPr>
          <w:rFonts w:cs="Arial"/>
          <w:szCs w:val="18"/>
          <w:lang w:val="en-US"/>
        </w:rPr>
        <w:t xml:space="preserve"> for full-scale treatments</w:t>
      </w:r>
      <w:r w:rsidR="00660949" w:rsidRPr="00601365">
        <w:rPr>
          <w:rFonts w:cs="Arial"/>
          <w:szCs w:val="18"/>
          <w:lang w:val="en-US"/>
        </w:rPr>
        <w:t xml:space="preserve">, hydrolysis occurred even in the absence of pH control, although at a lower efficiency. </w:t>
      </w:r>
      <w:r w:rsidRPr="00601365">
        <w:rPr>
          <w:rFonts w:cs="Arial"/>
          <w:szCs w:val="18"/>
          <w:lang w:val="en-US"/>
        </w:rPr>
        <w:t xml:space="preserve">Given that many WWTPs rely on external carbon sources (e.g., </w:t>
      </w:r>
      <w:r w:rsidR="00660949">
        <w:rPr>
          <w:rFonts w:cs="Arial"/>
          <w:szCs w:val="18"/>
          <w:lang w:val="en-US"/>
        </w:rPr>
        <w:t>ethanol</w:t>
      </w:r>
      <w:r w:rsidRPr="00601365">
        <w:rPr>
          <w:rFonts w:cs="Arial"/>
          <w:szCs w:val="18"/>
          <w:lang w:val="en-US"/>
        </w:rPr>
        <w:t xml:space="preserve"> or acetate) to support biological nutrient removal (BNR) processes, the ability to recover and solubilize carbon-rich CPS within the treatment plant itself</w:t>
      </w:r>
      <w:r w:rsidR="00660949">
        <w:rPr>
          <w:rFonts w:cs="Arial"/>
          <w:szCs w:val="18"/>
          <w:lang w:val="en-US"/>
        </w:rPr>
        <w:t>, even without pH control,</w:t>
      </w:r>
      <w:r w:rsidRPr="00601365">
        <w:rPr>
          <w:rFonts w:cs="Arial"/>
          <w:szCs w:val="18"/>
          <w:lang w:val="en-US"/>
        </w:rPr>
        <w:t xml:space="preserve"> represents a significant advancement in resource recovery strategies.</w:t>
      </w:r>
      <w:r w:rsidR="00CA34FF">
        <w:rPr>
          <w:rFonts w:cs="Arial"/>
          <w:szCs w:val="18"/>
          <w:lang w:val="en-US"/>
        </w:rPr>
        <w:t xml:space="preserve"> </w:t>
      </w:r>
      <w:r w:rsidR="005416E6" w:rsidRPr="00601365">
        <w:rPr>
          <w:rFonts w:cs="Arial"/>
          <w:szCs w:val="18"/>
          <w:lang w:val="en-US"/>
        </w:rPr>
        <w:t xml:space="preserve">The hydrolysis of CPS not only facilitates cellulose degradation and </w:t>
      </w:r>
      <w:r w:rsidR="00660949">
        <w:rPr>
          <w:rFonts w:cs="Arial"/>
          <w:szCs w:val="18"/>
          <w:lang w:val="en-US"/>
        </w:rPr>
        <w:t>s</w:t>
      </w:r>
      <w:r w:rsidR="005416E6" w:rsidRPr="00601365">
        <w:rPr>
          <w:rFonts w:cs="Arial"/>
          <w:szCs w:val="18"/>
          <w:lang w:val="en-US"/>
        </w:rPr>
        <w:t>COD production but also enhances the bioavailability of organic substrates for microbial fermentation. The release of glucose and xylose in substantial quantities suggests high potential for subsequent conversion into VFAs, which serve as key intermediates in biological phosphorus removal and biopolymer synthesis.</w:t>
      </w:r>
    </w:p>
    <w:p w14:paraId="5D1E213E" w14:textId="77777777" w:rsidR="003E4997" w:rsidRDefault="003E4997" w:rsidP="00681B04">
      <w:pPr>
        <w:spacing w:after="80" w:line="276" w:lineRule="auto"/>
        <w:contextualSpacing/>
        <w:mirrorIndents/>
        <w:rPr>
          <w:rFonts w:cs="Arial"/>
          <w:szCs w:val="18"/>
          <w:lang w:val="en-US"/>
        </w:rPr>
      </w:pPr>
    </w:p>
    <w:p w14:paraId="5546F2D4" w14:textId="0ABF7305" w:rsidR="00B5092C" w:rsidRDefault="00B5092C" w:rsidP="00681B04">
      <w:pPr>
        <w:spacing w:after="80" w:line="276" w:lineRule="auto"/>
        <w:contextualSpacing/>
        <w:mirrorIndents/>
        <w:rPr>
          <w:rFonts w:cs="Arial"/>
          <w:szCs w:val="18"/>
          <w:lang w:val="en-US"/>
        </w:rPr>
      </w:pPr>
      <w:r>
        <w:rPr>
          <w:rFonts w:cs="Arial"/>
          <w:noProof/>
          <w:szCs w:val="18"/>
          <w:lang w:val="en-US"/>
        </w:rPr>
        <w:drawing>
          <wp:inline distT="0" distB="0" distL="0" distR="0" wp14:anchorId="7C4BF84C" wp14:editId="34ED32B7">
            <wp:extent cx="5568950" cy="1352550"/>
            <wp:effectExtent l="0" t="0" r="0" b="0"/>
            <wp:docPr id="659768902"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68950" cy="1352550"/>
                    </a:xfrm>
                    <a:prstGeom prst="rect">
                      <a:avLst/>
                    </a:prstGeom>
                    <a:noFill/>
                    <a:ln>
                      <a:noFill/>
                    </a:ln>
                  </pic:spPr>
                </pic:pic>
              </a:graphicData>
            </a:graphic>
          </wp:inline>
        </w:drawing>
      </w:r>
    </w:p>
    <w:p w14:paraId="7061F96B" w14:textId="30173D9F" w:rsidR="003D0CA2" w:rsidRPr="003D0CA2" w:rsidRDefault="003D0CA2" w:rsidP="003D0CA2">
      <w:pPr>
        <w:widowControl w:val="0"/>
        <w:tabs>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line="276" w:lineRule="auto"/>
        <w:contextualSpacing/>
        <w:mirrorIndents/>
        <w:rPr>
          <w:rFonts w:cs="Arial"/>
          <w:i/>
          <w:iCs/>
          <w:szCs w:val="18"/>
        </w:rPr>
      </w:pPr>
      <w:r w:rsidRPr="004B1293">
        <w:rPr>
          <w:rFonts w:cs="Arial"/>
          <w:i/>
          <w:iCs/>
          <w:szCs w:val="18"/>
        </w:rPr>
        <w:t xml:space="preserve">Figure </w:t>
      </w:r>
      <w:r>
        <w:rPr>
          <w:rFonts w:cs="Arial"/>
          <w:i/>
          <w:iCs/>
          <w:szCs w:val="18"/>
        </w:rPr>
        <w:t>4</w:t>
      </w:r>
      <w:r w:rsidRPr="004B1293">
        <w:rPr>
          <w:rFonts w:cs="Arial"/>
          <w:i/>
          <w:iCs/>
          <w:szCs w:val="18"/>
        </w:rPr>
        <w:t xml:space="preserve">: </w:t>
      </w:r>
      <w:r w:rsidR="00A657B4">
        <w:rPr>
          <w:rFonts w:cs="Arial"/>
          <w:i/>
          <w:iCs/>
          <w:szCs w:val="18"/>
        </w:rPr>
        <w:t>Flow chart of the process</w:t>
      </w:r>
      <w:r>
        <w:rPr>
          <w:rFonts w:cs="Arial"/>
          <w:i/>
          <w:iCs/>
          <w:szCs w:val="18"/>
        </w:rPr>
        <w:t>.</w:t>
      </w:r>
    </w:p>
    <w:p w14:paraId="5253CF66" w14:textId="32173423" w:rsidR="00FA09A3" w:rsidRPr="00026000" w:rsidRDefault="005416E6" w:rsidP="00026000">
      <w:pPr>
        <w:pStyle w:val="CETHeading1"/>
        <w:numPr>
          <w:ilvl w:val="1"/>
          <w:numId w:val="25"/>
        </w:numPr>
      </w:pPr>
      <w:r>
        <w:t>Energy consumption and saving estimation adopting CPS removal</w:t>
      </w:r>
    </w:p>
    <w:p w14:paraId="5F7A0231" w14:textId="3B1A0963" w:rsidR="00AD7050" w:rsidRDefault="00DB11B5" w:rsidP="00681B04">
      <w:pPr>
        <w:spacing w:line="276" w:lineRule="auto"/>
        <w:contextualSpacing/>
        <w:mirrorIndents/>
        <w:rPr>
          <w:rFonts w:cs="Arial"/>
          <w:b/>
          <w:bCs/>
          <w:szCs w:val="18"/>
          <w:lang w:val="en-US"/>
        </w:rPr>
      </w:pPr>
      <w:r>
        <w:rPr>
          <w:rFonts w:cs="Arial"/>
          <w:b/>
          <w:bCs/>
          <w:szCs w:val="18"/>
          <w:lang w:val="en-US"/>
        </w:rPr>
        <w:t>3.4.1</w:t>
      </w:r>
      <w:r w:rsidR="00AD7050">
        <w:rPr>
          <w:rFonts w:cs="Arial"/>
          <w:b/>
          <w:bCs/>
          <w:szCs w:val="18"/>
          <w:lang w:val="en-US"/>
        </w:rPr>
        <w:t xml:space="preserve"> </w:t>
      </w:r>
      <w:r w:rsidR="00AD7050" w:rsidRPr="002801D4">
        <w:rPr>
          <w:rFonts w:cs="Arial"/>
          <w:b/>
          <w:bCs/>
          <w:szCs w:val="18"/>
          <w:lang w:val="en-US"/>
        </w:rPr>
        <w:t>Aeration Energy Consumption</w:t>
      </w:r>
    </w:p>
    <w:p w14:paraId="757EFB06" w14:textId="5CF828CE" w:rsidR="005416E6" w:rsidRDefault="00AD7050" w:rsidP="00681B04">
      <w:pPr>
        <w:spacing w:after="80" w:line="276" w:lineRule="auto"/>
        <w:contextualSpacing/>
        <w:mirrorIndents/>
        <w:rPr>
          <w:rFonts w:cs="Arial"/>
          <w:szCs w:val="18"/>
          <w:lang w:val="en-US"/>
        </w:rPr>
      </w:pPr>
      <w:r w:rsidRPr="00BA738A">
        <w:rPr>
          <w:rFonts w:cs="Arial"/>
          <w:szCs w:val="18"/>
          <w:lang w:val="en-US"/>
        </w:rPr>
        <w:t xml:space="preserve">Aeration basins in the WWTP accounted for 73% of the total biological treatment energy demand, consuming 2,165,297 kWh/year. The specific energy consumption for </w:t>
      </w:r>
      <w:r w:rsidR="004F3F3B">
        <w:rPr>
          <w:rFonts w:cs="Arial"/>
          <w:szCs w:val="18"/>
          <w:lang w:val="en-US"/>
        </w:rPr>
        <w:t>the biological oxygen demand (</w:t>
      </w:r>
      <w:r w:rsidRPr="00BA738A">
        <w:rPr>
          <w:rFonts w:cs="Arial"/>
          <w:szCs w:val="18"/>
          <w:lang w:val="en-US"/>
        </w:rPr>
        <w:t>BOD</w:t>
      </w:r>
      <w:r w:rsidR="004F3F3B">
        <w:rPr>
          <w:rFonts w:cs="Arial"/>
          <w:szCs w:val="18"/>
          <w:lang w:val="en-US"/>
        </w:rPr>
        <w:t>)</w:t>
      </w:r>
      <w:r w:rsidRPr="00BA738A">
        <w:rPr>
          <w:rFonts w:cs="Arial"/>
          <w:szCs w:val="18"/>
          <w:lang w:val="en-US"/>
        </w:rPr>
        <w:t xml:space="preserve"> removal was calculated as</w:t>
      </w:r>
      <w:r w:rsidRPr="00FE616B">
        <w:rPr>
          <w:lang w:val="en-US"/>
        </w:rPr>
        <w:t xml:space="preserve"> </w:t>
      </w:r>
      <w:r w:rsidRPr="00FE616B">
        <w:rPr>
          <w:rFonts w:cs="Arial"/>
          <w:szCs w:val="18"/>
          <w:lang w:val="en-US"/>
        </w:rPr>
        <w:t>0.552 kWh/kg BOD</w:t>
      </w:r>
      <w:r w:rsidR="000E4206">
        <w:rPr>
          <w:rFonts w:cs="Arial"/>
          <w:szCs w:val="18"/>
          <w:lang w:val="en-US"/>
        </w:rPr>
        <w:t>, w</w:t>
      </w:r>
      <w:r w:rsidRPr="00BA738A">
        <w:rPr>
          <w:rFonts w:cs="Arial"/>
          <w:szCs w:val="18"/>
          <w:lang w:val="en-US"/>
        </w:rPr>
        <w:t>ith CPS contributing 979,242 kg BOD/year</w:t>
      </w:r>
      <w:r w:rsidR="00CD1098">
        <w:rPr>
          <w:rFonts w:cs="Arial"/>
          <w:szCs w:val="18"/>
          <w:lang w:val="en-US"/>
        </w:rPr>
        <w:t xml:space="preserve"> of a total incoming BOD of</w:t>
      </w:r>
      <w:r w:rsidR="00CD1098" w:rsidRPr="00CD1098">
        <w:rPr>
          <w:rFonts w:cs="Arial"/>
          <w:szCs w:val="18"/>
          <w:lang w:val="en-US"/>
        </w:rPr>
        <w:t xml:space="preserve"> 3,916,968 kg/year</w:t>
      </w:r>
      <w:r w:rsidR="00CD1098">
        <w:rPr>
          <w:rFonts w:cs="Arial"/>
          <w:szCs w:val="18"/>
          <w:lang w:val="en-US"/>
        </w:rPr>
        <w:t>.</w:t>
      </w:r>
    </w:p>
    <w:p w14:paraId="66B2E977" w14:textId="68A624DB" w:rsidR="00AD7050" w:rsidRPr="005416E6" w:rsidRDefault="00AD7050" w:rsidP="00681B04">
      <w:pPr>
        <w:spacing w:after="80" w:line="276" w:lineRule="auto"/>
        <w:contextualSpacing/>
        <w:mirrorIndents/>
        <w:rPr>
          <w:rFonts w:cs="Arial"/>
          <w:szCs w:val="18"/>
          <w:lang w:val="en-US"/>
        </w:rPr>
      </w:pPr>
      <w:r>
        <w:rPr>
          <w:rFonts w:cs="Arial"/>
          <w:szCs w:val="18"/>
          <w:lang w:val="en-US"/>
        </w:rPr>
        <w:br/>
      </w:r>
      <w:r w:rsidR="00DB11B5">
        <w:rPr>
          <w:rFonts w:eastAsiaTheme="minorHAnsi" w:cs="Arial"/>
          <w:b/>
          <w:bCs/>
          <w:szCs w:val="18"/>
          <w:lang w:val="en-US"/>
        </w:rPr>
        <w:t>3</w:t>
      </w:r>
      <w:r>
        <w:rPr>
          <w:rFonts w:eastAsiaTheme="minorHAnsi" w:cs="Arial"/>
          <w:b/>
          <w:bCs/>
          <w:szCs w:val="18"/>
          <w:lang w:val="en-US"/>
        </w:rPr>
        <w:t xml:space="preserve">.4.2 </w:t>
      </w:r>
      <w:r w:rsidRPr="00F448B4">
        <w:rPr>
          <w:rFonts w:eastAsiaTheme="minorHAnsi" w:cs="Arial"/>
          <w:b/>
          <w:bCs/>
          <w:szCs w:val="18"/>
          <w:lang w:val="en-US"/>
        </w:rPr>
        <w:t>Filtration Energy Demand</w:t>
      </w:r>
    </w:p>
    <w:p w14:paraId="7CA0113A" w14:textId="06A57585" w:rsidR="00CD1098" w:rsidRDefault="00AD7050" w:rsidP="00681B04">
      <w:pPr>
        <w:spacing w:after="80" w:line="276" w:lineRule="auto"/>
        <w:contextualSpacing/>
        <w:mirrorIndents/>
        <w:rPr>
          <w:rFonts w:cs="Arial"/>
          <w:szCs w:val="18"/>
          <w:lang w:val="en-US"/>
        </w:rPr>
      </w:pPr>
      <w:r w:rsidRPr="00F448B4">
        <w:rPr>
          <w:rFonts w:cs="Arial"/>
          <w:szCs w:val="18"/>
          <w:lang w:val="en-US"/>
        </w:rPr>
        <w:t>The power consumption of rotary belt filters (RBFs) was monitored throughout the study. The average estimated energy requirement was 0.018 kWh/m³, which is within the expected range of 0.01 kWh/m³ (without compressed air) to 0.04 kWh/m³ (with compressed air).</w:t>
      </w:r>
      <w:r w:rsidR="00026000">
        <w:rPr>
          <w:rFonts w:cs="Arial"/>
          <w:szCs w:val="18"/>
          <w:lang w:val="en-US"/>
        </w:rPr>
        <w:t xml:space="preserve"> </w:t>
      </w:r>
      <w:r w:rsidRPr="00F448B4">
        <w:rPr>
          <w:rFonts w:cs="Arial"/>
          <w:szCs w:val="18"/>
          <w:lang w:val="en-US"/>
        </w:rPr>
        <w:t xml:space="preserve">System components such as motors, backwash pumps, sludge transport mechanisms, and high-pressure wash systems contribute to this variability. </w:t>
      </w:r>
      <w:r w:rsidR="00026000">
        <w:rPr>
          <w:rFonts w:cs="Arial"/>
          <w:szCs w:val="18"/>
          <w:lang w:val="en-US"/>
        </w:rPr>
        <w:t>I</w:t>
      </w:r>
      <w:r w:rsidRPr="00F448B4">
        <w:rPr>
          <w:rFonts w:cs="Arial"/>
          <w:szCs w:val="18"/>
          <w:lang w:val="en-US"/>
        </w:rPr>
        <w:t>t was observed that for predominantly cellulosic sludge, high-pressure washing mechanisms were unnecessary, reducing overall energy demand.</w:t>
      </w:r>
      <w:r w:rsidR="00CA34FF">
        <w:rPr>
          <w:rFonts w:cs="Arial"/>
          <w:szCs w:val="18"/>
          <w:lang w:val="en-US"/>
        </w:rPr>
        <w:t xml:space="preserve"> </w:t>
      </w:r>
      <w:r w:rsidRPr="00F448B4">
        <w:rPr>
          <w:rFonts w:cs="Arial"/>
          <w:szCs w:val="18"/>
          <w:lang w:val="en-US"/>
        </w:rPr>
        <w:t>Total energy consumption for RBFs was calculated as</w:t>
      </w:r>
      <w:r w:rsidRPr="005A4F43">
        <w:rPr>
          <w:rFonts w:cs="Arial"/>
          <w:szCs w:val="18"/>
          <w:lang w:val="en-US"/>
        </w:rPr>
        <w:t xml:space="preserve">: </w:t>
      </w:r>
      <w:r w:rsidR="00CD1098">
        <w:rPr>
          <w:rFonts w:cs="Arial"/>
          <w:szCs w:val="18"/>
          <w:lang w:val="en-US"/>
        </w:rPr>
        <w:t>l</w:t>
      </w:r>
      <w:r w:rsidRPr="00F448B4">
        <w:rPr>
          <w:rFonts w:cs="Arial"/>
          <w:szCs w:val="18"/>
          <w:lang w:val="en-US"/>
        </w:rPr>
        <w:t>ower estimate (0.005 kWh/m³)</w:t>
      </w:r>
      <w:r w:rsidRPr="005A4F43">
        <w:rPr>
          <w:rFonts w:cs="Arial"/>
          <w:szCs w:val="18"/>
          <w:lang w:val="en-US"/>
        </w:rPr>
        <w:t xml:space="preserve"> of</w:t>
      </w:r>
      <w:r w:rsidRPr="00F448B4">
        <w:rPr>
          <w:rFonts w:cs="Arial"/>
          <w:szCs w:val="18"/>
          <w:lang w:val="en-US"/>
        </w:rPr>
        <w:t xml:space="preserve"> 97,766 kWh/year</w:t>
      </w:r>
      <w:r w:rsidR="00CA34FF">
        <w:rPr>
          <w:rFonts w:cs="Arial"/>
          <w:szCs w:val="18"/>
          <w:lang w:val="en-US"/>
        </w:rPr>
        <w:t xml:space="preserve"> </w:t>
      </w:r>
      <w:r w:rsidR="00CD1098">
        <w:rPr>
          <w:rFonts w:cs="Arial"/>
          <w:szCs w:val="18"/>
          <w:lang w:val="en-US"/>
        </w:rPr>
        <w:t>a</w:t>
      </w:r>
      <w:r w:rsidRPr="005A4F43">
        <w:rPr>
          <w:rFonts w:cs="Arial"/>
          <w:szCs w:val="18"/>
          <w:lang w:val="en-US"/>
        </w:rPr>
        <w:t xml:space="preserve">nd an </w:t>
      </w:r>
      <w:r w:rsidR="00CD1098">
        <w:rPr>
          <w:rFonts w:cs="Arial"/>
          <w:szCs w:val="18"/>
          <w:lang w:val="en-US"/>
        </w:rPr>
        <w:t>u</w:t>
      </w:r>
      <w:r w:rsidRPr="00F448B4">
        <w:rPr>
          <w:rFonts w:cs="Arial"/>
          <w:szCs w:val="18"/>
          <w:lang w:val="en-US"/>
        </w:rPr>
        <w:t>pper estimate (0.02 kWh/m³)</w:t>
      </w:r>
      <w:r w:rsidRPr="005A4F43">
        <w:rPr>
          <w:rFonts w:cs="Arial"/>
          <w:szCs w:val="18"/>
          <w:lang w:val="en-US"/>
        </w:rPr>
        <w:t xml:space="preserve"> of</w:t>
      </w:r>
      <w:r w:rsidRPr="00F448B4">
        <w:rPr>
          <w:rFonts w:cs="Arial"/>
          <w:szCs w:val="18"/>
          <w:lang w:val="en-US"/>
        </w:rPr>
        <w:t xml:space="preserve"> 391,063 kWh/year</w:t>
      </w:r>
      <w:r w:rsidRPr="005A4F43">
        <w:rPr>
          <w:rFonts w:cs="Arial"/>
          <w:szCs w:val="18"/>
          <w:lang w:val="en-US"/>
        </w:rPr>
        <w:t>.</w:t>
      </w:r>
      <w:r w:rsidR="00CA34FF">
        <w:rPr>
          <w:rFonts w:cs="Arial"/>
          <w:szCs w:val="18"/>
          <w:lang w:val="en-US"/>
        </w:rPr>
        <w:t xml:space="preserve"> </w:t>
      </w:r>
      <w:r w:rsidRPr="00FE616B">
        <w:rPr>
          <w:rFonts w:cs="Arial"/>
          <w:szCs w:val="18"/>
          <w:lang w:val="en-US"/>
        </w:rPr>
        <w:t>Net energy savings were derived from the difference between aeration energy reduction and RBF energy consumption</w:t>
      </w:r>
      <w:r w:rsidR="00CD1098">
        <w:rPr>
          <w:rFonts w:cs="Arial"/>
          <w:szCs w:val="18"/>
          <w:lang w:val="en-US"/>
        </w:rPr>
        <w:t xml:space="preserve"> and</w:t>
      </w:r>
      <w:r w:rsidRPr="005A4F43">
        <w:rPr>
          <w:rFonts w:cs="Arial"/>
          <w:szCs w:val="18"/>
          <w:lang w:val="en-US"/>
        </w:rPr>
        <w:t xml:space="preserve"> have been</w:t>
      </w:r>
      <w:r w:rsidR="00CD1098">
        <w:rPr>
          <w:rFonts w:cs="Arial"/>
          <w:szCs w:val="18"/>
          <w:lang w:val="en-US"/>
        </w:rPr>
        <w:t xml:space="preserve"> calculated as</w:t>
      </w:r>
      <w:r w:rsidRPr="005A4F43">
        <w:rPr>
          <w:rFonts w:cs="Arial"/>
          <w:szCs w:val="18"/>
          <w:lang w:val="en-US"/>
        </w:rPr>
        <w:t xml:space="preserve"> </w:t>
      </w:r>
      <w:r w:rsidR="00CD1098">
        <w:rPr>
          <w:rFonts w:cs="Arial"/>
          <w:szCs w:val="18"/>
          <w:lang w:val="en-US"/>
        </w:rPr>
        <w:t>l</w:t>
      </w:r>
      <w:r w:rsidRPr="00FE616B">
        <w:rPr>
          <w:rFonts w:cs="Arial"/>
          <w:szCs w:val="18"/>
          <w:lang w:val="en-US"/>
        </w:rPr>
        <w:t>ower estimate: 442,776 kWh/year (15% reduction in aeration energy)</w:t>
      </w:r>
      <w:r w:rsidRPr="005A4F43">
        <w:rPr>
          <w:rFonts w:cs="Arial"/>
          <w:szCs w:val="18"/>
          <w:lang w:val="en-US"/>
        </w:rPr>
        <w:t xml:space="preserve"> and </w:t>
      </w:r>
      <w:r w:rsidR="00CD1098">
        <w:rPr>
          <w:rFonts w:cs="Arial"/>
          <w:szCs w:val="18"/>
          <w:lang w:val="en-US"/>
        </w:rPr>
        <w:t>u</w:t>
      </w:r>
      <w:r w:rsidRPr="00FE616B">
        <w:rPr>
          <w:rFonts w:cs="Arial"/>
          <w:szCs w:val="18"/>
          <w:lang w:val="en-US"/>
        </w:rPr>
        <w:t>pper estimate: 149,480 kWh/year (5% reduction in aeration energy)</w:t>
      </w:r>
      <w:r w:rsidRPr="005A4F43">
        <w:rPr>
          <w:rFonts w:cs="Arial"/>
          <w:szCs w:val="18"/>
          <w:lang w:val="en-US"/>
        </w:rPr>
        <w:t>, confirming that removing CPS before biological treatment reduces aeration energy consumption while maintaining treatment efficiency.</w:t>
      </w:r>
      <w:r w:rsidR="00CA34FF">
        <w:rPr>
          <w:rFonts w:cs="Arial"/>
          <w:szCs w:val="18"/>
          <w:lang w:val="en-US"/>
        </w:rPr>
        <w:t xml:space="preserve"> </w:t>
      </w:r>
      <w:r w:rsidR="00D12240" w:rsidRPr="00D12240">
        <w:rPr>
          <w:rFonts w:cs="Arial"/>
          <w:szCs w:val="18"/>
          <w:lang w:val="en-US"/>
        </w:rPr>
        <w:t>The cellulose fraction in CPS constitutes a significant organic load, and its removal prior to aeration reduces oxygen demand, resulting in substantial energy savings. Alternatively, retaining this fraction can enhance the availability of organic carbon within the WWTP and the margin for higher organic loads, optimizing biological processes and potentially improving overall treatment efficiency.</w:t>
      </w:r>
    </w:p>
    <w:p w14:paraId="68D26B83" w14:textId="1A6D426B" w:rsidR="00600535" w:rsidRPr="00B57B36" w:rsidRDefault="00DB11B5" w:rsidP="00DB11B5">
      <w:pPr>
        <w:pStyle w:val="CETHeading1"/>
        <w:numPr>
          <w:ilvl w:val="0"/>
          <w:numId w:val="0"/>
        </w:numPr>
        <w:spacing w:line="276" w:lineRule="auto"/>
        <w:contextualSpacing/>
        <w:mirrorIndents/>
        <w:rPr>
          <w:lang w:val="en-GB"/>
        </w:rPr>
      </w:pPr>
      <w:r>
        <w:rPr>
          <w:lang w:val="en-GB"/>
        </w:rPr>
        <w:t xml:space="preserve">4. </w:t>
      </w:r>
      <w:r w:rsidR="00600535" w:rsidRPr="00B57B36">
        <w:rPr>
          <w:lang w:val="en-GB"/>
        </w:rPr>
        <w:t>Conclusions</w:t>
      </w:r>
    </w:p>
    <w:p w14:paraId="34D155AB" w14:textId="0562550D" w:rsidR="00FA487C" w:rsidRPr="00FA487C" w:rsidRDefault="00181BAC" w:rsidP="00FA487C">
      <w:pPr>
        <w:pStyle w:val="CETBodytext"/>
        <w:spacing w:line="276" w:lineRule="auto"/>
        <w:contextualSpacing/>
        <w:mirrorIndents/>
      </w:pPr>
      <w:r w:rsidRPr="00181BAC">
        <w:t xml:space="preserve">This study highlights temperature as the key factor influencing hydrolysis efficiency of CPS, with mesophilic conditions (38°C) achieving up to 42% cellulose degradation without pH adjustment. Alkaline hydrolysis (pH 12, 55°C) produced the highest sCOD, though significant degradation occurred without pH control, offering a cost-effective approach with minimal chemical input. The correlation between TSS reduction and sCOD increase supports CPS hydrolysis as a viable strategy for BNR plants. Converting hydrolyzed CPS into VFAs offers opportunities for biopolymer production and resource recovery. The estimated energy savings of 149,480–442,776 kWh per year in a full-scale treatment plant of 150,000 PE, demonstrate CPS separation as a low-energy alternative to traditional treatment. Pre-precipitation and pre-filtration with chemical additives can reduce </w:t>
      </w:r>
      <w:r w:rsidRPr="00181BAC">
        <w:lastRenderedPageBreak/>
        <w:t xml:space="preserve">the availability of organic carbon for biological treatment, often requiring external carbon supplementation. By avoiding chemical treatment, a significant fraction of cellulose from toilet paper remains intact, while soluble COD remains available for downstream biological treatment, ensuring more </w:t>
      </w:r>
      <w:r w:rsidR="00292951" w:rsidRPr="00181BAC">
        <w:t>readily</w:t>
      </w:r>
      <w:r w:rsidRPr="00181BAC">
        <w:t xml:space="preserve"> biodegradable organic substrates for microbial processes. Overall, CPS hydrolysis enhances carbon recovery in WWTPs, reducing reliance on external carbon sources. Integrating CPS separation with advanced treatment can promote energy-efficient, resource-oriented management in WWTPs. </w:t>
      </w:r>
      <w:r w:rsidR="00FA487C" w:rsidRPr="00FA487C">
        <w:t xml:space="preserve">The distinction between rotating belt filtration (RBF) and conventional pre-sedimentation is addressed through the energy analysis and resource recovery potential. Traditional sedimentation does not enable targeted cellulose recovery; the resulting primary sludge is generally directed to sludge thickening and </w:t>
      </w:r>
      <w:r w:rsidR="0046068C">
        <w:t xml:space="preserve">eventually </w:t>
      </w:r>
      <w:r w:rsidR="00FA487C" w:rsidRPr="00FA487C">
        <w:t xml:space="preserve">anaerobic digestion, limiting opportunities for </w:t>
      </w:r>
      <w:r w:rsidR="00043AA1">
        <w:t xml:space="preserve">higher </w:t>
      </w:r>
      <w:r w:rsidR="00FA487C" w:rsidRPr="00FA487C">
        <w:t>valorization.</w:t>
      </w:r>
    </w:p>
    <w:p w14:paraId="0EDC5B3A" w14:textId="2A02E28B" w:rsidR="009F0D35" w:rsidRPr="009F0D35" w:rsidRDefault="00FA487C" w:rsidP="00681B04">
      <w:pPr>
        <w:pStyle w:val="CETBodytext"/>
        <w:spacing w:line="276" w:lineRule="auto"/>
        <w:contextualSpacing/>
        <w:mirrorIndents/>
      </w:pPr>
      <w:r w:rsidRPr="00FA487C">
        <w:t>In contrast, RBF allows for the selective capture of cellulosic primary sludge (CPS) at an early treatment stage. This enables both a measurable reduction in aeration energy demand and the generation of a carbon-rich stream suitable for further recovery processes, such as volatile fatty acid (VFA) production. The comparative advantage of RBF is thus evident in its dual contribution to energy efficiency and circular resource use, supporting its role as a more sustainable alternative to conventional methods.</w:t>
      </w:r>
      <w:r w:rsidR="00043AA1">
        <w:t xml:space="preserve"> </w:t>
      </w:r>
      <w:r w:rsidR="00181BAC" w:rsidRPr="00181BAC">
        <w:t>Future research of REFRAME will focus on controlled fermentation of the hyrolyzed CPS, microbial dynamics, and optimizing CPS-derived bioproducts to maximize both economic and environmental benefits.</w:t>
      </w:r>
    </w:p>
    <w:p w14:paraId="459D05E6" w14:textId="77777777" w:rsidR="00600535" w:rsidRPr="00B57B36" w:rsidRDefault="00600535" w:rsidP="00681B04">
      <w:pPr>
        <w:pStyle w:val="CETAcknowledgementstitle"/>
        <w:contextualSpacing/>
        <w:mirrorIndents/>
      </w:pPr>
      <w:r w:rsidRPr="00B57B36">
        <w:t>Acknowledgments</w:t>
      </w:r>
    </w:p>
    <w:p w14:paraId="20476F76" w14:textId="3B3BDACD" w:rsidR="004140D8" w:rsidRDefault="00EF7F1A" w:rsidP="00681B04">
      <w:pPr>
        <w:pStyle w:val="CETReference"/>
        <w:spacing w:line="276" w:lineRule="auto"/>
        <w:contextualSpacing/>
        <w:mirrorIndents/>
        <w:rPr>
          <w:b w:val="0"/>
        </w:rPr>
      </w:pPr>
      <w:r w:rsidRPr="00EF7F1A">
        <w:rPr>
          <w:b w:val="0"/>
        </w:rPr>
        <w:t>This research was conducted within the framework of the REFRAME project, funded under the HORIZON-MSCA-2021-PF-01 program (Grant Agreement No. 101066638), with a duration of 36 months, starting on September 1, 2023. The authors gratefully acknowledge Sweden Water Research (SWR) for providing the pilot plant and supporting the production of cellulosic primary sludge (CPS) at Källby Wastewater Treatment Plant (WWTP).</w:t>
      </w:r>
    </w:p>
    <w:p w14:paraId="78D9235E" w14:textId="77777777" w:rsidR="00EF7F1A" w:rsidRDefault="00EF7F1A" w:rsidP="00681B04">
      <w:pPr>
        <w:pStyle w:val="CETReference"/>
        <w:spacing w:line="276" w:lineRule="auto"/>
        <w:contextualSpacing/>
        <w:mirrorIndents/>
        <w:rPr>
          <w:b w:val="0"/>
        </w:rPr>
      </w:pPr>
    </w:p>
    <w:p w14:paraId="428B022A" w14:textId="325FBBAB" w:rsidR="00E65B91" w:rsidRDefault="00600535" w:rsidP="005A1285">
      <w:pPr>
        <w:pStyle w:val="CETReference"/>
        <w:spacing w:line="276" w:lineRule="auto"/>
        <w:contextualSpacing/>
        <w:mirrorIndents/>
      </w:pPr>
      <w:r w:rsidRPr="00B57B36">
        <w:t>References</w:t>
      </w:r>
    </w:p>
    <w:p w14:paraId="7E5C5318" w14:textId="307B263C" w:rsidR="00B573EB" w:rsidRDefault="00B573EB" w:rsidP="00681B04">
      <w:pPr>
        <w:pStyle w:val="CETReferencetext"/>
        <w:spacing w:line="276" w:lineRule="auto"/>
        <w:contextualSpacing/>
        <w:mirrorIndents/>
      </w:pPr>
      <w:r w:rsidRPr="00B573EB">
        <w:t>APHA, A. E. G.; AWWA, A. D. E.; WEF, L. S. C. Standard Methods for the Examination of Water and Wastewater. Washington D. C.; American Public Health Association, 1998</w:t>
      </w:r>
    </w:p>
    <w:p w14:paraId="2FD10BB4" w14:textId="4F1C7F1E" w:rsidR="00B573EB" w:rsidRPr="00B573EB" w:rsidRDefault="00B573EB" w:rsidP="00B573EB">
      <w:pPr>
        <w:pStyle w:val="CETReferencetext"/>
        <w:spacing w:line="276" w:lineRule="auto"/>
        <w:contextualSpacing/>
        <w:mirrorIndents/>
        <w:rPr>
          <w:lang w:val="en-US"/>
        </w:rPr>
      </w:pPr>
      <w:r w:rsidRPr="00DA23CE">
        <w:rPr>
          <w:lang w:val="en-US"/>
        </w:rPr>
        <w:t xml:space="preserve">Behera, C. R., Santoro, D., Gernaey, K. V., &amp; Sin, G. (2018). </w:t>
      </w:r>
      <w:r w:rsidRPr="00B573EB">
        <w:rPr>
          <w:lang w:val="en-US"/>
        </w:rPr>
        <w:t>Organic carbon recovery modeling for a rotating belt filter and its impact assessment on a plant-wide scale. </w:t>
      </w:r>
      <w:r w:rsidRPr="00B573EB">
        <w:rPr>
          <w:i/>
          <w:iCs/>
          <w:lang w:val="en-US"/>
        </w:rPr>
        <w:t>Chemical Engineering Journal</w:t>
      </w:r>
      <w:r w:rsidRPr="00B573EB">
        <w:rPr>
          <w:lang w:val="en-US"/>
        </w:rPr>
        <w:t>, </w:t>
      </w:r>
      <w:r w:rsidRPr="00B573EB">
        <w:rPr>
          <w:i/>
          <w:iCs/>
          <w:lang w:val="en-US"/>
        </w:rPr>
        <w:t>334</w:t>
      </w:r>
      <w:r w:rsidRPr="00B573EB">
        <w:rPr>
          <w:lang w:val="en-US"/>
        </w:rPr>
        <w:t xml:space="preserve">, 1965-1976. </w:t>
      </w:r>
    </w:p>
    <w:p w14:paraId="18DE69A2" w14:textId="77777777" w:rsidR="00B573EB" w:rsidRPr="00B573EB" w:rsidRDefault="00B573EB" w:rsidP="00B573EB">
      <w:pPr>
        <w:pStyle w:val="CETReferencetext"/>
        <w:spacing w:line="276" w:lineRule="auto"/>
        <w:contextualSpacing/>
        <w:mirrorIndents/>
        <w:rPr>
          <w:lang w:val="en-US"/>
        </w:rPr>
      </w:pPr>
      <w:r w:rsidRPr="00B573EB">
        <w:rPr>
          <w:lang w:val="en-US"/>
        </w:rPr>
        <w:t xml:space="preserve">European Union. Directive (EU) 2024/3019 of the European Parliament </w:t>
      </w:r>
    </w:p>
    <w:p w14:paraId="27871CEE" w14:textId="7687334F" w:rsidR="00B573EB" w:rsidRDefault="00560A03" w:rsidP="00B573EB">
      <w:pPr>
        <w:pStyle w:val="CETReferencetext"/>
        <w:spacing w:line="276" w:lineRule="auto"/>
        <w:contextualSpacing/>
        <w:mirrorIndents/>
        <w:rPr>
          <w:lang w:val="en-US"/>
        </w:rPr>
      </w:pPr>
      <w:hyperlink r:id="rId16" w:history="1">
        <w:r w:rsidRPr="00B573EB">
          <w:rPr>
            <w:rStyle w:val="Hyperlnk"/>
            <w:lang w:val="en-US"/>
          </w:rPr>
          <w:t>https://eur-lex.europa.eu/eli/dir/2024/3019/oj/eng</w:t>
        </w:r>
      </w:hyperlink>
    </w:p>
    <w:p w14:paraId="6A47631A" w14:textId="778F668E" w:rsidR="00C3502E" w:rsidRPr="00DA23CE" w:rsidRDefault="00C3502E" w:rsidP="00B573EB">
      <w:pPr>
        <w:pStyle w:val="CETReferencetext"/>
        <w:spacing w:line="276" w:lineRule="auto"/>
        <w:contextualSpacing/>
        <w:mirrorIndents/>
        <w:rPr>
          <w:lang w:val="sv-SE"/>
        </w:rPr>
      </w:pPr>
      <w:r w:rsidRPr="00C3502E">
        <w:t>Da Ros, C., Conca, V., Eusebi, A. L., Frison, N., &amp; Fatone, F. (2020). Sieving of municipal wastewater and recovery of bio-based volatile fatty acids at pilot scale. </w:t>
      </w:r>
      <w:r w:rsidRPr="00DA23CE">
        <w:rPr>
          <w:i/>
          <w:iCs/>
          <w:lang w:val="sv-SE"/>
        </w:rPr>
        <w:t>Water research</w:t>
      </w:r>
      <w:r w:rsidRPr="00DA23CE">
        <w:rPr>
          <w:lang w:val="sv-SE"/>
        </w:rPr>
        <w:t>, </w:t>
      </w:r>
      <w:r w:rsidRPr="00DA23CE">
        <w:rPr>
          <w:i/>
          <w:iCs/>
          <w:lang w:val="sv-SE"/>
        </w:rPr>
        <w:t>174</w:t>
      </w:r>
      <w:r w:rsidRPr="00DA23CE">
        <w:rPr>
          <w:lang w:val="sv-SE"/>
        </w:rPr>
        <w:t>, 115633.</w:t>
      </w:r>
    </w:p>
    <w:p w14:paraId="76E0618E" w14:textId="77777777" w:rsidR="00B573EB" w:rsidRDefault="00B573EB" w:rsidP="00B573EB">
      <w:pPr>
        <w:pStyle w:val="CETReferencetext"/>
        <w:spacing w:line="276" w:lineRule="auto"/>
        <w:contextualSpacing/>
        <w:mirrorIndents/>
        <w:rPr>
          <w:lang w:val="en-US"/>
        </w:rPr>
      </w:pPr>
      <w:r w:rsidRPr="00B573EB">
        <w:rPr>
          <w:lang w:val="sv-SE"/>
        </w:rPr>
        <w:t xml:space="preserve">Foglia, A., Bruni, C., Cipolletta, G., Eusebi, A. L., Frison, N., Katsou, E., ... </w:t>
      </w:r>
      <w:r w:rsidRPr="00B573EB">
        <w:rPr>
          <w:lang w:val="en-US"/>
        </w:rPr>
        <w:t>&amp; Fatone, F. (2021). Assessing socio-economic value of innovative materials recovery solutions validated in existing wastewater treatment plants. </w:t>
      </w:r>
      <w:r w:rsidRPr="00B573EB">
        <w:rPr>
          <w:i/>
          <w:iCs/>
          <w:lang w:val="en-US"/>
        </w:rPr>
        <w:t>Journal of Cleaner Production</w:t>
      </w:r>
      <w:r w:rsidRPr="00B573EB">
        <w:rPr>
          <w:lang w:val="en-US"/>
        </w:rPr>
        <w:t>, </w:t>
      </w:r>
      <w:r w:rsidRPr="00B573EB">
        <w:rPr>
          <w:i/>
          <w:iCs/>
          <w:lang w:val="en-US"/>
        </w:rPr>
        <w:t>322</w:t>
      </w:r>
      <w:r w:rsidRPr="00B573EB">
        <w:rPr>
          <w:lang w:val="en-US"/>
        </w:rPr>
        <w:t xml:space="preserve">, 129048. </w:t>
      </w:r>
    </w:p>
    <w:p w14:paraId="4D197957" w14:textId="77777777" w:rsidR="00B573EB" w:rsidRPr="00B573EB" w:rsidRDefault="00B573EB" w:rsidP="00B573EB">
      <w:pPr>
        <w:pStyle w:val="CETReferencetext"/>
        <w:spacing w:line="276" w:lineRule="auto"/>
        <w:contextualSpacing/>
        <w:mirrorIndents/>
        <w:rPr>
          <w:lang w:val="en-US"/>
        </w:rPr>
      </w:pPr>
      <w:r w:rsidRPr="00B573EB">
        <w:rPr>
          <w:lang w:val="en-US"/>
        </w:rPr>
        <w:t>Ossiansson, E., Bengtsson, S., Persson, F., Cimbritz, M., &amp; Gustavsson, D. J. (2023). Primary filtration of municipal wastewater with sludge fermentation–impacts on biological nutrient removal. </w:t>
      </w:r>
      <w:r w:rsidRPr="00B573EB">
        <w:rPr>
          <w:i/>
          <w:iCs/>
          <w:lang w:val="en-US"/>
        </w:rPr>
        <w:t>Science of the Total Environment</w:t>
      </w:r>
      <w:r w:rsidRPr="00B573EB">
        <w:rPr>
          <w:lang w:val="en-US"/>
        </w:rPr>
        <w:t>, </w:t>
      </w:r>
      <w:r w:rsidRPr="00B573EB">
        <w:rPr>
          <w:i/>
          <w:iCs/>
          <w:lang w:val="en-US"/>
        </w:rPr>
        <w:t>902</w:t>
      </w:r>
      <w:r w:rsidRPr="00B573EB">
        <w:rPr>
          <w:lang w:val="en-US"/>
        </w:rPr>
        <w:t xml:space="preserve">, 166483. </w:t>
      </w:r>
    </w:p>
    <w:p w14:paraId="3CC0DC68" w14:textId="77777777" w:rsidR="00B573EB" w:rsidRPr="00B573EB" w:rsidRDefault="00B573EB" w:rsidP="00B573EB">
      <w:pPr>
        <w:pStyle w:val="CETReferencetext"/>
        <w:spacing w:line="276" w:lineRule="auto"/>
        <w:contextualSpacing/>
        <w:mirrorIndents/>
        <w:rPr>
          <w:lang w:val="en-US"/>
        </w:rPr>
      </w:pPr>
      <w:r w:rsidRPr="00B573EB">
        <w:rPr>
          <w:lang w:val="en-US"/>
        </w:rPr>
        <w:t>Sluiter, A., Hames, B., Ruiz, R., Scarlata, C., Sluiter, J., Templeton, D., &amp; Crocker, D. L. A. P. (2008). Determination of structural carbohydrates and lignin in biomass. </w:t>
      </w:r>
      <w:r w:rsidRPr="00B573EB">
        <w:rPr>
          <w:i/>
          <w:iCs/>
          <w:lang w:val="en-US"/>
        </w:rPr>
        <w:t>Laboratory analytical procedure</w:t>
      </w:r>
      <w:r w:rsidRPr="00B573EB">
        <w:rPr>
          <w:lang w:val="en-US"/>
        </w:rPr>
        <w:t>, </w:t>
      </w:r>
      <w:r w:rsidRPr="00B573EB">
        <w:rPr>
          <w:i/>
          <w:iCs/>
          <w:lang w:val="en-US"/>
        </w:rPr>
        <w:t>1617</w:t>
      </w:r>
      <w:r w:rsidRPr="00B573EB">
        <w:rPr>
          <w:lang w:val="en-US"/>
        </w:rPr>
        <w:t xml:space="preserve">(1), 1-16. </w:t>
      </w:r>
    </w:p>
    <w:p w14:paraId="507831D7" w14:textId="77777777" w:rsidR="00B573EB" w:rsidRPr="00B573EB" w:rsidRDefault="00B573EB" w:rsidP="00B573EB">
      <w:pPr>
        <w:pStyle w:val="CETReferencetext"/>
        <w:spacing w:line="276" w:lineRule="auto"/>
        <w:contextualSpacing/>
        <w:mirrorIndents/>
        <w:rPr>
          <w:lang w:val="en-US"/>
        </w:rPr>
      </w:pPr>
      <w:r w:rsidRPr="00B573EB">
        <w:rPr>
          <w:lang w:val="en-US"/>
        </w:rPr>
        <w:t>Sun, X. F., Xu, F., Sun, R. C., Fowler, P., &amp; Baird, M. S. (2005). Characteristics of degraded cellulose obtained from steam-exploded wheat straw. </w:t>
      </w:r>
      <w:r w:rsidRPr="00B573EB">
        <w:rPr>
          <w:i/>
          <w:iCs/>
          <w:lang w:val="en-US"/>
        </w:rPr>
        <w:t>Carbohydrate research</w:t>
      </w:r>
      <w:r w:rsidRPr="00B573EB">
        <w:rPr>
          <w:lang w:val="en-US"/>
        </w:rPr>
        <w:t>, </w:t>
      </w:r>
      <w:r w:rsidRPr="00B573EB">
        <w:rPr>
          <w:i/>
          <w:iCs/>
          <w:lang w:val="en-US"/>
        </w:rPr>
        <w:t>340</w:t>
      </w:r>
      <w:r w:rsidRPr="00B573EB">
        <w:rPr>
          <w:lang w:val="en-US"/>
        </w:rPr>
        <w:t xml:space="preserve">(1), 97-106. </w:t>
      </w:r>
    </w:p>
    <w:p w14:paraId="61A6DDBD" w14:textId="77777777" w:rsidR="00B573EB" w:rsidRPr="00B573EB" w:rsidRDefault="00B573EB" w:rsidP="00B573EB">
      <w:pPr>
        <w:pStyle w:val="CETReferencetext"/>
        <w:spacing w:line="276" w:lineRule="auto"/>
        <w:contextualSpacing/>
        <w:mirrorIndents/>
        <w:rPr>
          <w:lang w:val="en-US"/>
        </w:rPr>
      </w:pPr>
      <w:r w:rsidRPr="00B573EB">
        <w:rPr>
          <w:lang w:val="en-US"/>
        </w:rPr>
        <w:t>Yi, W., Ziyu, Z., Shujun, Y., Hao, L., Noman, A., &amp; Zhang, S. H. (2022). Cellulose degradation microorganisms and environmental-friendly solution to the agricultural waste management. In </w:t>
      </w:r>
      <w:r w:rsidRPr="00B573EB">
        <w:rPr>
          <w:i/>
          <w:iCs/>
          <w:lang w:val="en-US"/>
        </w:rPr>
        <w:t>Beneficial microorganisms in agriculture</w:t>
      </w:r>
      <w:r w:rsidRPr="00B573EB">
        <w:rPr>
          <w:lang w:val="en-US"/>
        </w:rPr>
        <w:t xml:space="preserve"> (pp. 307-328). Singapore: Springer Nature Singapore. </w:t>
      </w:r>
    </w:p>
    <w:p w14:paraId="4D4F5723" w14:textId="77777777" w:rsidR="00B573EB" w:rsidRPr="00B573EB" w:rsidRDefault="00B573EB" w:rsidP="00B573EB">
      <w:pPr>
        <w:pStyle w:val="CETReferencetext"/>
        <w:spacing w:line="276" w:lineRule="auto"/>
        <w:contextualSpacing/>
        <w:mirrorIndents/>
        <w:rPr>
          <w:lang w:val="en-US"/>
        </w:rPr>
      </w:pPr>
      <w:r w:rsidRPr="00B573EB">
        <w:rPr>
          <w:lang w:val="en-US"/>
        </w:rPr>
        <w:t>Wang, X., Liu, G., Sun, W., Cao, Z., Liu, H., Xiong, Y., ... &amp; Gao, P. (2023). Removal of toilet paper fibers from residential wastewater: a life cycle assessment. </w:t>
      </w:r>
      <w:r w:rsidRPr="00B573EB">
        <w:rPr>
          <w:i/>
          <w:iCs/>
          <w:lang w:val="en-US"/>
        </w:rPr>
        <w:t>Environmental Science and Pollution Research</w:t>
      </w:r>
      <w:r w:rsidRPr="00B573EB">
        <w:rPr>
          <w:lang w:val="en-US"/>
        </w:rPr>
        <w:t>, </w:t>
      </w:r>
      <w:r w:rsidRPr="00B573EB">
        <w:rPr>
          <w:i/>
          <w:iCs/>
          <w:lang w:val="en-US"/>
        </w:rPr>
        <w:t>30</w:t>
      </w:r>
      <w:r w:rsidRPr="00B573EB">
        <w:rPr>
          <w:lang w:val="en-US"/>
        </w:rPr>
        <w:t xml:space="preserve">(35), 84254-84266. </w:t>
      </w:r>
    </w:p>
    <w:p w14:paraId="6E4F4046" w14:textId="77777777" w:rsidR="00B573EB" w:rsidRPr="00B573EB" w:rsidRDefault="00B573EB" w:rsidP="00B573EB">
      <w:pPr>
        <w:pStyle w:val="CETReferencetext"/>
        <w:spacing w:line="276" w:lineRule="auto"/>
        <w:contextualSpacing/>
        <w:mirrorIndents/>
        <w:rPr>
          <w:lang w:val="en-US"/>
        </w:rPr>
      </w:pPr>
    </w:p>
    <w:p w14:paraId="5E202F83" w14:textId="2BFA94E9" w:rsidR="00B573EB" w:rsidRPr="00B573EB" w:rsidRDefault="00B573EB" w:rsidP="00027136">
      <w:pPr>
        <w:tabs>
          <w:tab w:val="clear" w:pos="7100"/>
        </w:tabs>
        <w:spacing w:after="200" w:line="276" w:lineRule="auto"/>
        <w:jc w:val="left"/>
        <w:rPr>
          <w:lang w:val="en-US"/>
        </w:rPr>
      </w:pPr>
    </w:p>
    <w:sectPr w:rsidR="00B573EB" w:rsidRPr="00B573EB"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B1712F" w14:textId="77777777" w:rsidR="00A2545A" w:rsidRDefault="00A2545A" w:rsidP="004F5E36">
      <w:r>
        <w:separator/>
      </w:r>
    </w:p>
  </w:endnote>
  <w:endnote w:type="continuationSeparator" w:id="0">
    <w:p w14:paraId="7EE58BC8" w14:textId="77777777" w:rsidR="00A2545A" w:rsidRDefault="00A2545A"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ri">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986F52" w14:textId="77777777" w:rsidR="00A2545A" w:rsidRDefault="00A2545A" w:rsidP="004F5E36">
      <w:r>
        <w:separator/>
      </w:r>
    </w:p>
  </w:footnote>
  <w:footnote w:type="continuationSeparator" w:id="0">
    <w:p w14:paraId="2F567F68" w14:textId="77777777" w:rsidR="00A2545A" w:rsidRDefault="00A2545A"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Numreradlista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reradlista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reradlista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reradlista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ktlist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ktlist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ktlist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ktlist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reradlista"/>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ktlista"/>
      <w:lvlText w:val=""/>
      <w:lvlJc w:val="left"/>
      <w:pPr>
        <w:tabs>
          <w:tab w:val="num" w:pos="360"/>
        </w:tabs>
        <w:ind w:left="360" w:hanging="360"/>
      </w:pPr>
      <w:rPr>
        <w:rFonts w:ascii="Symbol" w:hAnsi="Symbol" w:hint="default"/>
      </w:rPr>
    </w:lvl>
  </w:abstractNum>
  <w:abstractNum w:abstractNumId="10"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438217E"/>
    <w:multiLevelType w:val="multilevel"/>
    <w:tmpl w:val="5F0607DC"/>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Enkeltabell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1"/>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8"/>
  </w:num>
  <w:num w:numId="13" w16cid:durableId="695733619">
    <w:abstractNumId w:val="13"/>
  </w:num>
  <w:num w:numId="14" w16cid:durableId="145903400">
    <w:abstractNumId w:val="19"/>
  </w:num>
  <w:num w:numId="15" w16cid:durableId="19162326">
    <w:abstractNumId w:val="21"/>
  </w:num>
  <w:num w:numId="16" w16cid:durableId="1977102699">
    <w:abstractNumId w:val="20"/>
  </w:num>
  <w:num w:numId="17" w16cid:durableId="860774865">
    <w:abstractNumId w:val="12"/>
  </w:num>
  <w:num w:numId="18" w16cid:durableId="313221457">
    <w:abstractNumId w:val="13"/>
    <w:lvlOverride w:ilvl="0">
      <w:startOverride w:val="1"/>
    </w:lvlOverride>
  </w:num>
  <w:num w:numId="19" w16cid:durableId="534971577">
    <w:abstractNumId w:val="17"/>
  </w:num>
  <w:num w:numId="20" w16cid:durableId="1150947773">
    <w:abstractNumId w:val="16"/>
  </w:num>
  <w:num w:numId="21" w16cid:durableId="124660497">
    <w:abstractNumId w:val="15"/>
  </w:num>
  <w:num w:numId="22" w16cid:durableId="2099861471">
    <w:abstractNumId w:val="14"/>
  </w:num>
  <w:num w:numId="23" w16cid:durableId="84351335">
    <w:abstractNumId w:val="10"/>
  </w:num>
  <w:num w:numId="24" w16cid:durableId="428086684">
    <w:abstractNumId w:val="11"/>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96749853">
    <w:abstractNumId w:val="11"/>
    <w:lvlOverride w:ilvl="0">
      <w:lvl w:ilvl="0">
        <w:start w:val="1"/>
        <w:numFmt w:val="decimal"/>
        <w:suff w:val="space"/>
        <w:lvlText w:val="Chapter %1"/>
        <w:lvlJc w:val="left"/>
        <w:pPr>
          <w:ind w:left="0" w:firstLine="0"/>
        </w:pPr>
        <w:rPr>
          <w:rFonts w:hint="default"/>
        </w:rPr>
      </w:lvl>
    </w:lvlOverride>
    <w:lvlOverride w:ilvl="1">
      <w:lvl w:ilvl="1">
        <w:start w:val="1"/>
        <w:numFmt w:val="none"/>
        <w:pStyle w:val="CETHeading1"/>
        <w:suff w:val="space"/>
        <w:lvlText w:val="3.4"/>
        <w:lvlJc w:val="left"/>
        <w:pPr>
          <w:ind w:left="0" w:firstLine="0"/>
        </w:pPr>
        <w:rPr>
          <w:rFonts w:hint="default"/>
        </w:rPr>
      </w:lvl>
    </w:lvlOverride>
    <w:lvlOverride w:ilvl="2">
      <w:lvl w:ilvl="2">
        <w:start w:val="1"/>
        <w:numFmt w:val="decimal"/>
        <w:pStyle w:val="CETheadingx"/>
        <w:suff w:val="space"/>
        <w:lvlText w:val="%2.%3"/>
        <w:lvlJc w:val="left"/>
        <w:pPr>
          <w:ind w:left="0" w:firstLine="0"/>
        </w:pPr>
        <w:rPr>
          <w:rFonts w:hint="default"/>
        </w:rPr>
      </w:lvl>
    </w:lvlOverride>
    <w:lvlOverride w:ilvl="3">
      <w:lvl w:ilvl="3">
        <w:start w:val="1"/>
        <w:numFmt w:val="decimal"/>
        <w:pStyle w:val="Enkeltabell1"/>
        <w:suff w:val="space"/>
        <w:lvlText w:val="%2.%3.%4."/>
        <w:lvlJc w:val="left"/>
        <w:pPr>
          <w:ind w:left="0" w:firstLine="0"/>
        </w:pPr>
        <w:rPr>
          <w:rFonts w:hint="default"/>
        </w:rPr>
      </w:lvl>
    </w:lvlOverride>
    <w:lvlOverride w:ilvl="4">
      <w:lvl w:ilvl="4">
        <w:start w:val="1"/>
        <w:numFmt w:val="decimal"/>
        <w:suff w:val="space"/>
        <w:lvlText w:val="%1.%2.%3.%4.%5."/>
        <w:lvlJc w:val="left"/>
        <w:pPr>
          <w:ind w:left="0" w:firstLine="0"/>
        </w:pPr>
        <w:rPr>
          <w:rFonts w:hint="default"/>
        </w:rPr>
      </w:lvl>
    </w:lvlOverride>
    <w:lvlOverride w:ilvl="5">
      <w:lvl w:ilvl="5">
        <w:start w:val="1"/>
        <w:numFmt w:val="decimal"/>
        <w:suff w:val="space"/>
        <w:lvlText w:val="%1.%2.%3.%4.%5.%6."/>
        <w:lvlJc w:val="left"/>
        <w:pPr>
          <w:ind w:left="0" w:firstLine="0"/>
        </w:pPr>
        <w:rPr>
          <w:rFonts w:hint="default"/>
        </w:rPr>
      </w:lvl>
    </w:lvlOverride>
    <w:lvlOverride w:ilvl="6">
      <w:lvl w:ilvl="6">
        <w:start w:val="1"/>
        <w:numFmt w:val="decimal"/>
        <w:suff w:val="space"/>
        <w:lvlText w:val="%1.%2.%3.%4.%5.%6.%7."/>
        <w:lvlJc w:val="left"/>
        <w:pPr>
          <w:ind w:left="0" w:firstLine="0"/>
        </w:pPr>
        <w:rPr>
          <w:rFonts w:hint="default"/>
        </w:rPr>
      </w:lvl>
    </w:lvlOverride>
    <w:lvlOverride w:ilvl="7">
      <w:lvl w:ilvl="7">
        <w:start w:val="1"/>
        <w:numFmt w:val="decimal"/>
        <w:suff w:val="space"/>
        <w:lvlText w:val="%1.%2.%3.%4.%5.%6.%7.%8."/>
        <w:lvlJc w:val="left"/>
        <w:pPr>
          <w:ind w:left="0" w:firstLine="0"/>
        </w:pPr>
        <w:rPr>
          <w:rFonts w:hint="default"/>
        </w:rPr>
      </w:lvl>
    </w:lvlOverride>
    <w:lvlOverride w:ilvl="8">
      <w:lvl w:ilvl="8">
        <w:start w:val="1"/>
        <w:numFmt w:val="decimal"/>
        <w:suff w:val="space"/>
        <w:lvlText w:val="%1..%3.%4.%5.%6.%7.%8.%9."/>
        <w:lvlJc w:val="left"/>
        <w:pPr>
          <w:ind w:left="0" w:firstLine="0"/>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571"/>
    <w:rsid w:val="000027C0"/>
    <w:rsid w:val="000052FB"/>
    <w:rsid w:val="00005A19"/>
    <w:rsid w:val="000117CB"/>
    <w:rsid w:val="00026000"/>
    <w:rsid w:val="00027136"/>
    <w:rsid w:val="0003148D"/>
    <w:rsid w:val="00031EEC"/>
    <w:rsid w:val="00032AAA"/>
    <w:rsid w:val="00043AA1"/>
    <w:rsid w:val="00051566"/>
    <w:rsid w:val="000562A9"/>
    <w:rsid w:val="00062A9A"/>
    <w:rsid w:val="00065058"/>
    <w:rsid w:val="00076849"/>
    <w:rsid w:val="00086C39"/>
    <w:rsid w:val="00092CAB"/>
    <w:rsid w:val="000A03B2"/>
    <w:rsid w:val="000B2858"/>
    <w:rsid w:val="000D0268"/>
    <w:rsid w:val="000D34BE"/>
    <w:rsid w:val="000E0B3C"/>
    <w:rsid w:val="000E102F"/>
    <w:rsid w:val="000E36F1"/>
    <w:rsid w:val="000E3A73"/>
    <w:rsid w:val="000E414A"/>
    <w:rsid w:val="000E4206"/>
    <w:rsid w:val="000E713F"/>
    <w:rsid w:val="000E75FD"/>
    <w:rsid w:val="000F093C"/>
    <w:rsid w:val="000F787B"/>
    <w:rsid w:val="00111D21"/>
    <w:rsid w:val="0012091F"/>
    <w:rsid w:val="00126BC2"/>
    <w:rsid w:val="001308B6"/>
    <w:rsid w:val="0013121F"/>
    <w:rsid w:val="00131FE6"/>
    <w:rsid w:val="0013263F"/>
    <w:rsid w:val="001331DF"/>
    <w:rsid w:val="00134DE4"/>
    <w:rsid w:val="0014034D"/>
    <w:rsid w:val="00140FE3"/>
    <w:rsid w:val="00144D16"/>
    <w:rsid w:val="00150E59"/>
    <w:rsid w:val="00152DE3"/>
    <w:rsid w:val="00164CF9"/>
    <w:rsid w:val="0016668E"/>
    <w:rsid w:val="001667A6"/>
    <w:rsid w:val="00172C8B"/>
    <w:rsid w:val="00173763"/>
    <w:rsid w:val="0018171E"/>
    <w:rsid w:val="00181BAC"/>
    <w:rsid w:val="00184AD6"/>
    <w:rsid w:val="00193D63"/>
    <w:rsid w:val="001A4AF7"/>
    <w:rsid w:val="001B0349"/>
    <w:rsid w:val="001B1E93"/>
    <w:rsid w:val="001B65C1"/>
    <w:rsid w:val="001C260F"/>
    <w:rsid w:val="001C3DEB"/>
    <w:rsid w:val="001C5C3A"/>
    <w:rsid w:val="001C684B"/>
    <w:rsid w:val="001D0CFB"/>
    <w:rsid w:val="001D21AF"/>
    <w:rsid w:val="001D3D32"/>
    <w:rsid w:val="001D53FC"/>
    <w:rsid w:val="001D6864"/>
    <w:rsid w:val="001F42A5"/>
    <w:rsid w:val="001F7B9D"/>
    <w:rsid w:val="00201C93"/>
    <w:rsid w:val="002224B4"/>
    <w:rsid w:val="002447EF"/>
    <w:rsid w:val="00251550"/>
    <w:rsid w:val="00263B05"/>
    <w:rsid w:val="0027221A"/>
    <w:rsid w:val="00275B61"/>
    <w:rsid w:val="00280FAF"/>
    <w:rsid w:val="00282656"/>
    <w:rsid w:val="00292951"/>
    <w:rsid w:val="00296B83"/>
    <w:rsid w:val="002B4015"/>
    <w:rsid w:val="002B78CE"/>
    <w:rsid w:val="002C2FB6"/>
    <w:rsid w:val="002C401B"/>
    <w:rsid w:val="002D3C72"/>
    <w:rsid w:val="002E5FA7"/>
    <w:rsid w:val="002F3309"/>
    <w:rsid w:val="003008CE"/>
    <w:rsid w:val="003009B7"/>
    <w:rsid w:val="00300E56"/>
    <w:rsid w:val="0030152C"/>
    <w:rsid w:val="0030469C"/>
    <w:rsid w:val="00304CE8"/>
    <w:rsid w:val="00321CA6"/>
    <w:rsid w:val="00323763"/>
    <w:rsid w:val="00323C5F"/>
    <w:rsid w:val="00331C67"/>
    <w:rsid w:val="00334C09"/>
    <w:rsid w:val="003723D4"/>
    <w:rsid w:val="00381905"/>
    <w:rsid w:val="00384CC8"/>
    <w:rsid w:val="003871FD"/>
    <w:rsid w:val="003A1E30"/>
    <w:rsid w:val="003A2829"/>
    <w:rsid w:val="003A7D1C"/>
    <w:rsid w:val="003B304B"/>
    <w:rsid w:val="003B3146"/>
    <w:rsid w:val="003B49CD"/>
    <w:rsid w:val="003C4D92"/>
    <w:rsid w:val="003D0CA2"/>
    <w:rsid w:val="003D1E02"/>
    <w:rsid w:val="003E4997"/>
    <w:rsid w:val="003F015E"/>
    <w:rsid w:val="00400414"/>
    <w:rsid w:val="004071D1"/>
    <w:rsid w:val="004140D8"/>
    <w:rsid w:val="0041446B"/>
    <w:rsid w:val="0044071E"/>
    <w:rsid w:val="0044329C"/>
    <w:rsid w:val="00453E24"/>
    <w:rsid w:val="00457456"/>
    <w:rsid w:val="004577FE"/>
    <w:rsid w:val="00457B9C"/>
    <w:rsid w:val="0046068C"/>
    <w:rsid w:val="0046164A"/>
    <w:rsid w:val="004628D2"/>
    <w:rsid w:val="00462DCD"/>
    <w:rsid w:val="004648AD"/>
    <w:rsid w:val="004703A9"/>
    <w:rsid w:val="004760DE"/>
    <w:rsid w:val="004763D7"/>
    <w:rsid w:val="004A004E"/>
    <w:rsid w:val="004A24CF"/>
    <w:rsid w:val="004B1293"/>
    <w:rsid w:val="004C3D1D"/>
    <w:rsid w:val="004C3D84"/>
    <w:rsid w:val="004C7913"/>
    <w:rsid w:val="004E4DD6"/>
    <w:rsid w:val="004F3F3B"/>
    <w:rsid w:val="004F5E36"/>
    <w:rsid w:val="00507B47"/>
    <w:rsid w:val="00507BEF"/>
    <w:rsid w:val="00507CC9"/>
    <w:rsid w:val="005119A5"/>
    <w:rsid w:val="005204FB"/>
    <w:rsid w:val="005278B7"/>
    <w:rsid w:val="00527B94"/>
    <w:rsid w:val="00532016"/>
    <w:rsid w:val="005346C8"/>
    <w:rsid w:val="005403DB"/>
    <w:rsid w:val="005416E6"/>
    <w:rsid w:val="00543E7D"/>
    <w:rsid w:val="00547A68"/>
    <w:rsid w:val="005531C9"/>
    <w:rsid w:val="00554879"/>
    <w:rsid w:val="00560A03"/>
    <w:rsid w:val="00563338"/>
    <w:rsid w:val="00570C43"/>
    <w:rsid w:val="00592274"/>
    <w:rsid w:val="0059504B"/>
    <w:rsid w:val="005A1285"/>
    <w:rsid w:val="005B2110"/>
    <w:rsid w:val="005B350B"/>
    <w:rsid w:val="005B61E6"/>
    <w:rsid w:val="005C77E1"/>
    <w:rsid w:val="005D668A"/>
    <w:rsid w:val="005D6A2F"/>
    <w:rsid w:val="005E0592"/>
    <w:rsid w:val="005E1A82"/>
    <w:rsid w:val="005E4A86"/>
    <w:rsid w:val="005E794C"/>
    <w:rsid w:val="005F0A28"/>
    <w:rsid w:val="005F0E5E"/>
    <w:rsid w:val="00600535"/>
    <w:rsid w:val="00610CD6"/>
    <w:rsid w:val="00620DEE"/>
    <w:rsid w:val="00621F92"/>
    <w:rsid w:val="0062280A"/>
    <w:rsid w:val="006231E1"/>
    <w:rsid w:val="00625639"/>
    <w:rsid w:val="00626342"/>
    <w:rsid w:val="00631B33"/>
    <w:rsid w:val="00633D58"/>
    <w:rsid w:val="0064184D"/>
    <w:rsid w:val="006422CC"/>
    <w:rsid w:val="00651D18"/>
    <w:rsid w:val="00660949"/>
    <w:rsid w:val="00660E3E"/>
    <w:rsid w:val="00662E74"/>
    <w:rsid w:val="0066326B"/>
    <w:rsid w:val="00680C23"/>
    <w:rsid w:val="00681B04"/>
    <w:rsid w:val="00683E23"/>
    <w:rsid w:val="00693766"/>
    <w:rsid w:val="006A3281"/>
    <w:rsid w:val="006A6DE5"/>
    <w:rsid w:val="006B4888"/>
    <w:rsid w:val="006C2E45"/>
    <w:rsid w:val="006C359C"/>
    <w:rsid w:val="006C5579"/>
    <w:rsid w:val="006D6E8B"/>
    <w:rsid w:val="006D7209"/>
    <w:rsid w:val="006E737D"/>
    <w:rsid w:val="006F2A64"/>
    <w:rsid w:val="00707DD1"/>
    <w:rsid w:val="00713973"/>
    <w:rsid w:val="00720A24"/>
    <w:rsid w:val="00724BD6"/>
    <w:rsid w:val="00732386"/>
    <w:rsid w:val="0073514D"/>
    <w:rsid w:val="007447F3"/>
    <w:rsid w:val="0075499F"/>
    <w:rsid w:val="007660B4"/>
    <w:rsid w:val="007661C8"/>
    <w:rsid w:val="0077098D"/>
    <w:rsid w:val="00785BF9"/>
    <w:rsid w:val="007931FA"/>
    <w:rsid w:val="007976CB"/>
    <w:rsid w:val="007A4861"/>
    <w:rsid w:val="007A7BBA"/>
    <w:rsid w:val="007B0C50"/>
    <w:rsid w:val="007B48F9"/>
    <w:rsid w:val="007C1A43"/>
    <w:rsid w:val="007D0951"/>
    <w:rsid w:val="007D610D"/>
    <w:rsid w:val="007F457D"/>
    <w:rsid w:val="0080013E"/>
    <w:rsid w:val="00801759"/>
    <w:rsid w:val="00813288"/>
    <w:rsid w:val="008168FC"/>
    <w:rsid w:val="00822C95"/>
    <w:rsid w:val="00827639"/>
    <w:rsid w:val="00830996"/>
    <w:rsid w:val="008345F1"/>
    <w:rsid w:val="00865B07"/>
    <w:rsid w:val="008667EA"/>
    <w:rsid w:val="008679EF"/>
    <w:rsid w:val="0087637F"/>
    <w:rsid w:val="00892AD5"/>
    <w:rsid w:val="008A1512"/>
    <w:rsid w:val="008A1D7C"/>
    <w:rsid w:val="008B437F"/>
    <w:rsid w:val="008B64B9"/>
    <w:rsid w:val="008D2677"/>
    <w:rsid w:val="008D32B9"/>
    <w:rsid w:val="008D433B"/>
    <w:rsid w:val="008D4A16"/>
    <w:rsid w:val="008E5401"/>
    <w:rsid w:val="008E566E"/>
    <w:rsid w:val="0090161A"/>
    <w:rsid w:val="00901EB6"/>
    <w:rsid w:val="009041F8"/>
    <w:rsid w:val="00904C62"/>
    <w:rsid w:val="00922BA8"/>
    <w:rsid w:val="00924DAC"/>
    <w:rsid w:val="00927058"/>
    <w:rsid w:val="00942750"/>
    <w:rsid w:val="009450CE"/>
    <w:rsid w:val="009459BB"/>
    <w:rsid w:val="00947179"/>
    <w:rsid w:val="00947461"/>
    <w:rsid w:val="0095164B"/>
    <w:rsid w:val="00954090"/>
    <w:rsid w:val="009573E7"/>
    <w:rsid w:val="00963E05"/>
    <w:rsid w:val="00964A45"/>
    <w:rsid w:val="00967843"/>
    <w:rsid w:val="00967D54"/>
    <w:rsid w:val="00971028"/>
    <w:rsid w:val="009861A8"/>
    <w:rsid w:val="009906ED"/>
    <w:rsid w:val="00993B84"/>
    <w:rsid w:val="00994C6A"/>
    <w:rsid w:val="00996483"/>
    <w:rsid w:val="00996F5A"/>
    <w:rsid w:val="009B041A"/>
    <w:rsid w:val="009B6E57"/>
    <w:rsid w:val="009C37C3"/>
    <w:rsid w:val="009C7C86"/>
    <w:rsid w:val="009D2FF7"/>
    <w:rsid w:val="009E1A62"/>
    <w:rsid w:val="009E7884"/>
    <w:rsid w:val="009E788A"/>
    <w:rsid w:val="009F0D35"/>
    <w:rsid w:val="009F0E08"/>
    <w:rsid w:val="009F475C"/>
    <w:rsid w:val="00A0302A"/>
    <w:rsid w:val="00A079AE"/>
    <w:rsid w:val="00A1763D"/>
    <w:rsid w:val="00A17CEC"/>
    <w:rsid w:val="00A21787"/>
    <w:rsid w:val="00A21BA5"/>
    <w:rsid w:val="00A2545A"/>
    <w:rsid w:val="00A27EF0"/>
    <w:rsid w:val="00A42361"/>
    <w:rsid w:val="00A50B20"/>
    <w:rsid w:val="00A51390"/>
    <w:rsid w:val="00A60D13"/>
    <w:rsid w:val="00A657B4"/>
    <w:rsid w:val="00A7223D"/>
    <w:rsid w:val="00A72745"/>
    <w:rsid w:val="00A76EFC"/>
    <w:rsid w:val="00A80C08"/>
    <w:rsid w:val="00A8478C"/>
    <w:rsid w:val="00A87D50"/>
    <w:rsid w:val="00A91010"/>
    <w:rsid w:val="00A95B36"/>
    <w:rsid w:val="00A97F29"/>
    <w:rsid w:val="00AA702E"/>
    <w:rsid w:val="00AA7D26"/>
    <w:rsid w:val="00AB0964"/>
    <w:rsid w:val="00AB31F7"/>
    <w:rsid w:val="00AB5011"/>
    <w:rsid w:val="00AC7368"/>
    <w:rsid w:val="00AD16B9"/>
    <w:rsid w:val="00AD7050"/>
    <w:rsid w:val="00AE377D"/>
    <w:rsid w:val="00AF0EBA"/>
    <w:rsid w:val="00AF2463"/>
    <w:rsid w:val="00AF4B86"/>
    <w:rsid w:val="00B02C8A"/>
    <w:rsid w:val="00B17FBD"/>
    <w:rsid w:val="00B2520D"/>
    <w:rsid w:val="00B315A6"/>
    <w:rsid w:val="00B31813"/>
    <w:rsid w:val="00B33365"/>
    <w:rsid w:val="00B37655"/>
    <w:rsid w:val="00B5092C"/>
    <w:rsid w:val="00B573EB"/>
    <w:rsid w:val="00B57B36"/>
    <w:rsid w:val="00B57E6F"/>
    <w:rsid w:val="00B8686D"/>
    <w:rsid w:val="00B93F69"/>
    <w:rsid w:val="00BA4676"/>
    <w:rsid w:val="00BB1DDC"/>
    <w:rsid w:val="00BC30C9"/>
    <w:rsid w:val="00BD077D"/>
    <w:rsid w:val="00BE3E58"/>
    <w:rsid w:val="00BF08D9"/>
    <w:rsid w:val="00BF13CE"/>
    <w:rsid w:val="00C01616"/>
    <w:rsid w:val="00C0162B"/>
    <w:rsid w:val="00C068ED"/>
    <w:rsid w:val="00C22E0C"/>
    <w:rsid w:val="00C345B1"/>
    <w:rsid w:val="00C3502E"/>
    <w:rsid w:val="00C37061"/>
    <w:rsid w:val="00C40142"/>
    <w:rsid w:val="00C52C3C"/>
    <w:rsid w:val="00C53EE5"/>
    <w:rsid w:val="00C57182"/>
    <w:rsid w:val="00C57863"/>
    <w:rsid w:val="00C640AF"/>
    <w:rsid w:val="00C655FD"/>
    <w:rsid w:val="00C728A9"/>
    <w:rsid w:val="00C75407"/>
    <w:rsid w:val="00C841C6"/>
    <w:rsid w:val="00C870A8"/>
    <w:rsid w:val="00C94434"/>
    <w:rsid w:val="00C94A23"/>
    <w:rsid w:val="00CA0D75"/>
    <w:rsid w:val="00CA1C95"/>
    <w:rsid w:val="00CA34FF"/>
    <w:rsid w:val="00CA5A9C"/>
    <w:rsid w:val="00CC2273"/>
    <w:rsid w:val="00CC4C20"/>
    <w:rsid w:val="00CD1098"/>
    <w:rsid w:val="00CD3517"/>
    <w:rsid w:val="00CD5FE2"/>
    <w:rsid w:val="00CE0405"/>
    <w:rsid w:val="00CE7C68"/>
    <w:rsid w:val="00D02B4C"/>
    <w:rsid w:val="00D03917"/>
    <w:rsid w:val="00D040C4"/>
    <w:rsid w:val="00D12240"/>
    <w:rsid w:val="00D13A39"/>
    <w:rsid w:val="00D20AD1"/>
    <w:rsid w:val="00D2582C"/>
    <w:rsid w:val="00D33498"/>
    <w:rsid w:val="00D46B7E"/>
    <w:rsid w:val="00D514C4"/>
    <w:rsid w:val="00D57A95"/>
    <w:rsid w:val="00D57C84"/>
    <w:rsid w:val="00D6057D"/>
    <w:rsid w:val="00D71640"/>
    <w:rsid w:val="00D72B1F"/>
    <w:rsid w:val="00D82D96"/>
    <w:rsid w:val="00D836C5"/>
    <w:rsid w:val="00D84576"/>
    <w:rsid w:val="00DA0A1E"/>
    <w:rsid w:val="00DA1399"/>
    <w:rsid w:val="00DA23CE"/>
    <w:rsid w:val="00DA24C6"/>
    <w:rsid w:val="00DA4518"/>
    <w:rsid w:val="00DA4D7B"/>
    <w:rsid w:val="00DB11B5"/>
    <w:rsid w:val="00DC2840"/>
    <w:rsid w:val="00DC73EE"/>
    <w:rsid w:val="00DD271C"/>
    <w:rsid w:val="00DD5618"/>
    <w:rsid w:val="00DE264A"/>
    <w:rsid w:val="00DF5072"/>
    <w:rsid w:val="00E02D18"/>
    <w:rsid w:val="00E041E7"/>
    <w:rsid w:val="00E23CA1"/>
    <w:rsid w:val="00E409A8"/>
    <w:rsid w:val="00E50C12"/>
    <w:rsid w:val="00E65B91"/>
    <w:rsid w:val="00E7209D"/>
    <w:rsid w:val="00E72EAD"/>
    <w:rsid w:val="00E77223"/>
    <w:rsid w:val="00E8528B"/>
    <w:rsid w:val="00E85B94"/>
    <w:rsid w:val="00E978D0"/>
    <w:rsid w:val="00EA4613"/>
    <w:rsid w:val="00EA7F91"/>
    <w:rsid w:val="00EB1523"/>
    <w:rsid w:val="00EC0E49"/>
    <w:rsid w:val="00EC101F"/>
    <w:rsid w:val="00EC1D9F"/>
    <w:rsid w:val="00EC410B"/>
    <w:rsid w:val="00EE0131"/>
    <w:rsid w:val="00EE17B0"/>
    <w:rsid w:val="00EF06D9"/>
    <w:rsid w:val="00EF7F1A"/>
    <w:rsid w:val="00F03D17"/>
    <w:rsid w:val="00F06CB4"/>
    <w:rsid w:val="00F3049E"/>
    <w:rsid w:val="00F30C64"/>
    <w:rsid w:val="00F32BA2"/>
    <w:rsid w:val="00F32CDB"/>
    <w:rsid w:val="00F41EE4"/>
    <w:rsid w:val="00F554E4"/>
    <w:rsid w:val="00F565FE"/>
    <w:rsid w:val="00F63A70"/>
    <w:rsid w:val="00F63D8C"/>
    <w:rsid w:val="00F64F91"/>
    <w:rsid w:val="00F7534E"/>
    <w:rsid w:val="00F93EDF"/>
    <w:rsid w:val="00FA09A3"/>
    <w:rsid w:val="00FA1802"/>
    <w:rsid w:val="00FA21D0"/>
    <w:rsid w:val="00FA3E9D"/>
    <w:rsid w:val="00FA487C"/>
    <w:rsid w:val="00FA5F5F"/>
    <w:rsid w:val="00FB730C"/>
    <w:rsid w:val="00FC2695"/>
    <w:rsid w:val="00FC3E03"/>
    <w:rsid w:val="00FC3FC1"/>
    <w:rsid w:val="00FF09FF"/>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Rubrik1">
    <w:name w:val="heading 1"/>
    <w:basedOn w:val="CETHeading1"/>
    <w:next w:val="Normal"/>
    <w:link w:val="Rubrik1Char"/>
    <w:uiPriority w:val="9"/>
    <w:rsid w:val="004F5E36"/>
    <w:pPr>
      <w:tabs>
        <w:tab w:val="right" w:pos="7100"/>
      </w:tabs>
      <w:jc w:val="both"/>
      <w:outlineLvl w:val="0"/>
    </w:pPr>
    <w:rPr>
      <w:lang w:val="en-GB"/>
    </w:rPr>
  </w:style>
  <w:style w:type="paragraph" w:styleId="Rubrik2">
    <w:name w:val="heading 2"/>
    <w:basedOn w:val="Normal"/>
    <w:next w:val="Normal"/>
    <w:link w:val="Rubrik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Rubrik4">
    <w:name w:val="heading 4"/>
    <w:basedOn w:val="Normal"/>
    <w:next w:val="Normal"/>
    <w:link w:val="Rubrik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Rubrik5">
    <w:name w:val="heading 5"/>
    <w:basedOn w:val="Normal"/>
    <w:next w:val="Normal"/>
    <w:link w:val="Rubrik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Rubrik6">
    <w:name w:val="heading 6"/>
    <w:basedOn w:val="Normal"/>
    <w:next w:val="Normal"/>
    <w:link w:val="Rubrik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Rubrik7">
    <w:name w:val="heading 7"/>
    <w:basedOn w:val="Normal"/>
    <w:next w:val="Normal"/>
    <w:link w:val="Rubrik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Rubrik8">
    <w:name w:val="heading 8"/>
    <w:basedOn w:val="Normal"/>
    <w:next w:val="Normal"/>
    <w:link w:val="Rubrik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Rubrik9">
    <w:name w:val="heading 9"/>
    <w:basedOn w:val="Normal"/>
    <w:next w:val="Normal"/>
    <w:link w:val="Rubrik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Enkeltabell1">
    <w:name w:val="Table Simple 1"/>
    <w:basedOn w:val="Normaltabel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Kommentarsreferens">
    <w:name w:val="annotation reference"/>
    <w:basedOn w:val="Standardstycketeckensnitt"/>
    <w:uiPriority w:val="99"/>
    <w:semiHidden/>
    <w:unhideWhenUsed/>
    <w:rsid w:val="004577FE"/>
    <w:rPr>
      <w:sz w:val="16"/>
      <w:szCs w:val="16"/>
    </w:rPr>
  </w:style>
  <w:style w:type="paragraph" w:styleId="Ballongtext">
    <w:name w:val="Balloon Text"/>
    <w:basedOn w:val="Normal"/>
    <w:link w:val="BallongtextChar"/>
    <w:uiPriority w:val="99"/>
    <w:semiHidden/>
    <w:unhideWhenUsed/>
    <w:rsid w:val="000D34BE"/>
    <w:pPr>
      <w:spacing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0D34BE"/>
    <w:rPr>
      <w:rFonts w:ascii="Tahoma" w:hAnsi="Tahoma" w:cs="Tahoma"/>
      <w:sz w:val="16"/>
      <w:szCs w:val="16"/>
    </w:rPr>
  </w:style>
  <w:style w:type="paragraph" w:styleId="Litteraturfrteckning">
    <w:name w:val="Bibliography"/>
    <w:basedOn w:val="CETReferencetext"/>
    <w:uiPriority w:val="37"/>
    <w:unhideWhenUsed/>
    <w:rsid w:val="00631B33"/>
    <w:pPr>
      <w:spacing w:line="240" w:lineRule="auto"/>
      <w:ind w:left="720" w:hanging="720"/>
    </w:pPr>
  </w:style>
  <w:style w:type="paragraph" w:styleId="Brdtext2">
    <w:name w:val="Body Text 2"/>
    <w:basedOn w:val="Normal"/>
    <w:link w:val="Brdtext2Char"/>
    <w:uiPriority w:val="99"/>
    <w:semiHidden/>
    <w:unhideWhenUsed/>
    <w:rsid w:val="0003148D"/>
    <w:pPr>
      <w:spacing w:after="120" w:line="480" w:lineRule="auto"/>
    </w:pPr>
  </w:style>
  <w:style w:type="character" w:customStyle="1" w:styleId="Brdtext2Char">
    <w:name w:val="Brödtext 2 Char"/>
    <w:basedOn w:val="Standardstycketeckensnitt"/>
    <w:link w:val="Brdtext2"/>
    <w:uiPriority w:val="99"/>
    <w:semiHidden/>
    <w:rsid w:val="0003148D"/>
  </w:style>
  <w:style w:type="paragraph" w:styleId="Brdtext3">
    <w:name w:val="Body Text 3"/>
    <w:basedOn w:val="Normal"/>
    <w:link w:val="Brdtext3Char"/>
    <w:uiPriority w:val="99"/>
    <w:semiHidden/>
    <w:unhideWhenUsed/>
    <w:rsid w:val="0003148D"/>
    <w:pPr>
      <w:spacing w:after="120"/>
    </w:pPr>
    <w:rPr>
      <w:sz w:val="16"/>
      <w:szCs w:val="16"/>
    </w:rPr>
  </w:style>
  <w:style w:type="character" w:customStyle="1" w:styleId="Brdtext3Char">
    <w:name w:val="Brödtext 3 Char"/>
    <w:basedOn w:val="Standardstycketeckensnitt"/>
    <w:link w:val="Brdtext3"/>
    <w:uiPriority w:val="99"/>
    <w:semiHidden/>
    <w:rsid w:val="0003148D"/>
    <w:rPr>
      <w:sz w:val="16"/>
      <w:szCs w:val="16"/>
    </w:rPr>
  </w:style>
  <w:style w:type="paragraph" w:styleId="Brdtext">
    <w:name w:val="Body Text"/>
    <w:basedOn w:val="Normal"/>
    <w:link w:val="BrdtextChar"/>
    <w:uiPriority w:val="99"/>
    <w:semiHidden/>
    <w:unhideWhenUsed/>
    <w:rsid w:val="0003148D"/>
    <w:pPr>
      <w:spacing w:after="120"/>
    </w:pPr>
  </w:style>
  <w:style w:type="character" w:customStyle="1" w:styleId="BrdtextChar">
    <w:name w:val="Brödtext Char"/>
    <w:basedOn w:val="Standardstycketeckensnitt"/>
    <w:link w:val="Brdtext"/>
    <w:uiPriority w:val="99"/>
    <w:semiHidden/>
    <w:rsid w:val="0003148D"/>
  </w:style>
  <w:style w:type="paragraph" w:styleId="Datum">
    <w:name w:val="Date"/>
    <w:basedOn w:val="Normal"/>
    <w:next w:val="Normal"/>
    <w:link w:val="DatumChar"/>
    <w:uiPriority w:val="99"/>
    <w:semiHidden/>
    <w:unhideWhenUsed/>
    <w:rsid w:val="0003148D"/>
  </w:style>
  <w:style w:type="character" w:customStyle="1" w:styleId="DatumChar">
    <w:name w:val="Datum Char"/>
    <w:basedOn w:val="Standardstycketeckensnitt"/>
    <w:link w:val="Datum"/>
    <w:uiPriority w:val="99"/>
    <w:semiHidden/>
    <w:rsid w:val="0003148D"/>
  </w:style>
  <w:style w:type="paragraph" w:styleId="Beskrivning">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Listafortstt">
    <w:name w:val="List Continue"/>
    <w:basedOn w:val="Normal"/>
    <w:uiPriority w:val="99"/>
    <w:semiHidden/>
    <w:unhideWhenUsed/>
    <w:rsid w:val="0003148D"/>
    <w:pPr>
      <w:spacing w:after="120"/>
      <w:ind w:left="283"/>
      <w:contextualSpacing/>
    </w:pPr>
  </w:style>
  <w:style w:type="paragraph" w:styleId="Listafortstt2">
    <w:name w:val="List Continue 2"/>
    <w:basedOn w:val="Normal"/>
    <w:uiPriority w:val="99"/>
    <w:semiHidden/>
    <w:unhideWhenUsed/>
    <w:rsid w:val="0003148D"/>
    <w:pPr>
      <w:spacing w:after="120"/>
      <w:ind w:left="566"/>
      <w:contextualSpacing/>
    </w:pPr>
  </w:style>
  <w:style w:type="paragraph" w:styleId="Listafortstt3">
    <w:name w:val="List Continue 3"/>
    <w:basedOn w:val="Normal"/>
    <w:uiPriority w:val="99"/>
    <w:semiHidden/>
    <w:unhideWhenUsed/>
    <w:rsid w:val="0003148D"/>
    <w:pPr>
      <w:spacing w:after="120"/>
      <w:ind w:left="849"/>
      <w:contextualSpacing/>
    </w:pPr>
  </w:style>
  <w:style w:type="paragraph" w:styleId="Listafortstt4">
    <w:name w:val="List Continue 4"/>
    <w:basedOn w:val="Normal"/>
    <w:uiPriority w:val="99"/>
    <w:semiHidden/>
    <w:unhideWhenUsed/>
    <w:rsid w:val="0003148D"/>
    <w:pPr>
      <w:spacing w:after="120"/>
      <w:ind w:left="1132"/>
      <w:contextualSpacing/>
    </w:pPr>
  </w:style>
  <w:style w:type="paragraph" w:styleId="Listafortstt5">
    <w:name w:val="List Continue 5"/>
    <w:basedOn w:val="Normal"/>
    <w:uiPriority w:val="99"/>
    <w:semiHidden/>
    <w:unhideWhenUsed/>
    <w:rsid w:val="0003148D"/>
    <w:pPr>
      <w:spacing w:after="120"/>
      <w:ind w:left="1415"/>
      <w:contextualSpacing/>
    </w:pPr>
  </w:style>
  <w:style w:type="paragraph" w:styleId="Signatur">
    <w:name w:val="Signature"/>
    <w:basedOn w:val="Normal"/>
    <w:link w:val="SignaturChar"/>
    <w:uiPriority w:val="99"/>
    <w:semiHidden/>
    <w:unhideWhenUsed/>
    <w:rsid w:val="0003148D"/>
    <w:pPr>
      <w:spacing w:line="240" w:lineRule="auto"/>
      <w:ind w:left="4252"/>
    </w:pPr>
  </w:style>
  <w:style w:type="character" w:customStyle="1" w:styleId="SignaturChar">
    <w:name w:val="Signatur Char"/>
    <w:basedOn w:val="Standardstycketeckensnitt"/>
    <w:link w:val="Signatur"/>
    <w:uiPriority w:val="99"/>
    <w:semiHidden/>
    <w:rsid w:val="0003148D"/>
  </w:style>
  <w:style w:type="paragraph" w:styleId="E-postsignatur">
    <w:name w:val="E-mail Signature"/>
    <w:basedOn w:val="Normal"/>
    <w:link w:val="E-postsignaturChar"/>
    <w:uiPriority w:val="99"/>
    <w:semiHidden/>
    <w:unhideWhenUsed/>
    <w:rsid w:val="0003148D"/>
    <w:pPr>
      <w:spacing w:line="240" w:lineRule="auto"/>
    </w:pPr>
  </w:style>
  <w:style w:type="character" w:customStyle="1" w:styleId="E-postsignaturChar">
    <w:name w:val="E-postsignatur Char"/>
    <w:basedOn w:val="Standardstycketeckensnitt"/>
    <w:link w:val="E-postsignatur"/>
    <w:uiPriority w:val="99"/>
    <w:semiHidden/>
    <w:rsid w:val="0003148D"/>
  </w:style>
  <w:style w:type="paragraph" w:styleId="Inledning">
    <w:name w:val="Salutation"/>
    <w:basedOn w:val="Normal"/>
    <w:next w:val="Normal"/>
    <w:link w:val="InledningChar"/>
    <w:uiPriority w:val="99"/>
    <w:semiHidden/>
    <w:unhideWhenUsed/>
    <w:rsid w:val="0003148D"/>
  </w:style>
  <w:style w:type="character" w:customStyle="1" w:styleId="InledningChar">
    <w:name w:val="Inledning Char"/>
    <w:basedOn w:val="Standardstycketeckensnitt"/>
    <w:link w:val="Inledning"/>
    <w:uiPriority w:val="99"/>
    <w:semiHidden/>
    <w:rsid w:val="0003148D"/>
  </w:style>
  <w:style w:type="paragraph" w:styleId="Avslutandetext">
    <w:name w:val="Closing"/>
    <w:basedOn w:val="Normal"/>
    <w:link w:val="AvslutandetextChar"/>
    <w:uiPriority w:val="99"/>
    <w:semiHidden/>
    <w:unhideWhenUsed/>
    <w:rsid w:val="0003148D"/>
    <w:pPr>
      <w:spacing w:line="240" w:lineRule="auto"/>
      <w:ind w:left="4252"/>
    </w:pPr>
  </w:style>
  <w:style w:type="character" w:customStyle="1" w:styleId="AvslutandetextChar">
    <w:name w:val="Avslutande text Char"/>
    <w:basedOn w:val="Standardstycketeckensnitt"/>
    <w:link w:val="Avslutandetext"/>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Figurfrteckning">
    <w:name w:val="table of figures"/>
    <w:basedOn w:val="Normal"/>
    <w:next w:val="Normal"/>
    <w:uiPriority w:val="99"/>
    <w:semiHidden/>
    <w:unhideWhenUsed/>
    <w:rsid w:val="0003148D"/>
  </w:style>
  <w:style w:type="paragraph" w:styleId="Citatfrteckning">
    <w:name w:val="table of authorities"/>
    <w:basedOn w:val="Normal"/>
    <w:next w:val="Normal"/>
    <w:uiPriority w:val="99"/>
    <w:semiHidden/>
    <w:unhideWhenUsed/>
    <w:rsid w:val="0003148D"/>
    <w:pPr>
      <w:ind w:left="220" w:hanging="220"/>
    </w:pPr>
  </w:style>
  <w:style w:type="paragraph" w:styleId="Adress-brev">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ress">
    <w:name w:val="HTML Address"/>
    <w:basedOn w:val="Normal"/>
    <w:link w:val="HTML-adressChar"/>
    <w:uiPriority w:val="99"/>
    <w:semiHidden/>
    <w:unhideWhenUsed/>
    <w:rsid w:val="0003148D"/>
    <w:pPr>
      <w:spacing w:line="240" w:lineRule="auto"/>
    </w:pPr>
    <w:rPr>
      <w:i/>
      <w:iCs/>
    </w:rPr>
  </w:style>
  <w:style w:type="character" w:customStyle="1" w:styleId="HTML-adressChar">
    <w:name w:val="HTML - adress Char"/>
    <w:basedOn w:val="Standardstycketeckensnitt"/>
    <w:link w:val="HTML-adress"/>
    <w:uiPriority w:val="99"/>
    <w:semiHidden/>
    <w:rsid w:val="0003148D"/>
    <w:rPr>
      <w:i/>
      <w:iCs/>
    </w:rPr>
  </w:style>
  <w:style w:type="paragraph" w:styleId="Avsndaradress-brev">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ddelanderubrik">
    <w:name w:val="Message Header"/>
    <w:basedOn w:val="Normal"/>
    <w:link w:val="Meddelanderubrik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ddelanderubrikChar">
    <w:name w:val="Meddelanderubrik Char"/>
    <w:basedOn w:val="Standardstycketeckensnitt"/>
    <w:link w:val="Meddelanderubrik"/>
    <w:uiPriority w:val="99"/>
    <w:semiHidden/>
    <w:rsid w:val="0003148D"/>
    <w:rPr>
      <w:rFonts w:asciiTheme="majorHAnsi" w:eastAsiaTheme="majorEastAsia" w:hAnsiTheme="majorHAnsi" w:cstheme="majorBidi"/>
      <w:sz w:val="24"/>
      <w:szCs w:val="24"/>
      <w:shd w:val="pct20" w:color="auto" w:fill="auto"/>
    </w:rPr>
  </w:style>
  <w:style w:type="paragraph" w:styleId="Anteckningsrubrik">
    <w:name w:val="Note Heading"/>
    <w:basedOn w:val="Normal"/>
    <w:next w:val="Normal"/>
    <w:link w:val="AnteckningsrubrikChar"/>
    <w:uiPriority w:val="99"/>
    <w:semiHidden/>
    <w:unhideWhenUsed/>
    <w:rsid w:val="0003148D"/>
    <w:pPr>
      <w:spacing w:line="240" w:lineRule="auto"/>
    </w:pPr>
  </w:style>
  <w:style w:type="character" w:customStyle="1" w:styleId="AnteckningsrubrikChar">
    <w:name w:val="Anteckningsrubrik Char"/>
    <w:basedOn w:val="Standardstycketeckensnitt"/>
    <w:link w:val="Anteckningsrubrik"/>
    <w:uiPriority w:val="99"/>
    <w:semiHidden/>
    <w:rsid w:val="0003148D"/>
  </w:style>
  <w:style w:type="paragraph" w:styleId="Dokumentversikt">
    <w:name w:val="Document Map"/>
    <w:basedOn w:val="Normal"/>
    <w:link w:val="DokumentversiktChar"/>
    <w:uiPriority w:val="99"/>
    <w:semiHidden/>
    <w:unhideWhenUsed/>
    <w:rsid w:val="0003148D"/>
    <w:pPr>
      <w:spacing w:line="240" w:lineRule="auto"/>
    </w:pPr>
    <w:rPr>
      <w:rFonts w:ascii="Tahoma" w:hAnsi="Tahoma" w:cs="Tahoma"/>
      <w:sz w:val="16"/>
      <w:szCs w:val="16"/>
    </w:rPr>
  </w:style>
  <w:style w:type="character" w:customStyle="1" w:styleId="DokumentversiktChar">
    <w:name w:val="Dokumentöversikt Char"/>
    <w:basedOn w:val="Standardstycketeckensnitt"/>
    <w:link w:val="Dokumentversikt"/>
    <w:uiPriority w:val="99"/>
    <w:semiHidden/>
    <w:rsid w:val="0003148D"/>
    <w:rPr>
      <w:rFonts w:ascii="Tahoma" w:hAnsi="Tahoma" w:cs="Tahoma"/>
      <w:sz w:val="16"/>
      <w:szCs w:val="16"/>
    </w:rPr>
  </w:style>
  <w:style w:type="paragraph" w:styleId="Normalwebb">
    <w:name w:val="Normal (Web)"/>
    <w:basedOn w:val="Normal"/>
    <w:uiPriority w:val="99"/>
    <w:semiHidden/>
    <w:unhideWhenUsed/>
    <w:rsid w:val="0003148D"/>
    <w:rPr>
      <w:sz w:val="24"/>
      <w:szCs w:val="24"/>
    </w:rPr>
  </w:style>
  <w:style w:type="paragraph" w:styleId="Numreradlista">
    <w:name w:val="List Number"/>
    <w:basedOn w:val="Normal"/>
    <w:uiPriority w:val="99"/>
    <w:semiHidden/>
    <w:unhideWhenUsed/>
    <w:rsid w:val="0003148D"/>
    <w:pPr>
      <w:numPr>
        <w:numId w:val="2"/>
      </w:numPr>
      <w:contextualSpacing/>
    </w:pPr>
  </w:style>
  <w:style w:type="paragraph" w:styleId="Numreradlista2">
    <w:name w:val="List Number 2"/>
    <w:basedOn w:val="Normal"/>
    <w:uiPriority w:val="99"/>
    <w:semiHidden/>
    <w:unhideWhenUsed/>
    <w:rsid w:val="0003148D"/>
    <w:pPr>
      <w:numPr>
        <w:numId w:val="3"/>
      </w:numPr>
      <w:contextualSpacing/>
    </w:pPr>
  </w:style>
  <w:style w:type="paragraph" w:styleId="Numreradlista3">
    <w:name w:val="List Number 3"/>
    <w:basedOn w:val="Normal"/>
    <w:uiPriority w:val="99"/>
    <w:semiHidden/>
    <w:unhideWhenUsed/>
    <w:rsid w:val="0003148D"/>
    <w:pPr>
      <w:numPr>
        <w:numId w:val="4"/>
      </w:numPr>
      <w:contextualSpacing/>
    </w:pPr>
  </w:style>
  <w:style w:type="paragraph" w:styleId="Numreradlista4">
    <w:name w:val="List Number 4"/>
    <w:basedOn w:val="Normal"/>
    <w:uiPriority w:val="99"/>
    <w:semiHidden/>
    <w:unhideWhenUsed/>
    <w:rsid w:val="0003148D"/>
    <w:pPr>
      <w:numPr>
        <w:numId w:val="5"/>
      </w:numPr>
      <w:contextualSpacing/>
    </w:pPr>
  </w:style>
  <w:style w:type="paragraph" w:styleId="Numreradlista5">
    <w:name w:val="List Number 5"/>
    <w:basedOn w:val="Normal"/>
    <w:uiPriority w:val="99"/>
    <w:semiHidden/>
    <w:unhideWhenUsed/>
    <w:rsid w:val="0003148D"/>
    <w:pPr>
      <w:numPr>
        <w:numId w:val="6"/>
      </w:numPr>
      <w:contextualSpacing/>
    </w:pPr>
  </w:style>
  <w:style w:type="paragraph" w:styleId="HTML-frformaterad">
    <w:name w:val="HTML Preformatted"/>
    <w:basedOn w:val="Normal"/>
    <w:link w:val="HTML-frformateradChar"/>
    <w:uiPriority w:val="99"/>
    <w:semiHidden/>
    <w:unhideWhenUsed/>
    <w:rsid w:val="0003148D"/>
    <w:pPr>
      <w:spacing w:line="240" w:lineRule="auto"/>
    </w:pPr>
    <w:rPr>
      <w:rFonts w:ascii="Consolas" w:hAnsi="Consolas" w:cs="Consolas"/>
    </w:rPr>
  </w:style>
  <w:style w:type="character" w:customStyle="1" w:styleId="HTML-frformateradChar">
    <w:name w:val="HTML - förformaterad Char"/>
    <w:basedOn w:val="Standardstycketeckensnitt"/>
    <w:link w:val="HTML-frformaterad"/>
    <w:uiPriority w:val="99"/>
    <w:semiHidden/>
    <w:rsid w:val="0003148D"/>
    <w:rPr>
      <w:rFonts w:ascii="Consolas" w:hAnsi="Consolas" w:cs="Consolas"/>
      <w:sz w:val="20"/>
      <w:szCs w:val="20"/>
    </w:rPr>
  </w:style>
  <w:style w:type="paragraph" w:styleId="Brdtextmedfrstaindrag">
    <w:name w:val="Body Text First Indent"/>
    <w:basedOn w:val="Brdtext"/>
    <w:link w:val="BrdtextmedfrstaindragChar"/>
    <w:uiPriority w:val="99"/>
    <w:semiHidden/>
    <w:unhideWhenUsed/>
    <w:rsid w:val="0003148D"/>
    <w:pPr>
      <w:spacing w:after="200"/>
      <w:ind w:firstLine="360"/>
    </w:pPr>
  </w:style>
  <w:style w:type="character" w:customStyle="1" w:styleId="BrdtextmedfrstaindragChar">
    <w:name w:val="Brödtext med första indrag Char"/>
    <w:basedOn w:val="BrdtextChar"/>
    <w:link w:val="Brdtextmedfrstaindrag"/>
    <w:uiPriority w:val="99"/>
    <w:semiHidden/>
    <w:rsid w:val="0003148D"/>
  </w:style>
  <w:style w:type="paragraph" w:styleId="Brdtextmedindrag">
    <w:name w:val="Body Text Indent"/>
    <w:basedOn w:val="Normal"/>
    <w:link w:val="BrdtextmedindragChar"/>
    <w:uiPriority w:val="99"/>
    <w:semiHidden/>
    <w:unhideWhenUsed/>
    <w:rsid w:val="0003148D"/>
    <w:pPr>
      <w:spacing w:after="120"/>
      <w:ind w:left="283"/>
    </w:pPr>
  </w:style>
  <w:style w:type="character" w:customStyle="1" w:styleId="BrdtextmedindragChar">
    <w:name w:val="Brödtext med indrag Char"/>
    <w:basedOn w:val="Standardstycketeckensnitt"/>
    <w:link w:val="Brdtextmedindrag"/>
    <w:uiPriority w:val="99"/>
    <w:semiHidden/>
    <w:rsid w:val="0003148D"/>
  </w:style>
  <w:style w:type="paragraph" w:styleId="Brdtextmedfrstaindrag2">
    <w:name w:val="Body Text First Indent 2"/>
    <w:basedOn w:val="Brdtextmedindrag"/>
    <w:link w:val="Brdtextmedfrstaindrag2Char"/>
    <w:uiPriority w:val="99"/>
    <w:semiHidden/>
    <w:unhideWhenUsed/>
    <w:rsid w:val="0003148D"/>
    <w:pPr>
      <w:spacing w:after="200"/>
      <w:ind w:left="360" w:firstLine="360"/>
    </w:pPr>
  </w:style>
  <w:style w:type="character" w:customStyle="1" w:styleId="Brdtextmedfrstaindrag2Char">
    <w:name w:val="Brödtext med första indrag 2 Char"/>
    <w:basedOn w:val="BrdtextmedindragChar"/>
    <w:link w:val="Brdtextmedfrstaindrag2"/>
    <w:uiPriority w:val="99"/>
    <w:semiHidden/>
    <w:rsid w:val="0003148D"/>
  </w:style>
  <w:style w:type="paragraph" w:styleId="Punktlista">
    <w:name w:val="List Bullet"/>
    <w:basedOn w:val="Normal"/>
    <w:uiPriority w:val="99"/>
    <w:semiHidden/>
    <w:unhideWhenUsed/>
    <w:rsid w:val="0003148D"/>
    <w:pPr>
      <w:numPr>
        <w:numId w:val="7"/>
      </w:numPr>
      <w:contextualSpacing/>
    </w:pPr>
  </w:style>
  <w:style w:type="paragraph" w:styleId="Punktlista2">
    <w:name w:val="List Bullet 2"/>
    <w:basedOn w:val="Normal"/>
    <w:uiPriority w:val="99"/>
    <w:semiHidden/>
    <w:unhideWhenUsed/>
    <w:rsid w:val="0003148D"/>
    <w:pPr>
      <w:numPr>
        <w:numId w:val="8"/>
      </w:numPr>
      <w:contextualSpacing/>
    </w:pPr>
  </w:style>
  <w:style w:type="paragraph" w:styleId="Punktlista3">
    <w:name w:val="List Bullet 3"/>
    <w:basedOn w:val="Normal"/>
    <w:uiPriority w:val="99"/>
    <w:semiHidden/>
    <w:unhideWhenUsed/>
    <w:rsid w:val="0003148D"/>
    <w:pPr>
      <w:numPr>
        <w:numId w:val="9"/>
      </w:numPr>
      <w:contextualSpacing/>
    </w:pPr>
  </w:style>
  <w:style w:type="paragraph" w:styleId="Punktlista4">
    <w:name w:val="List Bullet 4"/>
    <w:basedOn w:val="Normal"/>
    <w:uiPriority w:val="99"/>
    <w:semiHidden/>
    <w:unhideWhenUsed/>
    <w:rsid w:val="0003148D"/>
    <w:pPr>
      <w:numPr>
        <w:numId w:val="10"/>
      </w:numPr>
      <w:contextualSpacing/>
    </w:pPr>
  </w:style>
  <w:style w:type="paragraph" w:styleId="Punktlista5">
    <w:name w:val="List Bullet 5"/>
    <w:basedOn w:val="Normal"/>
    <w:uiPriority w:val="99"/>
    <w:semiHidden/>
    <w:unhideWhenUsed/>
    <w:rsid w:val="0003148D"/>
    <w:pPr>
      <w:numPr>
        <w:numId w:val="11"/>
      </w:numPr>
      <w:contextualSpacing/>
    </w:pPr>
  </w:style>
  <w:style w:type="paragraph" w:styleId="Brdtextmedindrag2">
    <w:name w:val="Body Text Indent 2"/>
    <w:basedOn w:val="Normal"/>
    <w:link w:val="Brdtextmedindrag2Char"/>
    <w:uiPriority w:val="99"/>
    <w:semiHidden/>
    <w:unhideWhenUsed/>
    <w:rsid w:val="0003148D"/>
    <w:pPr>
      <w:spacing w:after="120" w:line="480" w:lineRule="auto"/>
      <w:ind w:left="283"/>
    </w:pPr>
  </w:style>
  <w:style w:type="character" w:customStyle="1" w:styleId="Brdtextmedindrag2Char">
    <w:name w:val="Brödtext med indrag 2 Char"/>
    <w:basedOn w:val="Standardstycketeckensnitt"/>
    <w:link w:val="Brdtextmedindrag2"/>
    <w:uiPriority w:val="99"/>
    <w:semiHidden/>
    <w:rsid w:val="0003148D"/>
  </w:style>
  <w:style w:type="paragraph" w:styleId="Brdtextmedindrag3">
    <w:name w:val="Body Text Indent 3"/>
    <w:basedOn w:val="Normal"/>
    <w:link w:val="Brdtextmedindrag3Char"/>
    <w:uiPriority w:val="99"/>
    <w:semiHidden/>
    <w:unhideWhenUsed/>
    <w:rsid w:val="0003148D"/>
    <w:pPr>
      <w:spacing w:after="120"/>
      <w:ind w:left="283"/>
    </w:pPr>
    <w:rPr>
      <w:sz w:val="16"/>
      <w:szCs w:val="16"/>
    </w:rPr>
  </w:style>
  <w:style w:type="character" w:customStyle="1" w:styleId="Brdtextmedindrag3Char">
    <w:name w:val="Brödtext med indrag 3 Char"/>
    <w:basedOn w:val="Standardstycketeckensnitt"/>
    <w:link w:val="Brdtextmedindrag3"/>
    <w:uiPriority w:val="99"/>
    <w:semiHidden/>
    <w:rsid w:val="0003148D"/>
    <w:rPr>
      <w:sz w:val="16"/>
      <w:szCs w:val="16"/>
    </w:rPr>
  </w:style>
  <w:style w:type="paragraph" w:styleId="Normaltindrag">
    <w:name w:val="Normal Indent"/>
    <w:basedOn w:val="Normal"/>
    <w:uiPriority w:val="99"/>
    <w:semiHidden/>
    <w:unhideWhenUsed/>
    <w:rsid w:val="0003148D"/>
    <w:pPr>
      <w:ind w:left="720"/>
    </w:pPr>
  </w:style>
  <w:style w:type="paragraph" w:styleId="Kommentarer">
    <w:name w:val="annotation text"/>
    <w:basedOn w:val="Normal"/>
    <w:link w:val="KommentarerChar"/>
    <w:uiPriority w:val="99"/>
    <w:unhideWhenUsed/>
    <w:rsid w:val="0003148D"/>
    <w:pPr>
      <w:spacing w:line="240" w:lineRule="auto"/>
    </w:pPr>
  </w:style>
  <w:style w:type="character" w:customStyle="1" w:styleId="KommentarerChar">
    <w:name w:val="Kommentarer Char"/>
    <w:basedOn w:val="Standardstycketeckensnitt"/>
    <w:link w:val="Kommentarer"/>
    <w:uiPriority w:val="99"/>
    <w:rsid w:val="0003148D"/>
    <w:rPr>
      <w:sz w:val="20"/>
      <w:szCs w:val="20"/>
    </w:rPr>
  </w:style>
  <w:style w:type="paragraph" w:styleId="Kommentarsmne">
    <w:name w:val="annotation subject"/>
    <w:basedOn w:val="Kommentarer"/>
    <w:next w:val="Kommentarer"/>
    <w:link w:val="KommentarsmneChar"/>
    <w:uiPriority w:val="99"/>
    <w:semiHidden/>
    <w:unhideWhenUsed/>
    <w:rsid w:val="0003148D"/>
    <w:rPr>
      <w:b/>
      <w:bCs/>
    </w:rPr>
  </w:style>
  <w:style w:type="character" w:customStyle="1" w:styleId="KommentarsmneChar">
    <w:name w:val="Kommentarsämne Char"/>
    <w:basedOn w:val="KommentarerChar"/>
    <w:link w:val="Kommentarsmne"/>
    <w:uiPriority w:val="99"/>
    <w:semiHidden/>
    <w:rsid w:val="0003148D"/>
    <w:rPr>
      <w:b/>
      <w:bCs/>
      <w:sz w:val="20"/>
      <w:szCs w:val="20"/>
    </w:rPr>
  </w:style>
  <w:style w:type="paragraph" w:styleId="Innehll1">
    <w:name w:val="toc 1"/>
    <w:basedOn w:val="Normal"/>
    <w:next w:val="Normal"/>
    <w:autoRedefine/>
    <w:uiPriority w:val="39"/>
    <w:semiHidden/>
    <w:unhideWhenUsed/>
    <w:rsid w:val="0003148D"/>
    <w:pPr>
      <w:spacing w:after="100"/>
    </w:pPr>
  </w:style>
  <w:style w:type="paragraph" w:styleId="Innehll2">
    <w:name w:val="toc 2"/>
    <w:basedOn w:val="Normal"/>
    <w:next w:val="Normal"/>
    <w:autoRedefine/>
    <w:uiPriority w:val="39"/>
    <w:semiHidden/>
    <w:unhideWhenUsed/>
    <w:rsid w:val="0003148D"/>
    <w:pPr>
      <w:spacing w:after="100"/>
      <w:ind w:left="220"/>
    </w:pPr>
  </w:style>
  <w:style w:type="paragraph" w:styleId="Innehll3">
    <w:name w:val="toc 3"/>
    <w:basedOn w:val="Normal"/>
    <w:next w:val="Normal"/>
    <w:autoRedefine/>
    <w:uiPriority w:val="39"/>
    <w:semiHidden/>
    <w:unhideWhenUsed/>
    <w:rsid w:val="0003148D"/>
    <w:pPr>
      <w:spacing w:after="100"/>
      <w:ind w:left="440"/>
    </w:pPr>
  </w:style>
  <w:style w:type="paragraph" w:styleId="Innehll4">
    <w:name w:val="toc 4"/>
    <w:basedOn w:val="Normal"/>
    <w:next w:val="Normal"/>
    <w:autoRedefine/>
    <w:uiPriority w:val="39"/>
    <w:semiHidden/>
    <w:unhideWhenUsed/>
    <w:rsid w:val="0003148D"/>
    <w:pPr>
      <w:spacing w:after="100"/>
      <w:ind w:left="660"/>
    </w:pPr>
  </w:style>
  <w:style w:type="paragraph" w:styleId="Innehll5">
    <w:name w:val="toc 5"/>
    <w:basedOn w:val="Normal"/>
    <w:next w:val="Normal"/>
    <w:autoRedefine/>
    <w:uiPriority w:val="39"/>
    <w:semiHidden/>
    <w:unhideWhenUsed/>
    <w:rsid w:val="0003148D"/>
    <w:pPr>
      <w:spacing w:after="100"/>
      <w:ind w:left="880"/>
    </w:pPr>
  </w:style>
  <w:style w:type="paragraph" w:styleId="Innehll6">
    <w:name w:val="toc 6"/>
    <w:basedOn w:val="Normal"/>
    <w:next w:val="Normal"/>
    <w:autoRedefine/>
    <w:uiPriority w:val="39"/>
    <w:semiHidden/>
    <w:unhideWhenUsed/>
    <w:rsid w:val="0003148D"/>
    <w:pPr>
      <w:spacing w:after="100"/>
      <w:ind w:left="1100"/>
    </w:pPr>
  </w:style>
  <w:style w:type="paragraph" w:styleId="Innehll7">
    <w:name w:val="toc 7"/>
    <w:basedOn w:val="Normal"/>
    <w:next w:val="Normal"/>
    <w:autoRedefine/>
    <w:uiPriority w:val="39"/>
    <w:semiHidden/>
    <w:unhideWhenUsed/>
    <w:rsid w:val="0003148D"/>
    <w:pPr>
      <w:spacing w:after="100"/>
      <w:ind w:left="1320"/>
    </w:pPr>
  </w:style>
  <w:style w:type="paragraph" w:styleId="Innehll8">
    <w:name w:val="toc 8"/>
    <w:basedOn w:val="Normal"/>
    <w:next w:val="Normal"/>
    <w:autoRedefine/>
    <w:uiPriority w:val="39"/>
    <w:semiHidden/>
    <w:unhideWhenUsed/>
    <w:rsid w:val="0003148D"/>
    <w:pPr>
      <w:spacing w:after="100"/>
      <w:ind w:left="1540"/>
    </w:pPr>
  </w:style>
  <w:style w:type="paragraph" w:styleId="Innehll9">
    <w:name w:val="toc 9"/>
    <w:basedOn w:val="Normal"/>
    <w:next w:val="Normal"/>
    <w:autoRedefine/>
    <w:uiPriority w:val="39"/>
    <w:semiHidden/>
    <w:unhideWhenUsed/>
    <w:rsid w:val="0003148D"/>
    <w:pPr>
      <w:spacing w:after="100"/>
      <w:ind w:left="1760"/>
    </w:pPr>
  </w:style>
  <w:style w:type="paragraph" w:styleId="Indragetstycke">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krotext">
    <w:name w:val="macro"/>
    <w:link w:val="Mak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krotextChar">
    <w:name w:val="Makrotext Char"/>
    <w:basedOn w:val="Standardstycketeckensnitt"/>
    <w:link w:val="Makrotext"/>
    <w:uiPriority w:val="99"/>
    <w:semiHidden/>
    <w:rsid w:val="0003148D"/>
    <w:rPr>
      <w:rFonts w:ascii="Consolas" w:hAnsi="Consolas" w:cs="Consolas"/>
      <w:sz w:val="20"/>
      <w:szCs w:val="20"/>
    </w:rPr>
  </w:style>
  <w:style w:type="paragraph" w:styleId="Oformateradtext">
    <w:name w:val="Plain Text"/>
    <w:basedOn w:val="Normal"/>
    <w:link w:val="OformateradtextChar"/>
    <w:uiPriority w:val="99"/>
    <w:semiHidden/>
    <w:unhideWhenUsed/>
    <w:rsid w:val="0003148D"/>
    <w:pPr>
      <w:spacing w:line="240" w:lineRule="auto"/>
    </w:pPr>
    <w:rPr>
      <w:rFonts w:ascii="Consolas" w:hAnsi="Consolas" w:cs="Consolas"/>
      <w:sz w:val="21"/>
      <w:szCs w:val="21"/>
    </w:rPr>
  </w:style>
  <w:style w:type="character" w:customStyle="1" w:styleId="OformateradtextChar">
    <w:name w:val="Oformaterad text Char"/>
    <w:basedOn w:val="Standardstycketeckensnitt"/>
    <w:link w:val="Oformateradtext"/>
    <w:uiPriority w:val="99"/>
    <w:semiHidden/>
    <w:rsid w:val="0003148D"/>
    <w:rPr>
      <w:rFonts w:ascii="Consolas" w:hAnsi="Consolas" w:cs="Consolas"/>
      <w:sz w:val="21"/>
      <w:szCs w:val="21"/>
    </w:rPr>
  </w:style>
  <w:style w:type="paragraph" w:styleId="Fotnotstext">
    <w:name w:val="footnote text"/>
    <w:basedOn w:val="Normal"/>
    <w:link w:val="FotnotstextChar"/>
    <w:uiPriority w:val="99"/>
    <w:semiHidden/>
    <w:unhideWhenUsed/>
    <w:rsid w:val="0003148D"/>
    <w:pPr>
      <w:spacing w:line="240" w:lineRule="auto"/>
    </w:pPr>
  </w:style>
  <w:style w:type="character" w:customStyle="1" w:styleId="FotnotstextChar">
    <w:name w:val="Fotnotstext Char"/>
    <w:basedOn w:val="Standardstycketeckensnitt"/>
    <w:link w:val="Fotnotstext"/>
    <w:uiPriority w:val="99"/>
    <w:semiHidden/>
    <w:rsid w:val="0003148D"/>
    <w:rPr>
      <w:sz w:val="20"/>
      <w:szCs w:val="20"/>
    </w:rPr>
  </w:style>
  <w:style w:type="paragraph" w:styleId="Slutnotstext">
    <w:name w:val="endnote text"/>
    <w:basedOn w:val="Normal"/>
    <w:link w:val="SlutnotstextChar"/>
    <w:uiPriority w:val="99"/>
    <w:semiHidden/>
    <w:unhideWhenUsed/>
    <w:rsid w:val="0003148D"/>
    <w:pPr>
      <w:spacing w:line="240" w:lineRule="auto"/>
    </w:pPr>
  </w:style>
  <w:style w:type="character" w:customStyle="1" w:styleId="SlutnotstextChar">
    <w:name w:val="Slutnotstext Char"/>
    <w:basedOn w:val="Standardstycketeckensnitt"/>
    <w:link w:val="Slutnotstext"/>
    <w:uiPriority w:val="99"/>
    <w:semiHidden/>
    <w:rsid w:val="0003148D"/>
    <w:rPr>
      <w:sz w:val="20"/>
      <w:szCs w:val="20"/>
    </w:rPr>
  </w:style>
  <w:style w:type="character" w:customStyle="1" w:styleId="Rubrik1Char">
    <w:name w:val="Rubrik 1 Char"/>
    <w:basedOn w:val="Standardstycketeckensnitt"/>
    <w:link w:val="Rubrik1"/>
    <w:uiPriority w:val="9"/>
    <w:rsid w:val="004F5E36"/>
    <w:rPr>
      <w:rFonts w:ascii="Arial" w:eastAsia="Times New Roman" w:hAnsi="Arial" w:cs="Times New Roman"/>
      <w:b/>
      <w:sz w:val="20"/>
      <w:szCs w:val="20"/>
      <w:lang w:val="en-GB"/>
    </w:rPr>
  </w:style>
  <w:style w:type="character" w:customStyle="1" w:styleId="Rubrik2Char">
    <w:name w:val="Rubrik 2 Char"/>
    <w:basedOn w:val="Standardstycketeckensnitt"/>
    <w:link w:val="Rubrik2"/>
    <w:uiPriority w:val="9"/>
    <w:semiHidden/>
    <w:rsid w:val="0003148D"/>
    <w:rPr>
      <w:rFonts w:asciiTheme="majorHAnsi" w:eastAsiaTheme="majorEastAsia" w:hAnsiTheme="majorHAnsi" w:cstheme="majorBidi"/>
      <w:b/>
      <w:bCs/>
      <w:color w:val="4F81BD" w:themeColor="accent1"/>
      <w:sz w:val="26"/>
      <w:szCs w:val="26"/>
    </w:rPr>
  </w:style>
  <w:style w:type="character" w:customStyle="1" w:styleId="Rubrik3Char">
    <w:name w:val="Rubrik 3 Char"/>
    <w:basedOn w:val="Standardstycketeckensnitt"/>
    <w:link w:val="Rubrik3"/>
    <w:uiPriority w:val="9"/>
    <w:semiHidden/>
    <w:rsid w:val="0003148D"/>
    <w:rPr>
      <w:rFonts w:asciiTheme="majorHAnsi" w:eastAsiaTheme="majorEastAsia" w:hAnsiTheme="majorHAnsi" w:cstheme="majorBidi"/>
      <w:b/>
      <w:bCs/>
      <w:color w:val="4F81BD" w:themeColor="accent1"/>
    </w:rPr>
  </w:style>
  <w:style w:type="character" w:customStyle="1" w:styleId="Rubrik4Char">
    <w:name w:val="Rubrik 4 Char"/>
    <w:basedOn w:val="Standardstycketeckensnitt"/>
    <w:link w:val="Rubrik4"/>
    <w:uiPriority w:val="9"/>
    <w:semiHidden/>
    <w:rsid w:val="0003148D"/>
    <w:rPr>
      <w:rFonts w:asciiTheme="majorHAnsi" w:eastAsiaTheme="majorEastAsia" w:hAnsiTheme="majorHAnsi" w:cstheme="majorBidi"/>
      <w:b/>
      <w:bCs/>
      <w:i/>
      <w:iCs/>
      <w:color w:val="4F81BD" w:themeColor="accent1"/>
    </w:rPr>
  </w:style>
  <w:style w:type="character" w:customStyle="1" w:styleId="Rubrik5Char">
    <w:name w:val="Rubrik 5 Char"/>
    <w:basedOn w:val="Standardstycketeckensnitt"/>
    <w:link w:val="Rubrik5"/>
    <w:uiPriority w:val="9"/>
    <w:semiHidden/>
    <w:rsid w:val="0003148D"/>
    <w:rPr>
      <w:rFonts w:asciiTheme="majorHAnsi" w:eastAsiaTheme="majorEastAsia" w:hAnsiTheme="majorHAnsi" w:cstheme="majorBidi"/>
      <w:color w:val="243F60" w:themeColor="accent1" w:themeShade="7F"/>
    </w:rPr>
  </w:style>
  <w:style w:type="character" w:customStyle="1" w:styleId="Rubrik6Char">
    <w:name w:val="Rubrik 6 Char"/>
    <w:basedOn w:val="Standardstycketeckensnitt"/>
    <w:link w:val="Rubrik6"/>
    <w:uiPriority w:val="9"/>
    <w:semiHidden/>
    <w:rsid w:val="0003148D"/>
    <w:rPr>
      <w:rFonts w:asciiTheme="majorHAnsi" w:eastAsiaTheme="majorEastAsia" w:hAnsiTheme="majorHAnsi" w:cstheme="majorBidi"/>
      <w:i/>
      <w:iCs/>
      <w:color w:val="243F60" w:themeColor="accent1" w:themeShade="7F"/>
    </w:rPr>
  </w:style>
  <w:style w:type="character" w:customStyle="1" w:styleId="Rubrik7Char">
    <w:name w:val="Rubrik 7 Char"/>
    <w:basedOn w:val="Standardstycketeckensnitt"/>
    <w:link w:val="Rubrik7"/>
    <w:uiPriority w:val="9"/>
    <w:semiHidden/>
    <w:rsid w:val="0003148D"/>
    <w:rPr>
      <w:rFonts w:asciiTheme="majorHAnsi" w:eastAsiaTheme="majorEastAsia" w:hAnsiTheme="majorHAnsi" w:cstheme="majorBidi"/>
      <w:i/>
      <w:iCs/>
      <w:color w:val="404040" w:themeColor="text1" w:themeTint="BF"/>
    </w:rPr>
  </w:style>
  <w:style w:type="character" w:customStyle="1" w:styleId="Rubrik8Char">
    <w:name w:val="Rubrik 8 Char"/>
    <w:basedOn w:val="Standardstycketeckensnitt"/>
    <w:link w:val="Rubrik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Rubrik9Char">
    <w:name w:val="Rubrik 9 Char"/>
    <w:basedOn w:val="Standardstycketeckensnitt"/>
    <w:link w:val="Rubrik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rubrik">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Citatfrteckningsrubrik">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Innehllsfrteckningsrubrik">
    <w:name w:val="TOC Heading"/>
    <w:basedOn w:val="Rubrik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Standardstycketeckensnit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Sidhuvud">
    <w:name w:val="header"/>
    <w:basedOn w:val="Normal"/>
    <w:link w:val="SidhuvudChar"/>
    <w:uiPriority w:val="99"/>
    <w:unhideWhenUsed/>
    <w:rsid w:val="005278B7"/>
    <w:pPr>
      <w:tabs>
        <w:tab w:val="clear" w:pos="7100"/>
        <w:tab w:val="center" w:pos="4819"/>
        <w:tab w:val="right" w:pos="9638"/>
      </w:tabs>
      <w:spacing w:line="240" w:lineRule="auto"/>
    </w:pPr>
  </w:style>
  <w:style w:type="character" w:customStyle="1" w:styleId="SidhuvudChar">
    <w:name w:val="Sidhuvud Char"/>
    <w:basedOn w:val="Standardstycketeckensnitt"/>
    <w:link w:val="Sidhuvud"/>
    <w:uiPriority w:val="99"/>
    <w:rsid w:val="005278B7"/>
    <w:rPr>
      <w:rFonts w:ascii="Arial" w:eastAsia="Times New Roman" w:hAnsi="Arial" w:cs="Times New Roman"/>
      <w:sz w:val="18"/>
      <w:szCs w:val="20"/>
      <w:lang w:val="en-GB"/>
    </w:rPr>
  </w:style>
  <w:style w:type="paragraph" w:styleId="Sidfot">
    <w:name w:val="footer"/>
    <w:basedOn w:val="Normal"/>
    <w:link w:val="SidfotChar"/>
    <w:uiPriority w:val="99"/>
    <w:unhideWhenUsed/>
    <w:rsid w:val="005278B7"/>
    <w:pPr>
      <w:tabs>
        <w:tab w:val="clear" w:pos="7100"/>
        <w:tab w:val="center" w:pos="4819"/>
        <w:tab w:val="right" w:pos="9638"/>
      </w:tabs>
      <w:spacing w:line="240" w:lineRule="auto"/>
    </w:pPr>
  </w:style>
  <w:style w:type="character" w:customStyle="1" w:styleId="SidfotChar">
    <w:name w:val="Sidfot Char"/>
    <w:basedOn w:val="Standardstycketeckensnitt"/>
    <w:link w:val="Sidfot"/>
    <w:uiPriority w:val="99"/>
    <w:rsid w:val="005278B7"/>
    <w:rPr>
      <w:rFonts w:ascii="Arial" w:eastAsia="Times New Roman" w:hAnsi="Arial" w:cs="Times New Roman"/>
      <w:sz w:val="18"/>
      <w:szCs w:val="20"/>
      <w:lang w:val="en-GB"/>
    </w:rPr>
  </w:style>
  <w:style w:type="table" w:styleId="Tabellrutnt">
    <w:name w:val="Table Grid"/>
    <w:basedOn w:val="Normaltabel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nk">
    <w:name w:val="Hyperlink"/>
    <w:basedOn w:val="Standardstycketeckensnitt"/>
    <w:uiPriority w:val="99"/>
    <w:unhideWhenUsed/>
    <w:rsid w:val="00904C62"/>
    <w:rPr>
      <w:color w:val="0000FF" w:themeColor="hyperlink"/>
      <w:u w:val="single"/>
    </w:rPr>
  </w:style>
  <w:style w:type="character" w:customStyle="1" w:styleId="eudoraheader">
    <w:name w:val="eudoraheader"/>
    <w:basedOn w:val="Standardstycketeckensnit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stycke">
    <w:name w:val="List Paragraph"/>
    <w:basedOn w:val="Normal"/>
    <w:uiPriority w:val="34"/>
    <w:rsid w:val="00280FAF"/>
    <w:pPr>
      <w:ind w:left="720"/>
      <w:contextualSpacing/>
    </w:pPr>
  </w:style>
  <w:style w:type="character" w:customStyle="1" w:styleId="gmail-apple-converted-space">
    <w:name w:val="gmail-apple-converted-space"/>
    <w:basedOn w:val="Standardstycketeckensnitt"/>
    <w:rsid w:val="00005A19"/>
  </w:style>
  <w:style w:type="character" w:styleId="Olstomnmnande">
    <w:name w:val="Unresolved Mention"/>
    <w:basedOn w:val="Standardstycketeckensnitt"/>
    <w:uiPriority w:val="99"/>
    <w:semiHidden/>
    <w:unhideWhenUsed/>
    <w:rsid w:val="00CC22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376678">
      <w:bodyDiv w:val="1"/>
      <w:marLeft w:val="0"/>
      <w:marRight w:val="0"/>
      <w:marTop w:val="0"/>
      <w:marBottom w:val="0"/>
      <w:divBdr>
        <w:top w:val="none" w:sz="0" w:space="0" w:color="auto"/>
        <w:left w:val="none" w:sz="0" w:space="0" w:color="auto"/>
        <w:bottom w:val="none" w:sz="0" w:space="0" w:color="auto"/>
        <w:right w:val="none" w:sz="0" w:space="0" w:color="auto"/>
      </w:divBdr>
    </w:div>
    <w:div w:id="102118625">
      <w:bodyDiv w:val="1"/>
      <w:marLeft w:val="0"/>
      <w:marRight w:val="0"/>
      <w:marTop w:val="0"/>
      <w:marBottom w:val="0"/>
      <w:divBdr>
        <w:top w:val="none" w:sz="0" w:space="0" w:color="auto"/>
        <w:left w:val="none" w:sz="0" w:space="0" w:color="auto"/>
        <w:bottom w:val="none" w:sz="0" w:space="0" w:color="auto"/>
        <w:right w:val="none" w:sz="0" w:space="0" w:color="auto"/>
      </w:divBdr>
      <w:divsChild>
        <w:div w:id="2070684054">
          <w:marLeft w:val="0"/>
          <w:marRight w:val="0"/>
          <w:marTop w:val="0"/>
          <w:marBottom w:val="0"/>
          <w:divBdr>
            <w:top w:val="none" w:sz="0" w:space="0" w:color="auto"/>
            <w:left w:val="none" w:sz="0" w:space="0" w:color="auto"/>
            <w:bottom w:val="none" w:sz="0" w:space="0" w:color="auto"/>
            <w:right w:val="none" w:sz="0" w:space="0" w:color="auto"/>
          </w:divBdr>
        </w:div>
      </w:divsChild>
    </w:div>
    <w:div w:id="260797254">
      <w:bodyDiv w:val="1"/>
      <w:marLeft w:val="0"/>
      <w:marRight w:val="0"/>
      <w:marTop w:val="0"/>
      <w:marBottom w:val="0"/>
      <w:divBdr>
        <w:top w:val="none" w:sz="0" w:space="0" w:color="auto"/>
        <w:left w:val="none" w:sz="0" w:space="0" w:color="auto"/>
        <w:bottom w:val="none" w:sz="0" w:space="0" w:color="auto"/>
        <w:right w:val="none" w:sz="0" w:space="0" w:color="auto"/>
      </w:divBdr>
    </w:div>
    <w:div w:id="337316284">
      <w:bodyDiv w:val="1"/>
      <w:marLeft w:val="0"/>
      <w:marRight w:val="0"/>
      <w:marTop w:val="0"/>
      <w:marBottom w:val="0"/>
      <w:divBdr>
        <w:top w:val="none" w:sz="0" w:space="0" w:color="auto"/>
        <w:left w:val="none" w:sz="0" w:space="0" w:color="auto"/>
        <w:bottom w:val="none" w:sz="0" w:space="0" w:color="auto"/>
        <w:right w:val="none" w:sz="0" w:space="0" w:color="auto"/>
      </w:divBdr>
    </w:div>
    <w:div w:id="392509586">
      <w:bodyDiv w:val="1"/>
      <w:marLeft w:val="0"/>
      <w:marRight w:val="0"/>
      <w:marTop w:val="0"/>
      <w:marBottom w:val="0"/>
      <w:divBdr>
        <w:top w:val="none" w:sz="0" w:space="0" w:color="auto"/>
        <w:left w:val="none" w:sz="0" w:space="0" w:color="auto"/>
        <w:bottom w:val="none" w:sz="0" w:space="0" w:color="auto"/>
        <w:right w:val="none" w:sz="0" w:space="0" w:color="auto"/>
      </w:divBdr>
    </w:div>
    <w:div w:id="408505762">
      <w:bodyDiv w:val="1"/>
      <w:marLeft w:val="0"/>
      <w:marRight w:val="0"/>
      <w:marTop w:val="0"/>
      <w:marBottom w:val="0"/>
      <w:divBdr>
        <w:top w:val="none" w:sz="0" w:space="0" w:color="auto"/>
        <w:left w:val="none" w:sz="0" w:space="0" w:color="auto"/>
        <w:bottom w:val="none" w:sz="0" w:space="0" w:color="auto"/>
        <w:right w:val="none" w:sz="0" w:space="0" w:color="auto"/>
      </w:divBdr>
    </w:div>
    <w:div w:id="452792456">
      <w:bodyDiv w:val="1"/>
      <w:marLeft w:val="0"/>
      <w:marRight w:val="0"/>
      <w:marTop w:val="0"/>
      <w:marBottom w:val="0"/>
      <w:divBdr>
        <w:top w:val="none" w:sz="0" w:space="0" w:color="auto"/>
        <w:left w:val="none" w:sz="0" w:space="0" w:color="auto"/>
        <w:bottom w:val="none" w:sz="0" w:space="0" w:color="auto"/>
        <w:right w:val="none" w:sz="0" w:space="0" w:color="auto"/>
      </w:divBdr>
    </w:div>
    <w:div w:id="462191758">
      <w:bodyDiv w:val="1"/>
      <w:marLeft w:val="0"/>
      <w:marRight w:val="0"/>
      <w:marTop w:val="0"/>
      <w:marBottom w:val="0"/>
      <w:divBdr>
        <w:top w:val="none" w:sz="0" w:space="0" w:color="auto"/>
        <w:left w:val="none" w:sz="0" w:space="0" w:color="auto"/>
        <w:bottom w:val="none" w:sz="0" w:space="0" w:color="auto"/>
        <w:right w:val="none" w:sz="0" w:space="0" w:color="auto"/>
      </w:divBdr>
    </w:div>
    <w:div w:id="513811215">
      <w:bodyDiv w:val="1"/>
      <w:marLeft w:val="0"/>
      <w:marRight w:val="0"/>
      <w:marTop w:val="0"/>
      <w:marBottom w:val="0"/>
      <w:divBdr>
        <w:top w:val="none" w:sz="0" w:space="0" w:color="auto"/>
        <w:left w:val="none" w:sz="0" w:space="0" w:color="auto"/>
        <w:bottom w:val="none" w:sz="0" w:space="0" w:color="auto"/>
        <w:right w:val="none" w:sz="0" w:space="0" w:color="auto"/>
      </w:divBdr>
    </w:div>
    <w:div w:id="554849441">
      <w:bodyDiv w:val="1"/>
      <w:marLeft w:val="0"/>
      <w:marRight w:val="0"/>
      <w:marTop w:val="0"/>
      <w:marBottom w:val="0"/>
      <w:divBdr>
        <w:top w:val="none" w:sz="0" w:space="0" w:color="auto"/>
        <w:left w:val="none" w:sz="0" w:space="0" w:color="auto"/>
        <w:bottom w:val="none" w:sz="0" w:space="0" w:color="auto"/>
        <w:right w:val="none" w:sz="0" w:space="0" w:color="auto"/>
      </w:divBdr>
    </w:div>
    <w:div w:id="604115024">
      <w:bodyDiv w:val="1"/>
      <w:marLeft w:val="0"/>
      <w:marRight w:val="0"/>
      <w:marTop w:val="0"/>
      <w:marBottom w:val="0"/>
      <w:divBdr>
        <w:top w:val="none" w:sz="0" w:space="0" w:color="auto"/>
        <w:left w:val="none" w:sz="0" w:space="0" w:color="auto"/>
        <w:bottom w:val="none" w:sz="0" w:space="0" w:color="auto"/>
        <w:right w:val="none" w:sz="0" w:space="0" w:color="auto"/>
      </w:divBdr>
    </w:div>
    <w:div w:id="613515144">
      <w:bodyDiv w:val="1"/>
      <w:marLeft w:val="0"/>
      <w:marRight w:val="0"/>
      <w:marTop w:val="0"/>
      <w:marBottom w:val="0"/>
      <w:divBdr>
        <w:top w:val="none" w:sz="0" w:space="0" w:color="auto"/>
        <w:left w:val="none" w:sz="0" w:space="0" w:color="auto"/>
        <w:bottom w:val="none" w:sz="0" w:space="0" w:color="auto"/>
        <w:right w:val="none" w:sz="0" w:space="0" w:color="auto"/>
      </w:divBdr>
    </w:div>
    <w:div w:id="638152186">
      <w:bodyDiv w:val="1"/>
      <w:marLeft w:val="0"/>
      <w:marRight w:val="0"/>
      <w:marTop w:val="0"/>
      <w:marBottom w:val="0"/>
      <w:divBdr>
        <w:top w:val="none" w:sz="0" w:space="0" w:color="auto"/>
        <w:left w:val="none" w:sz="0" w:space="0" w:color="auto"/>
        <w:bottom w:val="none" w:sz="0" w:space="0" w:color="auto"/>
        <w:right w:val="none" w:sz="0" w:space="0" w:color="auto"/>
      </w:divBdr>
      <w:divsChild>
        <w:div w:id="1939870375">
          <w:marLeft w:val="0"/>
          <w:marRight w:val="0"/>
          <w:marTop w:val="0"/>
          <w:marBottom w:val="0"/>
          <w:divBdr>
            <w:top w:val="none" w:sz="0" w:space="0" w:color="auto"/>
            <w:left w:val="none" w:sz="0" w:space="0" w:color="auto"/>
            <w:bottom w:val="none" w:sz="0" w:space="0" w:color="auto"/>
            <w:right w:val="none" w:sz="0" w:space="0" w:color="auto"/>
          </w:divBdr>
          <w:divsChild>
            <w:div w:id="1603099684">
              <w:marLeft w:val="0"/>
              <w:marRight w:val="0"/>
              <w:marTop w:val="0"/>
              <w:marBottom w:val="0"/>
              <w:divBdr>
                <w:top w:val="none" w:sz="0" w:space="0" w:color="auto"/>
                <w:left w:val="none" w:sz="0" w:space="0" w:color="auto"/>
                <w:bottom w:val="none" w:sz="0" w:space="0" w:color="auto"/>
                <w:right w:val="none" w:sz="0" w:space="0" w:color="auto"/>
              </w:divBdr>
              <w:divsChild>
                <w:div w:id="512500941">
                  <w:marLeft w:val="0"/>
                  <w:marRight w:val="0"/>
                  <w:marTop w:val="0"/>
                  <w:marBottom w:val="0"/>
                  <w:divBdr>
                    <w:top w:val="none" w:sz="0" w:space="0" w:color="auto"/>
                    <w:left w:val="none" w:sz="0" w:space="0" w:color="auto"/>
                    <w:bottom w:val="none" w:sz="0" w:space="0" w:color="auto"/>
                    <w:right w:val="none" w:sz="0" w:space="0" w:color="auto"/>
                  </w:divBdr>
                  <w:divsChild>
                    <w:div w:id="1037779516">
                      <w:marLeft w:val="0"/>
                      <w:marRight w:val="0"/>
                      <w:marTop w:val="0"/>
                      <w:marBottom w:val="0"/>
                      <w:divBdr>
                        <w:top w:val="none" w:sz="0" w:space="0" w:color="auto"/>
                        <w:left w:val="none" w:sz="0" w:space="0" w:color="auto"/>
                        <w:bottom w:val="none" w:sz="0" w:space="0" w:color="auto"/>
                        <w:right w:val="none" w:sz="0" w:space="0" w:color="auto"/>
                      </w:divBdr>
                      <w:divsChild>
                        <w:div w:id="968441445">
                          <w:marLeft w:val="0"/>
                          <w:marRight w:val="0"/>
                          <w:marTop w:val="0"/>
                          <w:marBottom w:val="0"/>
                          <w:divBdr>
                            <w:top w:val="none" w:sz="0" w:space="0" w:color="auto"/>
                            <w:left w:val="none" w:sz="0" w:space="0" w:color="auto"/>
                            <w:bottom w:val="none" w:sz="0" w:space="0" w:color="auto"/>
                            <w:right w:val="none" w:sz="0" w:space="0" w:color="auto"/>
                          </w:divBdr>
                          <w:divsChild>
                            <w:div w:id="1788963672">
                              <w:marLeft w:val="0"/>
                              <w:marRight w:val="0"/>
                              <w:marTop w:val="0"/>
                              <w:marBottom w:val="0"/>
                              <w:divBdr>
                                <w:top w:val="none" w:sz="0" w:space="0" w:color="auto"/>
                                <w:left w:val="none" w:sz="0" w:space="0" w:color="auto"/>
                                <w:bottom w:val="none" w:sz="0" w:space="0" w:color="auto"/>
                                <w:right w:val="none" w:sz="0" w:space="0" w:color="auto"/>
                              </w:divBdr>
                              <w:divsChild>
                                <w:div w:id="778334162">
                                  <w:marLeft w:val="0"/>
                                  <w:marRight w:val="0"/>
                                  <w:marTop w:val="0"/>
                                  <w:marBottom w:val="0"/>
                                  <w:divBdr>
                                    <w:top w:val="none" w:sz="0" w:space="0" w:color="auto"/>
                                    <w:left w:val="none" w:sz="0" w:space="0" w:color="auto"/>
                                    <w:bottom w:val="none" w:sz="0" w:space="0" w:color="auto"/>
                                    <w:right w:val="none" w:sz="0" w:space="0" w:color="auto"/>
                                  </w:divBdr>
                                  <w:divsChild>
                                    <w:div w:id="23293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0619535">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9955488">
      <w:bodyDiv w:val="1"/>
      <w:marLeft w:val="0"/>
      <w:marRight w:val="0"/>
      <w:marTop w:val="0"/>
      <w:marBottom w:val="0"/>
      <w:divBdr>
        <w:top w:val="none" w:sz="0" w:space="0" w:color="auto"/>
        <w:left w:val="none" w:sz="0" w:space="0" w:color="auto"/>
        <w:bottom w:val="none" w:sz="0" w:space="0" w:color="auto"/>
        <w:right w:val="none" w:sz="0" w:space="0" w:color="auto"/>
      </w:divBdr>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742560">
      <w:bodyDiv w:val="1"/>
      <w:marLeft w:val="0"/>
      <w:marRight w:val="0"/>
      <w:marTop w:val="0"/>
      <w:marBottom w:val="0"/>
      <w:divBdr>
        <w:top w:val="none" w:sz="0" w:space="0" w:color="auto"/>
        <w:left w:val="none" w:sz="0" w:space="0" w:color="auto"/>
        <w:bottom w:val="none" w:sz="0" w:space="0" w:color="auto"/>
        <w:right w:val="none" w:sz="0" w:space="0" w:color="auto"/>
      </w:divBdr>
    </w:div>
    <w:div w:id="1301376004">
      <w:bodyDiv w:val="1"/>
      <w:marLeft w:val="0"/>
      <w:marRight w:val="0"/>
      <w:marTop w:val="0"/>
      <w:marBottom w:val="0"/>
      <w:divBdr>
        <w:top w:val="none" w:sz="0" w:space="0" w:color="auto"/>
        <w:left w:val="none" w:sz="0" w:space="0" w:color="auto"/>
        <w:bottom w:val="none" w:sz="0" w:space="0" w:color="auto"/>
        <w:right w:val="none" w:sz="0" w:space="0" w:color="auto"/>
      </w:divBdr>
      <w:divsChild>
        <w:div w:id="528568334">
          <w:marLeft w:val="0"/>
          <w:marRight w:val="0"/>
          <w:marTop w:val="0"/>
          <w:marBottom w:val="0"/>
          <w:divBdr>
            <w:top w:val="none" w:sz="0" w:space="0" w:color="auto"/>
            <w:left w:val="none" w:sz="0" w:space="0" w:color="auto"/>
            <w:bottom w:val="none" w:sz="0" w:space="0" w:color="auto"/>
            <w:right w:val="none" w:sz="0" w:space="0" w:color="auto"/>
          </w:divBdr>
          <w:divsChild>
            <w:div w:id="1752046087">
              <w:marLeft w:val="0"/>
              <w:marRight w:val="0"/>
              <w:marTop w:val="0"/>
              <w:marBottom w:val="0"/>
              <w:divBdr>
                <w:top w:val="none" w:sz="0" w:space="0" w:color="auto"/>
                <w:left w:val="none" w:sz="0" w:space="0" w:color="auto"/>
                <w:bottom w:val="none" w:sz="0" w:space="0" w:color="auto"/>
                <w:right w:val="none" w:sz="0" w:space="0" w:color="auto"/>
              </w:divBdr>
              <w:divsChild>
                <w:div w:id="68237452">
                  <w:marLeft w:val="0"/>
                  <w:marRight w:val="0"/>
                  <w:marTop w:val="0"/>
                  <w:marBottom w:val="0"/>
                  <w:divBdr>
                    <w:top w:val="none" w:sz="0" w:space="0" w:color="auto"/>
                    <w:left w:val="none" w:sz="0" w:space="0" w:color="auto"/>
                    <w:bottom w:val="none" w:sz="0" w:space="0" w:color="auto"/>
                    <w:right w:val="none" w:sz="0" w:space="0" w:color="auto"/>
                  </w:divBdr>
                  <w:divsChild>
                    <w:div w:id="1898935217">
                      <w:marLeft w:val="0"/>
                      <w:marRight w:val="0"/>
                      <w:marTop w:val="0"/>
                      <w:marBottom w:val="0"/>
                      <w:divBdr>
                        <w:top w:val="none" w:sz="0" w:space="0" w:color="auto"/>
                        <w:left w:val="none" w:sz="0" w:space="0" w:color="auto"/>
                        <w:bottom w:val="none" w:sz="0" w:space="0" w:color="auto"/>
                        <w:right w:val="none" w:sz="0" w:space="0" w:color="auto"/>
                      </w:divBdr>
                      <w:divsChild>
                        <w:div w:id="1232079592">
                          <w:marLeft w:val="0"/>
                          <w:marRight w:val="0"/>
                          <w:marTop w:val="0"/>
                          <w:marBottom w:val="0"/>
                          <w:divBdr>
                            <w:top w:val="none" w:sz="0" w:space="0" w:color="auto"/>
                            <w:left w:val="none" w:sz="0" w:space="0" w:color="auto"/>
                            <w:bottom w:val="none" w:sz="0" w:space="0" w:color="auto"/>
                            <w:right w:val="none" w:sz="0" w:space="0" w:color="auto"/>
                          </w:divBdr>
                          <w:divsChild>
                            <w:div w:id="1176575370">
                              <w:marLeft w:val="0"/>
                              <w:marRight w:val="0"/>
                              <w:marTop w:val="0"/>
                              <w:marBottom w:val="0"/>
                              <w:divBdr>
                                <w:top w:val="none" w:sz="0" w:space="0" w:color="auto"/>
                                <w:left w:val="none" w:sz="0" w:space="0" w:color="auto"/>
                                <w:bottom w:val="none" w:sz="0" w:space="0" w:color="auto"/>
                                <w:right w:val="none" w:sz="0" w:space="0" w:color="auto"/>
                              </w:divBdr>
                              <w:divsChild>
                                <w:div w:id="1481457840">
                                  <w:marLeft w:val="0"/>
                                  <w:marRight w:val="0"/>
                                  <w:marTop w:val="0"/>
                                  <w:marBottom w:val="0"/>
                                  <w:divBdr>
                                    <w:top w:val="none" w:sz="0" w:space="0" w:color="auto"/>
                                    <w:left w:val="none" w:sz="0" w:space="0" w:color="auto"/>
                                    <w:bottom w:val="none" w:sz="0" w:space="0" w:color="auto"/>
                                    <w:right w:val="none" w:sz="0" w:space="0" w:color="auto"/>
                                  </w:divBdr>
                                  <w:divsChild>
                                    <w:div w:id="50405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4555588">
      <w:bodyDiv w:val="1"/>
      <w:marLeft w:val="0"/>
      <w:marRight w:val="0"/>
      <w:marTop w:val="0"/>
      <w:marBottom w:val="0"/>
      <w:divBdr>
        <w:top w:val="none" w:sz="0" w:space="0" w:color="auto"/>
        <w:left w:val="none" w:sz="0" w:space="0" w:color="auto"/>
        <w:bottom w:val="none" w:sz="0" w:space="0" w:color="auto"/>
        <w:right w:val="none" w:sz="0" w:space="0" w:color="auto"/>
      </w:divBdr>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369447687">
      <w:bodyDiv w:val="1"/>
      <w:marLeft w:val="0"/>
      <w:marRight w:val="0"/>
      <w:marTop w:val="0"/>
      <w:marBottom w:val="0"/>
      <w:divBdr>
        <w:top w:val="none" w:sz="0" w:space="0" w:color="auto"/>
        <w:left w:val="none" w:sz="0" w:space="0" w:color="auto"/>
        <w:bottom w:val="none" w:sz="0" w:space="0" w:color="auto"/>
        <w:right w:val="none" w:sz="0" w:space="0" w:color="auto"/>
      </w:divBdr>
      <w:divsChild>
        <w:div w:id="1535147846">
          <w:marLeft w:val="0"/>
          <w:marRight w:val="0"/>
          <w:marTop w:val="0"/>
          <w:marBottom w:val="0"/>
          <w:divBdr>
            <w:top w:val="none" w:sz="0" w:space="0" w:color="auto"/>
            <w:left w:val="none" w:sz="0" w:space="0" w:color="auto"/>
            <w:bottom w:val="none" w:sz="0" w:space="0" w:color="auto"/>
            <w:right w:val="none" w:sz="0" w:space="0" w:color="auto"/>
          </w:divBdr>
        </w:div>
      </w:divsChild>
    </w:div>
    <w:div w:id="1400710559">
      <w:bodyDiv w:val="1"/>
      <w:marLeft w:val="0"/>
      <w:marRight w:val="0"/>
      <w:marTop w:val="0"/>
      <w:marBottom w:val="0"/>
      <w:divBdr>
        <w:top w:val="none" w:sz="0" w:space="0" w:color="auto"/>
        <w:left w:val="none" w:sz="0" w:space="0" w:color="auto"/>
        <w:bottom w:val="none" w:sz="0" w:space="0" w:color="auto"/>
        <w:right w:val="none" w:sz="0" w:space="0" w:color="auto"/>
      </w:divBdr>
      <w:divsChild>
        <w:div w:id="861631932">
          <w:marLeft w:val="0"/>
          <w:marRight w:val="0"/>
          <w:marTop w:val="0"/>
          <w:marBottom w:val="0"/>
          <w:divBdr>
            <w:top w:val="none" w:sz="0" w:space="0" w:color="auto"/>
            <w:left w:val="none" w:sz="0" w:space="0" w:color="auto"/>
            <w:bottom w:val="none" w:sz="0" w:space="0" w:color="auto"/>
            <w:right w:val="none" w:sz="0" w:space="0" w:color="auto"/>
          </w:divBdr>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29351255">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01836813">
      <w:bodyDiv w:val="1"/>
      <w:marLeft w:val="0"/>
      <w:marRight w:val="0"/>
      <w:marTop w:val="0"/>
      <w:marBottom w:val="0"/>
      <w:divBdr>
        <w:top w:val="none" w:sz="0" w:space="0" w:color="auto"/>
        <w:left w:val="none" w:sz="0" w:space="0" w:color="auto"/>
        <w:bottom w:val="none" w:sz="0" w:space="0" w:color="auto"/>
        <w:right w:val="none" w:sz="0" w:space="0" w:color="auto"/>
      </w:divBdr>
    </w:div>
    <w:div w:id="1620919128">
      <w:bodyDiv w:val="1"/>
      <w:marLeft w:val="0"/>
      <w:marRight w:val="0"/>
      <w:marTop w:val="0"/>
      <w:marBottom w:val="0"/>
      <w:divBdr>
        <w:top w:val="none" w:sz="0" w:space="0" w:color="auto"/>
        <w:left w:val="none" w:sz="0" w:space="0" w:color="auto"/>
        <w:bottom w:val="none" w:sz="0" w:space="0" w:color="auto"/>
        <w:right w:val="none" w:sz="0" w:space="0" w:color="auto"/>
      </w:divBdr>
    </w:div>
    <w:div w:id="1667856222">
      <w:bodyDiv w:val="1"/>
      <w:marLeft w:val="0"/>
      <w:marRight w:val="0"/>
      <w:marTop w:val="0"/>
      <w:marBottom w:val="0"/>
      <w:divBdr>
        <w:top w:val="none" w:sz="0" w:space="0" w:color="auto"/>
        <w:left w:val="none" w:sz="0" w:space="0" w:color="auto"/>
        <w:bottom w:val="none" w:sz="0" w:space="0" w:color="auto"/>
        <w:right w:val="none" w:sz="0" w:space="0" w:color="auto"/>
      </w:divBdr>
      <w:divsChild>
        <w:div w:id="1111901111">
          <w:marLeft w:val="0"/>
          <w:marRight w:val="0"/>
          <w:marTop w:val="0"/>
          <w:marBottom w:val="0"/>
          <w:divBdr>
            <w:top w:val="none" w:sz="0" w:space="0" w:color="auto"/>
            <w:left w:val="none" w:sz="0" w:space="0" w:color="auto"/>
            <w:bottom w:val="none" w:sz="0" w:space="0" w:color="auto"/>
            <w:right w:val="none" w:sz="0" w:space="0" w:color="auto"/>
          </w:divBdr>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1767385084">
      <w:bodyDiv w:val="1"/>
      <w:marLeft w:val="0"/>
      <w:marRight w:val="0"/>
      <w:marTop w:val="0"/>
      <w:marBottom w:val="0"/>
      <w:divBdr>
        <w:top w:val="none" w:sz="0" w:space="0" w:color="auto"/>
        <w:left w:val="none" w:sz="0" w:space="0" w:color="auto"/>
        <w:bottom w:val="none" w:sz="0" w:space="0" w:color="auto"/>
        <w:right w:val="none" w:sz="0" w:space="0" w:color="auto"/>
      </w:divBdr>
    </w:div>
    <w:div w:id="1785348648">
      <w:bodyDiv w:val="1"/>
      <w:marLeft w:val="0"/>
      <w:marRight w:val="0"/>
      <w:marTop w:val="0"/>
      <w:marBottom w:val="0"/>
      <w:divBdr>
        <w:top w:val="none" w:sz="0" w:space="0" w:color="auto"/>
        <w:left w:val="none" w:sz="0" w:space="0" w:color="auto"/>
        <w:bottom w:val="none" w:sz="0" w:space="0" w:color="auto"/>
        <w:right w:val="none" w:sz="0" w:space="0" w:color="auto"/>
      </w:divBdr>
    </w:div>
    <w:div w:id="1791851802">
      <w:bodyDiv w:val="1"/>
      <w:marLeft w:val="0"/>
      <w:marRight w:val="0"/>
      <w:marTop w:val="0"/>
      <w:marBottom w:val="0"/>
      <w:divBdr>
        <w:top w:val="none" w:sz="0" w:space="0" w:color="auto"/>
        <w:left w:val="none" w:sz="0" w:space="0" w:color="auto"/>
        <w:bottom w:val="none" w:sz="0" w:space="0" w:color="auto"/>
        <w:right w:val="none" w:sz="0" w:space="0" w:color="auto"/>
      </w:divBdr>
    </w:div>
    <w:div w:id="1838963025">
      <w:bodyDiv w:val="1"/>
      <w:marLeft w:val="0"/>
      <w:marRight w:val="0"/>
      <w:marTop w:val="0"/>
      <w:marBottom w:val="0"/>
      <w:divBdr>
        <w:top w:val="none" w:sz="0" w:space="0" w:color="auto"/>
        <w:left w:val="none" w:sz="0" w:space="0" w:color="auto"/>
        <w:bottom w:val="none" w:sz="0" w:space="0" w:color="auto"/>
        <w:right w:val="none" w:sz="0" w:space="0" w:color="auto"/>
      </w:divBdr>
    </w:div>
    <w:div w:id="1915971606">
      <w:bodyDiv w:val="1"/>
      <w:marLeft w:val="0"/>
      <w:marRight w:val="0"/>
      <w:marTop w:val="0"/>
      <w:marBottom w:val="0"/>
      <w:divBdr>
        <w:top w:val="none" w:sz="0" w:space="0" w:color="auto"/>
        <w:left w:val="none" w:sz="0" w:space="0" w:color="auto"/>
        <w:bottom w:val="none" w:sz="0" w:space="0" w:color="auto"/>
        <w:right w:val="none" w:sz="0" w:space="0" w:color="auto"/>
      </w:divBdr>
    </w:div>
    <w:div w:id="1943954426">
      <w:bodyDiv w:val="1"/>
      <w:marLeft w:val="0"/>
      <w:marRight w:val="0"/>
      <w:marTop w:val="0"/>
      <w:marBottom w:val="0"/>
      <w:divBdr>
        <w:top w:val="none" w:sz="0" w:space="0" w:color="auto"/>
        <w:left w:val="none" w:sz="0" w:space="0" w:color="auto"/>
        <w:bottom w:val="none" w:sz="0" w:space="0" w:color="auto"/>
        <w:right w:val="none" w:sz="0" w:space="0" w:color="auto"/>
      </w:divBdr>
    </w:div>
    <w:div w:id="2013098411">
      <w:bodyDiv w:val="1"/>
      <w:marLeft w:val="0"/>
      <w:marRight w:val="0"/>
      <w:marTop w:val="0"/>
      <w:marBottom w:val="0"/>
      <w:divBdr>
        <w:top w:val="none" w:sz="0" w:space="0" w:color="auto"/>
        <w:left w:val="none" w:sz="0" w:space="0" w:color="auto"/>
        <w:bottom w:val="none" w:sz="0" w:space="0" w:color="auto"/>
        <w:right w:val="none" w:sz="0" w:space="0" w:color="auto"/>
      </w:divBdr>
    </w:div>
    <w:div w:id="2019379257">
      <w:bodyDiv w:val="1"/>
      <w:marLeft w:val="0"/>
      <w:marRight w:val="0"/>
      <w:marTop w:val="0"/>
      <w:marBottom w:val="0"/>
      <w:divBdr>
        <w:top w:val="none" w:sz="0" w:space="0" w:color="auto"/>
        <w:left w:val="none" w:sz="0" w:space="0" w:color="auto"/>
        <w:bottom w:val="none" w:sz="0" w:space="0" w:color="auto"/>
        <w:right w:val="none" w:sz="0" w:space="0" w:color="auto"/>
      </w:divBdr>
    </w:div>
    <w:div w:id="2072653399">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ur-lex.europa.eu/eli/dir/2024/3019/oj/e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2.wdp"/></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6</Pages>
  <Words>3436</Words>
  <Characters>19587</Characters>
  <Application>Microsoft Office Word</Application>
  <DocSecurity>0</DocSecurity>
  <Lines>163</Lines>
  <Paragraphs>45</Paragraphs>
  <ScaleCrop>false</ScaleCrop>
  <HeadingPairs>
    <vt:vector size="6" baseType="variant">
      <vt:variant>
        <vt:lpstr>Rubrik</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22978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Micolucci Federico - NSVA</cp:lastModifiedBy>
  <cp:revision>27</cp:revision>
  <cp:lastPrinted>2015-05-12T18:31:00Z</cp:lastPrinted>
  <dcterms:created xsi:type="dcterms:W3CDTF">2025-04-15T05:58:00Z</dcterms:created>
  <dcterms:modified xsi:type="dcterms:W3CDTF">2025-04-28T10:32:00Z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