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1C0BB4">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1C0BB4">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1C0BB4">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 xml:space="preserve">Guest </w:t>
            </w:r>
            <w:proofErr w:type="spellStart"/>
            <w:r w:rsidRPr="007D610D">
              <w:rPr>
                <w:rFonts w:ascii="Tahoma" w:hAnsi="Tahoma" w:cs="Tahoma"/>
                <w:iCs/>
                <w:color w:val="333333"/>
                <w:sz w:val="14"/>
                <w:szCs w:val="14"/>
                <w:lang w:val="it-IT" w:eastAsia="it-IT"/>
              </w:rPr>
              <w:t>Editors</w:t>
            </w:r>
            <w:proofErr w:type="spellEnd"/>
            <w:r w:rsidRPr="007D610D">
              <w:rPr>
                <w:rFonts w:ascii="Tahoma" w:hAnsi="Tahoma" w:cs="Tahoma"/>
                <w:iCs/>
                <w:color w:val="333333"/>
                <w:sz w:val="14"/>
                <w:szCs w:val="14"/>
                <w:lang w:val="it-IT" w:eastAsia="it-IT"/>
              </w:rPr>
              <w:t>:</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0BC3A721" w:rsidR="00E978D0" w:rsidRPr="00B57B36" w:rsidRDefault="001C0BB4" w:rsidP="00E978D0">
      <w:pPr>
        <w:pStyle w:val="CETTitle"/>
      </w:pPr>
      <w:r>
        <w:t>Decarbonization pathways for the Italian steel sector: environmental, economic and social implications</w:t>
      </w:r>
      <w:r w:rsidRPr="00B57B36">
        <w:t xml:space="preserve"> </w:t>
      </w:r>
    </w:p>
    <w:p w14:paraId="064D4644" w14:textId="54076F14" w:rsidR="001C0BB4" w:rsidRDefault="001C0BB4" w:rsidP="00902816">
      <w:pPr>
        <w:pStyle w:val="CETAuthors"/>
        <w:rPr>
          <w:rFonts w:ascii="Calibri" w:hAnsi="Calibri"/>
          <w:sz w:val="22"/>
          <w:lang w:val="it-IT"/>
        </w:rPr>
      </w:pPr>
      <w:r>
        <w:t>Andrea Mio,</w:t>
      </w:r>
      <w:r w:rsidRPr="001C0BB4">
        <w:rPr>
          <w:vertAlign w:val="superscript"/>
        </w:rPr>
        <w:t>a</w:t>
      </w:r>
      <w:r w:rsidR="003D32EA">
        <w:rPr>
          <w:vertAlign w:val="superscript"/>
        </w:rPr>
        <w:t>*</w:t>
      </w:r>
      <w:r w:rsidR="003D32EA">
        <w:t xml:space="preserve"> R</w:t>
      </w:r>
      <w:r>
        <w:t>omeo Danielis,</w:t>
      </w:r>
      <w:r w:rsidRPr="001C0BB4">
        <w:rPr>
          <w:vertAlign w:val="superscript"/>
        </w:rPr>
        <w:t>b</w:t>
      </w:r>
      <w:r>
        <w:t xml:space="preserve"> Giovanni Carrosio</w:t>
      </w:r>
      <w:r w:rsidR="003D32EA">
        <w:t>,</w:t>
      </w:r>
      <w:r w:rsidRPr="001C0BB4">
        <w:rPr>
          <w:vertAlign w:val="superscript"/>
        </w:rPr>
        <w:t>c</w:t>
      </w:r>
      <w:r w:rsidR="003D32EA">
        <w:t xml:space="preserve"> </w:t>
      </w:r>
      <w:r>
        <w:t>Sabrina Pricl</w:t>
      </w:r>
      <w:r w:rsidRPr="001C0BB4">
        <w:rPr>
          <w:vertAlign w:val="superscript"/>
        </w:rPr>
        <w:t>a</w:t>
      </w:r>
    </w:p>
    <w:p w14:paraId="28F36914" w14:textId="2CF44AC0" w:rsidR="003D32EA" w:rsidRPr="003D32EA" w:rsidRDefault="00B57E6F" w:rsidP="003D32EA">
      <w:pPr>
        <w:pStyle w:val="CETAddress"/>
      </w:pPr>
      <w:r w:rsidRPr="00B57B36">
        <w:rPr>
          <w:vertAlign w:val="superscript"/>
        </w:rPr>
        <w:t>a</w:t>
      </w:r>
      <w:r w:rsidR="003D32EA" w:rsidRPr="003D32EA">
        <w:t xml:space="preserve"> Department of Engineering and Architecture (DEA), University of Trieste, </w:t>
      </w:r>
      <w:r w:rsidR="00A25525" w:rsidRPr="003D32EA">
        <w:t>Piazzale Europa 1, 34127 Trieste, Italy</w:t>
      </w:r>
    </w:p>
    <w:p w14:paraId="22EF2767" w14:textId="0188312F" w:rsidR="00A61A81" w:rsidRDefault="00B57E6F" w:rsidP="00A61A81">
      <w:pPr>
        <w:pStyle w:val="CETAddress"/>
      </w:pPr>
      <w:r w:rsidRPr="00B57B36">
        <w:rPr>
          <w:vertAlign w:val="superscript"/>
        </w:rPr>
        <w:t>b</w:t>
      </w:r>
      <w:r w:rsidR="003D32EA">
        <w:rPr>
          <w:vertAlign w:val="superscript"/>
        </w:rPr>
        <w:t xml:space="preserve"> </w:t>
      </w:r>
      <w:r w:rsidR="00A61A81" w:rsidRPr="00A61A81">
        <w:t xml:space="preserve">Department of Economics, University of Trieste, </w:t>
      </w:r>
      <w:r w:rsidR="00A25525" w:rsidRPr="003D32EA">
        <w:t>Piazzale Europa 1, 34127 Trieste, Italy</w:t>
      </w:r>
    </w:p>
    <w:p w14:paraId="3D39DFDB" w14:textId="6F5863A9" w:rsidR="00A61A81" w:rsidRPr="00A61A81" w:rsidRDefault="00A61A81" w:rsidP="00A61A81">
      <w:pPr>
        <w:pStyle w:val="CETAddress"/>
        <w:rPr>
          <w:vertAlign w:val="superscript"/>
        </w:rPr>
      </w:pPr>
      <w:r w:rsidRPr="00A61A81">
        <w:rPr>
          <w:vertAlign w:val="superscript"/>
        </w:rPr>
        <w:t>c</w:t>
      </w:r>
      <w:r>
        <w:rPr>
          <w:vertAlign w:val="superscript"/>
        </w:rPr>
        <w:t xml:space="preserve"> </w:t>
      </w:r>
      <w:r w:rsidRPr="00A61A81">
        <w:t>Department of Political and Social Sciences, University of Trieste</w:t>
      </w:r>
      <w:r w:rsidR="00A25525">
        <w:t xml:space="preserve">, </w:t>
      </w:r>
      <w:r w:rsidR="00A25525" w:rsidRPr="003D32EA">
        <w:t>Piazzale Europa 1, 34127 Trieste, Italy</w:t>
      </w:r>
    </w:p>
    <w:p w14:paraId="73F1267A" w14:textId="0EC9021C" w:rsidR="00B57E6F" w:rsidRDefault="003D32EA" w:rsidP="00A61A81">
      <w:pPr>
        <w:pStyle w:val="CETAddress"/>
      </w:pPr>
      <w:r>
        <w:t>*</w:t>
      </w:r>
      <w:r w:rsidR="00B57E6F" w:rsidRPr="00B57B36">
        <w:t>corresponding</w:t>
      </w:r>
      <w:r>
        <w:t xml:space="preserve"> amio@units.it</w:t>
      </w:r>
      <w:r w:rsidR="00B57E6F" w:rsidRPr="00B57B36">
        <w:t xml:space="preserve"> </w:t>
      </w:r>
    </w:p>
    <w:p w14:paraId="5062B4A0" w14:textId="77777777" w:rsidR="00DB1A9D" w:rsidRPr="00B57B36" w:rsidRDefault="00DB1A9D" w:rsidP="00A61A81">
      <w:pPr>
        <w:pStyle w:val="CETAddress"/>
      </w:pPr>
    </w:p>
    <w:p w14:paraId="351000E0" w14:textId="6EC5C773" w:rsidR="000B2A7C" w:rsidRPr="00875835" w:rsidRDefault="000B2A7C" w:rsidP="00600535">
      <w:pPr>
        <w:pStyle w:val="CETBodytext"/>
        <w:rPr>
          <w:lang w:val="en-GB"/>
        </w:rPr>
      </w:pPr>
      <w:r w:rsidRPr="000B2A7C">
        <w:rPr>
          <w:lang w:val="en-GB"/>
        </w:rPr>
        <w:t xml:space="preserve">The </w:t>
      </w:r>
      <w:r>
        <w:rPr>
          <w:lang w:val="en-GB"/>
        </w:rPr>
        <w:t xml:space="preserve">Italian </w:t>
      </w:r>
      <w:r w:rsidRPr="000B2A7C">
        <w:rPr>
          <w:lang w:val="en-GB"/>
        </w:rPr>
        <w:t xml:space="preserve">steel industry requires </w:t>
      </w:r>
      <w:r>
        <w:rPr>
          <w:lang w:val="en-GB"/>
        </w:rPr>
        <w:t>revamping through</w:t>
      </w:r>
      <w:r w:rsidR="0084725C">
        <w:rPr>
          <w:lang w:val="en-GB"/>
        </w:rPr>
        <w:t xml:space="preserve"> strong</w:t>
      </w:r>
      <w:r w:rsidRPr="000B2A7C">
        <w:rPr>
          <w:lang w:val="en-GB"/>
        </w:rPr>
        <w:t xml:space="preserve"> actions </w:t>
      </w:r>
      <w:r w:rsidR="006A085E">
        <w:rPr>
          <w:lang w:val="en-GB"/>
        </w:rPr>
        <w:t xml:space="preserve">both </w:t>
      </w:r>
      <w:r w:rsidRPr="000B2A7C">
        <w:rPr>
          <w:lang w:val="en-GB"/>
        </w:rPr>
        <w:t xml:space="preserve">in the short and medium term. It is essential that Italy meets its steel demand through domestic production, not only to reduce its dependence on imports but also for social </w:t>
      </w:r>
      <w:r w:rsidR="00876482">
        <w:rPr>
          <w:lang w:val="en-GB"/>
        </w:rPr>
        <w:t xml:space="preserve">and economic </w:t>
      </w:r>
      <w:r w:rsidRPr="000B2A7C">
        <w:rPr>
          <w:lang w:val="en-GB"/>
        </w:rPr>
        <w:t>reasons</w:t>
      </w:r>
      <w:r w:rsidR="00876482">
        <w:rPr>
          <w:lang w:val="en-GB"/>
        </w:rPr>
        <w:t>.</w:t>
      </w:r>
      <w:r w:rsidRPr="000B2A7C">
        <w:rPr>
          <w:lang w:val="en-GB"/>
        </w:rPr>
        <w:t xml:space="preserve"> In this context, three d</w:t>
      </w:r>
      <w:bookmarkStart w:id="1" w:name="_GoBack"/>
      <w:bookmarkEnd w:id="1"/>
      <w:r w:rsidRPr="000B2A7C">
        <w:rPr>
          <w:lang w:val="en-GB"/>
        </w:rPr>
        <w:t xml:space="preserve">ecarbonization scenarios for the steel sector in Italy have been developed, including a Conservative pathway, a Potential scenario, and a Desirable one. The Conservative scenario envisions a short-term perspective in which corrective actions </w:t>
      </w:r>
      <w:r w:rsidR="00070DFE">
        <w:rPr>
          <w:lang w:val="en-GB"/>
        </w:rPr>
        <w:t xml:space="preserve">mainly </w:t>
      </w:r>
      <w:r w:rsidRPr="000B2A7C">
        <w:rPr>
          <w:lang w:val="en-GB"/>
        </w:rPr>
        <w:t>involve the addition of CO</w:t>
      </w:r>
      <w:r w:rsidRPr="00070DFE">
        <w:rPr>
          <w:vertAlign w:val="subscript"/>
          <w:lang w:val="en-GB"/>
        </w:rPr>
        <w:t>2</w:t>
      </w:r>
      <w:r w:rsidRPr="000B2A7C">
        <w:rPr>
          <w:lang w:val="en-GB"/>
        </w:rPr>
        <w:t xml:space="preserve"> capture to the existing technologies. Potential scenario envisions a medium-term perspective that introduces substantial modifications to production processes</w:t>
      </w:r>
      <w:r w:rsidR="00070DFE">
        <w:rPr>
          <w:lang w:val="en-GB"/>
        </w:rPr>
        <w:t xml:space="preserve"> (blue hydrogen-based DRI)</w:t>
      </w:r>
      <w:r w:rsidRPr="000B2A7C">
        <w:rPr>
          <w:lang w:val="en-GB"/>
        </w:rPr>
        <w:t xml:space="preserve"> to achieve complete decarbonization of the sector in the long term. Lastly, Desirable scenario envisions a long-term perspective in which primary steel will be produced using DRI technology based on the use of green hydrogen. Each scenario has been analysed from different viewpoint, considering the CO</w:t>
      </w:r>
      <w:r w:rsidRPr="000A2582">
        <w:rPr>
          <w:vertAlign w:val="subscript"/>
          <w:lang w:val="en-GB"/>
        </w:rPr>
        <w:t>2</w:t>
      </w:r>
      <w:r w:rsidRPr="000B2A7C">
        <w:rPr>
          <w:lang w:val="en-GB"/>
        </w:rPr>
        <w:t xml:space="preserve"> overall emissions, the Levelized Cost of Production (LCOP) of steel and the employment </w:t>
      </w:r>
      <w:r w:rsidR="000A2582">
        <w:rPr>
          <w:lang w:val="en-GB"/>
        </w:rPr>
        <w:t>repercussions</w:t>
      </w:r>
      <w:r w:rsidRPr="000B2A7C">
        <w:rPr>
          <w:lang w:val="en-GB"/>
        </w:rPr>
        <w:t xml:space="preserve">. </w:t>
      </w:r>
      <w:r w:rsidR="000A2582">
        <w:rPr>
          <w:lang w:val="en-GB"/>
        </w:rPr>
        <w:t xml:space="preserve">The </w:t>
      </w:r>
      <w:r w:rsidR="00C15105">
        <w:rPr>
          <w:lang w:val="en-GB"/>
        </w:rPr>
        <w:t>outcomes</w:t>
      </w:r>
      <w:r w:rsidR="00875835">
        <w:rPr>
          <w:lang w:val="en-GB"/>
        </w:rPr>
        <w:t xml:space="preserve"> highlight a good reduction of CO</w:t>
      </w:r>
      <w:r w:rsidR="00875835" w:rsidRPr="00875835">
        <w:rPr>
          <w:vertAlign w:val="subscript"/>
          <w:lang w:val="en-GB"/>
        </w:rPr>
        <w:t>2</w:t>
      </w:r>
      <w:r w:rsidR="00875835">
        <w:rPr>
          <w:vertAlign w:val="subscript"/>
          <w:lang w:val="en-GB"/>
        </w:rPr>
        <w:t xml:space="preserve"> </w:t>
      </w:r>
      <w:r w:rsidR="00875835">
        <w:rPr>
          <w:lang w:val="en-GB"/>
        </w:rPr>
        <w:t>for every scenario, with a substantial improvement for Potential and Desirable ones</w:t>
      </w:r>
      <w:r w:rsidR="002B63ED">
        <w:rPr>
          <w:lang w:val="en-GB"/>
        </w:rPr>
        <w:t>, with 68% less CO</w:t>
      </w:r>
      <w:r w:rsidR="002B63ED" w:rsidRPr="002B63ED">
        <w:rPr>
          <w:vertAlign w:val="subscript"/>
          <w:lang w:val="en-GB"/>
        </w:rPr>
        <w:t>2</w:t>
      </w:r>
      <w:r w:rsidR="002B63ED">
        <w:rPr>
          <w:lang w:val="en-GB"/>
        </w:rPr>
        <w:t xml:space="preserve"> emissions</w:t>
      </w:r>
      <w:r w:rsidR="00875835">
        <w:rPr>
          <w:lang w:val="en-GB"/>
        </w:rPr>
        <w:t>.</w:t>
      </w:r>
      <w:r w:rsidR="00C15105">
        <w:rPr>
          <w:lang w:val="en-GB"/>
        </w:rPr>
        <w:t xml:space="preserve"> From the economic viewpoint, the best results have been achieved by blue hydrogen-based DRI, followed by Conservative scenario and Desirable one. The employment rates are best for green hydrogen-based DRI, due to the </w:t>
      </w:r>
      <w:r w:rsidR="00CB555F">
        <w:rPr>
          <w:lang w:val="en-GB"/>
        </w:rPr>
        <w:t>relocation</w:t>
      </w:r>
      <w:r w:rsidR="00C15105">
        <w:rPr>
          <w:lang w:val="en-GB"/>
        </w:rPr>
        <w:t xml:space="preserve"> of workers into the renewable energy sector.</w:t>
      </w:r>
    </w:p>
    <w:p w14:paraId="476B2F2E" w14:textId="52B36035" w:rsidR="00600535" w:rsidRPr="00B57B36" w:rsidRDefault="00600535" w:rsidP="00600535">
      <w:pPr>
        <w:pStyle w:val="CETHeading1"/>
        <w:rPr>
          <w:lang w:val="en-GB"/>
        </w:rPr>
      </w:pPr>
      <w:r w:rsidRPr="00B57B36">
        <w:rPr>
          <w:lang w:val="en-GB"/>
        </w:rPr>
        <w:t>Introduction</w:t>
      </w:r>
    </w:p>
    <w:p w14:paraId="5145F623" w14:textId="596B00DD" w:rsidR="006E0FC9" w:rsidRPr="006E0FC9" w:rsidRDefault="006A4E9B" w:rsidP="006E0FC9">
      <w:pPr>
        <w:pStyle w:val="CETBodytext"/>
        <w:rPr>
          <w:lang w:val="en-GB"/>
        </w:rPr>
      </w:pPr>
      <w:r>
        <w:rPr>
          <w:lang w:val="en-GB"/>
        </w:rPr>
        <w:t>Globally, s</w:t>
      </w:r>
      <w:r w:rsidR="00FB29C2">
        <w:rPr>
          <w:lang w:val="en-GB"/>
        </w:rPr>
        <w:t>teel production is steadily increasing, from 148 Mt in 1950 to 1,885 Mt in 2022.</w:t>
      </w:r>
      <w:r w:rsidR="00DD55B5">
        <w:rPr>
          <w:lang w:val="en-GB"/>
        </w:rPr>
        <w:fldChar w:fldCharType="begin" w:fldLock="1"/>
      </w:r>
      <w:r w:rsidR="00911C7A">
        <w:rPr>
          <w:lang w:val="en-GB"/>
        </w:rPr>
        <w:instrText>ADDIN CSL_CITATION {"citationItems":[{"id":"ITEM-1","itemData":{"author":[{"dropping-particle":"","family":"worldsteel association","given":"","non-dropping-particle":"","parse-names":false,"suffix":""}],"id":"ITEM-1","issued":{"date-parts":[["2023"]]},"title":"2023 World Steel in Figures","type":"report"},"uris":["http://www.mendeley.com/documents/?uuid=37220a14-8577-33d6-983f-a070ba6d424f"]}],"mendeley":{"formattedCitation":"(worldsteel association, 2023)","plainTextFormattedCitation":"(worldsteel association, 2023)","previouslyFormattedCitation":"(worldsteel association, 2023)"},"properties":{"noteIndex":0},"schema":"https://github.com/citation-style-language/schema/raw/master/csl-citation.json"}</w:instrText>
      </w:r>
      <w:r w:rsidR="00DD55B5">
        <w:rPr>
          <w:lang w:val="en-GB"/>
        </w:rPr>
        <w:fldChar w:fldCharType="separate"/>
      </w:r>
      <w:r w:rsidR="00911C7A" w:rsidRPr="00911C7A">
        <w:rPr>
          <w:noProof/>
          <w:lang w:val="en-GB"/>
        </w:rPr>
        <w:t>(worldsteel association, 2023)</w:t>
      </w:r>
      <w:r w:rsidR="00DD55B5">
        <w:rPr>
          <w:lang w:val="en-GB"/>
        </w:rPr>
        <w:fldChar w:fldCharType="end"/>
      </w:r>
      <w:r w:rsidR="00C571F1">
        <w:rPr>
          <w:lang w:val="en-GB"/>
        </w:rPr>
        <w:t xml:space="preserve">, and, </w:t>
      </w:r>
      <w:r w:rsidR="00FF753B">
        <w:rPr>
          <w:lang w:val="en-GB"/>
        </w:rPr>
        <w:t>although</w:t>
      </w:r>
      <w:r w:rsidR="00C571F1">
        <w:rPr>
          <w:lang w:val="en-GB"/>
        </w:rPr>
        <w:t xml:space="preserve"> at lower pace, it is expecting to </w:t>
      </w:r>
      <w:r w:rsidR="00FF753B">
        <w:rPr>
          <w:lang w:val="en-GB"/>
        </w:rPr>
        <w:t xml:space="preserve">further </w:t>
      </w:r>
      <w:r w:rsidR="00C571F1">
        <w:rPr>
          <w:lang w:val="en-GB"/>
        </w:rPr>
        <w:t>grow in the future</w:t>
      </w:r>
      <w:r w:rsidR="00FF753B">
        <w:rPr>
          <w:lang w:val="en-GB"/>
        </w:rPr>
        <w:t xml:space="preserve"> thanks</w:t>
      </w:r>
      <w:r w:rsidR="00C571F1">
        <w:rPr>
          <w:lang w:val="en-GB"/>
        </w:rPr>
        <w:t xml:space="preserve"> to </w:t>
      </w:r>
      <w:r>
        <w:rPr>
          <w:lang w:val="en-GB"/>
        </w:rPr>
        <w:t xml:space="preserve">the </w:t>
      </w:r>
      <w:r w:rsidR="00C571F1">
        <w:rPr>
          <w:lang w:val="en-GB"/>
        </w:rPr>
        <w:t xml:space="preserve">essential </w:t>
      </w:r>
      <w:r>
        <w:rPr>
          <w:lang w:val="en-GB"/>
        </w:rPr>
        <w:t>role</w:t>
      </w:r>
      <w:r w:rsidR="00C571F1">
        <w:rPr>
          <w:lang w:val="en-GB"/>
        </w:rPr>
        <w:t xml:space="preserve"> </w:t>
      </w:r>
      <w:r>
        <w:rPr>
          <w:lang w:val="en-GB"/>
        </w:rPr>
        <w:t xml:space="preserve">that </w:t>
      </w:r>
      <w:r w:rsidR="00C571F1">
        <w:rPr>
          <w:lang w:val="en-GB"/>
        </w:rPr>
        <w:t xml:space="preserve">steel products </w:t>
      </w:r>
      <w:r>
        <w:rPr>
          <w:lang w:val="en-GB"/>
        </w:rPr>
        <w:t xml:space="preserve">play </w:t>
      </w:r>
      <w:r w:rsidR="00C571F1">
        <w:rPr>
          <w:lang w:val="en-GB"/>
        </w:rPr>
        <w:t>for numerous sectors (construction, automotive, machine and industrial equipment)</w:t>
      </w:r>
      <w:r w:rsidR="00FF753B">
        <w:rPr>
          <w:lang w:val="en-GB"/>
        </w:rPr>
        <w:t>.</w:t>
      </w:r>
      <w:r w:rsidR="00C571F1">
        <w:rPr>
          <w:lang w:val="en-GB"/>
        </w:rPr>
        <w:t xml:space="preserve"> </w:t>
      </w:r>
      <w:r w:rsidR="00ED414B">
        <w:rPr>
          <w:lang w:val="en-GB"/>
        </w:rPr>
        <w:t>In 2022, m</w:t>
      </w:r>
      <w:r w:rsidR="00FF753B">
        <w:rPr>
          <w:lang w:val="en-GB"/>
        </w:rPr>
        <w:t xml:space="preserve">ore than half of the global steel production </w:t>
      </w:r>
      <w:r w:rsidR="00ED414B">
        <w:rPr>
          <w:lang w:val="en-GB"/>
        </w:rPr>
        <w:t>was</w:t>
      </w:r>
      <w:r w:rsidR="00FF753B">
        <w:rPr>
          <w:lang w:val="en-GB"/>
        </w:rPr>
        <w:t xml:space="preserve"> located in China</w:t>
      </w:r>
      <w:r w:rsidR="00ED414B">
        <w:rPr>
          <w:lang w:val="en-GB"/>
        </w:rPr>
        <w:t xml:space="preserve"> (1,108 Mt)</w:t>
      </w:r>
      <w:r w:rsidR="00FF753B">
        <w:rPr>
          <w:lang w:val="en-GB"/>
        </w:rPr>
        <w:t xml:space="preserve">, which </w:t>
      </w:r>
      <w:r w:rsidR="00ED414B">
        <w:rPr>
          <w:lang w:val="en-GB"/>
        </w:rPr>
        <w:t>was</w:t>
      </w:r>
      <w:r w:rsidR="00FF753B">
        <w:rPr>
          <w:lang w:val="en-GB"/>
        </w:rPr>
        <w:t xml:space="preserve"> followed by Ind</w:t>
      </w:r>
      <w:r w:rsidR="00ED414B">
        <w:rPr>
          <w:lang w:val="en-GB"/>
        </w:rPr>
        <w:t>ia (125</w:t>
      </w:r>
      <w:r>
        <w:rPr>
          <w:lang w:val="en-GB"/>
        </w:rPr>
        <w:t>.3</w:t>
      </w:r>
      <w:r w:rsidR="00ED414B">
        <w:rPr>
          <w:lang w:val="en-GB"/>
        </w:rPr>
        <w:t xml:space="preserve"> Mt), and Japan (89</w:t>
      </w:r>
      <w:r>
        <w:rPr>
          <w:lang w:val="en-GB"/>
        </w:rPr>
        <w:t>.2</w:t>
      </w:r>
      <w:r w:rsidR="00ED414B">
        <w:rPr>
          <w:lang w:val="en-GB"/>
        </w:rPr>
        <w:t xml:space="preserve"> Mt). </w:t>
      </w:r>
      <w:r>
        <w:rPr>
          <w:lang w:val="en-GB"/>
        </w:rPr>
        <w:t>Italy (21.6 Mt) is at 11</w:t>
      </w:r>
      <w:r w:rsidRPr="006A4E9B">
        <w:rPr>
          <w:vertAlign w:val="superscript"/>
          <w:lang w:val="en-GB"/>
        </w:rPr>
        <w:t>th</w:t>
      </w:r>
      <w:r>
        <w:rPr>
          <w:lang w:val="en-GB"/>
        </w:rPr>
        <w:t xml:space="preserve"> position globally, representing the second biggest steel manufacturing country in Europe, which is led by Germany (36.8 Mt, 7</w:t>
      </w:r>
      <w:r w:rsidRPr="006A4E9B">
        <w:rPr>
          <w:vertAlign w:val="superscript"/>
          <w:lang w:val="en-GB"/>
        </w:rPr>
        <w:t>th</w:t>
      </w:r>
      <w:r>
        <w:rPr>
          <w:lang w:val="en-GB"/>
        </w:rPr>
        <w:t xml:space="preserve"> globally).</w:t>
      </w:r>
      <w:r w:rsidR="00097D66">
        <w:rPr>
          <w:lang w:val="en-GB"/>
        </w:rPr>
        <w:t xml:space="preserve"> </w:t>
      </w:r>
      <w:r w:rsidR="007E3035">
        <w:rPr>
          <w:lang w:val="en-GB"/>
        </w:rPr>
        <w:t xml:space="preserve">The combination of Blast Furnace and Basic Oxygen Furnace (BF-BOF) </w:t>
      </w:r>
      <w:r w:rsidR="0003293C">
        <w:rPr>
          <w:lang w:val="en-GB"/>
        </w:rPr>
        <w:t>is still</w:t>
      </w:r>
      <w:r w:rsidR="007E3035">
        <w:rPr>
          <w:lang w:val="en-GB"/>
        </w:rPr>
        <w:t xml:space="preserve"> the most used production technology for raw steel production globally (71.5 %), with Electric Arc Furnaces (EAF) accounting for the remaining share</w:t>
      </w:r>
      <w:r w:rsidR="0003293C">
        <w:rPr>
          <w:lang w:val="en-GB"/>
        </w:rPr>
        <w:t>, although I</w:t>
      </w:r>
      <w:r w:rsidR="006E0FC9">
        <w:rPr>
          <w:lang w:val="en-GB"/>
        </w:rPr>
        <w:t xml:space="preserve">nternational Energy </w:t>
      </w:r>
      <w:r w:rsidR="0003293C">
        <w:rPr>
          <w:lang w:val="en-GB"/>
        </w:rPr>
        <w:t>A</w:t>
      </w:r>
      <w:r w:rsidR="006E0FC9">
        <w:rPr>
          <w:lang w:val="en-GB"/>
        </w:rPr>
        <w:t>gency (IEA)</w:t>
      </w:r>
      <w:r w:rsidR="0003293C">
        <w:rPr>
          <w:lang w:val="en-GB"/>
        </w:rPr>
        <w:t xml:space="preserve"> </w:t>
      </w:r>
      <w:r w:rsidR="001A7CA4">
        <w:rPr>
          <w:lang w:val="en-GB"/>
        </w:rPr>
        <w:t xml:space="preserve">predicts that the </w:t>
      </w:r>
      <w:r w:rsidR="00057C03">
        <w:rPr>
          <w:lang w:val="en-GB"/>
        </w:rPr>
        <w:t xml:space="preserve">BF-BOF </w:t>
      </w:r>
      <w:r w:rsidR="001A7CA4">
        <w:rPr>
          <w:lang w:val="en-GB"/>
        </w:rPr>
        <w:t>proportion will drop to</w:t>
      </w:r>
      <w:r w:rsidR="0003293C">
        <w:rPr>
          <w:lang w:val="en-GB"/>
        </w:rPr>
        <w:t xml:space="preserve"> 59</w:t>
      </w:r>
      <w:r w:rsidR="001A7CA4">
        <w:rPr>
          <w:lang w:val="en-GB"/>
        </w:rPr>
        <w:t xml:space="preserve"> </w:t>
      </w:r>
      <w:r w:rsidR="0003293C">
        <w:rPr>
          <w:lang w:val="en-GB"/>
        </w:rPr>
        <w:t xml:space="preserve">% in 2030 </w:t>
      </w:r>
      <w:r w:rsidR="0003293C">
        <w:rPr>
          <w:lang w:val="en-GB"/>
        </w:rPr>
        <w:fldChar w:fldCharType="begin" w:fldLock="1"/>
      </w:r>
      <w:r w:rsidR="00057C03">
        <w:rPr>
          <w:lang w:val="en-GB"/>
        </w:rPr>
        <w:instrText>ADDIN CSL_CITATION {"citationItems":[{"id":"ITEM-1","itemData":{"URL":"https://www.iea.org/data-and-statistics/charts/production-of-crude-steel-by-route-in-the-net-zero-scenario-2018-2030","author":[{"dropping-particle":"","family":"IEA - International Energy Agency","given":"","non-dropping-particle":"","parse-names":false,"suffix":""}],"id":"ITEM-1","issued":{"date-parts":[["2024"]]},"title":"Production of crude steel by route in the Net Zero Scenario, 2018-2030","type":"webpage"},"uris":["http://www.mendeley.com/documents/?uuid=b3f1f517-915c-408e-ada0-c152339cd0d9"]}],"mendeley":{"formattedCitation":"(IEA - International Energy Agency, 2024)","plainTextFormattedCitation":"(IEA - International Energy Agency, 2024)","previouslyFormattedCitation":"(IEA - International Energy Agency, 2024)"},"properties":{"noteIndex":0},"schema":"https://github.com/citation-style-language/schema/raw/master/csl-citation.json"}</w:instrText>
      </w:r>
      <w:r w:rsidR="0003293C">
        <w:rPr>
          <w:lang w:val="en-GB"/>
        </w:rPr>
        <w:fldChar w:fldCharType="separate"/>
      </w:r>
      <w:r w:rsidR="0003293C" w:rsidRPr="0003293C">
        <w:rPr>
          <w:noProof/>
          <w:lang w:val="en-GB"/>
        </w:rPr>
        <w:t>(IEA - International Energy Agency, 2024)</w:t>
      </w:r>
      <w:r w:rsidR="0003293C">
        <w:rPr>
          <w:lang w:val="en-GB"/>
        </w:rPr>
        <w:fldChar w:fldCharType="end"/>
      </w:r>
      <w:r w:rsidR="0003293C">
        <w:rPr>
          <w:lang w:val="en-GB"/>
        </w:rPr>
        <w:t>.</w:t>
      </w:r>
      <w:r w:rsidR="007E3035">
        <w:rPr>
          <w:lang w:val="en-GB"/>
        </w:rPr>
        <w:t xml:space="preserve"> </w:t>
      </w:r>
      <w:r w:rsidR="000E2E7B">
        <w:rPr>
          <w:lang w:val="en-GB"/>
        </w:rPr>
        <w:t>Alternative technologies</w:t>
      </w:r>
      <w:r w:rsidR="005C7C47">
        <w:rPr>
          <w:lang w:val="en-GB"/>
        </w:rPr>
        <w:t xml:space="preserve"> such as </w:t>
      </w:r>
      <w:r w:rsidR="000E2E7B">
        <w:rPr>
          <w:lang w:val="en-GB"/>
        </w:rPr>
        <w:t>fossil</w:t>
      </w:r>
      <w:r w:rsidR="00057C03">
        <w:rPr>
          <w:lang w:val="en-GB"/>
        </w:rPr>
        <w:t xml:space="preserve">-based </w:t>
      </w:r>
      <w:r w:rsidR="005C7C47">
        <w:rPr>
          <w:lang w:val="en-GB"/>
        </w:rPr>
        <w:t xml:space="preserve">Direct Reduced Iron </w:t>
      </w:r>
      <w:r w:rsidR="00057C03">
        <w:rPr>
          <w:lang w:val="en-GB"/>
        </w:rPr>
        <w:t xml:space="preserve">(DRI) </w:t>
      </w:r>
      <w:r w:rsidR="005C7C47">
        <w:rPr>
          <w:lang w:val="en-GB"/>
        </w:rPr>
        <w:t>accounts fo</w:t>
      </w:r>
      <w:r w:rsidR="00057C03">
        <w:rPr>
          <w:lang w:val="en-GB"/>
        </w:rPr>
        <w:t>r less than 7% globall</w:t>
      </w:r>
      <w:r w:rsidR="000E2E7B">
        <w:rPr>
          <w:lang w:val="en-GB"/>
        </w:rPr>
        <w:t>y, while innovative technologies</w:t>
      </w:r>
      <w:r w:rsidR="00E5796D">
        <w:rPr>
          <w:lang w:val="en-GB"/>
        </w:rPr>
        <w:t>, e.g., hydrogen-based DRI, are still under development</w:t>
      </w:r>
      <w:r w:rsidR="00AF6532">
        <w:rPr>
          <w:lang w:val="en-GB"/>
        </w:rPr>
        <w:t>, mainly in Europe</w:t>
      </w:r>
      <w:r w:rsidR="00286784">
        <w:rPr>
          <w:lang w:val="en-GB"/>
        </w:rPr>
        <w:t xml:space="preserve"> </w:t>
      </w:r>
      <w:r w:rsidR="00057C03">
        <w:rPr>
          <w:lang w:val="en-GB"/>
        </w:rPr>
        <w:fldChar w:fldCharType="begin" w:fldLock="1"/>
      </w:r>
      <w:r w:rsidR="00C5529B">
        <w:rPr>
          <w:lang w:val="en-GB"/>
        </w:rPr>
        <w:instrText>ADDIN CSL_CITATION {"citationItems":[{"id":"ITEM-1","itemData":{"author":[{"dropping-particle":"","family":"worldsteel association","given":"","non-dropping-particle":"","parse-names":false,"suffix":""}],"id":"ITEM-1","issued":{"date-parts":[["2023"]]},"title":"2023 World Steel in Figures","type":"report"},"uris":["http://www.mendeley.com/documents/?uuid=37220a14-8577-33d6-983f-a070ba6d424f"]}],"mendeley":{"formattedCitation":"(worldsteel association, 2023)","plainTextFormattedCitation":"(worldsteel association, 2023)","previouslyFormattedCitation":"(worldsteel association, 2023)"},"properties":{"noteIndex":0},"schema":"https://github.com/citation-style-language/schema/raw/master/csl-citation.json"}</w:instrText>
      </w:r>
      <w:r w:rsidR="00057C03">
        <w:rPr>
          <w:lang w:val="en-GB"/>
        </w:rPr>
        <w:fldChar w:fldCharType="separate"/>
      </w:r>
      <w:r w:rsidR="00057C03" w:rsidRPr="00057C03">
        <w:rPr>
          <w:noProof/>
          <w:lang w:val="en-GB"/>
        </w:rPr>
        <w:t>(worldsteel association, 2023)</w:t>
      </w:r>
      <w:r w:rsidR="00057C03">
        <w:rPr>
          <w:lang w:val="en-GB"/>
        </w:rPr>
        <w:fldChar w:fldCharType="end"/>
      </w:r>
      <w:r w:rsidR="00286784">
        <w:rPr>
          <w:lang w:val="en-GB"/>
        </w:rPr>
        <w:t>.</w:t>
      </w:r>
      <w:r w:rsidR="00AF6532">
        <w:rPr>
          <w:lang w:val="en-GB"/>
        </w:rPr>
        <w:t xml:space="preserve"> D</w:t>
      </w:r>
      <w:r w:rsidR="00AF6532" w:rsidRPr="00AF6532">
        <w:rPr>
          <w:lang w:val="en-GB"/>
        </w:rPr>
        <w:t>espite significant differences between European countries, the</w:t>
      </w:r>
      <w:r w:rsidR="001335EA">
        <w:rPr>
          <w:lang w:val="en-GB"/>
        </w:rPr>
        <w:t xml:space="preserve"> continental overall</w:t>
      </w:r>
      <w:r w:rsidR="00AF6532" w:rsidRPr="00AF6532">
        <w:rPr>
          <w:lang w:val="en-GB"/>
        </w:rPr>
        <w:t xml:space="preserve"> share </w:t>
      </w:r>
      <w:r w:rsidR="00AF6532">
        <w:rPr>
          <w:lang w:val="en-GB"/>
        </w:rPr>
        <w:t xml:space="preserve">of raw steel </w:t>
      </w:r>
      <w:r w:rsidR="00AF6532" w:rsidRPr="00AF6532">
        <w:rPr>
          <w:lang w:val="en-GB"/>
        </w:rPr>
        <w:t>produced using BF-BOF technology has remained relatively constant over time</w:t>
      </w:r>
      <w:r w:rsidR="001335EA">
        <w:rPr>
          <w:lang w:val="en-GB"/>
        </w:rPr>
        <w:t xml:space="preserve"> around 57.6%.</w:t>
      </w:r>
      <w:r w:rsidR="00AF6532" w:rsidRPr="00AF6532">
        <w:rPr>
          <w:lang w:val="en-GB"/>
        </w:rPr>
        <w:t xml:space="preserve"> </w:t>
      </w:r>
      <w:r w:rsidR="001335EA">
        <w:rPr>
          <w:lang w:val="en-GB"/>
        </w:rPr>
        <w:t xml:space="preserve">Focusing on </w:t>
      </w:r>
      <w:r w:rsidR="00C5529B">
        <w:rPr>
          <w:lang w:val="en-GB"/>
        </w:rPr>
        <w:t xml:space="preserve">the </w:t>
      </w:r>
      <w:r w:rsidR="001335EA">
        <w:rPr>
          <w:lang w:val="en-GB"/>
        </w:rPr>
        <w:t>Italian situation</w:t>
      </w:r>
      <w:r w:rsidR="00AF6532" w:rsidRPr="00AF6532">
        <w:rPr>
          <w:lang w:val="en-GB"/>
        </w:rPr>
        <w:t>, the</w:t>
      </w:r>
      <w:r w:rsidR="001335EA">
        <w:rPr>
          <w:lang w:val="en-GB"/>
        </w:rPr>
        <w:t xml:space="preserve"> </w:t>
      </w:r>
      <w:r w:rsidR="00AF6532" w:rsidRPr="00AF6532">
        <w:rPr>
          <w:lang w:val="en-GB"/>
        </w:rPr>
        <w:t>share of steel produced using BF-BOF has decreased from 38.1% in 2001 to 16% in 2022</w:t>
      </w:r>
      <w:r w:rsidR="00C5529B">
        <w:rPr>
          <w:lang w:val="en-GB"/>
        </w:rPr>
        <w:t>, while i</w:t>
      </w:r>
      <w:r w:rsidR="00AF6532" w:rsidRPr="00AF6532">
        <w:rPr>
          <w:lang w:val="en-GB"/>
        </w:rPr>
        <w:t>n terms of production volume, BF-BOF output dropped from 10.2 Mt to 3.5 Mt</w:t>
      </w:r>
      <w:r w:rsidR="00C5529B">
        <w:rPr>
          <w:lang w:val="en-GB"/>
        </w:rPr>
        <w:t xml:space="preserve"> and</w:t>
      </w:r>
      <w:r w:rsidR="00AF6532" w:rsidRPr="00AF6532">
        <w:rPr>
          <w:lang w:val="en-GB"/>
        </w:rPr>
        <w:t xml:space="preserve"> EAF production increased from 16.5 Mt to 18.1 Mt</w:t>
      </w:r>
      <w:r w:rsidR="0034738B">
        <w:rPr>
          <w:lang w:val="en-GB"/>
        </w:rPr>
        <w:t xml:space="preserve"> </w:t>
      </w:r>
      <w:r w:rsidR="00C5529B">
        <w:rPr>
          <w:lang w:val="en-GB"/>
        </w:rPr>
        <w:fldChar w:fldCharType="begin" w:fldLock="1"/>
      </w:r>
      <w:r w:rsidR="00817DBC">
        <w:rPr>
          <w:lang w:val="en-GB"/>
        </w:rPr>
        <w:instrText>ADDIN CSL_CITATION {"citationItems":[{"id":"ITEM-1","itemData":{"author":[{"dropping-particle":"","family":"Federacciai","given":"","non-dropping-particle":"","parse-names":false,"suffix":""}],"id":"ITEM-1","issued":{"date-parts":[["2023"]]},"page":"1-21","title":"La siderurgia italiana in cifre-The italian steel industry key statistics","type":"article-journal"},"uris":["http://www.mendeley.com/documents/?uuid=18aaa6d1-86f0-457e-8310-ad8df8a11fff"]}],"mendeley":{"formattedCitation":"(Federacciai, 2023a)","plainTextFormattedCitation":"(Federacciai, 2023a)","previouslyFormattedCitation":"(Federacciai, 2023a)"},"properties":{"noteIndex":0},"schema":"https://github.com/citation-style-language/schema/raw/master/csl-citation.json"}</w:instrText>
      </w:r>
      <w:r w:rsidR="00C5529B">
        <w:rPr>
          <w:lang w:val="en-GB"/>
        </w:rPr>
        <w:fldChar w:fldCharType="separate"/>
      </w:r>
      <w:r w:rsidR="006E0FC9" w:rsidRPr="006E0FC9">
        <w:rPr>
          <w:noProof/>
          <w:lang w:val="en-GB"/>
        </w:rPr>
        <w:t>(Federacciai, 2023a)</w:t>
      </w:r>
      <w:r w:rsidR="00C5529B">
        <w:rPr>
          <w:lang w:val="en-GB"/>
        </w:rPr>
        <w:fldChar w:fldCharType="end"/>
      </w:r>
      <w:r w:rsidR="0034738B">
        <w:rPr>
          <w:lang w:val="en-GB"/>
        </w:rPr>
        <w:t>.</w:t>
      </w:r>
      <w:r w:rsidR="00C5529B">
        <w:rPr>
          <w:lang w:val="en-GB"/>
        </w:rPr>
        <w:t xml:space="preserve"> </w:t>
      </w:r>
      <w:r w:rsidR="00EB5C97">
        <w:rPr>
          <w:lang w:val="en-GB"/>
        </w:rPr>
        <w:t xml:space="preserve">Reasons for the significant decline in BF-BOF output include the shutdown of the </w:t>
      </w:r>
      <w:proofErr w:type="spellStart"/>
      <w:r w:rsidR="00EB5C97">
        <w:rPr>
          <w:lang w:val="en-GB"/>
        </w:rPr>
        <w:t>Piombino</w:t>
      </w:r>
      <w:proofErr w:type="spellEnd"/>
      <w:r w:rsidR="00EB5C97">
        <w:rPr>
          <w:lang w:val="en-GB"/>
        </w:rPr>
        <w:t xml:space="preserve"> and Trieste blast furnaces and environmental issues at the Taranto production site, which is currently the only Italian location with an active BF-BOF combination. </w:t>
      </w:r>
      <w:r w:rsidR="006E0FC9">
        <w:rPr>
          <w:lang w:val="en-GB"/>
        </w:rPr>
        <w:t>According to</w:t>
      </w:r>
      <w:r w:rsidR="006E0FC9" w:rsidRPr="006E0FC9">
        <w:rPr>
          <w:lang w:val="en-GB"/>
        </w:rPr>
        <w:t xml:space="preserve"> </w:t>
      </w:r>
      <w:proofErr w:type="spellStart"/>
      <w:r w:rsidR="006E0FC9" w:rsidRPr="006E0FC9">
        <w:rPr>
          <w:lang w:val="en-GB"/>
        </w:rPr>
        <w:t>Federacciai</w:t>
      </w:r>
      <w:r w:rsidR="006E0FC9">
        <w:rPr>
          <w:lang w:val="en-GB"/>
        </w:rPr>
        <w:t>’s</w:t>
      </w:r>
      <w:proofErr w:type="spellEnd"/>
      <w:r w:rsidR="006E0FC9">
        <w:rPr>
          <w:lang w:val="en-GB"/>
        </w:rPr>
        <w:t xml:space="preserve"> </w:t>
      </w:r>
      <w:r w:rsidR="006E0FC9" w:rsidRPr="006E0FC9">
        <w:rPr>
          <w:lang w:val="en-GB"/>
        </w:rPr>
        <w:t>Sustainability Report</w:t>
      </w:r>
      <w:r w:rsidR="006E0FC9">
        <w:rPr>
          <w:lang w:val="en-GB"/>
        </w:rPr>
        <w:t xml:space="preserve"> </w:t>
      </w:r>
      <w:r w:rsidR="006E0FC9">
        <w:rPr>
          <w:lang w:val="en-GB"/>
        </w:rPr>
        <w:fldChar w:fldCharType="begin" w:fldLock="1"/>
      </w:r>
      <w:r w:rsidR="00B674D8">
        <w:rPr>
          <w:lang w:val="en-GB"/>
        </w:rPr>
        <w:instrText>ADDIN CSL_CITATION {"citationItems":[{"id":"ITEM-1","itemData":{"author":[{"dropping-particle":"","family":"Federacciai","given":"","non-dropping-particle":"","parse-names":false,"suffix":""}],"id":"ITEM-1","issued":{"date-parts":[["2023"]]},"title":"Rapporto di sostenibilità 2023 - Sustainability report 2023","type":"report"},"uris":["http://www.mendeley.com/documents/?uuid=e426cdcc-705c-4359-a4ed-ca384aeb5833"]}],"mendeley":{"formattedCitation":"(Federacciai, 2023b)","manualFormatting":"(2023b)","plainTextFormattedCitation":"(Federacciai, 2023b)","previouslyFormattedCitation":"(Federacciai, 2023b)"},"properties":{"noteIndex":0},"schema":"https://github.com/citation-style-language/schema/raw/master/csl-citation.json"}</w:instrText>
      </w:r>
      <w:r w:rsidR="006E0FC9">
        <w:rPr>
          <w:lang w:val="en-GB"/>
        </w:rPr>
        <w:fldChar w:fldCharType="separate"/>
      </w:r>
      <w:r w:rsidR="006E0FC9" w:rsidRPr="006E0FC9">
        <w:rPr>
          <w:noProof/>
          <w:lang w:val="en-GB"/>
        </w:rPr>
        <w:t>(2023b)</w:t>
      </w:r>
      <w:r w:rsidR="006E0FC9">
        <w:rPr>
          <w:lang w:val="en-GB"/>
        </w:rPr>
        <w:fldChar w:fldCharType="end"/>
      </w:r>
      <w:r w:rsidR="006E0FC9">
        <w:rPr>
          <w:lang w:val="en-GB"/>
        </w:rPr>
        <w:t xml:space="preserve">, </w:t>
      </w:r>
      <w:r w:rsidR="006E0FC9" w:rsidRPr="006E0FC9">
        <w:rPr>
          <w:lang w:val="en-GB"/>
        </w:rPr>
        <w:t xml:space="preserve">the Italian steel sector </w:t>
      </w:r>
      <w:r w:rsidR="00E87D4C" w:rsidRPr="00E87D4C">
        <w:rPr>
          <w:lang w:val="en-GB"/>
        </w:rPr>
        <w:t xml:space="preserve">produced 21.6 </w:t>
      </w:r>
      <w:r w:rsidR="00E87D4C">
        <w:rPr>
          <w:lang w:val="en-GB"/>
        </w:rPr>
        <w:t>Mt of steel</w:t>
      </w:r>
      <w:r w:rsidR="00E87D4C" w:rsidRPr="00E87D4C">
        <w:rPr>
          <w:lang w:val="en-GB"/>
        </w:rPr>
        <w:t xml:space="preserve"> in 2022, resulting in an emission of about 16 </w:t>
      </w:r>
      <w:proofErr w:type="spellStart"/>
      <w:r w:rsidR="00E87D4C">
        <w:rPr>
          <w:lang w:val="en-GB"/>
        </w:rPr>
        <w:t>Mt</w:t>
      </w:r>
      <w:r w:rsidR="00E87D4C" w:rsidRPr="00E87D4C">
        <w:rPr>
          <w:lang w:val="en-GB"/>
        </w:rPr>
        <w:t>CO</w:t>
      </w:r>
      <w:proofErr w:type="spellEnd"/>
      <w:r w:rsidR="00E87D4C" w:rsidRPr="00E87D4C">
        <w:rPr>
          <w:rFonts w:ascii="Cambria Math" w:hAnsi="Cambria Math" w:cs="Cambria Math"/>
          <w:lang w:val="en-GB"/>
        </w:rPr>
        <w:t>₂</w:t>
      </w:r>
      <w:r w:rsidR="00E87D4C" w:rsidRPr="00E87D4C">
        <w:rPr>
          <w:lang w:val="en-GB"/>
        </w:rPr>
        <w:t xml:space="preserve">, or 0.74 </w:t>
      </w:r>
      <w:proofErr w:type="spellStart"/>
      <w:r w:rsidR="00E87D4C" w:rsidRPr="00E87D4C">
        <w:rPr>
          <w:lang w:val="en-GB"/>
        </w:rPr>
        <w:t>tCO</w:t>
      </w:r>
      <w:proofErr w:type="spellEnd"/>
      <w:r w:rsidR="00E87D4C" w:rsidRPr="00E87D4C">
        <w:rPr>
          <w:rFonts w:ascii="Cambria Math" w:hAnsi="Cambria Math" w:cs="Cambria Math"/>
          <w:lang w:val="en-GB"/>
        </w:rPr>
        <w:t>₂</w:t>
      </w:r>
      <w:r w:rsidR="00E87D4C" w:rsidRPr="00E87D4C">
        <w:rPr>
          <w:lang w:val="en-GB"/>
        </w:rPr>
        <w:t>/</w:t>
      </w:r>
      <w:proofErr w:type="spellStart"/>
      <w:r w:rsidR="00E87D4C" w:rsidRPr="00E87D4C">
        <w:rPr>
          <w:lang w:val="en-GB"/>
        </w:rPr>
        <w:t>t</w:t>
      </w:r>
      <w:r w:rsidR="00E87D4C" w:rsidRPr="00E87D4C">
        <w:rPr>
          <w:vertAlign w:val="subscript"/>
          <w:lang w:val="en-GB"/>
        </w:rPr>
        <w:t>steel</w:t>
      </w:r>
      <w:proofErr w:type="spellEnd"/>
      <w:r w:rsidR="00150568">
        <w:rPr>
          <w:lang w:val="en-GB"/>
        </w:rPr>
        <w:t>.</w:t>
      </w:r>
      <w:r w:rsidR="006E0FC9" w:rsidRPr="006E0FC9">
        <w:rPr>
          <w:lang w:val="en-GB"/>
        </w:rPr>
        <w:t xml:space="preserve"> </w:t>
      </w:r>
      <w:r w:rsidR="00150568">
        <w:rPr>
          <w:lang w:val="en-GB"/>
        </w:rPr>
        <w:t xml:space="preserve">This </w:t>
      </w:r>
      <w:r w:rsidR="00150568">
        <w:rPr>
          <w:lang w:val="en-GB"/>
        </w:rPr>
        <w:lastRenderedPageBreak/>
        <w:t xml:space="preserve">value has been decreasing over time thanks to </w:t>
      </w:r>
      <w:r w:rsidR="006E0FC9" w:rsidRPr="006E0FC9">
        <w:rPr>
          <w:lang w:val="en-GB"/>
        </w:rPr>
        <w:t xml:space="preserve">the declining share of steel produced through the integrated cycle, which is the primary source of direct emissions in the steel sector. </w:t>
      </w:r>
    </w:p>
    <w:p w14:paraId="461121DA" w14:textId="13898163" w:rsidR="00712240" w:rsidRDefault="00896FEB" w:rsidP="00712240">
      <w:pPr>
        <w:pStyle w:val="CETBodytext"/>
      </w:pPr>
      <w:r w:rsidRPr="00896FEB">
        <w:rPr>
          <w:lang w:val="en-GB"/>
        </w:rPr>
        <w:t xml:space="preserve">From 2014 to 2023, employment in steel production (ATECO </w:t>
      </w:r>
      <w:r w:rsidR="00297BB5">
        <w:rPr>
          <w:lang w:val="en-GB"/>
        </w:rPr>
        <w:t xml:space="preserve">code </w:t>
      </w:r>
      <w:r w:rsidRPr="00896FEB">
        <w:rPr>
          <w:lang w:val="en-GB"/>
        </w:rPr>
        <w:t>241) fell by 4.49%, while employment in transformation grew by 4.9% (ATECO 242) and 13.5% (ATECO 243), resulting in an overall increase of 1.63% driven by transformation activities</w:t>
      </w:r>
      <w:r w:rsidR="00CD18D2">
        <w:rPr>
          <w:lang w:val="en-GB"/>
        </w:rPr>
        <w:t>, with a total workforce</w:t>
      </w:r>
      <w:r w:rsidR="00B63B84">
        <w:rPr>
          <w:lang w:val="en-GB"/>
        </w:rPr>
        <w:t xml:space="preserve"> of approximately</w:t>
      </w:r>
      <w:r w:rsidR="00CD18D2">
        <w:rPr>
          <w:lang w:val="en-GB"/>
        </w:rPr>
        <w:t xml:space="preserve"> 68,500</w:t>
      </w:r>
      <w:r w:rsidR="00B63B84">
        <w:rPr>
          <w:lang w:val="en-GB"/>
        </w:rPr>
        <w:t xml:space="preserve"> employees</w:t>
      </w:r>
      <w:r w:rsidRPr="00896FEB">
        <w:rPr>
          <w:lang w:val="en-GB"/>
        </w:rPr>
        <w:t xml:space="preserve">. </w:t>
      </w:r>
      <w:r w:rsidR="00FA29AA">
        <w:t>This reflects a decline in primary steel production and a slight rise in secondary production. Employment intensity per unit of production increased in primary steel due to fixed roles persisting despite lower output, while remaining stable in secondary steel production. Future employment needs will depend on production trends, particularly the shift from blast furnace to EAF technologies.</w:t>
      </w:r>
      <w:r w:rsidR="00712240">
        <w:t xml:space="preserve"> </w:t>
      </w:r>
    </w:p>
    <w:p w14:paraId="0143BEB9" w14:textId="5A673D7B" w:rsidR="00712240" w:rsidRDefault="00712240" w:rsidP="00712240">
      <w:pPr>
        <w:pStyle w:val="CETBodytext"/>
      </w:pPr>
      <w:r>
        <w:t>The steel demand of a country is defined as apparent consumption, calculated as domestic production plus imports minus exports.</w:t>
      </w:r>
      <w:r w:rsidR="00817DBC">
        <w:t xml:space="preserve"> </w:t>
      </w:r>
      <w:r w:rsidR="00D52A7B">
        <w:t>According to</w:t>
      </w:r>
      <w:r w:rsidR="00817DBC">
        <w:t xml:space="preserve"> </w:t>
      </w:r>
      <w:proofErr w:type="spellStart"/>
      <w:r w:rsidR="00817DBC">
        <w:t>Federacciai’s</w:t>
      </w:r>
      <w:proofErr w:type="spellEnd"/>
      <w:r w:rsidR="00817DBC">
        <w:t xml:space="preserve"> annual report </w:t>
      </w:r>
      <w:r w:rsidR="00817DBC">
        <w:fldChar w:fldCharType="begin" w:fldLock="1"/>
      </w:r>
      <w:r w:rsidR="00BC461B">
        <w:instrText>ADDIN CSL_CITATION {"citationItems":[{"id":"ITEM-1","itemData":{"author":[{"dropping-particle":"","family":"Federacciai","given":"","non-dropping-particle":"","parse-names":false,"suffix":""}],"id":"ITEM-1","issued":{"date-parts":[["2023"]]},"page":"1-21","title":"La siderurgia italiana in cifre-The italian steel industry key statistics","type":"article-journal"},"uris":["http://www.mendeley.com/documents/?uuid=18aaa6d1-86f0-457e-8310-ad8df8a11fff"]}],"mendeley":{"formattedCitation":"(Federacciai, 2023a)","manualFormatting":"(2023a)","plainTextFormattedCitation":"(Federacciai, 2023a)","previouslyFormattedCitation":"(Federacciai, 2023a)"},"properties":{"noteIndex":0},"schema":"https://github.com/citation-style-language/schema/raw/master/csl-citation.json"}</w:instrText>
      </w:r>
      <w:r w:rsidR="00817DBC">
        <w:fldChar w:fldCharType="separate"/>
      </w:r>
      <w:r w:rsidR="00817DBC" w:rsidRPr="00817DBC">
        <w:rPr>
          <w:noProof/>
        </w:rPr>
        <w:t>(2023a)</w:t>
      </w:r>
      <w:r w:rsidR="00817DBC">
        <w:fldChar w:fldCharType="end"/>
      </w:r>
      <w:r w:rsidR="00D52A7B">
        <w:t>,</w:t>
      </w:r>
      <w:r w:rsidR="00817DBC">
        <w:t xml:space="preserve"> </w:t>
      </w:r>
      <w:r>
        <w:t>Italy’s apparent steel consumption from 2007 to 2022</w:t>
      </w:r>
      <w:r w:rsidR="00817DBC">
        <w:t xml:space="preserve"> </w:t>
      </w:r>
      <w:r w:rsidR="00D52A7B">
        <w:t>was</w:t>
      </w:r>
      <w:r w:rsidR="001544EF">
        <w:t xml:space="preserve"> </w:t>
      </w:r>
      <w:r w:rsidR="00D52A7B">
        <w:t>roughly</w:t>
      </w:r>
      <w:r w:rsidR="001544EF">
        <w:t xml:space="preserve"> 27.5 Mt on average, with peaks and troughs </w:t>
      </w:r>
      <w:r w:rsidR="00D52A7B">
        <w:t>brought on by</w:t>
      </w:r>
      <w:r w:rsidR="001544EF">
        <w:t xml:space="preserve"> economic crises and </w:t>
      </w:r>
      <w:r w:rsidR="00752CEA">
        <w:t xml:space="preserve">following </w:t>
      </w:r>
      <w:r w:rsidR="001544EF">
        <w:t>recoveries.</w:t>
      </w:r>
      <w:r w:rsidR="00D52A7B">
        <w:t xml:space="preserve"> </w:t>
      </w:r>
      <w:r w:rsidR="00752CEA">
        <w:t xml:space="preserve">Therefore, </w:t>
      </w:r>
      <w:r w:rsidR="00D52A7B" w:rsidRPr="00D52A7B">
        <w:t>Italy is a net importer of raw steel</w:t>
      </w:r>
      <w:r w:rsidR="00752CEA">
        <w:t>, g</w:t>
      </w:r>
      <w:r w:rsidR="00752CEA" w:rsidRPr="00D52A7B">
        <w:t xml:space="preserve">iven that this </w:t>
      </w:r>
      <w:r w:rsidR="00752CEA">
        <w:t>value</w:t>
      </w:r>
      <w:r w:rsidR="00752CEA" w:rsidRPr="00D52A7B">
        <w:t xml:space="preserve"> is </w:t>
      </w:r>
      <w:r w:rsidR="00752CEA">
        <w:t>lower than domestic production</w:t>
      </w:r>
      <w:r w:rsidR="00752CEA" w:rsidRPr="00D52A7B">
        <w:t xml:space="preserve">, </w:t>
      </w:r>
      <w:r w:rsidR="00752CEA">
        <w:t xml:space="preserve">that ought to be increased to fulfil the internal demand. </w:t>
      </w:r>
      <w:r w:rsidR="00297BB5">
        <w:t xml:space="preserve">Given this </w:t>
      </w:r>
      <w:r w:rsidR="004D0248">
        <w:t xml:space="preserve">overview of the current state of the Italian steel sector, </w:t>
      </w:r>
      <w:r w:rsidR="009546B5">
        <w:t>this paper evaluates projected potential future domestic supply for steel from various viewpoints, depending on the stakeholders’ commitment towards decarbonization.</w:t>
      </w:r>
    </w:p>
    <w:p w14:paraId="4C5B2706" w14:textId="0636926B" w:rsidR="00DB1A9D" w:rsidRDefault="00442AB0" w:rsidP="00DB1A9D">
      <w:pPr>
        <w:pStyle w:val="CETHeading1"/>
      </w:pPr>
      <w:r>
        <w:t>Methodology</w:t>
      </w:r>
    </w:p>
    <w:p w14:paraId="7082B364" w14:textId="3738ADB0" w:rsidR="00FC67DE" w:rsidRDefault="004D0248" w:rsidP="00FC67DE">
      <w:pPr>
        <w:pStyle w:val="CETBodytext"/>
      </w:pPr>
      <w:r>
        <w:t xml:space="preserve">The innovative technological options for decarbonization fall into two </w:t>
      </w:r>
      <w:r w:rsidR="009546B5">
        <w:t xml:space="preserve">main </w:t>
      </w:r>
      <w:r>
        <w:t>categories: those focused on reducing emissions from current production methods and those that entirely replace traditional steel production technologies</w:t>
      </w:r>
      <w:r w:rsidR="00D63F7B">
        <w:t xml:space="preserve">, according to </w:t>
      </w:r>
      <w:r w:rsidR="00D63F7B" w:rsidRPr="00BC461B">
        <w:t>Policy Department for Economic Scientific and Quality of Life Policies</w:t>
      </w:r>
      <w:r w:rsidR="00D63F7B">
        <w:t xml:space="preserve"> </w:t>
      </w:r>
      <w:r w:rsidR="00D63F7B">
        <w:fldChar w:fldCharType="begin" w:fldLock="1"/>
      </w:r>
      <w:r w:rsidR="00D63F7B">
        <w:instrText>ADDIN CSL_CITATION {"citationItems":[{"id":"ITEM-1","itemData":{"abstract":"This study is assessing the European steel industry’s possible decarbonisation pathways in light of the European Commission’s “Fit for 55” package, by evaluating available technology options and the adequacy of available funding streams. The paper shows that options based solely on existing production processes have limited potential to achieve the required emission reductions. Full decarbonisation options will require the widespread availability of green electricity, hydrogen and/or CCS/CCUS infrastructure. It is important that flexibility in the choice of technology decarbonisation options is maintained to account for differences in regional characteristics including natural resources and infrastructure. This document was provided by the Policy Department for Economic, Scientific and Quality of Life Policies at the request of the committee on Industry, Research and Energy (ITRE).","author":[{"dropping-particle":"","family":"Policy Department for Economic Scientific and Quality of Life Policies","given":"","non-dropping-particle":"","parse-names":false,"suffix":""}],"id":"ITEM-1","issue":"December","issued":{"date-parts":[["2021"]]},"number-of-pages":"46","title":"Moving Towards Zero-Emission Steel","type":"report"},"uris":["http://www.mendeley.com/documents/?uuid=64ed7bdb-3b17-4353-8ed0-91b9767add9b"]}],"mendeley":{"formattedCitation":"(Policy Department for Economic Scientific and Quality of Life Policies, 2021)","manualFormatting":"(2021)","plainTextFormattedCitation":"(Policy Department for Economic Scientific and Quality of Life Policies, 2021)","previouslyFormattedCitation":"(Policy Department for Economic Scientific and Quality of Life Policies, 2021)"},"properties":{"noteIndex":0},"schema":"https://github.com/citation-style-language/schema/raw/master/csl-citation.json"}</w:instrText>
      </w:r>
      <w:r w:rsidR="00D63F7B">
        <w:fldChar w:fldCharType="separate"/>
      </w:r>
      <w:r w:rsidR="00D63F7B" w:rsidRPr="00BC461B">
        <w:rPr>
          <w:noProof/>
        </w:rPr>
        <w:t>(2021)</w:t>
      </w:r>
      <w:r w:rsidR="00D63F7B">
        <w:fldChar w:fldCharType="end"/>
      </w:r>
      <w:r w:rsidR="00D63F7B">
        <w:t>. T</w:t>
      </w:r>
      <w:r>
        <w:t>he first category includes measures aimed at optimizing energy efficiency in production facilities</w:t>
      </w:r>
      <w:r w:rsidR="00297BB5">
        <w:t xml:space="preserve"> (near net shape casting, top gas recycling)</w:t>
      </w:r>
      <w:r>
        <w:t>,</w:t>
      </w:r>
      <w:r w:rsidR="00297BB5">
        <w:t xml:space="preserve"> or at decreasing the CO</w:t>
      </w:r>
      <w:r w:rsidR="00297BB5" w:rsidRPr="00297BB5">
        <w:rPr>
          <w:vertAlign w:val="subscript"/>
        </w:rPr>
        <w:t>2</w:t>
      </w:r>
      <w:r w:rsidR="00297BB5">
        <w:t xml:space="preserve"> emissions related to energy consumption through the installation of renewable energy systems, </w:t>
      </w:r>
      <w:r w:rsidR="00D63F7B">
        <w:t>the replacement of</w:t>
      </w:r>
      <w:r>
        <w:t xml:space="preserve"> fossil energy sources with biogenic alternatives, and </w:t>
      </w:r>
      <w:r w:rsidR="00D63F7B">
        <w:t xml:space="preserve">the </w:t>
      </w:r>
      <w:r>
        <w:t>retrofit</w:t>
      </w:r>
      <w:r w:rsidR="00D63F7B">
        <w:t>ting of</w:t>
      </w:r>
      <w:r>
        <w:t xml:space="preserve"> existing plants with CO</w:t>
      </w:r>
      <w:r>
        <w:rPr>
          <w:rFonts w:ascii="Cambria Math" w:hAnsi="Cambria Math" w:cs="Cambria Math"/>
        </w:rPr>
        <w:t>₂</w:t>
      </w:r>
      <w:r>
        <w:t xml:space="preserve"> capture technologies (</w:t>
      </w:r>
      <w:r w:rsidR="00D63F7B">
        <w:t>CCUS</w:t>
      </w:r>
      <w:r>
        <w:t>)</w:t>
      </w:r>
      <w:r w:rsidR="009546B5">
        <w:t>.</w:t>
      </w:r>
      <w:r>
        <w:t xml:space="preserve"> The second category encompasses technologies that replace traditional steel production methods, such as </w:t>
      </w:r>
      <w:r w:rsidR="00D63F7B">
        <w:t xml:space="preserve">smelting, </w:t>
      </w:r>
      <w:r>
        <w:t>increased use of electric arc furnaces (EAF) or the installation of new Direct Reduced Iron (DRI) facilities.</w:t>
      </w:r>
      <w:r w:rsidR="009546B5">
        <w:t xml:space="preserve"> </w:t>
      </w:r>
      <w:r w:rsidR="008D1D23">
        <w:t>Italy's steel sector, dominated by electric arc furnace (EAF) production (84%), currently benefits from low direct emissions and high scrap recycling rates. However, advancing decarbonization requires stakeholders, each with specific interests and responsibilities, to collaborate on economically sustainable and environmentally aligned actions.</w:t>
      </w:r>
      <w:r w:rsidR="00AA566A">
        <w:t xml:space="preserve"> Non-Governmental Organizations (NGOs) focus on advocating for environmental protection and public health, often collaborating with the scientific community to promote the decarbonization agenda</w:t>
      </w:r>
      <w:r w:rsidR="00A04F43">
        <w:t>;</w:t>
      </w:r>
      <w:r w:rsidR="00AA566A">
        <w:t xml:space="preserve"> </w:t>
      </w:r>
      <w:r w:rsidR="00A04F43">
        <w:t>l</w:t>
      </w:r>
      <w:r w:rsidR="00AA566A">
        <w:t>abor unions represent workers in the steel industry and communities living near production sites, emphasizing the importance of job protection and social justice during the transition to low-carbon technologies</w:t>
      </w:r>
      <w:r w:rsidR="00A04F43">
        <w:t>;</w:t>
      </w:r>
      <w:r w:rsidR="00AA566A">
        <w:t xml:space="preserve"> </w:t>
      </w:r>
      <w:r w:rsidR="00A04F43">
        <w:t>s</w:t>
      </w:r>
      <w:r w:rsidR="00AA566A">
        <w:t>teel companies, as significant employers and economic contributors, prioritize maintaining continuous production while balancing the costs and risks associated with adopting innovative technologies</w:t>
      </w:r>
      <w:r w:rsidR="00A04F43">
        <w:t>; and</w:t>
      </w:r>
      <w:r w:rsidR="00AA566A">
        <w:t xml:space="preserve"> </w:t>
      </w:r>
      <w:r w:rsidR="00A04F43">
        <w:t>p</w:t>
      </w:r>
      <w:r w:rsidR="00AA566A">
        <w:t>ublic institutions play a regulatory and planning role, tasked with integrating diverse interests and enacting policies to support the transformation of the sector.</w:t>
      </w:r>
      <w:r w:rsidR="00E41443">
        <w:t xml:space="preserve"> </w:t>
      </w:r>
    </w:p>
    <w:p w14:paraId="05C274C4" w14:textId="2D201BD8" w:rsidR="00CB6DCD" w:rsidRDefault="00FF229E" w:rsidP="00CB6DCD">
      <w:pPr>
        <w:pStyle w:val="CETheadingx"/>
      </w:pPr>
      <w:r>
        <w:t>D</w:t>
      </w:r>
      <w:r w:rsidR="00CB6DCD">
        <w:t>ecarbonization pathways</w:t>
      </w:r>
      <w:r w:rsidR="004D52E1">
        <w:t xml:space="preserve"> for the Italian steel sector</w:t>
      </w:r>
    </w:p>
    <w:p w14:paraId="295EC25C" w14:textId="2FABD404" w:rsidR="008D1D23" w:rsidRDefault="004D52E1" w:rsidP="004D52E1">
      <w:pPr>
        <w:pStyle w:val="CETBodytext"/>
      </w:pPr>
      <w:r>
        <w:t xml:space="preserve">Building on available technologies and medium- to long-term strategies, three decarbonization scenarios have been proposed, namely Conservative, Prospective, and Desirable, taking into </w:t>
      </w:r>
      <w:r w:rsidR="004F04B3">
        <w:t xml:space="preserve">consideration </w:t>
      </w:r>
      <w:r>
        <w:t xml:space="preserve">the perspectives and needs of all key stakeholders. </w:t>
      </w:r>
      <w:r w:rsidR="0014176E">
        <w:t xml:space="preserve">Indeed, three indicators have been calculated for every scenario, each </w:t>
      </w:r>
      <w:r w:rsidR="00BF0138">
        <w:t>one</w:t>
      </w:r>
      <w:r w:rsidR="0014176E">
        <w:t xml:space="preserve"> focused on providing a specific answer to a particular question:</w:t>
      </w:r>
      <w:r w:rsidR="00CA4AEB">
        <w:t xml:space="preserve"> </w:t>
      </w:r>
      <w:r w:rsidR="0014176E">
        <w:t>overall CO</w:t>
      </w:r>
      <w:r w:rsidR="0014176E" w:rsidRPr="00CA4AEB">
        <w:rPr>
          <w:vertAlign w:val="subscript"/>
        </w:rPr>
        <w:t>2</w:t>
      </w:r>
      <w:r w:rsidR="0014176E">
        <w:t xml:space="preserve"> emissions for NGO </w:t>
      </w:r>
      <w:r w:rsidR="00CA4AEB">
        <w:t>and social</w:t>
      </w:r>
      <w:r w:rsidR="0014176E">
        <w:t xml:space="preserve"> community, Levelized Cost of Production (LCOP) </w:t>
      </w:r>
      <w:r w:rsidR="00BF0138">
        <w:t>of</w:t>
      </w:r>
      <w:r w:rsidR="0014176E">
        <w:t xml:space="preserve"> steel to account for </w:t>
      </w:r>
      <w:r w:rsidR="00CA4AEB">
        <w:t>business</w:t>
      </w:r>
      <w:r w:rsidR="0014176E">
        <w:t xml:space="preserve"> needs, and employment rate to </w:t>
      </w:r>
      <w:r w:rsidR="00CA4AEB">
        <w:t>satisfy</w:t>
      </w:r>
      <w:r w:rsidR="0014176E">
        <w:t xml:space="preserve"> labor unions requirements. </w:t>
      </w:r>
      <w:r w:rsidR="00116651">
        <w:t>The carbon emission indicator has been calculated summing up the CO</w:t>
      </w:r>
      <w:r w:rsidR="00116651" w:rsidRPr="00116651">
        <w:rPr>
          <w:vertAlign w:val="subscript"/>
        </w:rPr>
        <w:t>2</w:t>
      </w:r>
      <w:r w:rsidR="00116651">
        <w:t xml:space="preserve"> emissions generated by the production technologies involved for every scenario, which have been found in scientific literature and sector associatio</w:t>
      </w:r>
      <w:r w:rsidR="00BF0138">
        <w:t>ns</w:t>
      </w:r>
      <w:r w:rsidR="00116651">
        <w:t xml:space="preserve"> report (</w:t>
      </w:r>
      <w:r w:rsidR="00116651">
        <w:fldChar w:fldCharType="begin"/>
      </w:r>
      <w:r w:rsidR="00116651">
        <w:instrText xml:space="preserve"> REF _Ref184286837 \h </w:instrText>
      </w:r>
      <w:r w:rsidR="00116651">
        <w:fldChar w:fldCharType="separate"/>
      </w:r>
      <w:r w:rsidR="00B67C34">
        <w:t xml:space="preserve">Table </w:t>
      </w:r>
      <w:r w:rsidR="00B67C34">
        <w:rPr>
          <w:noProof/>
        </w:rPr>
        <w:t>1</w:t>
      </w:r>
      <w:r w:rsidR="00116651">
        <w:fldChar w:fldCharType="end"/>
      </w:r>
      <w:r w:rsidR="00116651">
        <w:t xml:space="preserve">). </w:t>
      </w:r>
      <w:r w:rsidR="00862C07" w:rsidRPr="00436335">
        <w:rPr>
          <w:lang w:val="en-GB"/>
        </w:rPr>
        <w:t xml:space="preserve">The LCOP represents the average cost of producing one ton of steel, factoring in all costs over the production process's lifecycle. This includes direct costs like raw materials, energy, and </w:t>
      </w:r>
      <w:proofErr w:type="spellStart"/>
      <w:r w:rsidR="00862C07" w:rsidRPr="00436335">
        <w:rPr>
          <w:lang w:val="en-GB"/>
        </w:rPr>
        <w:t>labor</w:t>
      </w:r>
      <w:proofErr w:type="spellEnd"/>
      <w:r w:rsidR="00862C07" w:rsidRPr="00436335">
        <w:rPr>
          <w:lang w:val="en-GB"/>
        </w:rPr>
        <w:t>, as well as indirect costs such as maintenance, plant depreciation, waste management, environmental costs, and increasingly, the costs associated with carbon reduction and sustainable practices.</w:t>
      </w:r>
      <w:r w:rsidR="00862C07">
        <w:rPr>
          <w:lang w:val="en-GB"/>
        </w:rPr>
        <w:t xml:space="preserve"> </w:t>
      </w:r>
      <w:r w:rsidR="00116651">
        <w:t xml:space="preserve">The LCOP has been calculated </w:t>
      </w:r>
      <w:r w:rsidR="0017268B">
        <w:t xml:space="preserve">using </w:t>
      </w:r>
      <w:proofErr w:type="gramStart"/>
      <w:r w:rsidR="0017268B">
        <w:t>Eq(</w:t>
      </w:r>
      <w:proofErr w:type="gramEnd"/>
      <w:r w:rsidR="0017268B">
        <w:t>1):</w:t>
      </w:r>
    </w:p>
    <w:tbl>
      <w:tblPr>
        <w:tblW w:w="5000" w:type="pct"/>
        <w:tblLook w:val="04A0" w:firstRow="1" w:lastRow="0" w:firstColumn="1" w:lastColumn="0" w:noHBand="0" w:noVBand="1"/>
      </w:tblPr>
      <w:tblGrid>
        <w:gridCol w:w="7988"/>
        <w:gridCol w:w="799"/>
      </w:tblGrid>
      <w:tr w:rsidR="0017268B" w:rsidRPr="00B57B36" w14:paraId="38385C5C" w14:textId="77777777" w:rsidTr="0081641E">
        <w:tc>
          <w:tcPr>
            <w:tcW w:w="8188" w:type="dxa"/>
            <w:shd w:val="clear" w:color="auto" w:fill="auto"/>
            <w:vAlign w:val="center"/>
          </w:tcPr>
          <w:p w14:paraId="2CD21CBA" w14:textId="2970A5AE" w:rsidR="0017268B" w:rsidRPr="002C5A9B" w:rsidRDefault="0017268B" w:rsidP="0017268B">
            <w:pPr>
              <w:pStyle w:val="CETEquation"/>
              <w:rPr>
                <w:rFonts w:cs="Arial"/>
              </w:rPr>
            </w:pPr>
            <m:oMathPara>
              <m:oMath>
                <m:r>
                  <w:rPr>
                    <w:rFonts w:ascii="Cambria Math" w:hAnsi="Cambria Math" w:cs="Arial"/>
                  </w:rPr>
                  <m:t>LCOP</m:t>
                </m:r>
                <m:r>
                  <m:rPr>
                    <m:sty m:val="p"/>
                  </m:rPr>
                  <w:rPr>
                    <w:rFonts w:ascii="Cambria Math" w:hAnsi="Cambria Math" w:cs="Arial"/>
                  </w:rPr>
                  <m:t>=</m:t>
                </m:r>
                <m:f>
                  <m:fPr>
                    <m:ctrlPr>
                      <w:rPr>
                        <w:rFonts w:ascii="Cambria Math" w:hAnsi="Cambria Math" w:cs="Arial"/>
                      </w:rPr>
                    </m:ctrlPr>
                  </m:fPr>
                  <m:num>
                    <m:d>
                      <m:dPr>
                        <m:ctrlPr>
                          <w:rPr>
                            <w:rFonts w:ascii="Cambria Math" w:hAnsi="Cambria Math" w:cs="Arial"/>
                          </w:rPr>
                        </m:ctrlPr>
                      </m:dPr>
                      <m:e>
                        <m:r>
                          <w:rPr>
                            <w:rFonts w:ascii="Cambria Math" w:hAnsi="Cambria Math" w:cs="Arial"/>
                          </w:rPr>
                          <m:t>CRF</m:t>
                        </m:r>
                      </m:e>
                    </m:d>
                    <m:d>
                      <m:dPr>
                        <m:ctrlPr>
                          <w:rPr>
                            <w:rFonts w:ascii="Cambria Math" w:hAnsi="Cambria Math" w:cs="Arial"/>
                          </w:rPr>
                        </m:ctrlPr>
                      </m:dPr>
                      <m:e>
                        <m:r>
                          <w:rPr>
                            <w:rFonts w:ascii="Cambria Math" w:hAnsi="Cambria Math" w:cs="Arial"/>
                          </w:rPr>
                          <m:t>CAPEX</m:t>
                        </m:r>
                      </m:e>
                    </m:d>
                    <m:r>
                      <m:rPr>
                        <m:sty m:val="p"/>
                      </m:rPr>
                      <w:rPr>
                        <w:rFonts w:ascii="Cambria Math" w:hAnsi="Cambria Math" w:cs="Arial"/>
                      </w:rPr>
                      <m:t>+</m:t>
                    </m:r>
                    <m:d>
                      <m:dPr>
                        <m:ctrlPr>
                          <w:rPr>
                            <w:rFonts w:ascii="Cambria Math" w:hAnsi="Cambria Math" w:cs="Arial"/>
                          </w:rPr>
                        </m:ctrlPr>
                      </m:dPr>
                      <m:e>
                        <m:sSub>
                          <m:sSubPr>
                            <m:ctrlPr>
                              <w:rPr>
                                <w:rFonts w:ascii="Cambria Math" w:hAnsi="Cambria Math" w:cs="Arial"/>
                              </w:rPr>
                            </m:ctrlPr>
                          </m:sSubPr>
                          <m:e>
                            <m:r>
                              <w:rPr>
                                <w:rFonts w:ascii="Cambria Math" w:hAnsi="Cambria Math" w:cs="Arial"/>
                              </w:rPr>
                              <m:t>OC</m:t>
                            </m:r>
                          </m:e>
                          <m:sub>
                            <m:r>
                              <w:rPr>
                                <w:rFonts w:ascii="Cambria Math" w:hAnsi="Cambria Math" w:cs="Arial"/>
                              </w:rPr>
                              <m:t>fix</m:t>
                            </m:r>
                          </m:sub>
                        </m:sSub>
                      </m:e>
                    </m:d>
                    <m:r>
                      <m:rPr>
                        <m:sty m:val="p"/>
                      </m:rPr>
                      <w:rPr>
                        <w:rFonts w:ascii="Cambria Math" w:hAnsi="Cambria Math" w:cs="Arial"/>
                      </w:rPr>
                      <m:t>+</m:t>
                    </m:r>
                    <m:d>
                      <m:dPr>
                        <m:ctrlPr>
                          <w:rPr>
                            <w:rFonts w:ascii="Cambria Math" w:hAnsi="Cambria Math" w:cs="Arial"/>
                          </w:rPr>
                        </m:ctrlPr>
                      </m:dPr>
                      <m:e>
                        <m:r>
                          <w:rPr>
                            <w:rFonts w:ascii="Cambria Math" w:hAnsi="Cambria Math" w:cs="Arial"/>
                          </w:rPr>
                          <m:t>CF</m:t>
                        </m:r>
                      </m:e>
                    </m:d>
                    <m:d>
                      <m:dPr>
                        <m:ctrlPr>
                          <w:rPr>
                            <w:rFonts w:ascii="Cambria Math" w:hAnsi="Cambria Math" w:cs="Arial"/>
                          </w:rPr>
                        </m:ctrlPr>
                      </m:dPr>
                      <m:e>
                        <m:sSub>
                          <m:sSubPr>
                            <m:ctrlPr>
                              <w:rPr>
                                <w:rFonts w:ascii="Cambria Math" w:hAnsi="Cambria Math" w:cs="Arial"/>
                              </w:rPr>
                            </m:ctrlPr>
                          </m:sSubPr>
                          <m:e>
                            <m:r>
                              <w:rPr>
                                <w:rFonts w:ascii="Cambria Math" w:hAnsi="Cambria Math" w:cs="Arial"/>
                              </w:rPr>
                              <m:t>OC</m:t>
                            </m:r>
                          </m:e>
                          <m:sub>
                            <m:r>
                              <w:rPr>
                                <w:rFonts w:ascii="Cambria Math" w:hAnsi="Cambria Math" w:cs="Arial"/>
                              </w:rPr>
                              <m:t>var</m:t>
                            </m:r>
                          </m:sub>
                        </m:sSub>
                      </m:e>
                    </m:d>
                  </m:num>
                  <m:den>
                    <m:d>
                      <m:dPr>
                        <m:ctrlPr>
                          <w:rPr>
                            <w:rFonts w:ascii="Cambria Math" w:hAnsi="Cambria Math" w:cs="Arial"/>
                          </w:rPr>
                        </m:ctrlPr>
                      </m:dPr>
                      <m:e>
                        <m:r>
                          <w:rPr>
                            <w:rFonts w:ascii="Cambria Math" w:hAnsi="Cambria Math" w:cs="Arial"/>
                          </w:rPr>
                          <m:t>CF</m:t>
                        </m:r>
                      </m:e>
                    </m:d>
                    <m:d>
                      <m:dPr>
                        <m:ctrlPr>
                          <w:rPr>
                            <w:rFonts w:ascii="Cambria Math" w:hAnsi="Cambria Math" w:cs="Arial"/>
                          </w:rPr>
                        </m:ctrlPr>
                      </m:dPr>
                      <m:e>
                        <m:r>
                          <w:rPr>
                            <w:rFonts w:ascii="Cambria Math" w:hAnsi="Cambria Math" w:cs="Arial"/>
                          </w:rPr>
                          <m:t>PROD</m:t>
                        </m:r>
                      </m:e>
                    </m:d>
                  </m:den>
                </m:f>
              </m:oMath>
            </m:oMathPara>
          </w:p>
        </w:tc>
        <w:tc>
          <w:tcPr>
            <w:tcW w:w="815" w:type="dxa"/>
            <w:shd w:val="clear" w:color="auto" w:fill="auto"/>
            <w:vAlign w:val="center"/>
          </w:tcPr>
          <w:p w14:paraId="13A4E6D6" w14:textId="77777777" w:rsidR="0017268B" w:rsidRPr="00B57B36" w:rsidRDefault="0017268B" w:rsidP="0017268B">
            <w:pPr>
              <w:pStyle w:val="CETEquation"/>
            </w:pPr>
            <w:r w:rsidRPr="00B57B36">
              <w:t>(1)</w:t>
            </w:r>
          </w:p>
        </w:tc>
      </w:tr>
    </w:tbl>
    <w:p w14:paraId="7F365918" w14:textId="7AB014EB" w:rsidR="0017268B" w:rsidRDefault="0017268B" w:rsidP="0017268B">
      <w:pPr>
        <w:pStyle w:val="CETBodytext"/>
      </w:pPr>
      <w:r>
        <w:t xml:space="preserve">Where, </w:t>
      </w:r>
      <w:r w:rsidR="00B519E4">
        <w:t xml:space="preserve">CAPEX is the Capital Expenditure; </w:t>
      </w:r>
      <m:oMath>
        <m:sSub>
          <m:sSubPr>
            <m:ctrlPr>
              <w:rPr>
                <w:rFonts w:ascii="Cambria Math" w:hAnsi="Cambria Math"/>
              </w:rPr>
            </m:ctrlPr>
          </m:sSubPr>
          <m:e>
            <m:r>
              <w:rPr>
                <w:rFonts w:ascii="Cambria Math" w:hAnsi="Cambria Math"/>
              </w:rPr>
              <m:t>OC</m:t>
            </m:r>
          </m:e>
          <m:sub>
            <m:r>
              <w:rPr>
                <w:rFonts w:ascii="Cambria Math" w:hAnsi="Cambria Math"/>
              </w:rPr>
              <m:t>fix</m:t>
            </m:r>
          </m:sub>
        </m:sSub>
      </m:oMath>
      <w:r w:rsidR="00B519E4">
        <w:t xml:space="preserve">stands for fixed operating costs, such as labor costs, which do not vary with the amount of steel produced; </w:t>
      </w:r>
      <m:oMath>
        <m:sSub>
          <m:sSubPr>
            <m:ctrlPr>
              <w:rPr>
                <w:rFonts w:ascii="Cambria Math" w:hAnsi="Cambria Math"/>
              </w:rPr>
            </m:ctrlPr>
          </m:sSubPr>
          <m:e>
            <m:r>
              <w:rPr>
                <w:rFonts w:ascii="Cambria Math" w:hAnsi="Cambria Math"/>
              </w:rPr>
              <m:t>OC</m:t>
            </m:r>
          </m:e>
          <m:sub>
            <m:r>
              <w:rPr>
                <w:rFonts w:ascii="Cambria Math" w:hAnsi="Cambria Math"/>
              </w:rPr>
              <m:t>var</m:t>
            </m:r>
          </m:sub>
        </m:sSub>
      </m:oMath>
      <w:r w:rsidR="00B519E4">
        <w:t xml:space="preserve"> represents v</w:t>
      </w:r>
      <w:r w:rsidR="00B519E4" w:rsidRPr="00B519E4">
        <w:t>ariable operating costs, which depend on the amount of steel produced, such as materials used in production</w:t>
      </w:r>
      <w:r w:rsidR="00B519E4">
        <w:t xml:space="preserve">; CF is the Capacity Factor, i.e., the utilization rate of the plant, representing the intensity of its usage; PROD is the expected annual steel production at full </w:t>
      </w:r>
      <w:r w:rsidR="00B519E4">
        <w:lastRenderedPageBreak/>
        <w:t xml:space="preserve">capacity; and </w:t>
      </w:r>
      <w:r>
        <w:t>CRF is the Capital Recovery Factor that converts the present value of an investment into a constant annual amount over a specified period</w:t>
      </w:r>
      <w:r w:rsidR="00A25525">
        <w:t xml:space="preserve">, calculated using </w:t>
      </w:r>
      <w:r w:rsidR="00A25525">
        <w:t>Eq(2)</w:t>
      </w:r>
      <w:r>
        <w:t xml:space="preserve">. </w:t>
      </w:r>
    </w:p>
    <w:tbl>
      <w:tblPr>
        <w:tblW w:w="5000" w:type="pct"/>
        <w:tblLook w:val="04A0" w:firstRow="1" w:lastRow="0" w:firstColumn="1" w:lastColumn="0" w:noHBand="0" w:noVBand="1"/>
      </w:tblPr>
      <w:tblGrid>
        <w:gridCol w:w="7983"/>
        <w:gridCol w:w="804"/>
      </w:tblGrid>
      <w:tr w:rsidR="00B519E4" w:rsidRPr="00B57B36" w14:paraId="22529775" w14:textId="77777777" w:rsidTr="00862C07">
        <w:tc>
          <w:tcPr>
            <w:tcW w:w="7983" w:type="dxa"/>
            <w:shd w:val="clear" w:color="auto" w:fill="auto"/>
            <w:vAlign w:val="center"/>
          </w:tcPr>
          <w:p w14:paraId="76A229C0" w14:textId="1E61AD02" w:rsidR="00B519E4" w:rsidRPr="00AF692F" w:rsidRDefault="00B519E4" w:rsidP="00AF692F">
            <w:pPr>
              <w:pStyle w:val="CETEquation"/>
            </w:pPr>
            <m:oMathPara>
              <m:oMathParaPr>
                <m:jc m:val="center"/>
              </m:oMathParaPr>
              <m:oMath>
                <m:r>
                  <w:rPr>
                    <w:rFonts w:ascii="Cambria Math" w:hAnsi="Cambria Math"/>
                  </w:rPr>
                  <m:t>CRF</m:t>
                </m:r>
                <m:r>
                  <m:rPr>
                    <m:sty m:val="p"/>
                  </m:rPr>
                  <w:rPr>
                    <w:rFonts w:ascii="Cambria Math" w:hAnsi="Cambria Math"/>
                  </w:rPr>
                  <m:t>=</m:t>
                </m:r>
                <m:f>
                  <m:fPr>
                    <m:ctrlPr>
                      <w:rPr>
                        <w:rFonts w:ascii="Cambria Math" w:hAnsi="Cambria Math"/>
                      </w:rPr>
                    </m:ctrlPr>
                  </m:fPr>
                  <m:num>
                    <m:r>
                      <w:rPr>
                        <w:rFonts w:ascii="Cambria Math" w:hAnsi="Cambria Math"/>
                      </w:rPr>
                      <m:t>i</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i</m:t>
                            </m:r>
                          </m:e>
                        </m:d>
                      </m:e>
                      <m:sup>
                        <m:r>
                          <w:rPr>
                            <w:rFonts w:ascii="Cambria Math" w:hAnsi="Cambria Math"/>
                          </w:rPr>
                          <m:t>n</m:t>
                        </m:r>
                      </m:sup>
                    </m:sSup>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i</m:t>
                            </m:r>
                          </m:e>
                        </m:d>
                      </m:e>
                      <m:sup>
                        <m:r>
                          <w:rPr>
                            <w:rFonts w:ascii="Cambria Math" w:hAnsi="Cambria Math"/>
                          </w:rPr>
                          <m:t>n</m:t>
                        </m:r>
                      </m:sup>
                    </m:sSup>
                    <m:r>
                      <m:rPr>
                        <m:sty m:val="p"/>
                      </m:rPr>
                      <w:rPr>
                        <w:rFonts w:ascii="Cambria Math" w:hAnsi="Cambria Math"/>
                      </w:rPr>
                      <m:t>-1</m:t>
                    </m:r>
                  </m:den>
                </m:f>
              </m:oMath>
            </m:oMathPara>
          </w:p>
        </w:tc>
        <w:tc>
          <w:tcPr>
            <w:tcW w:w="804" w:type="dxa"/>
            <w:shd w:val="clear" w:color="auto" w:fill="auto"/>
            <w:vAlign w:val="center"/>
          </w:tcPr>
          <w:p w14:paraId="4628B272" w14:textId="57FFAAB1" w:rsidR="00B519E4" w:rsidRPr="00AF692F" w:rsidRDefault="00B519E4" w:rsidP="00AF692F">
            <w:pPr>
              <w:pStyle w:val="CETEquation"/>
            </w:pPr>
            <w:r w:rsidRPr="00AF692F">
              <w:t>(2)</w:t>
            </w:r>
          </w:p>
        </w:tc>
      </w:tr>
    </w:tbl>
    <w:p w14:paraId="501F7222" w14:textId="77777777" w:rsidR="00A25525" w:rsidRDefault="00A25525" w:rsidP="00A25525">
      <w:pPr>
        <w:pStyle w:val="CETBodytext"/>
      </w:pPr>
      <w:r>
        <w:t xml:space="preserve">Historically, real interest rates have fluctuated between 3% and 7%, therefore using an interest rate </w:t>
      </w:r>
      <w:proofErr w:type="spellStart"/>
      <w:r>
        <w:t>i</w:t>
      </w:r>
      <w:proofErr w:type="spellEnd"/>
      <w:r>
        <w:t xml:space="preserve"> of 6 % and a time period n of 12 years is often considered a conservative yet realistic midpoint. </w:t>
      </w:r>
    </w:p>
    <w:p w14:paraId="457A5D23" w14:textId="5E5BCA3D" w:rsidR="00862C07" w:rsidRDefault="00862C07" w:rsidP="0081641E">
      <w:pPr>
        <w:pStyle w:val="CETBodytext"/>
        <w:rPr>
          <w:lang w:val="en-GB"/>
        </w:rPr>
      </w:pPr>
      <w:r>
        <w:rPr>
          <w:lang w:val="en-GB"/>
        </w:rPr>
        <w:t xml:space="preserve">Finally, the employment rate </w:t>
      </w:r>
      <w:r w:rsidRPr="00436335">
        <w:rPr>
          <w:lang w:val="en-GB"/>
        </w:rPr>
        <w:t>considers the total number of workers directly employed in the steel sector under each scenario, supplemented by potential new jobs created through the demand for decarbonized energy generation facilities</w:t>
      </w:r>
      <w:r>
        <w:rPr>
          <w:lang w:val="en-GB"/>
        </w:rPr>
        <w:t>.</w:t>
      </w:r>
      <w:r w:rsidR="0081641E">
        <w:rPr>
          <w:lang w:val="en-GB"/>
        </w:rPr>
        <w:t xml:space="preserve"> </w:t>
      </w:r>
      <w:r w:rsidR="0081641E" w:rsidRPr="0081641E">
        <w:rPr>
          <w:lang w:val="en-GB"/>
        </w:rPr>
        <w:t>To estimate future employment based on production scenarios, data from 2014 to 2023 was used as a reference</w:t>
      </w:r>
      <w:r w:rsidR="0081641E">
        <w:rPr>
          <w:lang w:val="en-GB"/>
        </w:rPr>
        <w:t xml:space="preserve">, as retrieved within </w:t>
      </w:r>
      <w:r w:rsidR="0081641E" w:rsidRPr="0081641E">
        <w:rPr>
          <w:lang w:val="en-GB"/>
        </w:rPr>
        <w:t>Global Steel Plant Tracker</w:t>
      </w:r>
      <w:r w:rsidR="00FF7539">
        <w:rPr>
          <w:lang w:val="en-GB"/>
        </w:rPr>
        <w:t xml:space="preserve">, which </w:t>
      </w:r>
      <w:r w:rsidR="0081641E" w:rsidRPr="0081641E">
        <w:rPr>
          <w:lang w:val="en-GB"/>
        </w:rPr>
        <w:t>is a</w:t>
      </w:r>
      <w:r w:rsidR="0081641E">
        <w:rPr>
          <w:lang w:val="en-GB"/>
        </w:rPr>
        <w:t xml:space="preserve">n online </w:t>
      </w:r>
      <w:r w:rsidR="0081641E" w:rsidRPr="0081641E">
        <w:rPr>
          <w:lang w:val="en-GB"/>
        </w:rPr>
        <w:t>database that tracks steel plants worldwide</w:t>
      </w:r>
      <w:r w:rsidR="00FF7539">
        <w:rPr>
          <w:lang w:val="en-GB"/>
        </w:rPr>
        <w:t>, including</w:t>
      </w:r>
      <w:r w:rsidR="0081641E" w:rsidRPr="0081641E">
        <w:rPr>
          <w:lang w:val="en-GB"/>
        </w:rPr>
        <w:t xml:space="preserve"> information such as plant ownership, operational status, production method, plant capacity, annual production, workforce, and location. For steel production using EAF technology, there are </w:t>
      </w:r>
      <w:r w:rsidR="00CA65B6">
        <w:rPr>
          <w:lang w:val="en-GB"/>
        </w:rPr>
        <w:t xml:space="preserve">on average </w:t>
      </w:r>
      <w:r w:rsidR="0081641E" w:rsidRPr="0081641E">
        <w:rPr>
          <w:lang w:val="en-GB"/>
        </w:rPr>
        <w:t xml:space="preserve">1.4 employees per 1,000 tons of steel produced. For </w:t>
      </w:r>
      <w:r w:rsidR="00FF7539">
        <w:rPr>
          <w:lang w:val="en-GB"/>
        </w:rPr>
        <w:t>traditional</w:t>
      </w:r>
      <w:r w:rsidR="0081641E" w:rsidRPr="0081641E">
        <w:rPr>
          <w:lang w:val="en-GB"/>
        </w:rPr>
        <w:t xml:space="preserve"> production, this figure increases to 2.4 employees per 1,000 tons. DRI technology facilities have an average of 0.6 employees per 1,000 tons, based on a wide range of plants in diverse contexts with varying scales, regulations, and </w:t>
      </w:r>
      <w:proofErr w:type="spellStart"/>
      <w:r w:rsidR="0081641E" w:rsidRPr="0081641E">
        <w:rPr>
          <w:lang w:val="en-GB"/>
        </w:rPr>
        <w:t>labor</w:t>
      </w:r>
      <w:proofErr w:type="spellEnd"/>
      <w:r w:rsidR="0081641E" w:rsidRPr="0081641E">
        <w:rPr>
          <w:lang w:val="en-GB"/>
        </w:rPr>
        <w:t xml:space="preserve"> markets.</w:t>
      </w:r>
      <w:r w:rsidR="00CA65B6">
        <w:rPr>
          <w:lang w:val="en-GB"/>
        </w:rPr>
        <w:t xml:space="preserve"> </w:t>
      </w:r>
      <w:r w:rsidR="0081641E" w:rsidRPr="0081641E">
        <w:rPr>
          <w:lang w:val="en-GB"/>
        </w:rPr>
        <w:t xml:space="preserve">The significant differences in </w:t>
      </w:r>
      <w:proofErr w:type="spellStart"/>
      <w:r w:rsidR="0081641E" w:rsidRPr="0081641E">
        <w:rPr>
          <w:lang w:val="en-GB"/>
        </w:rPr>
        <w:t>labor</w:t>
      </w:r>
      <w:proofErr w:type="spellEnd"/>
      <w:r w:rsidR="0081641E" w:rsidRPr="0081641E">
        <w:rPr>
          <w:lang w:val="en-GB"/>
        </w:rPr>
        <w:t xml:space="preserve">-intensity arise from structurally distinct industrial systems, production scales, and the outdated nature of many EAF and BF plants, which are more </w:t>
      </w:r>
      <w:proofErr w:type="spellStart"/>
      <w:r w:rsidR="0081641E" w:rsidRPr="0081641E">
        <w:rPr>
          <w:lang w:val="en-GB"/>
        </w:rPr>
        <w:t>labor-intensive</w:t>
      </w:r>
      <w:proofErr w:type="spellEnd"/>
      <w:r w:rsidR="0081641E" w:rsidRPr="0081641E">
        <w:rPr>
          <w:lang w:val="en-GB"/>
        </w:rPr>
        <w:t xml:space="preserve"> due to obsolete technology and organizational models. For scenarios integrating DRI and EAF technologies, employment impact is assumed to be higher than DRI alone, given the dual-stage production process</w:t>
      </w:r>
      <w:r w:rsidR="00D742DF">
        <w:rPr>
          <w:lang w:val="en-GB"/>
        </w:rPr>
        <w:t xml:space="preserve">. </w:t>
      </w:r>
      <w:r w:rsidR="0081641E" w:rsidRPr="0081641E">
        <w:rPr>
          <w:lang w:val="en-GB"/>
        </w:rPr>
        <w:t>While there is no direct data from operational integrated DRI-EAF facilities, estimates from approximately 21 planned systems in Europe</w:t>
      </w:r>
      <w:r w:rsidR="00CA65B6">
        <w:rPr>
          <w:lang w:val="en-GB"/>
        </w:rPr>
        <w:t xml:space="preserve">, </w:t>
      </w:r>
      <w:r w:rsidR="0081641E" w:rsidRPr="0081641E">
        <w:rPr>
          <w:lang w:val="en-GB"/>
        </w:rPr>
        <w:t>set to begin operation around 2025-2026</w:t>
      </w:r>
      <w:r w:rsidR="00CA65B6">
        <w:rPr>
          <w:lang w:val="en-GB"/>
        </w:rPr>
        <w:t xml:space="preserve">, </w:t>
      </w:r>
      <w:r w:rsidR="0081641E" w:rsidRPr="0081641E">
        <w:rPr>
          <w:lang w:val="en-GB"/>
        </w:rPr>
        <w:t>suggest employment figures between 1.45 and 1.8 employees per 1,000 tons</w:t>
      </w:r>
      <w:r w:rsidR="00D742DF">
        <w:rPr>
          <w:lang w:val="en-GB"/>
        </w:rPr>
        <w:t xml:space="preserve">, with </w:t>
      </w:r>
      <w:r w:rsidR="00D742DF" w:rsidRPr="0081641E">
        <w:rPr>
          <w:lang w:val="en-GB"/>
        </w:rPr>
        <w:t>a median value of 1.6 employees per 1,000 tons</w:t>
      </w:r>
      <w:r w:rsidR="00D742DF">
        <w:rPr>
          <w:lang w:val="en-GB"/>
        </w:rPr>
        <w:t xml:space="preserve"> of steel.</w:t>
      </w:r>
      <w:r w:rsidR="00FF7539">
        <w:rPr>
          <w:lang w:val="en-GB"/>
        </w:rPr>
        <w:t xml:space="preserve"> </w:t>
      </w:r>
      <w:r w:rsidR="00FF7539">
        <w:t xml:space="preserve">Labor estimates for renewable energy were calculated using the methodology developed by GSE, which employs sectoral interdependence matrices to link economic and employment impacts to renewable energy deployment. Between 2013 and 2020, GSE data </w:t>
      </w:r>
      <w:r w:rsidR="00FF7539">
        <w:fldChar w:fldCharType="begin" w:fldLock="1"/>
      </w:r>
      <w:r w:rsidR="00FF7539">
        <w:instrText>ADDIN CSL_CITATION {"citationItems":[{"id":"ITEM-1","itemData":{"author":[{"dropping-particle":"","family":"GSE","given":"","non-dropping-particle":"","parse-names":false,"suffix":""}],"id":"ITEM-1","issued":{"date-parts":[["2022"]]},"title":"MONITORAGGIO DEGLI IMPATTI ECONOMICI E OCCUPAZIONALI DELLE FONTI RINNOVABILI E DELL’EFFICIENZA ENERGETICA","type":"report"},"uris":["http://www.mendeley.com/documents/?uuid=8987e945-b46f-4824-8845-12e1055ae7ec"]}],"mendeley":{"formattedCitation":"(GSE, 2022a)","plainTextFormattedCitation":"(GSE, 2022a)","previouslyFormattedCitation":"(GSE, 2022a)"},"properties":{"noteIndex":0},"schema":"https://github.com/citation-style-language/schema/raw/master/csl-citation.json"}</w:instrText>
      </w:r>
      <w:r w:rsidR="00FF7539">
        <w:fldChar w:fldCharType="separate"/>
      </w:r>
      <w:r w:rsidR="00FF7539" w:rsidRPr="005A1A38">
        <w:rPr>
          <w:noProof/>
        </w:rPr>
        <w:t>(GSE, 2022a)</w:t>
      </w:r>
      <w:r w:rsidR="00FF7539">
        <w:fldChar w:fldCharType="end"/>
      </w:r>
      <w:r w:rsidR="00FF7539">
        <w:t xml:space="preserve"> indicate 575 permanent jobs per GW of installed renewable capacity, which have been scaled to the installed capacity needed in the three decarbonization scenarios.</w:t>
      </w:r>
    </w:p>
    <w:p w14:paraId="47350C8A" w14:textId="6221BA01" w:rsidR="004D52E1" w:rsidRDefault="004D52E1" w:rsidP="004D52E1">
      <w:pPr>
        <w:pStyle w:val="CETBodytext"/>
      </w:pPr>
      <w:r>
        <w:t>As previously reported, short-term actions involve integrating mitigation technologies into existing plants to minimize immediate investment needs while awaiting the consolidation of innovative solutions</w:t>
      </w:r>
      <w:r w:rsidR="00BF0138">
        <w:t xml:space="preserve"> </w:t>
      </w:r>
      <w:r>
        <w:t>for achieving complete decarbonization by 2050.</w:t>
      </w:r>
      <w:r w:rsidR="000C13D8">
        <w:t xml:space="preserve"> </w:t>
      </w:r>
      <w:r>
        <w:t>The analysis assume</w:t>
      </w:r>
      <w:r w:rsidR="000C13D8">
        <w:t>d</w:t>
      </w:r>
      <w:r>
        <w:t xml:space="preserve"> a steady production of 25 Mt/year of steel, comprising 18 Mt (72%) </w:t>
      </w:r>
      <w:r w:rsidR="000C13D8">
        <w:t xml:space="preserve">of </w:t>
      </w:r>
      <w:r>
        <w:t xml:space="preserve">secondary steel </w:t>
      </w:r>
      <w:r w:rsidR="000C13D8">
        <w:t xml:space="preserve">from </w:t>
      </w:r>
      <w:r>
        <w:t xml:space="preserve">EAF and 7 Mt (28%) </w:t>
      </w:r>
      <w:r w:rsidR="000C13D8">
        <w:t xml:space="preserve">of </w:t>
      </w:r>
      <w:r>
        <w:t xml:space="preserve">primary steel. The secondary steel output aligns with historical </w:t>
      </w:r>
      <w:r w:rsidR="000C13D8">
        <w:t xml:space="preserve">Italian </w:t>
      </w:r>
      <w:r>
        <w:t>averages and reflects anticipated long-term scrap shortages. Primary steel production is expected to increase modestly, doubling from 2022 levels, supported by innovative technologies</w:t>
      </w:r>
      <w:r w:rsidR="000C13D8">
        <w:t>.</w:t>
      </w:r>
    </w:p>
    <w:p w14:paraId="54B4DE87" w14:textId="7936FEBE" w:rsidR="00CB6DCD" w:rsidRPr="00CB6DCD" w:rsidRDefault="004D52E1" w:rsidP="004D52E1">
      <w:pPr>
        <w:pStyle w:val="CETBodytext"/>
      </w:pPr>
      <w:r>
        <w:t>The scenarios primarily differ in the technologies employed to meet the demand for primary steel, highlighting varying degrees of innovation and decarbonization potential. These approaches address both current challenges and the growing global demand for steel, ensuring the Italian steel sector remains competitive and sustainable.</w:t>
      </w:r>
    </w:p>
    <w:p w14:paraId="3DD60438" w14:textId="77777777" w:rsidR="00FA68C0" w:rsidRDefault="00FA68C0" w:rsidP="00AF692F">
      <w:pPr>
        <w:pStyle w:val="CETBodytext"/>
        <w:jc w:val="left"/>
        <w:rPr>
          <w:rStyle w:val="CETCaptionCarattere"/>
        </w:rPr>
      </w:pPr>
      <w:r w:rsidRPr="00874EBD">
        <w:rPr>
          <w:noProof/>
          <w:lang w:val="en-GB"/>
        </w:rPr>
        <w:drawing>
          <wp:inline distT="0" distB="0" distL="0" distR="0" wp14:anchorId="39DEBA93" wp14:editId="6F2DAE3E">
            <wp:extent cx="5579745" cy="1442720"/>
            <wp:effectExtent l="0" t="0" r="0" b="5080"/>
            <wp:docPr id="27" name="Picture 26">
              <a:extLst xmlns:a="http://schemas.openxmlformats.org/drawingml/2006/main">
                <a:ext uri="{FF2B5EF4-FFF2-40B4-BE49-F238E27FC236}">
                  <a16:creationId xmlns:a16="http://schemas.microsoft.com/office/drawing/2014/main" id="{BC722054-313F-438A-88AA-74D8191797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a:extLst>
                        <a:ext uri="{FF2B5EF4-FFF2-40B4-BE49-F238E27FC236}">
                          <a16:creationId xmlns:a16="http://schemas.microsoft.com/office/drawing/2014/main" id="{BC722054-313F-438A-88AA-74D819179740}"/>
                        </a:ext>
                      </a:extLst>
                    </pic:cNvPr>
                    <pic:cNvPicPr>
                      <a:picLocks noChangeAspect="1"/>
                    </pic:cNvPicPr>
                  </pic:nvPicPr>
                  <pic:blipFill>
                    <a:blip r:embed="rId13"/>
                    <a:stretch>
                      <a:fillRect/>
                    </a:stretch>
                  </pic:blipFill>
                  <pic:spPr>
                    <a:xfrm>
                      <a:off x="0" y="0"/>
                      <a:ext cx="5579745" cy="1442720"/>
                    </a:xfrm>
                    <a:prstGeom prst="rect">
                      <a:avLst/>
                    </a:prstGeom>
                  </pic:spPr>
                </pic:pic>
              </a:graphicData>
            </a:graphic>
          </wp:inline>
        </w:drawing>
      </w:r>
      <w:bookmarkStart w:id="2" w:name="_Ref184189241"/>
    </w:p>
    <w:p w14:paraId="1010D333" w14:textId="7C5401CD" w:rsidR="00FA68C0" w:rsidRPr="00902816" w:rsidRDefault="00FA68C0" w:rsidP="00AF692F">
      <w:pPr>
        <w:pStyle w:val="CETCaption"/>
        <w:jc w:val="left"/>
      </w:pPr>
      <w:r w:rsidRPr="00902816">
        <w:rPr>
          <w:rStyle w:val="CETCaptionCarattere"/>
          <w:i/>
        </w:rPr>
        <w:t xml:space="preserve">Figure </w:t>
      </w:r>
      <w:r w:rsidRPr="00902816">
        <w:rPr>
          <w:rStyle w:val="CETCaptionCarattere"/>
          <w:i/>
        </w:rPr>
        <w:fldChar w:fldCharType="begin"/>
      </w:r>
      <w:r w:rsidRPr="00902816">
        <w:rPr>
          <w:rStyle w:val="CETCaptionCarattere"/>
          <w:i/>
        </w:rPr>
        <w:instrText xml:space="preserve"> SEQ Figure \* ARABIC </w:instrText>
      </w:r>
      <w:r w:rsidRPr="00902816">
        <w:rPr>
          <w:rStyle w:val="CETCaptionCarattere"/>
          <w:i/>
        </w:rPr>
        <w:fldChar w:fldCharType="separate"/>
      </w:r>
      <w:r w:rsidRPr="00902816">
        <w:rPr>
          <w:rStyle w:val="CETCaptionCarattere"/>
          <w:i/>
        </w:rPr>
        <w:t>1</w:t>
      </w:r>
      <w:r w:rsidRPr="00902816">
        <w:rPr>
          <w:rStyle w:val="CETCaptionCarattere"/>
          <w:i/>
        </w:rPr>
        <w:fldChar w:fldCharType="end"/>
      </w:r>
      <w:bookmarkEnd w:id="2"/>
      <w:r w:rsidRPr="00902816">
        <w:rPr>
          <w:rStyle w:val="CETCaptionCarattere"/>
          <w:i/>
        </w:rPr>
        <w:t>: Schematic representation of decarbonization pathways: a) Conservative scenario; b) Prospective scenario; c) Desirable scenario</w:t>
      </w:r>
    </w:p>
    <w:p w14:paraId="4587C1E6" w14:textId="25E09278" w:rsidR="00D2536E" w:rsidRDefault="000C13D8" w:rsidP="000C13D8">
      <w:pPr>
        <w:pStyle w:val="CETBodytext"/>
      </w:pPr>
      <w:r>
        <w:t xml:space="preserve">The Conservative </w:t>
      </w:r>
      <w:r w:rsidR="00E718FF">
        <w:t>s</w:t>
      </w:r>
      <w:r>
        <w:t xml:space="preserve">cenario, illustrated in </w:t>
      </w:r>
      <w:r w:rsidR="00E718FF">
        <w:fldChar w:fldCharType="begin"/>
      </w:r>
      <w:r w:rsidR="00E718FF">
        <w:instrText xml:space="preserve"> REF _Ref184189241 \h </w:instrText>
      </w:r>
      <w:r w:rsidR="00E718FF">
        <w:fldChar w:fldCharType="separate"/>
      </w:r>
      <w:r w:rsidR="00B67C34">
        <w:t xml:space="preserve">Figure </w:t>
      </w:r>
      <w:r w:rsidR="00B67C34">
        <w:rPr>
          <w:noProof/>
        </w:rPr>
        <w:t>1</w:t>
      </w:r>
      <w:r w:rsidR="00E718FF">
        <w:fldChar w:fldCharType="end"/>
      </w:r>
      <w:r w:rsidR="00E718FF">
        <w:t>a</w:t>
      </w:r>
      <w:r>
        <w:t xml:space="preserve">, represents a context where government bodies do not incentivize innovation in the steel or energy sectors, steel companies lack confidence in adopting innovative technologies, and NGOs and labor unions fail to effectively advocate for community interests. This scenario focuses on addressing short-term challenges without implementing technologies necessary for achieving full decarbonization in the long term. </w:t>
      </w:r>
      <w:r w:rsidR="00E718FF">
        <w:t xml:space="preserve">The industry would rely on importing reduced iron (Hot Briquetted Iron - HBI) or scrap metal from abroad. However, increasing global demand for steel and the decarbonization efforts of other nations would intensify competition for high-quality scrap and HBI, reducing availability and driving the use </w:t>
      </w:r>
      <w:r w:rsidR="00E718FF">
        <w:lastRenderedPageBreak/>
        <w:t xml:space="preserve">of lower-quality raw materials. This could negatively impact the quality of finished products, reducing the competitiveness of the Italian steel sector. </w:t>
      </w:r>
    </w:p>
    <w:p w14:paraId="0CAE4376" w14:textId="77777777" w:rsidR="00912092" w:rsidRDefault="00986B9C" w:rsidP="00912092">
      <w:pPr>
        <w:pStyle w:val="CETBodytext"/>
      </w:pPr>
      <w:r>
        <w:t xml:space="preserve">The Prospective scenario envisions a gradual implementation of emission reduction measures and </w:t>
      </w:r>
      <w:r w:rsidR="00DE6588">
        <w:t>enabling</w:t>
      </w:r>
      <w:r>
        <w:t xml:space="preserve"> technologies, aiming for substantial greenhouse gas reductions and long-term decarbonization of Italy’s steel sector. Medium-term strategies include energy integration, CO</w:t>
      </w:r>
      <w:r>
        <w:rPr>
          <w:rFonts w:ascii="Cambria Math" w:hAnsi="Cambria Math" w:cs="Cambria Math"/>
        </w:rPr>
        <w:t>₂</w:t>
      </w:r>
      <w:r>
        <w:t xml:space="preserve"> capture and reuse for natural gas-based DRI and EAF processes, increased use of biogenic carbon, and small to medium-scale photovoltaic installations.</w:t>
      </w:r>
      <w:r w:rsidR="00DE6588">
        <w:t xml:space="preserve"> </w:t>
      </w:r>
      <w:r>
        <w:t>EAF operators will integrate sponge iron (HBI) into production to address rising costs and declining quality of scrap. Initially, DRI will use natural gas with CO</w:t>
      </w:r>
      <w:r>
        <w:rPr>
          <w:rFonts w:ascii="Cambria Math" w:hAnsi="Cambria Math" w:cs="Cambria Math"/>
        </w:rPr>
        <w:t>₂</w:t>
      </w:r>
      <w:r>
        <w:t xml:space="preserve"> capture, transitioning to biogas and </w:t>
      </w:r>
      <w:r w:rsidR="00DE6588">
        <w:t xml:space="preserve">green </w:t>
      </w:r>
      <w:r>
        <w:t>hydrogen, w</w:t>
      </w:r>
      <w:r w:rsidR="00DE6588">
        <w:t>hich will become</w:t>
      </w:r>
      <w:r>
        <w:t xml:space="preserve"> dominant through renewable energy-powered electrolysis</w:t>
      </w:r>
      <w:r w:rsidR="00DE6588">
        <w:t xml:space="preserve">. </w:t>
      </w:r>
      <w:r>
        <w:t>Renewable energy installations will expand over time, meeting an increasing share of the energy needs for electrolysis and EAFs, while the national energy mix shifts toward renewables. CO</w:t>
      </w:r>
      <w:r>
        <w:rPr>
          <w:rFonts w:ascii="Cambria Math" w:hAnsi="Cambria Math" w:cs="Cambria Math"/>
        </w:rPr>
        <w:t>₂</w:t>
      </w:r>
      <w:r>
        <w:t xml:space="preserve"> emissions will be captured and converted into value-added products or stored in reservoirs, contributing to the sector’s decarbonization goals.</w:t>
      </w:r>
      <w:r w:rsidR="00DE6588">
        <w:t xml:space="preserve"> </w:t>
      </w:r>
    </w:p>
    <w:p w14:paraId="1CCF941C" w14:textId="0DDE95EB" w:rsidR="00DE6588" w:rsidRPr="003877BC" w:rsidRDefault="00912092" w:rsidP="00986B9C">
      <w:pPr>
        <w:pStyle w:val="CETBodytext"/>
      </w:pPr>
      <w:r>
        <w:t>The Desirable Scenario envisions a fully decarbonized Italian steel sector, with large green hydrogen-based DRI facilities paired with EAF sites incorporating scrap recycling. Powered entirely by renewable electricity, green hydrogen would be produced via electrolysis, supplemented by a renewable-dominated national energy mix. CO</w:t>
      </w:r>
      <w:r>
        <w:rPr>
          <w:rFonts w:ascii="Cambria Math" w:hAnsi="Cambria Math" w:cs="Cambria Math"/>
        </w:rPr>
        <w:t>₂</w:t>
      </w:r>
      <w:r>
        <w:t xml:space="preserve"> emissions would originate solely from biogenic sources, reducing the need for carbon capture, though existing capture systems could further decrease net </w:t>
      </w:r>
      <w:r w:rsidRPr="00912092">
        <w:rPr>
          <w:rFonts w:cs="Arial"/>
        </w:rPr>
        <w:t>atmospheric CO</w:t>
      </w:r>
      <w:r w:rsidRPr="00912092">
        <w:rPr>
          <w:rFonts w:ascii="Cambria Math" w:hAnsi="Cambria Math" w:cs="Cambria Math"/>
        </w:rPr>
        <w:t>₂</w:t>
      </w:r>
      <w:r w:rsidRPr="00912092">
        <w:rPr>
          <w:rFonts w:cs="Arial"/>
        </w:rPr>
        <w:t>. While</w:t>
      </w:r>
      <w:r>
        <w:t xml:space="preserve"> current investment and technological limitations delay immediate implementation, progressive improvements through intermediate scenarios provide a viable pathway toward achieving this goal.</w:t>
      </w:r>
      <w:r w:rsidR="002C5A9B">
        <w:t xml:space="preserve"> </w:t>
      </w:r>
      <w:r w:rsidR="00DE6588">
        <w:t>The annual raw material requirements to sustain the Italian steel industry under th</w:t>
      </w:r>
      <w:r>
        <w:t>e</w:t>
      </w:r>
      <w:r w:rsidR="00DE6588">
        <w:t>s</w:t>
      </w:r>
      <w:r>
        <w:t xml:space="preserve">e </w:t>
      </w:r>
      <w:r w:rsidR="00DE6588">
        <w:t>scenario</w:t>
      </w:r>
      <w:r>
        <w:t>s</w:t>
      </w:r>
      <w:r w:rsidR="00DE6588">
        <w:t xml:space="preserve"> are detailed in </w:t>
      </w:r>
      <w:r w:rsidR="00DE6588">
        <w:rPr>
          <w:highlight w:val="yellow"/>
        </w:rPr>
        <w:fldChar w:fldCharType="begin"/>
      </w:r>
      <w:r w:rsidR="00DE6588">
        <w:instrText xml:space="preserve"> REF _Ref184286837 \h </w:instrText>
      </w:r>
      <w:r w:rsidR="00DE6588">
        <w:rPr>
          <w:highlight w:val="yellow"/>
        </w:rPr>
      </w:r>
      <w:r w:rsidR="00DE6588">
        <w:rPr>
          <w:highlight w:val="yellow"/>
        </w:rPr>
        <w:fldChar w:fldCharType="separate"/>
      </w:r>
      <w:r w:rsidR="00B67C34">
        <w:t xml:space="preserve">Table </w:t>
      </w:r>
      <w:r w:rsidR="00B67C34">
        <w:rPr>
          <w:noProof/>
        </w:rPr>
        <w:t>1</w:t>
      </w:r>
      <w:r w:rsidR="00DE6588">
        <w:rPr>
          <w:highlight w:val="yellow"/>
        </w:rPr>
        <w:fldChar w:fldCharType="end"/>
      </w:r>
      <w:r w:rsidR="00357100">
        <w:t>.</w:t>
      </w:r>
    </w:p>
    <w:p w14:paraId="7E5C50D2" w14:textId="5CEF8AEA" w:rsidR="00E718FF" w:rsidRPr="00B57B36" w:rsidRDefault="00E718FF" w:rsidP="00902816">
      <w:pPr>
        <w:pStyle w:val="CETCaption"/>
      </w:pPr>
      <w:bookmarkStart w:id="3" w:name="_Ref184286837"/>
      <w:r>
        <w:t xml:space="preserve">Table </w:t>
      </w:r>
      <w:r>
        <w:fldChar w:fldCharType="begin"/>
      </w:r>
      <w:r>
        <w:instrText xml:space="preserve"> SEQ Table \* ARABIC </w:instrText>
      </w:r>
      <w:r>
        <w:fldChar w:fldCharType="separate"/>
      </w:r>
      <w:r w:rsidR="00B67C34">
        <w:rPr>
          <w:noProof/>
        </w:rPr>
        <w:t>1</w:t>
      </w:r>
      <w:r>
        <w:fldChar w:fldCharType="end"/>
      </w:r>
      <w:bookmarkEnd w:id="3"/>
      <w:r>
        <w:t xml:space="preserve">: </w:t>
      </w:r>
      <w:r w:rsidR="00794B46">
        <w:t>R</w:t>
      </w:r>
      <w:r>
        <w:t xml:space="preserve">aw materials and energy required for each </w:t>
      </w:r>
      <w:r w:rsidR="00357100">
        <w:t xml:space="preserve">potential </w:t>
      </w:r>
      <w:r>
        <w:t>scenario</w:t>
      </w:r>
      <w:r w:rsidR="00357100">
        <w:t xml:space="preserve"> for decarbonization</w:t>
      </w:r>
      <w:r w:rsidR="00C06DB9">
        <w:t xml:space="preserve"> </w:t>
      </w:r>
    </w:p>
    <w:tbl>
      <w:tblPr>
        <w:tblW w:w="5013" w:type="pct"/>
        <w:jc w:val="center"/>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851"/>
        <w:gridCol w:w="567"/>
        <w:gridCol w:w="920"/>
        <w:gridCol w:w="920"/>
        <w:gridCol w:w="916"/>
        <w:gridCol w:w="920"/>
        <w:gridCol w:w="916"/>
        <w:gridCol w:w="920"/>
        <w:gridCol w:w="916"/>
        <w:gridCol w:w="944"/>
        <w:gridCol w:w="20"/>
      </w:tblGrid>
      <w:tr w:rsidR="00E65824" w:rsidRPr="00C96D24" w14:paraId="2EB467A0" w14:textId="067C7FF8" w:rsidTr="008B2CBE">
        <w:trPr>
          <w:gridAfter w:val="1"/>
          <w:wAfter w:w="11" w:type="pct"/>
          <w:jc w:val="center"/>
        </w:trPr>
        <w:tc>
          <w:tcPr>
            <w:tcW w:w="483" w:type="pct"/>
            <w:tcBorders>
              <w:top w:val="single" w:sz="12" w:space="0" w:color="008000"/>
              <w:bottom w:val="single" w:sz="6" w:space="0" w:color="008000"/>
            </w:tcBorders>
            <w:shd w:val="clear" w:color="auto" w:fill="FFFFFF"/>
            <w:vAlign w:val="center"/>
          </w:tcPr>
          <w:p w14:paraId="6D12C7C8" w14:textId="2CD91515" w:rsidR="00F24025" w:rsidRPr="00C96D24" w:rsidRDefault="00F24025" w:rsidP="00E65824">
            <w:pPr>
              <w:pStyle w:val="CETBodytext"/>
              <w:jc w:val="left"/>
              <w:rPr>
                <w:sz w:val="13"/>
                <w:szCs w:val="13"/>
                <w:lang w:val="en-GB"/>
              </w:rPr>
            </w:pPr>
            <w:r w:rsidRPr="00C96D24">
              <w:rPr>
                <w:sz w:val="13"/>
                <w:szCs w:val="13"/>
                <w:lang w:val="en-GB"/>
              </w:rPr>
              <w:t>Category</w:t>
            </w:r>
          </w:p>
        </w:tc>
        <w:tc>
          <w:tcPr>
            <w:tcW w:w="322" w:type="pct"/>
            <w:tcBorders>
              <w:top w:val="single" w:sz="12" w:space="0" w:color="008000"/>
              <w:bottom w:val="single" w:sz="6" w:space="0" w:color="008000"/>
            </w:tcBorders>
            <w:shd w:val="clear" w:color="auto" w:fill="FFFFFF"/>
            <w:vAlign w:val="center"/>
          </w:tcPr>
          <w:p w14:paraId="0487297D" w14:textId="77777777" w:rsidR="00F24025" w:rsidRPr="00C96D24" w:rsidRDefault="00F24025" w:rsidP="00976F4E">
            <w:pPr>
              <w:pStyle w:val="CETBodytext"/>
              <w:jc w:val="center"/>
              <w:rPr>
                <w:sz w:val="13"/>
                <w:szCs w:val="13"/>
                <w:lang w:val="en-GB"/>
              </w:rPr>
            </w:pPr>
          </w:p>
        </w:tc>
        <w:tc>
          <w:tcPr>
            <w:tcW w:w="522" w:type="pct"/>
            <w:tcBorders>
              <w:top w:val="single" w:sz="12" w:space="0" w:color="008000"/>
              <w:bottom w:val="single" w:sz="6" w:space="0" w:color="008000"/>
              <w:right w:val="nil"/>
            </w:tcBorders>
            <w:shd w:val="clear" w:color="auto" w:fill="FFFFFF"/>
            <w:vAlign w:val="center"/>
          </w:tcPr>
          <w:p w14:paraId="1BDA23AC" w14:textId="1876812C" w:rsidR="00F24025" w:rsidRPr="00C96D24" w:rsidRDefault="00F24025" w:rsidP="00AF692F">
            <w:pPr>
              <w:pStyle w:val="CETBodytext"/>
              <w:ind w:right="-1"/>
              <w:jc w:val="center"/>
              <w:rPr>
                <w:rFonts w:cs="Arial"/>
                <w:sz w:val="13"/>
                <w:szCs w:val="13"/>
                <w:lang w:val="en-GB"/>
              </w:rPr>
            </w:pPr>
            <w:r w:rsidRPr="00C96D24">
              <w:rPr>
                <w:sz w:val="13"/>
                <w:szCs w:val="13"/>
                <w:lang w:val="en-GB"/>
              </w:rPr>
              <w:t>Primary</w:t>
            </w:r>
          </w:p>
        </w:tc>
        <w:tc>
          <w:tcPr>
            <w:tcW w:w="522" w:type="pct"/>
            <w:tcBorders>
              <w:top w:val="single" w:sz="12" w:space="0" w:color="008000"/>
              <w:left w:val="nil"/>
              <w:bottom w:val="single" w:sz="6" w:space="0" w:color="008000"/>
              <w:right w:val="nil"/>
            </w:tcBorders>
            <w:shd w:val="clear" w:color="auto" w:fill="FFFFFF"/>
            <w:vAlign w:val="center"/>
          </w:tcPr>
          <w:p w14:paraId="1A974232" w14:textId="154633ED" w:rsidR="00F24025" w:rsidRPr="00C96D24" w:rsidRDefault="00F24025" w:rsidP="00AF692F">
            <w:pPr>
              <w:pStyle w:val="CETBodytext"/>
              <w:ind w:right="-1"/>
              <w:jc w:val="center"/>
              <w:rPr>
                <w:rFonts w:cs="Arial"/>
                <w:sz w:val="13"/>
                <w:szCs w:val="13"/>
                <w:lang w:val="en-GB"/>
              </w:rPr>
            </w:pPr>
            <w:r w:rsidRPr="00C96D24">
              <w:rPr>
                <w:sz w:val="13"/>
                <w:szCs w:val="13"/>
                <w:lang w:val="en-GB"/>
              </w:rPr>
              <w:t>Primary</w:t>
            </w:r>
          </w:p>
        </w:tc>
        <w:tc>
          <w:tcPr>
            <w:tcW w:w="520" w:type="pct"/>
            <w:tcBorders>
              <w:top w:val="single" w:sz="12" w:space="0" w:color="008000"/>
              <w:left w:val="nil"/>
              <w:bottom w:val="single" w:sz="6" w:space="0" w:color="008000"/>
              <w:right w:val="nil"/>
            </w:tcBorders>
            <w:shd w:val="clear" w:color="auto" w:fill="FFFFFF"/>
            <w:vAlign w:val="center"/>
          </w:tcPr>
          <w:p w14:paraId="3D81916A" w14:textId="4142D4C1" w:rsidR="00F24025" w:rsidRPr="00C96D24" w:rsidRDefault="00F24025" w:rsidP="00AF692F">
            <w:pPr>
              <w:pStyle w:val="CETBodytext"/>
              <w:ind w:right="-1"/>
              <w:jc w:val="center"/>
              <w:rPr>
                <w:rFonts w:cs="Arial"/>
                <w:sz w:val="13"/>
                <w:szCs w:val="13"/>
                <w:lang w:val="en-GB"/>
              </w:rPr>
            </w:pPr>
            <w:r w:rsidRPr="00C96D24">
              <w:rPr>
                <w:sz w:val="13"/>
                <w:szCs w:val="13"/>
                <w:lang w:val="en-GB"/>
              </w:rPr>
              <w:t>Primary</w:t>
            </w:r>
          </w:p>
        </w:tc>
        <w:tc>
          <w:tcPr>
            <w:tcW w:w="522" w:type="pct"/>
            <w:tcBorders>
              <w:top w:val="single" w:sz="12" w:space="0" w:color="008000"/>
              <w:left w:val="nil"/>
              <w:bottom w:val="single" w:sz="6" w:space="0" w:color="008000"/>
              <w:right w:val="nil"/>
            </w:tcBorders>
            <w:shd w:val="clear" w:color="auto" w:fill="FFFFFF"/>
            <w:vAlign w:val="center"/>
          </w:tcPr>
          <w:p w14:paraId="46E6FFAC" w14:textId="7AF6138B" w:rsidR="00F24025" w:rsidRPr="00C96D24" w:rsidRDefault="00F24025" w:rsidP="00AF692F">
            <w:pPr>
              <w:pStyle w:val="CETBodytext"/>
              <w:ind w:right="-1"/>
              <w:jc w:val="center"/>
              <w:rPr>
                <w:rFonts w:cs="Arial"/>
                <w:sz w:val="13"/>
                <w:szCs w:val="13"/>
                <w:lang w:val="en-GB"/>
              </w:rPr>
            </w:pPr>
            <w:r w:rsidRPr="00C96D24">
              <w:rPr>
                <w:rFonts w:cs="Arial"/>
                <w:sz w:val="13"/>
                <w:szCs w:val="13"/>
                <w:lang w:val="en-GB"/>
              </w:rPr>
              <w:t>Secondary</w:t>
            </w:r>
          </w:p>
        </w:tc>
        <w:tc>
          <w:tcPr>
            <w:tcW w:w="520" w:type="pct"/>
            <w:tcBorders>
              <w:top w:val="single" w:sz="12" w:space="0" w:color="008000"/>
              <w:left w:val="nil"/>
              <w:bottom w:val="single" w:sz="6" w:space="0" w:color="008000"/>
              <w:right w:val="nil"/>
            </w:tcBorders>
            <w:shd w:val="clear" w:color="auto" w:fill="FFFFFF"/>
            <w:vAlign w:val="center"/>
          </w:tcPr>
          <w:p w14:paraId="34E4988C" w14:textId="4D58B148" w:rsidR="00F24025" w:rsidRPr="00C96D24" w:rsidRDefault="00F24025" w:rsidP="00AF692F">
            <w:pPr>
              <w:pStyle w:val="CETBodytext"/>
              <w:ind w:right="-1"/>
              <w:jc w:val="center"/>
              <w:rPr>
                <w:rFonts w:cs="Arial"/>
                <w:sz w:val="13"/>
                <w:szCs w:val="13"/>
                <w:lang w:val="en-GB"/>
              </w:rPr>
            </w:pPr>
            <w:r w:rsidRPr="00C96D24">
              <w:rPr>
                <w:rFonts w:cs="Arial"/>
                <w:sz w:val="13"/>
                <w:szCs w:val="13"/>
                <w:lang w:val="en-GB"/>
              </w:rPr>
              <w:t>Secondary</w:t>
            </w:r>
          </w:p>
        </w:tc>
        <w:tc>
          <w:tcPr>
            <w:tcW w:w="522" w:type="pct"/>
            <w:tcBorders>
              <w:top w:val="single" w:sz="12" w:space="0" w:color="008000"/>
              <w:left w:val="nil"/>
              <w:bottom w:val="single" w:sz="4" w:space="0" w:color="008000"/>
              <w:right w:val="nil"/>
            </w:tcBorders>
            <w:shd w:val="clear" w:color="auto" w:fill="FFFFFF"/>
            <w:vAlign w:val="center"/>
          </w:tcPr>
          <w:p w14:paraId="46912685" w14:textId="77777777" w:rsidR="00F24025" w:rsidRPr="008B2CBE" w:rsidRDefault="00F24025" w:rsidP="00AF692F">
            <w:pPr>
              <w:pStyle w:val="CETBodytext"/>
              <w:ind w:right="-1"/>
              <w:jc w:val="center"/>
              <w:rPr>
                <w:sz w:val="13"/>
                <w:szCs w:val="13"/>
                <w:lang w:val="en-GB"/>
              </w:rPr>
            </w:pPr>
            <w:r w:rsidRPr="008B2CBE">
              <w:rPr>
                <w:sz w:val="13"/>
                <w:szCs w:val="13"/>
                <w:lang w:val="en-GB"/>
              </w:rPr>
              <w:t>Total</w:t>
            </w:r>
          </w:p>
        </w:tc>
        <w:tc>
          <w:tcPr>
            <w:tcW w:w="520" w:type="pct"/>
            <w:tcBorders>
              <w:top w:val="single" w:sz="12" w:space="0" w:color="008000"/>
              <w:left w:val="nil"/>
              <w:bottom w:val="single" w:sz="4" w:space="0" w:color="008000"/>
              <w:right w:val="nil"/>
            </w:tcBorders>
            <w:shd w:val="clear" w:color="auto" w:fill="FFFFFF"/>
            <w:vAlign w:val="center"/>
          </w:tcPr>
          <w:p w14:paraId="497F8F56" w14:textId="39AE0564" w:rsidR="00F24025" w:rsidRPr="008B2CBE" w:rsidRDefault="00F24025" w:rsidP="00AF692F">
            <w:pPr>
              <w:pStyle w:val="CETBodytext"/>
              <w:ind w:right="-1"/>
              <w:jc w:val="center"/>
              <w:rPr>
                <w:sz w:val="13"/>
                <w:szCs w:val="13"/>
                <w:lang w:val="en-GB"/>
              </w:rPr>
            </w:pPr>
            <w:r w:rsidRPr="008B2CBE">
              <w:rPr>
                <w:sz w:val="13"/>
                <w:szCs w:val="13"/>
                <w:lang w:val="en-GB"/>
              </w:rPr>
              <w:t>Total</w:t>
            </w:r>
          </w:p>
        </w:tc>
        <w:tc>
          <w:tcPr>
            <w:tcW w:w="536" w:type="pct"/>
            <w:tcBorders>
              <w:top w:val="single" w:sz="12" w:space="0" w:color="008000"/>
              <w:left w:val="nil"/>
              <w:bottom w:val="single" w:sz="4" w:space="0" w:color="008000"/>
            </w:tcBorders>
            <w:shd w:val="clear" w:color="auto" w:fill="FFFFFF"/>
            <w:vAlign w:val="center"/>
          </w:tcPr>
          <w:p w14:paraId="714605BD" w14:textId="11512109" w:rsidR="00F24025" w:rsidRPr="008B2CBE" w:rsidRDefault="00F24025" w:rsidP="00AF692F">
            <w:pPr>
              <w:pStyle w:val="CETBodytext"/>
              <w:ind w:right="-1"/>
              <w:jc w:val="center"/>
              <w:rPr>
                <w:sz w:val="13"/>
                <w:szCs w:val="13"/>
                <w:lang w:val="en-GB"/>
              </w:rPr>
            </w:pPr>
            <w:r w:rsidRPr="008B2CBE">
              <w:rPr>
                <w:sz w:val="13"/>
                <w:szCs w:val="13"/>
                <w:lang w:val="en-GB"/>
              </w:rPr>
              <w:t>Total</w:t>
            </w:r>
          </w:p>
        </w:tc>
      </w:tr>
      <w:tr w:rsidR="00E65824" w:rsidRPr="00C96D24" w14:paraId="6610E52C" w14:textId="625A3047" w:rsidTr="008B2CBE">
        <w:trPr>
          <w:gridAfter w:val="1"/>
          <w:wAfter w:w="11" w:type="pct"/>
          <w:jc w:val="center"/>
        </w:trPr>
        <w:tc>
          <w:tcPr>
            <w:tcW w:w="483" w:type="pct"/>
            <w:shd w:val="clear" w:color="auto" w:fill="FFFFFF"/>
            <w:vAlign w:val="center"/>
          </w:tcPr>
          <w:p w14:paraId="078A92F3" w14:textId="5BAC0A57" w:rsidR="00725161" w:rsidRPr="00C96D24" w:rsidRDefault="00725161" w:rsidP="00976F4E">
            <w:pPr>
              <w:pStyle w:val="CETBodytext"/>
              <w:jc w:val="left"/>
              <w:rPr>
                <w:sz w:val="13"/>
                <w:szCs w:val="13"/>
                <w:lang w:val="en-GB"/>
              </w:rPr>
            </w:pPr>
            <w:r w:rsidRPr="00C96D24">
              <w:rPr>
                <w:sz w:val="13"/>
                <w:szCs w:val="13"/>
                <w:lang w:val="en-GB"/>
              </w:rPr>
              <w:t>Amount</w:t>
            </w:r>
          </w:p>
        </w:tc>
        <w:tc>
          <w:tcPr>
            <w:tcW w:w="322" w:type="pct"/>
            <w:shd w:val="clear" w:color="auto" w:fill="FFFFFF"/>
            <w:vAlign w:val="center"/>
          </w:tcPr>
          <w:p w14:paraId="6A3433BD" w14:textId="2EBEF2CF" w:rsidR="00725161" w:rsidRPr="00C96D24" w:rsidRDefault="00F97E3F" w:rsidP="00976F4E">
            <w:pPr>
              <w:pStyle w:val="CETBodytext"/>
              <w:jc w:val="center"/>
              <w:rPr>
                <w:sz w:val="13"/>
                <w:szCs w:val="13"/>
                <w:lang w:val="en-GB"/>
              </w:rPr>
            </w:pPr>
            <w:r>
              <w:rPr>
                <w:sz w:val="13"/>
                <w:szCs w:val="13"/>
                <w:lang w:val="en-GB"/>
              </w:rPr>
              <w:t>[Mt]</w:t>
            </w:r>
          </w:p>
        </w:tc>
        <w:tc>
          <w:tcPr>
            <w:tcW w:w="522" w:type="pct"/>
            <w:shd w:val="clear" w:color="auto" w:fill="FFFFFF"/>
            <w:vAlign w:val="center"/>
          </w:tcPr>
          <w:p w14:paraId="6FB1D417" w14:textId="0AB3D155" w:rsidR="00725161" w:rsidRPr="00C96D24" w:rsidRDefault="00725161" w:rsidP="00976F4E">
            <w:pPr>
              <w:pStyle w:val="CETBodytext"/>
              <w:jc w:val="center"/>
              <w:rPr>
                <w:sz w:val="13"/>
                <w:szCs w:val="13"/>
                <w:lang w:val="en-GB"/>
              </w:rPr>
            </w:pPr>
            <w:r w:rsidRPr="00C96D24">
              <w:rPr>
                <w:sz w:val="13"/>
                <w:szCs w:val="13"/>
                <w:lang w:val="en-GB"/>
              </w:rPr>
              <w:t>7</w:t>
            </w:r>
          </w:p>
        </w:tc>
        <w:tc>
          <w:tcPr>
            <w:tcW w:w="522" w:type="pct"/>
            <w:shd w:val="clear" w:color="auto" w:fill="FFFFFF"/>
            <w:vAlign w:val="center"/>
          </w:tcPr>
          <w:p w14:paraId="14226EEB" w14:textId="5026CCBB" w:rsidR="00725161" w:rsidRPr="00C96D24" w:rsidRDefault="00725161" w:rsidP="00976F4E">
            <w:pPr>
              <w:pStyle w:val="CETBodytext"/>
              <w:ind w:right="-1"/>
              <w:jc w:val="center"/>
              <w:rPr>
                <w:sz w:val="13"/>
                <w:szCs w:val="13"/>
                <w:lang w:val="en-GB"/>
              </w:rPr>
            </w:pPr>
            <w:r w:rsidRPr="00C96D24">
              <w:rPr>
                <w:sz w:val="13"/>
                <w:szCs w:val="13"/>
                <w:lang w:val="en-GB"/>
              </w:rPr>
              <w:t>7</w:t>
            </w:r>
          </w:p>
        </w:tc>
        <w:tc>
          <w:tcPr>
            <w:tcW w:w="520" w:type="pct"/>
            <w:shd w:val="clear" w:color="auto" w:fill="FFFFFF"/>
            <w:vAlign w:val="center"/>
          </w:tcPr>
          <w:p w14:paraId="0805EAE4" w14:textId="270A370A" w:rsidR="00725161" w:rsidRPr="00C96D24" w:rsidRDefault="00725161" w:rsidP="00976F4E">
            <w:pPr>
              <w:pStyle w:val="CETBodytext"/>
              <w:ind w:right="-1"/>
              <w:jc w:val="center"/>
              <w:rPr>
                <w:sz w:val="13"/>
                <w:szCs w:val="13"/>
                <w:lang w:val="en-GB"/>
              </w:rPr>
            </w:pPr>
            <w:r w:rsidRPr="00C96D24">
              <w:rPr>
                <w:sz w:val="13"/>
                <w:szCs w:val="13"/>
                <w:lang w:val="en-GB"/>
              </w:rPr>
              <w:t>7</w:t>
            </w:r>
          </w:p>
        </w:tc>
        <w:tc>
          <w:tcPr>
            <w:tcW w:w="522" w:type="pct"/>
            <w:shd w:val="clear" w:color="auto" w:fill="FFFFFF"/>
            <w:vAlign w:val="center"/>
          </w:tcPr>
          <w:p w14:paraId="4AB3EC55" w14:textId="310AE7AB" w:rsidR="00725161" w:rsidRPr="00C96D24" w:rsidRDefault="00725161" w:rsidP="00976F4E">
            <w:pPr>
              <w:pStyle w:val="CETBodytext"/>
              <w:ind w:right="-1"/>
              <w:jc w:val="center"/>
              <w:rPr>
                <w:sz w:val="13"/>
                <w:szCs w:val="13"/>
                <w:lang w:val="en-GB"/>
              </w:rPr>
            </w:pPr>
            <w:r w:rsidRPr="00C96D24">
              <w:rPr>
                <w:sz w:val="13"/>
                <w:szCs w:val="13"/>
              </w:rPr>
              <w:t>18</w:t>
            </w:r>
          </w:p>
        </w:tc>
        <w:tc>
          <w:tcPr>
            <w:tcW w:w="520" w:type="pct"/>
            <w:shd w:val="clear" w:color="auto" w:fill="FFFFFF"/>
            <w:vAlign w:val="center"/>
          </w:tcPr>
          <w:p w14:paraId="683A24F3" w14:textId="3C66B90B" w:rsidR="00725161" w:rsidRPr="00C96D24" w:rsidRDefault="00725161" w:rsidP="00976F4E">
            <w:pPr>
              <w:pStyle w:val="CETBodytext"/>
              <w:ind w:right="-1"/>
              <w:jc w:val="center"/>
              <w:rPr>
                <w:sz w:val="13"/>
                <w:szCs w:val="13"/>
                <w:lang w:val="en-GB"/>
              </w:rPr>
            </w:pPr>
            <w:r w:rsidRPr="00C96D24">
              <w:rPr>
                <w:sz w:val="13"/>
                <w:szCs w:val="13"/>
              </w:rPr>
              <w:t>18</w:t>
            </w:r>
          </w:p>
        </w:tc>
        <w:tc>
          <w:tcPr>
            <w:tcW w:w="522" w:type="pct"/>
            <w:tcBorders>
              <w:top w:val="single" w:sz="4" w:space="0" w:color="008000"/>
            </w:tcBorders>
            <w:shd w:val="clear" w:color="auto" w:fill="FFFFFF"/>
            <w:vAlign w:val="center"/>
          </w:tcPr>
          <w:p w14:paraId="4166338B" w14:textId="4875BF56" w:rsidR="00725161" w:rsidRPr="00C96D24" w:rsidRDefault="00725161" w:rsidP="00976F4E">
            <w:pPr>
              <w:pStyle w:val="CETBodytext"/>
              <w:ind w:right="-1"/>
              <w:jc w:val="center"/>
              <w:rPr>
                <w:sz w:val="13"/>
                <w:szCs w:val="13"/>
                <w:lang w:val="en-GB"/>
              </w:rPr>
            </w:pPr>
            <w:r w:rsidRPr="00C96D24">
              <w:rPr>
                <w:sz w:val="13"/>
                <w:szCs w:val="13"/>
                <w:lang w:val="en-GB"/>
              </w:rPr>
              <w:t>25</w:t>
            </w:r>
          </w:p>
        </w:tc>
        <w:tc>
          <w:tcPr>
            <w:tcW w:w="520" w:type="pct"/>
            <w:tcBorders>
              <w:top w:val="single" w:sz="4" w:space="0" w:color="008000"/>
            </w:tcBorders>
            <w:shd w:val="clear" w:color="auto" w:fill="FFFFFF"/>
            <w:vAlign w:val="center"/>
          </w:tcPr>
          <w:p w14:paraId="0AAB0328" w14:textId="1F65D8F4" w:rsidR="00725161" w:rsidRPr="00C96D24" w:rsidRDefault="00725161" w:rsidP="00976F4E">
            <w:pPr>
              <w:pStyle w:val="CETBodytext"/>
              <w:ind w:right="-1"/>
              <w:jc w:val="center"/>
              <w:rPr>
                <w:sz w:val="13"/>
                <w:szCs w:val="13"/>
                <w:lang w:val="en-GB"/>
              </w:rPr>
            </w:pPr>
            <w:r w:rsidRPr="00C96D24">
              <w:rPr>
                <w:sz w:val="13"/>
                <w:szCs w:val="13"/>
                <w:lang w:val="en-GB"/>
              </w:rPr>
              <w:t>25</w:t>
            </w:r>
          </w:p>
        </w:tc>
        <w:tc>
          <w:tcPr>
            <w:tcW w:w="536" w:type="pct"/>
            <w:tcBorders>
              <w:top w:val="single" w:sz="4" w:space="0" w:color="008000"/>
            </w:tcBorders>
            <w:shd w:val="clear" w:color="auto" w:fill="FFFFFF"/>
            <w:vAlign w:val="center"/>
          </w:tcPr>
          <w:p w14:paraId="38FAFF64" w14:textId="653CD48A" w:rsidR="00725161" w:rsidRPr="00C96D24" w:rsidRDefault="00725161" w:rsidP="00976F4E">
            <w:pPr>
              <w:pStyle w:val="CETBodytext"/>
              <w:ind w:right="-1"/>
              <w:jc w:val="center"/>
              <w:rPr>
                <w:sz w:val="13"/>
                <w:szCs w:val="13"/>
                <w:lang w:val="en-GB"/>
              </w:rPr>
            </w:pPr>
            <w:r w:rsidRPr="00C96D24">
              <w:rPr>
                <w:sz w:val="13"/>
                <w:szCs w:val="13"/>
                <w:lang w:val="en-GB"/>
              </w:rPr>
              <w:t>25</w:t>
            </w:r>
          </w:p>
        </w:tc>
      </w:tr>
      <w:tr w:rsidR="00E65824" w:rsidRPr="00C96D24" w14:paraId="5F6C43EB" w14:textId="7EE6AFD1" w:rsidTr="00E65824">
        <w:trPr>
          <w:gridAfter w:val="1"/>
          <w:wAfter w:w="11" w:type="pct"/>
          <w:jc w:val="center"/>
        </w:trPr>
        <w:tc>
          <w:tcPr>
            <w:tcW w:w="483" w:type="pct"/>
            <w:shd w:val="clear" w:color="auto" w:fill="FFFFFF"/>
            <w:vAlign w:val="center"/>
          </w:tcPr>
          <w:p w14:paraId="2A1D2D06" w14:textId="4AB978BE" w:rsidR="00725161" w:rsidRPr="00C96D24" w:rsidRDefault="00725161" w:rsidP="00976F4E">
            <w:pPr>
              <w:pStyle w:val="CETBodytext"/>
              <w:jc w:val="left"/>
              <w:rPr>
                <w:sz w:val="13"/>
                <w:szCs w:val="13"/>
                <w:lang w:val="en-GB"/>
              </w:rPr>
            </w:pPr>
            <w:r w:rsidRPr="00C96D24">
              <w:rPr>
                <w:sz w:val="13"/>
                <w:szCs w:val="13"/>
                <w:lang w:val="en-GB"/>
              </w:rPr>
              <w:t>Scenario</w:t>
            </w:r>
            <w:r w:rsidR="00C06DB9" w:rsidRPr="00C96D24">
              <w:rPr>
                <w:sz w:val="13"/>
                <w:szCs w:val="13"/>
                <w:lang w:val="en-GB"/>
              </w:rPr>
              <w:t>*</w:t>
            </w:r>
          </w:p>
        </w:tc>
        <w:tc>
          <w:tcPr>
            <w:tcW w:w="322" w:type="pct"/>
            <w:shd w:val="clear" w:color="auto" w:fill="FFFFFF"/>
            <w:vAlign w:val="center"/>
          </w:tcPr>
          <w:p w14:paraId="3C54F727" w14:textId="77777777" w:rsidR="00725161" w:rsidRPr="00C96D24" w:rsidRDefault="00725161" w:rsidP="00976F4E">
            <w:pPr>
              <w:pStyle w:val="CETBodytext"/>
              <w:jc w:val="center"/>
              <w:rPr>
                <w:sz w:val="13"/>
                <w:szCs w:val="13"/>
                <w:lang w:val="en-GB"/>
              </w:rPr>
            </w:pPr>
          </w:p>
        </w:tc>
        <w:tc>
          <w:tcPr>
            <w:tcW w:w="522" w:type="pct"/>
            <w:shd w:val="clear" w:color="auto" w:fill="FFFFFF"/>
            <w:vAlign w:val="center"/>
          </w:tcPr>
          <w:p w14:paraId="229A60F2" w14:textId="60593415" w:rsidR="00725161" w:rsidRPr="00C96D24" w:rsidRDefault="00725161" w:rsidP="00976F4E">
            <w:pPr>
              <w:pStyle w:val="CETBodytext"/>
              <w:jc w:val="center"/>
              <w:rPr>
                <w:sz w:val="13"/>
                <w:szCs w:val="13"/>
                <w:lang w:val="en-GB"/>
              </w:rPr>
            </w:pPr>
            <w:r w:rsidRPr="00C96D24">
              <w:rPr>
                <w:sz w:val="13"/>
                <w:szCs w:val="13"/>
                <w:lang w:val="en-GB"/>
              </w:rPr>
              <w:t>C</w:t>
            </w:r>
            <w:r w:rsidR="00C96D24" w:rsidRPr="00C96D24">
              <w:rPr>
                <w:sz w:val="13"/>
                <w:szCs w:val="13"/>
                <w:vertAlign w:val="superscript"/>
                <w:lang w:val="en-GB"/>
              </w:rPr>
              <w:t>1</w:t>
            </w:r>
          </w:p>
        </w:tc>
        <w:tc>
          <w:tcPr>
            <w:tcW w:w="522" w:type="pct"/>
            <w:shd w:val="clear" w:color="auto" w:fill="FFFFFF"/>
            <w:vAlign w:val="center"/>
          </w:tcPr>
          <w:p w14:paraId="1785EC39" w14:textId="592FEF28" w:rsidR="00725161" w:rsidRPr="00C96D24" w:rsidRDefault="00725161" w:rsidP="00976F4E">
            <w:pPr>
              <w:pStyle w:val="CETBodytext"/>
              <w:ind w:right="-1"/>
              <w:jc w:val="center"/>
              <w:rPr>
                <w:sz w:val="13"/>
                <w:szCs w:val="13"/>
                <w:lang w:val="en-GB"/>
              </w:rPr>
            </w:pPr>
            <w:r w:rsidRPr="00C96D24">
              <w:rPr>
                <w:sz w:val="13"/>
                <w:szCs w:val="13"/>
                <w:lang w:val="en-GB"/>
              </w:rPr>
              <w:t>P</w:t>
            </w:r>
            <w:r w:rsidR="00C96D24" w:rsidRPr="00C96D24">
              <w:rPr>
                <w:sz w:val="13"/>
                <w:szCs w:val="13"/>
                <w:vertAlign w:val="superscript"/>
                <w:lang w:val="en-GB"/>
              </w:rPr>
              <w:t>2</w:t>
            </w:r>
          </w:p>
        </w:tc>
        <w:tc>
          <w:tcPr>
            <w:tcW w:w="520" w:type="pct"/>
            <w:shd w:val="clear" w:color="auto" w:fill="FFFFFF"/>
            <w:vAlign w:val="center"/>
          </w:tcPr>
          <w:p w14:paraId="07C4050D" w14:textId="1EF6B018" w:rsidR="00725161" w:rsidRPr="00C96D24" w:rsidRDefault="00725161" w:rsidP="00976F4E">
            <w:pPr>
              <w:pStyle w:val="CETBodytext"/>
              <w:ind w:right="-1"/>
              <w:jc w:val="center"/>
              <w:rPr>
                <w:sz w:val="13"/>
                <w:szCs w:val="13"/>
                <w:lang w:val="en-GB"/>
              </w:rPr>
            </w:pPr>
            <w:r w:rsidRPr="00C96D24">
              <w:rPr>
                <w:sz w:val="13"/>
                <w:szCs w:val="13"/>
                <w:lang w:val="en-GB"/>
              </w:rPr>
              <w:t>D</w:t>
            </w:r>
            <w:r w:rsidR="00C96D24" w:rsidRPr="00C96D24">
              <w:rPr>
                <w:sz w:val="13"/>
                <w:szCs w:val="13"/>
                <w:vertAlign w:val="superscript"/>
                <w:lang w:val="en-GB"/>
              </w:rPr>
              <w:t>3</w:t>
            </w:r>
          </w:p>
        </w:tc>
        <w:tc>
          <w:tcPr>
            <w:tcW w:w="522" w:type="pct"/>
            <w:shd w:val="clear" w:color="auto" w:fill="FFFFFF"/>
            <w:vAlign w:val="center"/>
          </w:tcPr>
          <w:p w14:paraId="06027BFF" w14:textId="78CE4508" w:rsidR="00725161" w:rsidRPr="00C96D24" w:rsidRDefault="00C06DB9" w:rsidP="00976F4E">
            <w:pPr>
              <w:pStyle w:val="CETBodytext"/>
              <w:ind w:right="-1"/>
              <w:jc w:val="center"/>
              <w:rPr>
                <w:sz w:val="13"/>
                <w:szCs w:val="13"/>
              </w:rPr>
            </w:pPr>
            <w:r w:rsidRPr="00C96D24">
              <w:rPr>
                <w:sz w:val="13"/>
                <w:szCs w:val="13"/>
              </w:rPr>
              <w:t>C, P</w:t>
            </w:r>
            <w:r w:rsidR="00C96D24" w:rsidRPr="00C96D24">
              <w:rPr>
                <w:sz w:val="13"/>
                <w:szCs w:val="13"/>
                <w:vertAlign w:val="superscript"/>
              </w:rPr>
              <w:t>4</w:t>
            </w:r>
          </w:p>
        </w:tc>
        <w:tc>
          <w:tcPr>
            <w:tcW w:w="520" w:type="pct"/>
            <w:shd w:val="clear" w:color="auto" w:fill="FFFFFF"/>
            <w:vAlign w:val="center"/>
          </w:tcPr>
          <w:p w14:paraId="4EA7A1E7" w14:textId="1C3B4C94" w:rsidR="00725161" w:rsidRPr="00C96D24" w:rsidRDefault="00C06DB9" w:rsidP="00976F4E">
            <w:pPr>
              <w:pStyle w:val="CETBodytext"/>
              <w:ind w:right="-1"/>
              <w:jc w:val="center"/>
              <w:rPr>
                <w:sz w:val="13"/>
                <w:szCs w:val="13"/>
                <w:lang w:val="en-GB"/>
              </w:rPr>
            </w:pPr>
            <w:r w:rsidRPr="00C96D24">
              <w:rPr>
                <w:sz w:val="13"/>
                <w:szCs w:val="13"/>
                <w:lang w:val="en-GB"/>
              </w:rPr>
              <w:t>D</w:t>
            </w:r>
            <w:r w:rsidR="00C96D24" w:rsidRPr="00C96D24">
              <w:rPr>
                <w:sz w:val="13"/>
                <w:szCs w:val="13"/>
                <w:vertAlign w:val="superscript"/>
                <w:lang w:val="en-GB"/>
              </w:rPr>
              <w:t>5</w:t>
            </w:r>
          </w:p>
        </w:tc>
        <w:tc>
          <w:tcPr>
            <w:tcW w:w="522" w:type="pct"/>
            <w:shd w:val="clear" w:color="auto" w:fill="FFFFFF"/>
            <w:vAlign w:val="center"/>
          </w:tcPr>
          <w:p w14:paraId="285BA8ED" w14:textId="427EC347" w:rsidR="00725161" w:rsidRPr="00C96D24" w:rsidRDefault="00725161" w:rsidP="00976F4E">
            <w:pPr>
              <w:pStyle w:val="CETBodytext"/>
              <w:ind w:right="-1"/>
              <w:jc w:val="center"/>
              <w:rPr>
                <w:sz w:val="13"/>
                <w:szCs w:val="13"/>
              </w:rPr>
            </w:pPr>
            <w:r w:rsidRPr="00C96D24">
              <w:rPr>
                <w:sz w:val="13"/>
                <w:szCs w:val="13"/>
                <w:lang w:val="en-GB"/>
              </w:rPr>
              <w:t>C</w:t>
            </w:r>
          </w:p>
        </w:tc>
        <w:tc>
          <w:tcPr>
            <w:tcW w:w="520" w:type="pct"/>
            <w:shd w:val="clear" w:color="auto" w:fill="FFFFFF"/>
            <w:vAlign w:val="center"/>
          </w:tcPr>
          <w:p w14:paraId="7337F49E" w14:textId="14165D1A" w:rsidR="00725161" w:rsidRPr="00C96D24" w:rsidRDefault="00725161" w:rsidP="00976F4E">
            <w:pPr>
              <w:pStyle w:val="CETBodytext"/>
              <w:ind w:right="-1"/>
              <w:jc w:val="center"/>
              <w:rPr>
                <w:sz w:val="13"/>
                <w:szCs w:val="13"/>
              </w:rPr>
            </w:pPr>
            <w:r w:rsidRPr="00C96D24">
              <w:rPr>
                <w:sz w:val="13"/>
                <w:szCs w:val="13"/>
                <w:lang w:val="en-GB"/>
              </w:rPr>
              <w:t>P</w:t>
            </w:r>
          </w:p>
        </w:tc>
        <w:tc>
          <w:tcPr>
            <w:tcW w:w="536" w:type="pct"/>
            <w:shd w:val="clear" w:color="auto" w:fill="FFFFFF"/>
            <w:vAlign w:val="center"/>
          </w:tcPr>
          <w:p w14:paraId="72F3E068" w14:textId="38FE6DE9" w:rsidR="00725161" w:rsidRPr="00C96D24" w:rsidRDefault="00725161" w:rsidP="00976F4E">
            <w:pPr>
              <w:pStyle w:val="CETBodytext"/>
              <w:ind w:right="-1"/>
              <w:jc w:val="center"/>
              <w:rPr>
                <w:sz w:val="13"/>
                <w:szCs w:val="13"/>
              </w:rPr>
            </w:pPr>
            <w:r w:rsidRPr="00C96D24">
              <w:rPr>
                <w:sz w:val="13"/>
                <w:szCs w:val="13"/>
                <w:lang w:val="en-GB"/>
              </w:rPr>
              <w:t>D</w:t>
            </w:r>
          </w:p>
        </w:tc>
      </w:tr>
      <w:tr w:rsidR="00E65824" w:rsidRPr="00C96D24" w14:paraId="0ADD46B4" w14:textId="3660A058" w:rsidTr="00E65824">
        <w:trPr>
          <w:gridAfter w:val="1"/>
          <w:wAfter w:w="11" w:type="pct"/>
          <w:jc w:val="center"/>
        </w:trPr>
        <w:tc>
          <w:tcPr>
            <w:tcW w:w="483" w:type="pct"/>
            <w:shd w:val="clear" w:color="auto" w:fill="FFFFFF"/>
            <w:vAlign w:val="center"/>
          </w:tcPr>
          <w:p w14:paraId="2C6D4D6C" w14:textId="44A4E0B1" w:rsidR="00DB5513" w:rsidRPr="00C96D24" w:rsidRDefault="00DB5513" w:rsidP="00976F4E">
            <w:pPr>
              <w:pStyle w:val="CETBodytext"/>
              <w:jc w:val="left"/>
              <w:rPr>
                <w:sz w:val="13"/>
                <w:szCs w:val="13"/>
                <w:lang w:val="en-GB"/>
              </w:rPr>
            </w:pPr>
            <w:r w:rsidRPr="00C96D24">
              <w:rPr>
                <w:sz w:val="13"/>
                <w:szCs w:val="13"/>
                <w:lang w:val="en-GB"/>
              </w:rPr>
              <w:t>Source</w:t>
            </w:r>
            <w:r w:rsidR="00976F4E" w:rsidRPr="00C96D24">
              <w:rPr>
                <w:sz w:val="13"/>
                <w:szCs w:val="13"/>
                <w:lang w:val="en-GB"/>
              </w:rPr>
              <w:t>s</w:t>
            </w:r>
          </w:p>
        </w:tc>
        <w:tc>
          <w:tcPr>
            <w:tcW w:w="322" w:type="pct"/>
            <w:shd w:val="clear" w:color="auto" w:fill="FFFFFF"/>
            <w:vAlign w:val="center"/>
          </w:tcPr>
          <w:p w14:paraId="783FE96B" w14:textId="77777777" w:rsidR="00DB5513" w:rsidRPr="00C96D24" w:rsidRDefault="00DB5513" w:rsidP="00976F4E">
            <w:pPr>
              <w:pStyle w:val="CETBodytext"/>
              <w:jc w:val="center"/>
              <w:rPr>
                <w:sz w:val="13"/>
                <w:szCs w:val="13"/>
                <w:lang w:val="en-GB"/>
              </w:rPr>
            </w:pPr>
          </w:p>
        </w:tc>
        <w:tc>
          <w:tcPr>
            <w:tcW w:w="4184" w:type="pct"/>
            <w:gridSpan w:val="8"/>
            <w:shd w:val="clear" w:color="auto" w:fill="FFFFFF"/>
            <w:vAlign w:val="center"/>
          </w:tcPr>
          <w:p w14:paraId="33F40F49" w14:textId="156C5FDB" w:rsidR="00DB5513" w:rsidRPr="00C96D24" w:rsidRDefault="00DB5513" w:rsidP="00976F4E">
            <w:pPr>
              <w:pStyle w:val="CETBodytext"/>
              <w:ind w:right="-1"/>
              <w:jc w:val="center"/>
              <w:rPr>
                <w:sz w:val="13"/>
                <w:szCs w:val="13"/>
                <w:lang w:val="en-GB"/>
              </w:rPr>
            </w:pPr>
            <w:r w:rsidRPr="00C96D24">
              <w:rPr>
                <w:sz w:val="13"/>
                <w:szCs w:val="13"/>
                <w:lang w:val="en-GB"/>
              </w:rPr>
              <w:fldChar w:fldCharType="begin" w:fldLock="1"/>
            </w:r>
            <w:r w:rsidR="00B674D8">
              <w:rPr>
                <w:sz w:val="13"/>
                <w:szCs w:val="13"/>
                <w:lang w:val="en-GB"/>
              </w:rPr>
              <w:instrText>ADDIN CSL_CITATION {"citationItems":[{"id":"ITEM-1","itemData":{"DOI":"10.1016/j.jclepro.2014.05.063","ISSN":"09596526","abstract":"At current primary steel production levels, the iron and steel industry will fail to meet the 80%emission reduction target without introduction of breakthrough technologies (Wörtler et al., 2013: 19). The current research analyses the technical and economical long-term potential of innovative primary steel production technologies in Germany throughout 2100. Techno-economic models are used to simulate three innovative ore-based steelmaking routes verses the reference blast furnace route (BF-BOF). The innovative routes in focus are blast furnace with CCS1 (BF-CCS), hydrogen direct reduction (H-DR), and iron ore electrolysis (EW). Energy and mass flows for the production of one tonne of crude steel (CS) are combined with hypothetical price, cost, and revenue data to evaluate the production routes economically, technically, and environmentally. This is a purely theoretical analysis and hence further external factors that may influence practical implementation or profitability are not considered. Different future developments are considered by using three scenarios, representing an ambitious, a moderate, and a conservative transformation of the German energy sector. In general, looking into the future bares various uncertainties which should be reflected in a suitable manner.According to the present scenario analysis, chances are that with rising prices for coal and CO2 allowances BF-BOF and even BF-CCS become unprofitable by mid-century. With a high share of renewable energy sources and high prices for CO2 allowances, H-DR and EW become economically attractive in the second half of the current century, when BF-based routes are long unprofitable. Energy and raw material efficiency is significantly higher for H-DR and EW and furthermore, the 80%reduction target by 20502 can be achieved in the ambitious scenario. However, high investment costs and high dependency on electricity prices prohibit a profitable implementation before 2030e2040 without further subsidies. EW is the most energy and resource efficient production route. Since continuous electricity is needed for the continuous operation, the electricity costs are 20e40%higher than for H-DR (with high-capacity hydrogen storage units). Even though hydrogen production implies efficiency losses compared to the EW route, the decoupling of hydrogen production from continuous operation of the steel plant through hydrogen storage offers the opportunity to use cheap excess renewable electricity. This makes the H-…","author":[{"dropping-particle":"","family":"Fischedick","given":"Manfred","non-dropping-particle":"","parse-names":false,"suffix":""},{"dropping-particle":"","family":"Marzinkowski","given":"Joachim","non-dropping-particle":"","parse-names":false,"suffix":""},{"dropping-particle":"","family":"Winzer","given":"Petra","non-dropping-particle":"","parse-names":false,"suffix":""},{"dropping-particle":"","family":"Weigel","given":"Max","non-dropping-particle":"","parse-names":false,"suffix":""}],"container-title":"Journal of Cleaner Production","id":"ITEM-1","issue":"1","issued":{"date-parts":[["2014"]]},"page":"563-580","publisher":"Elsevier Ltd","title":"Techno-economic evaluation of innovative steel production technologies","type":"article-journal","volume":"84"},"uris":["http://www.mendeley.com/documents/?uuid=7208ab69-3b0c-4a96-94bd-99b7f6fa437c"]},{"id":"ITEM-2","itemData":{"DOI":"10.1007/s11367-016-1087-8","ISSN":"0948-3349","abstract":"Purpose: Good background data are an important requirement in LCA. Practitioners generally make use of LCI databases for such data, and the ecoinvent database is the largest transparent unit-process LCI database worldwide. Since its first release in 2003, it has been continuously updated, and version 3 was published in 2013. The release of version 3 introduced several significant methodological and technological improvements, besides a large number of new and updated datasets. The aim was to expand the content of the database, set the foundation for a truly global database, support regionalized LCIA, offer multiple system models, allow for easier integration of data from different regions, and reduce maintenance efforts. This article describes the methodological developments. Methods: Modeling choices and raw data were separated in version 3, which enables the application of different sets of modeling choices, or system models, to the same raw data with little effort. This includes one system model for Consequential LCA. Flow properties were added to all exchanges in the database, giving more information on the inventory and allowing a fast calculation of mass and other balances. With version 3.1, the database is generally water-balanced, and water use and consumption can be determined. Consumption mixes called market datasets were consistently added to the database, and global background data was added, often as an extrapolation from regional data. Results and discussion: In combination with hundreds of new unit processes from regions outside Europe, these changes lead to an improved modeling of global supply chains, and a more realistic distribution of impacts in regionalized LCIA. The new mixes also facilitate further regionalization due to the availability of background data for all regions. Conclusions: With version 3, the ecoinvent database substantially expands the goals and scopes of LCA studies it can support. The new system models allow new, different studies to be performed. Global supply chains and market datasets significantly increase the relevance of the database outside of Europe, and regionalized LCA is supported by the data. Datasets are more transparent, include more information, and support, e.g., water balances. The developments also support easier collaboration with other database initiatives, as demonstrated by a first successful collaboration with a data project in Québec. Version 3 has set the foundation for expanding ecoinvent …","author":[{"dropping-particle":"","family":"Wernet","given":"Gregor","non-dropping-particle":"","parse-names":false,"suffix":""},{"dropping-particle":"","family":"Bauer","given":"Christian","non-dropping-particle":"","parse-names":false,"suffix":""},{"dropping-particle":"","family":"Steubing","given":"Bernhard","non-dropping-particle":"","parse-names":false,"suffix":""},{"dropping-particle":"","family":"Reinhard","given":"Jürgen","non-dropping-particle":"","parse-names":false,"suffix":""},{"dropping-particle":"","family":"Moreno-Ruiz","given":"Emilia","non-dropping-particle":"","parse-names":false,"suffix":""},{"dropping-particle":"","family":"Weidema","given":"Bo","non-dropping-particle":"","parse-names":false,"suffix":""}],"container-title":"The International Journal of Life Cycle Assessment","id":"ITEM-2","issue":"9","issued":{"date-parts":[["2016","9","21"]]},"page":"1218-1230","publisher":"Springer Verlag","title":"The ecoinvent database version 3 (part I): overview and methodology","type":"article-journal","volume":"21"},"uris":["http://www.mendeley.com/documents/?uuid=b20e5dc0-ece0-3d30-808b-b8238a5b3682"]},{"id":"ITEM-3","itemData":{"DOI":"10.1039/d3ee01077e","ISSN":"17545706","abstract":"Hydrogen-based direct reduced iron (H2-DRI) is an alternative pathway for low-carbon steel production. Yet, the lack of established process and business models defining “green steel” makes it difficult to understand what the respective H2 price has to be in order to be competitive with commercial state-of-the-art natural gas DRI. Given the importance of establishing break-even H2 prices and CO2 emission reduction potentials of H2-DRI, this study conducted techno-economic analyses of several design and operation scenarios for DRI systems. Results show that renewable H2 use in integrated DRI steel mills for both heating and the reduction of iron ore can reduce direct CO2 emissions by as much as 85%, but would require an H2 procurement cost of $1.63 per kg H2 or less. When using H2 only for iron ore reduction, economic viability is reached at an H2 procurement cost of $1.70 per kg, while achieving a CO2 emission reduction of 76% at the plant site. System design optimization strategies around excess H2 ratios in the DRI top gas and the H2 recycle pressurization can further improve performance and economics. Low H2 excess ratios are particularly attractive as they reduce pre-heating energy requirements and offer integration opportunities with static recycle ejectors if H2 is supplied at sufficiently high pressure. The potential of utilizing the electric arc furnace off-gas is shown to be much more synergistic with H2-DRI than natural gas-DRI and can increase the break-even H2 procurement cost by up to 7¢ per kg H2. Such findings are critical for setting technical performance criteria for H2 supply and storage in the iron and steel sector.","author":[{"dropping-particle":"","family":"Rosner","given":"Fabian","non-dropping-particle":"","parse-names":false,"suffix":""},{"dropping-particle":"","family":"Papadias","given":"Dionissios","non-dropping-particle":"","parse-names":false,"suffix":""},{"dropping-particle":"","family":"Brooks","given":"Kriston","non-dropping-particle":"","parse-names":false,"suffix":""},{"dropping-particle":"","family":"Yoro","given":"Kelvin","non-dropping-particle":"","parse-names":false,"suffix":""},{"dropping-particle":"","family":"Ahluwalia","given":"Rajesh","non-dropping-particle":"","parse-names":false,"suffix":""},{"dropping-particle":"","family":"Autrey","given":"Tom","non-dropping-particle":"","parse-names":false,"suffix":""},{"dropping-particle":"","family":"Breunig","given":"Hanna","non-dropping-particle":"","parse-names":false,"suffix":""}],"container-title":"Energy and Environmental Science","id":"ITEM-3","issue":"10","issued":{"date-parts":[["2023"]]},"page":"4121-4134","title":"Green steel: design and cost analysis of hydrogen-based direct iron reduction","type":"article-journal","volume":"16"},"uris":["http://www.mendeley.com/documents/?uuid=d6cf8c88-1aea-421e-bbfd-2d368c9266da"]},{"id":"ITEM-4","itemData":{"DOI":"10.1016/J.IJGGC.2023.103991","ISSN":"1750-5836","abstract":"The iron and steel industry represents one of the most carbon intensive sectors accounting for roughly 25% of CO2 emissions generated by the industrial sectors and for 7% of total energy sector emissions. The aim of this work is to assess the techno-economic analysis of the integration of the SEWGS technology in the DRI-EAF process to reduce the carbon footprint of this steelmaking route. The study has been carried out using plant data taken from literature and investigating possibilities of GHG mitigation by introducing carbon-capture technologies such as MEA and MDEA scrubbing or the SEWGS technology. The latter solution shows environmental and economic advantages compared to the cases based on amine scrubbing. A reduction of CO2 emissions close to 90%, with respect to the BF-BOF route, can be achieved with the implementation of the SEWGS when a renewable electricity scenario is considered. Economic KPIs such as the Levelised Cost of Hot Rolled Coil and the Cost of CO2 avoided have been computed for all the plants. In addition, a sensitivity analysis on natural gas and electricity prices has been carried out. The integration of the SEWGS technology represents a promising solution for the reduction of the carbon footprint of the DRI-EAF process and, potentially, it could be commercially viable in the near future considering that the DRI and EAF processes are already globally commercialised.","author":[{"dropping-particle":"","family":"Zecca","given":"Nicola","non-dropping-particle":"","parse-names":false,"suffix":""},{"dropping-particle":"","family":"Cobden","given":"Paul D.","non-dropping-particle":"","parse-names":false,"suffix":""},{"dropping-particle":"","family":"Lücking","given":"Leonie","non-dropping-particle":"","parse-names":false,"suffix":""},{"dropping-particle":"","family":"Manzolini","given":"Giampaolo","non-dropping-particle":"","parse-names":false,"suffix":""}],"container-title":"International Journal of Greenhouse Gas Control","id":"ITEM-4","issued":{"date-parts":[["2023","12","1"]]},"page":"103991","publisher":"Elsevier","title":"SEWGS integration in a direct reduction steelmaking process for CO2 mitigation","type":"article-journal","volume":"130"},"uris":["http://www.mendeley.com/documents/?uuid=099d1491-967b-38ae-9949-6393e1f6e127"]},{"id":"ITEM-5","itemData":{"author":[{"dropping-particle":"","family":"Federacciai","given":"","non-dropping-particle":"","parse-names":false,"suffix":""}],"id":"ITEM-5","issued":{"date-parts":[["2021"]]},"title":"Rapporto di sostenibilità 2021 - Sustainability report 2023","type":"report"},"uris":["http://www.mendeley.com/documents/?uuid=521113e1-d30e-4b06-b39d-712a607b6ad0"]},{"id":"ITEM-6","itemData":{"DOI":"10.15255/CABEQ.2022.2123","ISSN":"18465153","abstract":"The iron and steel sector is one of the dominant drivers behind economic and social progress, but it is also very energy-intensive and hard-to-abate, making it a major cause of global warming. Improving energy efficiency, introducing hydrogen for direct reduction, and utilising CCS technologies are the three most viable options for reducing CO2 emissions from steel mills. This investigation deals with a life cycle comparison of three different carbon capture processes, the inventory data of which have been obtained using process simulation based on rigorous phase and chemical equilibrium equations. In-silico models for the absorption of carbon dioxide employing MDEA, membranes, or sodium hydroxide to produce sodium bicarbonate have been developed and compared from a life cycle viewpoint. The research findings showed a variable amount of CO2 removal in the three cases, where membranes achieved the best performance (95 % CO2 removal). Since NaOH absorption produces a valuable by-product (sodium bicarbonate, which is commonly produced by Solvay process), the other two technologies were modified to integrate the utilisation of CO2 for the synthesis of sodium bicarbonate with NaOH rather than transporting and storing the carbon dioxide. As a result, this production pathway for sodium bicarbonate generates lower environmental burdens than traditional Solvay process. The environmental performances of the alternatives are nearly equal, even though the environmental impacts associated with capturing the CO2 and subsequently reacting with NaOH are always slightly higher than those involved with reacting directly during absorption. Among the evaluated alternatives, the direct conversion to sodium bicarbonate appears to be the most promising approach for converting CO2 emissions in the steel sector.","author":[{"dropping-particle":"","family":"Mio","given":"A.","non-dropping-particle":"","parse-names":false,"suffix":""},{"dropping-particle":"","family":"Petrescu","given":"L.","non-dropping-particle":"","parse-names":false,"suffix":""},{"dropping-particle":"V.","family":"Luca","given":"A.","non-dropping-particle":"","parse-names":false,"suffix":""},{"dropping-particle":"","family":"Galusnyak","given":"S. C.","non-dropping-particle":"","parse-names":false,"suffix":""},{"dropping-particle":"","family":"Fermeglia","given":"M.","non-dropping-particle":"","parse-names":false,"suffix":""},{"dropping-particle":"","family":"Cormos","given":"C. C.","non-dropping-particle":"","parse-names":false,"suffix":""}],"container-title":"Chemical and Biochemical Engineering Quarterly","id":"ITEM-6","issue":"4","issued":{"date-parts":[["2022"]]},"page":"255-271","publisher":"Assoc. of Chemists and Chemical Engineers of Croatia","title":"Carbon Dioxide Capture in the Iron and Steel Industry: Thermodynamic Analysis, Process Simulation, and Life Cycle Assessment","type":"article-journal","volume":"36"},"uris":["http://www.mendeley.com/documents/?uuid=a567b615-4b43-3a62-8591-30251ded1663"]}],"mendeley":{"formattedCitation":"(Federacciai, 2021; Fischedick et al., 2014; Mio et al., 2022; Rosner et al., 2023; Wernet et al., 2016; Zecca et al., 2023)","plainTextFormattedCitation":"(Federacciai, 2021; Fischedick et al., 2014; Mio et al., 2022; Rosner et al., 2023; Wernet et al., 2016; Zecca et al., 2023)","previouslyFormattedCitation":"(Federacciai, 2021; Fischedick et al., 2014; Mio et al., 2022; Rosner et al., 2023; Wernet et al., 2016; Zecca et al., 2023)"},"properties":{"noteIndex":0},"schema":"https://github.com/citation-style-language/schema/raw/master/csl-citation.json"}</w:instrText>
            </w:r>
            <w:r w:rsidRPr="00C96D24">
              <w:rPr>
                <w:sz w:val="13"/>
                <w:szCs w:val="13"/>
                <w:lang w:val="en-GB"/>
              </w:rPr>
              <w:fldChar w:fldCharType="separate"/>
            </w:r>
            <w:r w:rsidRPr="00C96D24">
              <w:rPr>
                <w:noProof/>
                <w:sz w:val="13"/>
                <w:szCs w:val="13"/>
                <w:lang w:val="en-GB"/>
              </w:rPr>
              <w:t>(Federacciai, 2021; Fischedick et al., 2014; Mio et al., 2022; Rosner et al., 2023; Wernet et al., 2016; Zecca et al., 2023)</w:t>
            </w:r>
            <w:r w:rsidRPr="00C96D24">
              <w:rPr>
                <w:sz w:val="13"/>
                <w:szCs w:val="13"/>
                <w:lang w:val="en-GB"/>
              </w:rPr>
              <w:fldChar w:fldCharType="end"/>
            </w:r>
          </w:p>
        </w:tc>
      </w:tr>
      <w:tr w:rsidR="00E65824" w:rsidRPr="00C96D24" w14:paraId="6B6AF1CE" w14:textId="24680CCF" w:rsidTr="00E65824">
        <w:trPr>
          <w:gridAfter w:val="1"/>
          <w:wAfter w:w="11" w:type="pct"/>
          <w:jc w:val="center"/>
        </w:trPr>
        <w:tc>
          <w:tcPr>
            <w:tcW w:w="483" w:type="pct"/>
            <w:shd w:val="clear" w:color="auto" w:fill="FFFFFF"/>
            <w:vAlign w:val="center"/>
          </w:tcPr>
          <w:p w14:paraId="1A7056B1" w14:textId="3D2A972C" w:rsidR="00C06DB9" w:rsidRPr="00C96D24" w:rsidRDefault="00C06DB9" w:rsidP="00976F4E">
            <w:pPr>
              <w:pStyle w:val="CETBodytext"/>
              <w:jc w:val="left"/>
              <w:rPr>
                <w:sz w:val="13"/>
                <w:szCs w:val="13"/>
                <w:lang w:val="en-GB"/>
              </w:rPr>
            </w:pPr>
            <w:r w:rsidRPr="00C96D24">
              <w:rPr>
                <w:sz w:val="13"/>
                <w:szCs w:val="13"/>
                <w:lang w:val="en-GB"/>
              </w:rPr>
              <w:t>Iron ore</w:t>
            </w:r>
          </w:p>
        </w:tc>
        <w:tc>
          <w:tcPr>
            <w:tcW w:w="322" w:type="pct"/>
            <w:shd w:val="clear" w:color="auto" w:fill="FFFFFF"/>
            <w:vAlign w:val="center"/>
          </w:tcPr>
          <w:p w14:paraId="62BA9526" w14:textId="122D2C9F" w:rsidR="00C06DB9" w:rsidRPr="00C96D24" w:rsidRDefault="00C06DB9" w:rsidP="00976F4E">
            <w:pPr>
              <w:pStyle w:val="CETBodytext"/>
              <w:jc w:val="center"/>
              <w:rPr>
                <w:sz w:val="13"/>
                <w:szCs w:val="13"/>
                <w:lang w:val="en-GB"/>
              </w:rPr>
            </w:pPr>
            <w:r w:rsidRPr="00C96D24">
              <w:rPr>
                <w:sz w:val="13"/>
                <w:szCs w:val="13"/>
                <w:lang w:val="en-GB"/>
              </w:rPr>
              <w:t>[Mt]</w:t>
            </w:r>
          </w:p>
        </w:tc>
        <w:tc>
          <w:tcPr>
            <w:tcW w:w="522" w:type="pct"/>
            <w:shd w:val="clear" w:color="auto" w:fill="FFFFFF"/>
            <w:vAlign w:val="center"/>
          </w:tcPr>
          <w:p w14:paraId="2AF8AC45" w14:textId="0F386BB0" w:rsidR="00C06DB9" w:rsidRPr="00C96D24" w:rsidRDefault="00C06DB9" w:rsidP="00976F4E">
            <w:pPr>
              <w:pStyle w:val="CETBodytext"/>
              <w:jc w:val="center"/>
              <w:rPr>
                <w:sz w:val="13"/>
                <w:szCs w:val="13"/>
                <w:lang w:val="en-GB"/>
              </w:rPr>
            </w:pPr>
            <w:r w:rsidRPr="00C96D24">
              <w:rPr>
                <w:sz w:val="13"/>
                <w:szCs w:val="13"/>
              </w:rPr>
              <w:t>12.439</w:t>
            </w:r>
          </w:p>
        </w:tc>
        <w:tc>
          <w:tcPr>
            <w:tcW w:w="522" w:type="pct"/>
            <w:shd w:val="clear" w:color="auto" w:fill="FFFFFF"/>
            <w:vAlign w:val="center"/>
          </w:tcPr>
          <w:p w14:paraId="20F5A843" w14:textId="15523951" w:rsidR="00C06DB9" w:rsidRPr="00C96D24" w:rsidRDefault="00C06DB9" w:rsidP="00976F4E">
            <w:pPr>
              <w:pStyle w:val="CETBodytext"/>
              <w:ind w:right="-1"/>
              <w:jc w:val="center"/>
              <w:rPr>
                <w:sz w:val="13"/>
                <w:szCs w:val="13"/>
                <w:lang w:val="en-GB"/>
              </w:rPr>
            </w:pPr>
            <w:r w:rsidRPr="00C96D24">
              <w:rPr>
                <w:sz w:val="13"/>
                <w:szCs w:val="13"/>
              </w:rPr>
              <w:t>11.404</w:t>
            </w:r>
          </w:p>
        </w:tc>
        <w:tc>
          <w:tcPr>
            <w:tcW w:w="520" w:type="pct"/>
            <w:shd w:val="clear" w:color="auto" w:fill="FFFFFF"/>
            <w:vAlign w:val="center"/>
          </w:tcPr>
          <w:p w14:paraId="0B44D9FA" w14:textId="262DE72E" w:rsidR="00C06DB9" w:rsidRPr="00C96D24" w:rsidRDefault="00C06DB9" w:rsidP="00976F4E">
            <w:pPr>
              <w:pStyle w:val="CETBodytext"/>
              <w:ind w:right="-1"/>
              <w:jc w:val="center"/>
              <w:rPr>
                <w:sz w:val="13"/>
                <w:szCs w:val="13"/>
                <w:lang w:val="en-GB"/>
              </w:rPr>
            </w:pPr>
            <w:r w:rsidRPr="00C96D24">
              <w:rPr>
                <w:sz w:val="13"/>
                <w:szCs w:val="13"/>
              </w:rPr>
              <w:t>11</w:t>
            </w:r>
            <w:r w:rsidR="00A40E84">
              <w:rPr>
                <w:sz w:val="13"/>
                <w:szCs w:val="13"/>
              </w:rPr>
              <w:t>.</w:t>
            </w:r>
            <w:r w:rsidRPr="00C96D24">
              <w:rPr>
                <w:sz w:val="13"/>
                <w:szCs w:val="13"/>
              </w:rPr>
              <w:t>404</w:t>
            </w:r>
          </w:p>
        </w:tc>
        <w:tc>
          <w:tcPr>
            <w:tcW w:w="522" w:type="pct"/>
            <w:shd w:val="clear" w:color="auto" w:fill="FFFFFF"/>
            <w:vAlign w:val="center"/>
          </w:tcPr>
          <w:p w14:paraId="062C59A9" w14:textId="288924CB" w:rsidR="00C06DB9" w:rsidRPr="00C96D24" w:rsidRDefault="00C06DB9" w:rsidP="00976F4E">
            <w:pPr>
              <w:pStyle w:val="CETBodytext"/>
              <w:ind w:right="-1"/>
              <w:jc w:val="center"/>
              <w:rPr>
                <w:sz w:val="13"/>
                <w:szCs w:val="13"/>
                <w:lang w:val="en-GB"/>
              </w:rPr>
            </w:pPr>
            <w:r w:rsidRPr="00C96D24">
              <w:rPr>
                <w:sz w:val="13"/>
                <w:szCs w:val="13"/>
              </w:rPr>
              <w:t>0</w:t>
            </w:r>
          </w:p>
        </w:tc>
        <w:tc>
          <w:tcPr>
            <w:tcW w:w="520" w:type="pct"/>
            <w:shd w:val="clear" w:color="auto" w:fill="FFFFFF"/>
            <w:vAlign w:val="center"/>
          </w:tcPr>
          <w:p w14:paraId="2DD4CB7B" w14:textId="1461F79D" w:rsidR="00C06DB9" w:rsidRPr="00C96D24" w:rsidRDefault="00C06DB9" w:rsidP="00976F4E">
            <w:pPr>
              <w:pStyle w:val="CETBodytext"/>
              <w:ind w:right="-1"/>
              <w:jc w:val="center"/>
              <w:rPr>
                <w:sz w:val="13"/>
                <w:szCs w:val="13"/>
              </w:rPr>
            </w:pPr>
            <w:r w:rsidRPr="00C96D24">
              <w:rPr>
                <w:sz w:val="13"/>
                <w:szCs w:val="13"/>
              </w:rPr>
              <w:t>0</w:t>
            </w:r>
          </w:p>
        </w:tc>
        <w:tc>
          <w:tcPr>
            <w:tcW w:w="522" w:type="pct"/>
            <w:shd w:val="clear" w:color="auto" w:fill="FFFFFF"/>
            <w:vAlign w:val="center"/>
          </w:tcPr>
          <w:p w14:paraId="464AD6FE" w14:textId="6FA87D1E" w:rsidR="00C06DB9" w:rsidRPr="00C96D24" w:rsidRDefault="00C06DB9" w:rsidP="00976F4E">
            <w:pPr>
              <w:pStyle w:val="CETBodytext"/>
              <w:ind w:right="-1"/>
              <w:jc w:val="center"/>
              <w:rPr>
                <w:sz w:val="13"/>
                <w:szCs w:val="13"/>
                <w:lang w:val="en-GB"/>
              </w:rPr>
            </w:pPr>
            <w:r w:rsidRPr="00C96D24">
              <w:rPr>
                <w:sz w:val="13"/>
                <w:szCs w:val="13"/>
              </w:rPr>
              <w:t>12.439</w:t>
            </w:r>
          </w:p>
        </w:tc>
        <w:tc>
          <w:tcPr>
            <w:tcW w:w="520" w:type="pct"/>
            <w:shd w:val="clear" w:color="auto" w:fill="FFFFFF"/>
            <w:vAlign w:val="center"/>
          </w:tcPr>
          <w:p w14:paraId="5D1A2506" w14:textId="5778B00A" w:rsidR="00C06DB9" w:rsidRPr="00C96D24" w:rsidRDefault="00C06DB9" w:rsidP="00976F4E">
            <w:pPr>
              <w:pStyle w:val="CETBodytext"/>
              <w:ind w:right="-1"/>
              <w:jc w:val="center"/>
              <w:rPr>
                <w:sz w:val="13"/>
                <w:szCs w:val="13"/>
                <w:lang w:val="en-GB"/>
              </w:rPr>
            </w:pPr>
            <w:r w:rsidRPr="00C96D24">
              <w:rPr>
                <w:sz w:val="13"/>
                <w:szCs w:val="13"/>
              </w:rPr>
              <w:t>11.404</w:t>
            </w:r>
          </w:p>
        </w:tc>
        <w:tc>
          <w:tcPr>
            <w:tcW w:w="536" w:type="pct"/>
            <w:shd w:val="clear" w:color="auto" w:fill="FFFFFF"/>
            <w:vAlign w:val="center"/>
          </w:tcPr>
          <w:p w14:paraId="46C02216" w14:textId="0572C6A6" w:rsidR="00C06DB9" w:rsidRPr="00C96D24" w:rsidRDefault="00C06DB9" w:rsidP="00976F4E">
            <w:pPr>
              <w:pStyle w:val="CETBodytext"/>
              <w:ind w:right="-1"/>
              <w:jc w:val="center"/>
              <w:rPr>
                <w:sz w:val="13"/>
                <w:szCs w:val="13"/>
                <w:lang w:val="en-GB"/>
              </w:rPr>
            </w:pPr>
            <w:r w:rsidRPr="00C96D24">
              <w:rPr>
                <w:sz w:val="13"/>
                <w:szCs w:val="13"/>
              </w:rPr>
              <w:t>11</w:t>
            </w:r>
            <w:r w:rsidR="00357100">
              <w:rPr>
                <w:sz w:val="13"/>
                <w:szCs w:val="13"/>
              </w:rPr>
              <w:t>.</w:t>
            </w:r>
            <w:r w:rsidRPr="00C96D24">
              <w:rPr>
                <w:sz w:val="13"/>
                <w:szCs w:val="13"/>
              </w:rPr>
              <w:t>404</w:t>
            </w:r>
          </w:p>
        </w:tc>
      </w:tr>
      <w:tr w:rsidR="00E65824" w:rsidRPr="00C96D24" w14:paraId="1DDF644C" w14:textId="3D07DF46" w:rsidTr="00E65824">
        <w:trPr>
          <w:gridAfter w:val="1"/>
          <w:wAfter w:w="11" w:type="pct"/>
          <w:jc w:val="center"/>
        </w:trPr>
        <w:tc>
          <w:tcPr>
            <w:tcW w:w="483" w:type="pct"/>
            <w:shd w:val="clear" w:color="auto" w:fill="FFFFFF"/>
            <w:vAlign w:val="center"/>
          </w:tcPr>
          <w:p w14:paraId="70B4B6A8" w14:textId="11FC5B74" w:rsidR="00C06DB9" w:rsidRPr="00C96D24" w:rsidRDefault="00C06DB9" w:rsidP="00976F4E">
            <w:pPr>
              <w:pStyle w:val="CETBodytext"/>
              <w:jc w:val="left"/>
              <w:rPr>
                <w:sz w:val="13"/>
                <w:szCs w:val="13"/>
                <w:lang w:val="en-GB"/>
              </w:rPr>
            </w:pPr>
            <w:r w:rsidRPr="00C96D24">
              <w:rPr>
                <w:sz w:val="13"/>
                <w:szCs w:val="13"/>
                <w:lang w:val="en-GB"/>
              </w:rPr>
              <w:t>Coal</w:t>
            </w:r>
          </w:p>
        </w:tc>
        <w:tc>
          <w:tcPr>
            <w:tcW w:w="322" w:type="pct"/>
            <w:shd w:val="clear" w:color="auto" w:fill="FFFFFF"/>
            <w:vAlign w:val="center"/>
          </w:tcPr>
          <w:p w14:paraId="5FD04204" w14:textId="55169B51" w:rsidR="00C06DB9" w:rsidRPr="00C96D24" w:rsidRDefault="00C06DB9" w:rsidP="00976F4E">
            <w:pPr>
              <w:pStyle w:val="CETBodytext"/>
              <w:jc w:val="center"/>
              <w:rPr>
                <w:sz w:val="13"/>
                <w:szCs w:val="13"/>
                <w:lang w:val="en-GB"/>
              </w:rPr>
            </w:pPr>
            <w:r w:rsidRPr="00C96D24">
              <w:rPr>
                <w:sz w:val="13"/>
                <w:szCs w:val="13"/>
                <w:lang w:val="en-GB"/>
              </w:rPr>
              <w:t>[Mt]</w:t>
            </w:r>
          </w:p>
        </w:tc>
        <w:tc>
          <w:tcPr>
            <w:tcW w:w="522" w:type="pct"/>
            <w:shd w:val="clear" w:color="auto" w:fill="FFFFFF"/>
            <w:vAlign w:val="center"/>
          </w:tcPr>
          <w:p w14:paraId="53817E60" w14:textId="341B21CD" w:rsidR="00C06DB9" w:rsidRPr="00C96D24" w:rsidRDefault="00C06DB9" w:rsidP="00976F4E">
            <w:pPr>
              <w:pStyle w:val="CETBodytext"/>
              <w:jc w:val="center"/>
              <w:rPr>
                <w:sz w:val="13"/>
                <w:szCs w:val="13"/>
                <w:lang w:val="en-GB"/>
              </w:rPr>
            </w:pPr>
            <w:r w:rsidRPr="00C96D24">
              <w:rPr>
                <w:sz w:val="13"/>
                <w:szCs w:val="13"/>
              </w:rPr>
              <w:t>3.864</w:t>
            </w:r>
          </w:p>
        </w:tc>
        <w:tc>
          <w:tcPr>
            <w:tcW w:w="522" w:type="pct"/>
            <w:shd w:val="clear" w:color="auto" w:fill="FFFFFF"/>
            <w:vAlign w:val="center"/>
          </w:tcPr>
          <w:p w14:paraId="29DA0A6F" w14:textId="1CED3F76" w:rsidR="00C06DB9" w:rsidRPr="00C96D24" w:rsidRDefault="00C06DB9" w:rsidP="00976F4E">
            <w:pPr>
              <w:pStyle w:val="CETBodytext"/>
              <w:ind w:right="-1"/>
              <w:jc w:val="center"/>
              <w:rPr>
                <w:sz w:val="13"/>
                <w:szCs w:val="13"/>
                <w:lang w:val="en-GB"/>
              </w:rPr>
            </w:pPr>
            <w:r w:rsidRPr="00C96D24">
              <w:rPr>
                <w:sz w:val="13"/>
                <w:szCs w:val="13"/>
              </w:rPr>
              <w:t>0.196</w:t>
            </w:r>
          </w:p>
        </w:tc>
        <w:tc>
          <w:tcPr>
            <w:tcW w:w="520" w:type="pct"/>
            <w:shd w:val="clear" w:color="auto" w:fill="FFFFFF"/>
            <w:vAlign w:val="center"/>
          </w:tcPr>
          <w:p w14:paraId="2CCF0AD5" w14:textId="13A1DFB9" w:rsidR="00C06DB9" w:rsidRPr="00C96D24" w:rsidRDefault="00C06DB9" w:rsidP="00976F4E">
            <w:pPr>
              <w:pStyle w:val="CETBodytext"/>
              <w:ind w:right="-1"/>
              <w:jc w:val="center"/>
              <w:rPr>
                <w:sz w:val="13"/>
                <w:szCs w:val="13"/>
                <w:lang w:val="en-GB"/>
              </w:rPr>
            </w:pPr>
            <w:r w:rsidRPr="00C96D24">
              <w:rPr>
                <w:sz w:val="13"/>
                <w:szCs w:val="13"/>
              </w:rPr>
              <w:t>0</w:t>
            </w:r>
            <w:r w:rsidR="00A40E84">
              <w:rPr>
                <w:sz w:val="13"/>
                <w:szCs w:val="13"/>
              </w:rPr>
              <w:t>.</w:t>
            </w:r>
            <w:r w:rsidRPr="00C96D24">
              <w:rPr>
                <w:sz w:val="13"/>
                <w:szCs w:val="13"/>
              </w:rPr>
              <w:t>238</w:t>
            </w:r>
          </w:p>
        </w:tc>
        <w:tc>
          <w:tcPr>
            <w:tcW w:w="522" w:type="pct"/>
            <w:tcBorders>
              <w:bottom w:val="nil"/>
            </w:tcBorders>
            <w:shd w:val="clear" w:color="auto" w:fill="FFFFFF"/>
            <w:vAlign w:val="center"/>
          </w:tcPr>
          <w:p w14:paraId="7DE31C56" w14:textId="012A3292" w:rsidR="00C06DB9" w:rsidRPr="00C96D24" w:rsidRDefault="00C06DB9" w:rsidP="00976F4E">
            <w:pPr>
              <w:pStyle w:val="CETBodytext"/>
              <w:ind w:right="-1"/>
              <w:jc w:val="center"/>
              <w:rPr>
                <w:sz w:val="13"/>
                <w:szCs w:val="13"/>
                <w:lang w:val="en-GB"/>
              </w:rPr>
            </w:pPr>
            <w:r w:rsidRPr="00C96D24">
              <w:rPr>
                <w:sz w:val="13"/>
                <w:szCs w:val="13"/>
              </w:rPr>
              <w:t>0.165</w:t>
            </w:r>
          </w:p>
        </w:tc>
        <w:tc>
          <w:tcPr>
            <w:tcW w:w="520" w:type="pct"/>
            <w:tcBorders>
              <w:bottom w:val="nil"/>
            </w:tcBorders>
            <w:shd w:val="clear" w:color="auto" w:fill="FFFFFF"/>
            <w:vAlign w:val="center"/>
          </w:tcPr>
          <w:p w14:paraId="5413332B" w14:textId="67FA881D" w:rsidR="00C06DB9" w:rsidRPr="00C96D24" w:rsidRDefault="00C06DB9" w:rsidP="00976F4E">
            <w:pPr>
              <w:pStyle w:val="CETBodytext"/>
              <w:ind w:right="-1"/>
              <w:jc w:val="center"/>
              <w:rPr>
                <w:sz w:val="13"/>
                <w:szCs w:val="13"/>
              </w:rPr>
            </w:pPr>
            <w:r w:rsidRPr="00C96D24">
              <w:rPr>
                <w:sz w:val="13"/>
                <w:szCs w:val="13"/>
              </w:rPr>
              <w:t>0.165</w:t>
            </w:r>
          </w:p>
        </w:tc>
        <w:tc>
          <w:tcPr>
            <w:tcW w:w="522" w:type="pct"/>
            <w:tcBorders>
              <w:bottom w:val="nil"/>
            </w:tcBorders>
            <w:shd w:val="clear" w:color="auto" w:fill="FFFFFF"/>
            <w:vAlign w:val="center"/>
          </w:tcPr>
          <w:p w14:paraId="05C8B048" w14:textId="187ED08B" w:rsidR="00C06DB9" w:rsidRPr="00C96D24" w:rsidRDefault="00C06DB9" w:rsidP="00976F4E">
            <w:pPr>
              <w:pStyle w:val="CETBodytext"/>
              <w:ind w:right="-1"/>
              <w:jc w:val="center"/>
              <w:rPr>
                <w:sz w:val="13"/>
                <w:szCs w:val="13"/>
                <w:lang w:val="en-GB"/>
              </w:rPr>
            </w:pPr>
            <w:r w:rsidRPr="00C96D24">
              <w:rPr>
                <w:sz w:val="13"/>
                <w:szCs w:val="13"/>
              </w:rPr>
              <w:t>4.029</w:t>
            </w:r>
          </w:p>
        </w:tc>
        <w:tc>
          <w:tcPr>
            <w:tcW w:w="520" w:type="pct"/>
            <w:tcBorders>
              <w:bottom w:val="nil"/>
            </w:tcBorders>
            <w:shd w:val="clear" w:color="auto" w:fill="FFFFFF"/>
            <w:vAlign w:val="center"/>
          </w:tcPr>
          <w:p w14:paraId="315BDE87" w14:textId="28D01209" w:rsidR="00C06DB9" w:rsidRPr="00C96D24" w:rsidRDefault="00C06DB9" w:rsidP="00976F4E">
            <w:pPr>
              <w:pStyle w:val="CETBodytext"/>
              <w:ind w:right="-1"/>
              <w:jc w:val="center"/>
              <w:rPr>
                <w:sz w:val="13"/>
                <w:szCs w:val="13"/>
                <w:lang w:val="en-GB"/>
              </w:rPr>
            </w:pPr>
            <w:r w:rsidRPr="00C96D24">
              <w:rPr>
                <w:sz w:val="13"/>
                <w:szCs w:val="13"/>
              </w:rPr>
              <w:t>0.361</w:t>
            </w:r>
          </w:p>
        </w:tc>
        <w:tc>
          <w:tcPr>
            <w:tcW w:w="536" w:type="pct"/>
            <w:tcBorders>
              <w:bottom w:val="nil"/>
            </w:tcBorders>
            <w:shd w:val="clear" w:color="auto" w:fill="FFFFFF"/>
            <w:vAlign w:val="center"/>
          </w:tcPr>
          <w:p w14:paraId="720D61FC" w14:textId="4B3ED82F" w:rsidR="00C06DB9" w:rsidRPr="00C96D24" w:rsidRDefault="00C06DB9" w:rsidP="00976F4E">
            <w:pPr>
              <w:pStyle w:val="CETBodytext"/>
              <w:ind w:right="-1"/>
              <w:jc w:val="center"/>
              <w:rPr>
                <w:sz w:val="13"/>
                <w:szCs w:val="13"/>
                <w:lang w:val="en-GB"/>
              </w:rPr>
            </w:pPr>
            <w:r w:rsidRPr="00C96D24">
              <w:rPr>
                <w:sz w:val="13"/>
                <w:szCs w:val="13"/>
              </w:rPr>
              <w:t>0</w:t>
            </w:r>
            <w:r w:rsidR="00357100">
              <w:rPr>
                <w:sz w:val="13"/>
                <w:szCs w:val="13"/>
              </w:rPr>
              <w:t>.</w:t>
            </w:r>
            <w:r w:rsidRPr="00C96D24">
              <w:rPr>
                <w:sz w:val="13"/>
                <w:szCs w:val="13"/>
              </w:rPr>
              <w:t>403</w:t>
            </w:r>
          </w:p>
        </w:tc>
      </w:tr>
      <w:tr w:rsidR="00E65824" w:rsidRPr="00C96D24" w14:paraId="1BAB49FA" w14:textId="758C0BB3" w:rsidTr="00E65824">
        <w:trPr>
          <w:gridAfter w:val="1"/>
          <w:wAfter w:w="11" w:type="pct"/>
          <w:jc w:val="center"/>
        </w:trPr>
        <w:tc>
          <w:tcPr>
            <w:tcW w:w="483" w:type="pct"/>
            <w:shd w:val="clear" w:color="auto" w:fill="FFFFFF"/>
            <w:vAlign w:val="center"/>
          </w:tcPr>
          <w:p w14:paraId="42DF020D" w14:textId="34CCDA45" w:rsidR="00C06DB9" w:rsidRPr="00C96D24" w:rsidRDefault="00C06DB9" w:rsidP="00976F4E">
            <w:pPr>
              <w:pStyle w:val="CETBodytext"/>
              <w:jc w:val="left"/>
              <w:rPr>
                <w:sz w:val="13"/>
                <w:szCs w:val="13"/>
                <w:lang w:val="en-GB"/>
              </w:rPr>
            </w:pPr>
            <w:r w:rsidRPr="00C96D24">
              <w:rPr>
                <w:sz w:val="13"/>
                <w:szCs w:val="13"/>
                <w:lang w:val="en-GB"/>
              </w:rPr>
              <w:t>Scrap</w:t>
            </w:r>
          </w:p>
        </w:tc>
        <w:tc>
          <w:tcPr>
            <w:tcW w:w="322" w:type="pct"/>
            <w:shd w:val="clear" w:color="auto" w:fill="FFFFFF"/>
            <w:vAlign w:val="center"/>
          </w:tcPr>
          <w:p w14:paraId="005E7B1A" w14:textId="4D045D15" w:rsidR="00C06DB9" w:rsidRPr="00C96D24" w:rsidRDefault="00C06DB9" w:rsidP="00976F4E">
            <w:pPr>
              <w:pStyle w:val="CETBodytext"/>
              <w:jc w:val="center"/>
              <w:rPr>
                <w:sz w:val="13"/>
                <w:szCs w:val="13"/>
                <w:lang w:val="en-GB"/>
              </w:rPr>
            </w:pPr>
            <w:r w:rsidRPr="00C96D24">
              <w:rPr>
                <w:sz w:val="13"/>
                <w:szCs w:val="13"/>
                <w:lang w:val="en-GB"/>
              </w:rPr>
              <w:t>[Mt]</w:t>
            </w:r>
          </w:p>
        </w:tc>
        <w:tc>
          <w:tcPr>
            <w:tcW w:w="522" w:type="pct"/>
            <w:shd w:val="clear" w:color="auto" w:fill="FFFFFF"/>
            <w:vAlign w:val="center"/>
          </w:tcPr>
          <w:p w14:paraId="43A547C5" w14:textId="013D1900" w:rsidR="00C06DB9" w:rsidRPr="00C96D24" w:rsidRDefault="00C06DB9" w:rsidP="00976F4E">
            <w:pPr>
              <w:pStyle w:val="CETBodytext"/>
              <w:jc w:val="center"/>
              <w:rPr>
                <w:sz w:val="13"/>
                <w:szCs w:val="13"/>
                <w:lang w:val="en-GB"/>
              </w:rPr>
            </w:pPr>
            <w:r w:rsidRPr="00C96D24">
              <w:rPr>
                <w:sz w:val="13"/>
                <w:szCs w:val="13"/>
              </w:rPr>
              <w:t>1.330</w:t>
            </w:r>
          </w:p>
        </w:tc>
        <w:tc>
          <w:tcPr>
            <w:tcW w:w="522" w:type="pct"/>
            <w:shd w:val="clear" w:color="auto" w:fill="FFFFFF"/>
            <w:vAlign w:val="center"/>
          </w:tcPr>
          <w:p w14:paraId="36BF3AAB" w14:textId="32BCB02A" w:rsidR="00C06DB9" w:rsidRPr="00C96D24" w:rsidRDefault="00C06DB9" w:rsidP="00976F4E">
            <w:pPr>
              <w:pStyle w:val="CETBodytext"/>
              <w:ind w:right="-1"/>
              <w:jc w:val="center"/>
              <w:rPr>
                <w:sz w:val="13"/>
                <w:szCs w:val="13"/>
                <w:lang w:val="en-GB"/>
              </w:rPr>
            </w:pPr>
            <w:r w:rsidRPr="00C96D24">
              <w:rPr>
                <w:sz w:val="13"/>
                <w:szCs w:val="13"/>
              </w:rPr>
              <w:t>0</w:t>
            </w:r>
          </w:p>
        </w:tc>
        <w:tc>
          <w:tcPr>
            <w:tcW w:w="520" w:type="pct"/>
            <w:shd w:val="clear" w:color="auto" w:fill="FFFFFF"/>
            <w:vAlign w:val="center"/>
          </w:tcPr>
          <w:p w14:paraId="613A7BC6" w14:textId="4152ECFF" w:rsidR="00C06DB9" w:rsidRPr="00C96D24" w:rsidRDefault="00C06DB9" w:rsidP="00976F4E">
            <w:pPr>
              <w:pStyle w:val="CETBodytext"/>
              <w:ind w:right="-1"/>
              <w:jc w:val="center"/>
              <w:rPr>
                <w:sz w:val="13"/>
                <w:szCs w:val="13"/>
                <w:lang w:val="en-GB"/>
              </w:rPr>
            </w:pPr>
            <w:r w:rsidRPr="00C96D24">
              <w:rPr>
                <w:sz w:val="13"/>
                <w:szCs w:val="13"/>
              </w:rPr>
              <w:t>0</w:t>
            </w:r>
          </w:p>
        </w:tc>
        <w:tc>
          <w:tcPr>
            <w:tcW w:w="522" w:type="pct"/>
            <w:tcBorders>
              <w:top w:val="nil"/>
              <w:bottom w:val="nil"/>
              <w:right w:val="nil"/>
            </w:tcBorders>
            <w:shd w:val="clear" w:color="auto" w:fill="FFFFFF"/>
            <w:vAlign w:val="center"/>
          </w:tcPr>
          <w:p w14:paraId="691702A4" w14:textId="7901109F" w:rsidR="00C06DB9" w:rsidRPr="00C96D24" w:rsidRDefault="00C06DB9" w:rsidP="00976F4E">
            <w:pPr>
              <w:pStyle w:val="CETBodytext"/>
              <w:ind w:right="-1"/>
              <w:jc w:val="center"/>
              <w:rPr>
                <w:sz w:val="13"/>
                <w:szCs w:val="13"/>
                <w:lang w:val="en-GB"/>
              </w:rPr>
            </w:pPr>
            <w:r w:rsidRPr="00C96D24">
              <w:rPr>
                <w:sz w:val="13"/>
                <w:szCs w:val="13"/>
              </w:rPr>
              <w:t>19.848</w:t>
            </w:r>
          </w:p>
        </w:tc>
        <w:tc>
          <w:tcPr>
            <w:tcW w:w="520" w:type="pct"/>
            <w:tcBorders>
              <w:top w:val="nil"/>
              <w:bottom w:val="nil"/>
              <w:right w:val="nil"/>
            </w:tcBorders>
            <w:shd w:val="clear" w:color="auto" w:fill="FFFFFF"/>
            <w:vAlign w:val="center"/>
          </w:tcPr>
          <w:p w14:paraId="2C4172EE" w14:textId="044CD923" w:rsidR="00C06DB9" w:rsidRPr="00C96D24" w:rsidRDefault="00C06DB9" w:rsidP="00976F4E">
            <w:pPr>
              <w:pStyle w:val="CETBodytext"/>
              <w:ind w:right="-1"/>
              <w:jc w:val="center"/>
              <w:rPr>
                <w:sz w:val="13"/>
                <w:szCs w:val="13"/>
              </w:rPr>
            </w:pPr>
            <w:r w:rsidRPr="00C96D24">
              <w:rPr>
                <w:sz w:val="13"/>
                <w:szCs w:val="13"/>
              </w:rPr>
              <w:t>19.848</w:t>
            </w:r>
          </w:p>
        </w:tc>
        <w:tc>
          <w:tcPr>
            <w:tcW w:w="522" w:type="pct"/>
            <w:tcBorders>
              <w:top w:val="nil"/>
              <w:left w:val="nil"/>
              <w:bottom w:val="nil"/>
              <w:right w:val="nil"/>
            </w:tcBorders>
            <w:shd w:val="clear" w:color="auto" w:fill="FFFFFF"/>
            <w:vAlign w:val="center"/>
          </w:tcPr>
          <w:p w14:paraId="1C85D44D" w14:textId="00B7F512" w:rsidR="00C06DB9" w:rsidRPr="00C96D24" w:rsidRDefault="00C06DB9" w:rsidP="00976F4E">
            <w:pPr>
              <w:pStyle w:val="CETBodytext"/>
              <w:ind w:right="-1"/>
              <w:jc w:val="center"/>
              <w:rPr>
                <w:sz w:val="13"/>
                <w:szCs w:val="13"/>
                <w:lang w:val="en-GB"/>
              </w:rPr>
            </w:pPr>
            <w:r w:rsidRPr="00C96D24">
              <w:rPr>
                <w:sz w:val="13"/>
                <w:szCs w:val="13"/>
              </w:rPr>
              <w:t>21.178</w:t>
            </w:r>
          </w:p>
        </w:tc>
        <w:tc>
          <w:tcPr>
            <w:tcW w:w="520" w:type="pct"/>
            <w:tcBorders>
              <w:top w:val="nil"/>
              <w:left w:val="nil"/>
              <w:bottom w:val="nil"/>
              <w:right w:val="nil"/>
            </w:tcBorders>
            <w:shd w:val="clear" w:color="auto" w:fill="FFFFFF"/>
            <w:vAlign w:val="center"/>
          </w:tcPr>
          <w:p w14:paraId="3B9DEF2B" w14:textId="1EA22D4F" w:rsidR="00C06DB9" w:rsidRPr="00C96D24" w:rsidRDefault="00C06DB9" w:rsidP="00976F4E">
            <w:pPr>
              <w:pStyle w:val="CETBodytext"/>
              <w:ind w:right="-1"/>
              <w:jc w:val="center"/>
              <w:rPr>
                <w:sz w:val="13"/>
                <w:szCs w:val="13"/>
              </w:rPr>
            </w:pPr>
            <w:r w:rsidRPr="00C96D24">
              <w:rPr>
                <w:sz w:val="13"/>
                <w:szCs w:val="13"/>
              </w:rPr>
              <w:t>19.848</w:t>
            </w:r>
          </w:p>
        </w:tc>
        <w:tc>
          <w:tcPr>
            <w:tcW w:w="536" w:type="pct"/>
            <w:tcBorders>
              <w:top w:val="nil"/>
              <w:left w:val="nil"/>
              <w:bottom w:val="nil"/>
            </w:tcBorders>
            <w:shd w:val="clear" w:color="auto" w:fill="FFFFFF"/>
            <w:vAlign w:val="center"/>
          </w:tcPr>
          <w:p w14:paraId="18A9D4EE" w14:textId="074F1BF1" w:rsidR="00C06DB9" w:rsidRPr="00C96D24" w:rsidRDefault="00C06DB9" w:rsidP="00976F4E">
            <w:pPr>
              <w:pStyle w:val="CETBodytext"/>
              <w:ind w:right="-1"/>
              <w:jc w:val="center"/>
              <w:rPr>
                <w:sz w:val="13"/>
                <w:szCs w:val="13"/>
              </w:rPr>
            </w:pPr>
            <w:r w:rsidRPr="00C96D24">
              <w:rPr>
                <w:sz w:val="13"/>
                <w:szCs w:val="13"/>
              </w:rPr>
              <w:t>19</w:t>
            </w:r>
            <w:r w:rsidR="00357100">
              <w:rPr>
                <w:sz w:val="13"/>
                <w:szCs w:val="13"/>
              </w:rPr>
              <w:t>.</w:t>
            </w:r>
            <w:r w:rsidRPr="00C96D24">
              <w:rPr>
                <w:sz w:val="13"/>
                <w:szCs w:val="13"/>
              </w:rPr>
              <w:t>848</w:t>
            </w:r>
          </w:p>
        </w:tc>
      </w:tr>
      <w:tr w:rsidR="00E65824" w:rsidRPr="00C96D24" w14:paraId="57C7095C" w14:textId="6D5F1FF1" w:rsidTr="00E65824">
        <w:trPr>
          <w:gridAfter w:val="1"/>
          <w:wAfter w:w="11" w:type="pct"/>
          <w:jc w:val="center"/>
        </w:trPr>
        <w:tc>
          <w:tcPr>
            <w:tcW w:w="483" w:type="pct"/>
            <w:shd w:val="clear" w:color="auto" w:fill="FFFFFF"/>
            <w:vAlign w:val="center"/>
          </w:tcPr>
          <w:p w14:paraId="32568510" w14:textId="65E884BF" w:rsidR="00C06DB9" w:rsidRPr="00C96D24" w:rsidRDefault="00C06DB9" w:rsidP="00976F4E">
            <w:pPr>
              <w:pStyle w:val="CETBodytext"/>
              <w:jc w:val="left"/>
              <w:rPr>
                <w:sz w:val="13"/>
                <w:szCs w:val="13"/>
                <w:lang w:val="en-GB"/>
              </w:rPr>
            </w:pPr>
            <w:r w:rsidRPr="00C96D24">
              <w:rPr>
                <w:sz w:val="13"/>
                <w:szCs w:val="13"/>
                <w:lang w:val="en-GB"/>
              </w:rPr>
              <w:t>Natural Gas</w:t>
            </w:r>
          </w:p>
        </w:tc>
        <w:tc>
          <w:tcPr>
            <w:tcW w:w="322" w:type="pct"/>
            <w:shd w:val="clear" w:color="auto" w:fill="FFFFFF"/>
            <w:vAlign w:val="center"/>
          </w:tcPr>
          <w:p w14:paraId="3C3B851D" w14:textId="01FDA848" w:rsidR="00C06DB9" w:rsidRPr="00C96D24" w:rsidRDefault="00C06DB9" w:rsidP="00976F4E">
            <w:pPr>
              <w:pStyle w:val="CETBodytext"/>
              <w:jc w:val="center"/>
              <w:rPr>
                <w:sz w:val="13"/>
                <w:szCs w:val="13"/>
                <w:lang w:val="en-GB"/>
              </w:rPr>
            </w:pPr>
            <w:r w:rsidRPr="00C96D24">
              <w:rPr>
                <w:sz w:val="13"/>
                <w:szCs w:val="13"/>
                <w:lang w:val="en-GB"/>
              </w:rPr>
              <w:t>[GJ]*10</w:t>
            </w:r>
            <w:r w:rsidRPr="00C96D24">
              <w:rPr>
                <w:sz w:val="13"/>
                <w:szCs w:val="13"/>
                <w:vertAlign w:val="superscript"/>
                <w:lang w:val="en-GB"/>
              </w:rPr>
              <w:t>6</w:t>
            </w:r>
          </w:p>
        </w:tc>
        <w:tc>
          <w:tcPr>
            <w:tcW w:w="522" w:type="pct"/>
            <w:shd w:val="clear" w:color="auto" w:fill="FFFFFF"/>
            <w:vAlign w:val="center"/>
          </w:tcPr>
          <w:p w14:paraId="526E7C41" w14:textId="0C8AE432" w:rsidR="00C06DB9" w:rsidRPr="00C96D24" w:rsidRDefault="00C06DB9" w:rsidP="00976F4E">
            <w:pPr>
              <w:pStyle w:val="CETBodytext"/>
              <w:jc w:val="center"/>
              <w:rPr>
                <w:sz w:val="13"/>
                <w:szCs w:val="13"/>
                <w:lang w:val="en-GB"/>
              </w:rPr>
            </w:pPr>
            <w:r w:rsidRPr="00C96D24">
              <w:rPr>
                <w:sz w:val="13"/>
                <w:szCs w:val="13"/>
              </w:rPr>
              <w:t>10.374</w:t>
            </w:r>
          </w:p>
        </w:tc>
        <w:tc>
          <w:tcPr>
            <w:tcW w:w="522" w:type="pct"/>
            <w:shd w:val="clear" w:color="auto" w:fill="FFFFFF"/>
            <w:vAlign w:val="center"/>
          </w:tcPr>
          <w:p w14:paraId="73A1B7D4" w14:textId="58E316D6" w:rsidR="00C06DB9" w:rsidRPr="00C96D24" w:rsidRDefault="00C06DB9" w:rsidP="00976F4E">
            <w:pPr>
              <w:pStyle w:val="CETBodytext"/>
              <w:ind w:right="-1"/>
              <w:jc w:val="center"/>
              <w:rPr>
                <w:sz w:val="13"/>
                <w:szCs w:val="13"/>
                <w:lang w:val="en-GB"/>
              </w:rPr>
            </w:pPr>
            <w:r w:rsidRPr="00C96D24">
              <w:rPr>
                <w:sz w:val="13"/>
                <w:szCs w:val="13"/>
              </w:rPr>
              <w:t>79.107</w:t>
            </w:r>
          </w:p>
        </w:tc>
        <w:tc>
          <w:tcPr>
            <w:tcW w:w="520" w:type="pct"/>
            <w:shd w:val="clear" w:color="auto" w:fill="FFFFFF"/>
            <w:vAlign w:val="center"/>
          </w:tcPr>
          <w:p w14:paraId="1E1647A3" w14:textId="0933B0F1" w:rsidR="00C06DB9" w:rsidRPr="00C96D24" w:rsidRDefault="00C06DB9" w:rsidP="00976F4E">
            <w:pPr>
              <w:pStyle w:val="CETBodytext"/>
              <w:ind w:right="-1"/>
              <w:jc w:val="center"/>
              <w:rPr>
                <w:sz w:val="13"/>
                <w:szCs w:val="13"/>
                <w:lang w:val="en-GB"/>
              </w:rPr>
            </w:pPr>
            <w:r w:rsidRPr="00C96D24">
              <w:rPr>
                <w:sz w:val="13"/>
                <w:szCs w:val="13"/>
                <w:lang w:val="en-GB"/>
              </w:rPr>
              <w:t>0</w:t>
            </w:r>
          </w:p>
        </w:tc>
        <w:tc>
          <w:tcPr>
            <w:tcW w:w="522" w:type="pct"/>
            <w:tcBorders>
              <w:top w:val="nil"/>
              <w:bottom w:val="nil"/>
              <w:right w:val="nil"/>
            </w:tcBorders>
            <w:shd w:val="clear" w:color="auto" w:fill="FFFFFF"/>
            <w:vAlign w:val="center"/>
          </w:tcPr>
          <w:p w14:paraId="69BC3C69" w14:textId="288A3810" w:rsidR="00C06DB9" w:rsidRPr="00C96D24" w:rsidRDefault="00C06DB9" w:rsidP="00976F4E">
            <w:pPr>
              <w:pStyle w:val="CETBodytext"/>
              <w:ind w:right="-1"/>
              <w:jc w:val="center"/>
              <w:rPr>
                <w:sz w:val="13"/>
                <w:szCs w:val="13"/>
                <w:lang w:val="en-GB"/>
              </w:rPr>
            </w:pPr>
            <w:r w:rsidRPr="00C96D24">
              <w:rPr>
                <w:sz w:val="13"/>
                <w:szCs w:val="13"/>
              </w:rPr>
              <w:t>62.784</w:t>
            </w:r>
          </w:p>
        </w:tc>
        <w:tc>
          <w:tcPr>
            <w:tcW w:w="520" w:type="pct"/>
            <w:tcBorders>
              <w:top w:val="nil"/>
              <w:bottom w:val="nil"/>
              <w:right w:val="nil"/>
            </w:tcBorders>
            <w:shd w:val="clear" w:color="auto" w:fill="FFFFFF"/>
            <w:vAlign w:val="center"/>
          </w:tcPr>
          <w:p w14:paraId="11C8D6EB" w14:textId="1332D1AF" w:rsidR="00C06DB9" w:rsidRPr="00C96D24" w:rsidRDefault="00C06DB9" w:rsidP="00976F4E">
            <w:pPr>
              <w:pStyle w:val="CETBodytext"/>
              <w:ind w:right="-1"/>
              <w:jc w:val="center"/>
              <w:rPr>
                <w:sz w:val="13"/>
                <w:szCs w:val="13"/>
              </w:rPr>
            </w:pPr>
            <w:r w:rsidRPr="00C96D24">
              <w:rPr>
                <w:sz w:val="13"/>
                <w:szCs w:val="13"/>
              </w:rPr>
              <w:t>0</w:t>
            </w:r>
          </w:p>
        </w:tc>
        <w:tc>
          <w:tcPr>
            <w:tcW w:w="522" w:type="pct"/>
            <w:tcBorders>
              <w:top w:val="nil"/>
              <w:left w:val="nil"/>
              <w:bottom w:val="nil"/>
              <w:right w:val="nil"/>
            </w:tcBorders>
            <w:shd w:val="clear" w:color="auto" w:fill="FFFFFF"/>
            <w:vAlign w:val="center"/>
          </w:tcPr>
          <w:p w14:paraId="3752DD5F" w14:textId="446F65D8" w:rsidR="00C06DB9" w:rsidRPr="00C96D24" w:rsidRDefault="00C06DB9" w:rsidP="00976F4E">
            <w:pPr>
              <w:pStyle w:val="CETBodytext"/>
              <w:ind w:right="-1"/>
              <w:jc w:val="center"/>
              <w:rPr>
                <w:sz w:val="13"/>
                <w:szCs w:val="13"/>
                <w:lang w:val="en-GB"/>
              </w:rPr>
            </w:pPr>
            <w:r w:rsidRPr="00C96D24">
              <w:rPr>
                <w:sz w:val="13"/>
                <w:szCs w:val="13"/>
              </w:rPr>
              <w:t>73.1</w:t>
            </w:r>
            <w:r w:rsidR="00357100">
              <w:rPr>
                <w:sz w:val="13"/>
                <w:szCs w:val="13"/>
              </w:rPr>
              <w:t>58</w:t>
            </w:r>
          </w:p>
        </w:tc>
        <w:tc>
          <w:tcPr>
            <w:tcW w:w="520" w:type="pct"/>
            <w:tcBorders>
              <w:top w:val="nil"/>
              <w:left w:val="nil"/>
              <w:bottom w:val="nil"/>
              <w:right w:val="nil"/>
            </w:tcBorders>
            <w:shd w:val="clear" w:color="auto" w:fill="FFFFFF"/>
            <w:vAlign w:val="center"/>
          </w:tcPr>
          <w:p w14:paraId="1D20926F" w14:textId="72C02A40" w:rsidR="00C06DB9" w:rsidRPr="00C96D24" w:rsidRDefault="00C06DB9" w:rsidP="00976F4E">
            <w:pPr>
              <w:pStyle w:val="CETBodytext"/>
              <w:ind w:right="-1"/>
              <w:jc w:val="center"/>
              <w:rPr>
                <w:sz w:val="13"/>
                <w:szCs w:val="13"/>
              </w:rPr>
            </w:pPr>
            <w:r w:rsidRPr="00C96D24">
              <w:rPr>
                <w:sz w:val="13"/>
                <w:szCs w:val="13"/>
              </w:rPr>
              <w:t>141.891</w:t>
            </w:r>
          </w:p>
        </w:tc>
        <w:tc>
          <w:tcPr>
            <w:tcW w:w="536" w:type="pct"/>
            <w:tcBorders>
              <w:top w:val="nil"/>
              <w:left w:val="nil"/>
              <w:bottom w:val="nil"/>
            </w:tcBorders>
            <w:shd w:val="clear" w:color="auto" w:fill="FFFFFF"/>
            <w:vAlign w:val="center"/>
          </w:tcPr>
          <w:p w14:paraId="75594759" w14:textId="706F9D5F" w:rsidR="00C06DB9" w:rsidRPr="00C96D24" w:rsidRDefault="00C06DB9" w:rsidP="00976F4E">
            <w:pPr>
              <w:pStyle w:val="CETBodytext"/>
              <w:ind w:right="-1"/>
              <w:jc w:val="center"/>
              <w:rPr>
                <w:sz w:val="13"/>
                <w:szCs w:val="13"/>
              </w:rPr>
            </w:pPr>
            <w:r w:rsidRPr="00C96D24">
              <w:rPr>
                <w:sz w:val="13"/>
                <w:szCs w:val="13"/>
              </w:rPr>
              <w:t>0</w:t>
            </w:r>
          </w:p>
        </w:tc>
      </w:tr>
      <w:tr w:rsidR="00E65824" w:rsidRPr="00C96D24" w14:paraId="4E9758D2" w14:textId="77777777" w:rsidTr="00E65824">
        <w:trPr>
          <w:gridAfter w:val="1"/>
          <w:wAfter w:w="11" w:type="pct"/>
          <w:jc w:val="center"/>
        </w:trPr>
        <w:tc>
          <w:tcPr>
            <w:tcW w:w="483" w:type="pct"/>
            <w:shd w:val="clear" w:color="auto" w:fill="FFFFFF"/>
            <w:vAlign w:val="center"/>
          </w:tcPr>
          <w:p w14:paraId="5A69EA42" w14:textId="5ED7DD9F" w:rsidR="00C06DB9" w:rsidRPr="00C96D24" w:rsidRDefault="00C06DB9" w:rsidP="00976F4E">
            <w:pPr>
              <w:pStyle w:val="CETBodytext"/>
              <w:jc w:val="left"/>
              <w:rPr>
                <w:sz w:val="13"/>
                <w:szCs w:val="13"/>
                <w:lang w:val="en-GB"/>
              </w:rPr>
            </w:pPr>
            <w:r w:rsidRPr="00C96D24">
              <w:rPr>
                <w:sz w:val="13"/>
                <w:szCs w:val="13"/>
                <w:lang w:val="en-GB"/>
              </w:rPr>
              <w:t>Biomethane</w:t>
            </w:r>
          </w:p>
        </w:tc>
        <w:tc>
          <w:tcPr>
            <w:tcW w:w="322" w:type="pct"/>
            <w:shd w:val="clear" w:color="auto" w:fill="FFFFFF"/>
            <w:vAlign w:val="center"/>
          </w:tcPr>
          <w:p w14:paraId="2C4CD612" w14:textId="2179C73E" w:rsidR="00C06DB9" w:rsidRPr="00C96D24" w:rsidRDefault="00C06DB9" w:rsidP="00976F4E">
            <w:pPr>
              <w:pStyle w:val="CETBodytext"/>
              <w:jc w:val="center"/>
              <w:rPr>
                <w:sz w:val="13"/>
                <w:szCs w:val="13"/>
                <w:lang w:val="en-GB"/>
              </w:rPr>
            </w:pPr>
            <w:r w:rsidRPr="00C96D24">
              <w:rPr>
                <w:sz w:val="13"/>
                <w:szCs w:val="13"/>
                <w:lang w:val="en-GB"/>
              </w:rPr>
              <w:t>[GJ]*10</w:t>
            </w:r>
            <w:r w:rsidRPr="00C96D24">
              <w:rPr>
                <w:sz w:val="13"/>
                <w:szCs w:val="13"/>
                <w:vertAlign w:val="superscript"/>
                <w:lang w:val="en-GB"/>
              </w:rPr>
              <w:t>6</w:t>
            </w:r>
          </w:p>
        </w:tc>
        <w:tc>
          <w:tcPr>
            <w:tcW w:w="522" w:type="pct"/>
            <w:shd w:val="clear" w:color="auto" w:fill="FFFFFF"/>
            <w:vAlign w:val="center"/>
          </w:tcPr>
          <w:p w14:paraId="1ABD4031" w14:textId="57DD48D9" w:rsidR="00C06DB9" w:rsidRPr="00C96D24" w:rsidRDefault="00C06DB9" w:rsidP="00976F4E">
            <w:pPr>
              <w:pStyle w:val="CETBodytext"/>
              <w:jc w:val="center"/>
              <w:rPr>
                <w:sz w:val="13"/>
                <w:szCs w:val="13"/>
              </w:rPr>
            </w:pPr>
            <w:r w:rsidRPr="00C96D24">
              <w:rPr>
                <w:sz w:val="13"/>
                <w:szCs w:val="13"/>
              </w:rPr>
              <w:t>0</w:t>
            </w:r>
          </w:p>
        </w:tc>
        <w:tc>
          <w:tcPr>
            <w:tcW w:w="522" w:type="pct"/>
            <w:shd w:val="clear" w:color="auto" w:fill="FFFFFF"/>
            <w:vAlign w:val="center"/>
          </w:tcPr>
          <w:p w14:paraId="69544E7F" w14:textId="5F4096EE" w:rsidR="00C06DB9" w:rsidRPr="00C96D24" w:rsidRDefault="00C06DB9" w:rsidP="00976F4E">
            <w:pPr>
              <w:pStyle w:val="CETBodytext"/>
              <w:ind w:right="-1"/>
              <w:jc w:val="center"/>
              <w:rPr>
                <w:sz w:val="13"/>
                <w:szCs w:val="13"/>
              </w:rPr>
            </w:pPr>
            <w:r w:rsidRPr="00C96D24">
              <w:rPr>
                <w:sz w:val="13"/>
                <w:szCs w:val="13"/>
              </w:rPr>
              <w:t>0</w:t>
            </w:r>
          </w:p>
        </w:tc>
        <w:tc>
          <w:tcPr>
            <w:tcW w:w="520" w:type="pct"/>
            <w:shd w:val="clear" w:color="auto" w:fill="FFFFFF"/>
            <w:vAlign w:val="center"/>
          </w:tcPr>
          <w:p w14:paraId="62544EE7" w14:textId="1C13F616" w:rsidR="00C06DB9" w:rsidRPr="00C96D24" w:rsidRDefault="00C06DB9" w:rsidP="00976F4E">
            <w:pPr>
              <w:pStyle w:val="CETBodytext"/>
              <w:ind w:right="-1"/>
              <w:jc w:val="center"/>
              <w:rPr>
                <w:sz w:val="13"/>
                <w:szCs w:val="13"/>
                <w:lang w:val="en-GB"/>
              </w:rPr>
            </w:pPr>
            <w:r w:rsidRPr="00C96D24">
              <w:rPr>
                <w:sz w:val="13"/>
                <w:szCs w:val="13"/>
                <w:lang w:val="en-GB"/>
              </w:rPr>
              <w:t>7.442</w:t>
            </w:r>
          </w:p>
        </w:tc>
        <w:tc>
          <w:tcPr>
            <w:tcW w:w="522" w:type="pct"/>
            <w:tcBorders>
              <w:top w:val="nil"/>
              <w:bottom w:val="nil"/>
              <w:right w:val="nil"/>
            </w:tcBorders>
            <w:shd w:val="clear" w:color="auto" w:fill="FFFFFF"/>
            <w:vAlign w:val="center"/>
          </w:tcPr>
          <w:p w14:paraId="5763DBEB" w14:textId="58E92C2A" w:rsidR="00C06DB9" w:rsidRPr="00C96D24" w:rsidRDefault="00C06DB9" w:rsidP="00976F4E">
            <w:pPr>
              <w:pStyle w:val="CETBodytext"/>
              <w:ind w:right="-1"/>
              <w:jc w:val="center"/>
              <w:rPr>
                <w:sz w:val="13"/>
                <w:szCs w:val="13"/>
              </w:rPr>
            </w:pPr>
          </w:p>
        </w:tc>
        <w:tc>
          <w:tcPr>
            <w:tcW w:w="520" w:type="pct"/>
            <w:tcBorders>
              <w:top w:val="nil"/>
              <w:bottom w:val="nil"/>
              <w:right w:val="nil"/>
            </w:tcBorders>
            <w:shd w:val="clear" w:color="auto" w:fill="FFFFFF"/>
            <w:vAlign w:val="center"/>
          </w:tcPr>
          <w:p w14:paraId="0C390E42" w14:textId="256E61CE" w:rsidR="00C06DB9" w:rsidRPr="00C96D24" w:rsidRDefault="00C06DB9" w:rsidP="00976F4E">
            <w:pPr>
              <w:pStyle w:val="CETBodytext"/>
              <w:ind w:right="-1"/>
              <w:jc w:val="center"/>
              <w:rPr>
                <w:sz w:val="13"/>
                <w:szCs w:val="13"/>
              </w:rPr>
            </w:pPr>
            <w:r w:rsidRPr="00C96D24">
              <w:rPr>
                <w:sz w:val="13"/>
                <w:szCs w:val="13"/>
              </w:rPr>
              <w:t>46.764</w:t>
            </w:r>
          </w:p>
        </w:tc>
        <w:tc>
          <w:tcPr>
            <w:tcW w:w="522" w:type="pct"/>
            <w:tcBorders>
              <w:top w:val="nil"/>
              <w:left w:val="nil"/>
              <w:bottom w:val="nil"/>
              <w:right w:val="nil"/>
            </w:tcBorders>
            <w:shd w:val="clear" w:color="auto" w:fill="FFFFFF"/>
            <w:vAlign w:val="center"/>
          </w:tcPr>
          <w:p w14:paraId="2CF8A4B5" w14:textId="431B5FDA" w:rsidR="00C06DB9" w:rsidRPr="00C96D24" w:rsidRDefault="00C06DB9" w:rsidP="00976F4E">
            <w:pPr>
              <w:pStyle w:val="CETBodytext"/>
              <w:ind w:right="-1"/>
              <w:jc w:val="center"/>
              <w:rPr>
                <w:sz w:val="13"/>
                <w:szCs w:val="13"/>
              </w:rPr>
            </w:pPr>
          </w:p>
        </w:tc>
        <w:tc>
          <w:tcPr>
            <w:tcW w:w="520" w:type="pct"/>
            <w:tcBorders>
              <w:top w:val="nil"/>
              <w:left w:val="nil"/>
              <w:bottom w:val="nil"/>
              <w:right w:val="nil"/>
            </w:tcBorders>
            <w:shd w:val="clear" w:color="auto" w:fill="FFFFFF"/>
            <w:vAlign w:val="center"/>
          </w:tcPr>
          <w:p w14:paraId="59D38187" w14:textId="77777777" w:rsidR="00C06DB9" w:rsidRPr="00C96D24" w:rsidRDefault="00C06DB9" w:rsidP="00976F4E">
            <w:pPr>
              <w:pStyle w:val="CETBodytext"/>
              <w:ind w:right="-1"/>
              <w:jc w:val="center"/>
              <w:rPr>
                <w:sz w:val="13"/>
                <w:szCs w:val="13"/>
              </w:rPr>
            </w:pPr>
          </w:p>
        </w:tc>
        <w:tc>
          <w:tcPr>
            <w:tcW w:w="536" w:type="pct"/>
            <w:tcBorders>
              <w:top w:val="nil"/>
              <w:left w:val="nil"/>
              <w:bottom w:val="nil"/>
            </w:tcBorders>
            <w:shd w:val="clear" w:color="auto" w:fill="FFFFFF"/>
            <w:vAlign w:val="center"/>
          </w:tcPr>
          <w:p w14:paraId="221D06B7" w14:textId="0287CD7B" w:rsidR="00C06DB9" w:rsidRPr="00C96D24" w:rsidRDefault="00C06DB9" w:rsidP="00976F4E">
            <w:pPr>
              <w:pStyle w:val="CETBodytext"/>
              <w:ind w:right="-1"/>
              <w:jc w:val="center"/>
              <w:rPr>
                <w:sz w:val="13"/>
                <w:szCs w:val="13"/>
              </w:rPr>
            </w:pPr>
            <w:r w:rsidRPr="00C96D24">
              <w:rPr>
                <w:sz w:val="13"/>
                <w:szCs w:val="13"/>
              </w:rPr>
              <w:t>54</w:t>
            </w:r>
            <w:r w:rsidR="00357100">
              <w:rPr>
                <w:sz w:val="13"/>
                <w:szCs w:val="13"/>
              </w:rPr>
              <w:t>.</w:t>
            </w:r>
            <w:r w:rsidRPr="00C96D24">
              <w:rPr>
                <w:sz w:val="13"/>
                <w:szCs w:val="13"/>
              </w:rPr>
              <w:t>206</w:t>
            </w:r>
          </w:p>
        </w:tc>
      </w:tr>
      <w:tr w:rsidR="00E65824" w:rsidRPr="00C96D24" w14:paraId="2ABDA54D" w14:textId="77777777" w:rsidTr="00E65824">
        <w:trPr>
          <w:gridAfter w:val="1"/>
          <w:wAfter w:w="11" w:type="pct"/>
          <w:jc w:val="center"/>
        </w:trPr>
        <w:tc>
          <w:tcPr>
            <w:tcW w:w="483" w:type="pct"/>
            <w:shd w:val="clear" w:color="auto" w:fill="FFFFFF"/>
            <w:vAlign w:val="center"/>
          </w:tcPr>
          <w:p w14:paraId="4A3E6017" w14:textId="13CB77BB" w:rsidR="00882C2B" w:rsidRPr="00C96D24" w:rsidRDefault="00882C2B" w:rsidP="00976F4E">
            <w:pPr>
              <w:pStyle w:val="CETBodytext"/>
              <w:jc w:val="left"/>
              <w:rPr>
                <w:sz w:val="13"/>
                <w:szCs w:val="13"/>
                <w:lang w:val="en-GB"/>
              </w:rPr>
            </w:pPr>
            <w:r w:rsidRPr="00C96D24">
              <w:rPr>
                <w:sz w:val="13"/>
                <w:szCs w:val="13"/>
                <w:lang w:val="en-GB"/>
              </w:rPr>
              <w:t>Hydrogen</w:t>
            </w:r>
          </w:p>
        </w:tc>
        <w:tc>
          <w:tcPr>
            <w:tcW w:w="322" w:type="pct"/>
            <w:shd w:val="clear" w:color="auto" w:fill="FFFFFF"/>
            <w:vAlign w:val="center"/>
          </w:tcPr>
          <w:p w14:paraId="55F930EA" w14:textId="2DEB3EA1" w:rsidR="00882C2B" w:rsidRPr="00C96D24" w:rsidRDefault="00882C2B" w:rsidP="00976F4E">
            <w:pPr>
              <w:pStyle w:val="CETBodytext"/>
              <w:jc w:val="center"/>
              <w:rPr>
                <w:sz w:val="13"/>
                <w:szCs w:val="13"/>
                <w:lang w:val="en-GB"/>
              </w:rPr>
            </w:pPr>
            <w:r w:rsidRPr="00C96D24">
              <w:rPr>
                <w:sz w:val="13"/>
                <w:szCs w:val="13"/>
                <w:lang w:val="en-GB"/>
              </w:rPr>
              <w:t>[Mt]</w:t>
            </w:r>
          </w:p>
        </w:tc>
        <w:tc>
          <w:tcPr>
            <w:tcW w:w="522" w:type="pct"/>
            <w:shd w:val="clear" w:color="auto" w:fill="FFFFFF"/>
            <w:vAlign w:val="center"/>
          </w:tcPr>
          <w:p w14:paraId="53D663B0" w14:textId="34CE75D7" w:rsidR="00882C2B" w:rsidRPr="00C96D24" w:rsidRDefault="00882C2B" w:rsidP="00976F4E">
            <w:pPr>
              <w:pStyle w:val="CETBodytext"/>
              <w:jc w:val="center"/>
              <w:rPr>
                <w:sz w:val="13"/>
                <w:szCs w:val="13"/>
              </w:rPr>
            </w:pPr>
            <w:r w:rsidRPr="00C96D24">
              <w:rPr>
                <w:sz w:val="13"/>
                <w:szCs w:val="13"/>
              </w:rPr>
              <w:t>0</w:t>
            </w:r>
          </w:p>
        </w:tc>
        <w:tc>
          <w:tcPr>
            <w:tcW w:w="522" w:type="pct"/>
            <w:shd w:val="clear" w:color="auto" w:fill="FFFFFF"/>
            <w:vAlign w:val="center"/>
          </w:tcPr>
          <w:p w14:paraId="62BB393E" w14:textId="6F8B7A4A" w:rsidR="00882C2B" w:rsidRPr="00C96D24" w:rsidRDefault="00882C2B" w:rsidP="00976F4E">
            <w:pPr>
              <w:pStyle w:val="CETBodytext"/>
              <w:ind w:right="-1"/>
              <w:jc w:val="center"/>
              <w:rPr>
                <w:sz w:val="13"/>
                <w:szCs w:val="13"/>
              </w:rPr>
            </w:pPr>
            <w:r w:rsidRPr="00C96D24">
              <w:rPr>
                <w:sz w:val="13"/>
                <w:szCs w:val="13"/>
              </w:rPr>
              <w:t>0</w:t>
            </w:r>
          </w:p>
        </w:tc>
        <w:tc>
          <w:tcPr>
            <w:tcW w:w="520" w:type="pct"/>
            <w:shd w:val="clear" w:color="auto" w:fill="FFFFFF"/>
            <w:vAlign w:val="center"/>
          </w:tcPr>
          <w:p w14:paraId="438FE55A" w14:textId="69E3074E" w:rsidR="00882C2B" w:rsidRPr="00C96D24" w:rsidRDefault="00882C2B" w:rsidP="00976F4E">
            <w:pPr>
              <w:pStyle w:val="CETBodytext"/>
              <w:ind w:right="-1"/>
              <w:jc w:val="center"/>
              <w:rPr>
                <w:sz w:val="13"/>
                <w:szCs w:val="13"/>
                <w:lang w:val="en-GB"/>
              </w:rPr>
            </w:pPr>
            <w:r w:rsidRPr="00C96D24">
              <w:rPr>
                <w:sz w:val="13"/>
                <w:szCs w:val="13"/>
                <w:lang w:val="en-GB"/>
              </w:rPr>
              <w:t>0.469</w:t>
            </w:r>
          </w:p>
        </w:tc>
        <w:tc>
          <w:tcPr>
            <w:tcW w:w="522" w:type="pct"/>
            <w:tcBorders>
              <w:top w:val="nil"/>
              <w:bottom w:val="nil"/>
              <w:right w:val="nil"/>
            </w:tcBorders>
            <w:shd w:val="clear" w:color="auto" w:fill="FFFFFF"/>
            <w:vAlign w:val="center"/>
          </w:tcPr>
          <w:p w14:paraId="025E81C5" w14:textId="77777777" w:rsidR="00882C2B" w:rsidRPr="00C96D24" w:rsidRDefault="00882C2B" w:rsidP="00976F4E">
            <w:pPr>
              <w:pStyle w:val="CETBodytext"/>
              <w:ind w:right="-1"/>
              <w:jc w:val="center"/>
              <w:rPr>
                <w:sz w:val="13"/>
                <w:szCs w:val="13"/>
              </w:rPr>
            </w:pPr>
          </w:p>
        </w:tc>
        <w:tc>
          <w:tcPr>
            <w:tcW w:w="520" w:type="pct"/>
            <w:tcBorders>
              <w:top w:val="nil"/>
              <w:bottom w:val="nil"/>
              <w:right w:val="nil"/>
            </w:tcBorders>
            <w:shd w:val="clear" w:color="auto" w:fill="FFFFFF"/>
            <w:vAlign w:val="center"/>
          </w:tcPr>
          <w:p w14:paraId="09813FB3" w14:textId="16AAF467" w:rsidR="00882C2B" w:rsidRPr="00C96D24" w:rsidRDefault="00C06DB9" w:rsidP="00976F4E">
            <w:pPr>
              <w:pStyle w:val="CETBodytext"/>
              <w:ind w:right="-1"/>
              <w:jc w:val="center"/>
              <w:rPr>
                <w:sz w:val="13"/>
                <w:szCs w:val="13"/>
              </w:rPr>
            </w:pPr>
            <w:r w:rsidRPr="00C96D24">
              <w:rPr>
                <w:sz w:val="13"/>
                <w:szCs w:val="13"/>
              </w:rPr>
              <w:t>0</w:t>
            </w:r>
          </w:p>
        </w:tc>
        <w:tc>
          <w:tcPr>
            <w:tcW w:w="522" w:type="pct"/>
            <w:tcBorders>
              <w:top w:val="nil"/>
              <w:left w:val="nil"/>
              <w:bottom w:val="nil"/>
              <w:right w:val="nil"/>
            </w:tcBorders>
            <w:shd w:val="clear" w:color="auto" w:fill="FFFFFF"/>
            <w:vAlign w:val="center"/>
          </w:tcPr>
          <w:p w14:paraId="7EA50E65" w14:textId="26CFB5E1" w:rsidR="00882C2B" w:rsidRPr="00C96D24" w:rsidRDefault="00882C2B" w:rsidP="00976F4E">
            <w:pPr>
              <w:pStyle w:val="CETBodytext"/>
              <w:ind w:right="-1"/>
              <w:jc w:val="center"/>
              <w:rPr>
                <w:sz w:val="13"/>
                <w:szCs w:val="13"/>
              </w:rPr>
            </w:pPr>
          </w:p>
        </w:tc>
        <w:tc>
          <w:tcPr>
            <w:tcW w:w="520" w:type="pct"/>
            <w:tcBorders>
              <w:top w:val="nil"/>
              <w:left w:val="nil"/>
              <w:bottom w:val="nil"/>
              <w:right w:val="nil"/>
            </w:tcBorders>
            <w:shd w:val="clear" w:color="auto" w:fill="FFFFFF"/>
            <w:vAlign w:val="center"/>
          </w:tcPr>
          <w:p w14:paraId="1D2642DD" w14:textId="77777777" w:rsidR="00882C2B" w:rsidRPr="00C96D24" w:rsidRDefault="00882C2B" w:rsidP="00976F4E">
            <w:pPr>
              <w:pStyle w:val="CETBodytext"/>
              <w:ind w:right="-1"/>
              <w:jc w:val="center"/>
              <w:rPr>
                <w:sz w:val="13"/>
                <w:szCs w:val="13"/>
              </w:rPr>
            </w:pPr>
          </w:p>
        </w:tc>
        <w:tc>
          <w:tcPr>
            <w:tcW w:w="536" w:type="pct"/>
            <w:tcBorders>
              <w:top w:val="nil"/>
              <w:left w:val="nil"/>
              <w:bottom w:val="nil"/>
            </w:tcBorders>
            <w:shd w:val="clear" w:color="auto" w:fill="FFFFFF"/>
            <w:vAlign w:val="center"/>
          </w:tcPr>
          <w:p w14:paraId="5FDFE0BD" w14:textId="350AD3FE" w:rsidR="00882C2B" w:rsidRPr="00C96D24" w:rsidRDefault="00C06DB9" w:rsidP="00976F4E">
            <w:pPr>
              <w:pStyle w:val="CETBodytext"/>
              <w:ind w:right="-1"/>
              <w:jc w:val="center"/>
              <w:rPr>
                <w:sz w:val="13"/>
                <w:szCs w:val="13"/>
              </w:rPr>
            </w:pPr>
            <w:r w:rsidRPr="00C96D24">
              <w:rPr>
                <w:sz w:val="13"/>
                <w:szCs w:val="13"/>
              </w:rPr>
              <w:t>0.469</w:t>
            </w:r>
          </w:p>
        </w:tc>
      </w:tr>
      <w:tr w:rsidR="00E65824" w:rsidRPr="00C96D24" w14:paraId="1A3D7970" w14:textId="618A9293" w:rsidTr="00E65824">
        <w:trPr>
          <w:gridAfter w:val="1"/>
          <w:wAfter w:w="11" w:type="pct"/>
          <w:jc w:val="center"/>
        </w:trPr>
        <w:tc>
          <w:tcPr>
            <w:tcW w:w="483" w:type="pct"/>
            <w:shd w:val="clear" w:color="auto" w:fill="FFFFFF"/>
            <w:vAlign w:val="center"/>
          </w:tcPr>
          <w:p w14:paraId="057D8A31" w14:textId="3D02D57A" w:rsidR="00882C2B" w:rsidRPr="00C96D24" w:rsidRDefault="00882C2B" w:rsidP="00976F4E">
            <w:pPr>
              <w:pStyle w:val="CETBodytext"/>
              <w:jc w:val="left"/>
              <w:rPr>
                <w:sz w:val="13"/>
                <w:szCs w:val="13"/>
                <w:lang w:val="en-GB"/>
              </w:rPr>
            </w:pPr>
            <w:r w:rsidRPr="00C96D24">
              <w:rPr>
                <w:sz w:val="13"/>
                <w:szCs w:val="13"/>
                <w:lang w:val="en-GB"/>
              </w:rPr>
              <w:t>Electricity</w:t>
            </w:r>
          </w:p>
        </w:tc>
        <w:tc>
          <w:tcPr>
            <w:tcW w:w="322" w:type="pct"/>
            <w:shd w:val="clear" w:color="auto" w:fill="FFFFFF"/>
            <w:vAlign w:val="center"/>
          </w:tcPr>
          <w:p w14:paraId="3C2B31B3" w14:textId="1A37CF37" w:rsidR="00882C2B" w:rsidRPr="00C96D24" w:rsidRDefault="00882C2B" w:rsidP="00976F4E">
            <w:pPr>
              <w:pStyle w:val="CETBodytext"/>
              <w:jc w:val="center"/>
              <w:rPr>
                <w:sz w:val="13"/>
                <w:szCs w:val="13"/>
                <w:lang w:val="en-GB"/>
              </w:rPr>
            </w:pPr>
            <w:r w:rsidRPr="00C96D24">
              <w:rPr>
                <w:sz w:val="13"/>
                <w:szCs w:val="13"/>
                <w:lang w:val="en-GB"/>
              </w:rPr>
              <w:t>[TWh]</w:t>
            </w:r>
          </w:p>
        </w:tc>
        <w:tc>
          <w:tcPr>
            <w:tcW w:w="522" w:type="pct"/>
            <w:shd w:val="clear" w:color="auto" w:fill="FFFFFF"/>
            <w:vAlign w:val="center"/>
          </w:tcPr>
          <w:p w14:paraId="601E66D5" w14:textId="70CA5EAF" w:rsidR="00882C2B" w:rsidRPr="00C96D24" w:rsidRDefault="00882C2B" w:rsidP="00976F4E">
            <w:pPr>
              <w:pStyle w:val="CETBodytext"/>
              <w:jc w:val="center"/>
              <w:rPr>
                <w:sz w:val="13"/>
                <w:szCs w:val="13"/>
                <w:lang w:val="en-GB"/>
              </w:rPr>
            </w:pPr>
            <w:r w:rsidRPr="00C96D24">
              <w:rPr>
                <w:sz w:val="13"/>
                <w:szCs w:val="13"/>
              </w:rPr>
              <w:t>3.405</w:t>
            </w:r>
          </w:p>
        </w:tc>
        <w:tc>
          <w:tcPr>
            <w:tcW w:w="522" w:type="pct"/>
            <w:shd w:val="clear" w:color="auto" w:fill="FFFFFF"/>
            <w:vAlign w:val="center"/>
          </w:tcPr>
          <w:p w14:paraId="095BEC2C" w14:textId="0042B1EB" w:rsidR="00882C2B" w:rsidRPr="00C96D24" w:rsidRDefault="00882C2B" w:rsidP="00976F4E">
            <w:pPr>
              <w:pStyle w:val="CETBodytext"/>
              <w:ind w:right="-1"/>
              <w:jc w:val="center"/>
              <w:rPr>
                <w:sz w:val="13"/>
                <w:szCs w:val="13"/>
                <w:lang w:val="en-GB"/>
              </w:rPr>
            </w:pPr>
            <w:r w:rsidRPr="00C96D24">
              <w:rPr>
                <w:sz w:val="13"/>
                <w:szCs w:val="13"/>
              </w:rPr>
              <w:t>4.392</w:t>
            </w:r>
          </w:p>
        </w:tc>
        <w:tc>
          <w:tcPr>
            <w:tcW w:w="520" w:type="pct"/>
            <w:shd w:val="clear" w:color="auto" w:fill="FFFFFF"/>
            <w:vAlign w:val="center"/>
          </w:tcPr>
          <w:p w14:paraId="268011F4" w14:textId="08D1467E" w:rsidR="00882C2B" w:rsidRPr="00C96D24" w:rsidRDefault="00882C2B" w:rsidP="00976F4E">
            <w:pPr>
              <w:pStyle w:val="CETBodytext"/>
              <w:ind w:right="-1"/>
              <w:jc w:val="center"/>
              <w:rPr>
                <w:sz w:val="13"/>
                <w:szCs w:val="13"/>
                <w:lang w:val="en-GB"/>
              </w:rPr>
            </w:pPr>
            <w:r w:rsidRPr="00C96D24">
              <w:rPr>
                <w:sz w:val="13"/>
                <w:szCs w:val="13"/>
                <w:lang w:val="en-GB"/>
              </w:rPr>
              <w:t>30.949</w:t>
            </w:r>
          </w:p>
        </w:tc>
        <w:tc>
          <w:tcPr>
            <w:tcW w:w="522" w:type="pct"/>
            <w:tcBorders>
              <w:top w:val="nil"/>
              <w:bottom w:val="nil"/>
              <w:right w:val="nil"/>
            </w:tcBorders>
            <w:shd w:val="clear" w:color="auto" w:fill="FFFFFF"/>
            <w:vAlign w:val="center"/>
          </w:tcPr>
          <w:p w14:paraId="1AE20A94" w14:textId="5A665928" w:rsidR="00882C2B" w:rsidRPr="00C96D24" w:rsidRDefault="00882C2B" w:rsidP="00976F4E">
            <w:pPr>
              <w:pStyle w:val="CETBodytext"/>
              <w:ind w:right="-1"/>
              <w:jc w:val="center"/>
              <w:rPr>
                <w:sz w:val="13"/>
                <w:szCs w:val="13"/>
                <w:lang w:val="en-GB"/>
              </w:rPr>
            </w:pPr>
            <w:r w:rsidRPr="00C96D24">
              <w:rPr>
                <w:sz w:val="13"/>
                <w:szCs w:val="13"/>
              </w:rPr>
              <w:t>13.770</w:t>
            </w:r>
          </w:p>
        </w:tc>
        <w:tc>
          <w:tcPr>
            <w:tcW w:w="520" w:type="pct"/>
            <w:tcBorders>
              <w:top w:val="nil"/>
              <w:bottom w:val="nil"/>
              <w:right w:val="nil"/>
            </w:tcBorders>
            <w:shd w:val="clear" w:color="auto" w:fill="FFFFFF"/>
            <w:vAlign w:val="center"/>
          </w:tcPr>
          <w:p w14:paraId="614E448A" w14:textId="1CA1D384" w:rsidR="00882C2B" w:rsidRPr="00C96D24" w:rsidRDefault="00C06DB9" w:rsidP="00976F4E">
            <w:pPr>
              <w:pStyle w:val="CETBodytext"/>
              <w:ind w:right="-1"/>
              <w:jc w:val="center"/>
              <w:rPr>
                <w:sz w:val="13"/>
                <w:szCs w:val="13"/>
              </w:rPr>
            </w:pPr>
            <w:r w:rsidRPr="00C96D24">
              <w:rPr>
                <w:sz w:val="13"/>
                <w:szCs w:val="13"/>
              </w:rPr>
              <w:t>13.140</w:t>
            </w:r>
          </w:p>
        </w:tc>
        <w:tc>
          <w:tcPr>
            <w:tcW w:w="522" w:type="pct"/>
            <w:tcBorders>
              <w:top w:val="nil"/>
              <w:left w:val="nil"/>
              <w:bottom w:val="nil"/>
              <w:right w:val="nil"/>
            </w:tcBorders>
            <w:shd w:val="clear" w:color="auto" w:fill="FFFFFF"/>
            <w:vAlign w:val="center"/>
          </w:tcPr>
          <w:p w14:paraId="175A0016" w14:textId="4F148565" w:rsidR="00882C2B" w:rsidRPr="00C96D24" w:rsidRDefault="00882C2B" w:rsidP="00976F4E">
            <w:pPr>
              <w:pStyle w:val="CETBodytext"/>
              <w:ind w:right="-1"/>
              <w:jc w:val="center"/>
              <w:rPr>
                <w:sz w:val="13"/>
                <w:szCs w:val="13"/>
                <w:lang w:val="en-GB"/>
              </w:rPr>
            </w:pPr>
            <w:r w:rsidRPr="00C96D24">
              <w:rPr>
                <w:sz w:val="13"/>
                <w:szCs w:val="13"/>
              </w:rPr>
              <w:t>17.175</w:t>
            </w:r>
          </w:p>
        </w:tc>
        <w:tc>
          <w:tcPr>
            <w:tcW w:w="520" w:type="pct"/>
            <w:tcBorders>
              <w:top w:val="nil"/>
              <w:left w:val="nil"/>
              <w:bottom w:val="nil"/>
              <w:right w:val="nil"/>
            </w:tcBorders>
            <w:shd w:val="clear" w:color="auto" w:fill="FFFFFF"/>
            <w:vAlign w:val="center"/>
          </w:tcPr>
          <w:p w14:paraId="73D945D8" w14:textId="18BFFE6A" w:rsidR="00882C2B" w:rsidRPr="00C96D24" w:rsidRDefault="00882C2B" w:rsidP="00976F4E">
            <w:pPr>
              <w:pStyle w:val="CETBodytext"/>
              <w:ind w:right="-1"/>
              <w:jc w:val="center"/>
              <w:rPr>
                <w:sz w:val="13"/>
                <w:szCs w:val="13"/>
              </w:rPr>
            </w:pPr>
            <w:r w:rsidRPr="00C96D24">
              <w:rPr>
                <w:sz w:val="13"/>
                <w:szCs w:val="13"/>
              </w:rPr>
              <w:t>18.162</w:t>
            </w:r>
          </w:p>
        </w:tc>
        <w:tc>
          <w:tcPr>
            <w:tcW w:w="536" w:type="pct"/>
            <w:tcBorders>
              <w:top w:val="nil"/>
              <w:left w:val="nil"/>
              <w:bottom w:val="nil"/>
            </w:tcBorders>
            <w:shd w:val="clear" w:color="auto" w:fill="FFFFFF"/>
            <w:vAlign w:val="center"/>
          </w:tcPr>
          <w:p w14:paraId="1C260AF0" w14:textId="3FFED065" w:rsidR="00882C2B" w:rsidRPr="00C96D24" w:rsidRDefault="00C06DB9" w:rsidP="00976F4E">
            <w:pPr>
              <w:pStyle w:val="CETBodytext"/>
              <w:ind w:right="-1"/>
              <w:jc w:val="center"/>
              <w:rPr>
                <w:sz w:val="13"/>
                <w:szCs w:val="13"/>
              </w:rPr>
            </w:pPr>
            <w:r w:rsidRPr="00C96D24">
              <w:rPr>
                <w:sz w:val="13"/>
                <w:szCs w:val="13"/>
              </w:rPr>
              <w:t>44.089</w:t>
            </w:r>
          </w:p>
        </w:tc>
      </w:tr>
      <w:tr w:rsidR="00E65824" w:rsidRPr="00C96D24" w14:paraId="4A8319FA" w14:textId="41E5C995" w:rsidTr="00E65824">
        <w:trPr>
          <w:jc w:val="center"/>
        </w:trPr>
        <w:tc>
          <w:tcPr>
            <w:tcW w:w="483" w:type="pct"/>
            <w:shd w:val="clear" w:color="auto" w:fill="FFFFFF"/>
            <w:vAlign w:val="center"/>
          </w:tcPr>
          <w:p w14:paraId="3134B99A" w14:textId="39D9B1B2" w:rsidR="00882C2B" w:rsidRPr="00C96D24" w:rsidRDefault="00882C2B" w:rsidP="00976F4E">
            <w:pPr>
              <w:pStyle w:val="CETBodytext"/>
              <w:jc w:val="left"/>
              <w:rPr>
                <w:sz w:val="13"/>
                <w:szCs w:val="13"/>
                <w:lang w:val="en-GB"/>
              </w:rPr>
            </w:pPr>
            <w:r w:rsidRPr="00C96D24">
              <w:rPr>
                <w:sz w:val="13"/>
                <w:szCs w:val="13"/>
                <w:lang w:val="en-GB"/>
              </w:rPr>
              <w:t>Lime</w:t>
            </w:r>
          </w:p>
        </w:tc>
        <w:tc>
          <w:tcPr>
            <w:tcW w:w="322" w:type="pct"/>
            <w:shd w:val="clear" w:color="auto" w:fill="FFFFFF"/>
            <w:vAlign w:val="center"/>
          </w:tcPr>
          <w:p w14:paraId="4EC12302" w14:textId="27CDC7F2" w:rsidR="00882C2B" w:rsidRPr="00C96D24" w:rsidRDefault="00882C2B" w:rsidP="00976F4E">
            <w:pPr>
              <w:pStyle w:val="CETBodytext"/>
              <w:jc w:val="center"/>
              <w:rPr>
                <w:sz w:val="13"/>
                <w:szCs w:val="13"/>
                <w:lang w:val="en-GB"/>
              </w:rPr>
            </w:pPr>
            <w:r w:rsidRPr="00C96D24">
              <w:rPr>
                <w:sz w:val="13"/>
                <w:szCs w:val="13"/>
                <w:lang w:val="en-GB"/>
              </w:rPr>
              <w:t>[Mt]</w:t>
            </w:r>
          </w:p>
        </w:tc>
        <w:tc>
          <w:tcPr>
            <w:tcW w:w="522" w:type="pct"/>
            <w:shd w:val="clear" w:color="auto" w:fill="FFFFFF"/>
            <w:vAlign w:val="center"/>
          </w:tcPr>
          <w:p w14:paraId="6268EA4D" w14:textId="5E983B99" w:rsidR="00882C2B" w:rsidRPr="00C96D24" w:rsidRDefault="00882C2B" w:rsidP="00976F4E">
            <w:pPr>
              <w:pStyle w:val="CETBodytext"/>
              <w:jc w:val="center"/>
              <w:rPr>
                <w:sz w:val="13"/>
                <w:szCs w:val="13"/>
                <w:lang w:val="en-GB"/>
              </w:rPr>
            </w:pPr>
            <w:r w:rsidRPr="00C96D24">
              <w:rPr>
                <w:sz w:val="13"/>
                <w:szCs w:val="13"/>
              </w:rPr>
              <w:t>5.600</w:t>
            </w:r>
          </w:p>
        </w:tc>
        <w:tc>
          <w:tcPr>
            <w:tcW w:w="522" w:type="pct"/>
            <w:shd w:val="clear" w:color="auto" w:fill="FFFFFF"/>
            <w:vAlign w:val="center"/>
          </w:tcPr>
          <w:p w14:paraId="6DF17F5C" w14:textId="17C2F85D" w:rsidR="00882C2B" w:rsidRPr="00C96D24" w:rsidRDefault="00882C2B" w:rsidP="00976F4E">
            <w:pPr>
              <w:pStyle w:val="CETBodytext"/>
              <w:jc w:val="center"/>
              <w:rPr>
                <w:sz w:val="13"/>
                <w:szCs w:val="13"/>
                <w:lang w:val="en-GB"/>
              </w:rPr>
            </w:pPr>
            <w:r w:rsidRPr="00C96D24">
              <w:rPr>
                <w:sz w:val="13"/>
                <w:szCs w:val="13"/>
              </w:rPr>
              <w:t>0.358</w:t>
            </w:r>
          </w:p>
        </w:tc>
        <w:tc>
          <w:tcPr>
            <w:tcW w:w="520" w:type="pct"/>
            <w:shd w:val="clear" w:color="auto" w:fill="FFFFFF"/>
            <w:vAlign w:val="center"/>
          </w:tcPr>
          <w:p w14:paraId="64AFE222" w14:textId="699A3D02" w:rsidR="00882C2B" w:rsidRPr="00C96D24" w:rsidRDefault="00882C2B" w:rsidP="00976F4E">
            <w:pPr>
              <w:pStyle w:val="CETBodytext"/>
              <w:jc w:val="center"/>
              <w:rPr>
                <w:sz w:val="13"/>
                <w:szCs w:val="13"/>
                <w:lang w:val="en-GB"/>
              </w:rPr>
            </w:pPr>
            <w:r w:rsidRPr="00C96D24">
              <w:rPr>
                <w:sz w:val="13"/>
                <w:szCs w:val="13"/>
                <w:lang w:val="en-GB"/>
              </w:rPr>
              <w:t>0.358</w:t>
            </w:r>
          </w:p>
        </w:tc>
        <w:tc>
          <w:tcPr>
            <w:tcW w:w="522" w:type="pct"/>
            <w:tcBorders>
              <w:top w:val="nil"/>
              <w:bottom w:val="single" w:sz="12" w:space="0" w:color="008000"/>
              <w:right w:val="nil"/>
            </w:tcBorders>
            <w:shd w:val="clear" w:color="auto" w:fill="FFFFFF"/>
            <w:vAlign w:val="center"/>
          </w:tcPr>
          <w:p w14:paraId="78B51605" w14:textId="32CE90BD" w:rsidR="00882C2B" w:rsidRPr="00C96D24" w:rsidRDefault="00882C2B" w:rsidP="00976F4E">
            <w:pPr>
              <w:pStyle w:val="CETBodytext"/>
              <w:jc w:val="center"/>
              <w:rPr>
                <w:sz w:val="13"/>
                <w:szCs w:val="13"/>
                <w:lang w:val="en-GB"/>
              </w:rPr>
            </w:pPr>
            <w:r w:rsidRPr="00C96D24">
              <w:rPr>
                <w:sz w:val="13"/>
                <w:szCs w:val="13"/>
              </w:rPr>
              <w:t>1.065</w:t>
            </w:r>
          </w:p>
        </w:tc>
        <w:tc>
          <w:tcPr>
            <w:tcW w:w="520" w:type="pct"/>
            <w:tcBorders>
              <w:top w:val="nil"/>
              <w:bottom w:val="single" w:sz="12" w:space="0" w:color="008000"/>
              <w:right w:val="nil"/>
            </w:tcBorders>
            <w:shd w:val="clear" w:color="auto" w:fill="FFFFFF"/>
            <w:vAlign w:val="center"/>
          </w:tcPr>
          <w:p w14:paraId="2C0E5E73" w14:textId="5CA4B5F6" w:rsidR="00882C2B" w:rsidRPr="00C96D24" w:rsidRDefault="00C06DB9" w:rsidP="00976F4E">
            <w:pPr>
              <w:pStyle w:val="CETBodytext"/>
              <w:jc w:val="center"/>
              <w:rPr>
                <w:sz w:val="13"/>
                <w:szCs w:val="13"/>
              </w:rPr>
            </w:pPr>
            <w:r w:rsidRPr="00C96D24">
              <w:rPr>
                <w:sz w:val="13"/>
                <w:szCs w:val="13"/>
              </w:rPr>
              <w:t>1.065</w:t>
            </w:r>
          </w:p>
        </w:tc>
        <w:tc>
          <w:tcPr>
            <w:tcW w:w="522" w:type="pct"/>
            <w:tcBorders>
              <w:top w:val="nil"/>
              <w:left w:val="nil"/>
              <w:bottom w:val="single" w:sz="12" w:space="0" w:color="008000"/>
              <w:right w:val="nil"/>
            </w:tcBorders>
            <w:shd w:val="clear" w:color="auto" w:fill="FFFFFF"/>
            <w:vAlign w:val="center"/>
          </w:tcPr>
          <w:p w14:paraId="4EEB18CC" w14:textId="249966ED" w:rsidR="00882C2B" w:rsidRPr="00C96D24" w:rsidRDefault="00882C2B" w:rsidP="00976F4E">
            <w:pPr>
              <w:pStyle w:val="CETBodytext"/>
              <w:jc w:val="center"/>
              <w:rPr>
                <w:sz w:val="13"/>
                <w:szCs w:val="13"/>
                <w:lang w:val="en-GB"/>
              </w:rPr>
            </w:pPr>
            <w:r w:rsidRPr="00C96D24">
              <w:rPr>
                <w:sz w:val="13"/>
                <w:szCs w:val="13"/>
              </w:rPr>
              <w:t>6.665</w:t>
            </w:r>
          </w:p>
        </w:tc>
        <w:tc>
          <w:tcPr>
            <w:tcW w:w="520" w:type="pct"/>
            <w:tcBorders>
              <w:top w:val="nil"/>
              <w:left w:val="nil"/>
              <w:bottom w:val="single" w:sz="12" w:space="0" w:color="008000"/>
              <w:right w:val="nil"/>
            </w:tcBorders>
            <w:shd w:val="clear" w:color="auto" w:fill="FFFFFF"/>
            <w:vAlign w:val="center"/>
          </w:tcPr>
          <w:p w14:paraId="306853AC" w14:textId="618CC901" w:rsidR="00882C2B" w:rsidRPr="00C96D24" w:rsidRDefault="00882C2B" w:rsidP="00976F4E">
            <w:pPr>
              <w:pStyle w:val="CETBodytext"/>
              <w:jc w:val="center"/>
              <w:rPr>
                <w:sz w:val="13"/>
                <w:szCs w:val="13"/>
              </w:rPr>
            </w:pPr>
            <w:r w:rsidRPr="00C96D24">
              <w:rPr>
                <w:sz w:val="13"/>
                <w:szCs w:val="13"/>
              </w:rPr>
              <w:t>1.423</w:t>
            </w:r>
          </w:p>
        </w:tc>
        <w:tc>
          <w:tcPr>
            <w:tcW w:w="536" w:type="pct"/>
            <w:tcBorders>
              <w:top w:val="nil"/>
              <w:left w:val="nil"/>
              <w:bottom w:val="single" w:sz="12" w:space="0" w:color="008000"/>
            </w:tcBorders>
            <w:shd w:val="clear" w:color="auto" w:fill="FFFFFF"/>
            <w:vAlign w:val="center"/>
          </w:tcPr>
          <w:p w14:paraId="0A4264C2" w14:textId="3D2836A6" w:rsidR="00882C2B" w:rsidRPr="00C96D24" w:rsidRDefault="00C06DB9" w:rsidP="00976F4E">
            <w:pPr>
              <w:pStyle w:val="CETBodytext"/>
              <w:jc w:val="center"/>
              <w:rPr>
                <w:sz w:val="13"/>
                <w:szCs w:val="13"/>
              </w:rPr>
            </w:pPr>
            <w:r w:rsidRPr="00C96D24">
              <w:rPr>
                <w:sz w:val="13"/>
                <w:szCs w:val="13"/>
              </w:rPr>
              <w:t>6.040</w:t>
            </w:r>
          </w:p>
        </w:tc>
        <w:tc>
          <w:tcPr>
            <w:tcW w:w="11" w:type="pct"/>
            <w:shd w:val="clear" w:color="auto" w:fill="FFFFFF"/>
            <w:vAlign w:val="center"/>
          </w:tcPr>
          <w:p w14:paraId="27732B67" w14:textId="38F0D5AF" w:rsidR="00882C2B" w:rsidRPr="00C96D24" w:rsidRDefault="00882C2B" w:rsidP="00976F4E">
            <w:pPr>
              <w:pStyle w:val="CETBodytext"/>
              <w:jc w:val="center"/>
              <w:rPr>
                <w:sz w:val="13"/>
                <w:szCs w:val="13"/>
              </w:rPr>
            </w:pPr>
          </w:p>
        </w:tc>
      </w:tr>
    </w:tbl>
    <w:p w14:paraId="3C437594" w14:textId="64B512C5" w:rsidR="00C06DB9" w:rsidRPr="00C06DB9" w:rsidRDefault="00C06DB9" w:rsidP="000728CE">
      <w:pPr>
        <w:pStyle w:val="CETBodytext"/>
        <w:rPr>
          <w:i/>
          <w:sz w:val="12"/>
        </w:rPr>
      </w:pPr>
      <w:r>
        <w:rPr>
          <w:i/>
          <w:sz w:val="12"/>
          <w:vertAlign w:val="superscript"/>
        </w:rPr>
        <w:t>*</w:t>
      </w:r>
      <w:r>
        <w:rPr>
          <w:i/>
          <w:sz w:val="12"/>
        </w:rPr>
        <w:t>C: Conservative; P: Prospective; D: Desirable</w:t>
      </w:r>
    </w:p>
    <w:p w14:paraId="65E47640" w14:textId="4859E8C4" w:rsidR="000728CE" w:rsidRDefault="000728CE" w:rsidP="000728CE">
      <w:pPr>
        <w:pStyle w:val="CETBodytext"/>
        <w:rPr>
          <w:i/>
          <w:sz w:val="12"/>
        </w:rPr>
      </w:pPr>
      <w:r w:rsidRPr="000728CE">
        <w:rPr>
          <w:i/>
          <w:sz w:val="12"/>
          <w:vertAlign w:val="superscript"/>
        </w:rPr>
        <w:t>1</w:t>
      </w:r>
      <w:r w:rsidRPr="000728CE">
        <w:rPr>
          <w:i/>
          <w:sz w:val="12"/>
        </w:rPr>
        <w:t>(BF+BOF+</w:t>
      </w:r>
      <w:proofErr w:type="gramStart"/>
      <w:r w:rsidRPr="000728CE">
        <w:rPr>
          <w:i/>
          <w:sz w:val="12"/>
        </w:rPr>
        <w:t>HR)+</w:t>
      </w:r>
      <w:proofErr w:type="gramEnd"/>
      <w:r w:rsidRPr="000728CE">
        <w:rPr>
          <w:i/>
          <w:sz w:val="12"/>
        </w:rPr>
        <w:t xml:space="preserve">CCU = </w:t>
      </w:r>
      <w:r>
        <w:rPr>
          <w:i/>
          <w:sz w:val="12"/>
        </w:rPr>
        <w:t>Blast Furnace</w:t>
      </w:r>
      <w:r w:rsidRPr="000728CE">
        <w:rPr>
          <w:i/>
          <w:sz w:val="12"/>
        </w:rPr>
        <w:t xml:space="preserve"> + </w:t>
      </w:r>
      <w:r>
        <w:rPr>
          <w:i/>
          <w:sz w:val="12"/>
        </w:rPr>
        <w:t>Basic Oxygen Furnace</w:t>
      </w:r>
      <w:r w:rsidRPr="000728CE">
        <w:rPr>
          <w:i/>
          <w:sz w:val="12"/>
        </w:rPr>
        <w:t xml:space="preserve"> + </w:t>
      </w:r>
      <w:r>
        <w:rPr>
          <w:i/>
          <w:sz w:val="12"/>
        </w:rPr>
        <w:t>Hot rolling</w:t>
      </w:r>
      <w:r w:rsidRPr="000728CE">
        <w:rPr>
          <w:i/>
          <w:sz w:val="12"/>
        </w:rPr>
        <w:t xml:space="preserve"> + </w:t>
      </w:r>
      <w:r>
        <w:rPr>
          <w:i/>
          <w:sz w:val="12"/>
        </w:rPr>
        <w:t>Carbon Capture and Usage</w:t>
      </w:r>
    </w:p>
    <w:p w14:paraId="73372FB1" w14:textId="0338FF30" w:rsidR="009757CF" w:rsidRDefault="009757CF" w:rsidP="000728CE">
      <w:pPr>
        <w:pStyle w:val="CETBodytext"/>
        <w:rPr>
          <w:i/>
          <w:sz w:val="12"/>
        </w:rPr>
      </w:pPr>
      <w:r w:rsidRPr="009757CF">
        <w:rPr>
          <w:i/>
          <w:sz w:val="12"/>
          <w:vertAlign w:val="superscript"/>
        </w:rPr>
        <w:t>2</w:t>
      </w:r>
      <w:r w:rsidRPr="009757CF">
        <w:rPr>
          <w:i/>
          <w:sz w:val="12"/>
        </w:rPr>
        <w:t>(DRI_NG+EAF+</w:t>
      </w:r>
      <w:proofErr w:type="gramStart"/>
      <w:r w:rsidRPr="009757CF">
        <w:rPr>
          <w:i/>
          <w:sz w:val="12"/>
        </w:rPr>
        <w:t>HR)+</w:t>
      </w:r>
      <w:proofErr w:type="gramEnd"/>
      <w:r w:rsidRPr="009757CF">
        <w:rPr>
          <w:i/>
          <w:sz w:val="12"/>
        </w:rPr>
        <w:t xml:space="preserve">CCU = </w:t>
      </w:r>
      <w:r>
        <w:rPr>
          <w:i/>
          <w:sz w:val="12"/>
        </w:rPr>
        <w:t xml:space="preserve">natural gas-based DRI </w:t>
      </w:r>
      <w:r w:rsidRPr="009757CF">
        <w:rPr>
          <w:i/>
          <w:sz w:val="12"/>
        </w:rPr>
        <w:t xml:space="preserve">+ </w:t>
      </w:r>
      <w:r>
        <w:rPr>
          <w:i/>
          <w:sz w:val="12"/>
        </w:rPr>
        <w:t>Electric Arc Furnace</w:t>
      </w:r>
      <w:r w:rsidRPr="009757CF">
        <w:rPr>
          <w:i/>
          <w:sz w:val="12"/>
        </w:rPr>
        <w:t xml:space="preserve">+ </w:t>
      </w:r>
      <w:r>
        <w:rPr>
          <w:i/>
          <w:sz w:val="12"/>
        </w:rPr>
        <w:t>Hot Rolling</w:t>
      </w:r>
      <w:r w:rsidRPr="009757CF">
        <w:rPr>
          <w:i/>
          <w:sz w:val="12"/>
        </w:rPr>
        <w:t xml:space="preserve"> + </w:t>
      </w:r>
      <w:r>
        <w:rPr>
          <w:i/>
          <w:sz w:val="12"/>
        </w:rPr>
        <w:t>Carbon Capture and Usage</w:t>
      </w:r>
    </w:p>
    <w:p w14:paraId="2E840F16" w14:textId="4B0DD508" w:rsidR="009757CF" w:rsidRDefault="009757CF" w:rsidP="000728CE">
      <w:pPr>
        <w:pStyle w:val="CETBodytext"/>
        <w:rPr>
          <w:i/>
          <w:sz w:val="12"/>
        </w:rPr>
      </w:pPr>
      <w:r>
        <w:rPr>
          <w:i/>
          <w:sz w:val="12"/>
          <w:vertAlign w:val="superscript"/>
        </w:rPr>
        <w:t>3</w:t>
      </w:r>
      <w:r w:rsidRPr="009757CF">
        <w:rPr>
          <w:i/>
          <w:sz w:val="12"/>
        </w:rPr>
        <w:t>DRI_</w:t>
      </w:r>
      <w:r>
        <w:rPr>
          <w:i/>
          <w:sz w:val="12"/>
        </w:rPr>
        <w:t>H2</w:t>
      </w:r>
      <w:r w:rsidRPr="009757CF">
        <w:rPr>
          <w:i/>
          <w:sz w:val="12"/>
        </w:rPr>
        <w:t xml:space="preserve">+EAF+HR = </w:t>
      </w:r>
      <w:r>
        <w:rPr>
          <w:i/>
          <w:sz w:val="12"/>
        </w:rPr>
        <w:t xml:space="preserve">hydrogen-based DRI </w:t>
      </w:r>
      <w:r w:rsidRPr="009757CF">
        <w:rPr>
          <w:i/>
          <w:sz w:val="12"/>
        </w:rPr>
        <w:t xml:space="preserve">+ </w:t>
      </w:r>
      <w:r>
        <w:rPr>
          <w:i/>
          <w:sz w:val="12"/>
        </w:rPr>
        <w:t>Electric Arc Furnace</w:t>
      </w:r>
      <w:r w:rsidRPr="009757CF">
        <w:rPr>
          <w:i/>
          <w:sz w:val="12"/>
        </w:rPr>
        <w:t xml:space="preserve">+ </w:t>
      </w:r>
      <w:r>
        <w:rPr>
          <w:i/>
          <w:sz w:val="12"/>
        </w:rPr>
        <w:t>Hot Rolling</w:t>
      </w:r>
    </w:p>
    <w:p w14:paraId="3A0A97C8" w14:textId="0D8AA897" w:rsidR="000C13D8" w:rsidRDefault="009757CF" w:rsidP="000728CE">
      <w:pPr>
        <w:pStyle w:val="CETBodytext"/>
        <w:rPr>
          <w:i/>
          <w:sz w:val="12"/>
        </w:rPr>
      </w:pPr>
      <w:r>
        <w:rPr>
          <w:i/>
          <w:sz w:val="12"/>
          <w:vertAlign w:val="superscript"/>
        </w:rPr>
        <w:t>4</w:t>
      </w:r>
      <w:r w:rsidR="000728CE" w:rsidRPr="000728CE">
        <w:rPr>
          <w:i/>
          <w:sz w:val="12"/>
        </w:rPr>
        <w:t>(EAF+</w:t>
      </w:r>
      <w:proofErr w:type="gramStart"/>
      <w:r w:rsidR="000728CE" w:rsidRPr="000728CE">
        <w:rPr>
          <w:i/>
          <w:sz w:val="12"/>
        </w:rPr>
        <w:t>HR)+</w:t>
      </w:r>
      <w:proofErr w:type="gramEnd"/>
      <w:r w:rsidR="000728CE" w:rsidRPr="000728CE">
        <w:rPr>
          <w:i/>
          <w:sz w:val="12"/>
        </w:rPr>
        <w:t xml:space="preserve">CCU = </w:t>
      </w:r>
      <w:r w:rsidR="000728CE">
        <w:rPr>
          <w:i/>
          <w:sz w:val="12"/>
        </w:rPr>
        <w:t>Electric Arc Furnace</w:t>
      </w:r>
      <w:r w:rsidR="000728CE" w:rsidRPr="000728CE">
        <w:rPr>
          <w:i/>
          <w:sz w:val="12"/>
        </w:rPr>
        <w:t xml:space="preserve"> + </w:t>
      </w:r>
      <w:r w:rsidR="000728CE">
        <w:rPr>
          <w:i/>
          <w:sz w:val="12"/>
        </w:rPr>
        <w:t xml:space="preserve">Hot Rolling </w:t>
      </w:r>
      <w:r w:rsidR="000728CE" w:rsidRPr="000728CE">
        <w:rPr>
          <w:i/>
          <w:sz w:val="12"/>
        </w:rPr>
        <w:t xml:space="preserve">+ </w:t>
      </w:r>
      <w:r w:rsidR="000728CE">
        <w:rPr>
          <w:i/>
          <w:sz w:val="12"/>
        </w:rPr>
        <w:t>Carbon Capture and Usage</w:t>
      </w:r>
      <w:r w:rsidR="000728CE" w:rsidRPr="000728CE">
        <w:rPr>
          <w:i/>
          <w:sz w:val="12"/>
        </w:rPr>
        <w:t xml:space="preserve"> (80%)</w:t>
      </w:r>
    </w:p>
    <w:p w14:paraId="20DAF91A" w14:textId="11E3B5C8" w:rsidR="00DB5513" w:rsidRDefault="00DB5513" w:rsidP="000728CE">
      <w:pPr>
        <w:pStyle w:val="CETBodytext"/>
        <w:rPr>
          <w:i/>
          <w:sz w:val="12"/>
        </w:rPr>
      </w:pPr>
      <w:r w:rsidRPr="00DB5513">
        <w:rPr>
          <w:i/>
          <w:sz w:val="12"/>
          <w:vertAlign w:val="superscript"/>
        </w:rPr>
        <w:t>5</w:t>
      </w:r>
      <w:r>
        <w:rPr>
          <w:i/>
          <w:sz w:val="12"/>
        </w:rPr>
        <w:t>EAF+HR = Electric Arc Furnace</w:t>
      </w:r>
      <w:r w:rsidRPr="000728CE">
        <w:rPr>
          <w:i/>
          <w:sz w:val="12"/>
        </w:rPr>
        <w:t xml:space="preserve"> + </w:t>
      </w:r>
      <w:r>
        <w:rPr>
          <w:i/>
          <w:sz w:val="12"/>
        </w:rPr>
        <w:t>Hot Rolling</w:t>
      </w:r>
    </w:p>
    <w:p w14:paraId="67C17958" w14:textId="47979B1A" w:rsidR="003877BC" w:rsidRDefault="00A40E84" w:rsidP="00A40E84">
      <w:pPr>
        <w:pStyle w:val="CETHeading1"/>
      </w:pPr>
      <w:r>
        <w:t>Results and Discussion</w:t>
      </w:r>
    </w:p>
    <w:p w14:paraId="245058A0" w14:textId="3163D6DA" w:rsidR="00E93E7E" w:rsidRDefault="002D65FA" w:rsidP="00486AEC">
      <w:pPr>
        <w:pStyle w:val="CETBodytext"/>
        <w:rPr>
          <w:lang w:val="en-GB"/>
        </w:rPr>
      </w:pPr>
      <w:r w:rsidRPr="00436335">
        <w:rPr>
          <w:lang w:val="en-GB"/>
        </w:rPr>
        <w:t xml:space="preserve">A comparison of </w:t>
      </w:r>
      <w:r>
        <w:rPr>
          <w:lang w:val="en-GB"/>
        </w:rPr>
        <w:t>indicators</w:t>
      </w:r>
      <w:r w:rsidRPr="00436335">
        <w:rPr>
          <w:lang w:val="en-GB"/>
        </w:rPr>
        <w:t xml:space="preserve"> under the three decarbonization scenarios</w:t>
      </w:r>
      <w:r w:rsidR="008C52C3">
        <w:rPr>
          <w:lang w:val="en-GB"/>
        </w:rPr>
        <w:t xml:space="preserve"> by 2050</w:t>
      </w:r>
      <w:r w:rsidRPr="00436335">
        <w:rPr>
          <w:lang w:val="en-GB"/>
        </w:rPr>
        <w:t xml:space="preserve"> (Conservative, Prospective, and Desirable) can be made</w:t>
      </w:r>
      <w:r w:rsidR="008C52C3">
        <w:rPr>
          <w:lang w:val="en-GB"/>
        </w:rPr>
        <w:t xml:space="preserve"> </w:t>
      </w:r>
      <w:r>
        <w:rPr>
          <w:lang w:val="en-GB"/>
        </w:rPr>
        <w:t xml:space="preserve">as </w:t>
      </w:r>
      <w:r w:rsidR="008C52C3">
        <w:rPr>
          <w:lang w:val="en-GB"/>
        </w:rPr>
        <w:t>shown</w:t>
      </w:r>
      <w:r>
        <w:rPr>
          <w:lang w:val="en-GB"/>
        </w:rPr>
        <w:t xml:space="preserve"> in </w:t>
      </w:r>
      <w:r>
        <w:rPr>
          <w:lang w:val="en-GB"/>
        </w:rPr>
        <w:fldChar w:fldCharType="begin"/>
      </w:r>
      <w:r>
        <w:rPr>
          <w:lang w:val="en-GB"/>
        </w:rPr>
        <w:instrText xml:space="preserve"> REF _Ref184302662 \h </w:instrText>
      </w:r>
      <w:r>
        <w:rPr>
          <w:lang w:val="en-GB"/>
        </w:rPr>
      </w:r>
      <w:r>
        <w:rPr>
          <w:lang w:val="en-GB"/>
        </w:rPr>
        <w:fldChar w:fldCharType="separate"/>
      </w:r>
      <w:r w:rsidR="00B67C34">
        <w:t xml:space="preserve">Table </w:t>
      </w:r>
      <w:r w:rsidR="00B67C34">
        <w:rPr>
          <w:noProof/>
        </w:rPr>
        <w:t>2</w:t>
      </w:r>
      <w:r>
        <w:rPr>
          <w:lang w:val="en-GB"/>
        </w:rPr>
        <w:fldChar w:fldCharType="end"/>
      </w:r>
      <w:r>
        <w:rPr>
          <w:lang w:val="en-GB"/>
        </w:rPr>
        <w:t>, where the CO</w:t>
      </w:r>
      <w:r w:rsidRPr="002D65FA">
        <w:rPr>
          <w:vertAlign w:val="subscript"/>
          <w:lang w:val="en-GB"/>
        </w:rPr>
        <w:t>2</w:t>
      </w:r>
      <w:r w:rsidRPr="00436335">
        <w:rPr>
          <w:lang w:val="en-GB"/>
        </w:rPr>
        <w:t xml:space="preserve"> </w:t>
      </w:r>
      <w:r>
        <w:rPr>
          <w:lang w:val="en-GB"/>
        </w:rPr>
        <w:t>emissions</w:t>
      </w:r>
      <w:r w:rsidRPr="00436335">
        <w:rPr>
          <w:lang w:val="en-GB"/>
        </w:rPr>
        <w:t xml:space="preserve"> </w:t>
      </w:r>
      <w:r>
        <w:rPr>
          <w:lang w:val="en-GB"/>
        </w:rPr>
        <w:t xml:space="preserve">in </w:t>
      </w:r>
      <w:r w:rsidRPr="00436335">
        <w:rPr>
          <w:lang w:val="en-GB"/>
        </w:rPr>
        <w:t>2022</w:t>
      </w:r>
      <w:r w:rsidR="005761D6">
        <w:rPr>
          <w:lang w:val="en-GB"/>
        </w:rPr>
        <w:t xml:space="preserve"> (</w:t>
      </w:r>
      <w:r w:rsidR="005761D6" w:rsidRPr="00436335">
        <w:rPr>
          <w:lang w:val="en-GB"/>
        </w:rPr>
        <w:t xml:space="preserve">0.74 </w:t>
      </w:r>
      <w:proofErr w:type="spellStart"/>
      <w:r w:rsidR="005761D6" w:rsidRPr="00436335">
        <w:rPr>
          <w:lang w:val="en-GB"/>
        </w:rPr>
        <w:t>tCO</w:t>
      </w:r>
      <w:proofErr w:type="spellEnd"/>
      <w:r w:rsidR="005761D6" w:rsidRPr="00436335">
        <w:rPr>
          <w:rFonts w:ascii="Cambria Math" w:hAnsi="Cambria Math" w:cs="Cambria Math"/>
          <w:lang w:val="en-GB"/>
        </w:rPr>
        <w:t>₂</w:t>
      </w:r>
      <w:r w:rsidR="005761D6" w:rsidRPr="00436335">
        <w:rPr>
          <w:lang w:val="en-GB"/>
        </w:rPr>
        <w:t>/</w:t>
      </w:r>
      <w:proofErr w:type="spellStart"/>
      <w:r w:rsidR="005761D6">
        <w:rPr>
          <w:lang w:val="en-GB"/>
        </w:rPr>
        <w:t>t</w:t>
      </w:r>
      <w:r w:rsidR="005761D6" w:rsidRPr="008C52C3">
        <w:rPr>
          <w:vertAlign w:val="subscript"/>
          <w:lang w:val="en-GB"/>
        </w:rPr>
        <w:t>steel</w:t>
      </w:r>
      <w:proofErr w:type="spellEnd"/>
      <w:r w:rsidR="005761D6">
        <w:rPr>
          <w:lang w:val="en-GB"/>
        </w:rPr>
        <w:t xml:space="preserve"> </w:t>
      </w:r>
      <w:r w:rsidR="005761D6">
        <w:rPr>
          <w:lang w:val="en-GB"/>
        </w:rPr>
        <w:fldChar w:fldCharType="begin" w:fldLock="1"/>
      </w:r>
      <w:r w:rsidR="00E25654">
        <w:rPr>
          <w:lang w:val="en-GB"/>
        </w:rPr>
        <w:instrText>ADDIN CSL_CITATION {"citationItems":[{"id":"ITEM-1","itemData":{"author":[{"dropping-particle":"","family":"Federacciai","given":"","non-dropping-particle":"","parse-names":false,"suffix":""}],"id":"ITEM-1","issued":{"date-parts":[["2023"]]},"title":"Rapporto di sostenibilità 2023 - Sustainability report 2023","type":"report"},"uris":["http://www.mendeley.com/documents/?uuid=e426cdcc-705c-4359-a4ed-ca384aeb5833"]}],"mendeley":{"formattedCitation":"(Federacciai, 2023b)","plainTextFormattedCitation":"(Federacciai, 2023b)","previouslyFormattedCitation":"(Federacciai, 2023b)"},"properties":{"noteIndex":0},"schema":"https://github.com/citation-style-language/schema/raw/master/csl-citation.json"}</w:instrText>
      </w:r>
      <w:r w:rsidR="005761D6">
        <w:rPr>
          <w:lang w:val="en-GB"/>
        </w:rPr>
        <w:fldChar w:fldCharType="separate"/>
      </w:r>
      <w:r w:rsidR="005761D6" w:rsidRPr="005761D6">
        <w:rPr>
          <w:noProof/>
          <w:lang w:val="en-GB"/>
        </w:rPr>
        <w:t>(Federacciai, 2023b)</w:t>
      </w:r>
      <w:r w:rsidR="005761D6">
        <w:rPr>
          <w:lang w:val="en-GB"/>
        </w:rPr>
        <w:fldChar w:fldCharType="end"/>
      </w:r>
      <w:r w:rsidR="005761D6">
        <w:rPr>
          <w:lang w:val="en-GB"/>
        </w:rPr>
        <w:t>)</w:t>
      </w:r>
      <w:r>
        <w:rPr>
          <w:lang w:val="en-GB"/>
        </w:rPr>
        <w:t xml:space="preserve"> </w:t>
      </w:r>
      <w:r w:rsidR="008C52C3">
        <w:rPr>
          <w:lang w:val="en-GB"/>
        </w:rPr>
        <w:t xml:space="preserve">have been </w:t>
      </w:r>
      <w:r w:rsidR="00E93E7E">
        <w:rPr>
          <w:lang w:val="en-GB"/>
        </w:rPr>
        <w:t>used</w:t>
      </w:r>
      <w:r w:rsidR="008C52C3">
        <w:rPr>
          <w:lang w:val="en-GB"/>
        </w:rPr>
        <w:t xml:space="preserve"> </w:t>
      </w:r>
      <w:r w:rsidRPr="00436335">
        <w:rPr>
          <w:lang w:val="en-GB"/>
        </w:rPr>
        <w:t xml:space="preserve">for </w:t>
      </w:r>
      <w:r w:rsidR="008C52C3">
        <w:rPr>
          <w:lang w:val="en-GB"/>
        </w:rPr>
        <w:t>an annual production</w:t>
      </w:r>
      <w:r w:rsidRPr="00436335">
        <w:rPr>
          <w:lang w:val="en-GB"/>
        </w:rPr>
        <w:t xml:space="preserve"> </w:t>
      </w:r>
      <w:r w:rsidR="008C52C3">
        <w:rPr>
          <w:lang w:val="en-GB"/>
        </w:rPr>
        <w:t>of 25 Mt</w:t>
      </w:r>
      <w:r w:rsidRPr="00436335">
        <w:rPr>
          <w:lang w:val="en-GB"/>
        </w:rPr>
        <w:t>, assuming no decarbonization technologies are introduced (Business As Usual - BAU).</w:t>
      </w:r>
      <w:r w:rsidR="00123072" w:rsidRPr="00436335">
        <w:rPr>
          <w:lang w:val="en-GB"/>
        </w:rPr>
        <w:t xml:space="preserve"> </w:t>
      </w:r>
      <w:r w:rsidR="00E93E7E">
        <w:rPr>
          <w:lang w:val="en-GB"/>
        </w:rPr>
        <w:t xml:space="preserve">Long-term decarbonization of the Italian energy mix alone or with contributions from self-generated decarbonized energy might accomplish the projected emission factor for energy used in the steelmaking process in 2050 (137 </w:t>
      </w:r>
      <w:proofErr w:type="spellStart"/>
      <w:r w:rsidR="00E93E7E">
        <w:rPr>
          <w:lang w:val="en-GB"/>
        </w:rPr>
        <w:t>gCO</w:t>
      </w:r>
      <w:proofErr w:type="spellEnd"/>
      <w:r w:rsidR="00E93E7E">
        <w:rPr>
          <w:rFonts w:ascii="Cambria Math" w:hAnsi="Cambria Math" w:cs="Cambria Math"/>
          <w:lang w:val="en-GB"/>
        </w:rPr>
        <w:t>₂</w:t>
      </w:r>
      <w:r w:rsidR="00E93E7E">
        <w:rPr>
          <w:lang w:val="en-GB"/>
        </w:rPr>
        <w:t xml:space="preserve">/kWh). In fact, an increase from the current 31.1 % of Italy's electricity mix to 67.6 % in 2050 would be sufficient to meet the desired target, assuming a restructured national energy mix with a greater share of renewable sources, in line with ISPRA's prediction </w:t>
      </w:r>
      <w:r w:rsidR="00E93E7E">
        <w:rPr>
          <w:lang w:val="en-GB"/>
        </w:rPr>
        <w:fldChar w:fldCharType="begin" w:fldLock="1"/>
      </w:r>
      <w:r w:rsidR="00E93E7E">
        <w:rPr>
          <w:lang w:val="en-GB"/>
        </w:rPr>
        <w:instrText>ADDIN CSL_CITATION {"citationItems":[{"id":"ITEM-1","itemData":{"ISBN":"9788844811563","author":[{"dropping-particle":"","family":"ISPRA - Istituto Superiore per la Protezione e la Ricerca Ambientale","given":"","non-dropping-particle":"","parse-names":false,"suffix":""}],"id":"ITEM-1","issued":{"date-parts":[["2023"]]},"title":"Le emissioni di gas serra in Italia: obiettivi di riduzione e scenari emissivi - Greenhouse Gas Emissions in Italy: Reduction Targets and Emission Scenarios","type":"report"},"uris":["http://www.mendeley.com/documents/?uuid=c36cc429-5ed8-4e48-b65a-85a2e3b467e0"]}],"mendeley":{"formattedCitation":"(ISPRA - Istituto Superiore per la Protezione e la Ricerca Ambientale, 2023)","manualFormatting":"(2023)","plainTextFormattedCitation":"(ISPRA - Istituto Superiore per la Protezione e la Ricerca Ambientale, 2023)","previouslyFormattedCitation":"(ISPRA - Istituto Superiore per la Protezione e la Ricerca Ambientale, 2023)"},"properties":{"noteIndex":0},"schema":"https://github.com/citation-style-language/schema/raw/master/csl-citation.json"}</w:instrText>
      </w:r>
      <w:r w:rsidR="00E93E7E">
        <w:rPr>
          <w:lang w:val="en-GB"/>
        </w:rPr>
        <w:fldChar w:fldCharType="separate"/>
      </w:r>
      <w:r w:rsidR="00E93E7E" w:rsidRPr="00502EF4">
        <w:rPr>
          <w:noProof/>
          <w:lang w:val="en-GB"/>
        </w:rPr>
        <w:t>(2023)</w:t>
      </w:r>
      <w:r w:rsidR="00E93E7E">
        <w:rPr>
          <w:lang w:val="en-GB"/>
        </w:rPr>
        <w:fldChar w:fldCharType="end"/>
      </w:r>
      <w:r w:rsidR="00E93E7E">
        <w:rPr>
          <w:lang w:val="en-GB"/>
        </w:rPr>
        <w:t xml:space="preserve"> of a 70 % renewable share in Italy's electricity mix. </w:t>
      </w:r>
      <w:r w:rsidR="00E93E7E">
        <w:t>Otherwise, the current emission factor (291.1 gCO</w:t>
      </w:r>
      <w:r w:rsidR="00E93E7E" w:rsidRPr="00F2006A">
        <w:rPr>
          <w:vertAlign w:val="subscript"/>
        </w:rPr>
        <w:t>2</w:t>
      </w:r>
      <w:r w:rsidR="00E93E7E">
        <w:t xml:space="preserve">/kWh) could still drop to the required target if 53% of energy consumption were satisfied by on-site renewable sources; nonetheless, both these contributions are </w:t>
      </w:r>
      <w:r w:rsidR="00E93E7E" w:rsidRPr="00EF378A">
        <w:t>probably going to help the industry achieve decarbonization.</w:t>
      </w:r>
      <w:r w:rsidR="00E93E7E">
        <w:t xml:space="preserve"> </w:t>
      </w:r>
      <w:r w:rsidR="00E93E7E" w:rsidRPr="00EF378A">
        <w:t xml:space="preserve">All proposed scenarios reduce emissions in the steel sector compared to a </w:t>
      </w:r>
      <w:r w:rsidR="00E93E7E">
        <w:t xml:space="preserve">BAU </w:t>
      </w:r>
      <w:r w:rsidR="00E93E7E" w:rsidRPr="00EF378A">
        <w:t>scenario</w:t>
      </w:r>
      <w:r w:rsidR="00E93E7E">
        <w:t>.</w:t>
      </w:r>
      <w:r w:rsidR="00E93E7E" w:rsidRPr="00E93E7E">
        <w:t xml:space="preserve"> </w:t>
      </w:r>
      <w:r w:rsidR="00E93E7E" w:rsidRPr="00EF378A">
        <w:t xml:space="preserve">The Conservative </w:t>
      </w:r>
      <w:r w:rsidR="00E93E7E">
        <w:t>s</w:t>
      </w:r>
      <w:r w:rsidR="00E93E7E" w:rsidRPr="00EF378A">
        <w:t>cenario focuses on short-term measures, primarily adding CO</w:t>
      </w:r>
      <w:r w:rsidR="00E93E7E" w:rsidRPr="00EF378A">
        <w:rPr>
          <w:rFonts w:ascii="Cambria Math" w:hAnsi="Cambria Math" w:cs="Cambria Math"/>
        </w:rPr>
        <w:t>₂</w:t>
      </w:r>
      <w:r w:rsidR="00E93E7E" w:rsidRPr="00EF378A">
        <w:t xml:space="preserve"> capture to existing BF-BOF and EAF systems. This reduces emissions to 8.753 </w:t>
      </w:r>
      <w:proofErr w:type="spellStart"/>
      <w:r w:rsidR="00E93E7E" w:rsidRPr="00EF378A">
        <w:t>MtCO</w:t>
      </w:r>
      <w:proofErr w:type="spellEnd"/>
      <w:r w:rsidR="00E93E7E" w:rsidRPr="00EF378A">
        <w:rPr>
          <w:rFonts w:ascii="Cambria Math" w:hAnsi="Cambria Math" w:cs="Cambria Math"/>
        </w:rPr>
        <w:t>₂</w:t>
      </w:r>
      <w:r w:rsidR="00E93E7E" w:rsidRPr="00EF378A">
        <w:t xml:space="preserve"> (-53.3%) but relies heavily on CO</w:t>
      </w:r>
      <w:r w:rsidR="00E93E7E" w:rsidRPr="00EF378A">
        <w:rPr>
          <w:rFonts w:ascii="Cambria Math" w:hAnsi="Cambria Math" w:cs="Cambria Math"/>
        </w:rPr>
        <w:t>₂</w:t>
      </w:r>
      <w:r w:rsidR="00E93E7E" w:rsidRPr="00EF378A">
        <w:t xml:space="preserve"> storage or conversion, limiting its long-term effectiveness. The Prospective </w:t>
      </w:r>
      <w:r w:rsidR="00E93E7E">
        <w:t>s</w:t>
      </w:r>
      <w:r w:rsidR="00E93E7E" w:rsidRPr="00EF378A">
        <w:t>cenario introduces</w:t>
      </w:r>
      <w:r w:rsidR="00E93E7E">
        <w:t xml:space="preserve"> natural</w:t>
      </w:r>
      <w:r w:rsidR="00E93E7E" w:rsidRPr="00EF378A">
        <w:t xml:space="preserve"> gas-based DRI and renewable energy, achieving emissions of 6.036 </w:t>
      </w:r>
      <w:proofErr w:type="spellStart"/>
      <w:r w:rsidR="00E93E7E" w:rsidRPr="00EF378A">
        <w:t>MtCO</w:t>
      </w:r>
      <w:proofErr w:type="spellEnd"/>
      <w:r w:rsidR="00E93E7E" w:rsidRPr="00EF378A">
        <w:rPr>
          <w:rFonts w:ascii="Cambria Math" w:hAnsi="Cambria Math" w:cs="Cambria Math"/>
        </w:rPr>
        <w:t>₂</w:t>
      </w:r>
      <w:r w:rsidR="00E93E7E" w:rsidRPr="00EF378A">
        <w:t xml:space="preserve"> (-67.8%) through innovative technologie</w:t>
      </w:r>
      <w:r w:rsidR="00E93E7E">
        <w:t>s, but still relying on CCU</w:t>
      </w:r>
      <w:r w:rsidR="00E93E7E" w:rsidRPr="00EF378A">
        <w:t>.</w:t>
      </w:r>
      <w:r w:rsidR="00E93E7E" w:rsidRPr="00E93E7E">
        <w:t xml:space="preserve"> </w:t>
      </w:r>
      <w:r w:rsidR="00E93E7E" w:rsidRPr="00EF378A">
        <w:t xml:space="preserve">The Desirable </w:t>
      </w:r>
      <w:r w:rsidR="00E93E7E">
        <w:t>s</w:t>
      </w:r>
      <w:r w:rsidR="00E93E7E" w:rsidRPr="00EF378A">
        <w:t>cenario</w:t>
      </w:r>
      <w:r w:rsidR="00E93E7E">
        <w:t xml:space="preserve"> </w:t>
      </w:r>
      <w:r w:rsidR="00E93E7E" w:rsidRPr="00EF378A">
        <w:t>represents the ideal long-term solution</w:t>
      </w:r>
      <w:r w:rsidR="00E93E7E">
        <w:t xml:space="preserve"> as it </w:t>
      </w:r>
      <w:r w:rsidR="00E93E7E" w:rsidRPr="00EF378A">
        <w:t xml:space="preserve">envisions a fully fossil-free approach with green hydrogen DRI and a renewable energy mix, cutting emissions to 6.040 </w:t>
      </w:r>
      <w:proofErr w:type="spellStart"/>
      <w:r w:rsidR="00E93E7E" w:rsidRPr="00EF378A">
        <w:t>MtCO</w:t>
      </w:r>
      <w:proofErr w:type="spellEnd"/>
      <w:r w:rsidR="00E93E7E" w:rsidRPr="00EF378A">
        <w:rPr>
          <w:rFonts w:ascii="Cambria Math" w:hAnsi="Cambria Math" w:cs="Cambria Math"/>
        </w:rPr>
        <w:t>₂</w:t>
      </w:r>
      <w:r w:rsidR="00E93E7E" w:rsidRPr="00EF378A">
        <w:t xml:space="preserve"> (-67.8%) and offering the most sustainable path to complete decarbonization</w:t>
      </w:r>
      <w:r w:rsidR="00E93E7E">
        <w:t>, as it can further improve thanks to a progressive decarbonization of the electricity generations sector.</w:t>
      </w:r>
    </w:p>
    <w:p w14:paraId="60A3BD59" w14:textId="77777777" w:rsidR="00E93E7E" w:rsidRPr="00B57B36" w:rsidRDefault="00E93E7E" w:rsidP="00E93E7E">
      <w:pPr>
        <w:pStyle w:val="CETTabletitle"/>
      </w:pPr>
      <w:bookmarkStart w:id="4" w:name="_Ref184302662"/>
      <w:r>
        <w:lastRenderedPageBreak/>
        <w:t xml:space="preserve">Table </w:t>
      </w:r>
      <w:r>
        <w:fldChar w:fldCharType="begin"/>
      </w:r>
      <w:r>
        <w:instrText xml:space="preserve"> SEQ Table \* ARABIC </w:instrText>
      </w:r>
      <w:r>
        <w:fldChar w:fldCharType="separate"/>
      </w:r>
      <w:r>
        <w:rPr>
          <w:noProof/>
        </w:rPr>
        <w:t>2</w:t>
      </w:r>
      <w:r>
        <w:fldChar w:fldCharType="end"/>
      </w:r>
      <w:bookmarkEnd w:id="4"/>
      <w:r>
        <w:t>: Sustainability indicators for scenarios evaluation: CO</w:t>
      </w:r>
      <w:r w:rsidRPr="00A40E84">
        <w:rPr>
          <w:vertAlign w:val="subscript"/>
        </w:rPr>
        <w:t>2</w:t>
      </w:r>
      <w:r>
        <w:t xml:space="preserve"> emissions, LCOP and overall workforce</w:t>
      </w:r>
    </w:p>
    <w:tbl>
      <w:tblPr>
        <w:tblW w:w="4987" w:type="pct"/>
        <w:jc w:val="center"/>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554"/>
        <w:gridCol w:w="992"/>
        <w:gridCol w:w="2126"/>
        <w:gridCol w:w="1134"/>
        <w:gridCol w:w="992"/>
        <w:gridCol w:w="966"/>
      </w:tblGrid>
      <w:tr w:rsidR="00E93E7E" w:rsidRPr="00C96D24" w14:paraId="42A100A1" w14:textId="77777777" w:rsidTr="008114DF">
        <w:trPr>
          <w:jc w:val="center"/>
        </w:trPr>
        <w:tc>
          <w:tcPr>
            <w:tcW w:w="1457" w:type="pct"/>
            <w:tcBorders>
              <w:top w:val="single" w:sz="12" w:space="0" w:color="008000"/>
              <w:bottom w:val="single" w:sz="6" w:space="0" w:color="008000"/>
              <w:right w:val="nil"/>
            </w:tcBorders>
            <w:shd w:val="clear" w:color="auto" w:fill="FFFFFF"/>
            <w:vAlign w:val="center"/>
          </w:tcPr>
          <w:p w14:paraId="04A3EA42" w14:textId="77777777" w:rsidR="00E93E7E" w:rsidRPr="00C422AC" w:rsidRDefault="00E93E7E" w:rsidP="00AF692F">
            <w:pPr>
              <w:pStyle w:val="CETBodytext"/>
              <w:jc w:val="left"/>
            </w:pPr>
            <w:r>
              <w:t>Scenario</w:t>
            </w:r>
          </w:p>
        </w:tc>
        <w:tc>
          <w:tcPr>
            <w:tcW w:w="566" w:type="pct"/>
            <w:tcBorders>
              <w:top w:val="single" w:sz="12" w:space="0" w:color="008000"/>
              <w:left w:val="nil"/>
              <w:bottom w:val="single" w:sz="6" w:space="0" w:color="008000"/>
              <w:right w:val="nil"/>
            </w:tcBorders>
            <w:shd w:val="clear" w:color="auto" w:fill="FFFFFF"/>
            <w:vAlign w:val="center"/>
          </w:tcPr>
          <w:p w14:paraId="1F5EA12C" w14:textId="77777777" w:rsidR="00E93E7E" w:rsidRPr="00C96D24" w:rsidRDefault="00E93E7E" w:rsidP="00AF692F">
            <w:pPr>
              <w:pStyle w:val="CETBodytext"/>
              <w:jc w:val="left"/>
            </w:pPr>
          </w:p>
        </w:tc>
        <w:tc>
          <w:tcPr>
            <w:tcW w:w="1213" w:type="pct"/>
            <w:tcBorders>
              <w:top w:val="single" w:sz="12" w:space="0" w:color="008000"/>
              <w:left w:val="nil"/>
              <w:bottom w:val="single" w:sz="6" w:space="0" w:color="008000"/>
              <w:right w:val="nil"/>
            </w:tcBorders>
            <w:shd w:val="clear" w:color="auto" w:fill="FFFFFF"/>
            <w:vAlign w:val="center"/>
          </w:tcPr>
          <w:p w14:paraId="0C59DB7F" w14:textId="77777777" w:rsidR="00E93E7E" w:rsidRPr="00C422AC" w:rsidRDefault="00E93E7E" w:rsidP="00AF692F">
            <w:pPr>
              <w:pStyle w:val="CETBodytext"/>
              <w:jc w:val="center"/>
            </w:pPr>
            <w:r>
              <w:t>Business as Usual (BAU)</w:t>
            </w:r>
          </w:p>
        </w:tc>
        <w:tc>
          <w:tcPr>
            <w:tcW w:w="647" w:type="pct"/>
            <w:tcBorders>
              <w:top w:val="single" w:sz="12" w:space="0" w:color="008000"/>
              <w:left w:val="nil"/>
              <w:bottom w:val="single" w:sz="6" w:space="0" w:color="008000"/>
              <w:right w:val="nil"/>
            </w:tcBorders>
            <w:shd w:val="clear" w:color="auto" w:fill="FFFFFF"/>
            <w:vAlign w:val="center"/>
          </w:tcPr>
          <w:p w14:paraId="6E4647B0" w14:textId="77777777" w:rsidR="00E93E7E" w:rsidRPr="00C422AC" w:rsidRDefault="00E93E7E" w:rsidP="00AF692F">
            <w:pPr>
              <w:pStyle w:val="CETBodytext"/>
              <w:jc w:val="center"/>
            </w:pPr>
            <w:r>
              <w:t>Conservative</w:t>
            </w:r>
          </w:p>
        </w:tc>
        <w:tc>
          <w:tcPr>
            <w:tcW w:w="566" w:type="pct"/>
            <w:tcBorders>
              <w:top w:val="single" w:sz="12" w:space="0" w:color="008000"/>
              <w:left w:val="nil"/>
              <w:bottom w:val="single" w:sz="6" w:space="0" w:color="008000"/>
              <w:right w:val="nil"/>
            </w:tcBorders>
            <w:shd w:val="clear" w:color="auto" w:fill="FFFFFF"/>
            <w:vAlign w:val="center"/>
          </w:tcPr>
          <w:p w14:paraId="19391FC1" w14:textId="77777777" w:rsidR="00E93E7E" w:rsidRPr="00C422AC" w:rsidRDefault="00E93E7E" w:rsidP="00AF692F">
            <w:pPr>
              <w:pStyle w:val="CETBodytext"/>
              <w:jc w:val="center"/>
            </w:pPr>
            <w:r>
              <w:t>Prospective</w:t>
            </w:r>
          </w:p>
        </w:tc>
        <w:tc>
          <w:tcPr>
            <w:tcW w:w="551" w:type="pct"/>
            <w:tcBorders>
              <w:top w:val="single" w:sz="12" w:space="0" w:color="008000"/>
              <w:left w:val="nil"/>
              <w:bottom w:val="single" w:sz="6" w:space="0" w:color="008000"/>
              <w:right w:val="nil"/>
            </w:tcBorders>
            <w:shd w:val="clear" w:color="auto" w:fill="FFFFFF"/>
            <w:vAlign w:val="center"/>
          </w:tcPr>
          <w:p w14:paraId="3F83E97C" w14:textId="77777777" w:rsidR="00E93E7E" w:rsidRPr="00C422AC" w:rsidRDefault="00E93E7E" w:rsidP="00AF692F">
            <w:pPr>
              <w:pStyle w:val="CETBodytext"/>
              <w:jc w:val="center"/>
            </w:pPr>
            <w:r>
              <w:t>Desirable</w:t>
            </w:r>
          </w:p>
        </w:tc>
      </w:tr>
      <w:tr w:rsidR="00E93E7E" w:rsidRPr="00C96D24" w14:paraId="780D42C9" w14:textId="77777777" w:rsidTr="008114DF">
        <w:trPr>
          <w:jc w:val="center"/>
        </w:trPr>
        <w:tc>
          <w:tcPr>
            <w:tcW w:w="1457" w:type="pct"/>
            <w:tcBorders>
              <w:right w:val="nil"/>
            </w:tcBorders>
            <w:shd w:val="clear" w:color="auto" w:fill="FFFFFF"/>
            <w:vAlign w:val="center"/>
          </w:tcPr>
          <w:p w14:paraId="35A1FE60" w14:textId="77777777" w:rsidR="00E93E7E" w:rsidRPr="00C422AC" w:rsidRDefault="00E93E7E" w:rsidP="00AF692F">
            <w:pPr>
              <w:pStyle w:val="CETBodytext"/>
              <w:jc w:val="left"/>
            </w:pPr>
            <w:r w:rsidRPr="00C422AC">
              <w:rPr>
                <w:bCs/>
              </w:rPr>
              <w:t>Heat</w:t>
            </w:r>
            <w:r>
              <w:rPr>
                <w:bCs/>
              </w:rPr>
              <w:t xml:space="preserve"> Consumption</w:t>
            </w:r>
          </w:p>
        </w:tc>
        <w:tc>
          <w:tcPr>
            <w:tcW w:w="566" w:type="pct"/>
            <w:tcBorders>
              <w:left w:val="nil"/>
              <w:right w:val="nil"/>
            </w:tcBorders>
            <w:shd w:val="clear" w:color="auto" w:fill="FFFFFF"/>
            <w:vAlign w:val="center"/>
          </w:tcPr>
          <w:p w14:paraId="22A87335" w14:textId="77777777" w:rsidR="00E93E7E" w:rsidRPr="00C96D24" w:rsidRDefault="00E93E7E" w:rsidP="008114DF">
            <w:pPr>
              <w:pStyle w:val="CETBodytext"/>
              <w:jc w:val="center"/>
            </w:pPr>
            <w:r w:rsidRPr="00C422AC">
              <w:t>[GJ]*10</w:t>
            </w:r>
            <w:r w:rsidRPr="00303A9C">
              <w:rPr>
                <w:vertAlign w:val="superscript"/>
              </w:rPr>
              <w:t>6</w:t>
            </w:r>
          </w:p>
        </w:tc>
        <w:tc>
          <w:tcPr>
            <w:tcW w:w="1213" w:type="pct"/>
            <w:tcBorders>
              <w:left w:val="nil"/>
              <w:bottom w:val="nil"/>
              <w:right w:val="nil"/>
            </w:tcBorders>
            <w:shd w:val="clear" w:color="auto" w:fill="FFFFFF"/>
            <w:vAlign w:val="center"/>
          </w:tcPr>
          <w:p w14:paraId="335872ED" w14:textId="77777777" w:rsidR="00E93E7E" w:rsidRPr="00C96D24" w:rsidRDefault="00E93E7E" w:rsidP="008114DF">
            <w:pPr>
              <w:pStyle w:val="CETBodytext"/>
              <w:jc w:val="center"/>
            </w:pPr>
            <w:r w:rsidRPr="00C422AC">
              <w:t>73</w:t>
            </w:r>
            <w:r>
              <w:t>.</w:t>
            </w:r>
            <w:r w:rsidRPr="00C422AC">
              <w:t>1</w:t>
            </w:r>
            <w:r>
              <w:t>58</w:t>
            </w:r>
          </w:p>
        </w:tc>
        <w:tc>
          <w:tcPr>
            <w:tcW w:w="647" w:type="pct"/>
            <w:tcBorders>
              <w:left w:val="nil"/>
              <w:bottom w:val="nil"/>
              <w:right w:val="nil"/>
            </w:tcBorders>
            <w:shd w:val="clear" w:color="auto" w:fill="FFFFFF"/>
            <w:vAlign w:val="center"/>
          </w:tcPr>
          <w:p w14:paraId="633DAA30" w14:textId="77777777" w:rsidR="00E93E7E" w:rsidRPr="00C96D24" w:rsidRDefault="00E93E7E" w:rsidP="008114DF">
            <w:pPr>
              <w:pStyle w:val="CETBodytext"/>
              <w:jc w:val="center"/>
            </w:pPr>
            <w:r w:rsidRPr="00C422AC">
              <w:t>73</w:t>
            </w:r>
            <w:r>
              <w:t>.158</w:t>
            </w:r>
          </w:p>
        </w:tc>
        <w:tc>
          <w:tcPr>
            <w:tcW w:w="566" w:type="pct"/>
            <w:tcBorders>
              <w:left w:val="nil"/>
              <w:bottom w:val="nil"/>
              <w:right w:val="nil"/>
            </w:tcBorders>
            <w:shd w:val="clear" w:color="auto" w:fill="FFFFFF"/>
            <w:vAlign w:val="center"/>
          </w:tcPr>
          <w:p w14:paraId="4FB6E733" w14:textId="77777777" w:rsidR="00E93E7E" w:rsidRPr="00C96D24" w:rsidRDefault="00E93E7E" w:rsidP="008114DF">
            <w:pPr>
              <w:pStyle w:val="CETBodytext"/>
              <w:jc w:val="center"/>
            </w:pPr>
            <w:r w:rsidRPr="00C422AC">
              <w:t>141</w:t>
            </w:r>
            <w:r>
              <w:t>.</w:t>
            </w:r>
            <w:r w:rsidRPr="00C422AC">
              <w:t>891</w:t>
            </w:r>
          </w:p>
        </w:tc>
        <w:tc>
          <w:tcPr>
            <w:tcW w:w="551" w:type="pct"/>
            <w:tcBorders>
              <w:left w:val="nil"/>
              <w:bottom w:val="nil"/>
            </w:tcBorders>
            <w:shd w:val="clear" w:color="auto" w:fill="FFFFFF"/>
            <w:vAlign w:val="center"/>
          </w:tcPr>
          <w:p w14:paraId="36D081B8" w14:textId="77777777" w:rsidR="00E93E7E" w:rsidRPr="00C96D24" w:rsidRDefault="00E93E7E" w:rsidP="008114DF">
            <w:pPr>
              <w:pStyle w:val="CETBodytext"/>
              <w:jc w:val="center"/>
            </w:pPr>
            <w:r w:rsidRPr="00C422AC">
              <w:t>54</w:t>
            </w:r>
            <w:r>
              <w:t>.</w:t>
            </w:r>
            <w:r w:rsidRPr="00C422AC">
              <w:t>206</w:t>
            </w:r>
          </w:p>
        </w:tc>
      </w:tr>
      <w:tr w:rsidR="00E93E7E" w:rsidRPr="00C96D24" w14:paraId="426E9AA6" w14:textId="77777777" w:rsidTr="008114DF">
        <w:trPr>
          <w:jc w:val="center"/>
        </w:trPr>
        <w:tc>
          <w:tcPr>
            <w:tcW w:w="1457" w:type="pct"/>
            <w:tcBorders>
              <w:right w:val="nil"/>
            </w:tcBorders>
            <w:shd w:val="clear" w:color="auto" w:fill="FFFFFF"/>
            <w:vAlign w:val="center"/>
          </w:tcPr>
          <w:p w14:paraId="2FC81C25" w14:textId="77777777" w:rsidR="00E93E7E" w:rsidRPr="00C422AC" w:rsidRDefault="00E93E7E" w:rsidP="00AF692F">
            <w:pPr>
              <w:pStyle w:val="CETBodytext"/>
              <w:jc w:val="left"/>
            </w:pPr>
            <w:r>
              <w:rPr>
                <w:bCs/>
              </w:rPr>
              <w:t>Electricity Consumption</w:t>
            </w:r>
          </w:p>
        </w:tc>
        <w:tc>
          <w:tcPr>
            <w:tcW w:w="566" w:type="pct"/>
            <w:tcBorders>
              <w:left w:val="nil"/>
              <w:right w:val="nil"/>
            </w:tcBorders>
            <w:shd w:val="clear" w:color="auto" w:fill="FFFFFF"/>
            <w:vAlign w:val="center"/>
          </w:tcPr>
          <w:p w14:paraId="2AEC8C7D" w14:textId="77777777" w:rsidR="00E93E7E" w:rsidRPr="00C96D24" w:rsidRDefault="00E93E7E" w:rsidP="008114DF">
            <w:pPr>
              <w:pStyle w:val="CETBodytext"/>
              <w:jc w:val="center"/>
            </w:pPr>
            <w:r w:rsidRPr="00C422AC">
              <w:t>[TWh]</w:t>
            </w:r>
          </w:p>
        </w:tc>
        <w:tc>
          <w:tcPr>
            <w:tcW w:w="1213" w:type="pct"/>
            <w:tcBorders>
              <w:top w:val="nil"/>
              <w:left w:val="nil"/>
              <w:bottom w:val="nil"/>
              <w:right w:val="nil"/>
            </w:tcBorders>
            <w:shd w:val="clear" w:color="auto" w:fill="FFFFFF"/>
            <w:vAlign w:val="center"/>
          </w:tcPr>
          <w:p w14:paraId="4FD6511B" w14:textId="77777777" w:rsidR="00E93E7E" w:rsidRPr="00C96D24" w:rsidRDefault="00E93E7E" w:rsidP="008114DF">
            <w:pPr>
              <w:pStyle w:val="CETBodytext"/>
              <w:jc w:val="center"/>
            </w:pPr>
            <w:r w:rsidRPr="00C422AC">
              <w:t>14</w:t>
            </w:r>
            <w:r>
              <w:t>.</w:t>
            </w:r>
            <w:r w:rsidRPr="00C422AC">
              <w:t>120</w:t>
            </w:r>
          </w:p>
        </w:tc>
        <w:tc>
          <w:tcPr>
            <w:tcW w:w="647" w:type="pct"/>
            <w:tcBorders>
              <w:top w:val="nil"/>
              <w:left w:val="nil"/>
              <w:bottom w:val="nil"/>
              <w:right w:val="nil"/>
            </w:tcBorders>
            <w:shd w:val="clear" w:color="auto" w:fill="FFFFFF"/>
            <w:vAlign w:val="center"/>
          </w:tcPr>
          <w:p w14:paraId="6BF24D66" w14:textId="77777777" w:rsidR="00E93E7E" w:rsidRPr="00C96D24" w:rsidRDefault="00E93E7E" w:rsidP="008114DF">
            <w:pPr>
              <w:pStyle w:val="CETBodytext"/>
              <w:jc w:val="center"/>
            </w:pPr>
            <w:r w:rsidRPr="00C422AC">
              <w:t>17</w:t>
            </w:r>
            <w:r>
              <w:t>.</w:t>
            </w:r>
            <w:r w:rsidRPr="00C422AC">
              <w:t>175</w:t>
            </w:r>
          </w:p>
        </w:tc>
        <w:tc>
          <w:tcPr>
            <w:tcW w:w="566" w:type="pct"/>
            <w:tcBorders>
              <w:top w:val="nil"/>
              <w:left w:val="nil"/>
              <w:bottom w:val="nil"/>
              <w:right w:val="nil"/>
            </w:tcBorders>
            <w:shd w:val="clear" w:color="auto" w:fill="FFFFFF"/>
            <w:vAlign w:val="center"/>
          </w:tcPr>
          <w:p w14:paraId="49904507" w14:textId="77777777" w:rsidR="00E93E7E" w:rsidRPr="00C96D24" w:rsidRDefault="00E93E7E" w:rsidP="008114DF">
            <w:pPr>
              <w:pStyle w:val="CETBodytext"/>
              <w:jc w:val="center"/>
            </w:pPr>
            <w:r w:rsidRPr="00C422AC">
              <w:t>18</w:t>
            </w:r>
            <w:r>
              <w:t>.</w:t>
            </w:r>
            <w:r w:rsidRPr="00C422AC">
              <w:t>162</w:t>
            </w:r>
          </w:p>
        </w:tc>
        <w:tc>
          <w:tcPr>
            <w:tcW w:w="551" w:type="pct"/>
            <w:tcBorders>
              <w:top w:val="nil"/>
              <w:left w:val="nil"/>
              <w:bottom w:val="nil"/>
              <w:right w:val="nil"/>
            </w:tcBorders>
            <w:shd w:val="clear" w:color="auto" w:fill="FFFFFF"/>
            <w:vAlign w:val="center"/>
          </w:tcPr>
          <w:p w14:paraId="3EB50ADD" w14:textId="77777777" w:rsidR="00E93E7E" w:rsidRPr="00C422AC" w:rsidRDefault="00E93E7E" w:rsidP="008114DF">
            <w:pPr>
              <w:pStyle w:val="CETBodytext"/>
              <w:jc w:val="center"/>
            </w:pPr>
            <w:r w:rsidRPr="00C422AC">
              <w:t>44</w:t>
            </w:r>
            <w:r>
              <w:t>.</w:t>
            </w:r>
            <w:r w:rsidRPr="00C422AC">
              <w:t>089</w:t>
            </w:r>
          </w:p>
        </w:tc>
      </w:tr>
      <w:tr w:rsidR="00E93E7E" w:rsidRPr="00C96D24" w14:paraId="2C006C7E" w14:textId="77777777" w:rsidTr="008114DF">
        <w:trPr>
          <w:jc w:val="center"/>
        </w:trPr>
        <w:tc>
          <w:tcPr>
            <w:tcW w:w="1457" w:type="pct"/>
            <w:tcBorders>
              <w:right w:val="nil"/>
            </w:tcBorders>
            <w:shd w:val="clear" w:color="auto" w:fill="FFFFFF"/>
            <w:vAlign w:val="center"/>
          </w:tcPr>
          <w:p w14:paraId="282FAE65" w14:textId="77777777" w:rsidR="00E93E7E" w:rsidRPr="00C422AC" w:rsidRDefault="00E93E7E" w:rsidP="00AF692F">
            <w:pPr>
              <w:pStyle w:val="CETBodytext"/>
              <w:jc w:val="left"/>
            </w:pPr>
            <w:r w:rsidRPr="00C422AC">
              <w:rPr>
                <w:bCs/>
              </w:rPr>
              <w:t>Direct</w:t>
            </w:r>
            <w:r>
              <w:rPr>
                <w:bCs/>
              </w:rPr>
              <w:t xml:space="preserve"> CO</w:t>
            </w:r>
            <w:r w:rsidRPr="00C422AC">
              <w:rPr>
                <w:bCs/>
                <w:vertAlign w:val="subscript"/>
              </w:rPr>
              <w:t>2</w:t>
            </w:r>
            <w:r>
              <w:rPr>
                <w:bCs/>
              </w:rPr>
              <w:t xml:space="preserve"> emission</w:t>
            </w:r>
          </w:p>
        </w:tc>
        <w:tc>
          <w:tcPr>
            <w:tcW w:w="566" w:type="pct"/>
            <w:tcBorders>
              <w:left w:val="nil"/>
              <w:right w:val="nil"/>
            </w:tcBorders>
            <w:shd w:val="clear" w:color="auto" w:fill="FFFFFF"/>
            <w:vAlign w:val="center"/>
          </w:tcPr>
          <w:p w14:paraId="4842153C" w14:textId="77777777" w:rsidR="00E93E7E" w:rsidRPr="00C96D24" w:rsidRDefault="00E93E7E" w:rsidP="008114DF">
            <w:pPr>
              <w:pStyle w:val="CETBodytext"/>
              <w:jc w:val="center"/>
            </w:pPr>
            <w:r w:rsidRPr="00C422AC">
              <w:t>[Mt]</w:t>
            </w:r>
          </w:p>
        </w:tc>
        <w:tc>
          <w:tcPr>
            <w:tcW w:w="1213" w:type="pct"/>
            <w:tcBorders>
              <w:top w:val="nil"/>
              <w:left w:val="nil"/>
              <w:bottom w:val="nil"/>
              <w:right w:val="nil"/>
            </w:tcBorders>
            <w:shd w:val="clear" w:color="auto" w:fill="FFFFFF"/>
            <w:vAlign w:val="center"/>
          </w:tcPr>
          <w:p w14:paraId="2A356FA5" w14:textId="77777777" w:rsidR="00E93E7E" w:rsidRPr="00C96D24" w:rsidRDefault="00E93E7E" w:rsidP="008114DF">
            <w:pPr>
              <w:pStyle w:val="CETBodytext"/>
              <w:jc w:val="center"/>
            </w:pPr>
            <w:r w:rsidRPr="00C422AC">
              <w:t>16</w:t>
            </w:r>
            <w:r>
              <w:t>.</w:t>
            </w:r>
            <w:r w:rsidRPr="00C422AC">
              <w:t>837</w:t>
            </w:r>
          </w:p>
        </w:tc>
        <w:tc>
          <w:tcPr>
            <w:tcW w:w="647" w:type="pct"/>
            <w:tcBorders>
              <w:top w:val="nil"/>
              <w:left w:val="nil"/>
              <w:bottom w:val="nil"/>
              <w:right w:val="nil"/>
            </w:tcBorders>
            <w:shd w:val="clear" w:color="auto" w:fill="FFFFFF"/>
            <w:vAlign w:val="center"/>
          </w:tcPr>
          <w:p w14:paraId="5F08E667" w14:textId="77777777" w:rsidR="00E93E7E" w:rsidRPr="00C96D24" w:rsidRDefault="00E93E7E" w:rsidP="008114DF">
            <w:pPr>
              <w:pStyle w:val="CETBodytext"/>
              <w:jc w:val="center"/>
            </w:pPr>
            <w:r w:rsidRPr="00C422AC">
              <w:t>6</w:t>
            </w:r>
            <w:r>
              <w:t>.</w:t>
            </w:r>
            <w:r w:rsidRPr="00C422AC">
              <w:t>40</w:t>
            </w:r>
          </w:p>
        </w:tc>
        <w:tc>
          <w:tcPr>
            <w:tcW w:w="566" w:type="pct"/>
            <w:tcBorders>
              <w:top w:val="nil"/>
              <w:left w:val="nil"/>
              <w:bottom w:val="nil"/>
              <w:right w:val="nil"/>
            </w:tcBorders>
            <w:shd w:val="clear" w:color="auto" w:fill="FFFFFF"/>
            <w:vAlign w:val="center"/>
          </w:tcPr>
          <w:p w14:paraId="737BF8F9" w14:textId="77777777" w:rsidR="00E93E7E" w:rsidRPr="00C96D24" w:rsidRDefault="00E93E7E" w:rsidP="008114DF">
            <w:pPr>
              <w:pStyle w:val="CETBodytext"/>
              <w:jc w:val="center"/>
            </w:pPr>
            <w:r w:rsidRPr="00C422AC">
              <w:t>2</w:t>
            </w:r>
            <w:r>
              <w:t>.</w:t>
            </w:r>
            <w:r w:rsidRPr="00C422AC">
              <w:t>871</w:t>
            </w:r>
          </w:p>
        </w:tc>
        <w:tc>
          <w:tcPr>
            <w:tcW w:w="551" w:type="pct"/>
            <w:tcBorders>
              <w:top w:val="nil"/>
              <w:left w:val="nil"/>
              <w:bottom w:val="nil"/>
              <w:right w:val="nil"/>
            </w:tcBorders>
            <w:shd w:val="clear" w:color="auto" w:fill="FFFFFF"/>
            <w:vAlign w:val="center"/>
          </w:tcPr>
          <w:p w14:paraId="760B5673" w14:textId="77777777" w:rsidR="00E93E7E" w:rsidRPr="00C96D24" w:rsidRDefault="00E93E7E" w:rsidP="008114DF">
            <w:pPr>
              <w:pStyle w:val="CETBodytext"/>
              <w:jc w:val="center"/>
            </w:pPr>
            <w:r w:rsidRPr="00C422AC">
              <w:t>3</w:t>
            </w:r>
            <w:r>
              <w:t>.</w:t>
            </w:r>
            <w:r w:rsidRPr="00C422AC">
              <w:t>6</w:t>
            </w:r>
            <w:r>
              <w:t>26</w:t>
            </w:r>
            <w:r w:rsidRPr="002D1B74">
              <w:rPr>
                <w:vertAlign w:val="superscript"/>
              </w:rPr>
              <w:t>1</w:t>
            </w:r>
          </w:p>
        </w:tc>
      </w:tr>
      <w:tr w:rsidR="00E93E7E" w:rsidRPr="00C96D24" w14:paraId="002DCDFF" w14:textId="77777777" w:rsidTr="008114DF">
        <w:trPr>
          <w:jc w:val="center"/>
        </w:trPr>
        <w:tc>
          <w:tcPr>
            <w:tcW w:w="1457" w:type="pct"/>
            <w:tcBorders>
              <w:right w:val="nil"/>
            </w:tcBorders>
            <w:shd w:val="clear" w:color="auto" w:fill="FFFFFF"/>
            <w:vAlign w:val="center"/>
          </w:tcPr>
          <w:p w14:paraId="274EFB36" w14:textId="77777777" w:rsidR="00E93E7E" w:rsidRPr="00C422AC" w:rsidRDefault="00E93E7E" w:rsidP="00AF692F">
            <w:pPr>
              <w:pStyle w:val="CETBodytext"/>
              <w:jc w:val="left"/>
            </w:pPr>
            <w:r>
              <w:rPr>
                <w:bCs/>
              </w:rPr>
              <w:t>Indirect CO</w:t>
            </w:r>
            <w:r w:rsidRPr="007201D1">
              <w:rPr>
                <w:bCs/>
                <w:vertAlign w:val="subscript"/>
              </w:rPr>
              <w:t>2</w:t>
            </w:r>
            <w:r>
              <w:rPr>
                <w:bCs/>
              </w:rPr>
              <w:t xml:space="preserve"> emissions in 2022</w:t>
            </w:r>
            <w:r>
              <w:rPr>
                <w:bCs/>
                <w:vertAlign w:val="superscript"/>
              </w:rPr>
              <w:t>2</w:t>
            </w:r>
          </w:p>
        </w:tc>
        <w:tc>
          <w:tcPr>
            <w:tcW w:w="566" w:type="pct"/>
            <w:tcBorders>
              <w:left w:val="nil"/>
              <w:right w:val="nil"/>
            </w:tcBorders>
            <w:shd w:val="clear" w:color="auto" w:fill="FFFFFF"/>
            <w:vAlign w:val="center"/>
          </w:tcPr>
          <w:p w14:paraId="1C080D80" w14:textId="77777777" w:rsidR="00E93E7E" w:rsidRPr="00C96D24" w:rsidRDefault="00E93E7E" w:rsidP="008114DF">
            <w:pPr>
              <w:pStyle w:val="CETBodytext"/>
              <w:jc w:val="center"/>
            </w:pPr>
            <w:r w:rsidRPr="00C422AC">
              <w:t>[Mt]</w:t>
            </w:r>
          </w:p>
        </w:tc>
        <w:tc>
          <w:tcPr>
            <w:tcW w:w="1213" w:type="pct"/>
            <w:tcBorders>
              <w:top w:val="nil"/>
              <w:left w:val="nil"/>
              <w:bottom w:val="nil"/>
              <w:right w:val="nil"/>
            </w:tcBorders>
            <w:shd w:val="clear" w:color="auto" w:fill="FFFFFF"/>
            <w:vAlign w:val="center"/>
          </w:tcPr>
          <w:p w14:paraId="7BFABAE4" w14:textId="77777777" w:rsidR="00E93E7E" w:rsidRPr="00C96D24" w:rsidRDefault="00E93E7E" w:rsidP="008114DF">
            <w:pPr>
              <w:pStyle w:val="CETBodytext"/>
              <w:jc w:val="center"/>
            </w:pPr>
            <w:r w:rsidRPr="00C422AC">
              <w:t>1</w:t>
            </w:r>
            <w:r>
              <w:t>.</w:t>
            </w:r>
            <w:r w:rsidRPr="00C422AC">
              <w:t>934</w:t>
            </w:r>
          </w:p>
        </w:tc>
        <w:tc>
          <w:tcPr>
            <w:tcW w:w="647" w:type="pct"/>
            <w:tcBorders>
              <w:top w:val="nil"/>
              <w:left w:val="nil"/>
              <w:bottom w:val="nil"/>
              <w:right w:val="nil"/>
            </w:tcBorders>
            <w:shd w:val="clear" w:color="auto" w:fill="FFFFFF"/>
            <w:vAlign w:val="center"/>
          </w:tcPr>
          <w:p w14:paraId="5CE0C366" w14:textId="77777777" w:rsidR="00E93E7E" w:rsidRPr="00C96D24" w:rsidRDefault="00E93E7E" w:rsidP="008114DF">
            <w:pPr>
              <w:pStyle w:val="CETBodytext"/>
              <w:jc w:val="center"/>
            </w:pPr>
            <w:r w:rsidRPr="00C422AC">
              <w:t>5</w:t>
            </w:r>
            <w:r>
              <w:t>.</w:t>
            </w:r>
            <w:r w:rsidRPr="00C422AC">
              <w:t>00</w:t>
            </w:r>
          </w:p>
        </w:tc>
        <w:tc>
          <w:tcPr>
            <w:tcW w:w="566" w:type="pct"/>
            <w:tcBorders>
              <w:top w:val="nil"/>
              <w:left w:val="nil"/>
              <w:bottom w:val="nil"/>
              <w:right w:val="nil"/>
            </w:tcBorders>
            <w:shd w:val="clear" w:color="auto" w:fill="FFFFFF"/>
            <w:vAlign w:val="center"/>
          </w:tcPr>
          <w:p w14:paraId="35B50296" w14:textId="77777777" w:rsidR="00E93E7E" w:rsidRPr="00C96D24" w:rsidRDefault="00E93E7E" w:rsidP="008114DF">
            <w:pPr>
              <w:pStyle w:val="CETBodytext"/>
              <w:jc w:val="center"/>
            </w:pPr>
            <w:r w:rsidRPr="00C422AC">
              <w:t>5</w:t>
            </w:r>
            <w:r>
              <w:t>.</w:t>
            </w:r>
            <w:r w:rsidRPr="00C422AC">
              <w:t>261</w:t>
            </w:r>
          </w:p>
        </w:tc>
        <w:tc>
          <w:tcPr>
            <w:tcW w:w="551" w:type="pct"/>
            <w:tcBorders>
              <w:top w:val="nil"/>
              <w:left w:val="nil"/>
              <w:bottom w:val="nil"/>
              <w:right w:val="nil"/>
            </w:tcBorders>
            <w:shd w:val="clear" w:color="auto" w:fill="FFFFFF"/>
            <w:vAlign w:val="center"/>
          </w:tcPr>
          <w:p w14:paraId="7C3108DC" w14:textId="77777777" w:rsidR="00E93E7E" w:rsidRPr="00C96D24" w:rsidRDefault="00E93E7E" w:rsidP="008114DF">
            <w:pPr>
              <w:pStyle w:val="CETBodytext"/>
              <w:jc w:val="center"/>
            </w:pPr>
            <w:r w:rsidRPr="00C422AC">
              <w:t>12</w:t>
            </w:r>
            <w:r>
              <w:t>.</w:t>
            </w:r>
            <w:r w:rsidRPr="00C422AC">
              <w:t>83</w:t>
            </w:r>
            <w:r>
              <w:t>0</w:t>
            </w:r>
          </w:p>
        </w:tc>
      </w:tr>
      <w:tr w:rsidR="00E93E7E" w:rsidRPr="00C96D24" w14:paraId="380E8FEC" w14:textId="77777777" w:rsidTr="008114DF">
        <w:trPr>
          <w:jc w:val="center"/>
        </w:trPr>
        <w:tc>
          <w:tcPr>
            <w:tcW w:w="1457" w:type="pct"/>
            <w:tcBorders>
              <w:right w:val="nil"/>
            </w:tcBorders>
            <w:shd w:val="clear" w:color="auto" w:fill="FFFFFF"/>
            <w:vAlign w:val="center"/>
          </w:tcPr>
          <w:p w14:paraId="78445CAA" w14:textId="77777777" w:rsidR="00E93E7E" w:rsidRPr="00C422AC" w:rsidRDefault="00E93E7E" w:rsidP="00AF692F">
            <w:pPr>
              <w:pStyle w:val="CETBodytext"/>
              <w:jc w:val="left"/>
            </w:pPr>
            <w:r>
              <w:rPr>
                <w:bCs/>
              </w:rPr>
              <w:t>Total CO</w:t>
            </w:r>
            <w:r w:rsidRPr="007201D1">
              <w:rPr>
                <w:bCs/>
                <w:vertAlign w:val="subscript"/>
              </w:rPr>
              <w:t>2</w:t>
            </w:r>
            <w:r>
              <w:rPr>
                <w:bCs/>
              </w:rPr>
              <w:t xml:space="preserve"> emissions in 2050</w:t>
            </w:r>
            <w:r>
              <w:rPr>
                <w:bCs/>
                <w:vertAlign w:val="superscript"/>
              </w:rPr>
              <w:t>3</w:t>
            </w:r>
          </w:p>
        </w:tc>
        <w:tc>
          <w:tcPr>
            <w:tcW w:w="566" w:type="pct"/>
            <w:tcBorders>
              <w:left w:val="nil"/>
              <w:right w:val="nil"/>
            </w:tcBorders>
            <w:shd w:val="clear" w:color="auto" w:fill="FFFFFF"/>
            <w:vAlign w:val="center"/>
          </w:tcPr>
          <w:p w14:paraId="71A3EC54" w14:textId="77777777" w:rsidR="00E93E7E" w:rsidRPr="00C96D24" w:rsidRDefault="00E93E7E" w:rsidP="008114DF">
            <w:pPr>
              <w:pStyle w:val="CETBodytext"/>
              <w:jc w:val="center"/>
            </w:pPr>
            <w:r w:rsidRPr="00C422AC">
              <w:t>[Mt]</w:t>
            </w:r>
          </w:p>
        </w:tc>
        <w:tc>
          <w:tcPr>
            <w:tcW w:w="1213" w:type="pct"/>
            <w:tcBorders>
              <w:top w:val="nil"/>
              <w:left w:val="nil"/>
              <w:right w:val="nil"/>
            </w:tcBorders>
            <w:shd w:val="clear" w:color="auto" w:fill="FFFFFF"/>
            <w:vAlign w:val="center"/>
          </w:tcPr>
          <w:p w14:paraId="38AE436F" w14:textId="77777777" w:rsidR="00E93E7E" w:rsidRPr="00C96D24" w:rsidRDefault="00E93E7E" w:rsidP="008114DF">
            <w:pPr>
              <w:pStyle w:val="CETBodytext"/>
              <w:jc w:val="center"/>
            </w:pPr>
            <w:r w:rsidRPr="00C422AC">
              <w:rPr>
                <w:b/>
                <w:bCs/>
              </w:rPr>
              <w:t>18</w:t>
            </w:r>
            <w:r>
              <w:rPr>
                <w:b/>
                <w:bCs/>
              </w:rPr>
              <w:t>.</w:t>
            </w:r>
            <w:r w:rsidRPr="00C422AC">
              <w:rPr>
                <w:b/>
                <w:bCs/>
              </w:rPr>
              <w:t>771</w:t>
            </w:r>
          </w:p>
        </w:tc>
        <w:tc>
          <w:tcPr>
            <w:tcW w:w="647" w:type="pct"/>
            <w:tcBorders>
              <w:top w:val="nil"/>
              <w:left w:val="nil"/>
              <w:right w:val="nil"/>
            </w:tcBorders>
            <w:shd w:val="clear" w:color="auto" w:fill="FFFFFF"/>
            <w:vAlign w:val="center"/>
          </w:tcPr>
          <w:p w14:paraId="105DC8FA" w14:textId="77777777" w:rsidR="00E93E7E" w:rsidRPr="00C96D24" w:rsidRDefault="00E93E7E" w:rsidP="008114DF">
            <w:pPr>
              <w:pStyle w:val="CETBodytext"/>
              <w:jc w:val="center"/>
            </w:pPr>
            <w:r w:rsidRPr="00C422AC">
              <w:rPr>
                <w:b/>
                <w:bCs/>
              </w:rPr>
              <w:t>8</w:t>
            </w:r>
            <w:r>
              <w:rPr>
                <w:b/>
                <w:bCs/>
              </w:rPr>
              <w:t>.</w:t>
            </w:r>
            <w:r w:rsidRPr="00C422AC">
              <w:rPr>
                <w:b/>
                <w:bCs/>
              </w:rPr>
              <w:t>753</w:t>
            </w:r>
          </w:p>
        </w:tc>
        <w:tc>
          <w:tcPr>
            <w:tcW w:w="566" w:type="pct"/>
            <w:tcBorders>
              <w:top w:val="nil"/>
              <w:left w:val="nil"/>
              <w:right w:val="nil"/>
            </w:tcBorders>
            <w:shd w:val="clear" w:color="auto" w:fill="FFFFFF"/>
            <w:vAlign w:val="center"/>
          </w:tcPr>
          <w:p w14:paraId="78F3D584" w14:textId="77777777" w:rsidR="00E93E7E" w:rsidRPr="00C96D24" w:rsidRDefault="00E93E7E" w:rsidP="008114DF">
            <w:pPr>
              <w:pStyle w:val="CETBodytext"/>
              <w:jc w:val="center"/>
            </w:pPr>
            <w:r w:rsidRPr="00C422AC">
              <w:rPr>
                <w:b/>
                <w:bCs/>
              </w:rPr>
              <w:t>6</w:t>
            </w:r>
            <w:r>
              <w:rPr>
                <w:b/>
                <w:bCs/>
              </w:rPr>
              <w:t>.</w:t>
            </w:r>
            <w:r w:rsidRPr="00C422AC">
              <w:rPr>
                <w:b/>
                <w:bCs/>
              </w:rPr>
              <w:t>036</w:t>
            </w:r>
          </w:p>
        </w:tc>
        <w:tc>
          <w:tcPr>
            <w:tcW w:w="551" w:type="pct"/>
            <w:tcBorders>
              <w:top w:val="nil"/>
              <w:left w:val="nil"/>
              <w:bottom w:val="nil"/>
            </w:tcBorders>
            <w:shd w:val="clear" w:color="auto" w:fill="FFFFFF"/>
            <w:vAlign w:val="center"/>
          </w:tcPr>
          <w:p w14:paraId="3D5319B8" w14:textId="77777777" w:rsidR="00E93E7E" w:rsidRPr="00C96D24" w:rsidRDefault="00E93E7E" w:rsidP="008114DF">
            <w:pPr>
              <w:pStyle w:val="CETBodytext"/>
              <w:jc w:val="center"/>
            </w:pPr>
            <w:r w:rsidRPr="00C422AC">
              <w:rPr>
                <w:b/>
                <w:bCs/>
              </w:rPr>
              <w:t>6</w:t>
            </w:r>
            <w:r>
              <w:rPr>
                <w:b/>
                <w:bCs/>
              </w:rPr>
              <w:t>.</w:t>
            </w:r>
            <w:r w:rsidRPr="00C422AC">
              <w:rPr>
                <w:b/>
                <w:bCs/>
              </w:rPr>
              <w:t>040</w:t>
            </w:r>
          </w:p>
        </w:tc>
      </w:tr>
      <w:tr w:rsidR="00E93E7E" w:rsidRPr="00C96D24" w14:paraId="01482928" w14:textId="77777777" w:rsidTr="008114DF">
        <w:trPr>
          <w:jc w:val="center"/>
        </w:trPr>
        <w:tc>
          <w:tcPr>
            <w:tcW w:w="1457" w:type="pct"/>
            <w:tcBorders>
              <w:right w:val="nil"/>
            </w:tcBorders>
            <w:shd w:val="clear" w:color="auto" w:fill="FFFFFF"/>
            <w:vAlign w:val="center"/>
          </w:tcPr>
          <w:p w14:paraId="21B40FAD" w14:textId="77777777" w:rsidR="00E93E7E" w:rsidRPr="00C422AC" w:rsidRDefault="00E93E7E" w:rsidP="00AF692F">
            <w:pPr>
              <w:pStyle w:val="CETBodytext"/>
              <w:jc w:val="left"/>
            </w:pPr>
            <w:r w:rsidRPr="00C422AC">
              <w:rPr>
                <w:bCs/>
              </w:rPr>
              <w:t>CAPEX</w:t>
            </w:r>
          </w:p>
        </w:tc>
        <w:tc>
          <w:tcPr>
            <w:tcW w:w="566" w:type="pct"/>
            <w:tcBorders>
              <w:left w:val="nil"/>
              <w:right w:val="nil"/>
            </w:tcBorders>
            <w:shd w:val="clear" w:color="auto" w:fill="FFFFFF"/>
            <w:vAlign w:val="center"/>
          </w:tcPr>
          <w:p w14:paraId="13CA2981" w14:textId="77777777" w:rsidR="00E93E7E" w:rsidRPr="00C96D24" w:rsidRDefault="00E93E7E" w:rsidP="008114DF">
            <w:pPr>
              <w:pStyle w:val="CETBodytext"/>
              <w:jc w:val="center"/>
            </w:pPr>
            <w:r w:rsidRPr="00C422AC">
              <w:t>[M€]</w:t>
            </w:r>
          </w:p>
        </w:tc>
        <w:tc>
          <w:tcPr>
            <w:tcW w:w="1213" w:type="pct"/>
            <w:tcBorders>
              <w:left w:val="nil"/>
              <w:right w:val="nil"/>
            </w:tcBorders>
            <w:shd w:val="clear" w:color="auto" w:fill="FFFFFF"/>
            <w:vAlign w:val="center"/>
          </w:tcPr>
          <w:p w14:paraId="4DA7028B" w14:textId="77777777" w:rsidR="00E93E7E" w:rsidRPr="00C96D24" w:rsidRDefault="00E93E7E" w:rsidP="008114DF">
            <w:pPr>
              <w:pStyle w:val="CETBodytext"/>
              <w:jc w:val="center"/>
            </w:pPr>
            <w:r w:rsidRPr="00C422AC">
              <w:t>-</w:t>
            </w:r>
          </w:p>
        </w:tc>
        <w:tc>
          <w:tcPr>
            <w:tcW w:w="647" w:type="pct"/>
            <w:tcBorders>
              <w:left w:val="nil"/>
              <w:right w:val="nil"/>
            </w:tcBorders>
            <w:shd w:val="clear" w:color="auto" w:fill="FFFFFF"/>
            <w:vAlign w:val="center"/>
          </w:tcPr>
          <w:p w14:paraId="1B196FAE" w14:textId="77777777" w:rsidR="00E93E7E" w:rsidRPr="00C96D24" w:rsidRDefault="00E93E7E" w:rsidP="008114DF">
            <w:pPr>
              <w:pStyle w:val="CETBodytext"/>
              <w:jc w:val="center"/>
            </w:pPr>
            <w:r w:rsidRPr="00C422AC">
              <w:t>1</w:t>
            </w:r>
            <w:r>
              <w:t>,</w:t>
            </w:r>
            <w:r w:rsidRPr="00C422AC">
              <w:t>478</w:t>
            </w:r>
            <w:r>
              <w:t>.</w:t>
            </w:r>
            <w:r w:rsidRPr="00C422AC">
              <w:t>6</w:t>
            </w:r>
          </w:p>
        </w:tc>
        <w:tc>
          <w:tcPr>
            <w:tcW w:w="566" w:type="pct"/>
            <w:tcBorders>
              <w:left w:val="nil"/>
              <w:right w:val="nil"/>
            </w:tcBorders>
            <w:shd w:val="clear" w:color="auto" w:fill="FFFFFF"/>
            <w:vAlign w:val="center"/>
          </w:tcPr>
          <w:p w14:paraId="39DE303E" w14:textId="77777777" w:rsidR="00E93E7E" w:rsidRPr="00C96D24" w:rsidRDefault="00E93E7E" w:rsidP="008114DF">
            <w:pPr>
              <w:pStyle w:val="CETBodytext"/>
              <w:jc w:val="center"/>
            </w:pPr>
            <w:r w:rsidRPr="00C422AC">
              <w:t>1</w:t>
            </w:r>
            <w:r>
              <w:t>,</w:t>
            </w:r>
            <w:r w:rsidRPr="00C422AC">
              <w:t>845</w:t>
            </w:r>
            <w:r>
              <w:t>.</w:t>
            </w:r>
            <w:r w:rsidRPr="00C422AC">
              <w:t>5</w:t>
            </w:r>
          </w:p>
        </w:tc>
        <w:tc>
          <w:tcPr>
            <w:tcW w:w="551" w:type="pct"/>
            <w:tcBorders>
              <w:top w:val="nil"/>
              <w:left w:val="nil"/>
              <w:bottom w:val="nil"/>
              <w:right w:val="nil"/>
            </w:tcBorders>
            <w:shd w:val="clear" w:color="auto" w:fill="FFFFFF"/>
            <w:vAlign w:val="center"/>
          </w:tcPr>
          <w:p w14:paraId="1BED7FAF" w14:textId="77777777" w:rsidR="00E93E7E" w:rsidRPr="00C96D24" w:rsidRDefault="00E93E7E" w:rsidP="008114DF">
            <w:pPr>
              <w:pStyle w:val="CETBodytext"/>
              <w:jc w:val="center"/>
            </w:pPr>
            <w:r w:rsidRPr="00C422AC">
              <w:t>1</w:t>
            </w:r>
            <w:r>
              <w:t>,</w:t>
            </w:r>
            <w:r w:rsidRPr="00C422AC">
              <w:t>387</w:t>
            </w:r>
            <w:r>
              <w:t>.</w:t>
            </w:r>
            <w:r w:rsidRPr="00C422AC">
              <w:t>5</w:t>
            </w:r>
          </w:p>
        </w:tc>
      </w:tr>
      <w:tr w:rsidR="00E93E7E" w:rsidRPr="00C96D24" w14:paraId="7CF1822A" w14:textId="77777777" w:rsidTr="008114DF">
        <w:trPr>
          <w:jc w:val="center"/>
        </w:trPr>
        <w:tc>
          <w:tcPr>
            <w:tcW w:w="1457" w:type="pct"/>
            <w:tcBorders>
              <w:bottom w:val="nil"/>
              <w:right w:val="nil"/>
            </w:tcBorders>
            <w:shd w:val="clear" w:color="auto" w:fill="FFFFFF"/>
            <w:vAlign w:val="center"/>
          </w:tcPr>
          <w:p w14:paraId="485F8912" w14:textId="77777777" w:rsidR="00E93E7E" w:rsidRPr="00C422AC" w:rsidRDefault="00E93E7E" w:rsidP="00AF692F">
            <w:pPr>
              <w:pStyle w:val="CETBodytext"/>
              <w:jc w:val="left"/>
            </w:pPr>
            <w:r w:rsidRPr="00C422AC">
              <w:rPr>
                <w:bCs/>
              </w:rPr>
              <w:t>LCOP</w:t>
            </w:r>
          </w:p>
        </w:tc>
        <w:tc>
          <w:tcPr>
            <w:tcW w:w="566" w:type="pct"/>
            <w:tcBorders>
              <w:left w:val="nil"/>
              <w:bottom w:val="nil"/>
              <w:right w:val="nil"/>
            </w:tcBorders>
            <w:shd w:val="clear" w:color="auto" w:fill="FFFFFF"/>
            <w:vAlign w:val="center"/>
          </w:tcPr>
          <w:p w14:paraId="141A5175" w14:textId="77777777" w:rsidR="00E93E7E" w:rsidRPr="00C96D24" w:rsidRDefault="00E93E7E" w:rsidP="008114DF">
            <w:pPr>
              <w:pStyle w:val="CETBodytext"/>
              <w:jc w:val="center"/>
            </w:pPr>
            <w:r w:rsidRPr="00C422AC">
              <w:t>[€/</w:t>
            </w:r>
            <w:proofErr w:type="spellStart"/>
            <w:r w:rsidRPr="00C422AC">
              <w:t>t</w:t>
            </w:r>
            <w:r w:rsidRPr="00FA68C0">
              <w:rPr>
                <w:vertAlign w:val="subscript"/>
              </w:rPr>
              <w:t>steel</w:t>
            </w:r>
            <w:proofErr w:type="spellEnd"/>
            <w:r w:rsidRPr="00C422AC">
              <w:t>]</w:t>
            </w:r>
          </w:p>
        </w:tc>
        <w:tc>
          <w:tcPr>
            <w:tcW w:w="1213" w:type="pct"/>
            <w:tcBorders>
              <w:left w:val="nil"/>
              <w:bottom w:val="nil"/>
              <w:right w:val="nil"/>
            </w:tcBorders>
            <w:shd w:val="clear" w:color="auto" w:fill="FFFFFF"/>
            <w:vAlign w:val="center"/>
          </w:tcPr>
          <w:p w14:paraId="50B3B33E" w14:textId="77777777" w:rsidR="00E93E7E" w:rsidRPr="00C96D24" w:rsidRDefault="00E93E7E" w:rsidP="008114DF">
            <w:pPr>
              <w:pStyle w:val="CETBodytext"/>
              <w:jc w:val="center"/>
            </w:pPr>
            <w:r w:rsidRPr="00C422AC">
              <w:t>-</w:t>
            </w:r>
          </w:p>
        </w:tc>
        <w:tc>
          <w:tcPr>
            <w:tcW w:w="647" w:type="pct"/>
            <w:tcBorders>
              <w:left w:val="nil"/>
              <w:bottom w:val="nil"/>
              <w:right w:val="nil"/>
            </w:tcBorders>
            <w:shd w:val="clear" w:color="auto" w:fill="FFFFFF"/>
            <w:vAlign w:val="center"/>
          </w:tcPr>
          <w:p w14:paraId="18F04524" w14:textId="77777777" w:rsidR="00E93E7E" w:rsidRPr="00C96D24" w:rsidRDefault="00E93E7E" w:rsidP="008114DF">
            <w:pPr>
              <w:pStyle w:val="CETBodytext"/>
              <w:jc w:val="center"/>
            </w:pPr>
            <w:r w:rsidRPr="00C422AC">
              <w:rPr>
                <w:b/>
                <w:bCs/>
              </w:rPr>
              <w:t>612</w:t>
            </w:r>
            <w:r>
              <w:rPr>
                <w:b/>
                <w:bCs/>
              </w:rPr>
              <w:t>.</w:t>
            </w:r>
            <w:r w:rsidRPr="00C422AC">
              <w:rPr>
                <w:b/>
                <w:bCs/>
              </w:rPr>
              <w:t>76</w:t>
            </w:r>
          </w:p>
        </w:tc>
        <w:tc>
          <w:tcPr>
            <w:tcW w:w="566" w:type="pct"/>
            <w:tcBorders>
              <w:left w:val="nil"/>
              <w:bottom w:val="nil"/>
              <w:right w:val="nil"/>
            </w:tcBorders>
            <w:shd w:val="clear" w:color="auto" w:fill="FFFFFF"/>
            <w:vAlign w:val="center"/>
          </w:tcPr>
          <w:p w14:paraId="549933F8" w14:textId="77777777" w:rsidR="00E93E7E" w:rsidRPr="00C96D24" w:rsidRDefault="00E93E7E" w:rsidP="008114DF">
            <w:pPr>
              <w:pStyle w:val="CETBodytext"/>
              <w:jc w:val="center"/>
            </w:pPr>
            <w:r w:rsidRPr="00C422AC">
              <w:rPr>
                <w:b/>
                <w:bCs/>
              </w:rPr>
              <w:t>607</w:t>
            </w:r>
            <w:r>
              <w:rPr>
                <w:b/>
                <w:bCs/>
              </w:rPr>
              <w:t>.</w:t>
            </w:r>
            <w:r w:rsidRPr="00C422AC">
              <w:rPr>
                <w:b/>
                <w:bCs/>
              </w:rPr>
              <w:t>28</w:t>
            </w:r>
          </w:p>
        </w:tc>
        <w:tc>
          <w:tcPr>
            <w:tcW w:w="551" w:type="pct"/>
            <w:tcBorders>
              <w:top w:val="nil"/>
              <w:left w:val="nil"/>
              <w:bottom w:val="nil"/>
              <w:right w:val="nil"/>
            </w:tcBorders>
            <w:shd w:val="clear" w:color="auto" w:fill="FFFFFF"/>
            <w:vAlign w:val="center"/>
          </w:tcPr>
          <w:p w14:paraId="146B8C49" w14:textId="77777777" w:rsidR="00E93E7E" w:rsidRPr="00C96D24" w:rsidRDefault="00E93E7E" w:rsidP="008114DF">
            <w:pPr>
              <w:pStyle w:val="CETBodytext"/>
              <w:jc w:val="center"/>
            </w:pPr>
            <w:r w:rsidRPr="00C422AC">
              <w:rPr>
                <w:b/>
                <w:bCs/>
              </w:rPr>
              <w:t>621</w:t>
            </w:r>
            <w:r>
              <w:rPr>
                <w:b/>
                <w:bCs/>
              </w:rPr>
              <w:t>.</w:t>
            </w:r>
            <w:r w:rsidRPr="00C422AC">
              <w:rPr>
                <w:b/>
                <w:bCs/>
              </w:rPr>
              <w:t>61</w:t>
            </w:r>
          </w:p>
        </w:tc>
      </w:tr>
      <w:tr w:rsidR="00E93E7E" w:rsidRPr="00C96D24" w14:paraId="3FEC3800" w14:textId="77777777" w:rsidTr="008114DF">
        <w:trPr>
          <w:jc w:val="center"/>
        </w:trPr>
        <w:tc>
          <w:tcPr>
            <w:tcW w:w="1457" w:type="pct"/>
            <w:tcBorders>
              <w:top w:val="nil"/>
              <w:bottom w:val="nil"/>
              <w:right w:val="nil"/>
            </w:tcBorders>
            <w:shd w:val="clear" w:color="auto" w:fill="FFFFFF"/>
            <w:vAlign w:val="center"/>
          </w:tcPr>
          <w:p w14:paraId="581B878F" w14:textId="77777777" w:rsidR="00E93E7E" w:rsidRPr="00C422AC" w:rsidRDefault="00E93E7E" w:rsidP="00AF692F">
            <w:pPr>
              <w:pStyle w:val="CETBodytext"/>
              <w:jc w:val="left"/>
            </w:pPr>
            <w:r>
              <w:rPr>
                <w:bCs/>
              </w:rPr>
              <w:t>Workforce in steel sector</w:t>
            </w:r>
          </w:p>
        </w:tc>
        <w:tc>
          <w:tcPr>
            <w:tcW w:w="566" w:type="pct"/>
            <w:tcBorders>
              <w:top w:val="nil"/>
              <w:left w:val="nil"/>
              <w:bottom w:val="nil"/>
              <w:right w:val="nil"/>
            </w:tcBorders>
            <w:shd w:val="clear" w:color="auto" w:fill="FFFFFF"/>
            <w:vAlign w:val="center"/>
          </w:tcPr>
          <w:p w14:paraId="332C4DFE" w14:textId="77777777" w:rsidR="00E93E7E" w:rsidRPr="00C96D24" w:rsidRDefault="00E93E7E" w:rsidP="008114DF">
            <w:pPr>
              <w:pStyle w:val="CETBodytext"/>
              <w:jc w:val="center"/>
            </w:pPr>
            <w:r w:rsidRPr="00C422AC">
              <w:t>[</w:t>
            </w:r>
            <w:r>
              <w:t>employees</w:t>
            </w:r>
            <w:r w:rsidRPr="00C422AC">
              <w:t>]</w:t>
            </w:r>
          </w:p>
        </w:tc>
        <w:tc>
          <w:tcPr>
            <w:tcW w:w="1213" w:type="pct"/>
            <w:tcBorders>
              <w:top w:val="nil"/>
              <w:left w:val="nil"/>
              <w:bottom w:val="nil"/>
              <w:right w:val="nil"/>
            </w:tcBorders>
            <w:shd w:val="clear" w:color="auto" w:fill="FFFFFF"/>
            <w:vAlign w:val="center"/>
          </w:tcPr>
          <w:p w14:paraId="45B8E955" w14:textId="77777777" w:rsidR="00E93E7E" w:rsidRPr="00C422AC" w:rsidRDefault="00E93E7E" w:rsidP="008114DF">
            <w:pPr>
              <w:pStyle w:val="CETBodytext"/>
              <w:jc w:val="center"/>
            </w:pPr>
            <w:r>
              <w:t>-</w:t>
            </w:r>
          </w:p>
        </w:tc>
        <w:tc>
          <w:tcPr>
            <w:tcW w:w="647" w:type="pct"/>
            <w:tcBorders>
              <w:top w:val="nil"/>
              <w:left w:val="nil"/>
              <w:bottom w:val="nil"/>
              <w:right w:val="nil"/>
            </w:tcBorders>
            <w:shd w:val="clear" w:color="auto" w:fill="FFFFFF"/>
            <w:vAlign w:val="center"/>
          </w:tcPr>
          <w:p w14:paraId="61DC3679" w14:textId="77777777" w:rsidR="00E93E7E" w:rsidRPr="00C422AC" w:rsidRDefault="00E93E7E" w:rsidP="008114DF">
            <w:pPr>
              <w:pStyle w:val="CETBodytext"/>
              <w:jc w:val="center"/>
            </w:pPr>
            <w:r w:rsidRPr="00C422AC">
              <w:t>75</w:t>
            </w:r>
            <w:r>
              <w:t>,</w:t>
            </w:r>
            <w:r w:rsidRPr="00C422AC">
              <w:t>706</w:t>
            </w:r>
          </w:p>
        </w:tc>
        <w:tc>
          <w:tcPr>
            <w:tcW w:w="566" w:type="pct"/>
            <w:tcBorders>
              <w:top w:val="nil"/>
              <w:left w:val="nil"/>
              <w:bottom w:val="nil"/>
              <w:right w:val="nil"/>
            </w:tcBorders>
            <w:shd w:val="clear" w:color="auto" w:fill="FFFFFF"/>
            <w:vAlign w:val="center"/>
          </w:tcPr>
          <w:p w14:paraId="58229C91" w14:textId="77777777" w:rsidR="00E93E7E" w:rsidRPr="00C96D24" w:rsidRDefault="00E93E7E" w:rsidP="008114DF">
            <w:pPr>
              <w:pStyle w:val="CETBodytext"/>
              <w:jc w:val="center"/>
            </w:pPr>
            <w:r w:rsidRPr="00C422AC">
              <w:t>70</w:t>
            </w:r>
            <w:r>
              <w:t>,</w:t>
            </w:r>
            <w:r w:rsidRPr="00C422AC">
              <w:t>106</w:t>
            </w:r>
          </w:p>
        </w:tc>
        <w:tc>
          <w:tcPr>
            <w:tcW w:w="551" w:type="pct"/>
            <w:tcBorders>
              <w:top w:val="nil"/>
              <w:left w:val="nil"/>
              <w:bottom w:val="nil"/>
              <w:right w:val="nil"/>
            </w:tcBorders>
            <w:shd w:val="clear" w:color="auto" w:fill="FFFFFF"/>
            <w:vAlign w:val="center"/>
          </w:tcPr>
          <w:p w14:paraId="42DD53FF" w14:textId="77777777" w:rsidR="00E93E7E" w:rsidRPr="00C422AC" w:rsidRDefault="00E93E7E" w:rsidP="008114DF">
            <w:pPr>
              <w:pStyle w:val="CETBodytext"/>
              <w:jc w:val="center"/>
            </w:pPr>
            <w:r w:rsidRPr="00C422AC">
              <w:t>70</w:t>
            </w:r>
            <w:r>
              <w:t>,</w:t>
            </w:r>
            <w:r w:rsidRPr="00C422AC">
              <w:t>106</w:t>
            </w:r>
          </w:p>
        </w:tc>
      </w:tr>
      <w:tr w:rsidR="00E93E7E" w:rsidRPr="00C96D24" w14:paraId="51DD1AE0" w14:textId="77777777" w:rsidTr="008114DF">
        <w:trPr>
          <w:jc w:val="center"/>
        </w:trPr>
        <w:tc>
          <w:tcPr>
            <w:tcW w:w="1457" w:type="pct"/>
            <w:tcBorders>
              <w:top w:val="nil"/>
              <w:bottom w:val="nil"/>
              <w:right w:val="nil"/>
            </w:tcBorders>
            <w:shd w:val="clear" w:color="auto" w:fill="FFFFFF"/>
            <w:vAlign w:val="center"/>
          </w:tcPr>
          <w:p w14:paraId="642D3416" w14:textId="77777777" w:rsidR="00E93E7E" w:rsidRPr="00C422AC" w:rsidRDefault="00E93E7E" w:rsidP="00AF692F">
            <w:pPr>
              <w:pStyle w:val="CETBodytext"/>
              <w:jc w:val="left"/>
            </w:pPr>
            <w:r>
              <w:rPr>
                <w:bCs/>
              </w:rPr>
              <w:t>New workforce in energy sector</w:t>
            </w:r>
          </w:p>
        </w:tc>
        <w:tc>
          <w:tcPr>
            <w:tcW w:w="566" w:type="pct"/>
            <w:tcBorders>
              <w:top w:val="nil"/>
              <w:left w:val="nil"/>
              <w:bottom w:val="nil"/>
              <w:right w:val="nil"/>
            </w:tcBorders>
            <w:shd w:val="clear" w:color="auto" w:fill="FFFFFF"/>
            <w:vAlign w:val="center"/>
          </w:tcPr>
          <w:p w14:paraId="353412E6" w14:textId="77777777" w:rsidR="00E93E7E" w:rsidRPr="00C96D24" w:rsidRDefault="00E93E7E" w:rsidP="008114DF">
            <w:pPr>
              <w:pStyle w:val="CETBodytext"/>
              <w:jc w:val="center"/>
            </w:pPr>
            <w:r w:rsidRPr="00C422AC">
              <w:t>[</w:t>
            </w:r>
            <w:r>
              <w:t>employees</w:t>
            </w:r>
            <w:r w:rsidRPr="00C422AC">
              <w:t>]</w:t>
            </w:r>
          </w:p>
        </w:tc>
        <w:tc>
          <w:tcPr>
            <w:tcW w:w="1213" w:type="pct"/>
            <w:tcBorders>
              <w:top w:val="nil"/>
              <w:left w:val="nil"/>
              <w:bottom w:val="nil"/>
              <w:right w:val="nil"/>
            </w:tcBorders>
            <w:shd w:val="clear" w:color="auto" w:fill="FFFFFF"/>
            <w:vAlign w:val="center"/>
          </w:tcPr>
          <w:p w14:paraId="29C5D267" w14:textId="77777777" w:rsidR="00E93E7E" w:rsidRPr="00C96D24" w:rsidRDefault="00E93E7E" w:rsidP="008114DF">
            <w:pPr>
              <w:pStyle w:val="CETBodytext"/>
              <w:jc w:val="center"/>
            </w:pPr>
            <w:r>
              <w:t>-</w:t>
            </w:r>
          </w:p>
        </w:tc>
        <w:tc>
          <w:tcPr>
            <w:tcW w:w="647" w:type="pct"/>
            <w:tcBorders>
              <w:top w:val="nil"/>
              <w:left w:val="nil"/>
              <w:bottom w:val="nil"/>
              <w:right w:val="nil"/>
            </w:tcBorders>
            <w:shd w:val="clear" w:color="auto" w:fill="FFFFFF"/>
            <w:vAlign w:val="center"/>
          </w:tcPr>
          <w:p w14:paraId="252592E2" w14:textId="77777777" w:rsidR="00E93E7E" w:rsidRPr="00C96D24" w:rsidRDefault="00E93E7E" w:rsidP="008114DF">
            <w:pPr>
              <w:pStyle w:val="CETBodytext"/>
              <w:jc w:val="center"/>
            </w:pPr>
            <w:r w:rsidRPr="00C422AC">
              <w:t>4</w:t>
            </w:r>
            <w:r>
              <w:t>,</w:t>
            </w:r>
            <w:r w:rsidRPr="00C422AC">
              <w:t>674</w:t>
            </w:r>
          </w:p>
        </w:tc>
        <w:tc>
          <w:tcPr>
            <w:tcW w:w="566" w:type="pct"/>
            <w:tcBorders>
              <w:top w:val="nil"/>
              <w:left w:val="nil"/>
              <w:bottom w:val="nil"/>
              <w:right w:val="nil"/>
            </w:tcBorders>
            <w:shd w:val="clear" w:color="auto" w:fill="FFFFFF"/>
            <w:vAlign w:val="center"/>
          </w:tcPr>
          <w:p w14:paraId="2D80BD4C" w14:textId="77777777" w:rsidR="00E93E7E" w:rsidRPr="00C96D24" w:rsidRDefault="00E93E7E" w:rsidP="008114DF">
            <w:pPr>
              <w:pStyle w:val="CETBodytext"/>
              <w:jc w:val="center"/>
            </w:pPr>
            <w:r w:rsidRPr="00C422AC">
              <w:t>4</w:t>
            </w:r>
            <w:r>
              <w:t>,</w:t>
            </w:r>
            <w:r w:rsidRPr="00C422AC">
              <w:t>950</w:t>
            </w:r>
          </w:p>
        </w:tc>
        <w:tc>
          <w:tcPr>
            <w:tcW w:w="551" w:type="pct"/>
            <w:tcBorders>
              <w:top w:val="nil"/>
              <w:left w:val="nil"/>
              <w:bottom w:val="nil"/>
              <w:right w:val="nil"/>
            </w:tcBorders>
            <w:shd w:val="clear" w:color="auto" w:fill="FFFFFF"/>
            <w:vAlign w:val="center"/>
          </w:tcPr>
          <w:p w14:paraId="3EEAD43E" w14:textId="77777777" w:rsidR="00E93E7E" w:rsidRPr="00C96D24" w:rsidRDefault="00E93E7E" w:rsidP="008114DF">
            <w:pPr>
              <w:pStyle w:val="CETBodytext"/>
              <w:jc w:val="center"/>
            </w:pPr>
            <w:r w:rsidRPr="00C422AC">
              <w:t>12</w:t>
            </w:r>
            <w:r>
              <w:t>,</w:t>
            </w:r>
            <w:r w:rsidRPr="00C422AC">
              <w:t>080</w:t>
            </w:r>
          </w:p>
        </w:tc>
      </w:tr>
      <w:tr w:rsidR="00E93E7E" w:rsidRPr="00C96D24" w14:paraId="1D0399E1" w14:textId="77777777" w:rsidTr="008114DF">
        <w:trPr>
          <w:jc w:val="center"/>
        </w:trPr>
        <w:tc>
          <w:tcPr>
            <w:tcW w:w="1457" w:type="pct"/>
            <w:tcBorders>
              <w:top w:val="nil"/>
              <w:bottom w:val="single" w:sz="12" w:space="0" w:color="008000"/>
              <w:right w:val="nil"/>
            </w:tcBorders>
            <w:shd w:val="clear" w:color="auto" w:fill="FFFFFF"/>
            <w:vAlign w:val="center"/>
          </w:tcPr>
          <w:p w14:paraId="2A5CE0BD" w14:textId="77777777" w:rsidR="00E93E7E" w:rsidRPr="00C422AC" w:rsidRDefault="00E93E7E" w:rsidP="00AF692F">
            <w:pPr>
              <w:pStyle w:val="CETBodytext"/>
              <w:jc w:val="left"/>
            </w:pPr>
            <w:r>
              <w:rPr>
                <w:bCs/>
              </w:rPr>
              <w:t>Overall workforce</w:t>
            </w:r>
          </w:p>
        </w:tc>
        <w:tc>
          <w:tcPr>
            <w:tcW w:w="566" w:type="pct"/>
            <w:tcBorders>
              <w:top w:val="nil"/>
              <w:left w:val="nil"/>
              <w:bottom w:val="single" w:sz="12" w:space="0" w:color="008000"/>
              <w:right w:val="nil"/>
            </w:tcBorders>
            <w:shd w:val="clear" w:color="auto" w:fill="FFFFFF"/>
            <w:vAlign w:val="center"/>
          </w:tcPr>
          <w:p w14:paraId="48267293" w14:textId="77777777" w:rsidR="00E93E7E" w:rsidRPr="00C96D24" w:rsidRDefault="00E93E7E" w:rsidP="008114DF">
            <w:pPr>
              <w:pStyle w:val="CETBodytext"/>
              <w:jc w:val="center"/>
            </w:pPr>
            <w:r w:rsidRPr="00C422AC">
              <w:t>[</w:t>
            </w:r>
            <w:r>
              <w:t>employees</w:t>
            </w:r>
            <w:r w:rsidRPr="00C422AC">
              <w:t>]</w:t>
            </w:r>
          </w:p>
        </w:tc>
        <w:tc>
          <w:tcPr>
            <w:tcW w:w="1213" w:type="pct"/>
            <w:tcBorders>
              <w:top w:val="nil"/>
              <w:left w:val="nil"/>
              <w:bottom w:val="single" w:sz="12" w:space="0" w:color="008000"/>
              <w:right w:val="nil"/>
            </w:tcBorders>
            <w:shd w:val="clear" w:color="auto" w:fill="FFFFFF"/>
            <w:vAlign w:val="center"/>
          </w:tcPr>
          <w:p w14:paraId="060648EC" w14:textId="77777777" w:rsidR="00E93E7E" w:rsidRPr="00CE5EA0" w:rsidRDefault="00E93E7E" w:rsidP="008114DF">
            <w:pPr>
              <w:pStyle w:val="CETBodytext"/>
              <w:jc w:val="center"/>
            </w:pPr>
            <w:r w:rsidRPr="00CE5EA0">
              <w:t>-</w:t>
            </w:r>
          </w:p>
        </w:tc>
        <w:tc>
          <w:tcPr>
            <w:tcW w:w="647" w:type="pct"/>
            <w:tcBorders>
              <w:top w:val="nil"/>
              <w:left w:val="nil"/>
              <w:bottom w:val="single" w:sz="12" w:space="0" w:color="008000"/>
              <w:right w:val="nil"/>
            </w:tcBorders>
            <w:shd w:val="clear" w:color="auto" w:fill="FFFFFF"/>
            <w:vAlign w:val="center"/>
          </w:tcPr>
          <w:p w14:paraId="3A283F34" w14:textId="77777777" w:rsidR="00E93E7E" w:rsidRPr="00C96D24" w:rsidRDefault="00E93E7E" w:rsidP="008114DF">
            <w:pPr>
              <w:pStyle w:val="CETBodytext"/>
              <w:jc w:val="center"/>
            </w:pPr>
            <w:r w:rsidRPr="00C422AC">
              <w:rPr>
                <w:b/>
                <w:bCs/>
              </w:rPr>
              <w:t>80</w:t>
            </w:r>
            <w:r>
              <w:rPr>
                <w:b/>
                <w:bCs/>
              </w:rPr>
              <w:t>,</w:t>
            </w:r>
            <w:r w:rsidRPr="00C422AC">
              <w:rPr>
                <w:b/>
                <w:bCs/>
              </w:rPr>
              <w:t>380</w:t>
            </w:r>
          </w:p>
        </w:tc>
        <w:tc>
          <w:tcPr>
            <w:tcW w:w="566" w:type="pct"/>
            <w:tcBorders>
              <w:top w:val="nil"/>
              <w:left w:val="nil"/>
              <w:bottom w:val="single" w:sz="12" w:space="0" w:color="008000"/>
              <w:right w:val="nil"/>
            </w:tcBorders>
            <w:shd w:val="clear" w:color="auto" w:fill="FFFFFF"/>
            <w:vAlign w:val="center"/>
          </w:tcPr>
          <w:p w14:paraId="350D93F2" w14:textId="77777777" w:rsidR="00E93E7E" w:rsidRPr="00C96D24" w:rsidRDefault="00E93E7E" w:rsidP="008114DF">
            <w:pPr>
              <w:pStyle w:val="CETBodytext"/>
              <w:jc w:val="center"/>
            </w:pPr>
            <w:r w:rsidRPr="00C422AC">
              <w:rPr>
                <w:b/>
                <w:bCs/>
              </w:rPr>
              <w:t>75</w:t>
            </w:r>
            <w:r>
              <w:rPr>
                <w:b/>
                <w:bCs/>
              </w:rPr>
              <w:t>,</w:t>
            </w:r>
            <w:r w:rsidRPr="00C422AC">
              <w:rPr>
                <w:b/>
                <w:bCs/>
              </w:rPr>
              <w:t>056</w:t>
            </w:r>
          </w:p>
        </w:tc>
        <w:tc>
          <w:tcPr>
            <w:tcW w:w="551" w:type="pct"/>
            <w:tcBorders>
              <w:top w:val="nil"/>
              <w:left w:val="nil"/>
              <w:bottom w:val="single" w:sz="12" w:space="0" w:color="008000"/>
              <w:right w:val="nil"/>
            </w:tcBorders>
            <w:shd w:val="clear" w:color="auto" w:fill="FFFFFF"/>
            <w:vAlign w:val="center"/>
          </w:tcPr>
          <w:p w14:paraId="64F16D86" w14:textId="77777777" w:rsidR="00E93E7E" w:rsidRPr="00C96D24" w:rsidRDefault="00E93E7E" w:rsidP="008114DF">
            <w:pPr>
              <w:pStyle w:val="CETBodytext"/>
              <w:jc w:val="center"/>
            </w:pPr>
            <w:r w:rsidRPr="00C422AC">
              <w:rPr>
                <w:b/>
                <w:bCs/>
              </w:rPr>
              <w:t>82</w:t>
            </w:r>
            <w:r>
              <w:rPr>
                <w:b/>
                <w:bCs/>
              </w:rPr>
              <w:t>,</w:t>
            </w:r>
            <w:r w:rsidRPr="00C422AC">
              <w:rPr>
                <w:b/>
                <w:bCs/>
              </w:rPr>
              <w:t>186</w:t>
            </w:r>
          </w:p>
        </w:tc>
      </w:tr>
    </w:tbl>
    <w:p w14:paraId="2E330B4E" w14:textId="77777777" w:rsidR="00E93E7E" w:rsidRPr="003A5C82" w:rsidRDefault="00E93E7E" w:rsidP="00E93E7E">
      <w:pPr>
        <w:pStyle w:val="CETBodytext"/>
        <w:rPr>
          <w:i/>
          <w:sz w:val="12"/>
        </w:rPr>
      </w:pPr>
      <w:r w:rsidRPr="003A5C82">
        <w:rPr>
          <w:i/>
          <w:sz w:val="12"/>
          <w:vertAlign w:val="superscript"/>
        </w:rPr>
        <w:t>1</w:t>
      </w:r>
      <w:r w:rsidRPr="003A5C82">
        <w:rPr>
          <w:i/>
          <w:sz w:val="12"/>
        </w:rPr>
        <w:t>Biogenic carbon emission, which have not been accounted into total CO</w:t>
      </w:r>
      <w:r w:rsidRPr="003A5C82">
        <w:rPr>
          <w:i/>
          <w:sz w:val="12"/>
          <w:vertAlign w:val="subscript"/>
        </w:rPr>
        <w:t>2</w:t>
      </w:r>
      <w:r w:rsidRPr="003A5C82">
        <w:rPr>
          <w:i/>
          <w:sz w:val="12"/>
        </w:rPr>
        <w:t xml:space="preserve"> emissions</w:t>
      </w:r>
    </w:p>
    <w:p w14:paraId="77457C82" w14:textId="77777777" w:rsidR="00E93E7E" w:rsidRPr="00E7651B" w:rsidRDefault="00E93E7E" w:rsidP="00E93E7E">
      <w:pPr>
        <w:pStyle w:val="CETBodytext"/>
        <w:rPr>
          <w:i/>
          <w:sz w:val="12"/>
        </w:rPr>
      </w:pPr>
      <w:r>
        <w:rPr>
          <w:i/>
          <w:sz w:val="12"/>
          <w:vertAlign w:val="superscript"/>
        </w:rPr>
        <w:t>2</w:t>
      </w:r>
      <w:r>
        <w:rPr>
          <w:i/>
          <w:sz w:val="12"/>
        </w:rPr>
        <w:t>Carbon emission factor of Italian electricity mix in 2022</w:t>
      </w:r>
      <w:r w:rsidRPr="00E7651B">
        <w:rPr>
          <w:i/>
          <w:sz w:val="12"/>
        </w:rPr>
        <w:t>: 291</w:t>
      </w:r>
      <w:r>
        <w:rPr>
          <w:i/>
          <w:sz w:val="12"/>
        </w:rPr>
        <w:t>.</w:t>
      </w:r>
      <w:r w:rsidRPr="00E7651B">
        <w:rPr>
          <w:i/>
          <w:sz w:val="12"/>
        </w:rPr>
        <w:t>1 gCO2/kWh</w:t>
      </w:r>
      <w:r>
        <w:rPr>
          <w:i/>
          <w:sz w:val="12"/>
        </w:rPr>
        <w:t xml:space="preserve"> </w:t>
      </w:r>
      <w:r>
        <w:rPr>
          <w:i/>
          <w:sz w:val="12"/>
        </w:rPr>
        <w:fldChar w:fldCharType="begin" w:fldLock="1"/>
      </w:r>
      <w:r>
        <w:rPr>
          <w:i/>
          <w:sz w:val="12"/>
        </w:rPr>
        <w:instrText>ADDIN CSL_CITATION {"citationItems":[{"id":"ITEM-1","itemData":{"author":[{"dropping-particle":"","family":"GSE","given":"","non-dropping-particle":"","parse-names":false,"suffix":""}],"id":"ITEM-1","issued":{"date-parts":[["2022"]]},"title":"Fattori di emissione per la produzione e il consumo di energia elettrica in Italia - Emission Factors for production and consumption of electricity in Italy","type":"report"},"uris":["http://www.mendeley.com/documents/?uuid=c2aad0da-ad43-49a9-bc13-4d210d280061"]}],"mendeley":{"formattedCitation":"(GSE, 2022b)","plainTextFormattedCitation":"(GSE, 2022b)","previouslyFormattedCitation":"(GSE, 2022b)"},"properties":{"noteIndex":0},"schema":"https://github.com/citation-style-language/schema/raw/master/csl-citation.json"}</w:instrText>
      </w:r>
      <w:r>
        <w:rPr>
          <w:i/>
          <w:sz w:val="12"/>
        </w:rPr>
        <w:fldChar w:fldCharType="separate"/>
      </w:r>
      <w:r w:rsidRPr="005A1A38">
        <w:rPr>
          <w:noProof/>
          <w:sz w:val="12"/>
        </w:rPr>
        <w:t>(GSE, 2022b)</w:t>
      </w:r>
      <w:r>
        <w:rPr>
          <w:i/>
          <w:sz w:val="12"/>
        </w:rPr>
        <w:fldChar w:fldCharType="end"/>
      </w:r>
    </w:p>
    <w:p w14:paraId="3FC68AE0" w14:textId="77777777" w:rsidR="00E93E7E" w:rsidRDefault="00E93E7E" w:rsidP="00E93E7E">
      <w:pPr>
        <w:pStyle w:val="CETBodytext"/>
        <w:rPr>
          <w:i/>
          <w:sz w:val="12"/>
        </w:rPr>
      </w:pPr>
      <w:r>
        <w:rPr>
          <w:i/>
          <w:sz w:val="12"/>
          <w:vertAlign w:val="superscript"/>
        </w:rPr>
        <w:t>3</w:t>
      </w:r>
      <w:r>
        <w:rPr>
          <w:i/>
          <w:sz w:val="12"/>
        </w:rPr>
        <w:t>Expected carbon emission factor of Italian electricity mix in 2050</w:t>
      </w:r>
      <w:r w:rsidRPr="00E7651B">
        <w:rPr>
          <w:i/>
          <w:sz w:val="12"/>
        </w:rPr>
        <w:t>: 137 gCO2/kWh</w:t>
      </w:r>
      <w:r>
        <w:rPr>
          <w:i/>
          <w:sz w:val="12"/>
        </w:rPr>
        <w:t xml:space="preserve"> </w:t>
      </w:r>
    </w:p>
    <w:p w14:paraId="7217DCDC" w14:textId="01575BC6" w:rsidR="00486AEC" w:rsidRDefault="000B52B4" w:rsidP="00486AEC">
      <w:pPr>
        <w:pStyle w:val="CETBodytext"/>
      </w:pPr>
      <w:r>
        <w:t>From the economic standpoint, t</w:t>
      </w:r>
      <w:r w:rsidR="0098357A">
        <w:t xml:space="preserve">he proposed decarbonization scenarios for the steel sector highlight varying levels of investment and energy demands, with specific policy measures needed to support the transition to greener production. The Conservative </w:t>
      </w:r>
      <w:r>
        <w:t>s</w:t>
      </w:r>
      <w:r w:rsidR="0098357A">
        <w:t>cenario requires annual investments of €1.478 billion</w:t>
      </w:r>
      <w:r>
        <w:t xml:space="preserve"> on revamping traditional technology</w:t>
      </w:r>
      <w:r w:rsidR="0098357A">
        <w:t>, manageable but less transformative.</w:t>
      </w:r>
      <w:r w:rsidR="00410B84">
        <w:t xml:space="preserve"> </w:t>
      </w:r>
      <w:r w:rsidR="0098357A">
        <w:t xml:space="preserve">The Prospective </w:t>
      </w:r>
      <w:r>
        <w:t>s</w:t>
      </w:r>
      <w:r w:rsidR="0098357A">
        <w:t>cenario involves significant investment in CCU technologies, making it the most capital-intensive</w:t>
      </w:r>
      <w:r w:rsidR="00417AE4">
        <w:t xml:space="preserve">, but with the lowest LCOP, thanks to the usage of natural gas. </w:t>
      </w:r>
      <w:r w:rsidR="0098357A">
        <w:t xml:space="preserve">The Desirable </w:t>
      </w:r>
      <w:r>
        <w:t>s</w:t>
      </w:r>
      <w:r w:rsidR="0098357A">
        <w:t>cenario, with its focus on green hydrogen and renewable energy, requires systemic efforts to meet high clean electricity demands</w:t>
      </w:r>
      <w:r w:rsidR="00417AE4">
        <w:t xml:space="preserve"> and is still the least </w:t>
      </w:r>
      <w:proofErr w:type="spellStart"/>
      <w:r w:rsidR="00417AE4">
        <w:t>favourable</w:t>
      </w:r>
      <w:proofErr w:type="spellEnd"/>
      <w:r w:rsidR="00417AE4">
        <w:t xml:space="preserve"> in terms of cost of production</w:t>
      </w:r>
      <w:r w:rsidR="0098357A">
        <w:t>.</w:t>
      </w:r>
      <w:r>
        <w:t xml:space="preserve"> </w:t>
      </w:r>
      <w:r w:rsidR="00410B84">
        <w:t xml:space="preserve">Direct reduction with green hydrogen has significant decarbonization potential but faces challenges in cost-competitiveness: its success depends on low electricity prices, substantial renewable energy expansion, and internalizing environmental costs through carbon pricing. Despite its current cost limitations, hydrogen-based DRI is under international industrial deployment, and advancements in technology and economies of scale are expected to reduce costs over time. </w:t>
      </w:r>
      <w:r w:rsidR="0098357A">
        <w:t xml:space="preserve">Key strategies </w:t>
      </w:r>
      <w:r>
        <w:t xml:space="preserve">to improve Italian steel competitiveness </w:t>
      </w:r>
      <w:r w:rsidR="0098357A">
        <w:t xml:space="preserve">include increasing the availability of affordable green electricity, applying the </w:t>
      </w:r>
      <w:r w:rsidR="00410B84">
        <w:t xml:space="preserve">regulations such as </w:t>
      </w:r>
      <w:r w:rsidR="0098357A">
        <w:t>Emission Trading System (ETS)</w:t>
      </w:r>
      <w:r w:rsidR="00410B84">
        <w:t xml:space="preserve"> or Carbon </w:t>
      </w:r>
      <w:r w:rsidR="0098357A">
        <w:t xml:space="preserve">Border Adjustment Mechanism (CBAM), and promoting Green Procurement to drive demand for sustainable materials. </w:t>
      </w:r>
      <w:r w:rsidR="00410B84">
        <w:t>Moreover, e</w:t>
      </w:r>
      <w:r w:rsidR="0098357A">
        <w:t xml:space="preserve">xpanding high-quality steel scrap availability and improving recycling through circular economy policies are essential for </w:t>
      </w:r>
      <w:r w:rsidR="00486AEC">
        <w:t xml:space="preserve">supporting </w:t>
      </w:r>
      <w:r w:rsidR="0098357A">
        <w:t>secondary steel route</w:t>
      </w:r>
      <w:r w:rsidR="00486AEC">
        <w:t>, well-established in Italy</w:t>
      </w:r>
      <w:r w:rsidR="0098357A">
        <w:t>.</w:t>
      </w:r>
      <w:r w:rsidR="00486AEC">
        <w:t xml:space="preserve"> </w:t>
      </w:r>
    </w:p>
    <w:p w14:paraId="31FEAA9A" w14:textId="25D933FD" w:rsidR="003877BC" w:rsidRDefault="00486AEC" w:rsidP="0098357A">
      <w:pPr>
        <w:pStyle w:val="CETBodytext"/>
      </w:pPr>
      <w:r>
        <w:t xml:space="preserve">The </w:t>
      </w:r>
      <w:r w:rsidR="00A138CF">
        <w:t>overall workforce</w:t>
      </w:r>
      <w:r>
        <w:t xml:space="preserve"> in the steel sector </w:t>
      </w:r>
      <w:r w:rsidR="00A138CF">
        <w:t xml:space="preserve">(ATECO codes 241, 242, 243) </w:t>
      </w:r>
      <w:r>
        <w:t>is projected to rise to 70,106</w:t>
      </w:r>
      <w:r w:rsidR="004445D4">
        <w:t xml:space="preserve"> for </w:t>
      </w:r>
      <w:r w:rsidR="00CE5EA0">
        <w:t>DRI-based scenarios and 75,706 for Conservative scenario, due to the higher labor-intensity of traditional technology</w:t>
      </w:r>
      <w:r w:rsidR="001F33E2">
        <w:t>,</w:t>
      </w:r>
      <w:r>
        <w:t xml:space="preserve"> up from the current 68,526. </w:t>
      </w:r>
      <w:r w:rsidR="00CE5EA0">
        <w:t>However</w:t>
      </w:r>
      <w:r>
        <w:t>, the renewable energy production needed to support the transition to DRI with hydrogen would create further employment</w:t>
      </w:r>
      <w:r w:rsidR="001F33E2">
        <w:t xml:space="preserve"> to manage and maintain the renewable energy installations required to supply the steel industry’s significant energy needs</w:t>
      </w:r>
      <w:r>
        <w:t xml:space="preserve">. In the Prospective </w:t>
      </w:r>
      <w:r w:rsidR="005A1A38">
        <w:t>s</w:t>
      </w:r>
      <w:r>
        <w:t>cenario, this demand is estimated at 4,9</w:t>
      </w:r>
      <w:r w:rsidR="005A1A38">
        <w:t xml:space="preserve">50 </w:t>
      </w:r>
      <w:r>
        <w:t>jobs, increasing to 12,08</w:t>
      </w:r>
      <w:r w:rsidR="005A1A38">
        <w:t>0</w:t>
      </w:r>
      <w:r>
        <w:t xml:space="preserve"> in the Desirable </w:t>
      </w:r>
      <w:r w:rsidR="005A1A38">
        <w:t>s</w:t>
      </w:r>
      <w:r>
        <w:t>cenario</w:t>
      </w:r>
      <w:r w:rsidR="00FF7539">
        <w:t>, which</w:t>
      </w:r>
      <w:r>
        <w:t xml:space="preserve"> demonstrates the strongest potential for employment growth and strengthening national renewable energy supply chains</w:t>
      </w:r>
      <w:r w:rsidR="003C1E28">
        <w:t>.</w:t>
      </w:r>
    </w:p>
    <w:p w14:paraId="68D26B83" w14:textId="77777777" w:rsidR="00600535" w:rsidRPr="00B57B36" w:rsidRDefault="00600535" w:rsidP="00600535">
      <w:pPr>
        <w:pStyle w:val="CETHeading1"/>
        <w:rPr>
          <w:lang w:val="en-GB"/>
        </w:rPr>
      </w:pPr>
      <w:r w:rsidRPr="00B57B36">
        <w:rPr>
          <w:lang w:val="en-GB"/>
        </w:rPr>
        <w:t>Conclusions</w:t>
      </w:r>
    </w:p>
    <w:p w14:paraId="7F380009" w14:textId="06408C40" w:rsidR="00FF0A46" w:rsidRDefault="008922C3" w:rsidP="00FF0A46">
      <w:pPr>
        <w:pStyle w:val="CETBodytext"/>
        <w:rPr>
          <w:b/>
        </w:rPr>
      </w:pPr>
      <w:r w:rsidRPr="00FF0A46">
        <w:t xml:space="preserve">The decarbonization of Italy’s steel sector is critical for achieving both sustainability goals and maintaining economic competitiveness. This study explored three distinct scenarios, namely Conservative, Prospective, and Desirable, each representing a different pathway toward reducing emissions </w:t>
      </w:r>
      <w:r w:rsidR="00FA68C0">
        <w:t>while revamping</w:t>
      </w:r>
      <w:r w:rsidRPr="00FF0A46">
        <w:t xml:space="preserve"> steel production. The Conservative scenario focuses on limited short-term actions, such as adding CO</w:t>
      </w:r>
      <w:r w:rsidRPr="00FF0A46">
        <w:rPr>
          <w:rFonts w:ascii="Cambria Math" w:hAnsi="Cambria Math" w:cs="Cambria Math"/>
        </w:rPr>
        <w:t>₂</w:t>
      </w:r>
      <w:r w:rsidRPr="00FF0A46">
        <w:t xml:space="preserve"> capture to existing BF-BOF and EAF technologies. While it achieves a moderate reduction in emissions by 2050, its reliance on storage or reuse of captured CO</w:t>
      </w:r>
      <w:r w:rsidRPr="00FF0A46">
        <w:rPr>
          <w:rFonts w:ascii="Cambria Math" w:hAnsi="Cambria Math" w:cs="Cambria Math"/>
        </w:rPr>
        <w:t>₂</w:t>
      </w:r>
      <w:r w:rsidRPr="00FF0A46">
        <w:t xml:space="preserve"> and its limited long-term innovation make it insufficient for achieving complete decarbonization. The Prospective scenario takes a more ambitious approach by introducing technologies like natural gas-based DRI followed by CCU. It achieves a more effective emissions reduction of 67.8% by 2050 and represents a transitional phase toward full decarbonization. This scenario also </w:t>
      </w:r>
      <w:r w:rsidR="00A35F31">
        <w:t>relies on</w:t>
      </w:r>
      <w:r w:rsidRPr="00FF0A46">
        <w:t xml:space="preserve"> CO</w:t>
      </w:r>
      <w:r w:rsidRPr="00FF0A46">
        <w:rPr>
          <w:rFonts w:ascii="Cambria Math" w:hAnsi="Cambria Math" w:cs="Cambria Math"/>
        </w:rPr>
        <w:t>₂</w:t>
      </w:r>
      <w:r w:rsidRPr="00FF0A46">
        <w:t xml:space="preserve"> capture and conversion,</w:t>
      </w:r>
      <w:r w:rsidR="00A35F31">
        <w:t xml:space="preserve"> which is still under development at industrial scale.</w:t>
      </w:r>
      <w:r w:rsidRPr="00FF0A46">
        <w:t xml:space="preserve"> The Desirable scenario represents the ultimate goal of complete decarbonization. It envisions primary steel production using green hydrogen-powered DRI combined with renewable energy and biogenic carbon sources, eliminating reliance on fossil fuels. However, it requires systemic changes, large-scale investments, and substantial renewable energy capacity</w:t>
      </w:r>
      <w:r w:rsidR="00A35F31">
        <w:t xml:space="preserve"> and biogenic carbon sources</w:t>
      </w:r>
      <w:r w:rsidRPr="00FF0A46">
        <w:t xml:space="preserve"> to meet its ambitious goals.</w:t>
      </w:r>
      <w:r w:rsidR="00FF0A46" w:rsidRPr="00FF0A46">
        <w:t xml:space="preserve"> </w:t>
      </w:r>
      <w:r w:rsidRPr="00FF0A46">
        <w:t xml:space="preserve">All scenarios highlight the importance of expanding renewable energy production, providing policy incentives, and fostering collaboration among stakeholders. </w:t>
      </w:r>
      <w:r w:rsidR="003C1E28" w:rsidRPr="003C1E28">
        <w:t>Economically, the transition to green steel production demands significant initial investments</w:t>
      </w:r>
      <w:r w:rsidR="003C1E28">
        <w:t xml:space="preserve"> and increase the cost of production</w:t>
      </w:r>
      <w:r w:rsidR="003C1E28" w:rsidRPr="003C1E28">
        <w:t xml:space="preserve">, particularly in the Desirable Scenario, yet it offers long-term cost savings through reduced reliance </w:t>
      </w:r>
      <w:r w:rsidR="003C1E28" w:rsidRPr="003C1E28">
        <w:lastRenderedPageBreak/>
        <w:t>on fossil fuels</w:t>
      </w:r>
      <w:r w:rsidR="003C1E28">
        <w:t xml:space="preserve">. </w:t>
      </w:r>
      <w:r w:rsidRPr="00FF0A46">
        <w:t>The employment impacts are also significant, with new opportunities created by renewable energy integration, particularly in the Desirable Scenario. This pathway strengthens Italy’s renewable energy supply chains and positions the steel sector as a driver of sustainable economic development.</w:t>
      </w:r>
      <w:r w:rsidR="00FF0A46">
        <w:t xml:space="preserve"> </w:t>
      </w:r>
      <w:r w:rsidRPr="008922C3">
        <w:t>While challenging, the Desirable Scenario offers the most transformative pathway, aligning with global climate targets and positioning Italy as a leader in green steel production. The transition requires bold investments, technological innovation, and comprehensive policy support, but it promises substantial environmental, economic, and social benefits that will shape the future of Italy’s steel industry.</w:t>
      </w:r>
    </w:p>
    <w:p w14:paraId="07A6D20F" w14:textId="4A000E78" w:rsidR="00280FAF" w:rsidRPr="00280FAF" w:rsidRDefault="00280FAF" w:rsidP="008922C3">
      <w:pPr>
        <w:pStyle w:val="CETHeadingxx"/>
        <w:rPr>
          <w:lang w:val="en-GB"/>
        </w:rPr>
        <w:sectPr w:rsidR="00280FAF" w:rsidRPr="00280FAF" w:rsidSect="00DC73EE">
          <w:type w:val="continuous"/>
          <w:pgSz w:w="11906" w:h="16838" w:code="9"/>
          <w:pgMar w:top="1701" w:right="1418" w:bottom="1701" w:left="1701" w:header="1701" w:footer="0" w:gutter="0"/>
          <w:cols w:space="708"/>
          <w:formProt w:val="0"/>
          <w:titlePg/>
          <w:docGrid w:linePitch="360"/>
        </w:sectPr>
      </w:pPr>
      <w:r>
        <w:t>Nomenclature</w:t>
      </w:r>
    </w:p>
    <w:p w14:paraId="7DFFBF41" w14:textId="4C50E70F" w:rsidR="00E35B86" w:rsidRPr="00280FAF" w:rsidRDefault="00E35B86" w:rsidP="00280FAF">
      <w:pPr>
        <w:pStyle w:val="CETBodytext"/>
        <w:jc w:val="left"/>
        <w:rPr>
          <w:rFonts w:eastAsia="SimSun"/>
        </w:rPr>
        <w:sectPr w:rsidR="00E35B86" w:rsidRPr="00280FAF" w:rsidSect="00DC73EE">
          <w:type w:val="continuous"/>
          <w:pgSz w:w="11906" w:h="16838" w:code="9"/>
          <w:pgMar w:top="1701" w:right="1418" w:bottom="1701" w:left="1701" w:header="1701" w:footer="0" w:gutter="0"/>
          <w:cols w:space="708"/>
          <w:formProt w:val="0"/>
          <w:titlePg/>
          <w:docGrid w:linePitch="360"/>
        </w:sectPr>
      </w:pPr>
    </w:p>
    <w:p w14:paraId="7CAE226B" w14:textId="79F51670" w:rsidR="00592934" w:rsidRDefault="00592934" w:rsidP="00DD4F21">
      <w:pPr>
        <w:pStyle w:val="CETBodytext"/>
        <w:jc w:val="left"/>
        <w:rPr>
          <w:lang w:val="en-GB"/>
        </w:rPr>
      </w:pPr>
      <w:r>
        <w:rPr>
          <w:lang w:val="en-GB"/>
        </w:rPr>
        <w:t>ATECO</w:t>
      </w:r>
      <w:r w:rsidR="00B97FFB">
        <w:rPr>
          <w:lang w:val="en-GB"/>
        </w:rPr>
        <w:t xml:space="preserve"> </w:t>
      </w:r>
      <w:r w:rsidR="00B97FFB" w:rsidRPr="00280FAF">
        <w:rPr>
          <w:rFonts w:eastAsia="SimSun"/>
        </w:rPr>
        <w:t>–</w:t>
      </w:r>
      <w:r w:rsidR="00B97FFB">
        <w:rPr>
          <w:rFonts w:eastAsia="SimSun"/>
        </w:rPr>
        <w:t xml:space="preserve"> </w:t>
      </w:r>
      <w:proofErr w:type="spellStart"/>
      <w:r w:rsidR="00B97FFB">
        <w:t>Attività</w:t>
      </w:r>
      <w:proofErr w:type="spellEnd"/>
      <w:r w:rsidR="00B97FFB">
        <w:t xml:space="preserve"> </w:t>
      </w:r>
      <w:proofErr w:type="spellStart"/>
      <w:r w:rsidR="00B97FFB">
        <w:t>Economiche</w:t>
      </w:r>
      <w:proofErr w:type="spellEnd"/>
    </w:p>
    <w:p w14:paraId="36B0585C" w14:textId="4495FB8D" w:rsidR="00592934" w:rsidRDefault="00592934" w:rsidP="00DD4F21">
      <w:pPr>
        <w:pStyle w:val="CETBodytext"/>
        <w:jc w:val="left"/>
        <w:rPr>
          <w:lang w:val="en-GB"/>
        </w:rPr>
      </w:pPr>
      <w:r>
        <w:rPr>
          <w:lang w:val="en-GB"/>
        </w:rPr>
        <w:t>BAU</w:t>
      </w:r>
      <w:r w:rsidR="00B97FFB">
        <w:rPr>
          <w:lang w:val="en-GB"/>
        </w:rPr>
        <w:t xml:space="preserve"> </w:t>
      </w:r>
      <w:r w:rsidR="00B97FFB" w:rsidRPr="00280FAF">
        <w:rPr>
          <w:rFonts w:eastAsia="SimSun"/>
        </w:rPr>
        <w:t>–</w:t>
      </w:r>
      <w:r w:rsidR="00B97FFB">
        <w:rPr>
          <w:rFonts w:eastAsia="SimSun"/>
        </w:rPr>
        <w:t xml:space="preserve"> Business as Usual</w:t>
      </w:r>
    </w:p>
    <w:p w14:paraId="7AA3977E" w14:textId="069EC31D" w:rsidR="00DD4F21" w:rsidRDefault="00DD4F21" w:rsidP="00DD4F21">
      <w:pPr>
        <w:pStyle w:val="CETBodytext"/>
        <w:jc w:val="left"/>
        <w:rPr>
          <w:lang w:val="en-GB"/>
        </w:rPr>
      </w:pPr>
      <w:r>
        <w:rPr>
          <w:lang w:val="en-GB"/>
        </w:rPr>
        <w:t>BF</w:t>
      </w:r>
      <w:r w:rsidR="00B97FFB">
        <w:rPr>
          <w:lang w:val="en-GB"/>
        </w:rPr>
        <w:t xml:space="preserve"> </w:t>
      </w:r>
      <w:r w:rsidR="00B97FFB" w:rsidRPr="00280FAF">
        <w:rPr>
          <w:rFonts w:eastAsia="SimSun"/>
        </w:rPr>
        <w:t>–</w:t>
      </w:r>
      <w:r w:rsidR="00B97FFB">
        <w:rPr>
          <w:rFonts w:eastAsia="SimSun"/>
        </w:rPr>
        <w:t xml:space="preserve"> Blast Furnace</w:t>
      </w:r>
    </w:p>
    <w:p w14:paraId="482CFBDB" w14:textId="155E8845" w:rsidR="00DD4F21" w:rsidRDefault="00DD4F21" w:rsidP="00DD4F21">
      <w:pPr>
        <w:pStyle w:val="CETBodytext"/>
        <w:jc w:val="left"/>
        <w:rPr>
          <w:lang w:val="en-GB"/>
        </w:rPr>
      </w:pPr>
      <w:r>
        <w:rPr>
          <w:lang w:val="en-GB"/>
        </w:rPr>
        <w:t>BOF</w:t>
      </w:r>
      <w:r w:rsidR="00B97FFB">
        <w:rPr>
          <w:lang w:val="en-GB"/>
        </w:rPr>
        <w:t xml:space="preserve"> </w:t>
      </w:r>
      <w:r w:rsidR="00B97FFB" w:rsidRPr="00280FAF">
        <w:rPr>
          <w:rFonts w:eastAsia="SimSun"/>
        </w:rPr>
        <w:t>–</w:t>
      </w:r>
      <w:r w:rsidR="00B97FFB">
        <w:rPr>
          <w:rFonts w:eastAsia="SimSun"/>
        </w:rPr>
        <w:t xml:space="preserve"> Basic Oxygen Furnace</w:t>
      </w:r>
    </w:p>
    <w:p w14:paraId="7DF65ECD" w14:textId="607FC82F" w:rsidR="00592934" w:rsidRDefault="00592934" w:rsidP="00DD4F21">
      <w:pPr>
        <w:pStyle w:val="CETBodytext"/>
        <w:jc w:val="left"/>
        <w:rPr>
          <w:lang w:val="en-GB"/>
        </w:rPr>
      </w:pPr>
      <w:r>
        <w:rPr>
          <w:lang w:val="en-GB"/>
        </w:rPr>
        <w:t>CAPEX</w:t>
      </w:r>
      <w:r w:rsidR="00B97FFB">
        <w:rPr>
          <w:lang w:val="en-GB"/>
        </w:rPr>
        <w:t xml:space="preserve"> </w:t>
      </w:r>
      <w:r w:rsidR="00B97FFB" w:rsidRPr="00280FAF">
        <w:rPr>
          <w:rFonts w:eastAsia="SimSun"/>
        </w:rPr>
        <w:t>–</w:t>
      </w:r>
      <w:r w:rsidR="00B97FFB">
        <w:rPr>
          <w:rFonts w:eastAsia="SimSun"/>
        </w:rPr>
        <w:t xml:space="preserve"> Capital Expenditure</w:t>
      </w:r>
    </w:p>
    <w:p w14:paraId="23737EA9" w14:textId="7DDDC835" w:rsidR="00592934" w:rsidRDefault="00592934" w:rsidP="00DD4F21">
      <w:pPr>
        <w:pStyle w:val="CETBodytext"/>
        <w:jc w:val="left"/>
        <w:rPr>
          <w:lang w:val="en-GB"/>
        </w:rPr>
      </w:pPr>
      <w:r>
        <w:rPr>
          <w:lang w:val="en-GB"/>
        </w:rPr>
        <w:t>CCUS</w:t>
      </w:r>
      <w:r w:rsidR="00B97FFB">
        <w:rPr>
          <w:lang w:val="en-GB"/>
        </w:rPr>
        <w:t xml:space="preserve"> </w:t>
      </w:r>
      <w:r w:rsidR="00B97FFB" w:rsidRPr="00280FAF">
        <w:rPr>
          <w:rFonts w:eastAsia="SimSun"/>
        </w:rPr>
        <w:t>–</w:t>
      </w:r>
      <w:r w:rsidR="00B97FFB">
        <w:rPr>
          <w:rFonts w:eastAsia="SimSun"/>
        </w:rPr>
        <w:t xml:space="preserve"> Carbon Capture and Usage/Storage</w:t>
      </w:r>
    </w:p>
    <w:p w14:paraId="4B174B17" w14:textId="0689C9EB" w:rsidR="00592934" w:rsidRDefault="00592934" w:rsidP="00DD4F21">
      <w:pPr>
        <w:pStyle w:val="CETBodytext"/>
        <w:jc w:val="left"/>
        <w:rPr>
          <w:lang w:val="en-GB"/>
        </w:rPr>
      </w:pPr>
      <w:r>
        <w:rPr>
          <w:lang w:val="en-GB"/>
        </w:rPr>
        <w:t>CF</w:t>
      </w:r>
      <w:r w:rsidR="00B97FFB">
        <w:rPr>
          <w:lang w:val="en-GB"/>
        </w:rPr>
        <w:t xml:space="preserve"> </w:t>
      </w:r>
      <w:r w:rsidR="00B97FFB" w:rsidRPr="00280FAF">
        <w:rPr>
          <w:rFonts w:eastAsia="SimSun"/>
        </w:rPr>
        <w:t>–</w:t>
      </w:r>
      <w:r w:rsidR="00B97FFB">
        <w:rPr>
          <w:rFonts w:eastAsia="SimSun"/>
        </w:rPr>
        <w:t xml:space="preserve"> Capacity Factor</w:t>
      </w:r>
    </w:p>
    <w:p w14:paraId="20DFB599" w14:textId="784BFE66" w:rsidR="00592934" w:rsidRDefault="00592934" w:rsidP="00DD4F21">
      <w:pPr>
        <w:pStyle w:val="CETBodytext"/>
        <w:jc w:val="left"/>
        <w:rPr>
          <w:lang w:val="en-GB"/>
        </w:rPr>
      </w:pPr>
      <w:r>
        <w:rPr>
          <w:lang w:val="en-GB"/>
        </w:rPr>
        <w:t>CRF</w:t>
      </w:r>
      <w:r w:rsidR="00B97FFB">
        <w:rPr>
          <w:lang w:val="en-GB"/>
        </w:rPr>
        <w:t xml:space="preserve"> </w:t>
      </w:r>
      <w:r w:rsidR="00B97FFB" w:rsidRPr="00280FAF">
        <w:rPr>
          <w:rFonts w:eastAsia="SimSun"/>
        </w:rPr>
        <w:t>–</w:t>
      </w:r>
      <w:r w:rsidR="00B97FFB">
        <w:rPr>
          <w:rFonts w:eastAsia="SimSun"/>
        </w:rPr>
        <w:t xml:space="preserve"> Capital Recovery Factor</w:t>
      </w:r>
    </w:p>
    <w:p w14:paraId="54191D02" w14:textId="03EFD964" w:rsidR="00DD4F21" w:rsidRDefault="00DD4F21" w:rsidP="00DD4F21">
      <w:pPr>
        <w:pStyle w:val="CETBodytext"/>
        <w:jc w:val="left"/>
        <w:rPr>
          <w:rFonts w:eastAsia="SimSun"/>
        </w:rPr>
      </w:pPr>
      <w:r>
        <w:rPr>
          <w:lang w:val="en-GB"/>
        </w:rPr>
        <w:t>DRI</w:t>
      </w:r>
      <w:r w:rsidRPr="00280FAF">
        <w:rPr>
          <w:rFonts w:eastAsia="SimSun"/>
        </w:rPr>
        <w:t xml:space="preserve"> – </w:t>
      </w:r>
      <w:r>
        <w:rPr>
          <w:rFonts w:eastAsia="SimSun"/>
        </w:rPr>
        <w:t>Direct Reduced Iron</w:t>
      </w:r>
    </w:p>
    <w:p w14:paraId="023653AC" w14:textId="593946E6" w:rsidR="00592934" w:rsidRDefault="00592934" w:rsidP="00DD4F21">
      <w:pPr>
        <w:pStyle w:val="CETBodytext"/>
        <w:jc w:val="left"/>
        <w:rPr>
          <w:rFonts w:eastAsia="SimSun"/>
        </w:rPr>
      </w:pPr>
      <w:r>
        <w:rPr>
          <w:rFonts w:eastAsia="SimSun"/>
        </w:rPr>
        <w:t>EAF</w:t>
      </w:r>
      <w:r w:rsidR="00B97FFB">
        <w:rPr>
          <w:lang w:val="en-GB"/>
        </w:rPr>
        <w:t xml:space="preserve"> </w:t>
      </w:r>
      <w:r w:rsidR="00B97FFB" w:rsidRPr="00280FAF">
        <w:rPr>
          <w:rFonts w:eastAsia="SimSun"/>
        </w:rPr>
        <w:t>–</w:t>
      </w:r>
      <w:r w:rsidR="00B97FFB">
        <w:rPr>
          <w:rFonts w:eastAsia="SimSun"/>
        </w:rPr>
        <w:t xml:space="preserve"> Electric Arc Furnace</w:t>
      </w:r>
    </w:p>
    <w:p w14:paraId="0266B058" w14:textId="5458FE16" w:rsidR="00A138CF" w:rsidRDefault="00A138CF" w:rsidP="00A138CF">
      <w:pPr>
        <w:pStyle w:val="CETBodytext"/>
        <w:jc w:val="left"/>
        <w:rPr>
          <w:rFonts w:eastAsia="SimSun"/>
        </w:rPr>
      </w:pPr>
      <w:r>
        <w:rPr>
          <w:rFonts w:eastAsia="SimSun"/>
        </w:rPr>
        <w:t xml:space="preserve">GSE </w:t>
      </w:r>
      <w:r w:rsidRPr="00280FAF">
        <w:rPr>
          <w:rFonts w:eastAsia="SimSun"/>
        </w:rPr>
        <w:t>–</w:t>
      </w:r>
      <w:r>
        <w:rPr>
          <w:rFonts w:eastAsia="SimSun"/>
        </w:rPr>
        <w:t xml:space="preserve"> </w:t>
      </w:r>
      <w:proofErr w:type="spellStart"/>
      <w:r>
        <w:rPr>
          <w:rFonts w:eastAsia="SimSun"/>
        </w:rPr>
        <w:t>Gestore</w:t>
      </w:r>
      <w:proofErr w:type="spellEnd"/>
      <w:r>
        <w:rPr>
          <w:rFonts w:eastAsia="SimSun"/>
        </w:rPr>
        <w:t xml:space="preserve"> </w:t>
      </w:r>
      <w:proofErr w:type="spellStart"/>
      <w:r>
        <w:rPr>
          <w:rFonts w:eastAsia="SimSun"/>
        </w:rPr>
        <w:t>dei</w:t>
      </w:r>
      <w:proofErr w:type="spellEnd"/>
      <w:r>
        <w:rPr>
          <w:rFonts w:eastAsia="SimSun"/>
        </w:rPr>
        <w:t xml:space="preserve"> </w:t>
      </w:r>
      <w:proofErr w:type="spellStart"/>
      <w:r>
        <w:rPr>
          <w:rFonts w:eastAsia="SimSun"/>
        </w:rPr>
        <w:t>Servizi</w:t>
      </w:r>
      <w:proofErr w:type="spellEnd"/>
      <w:r>
        <w:rPr>
          <w:rFonts w:eastAsia="SimSun"/>
        </w:rPr>
        <w:t xml:space="preserve"> </w:t>
      </w:r>
      <w:proofErr w:type="spellStart"/>
      <w:r>
        <w:rPr>
          <w:rFonts w:eastAsia="SimSun"/>
        </w:rPr>
        <w:t>Energetici</w:t>
      </w:r>
      <w:proofErr w:type="spellEnd"/>
    </w:p>
    <w:p w14:paraId="7A7C8701" w14:textId="77777777" w:rsidR="001F33E2" w:rsidRDefault="001F33E2" w:rsidP="00DD4F21">
      <w:pPr>
        <w:pStyle w:val="CETBodytext"/>
        <w:jc w:val="left"/>
        <w:rPr>
          <w:rFonts w:eastAsia="SimSun"/>
        </w:rPr>
      </w:pPr>
    </w:p>
    <w:p w14:paraId="7A933E5F" w14:textId="1212E8E0" w:rsidR="00592934" w:rsidRPr="00280FAF" w:rsidRDefault="00592934" w:rsidP="00DD4F21">
      <w:pPr>
        <w:pStyle w:val="CETBodytext"/>
        <w:jc w:val="left"/>
        <w:rPr>
          <w:rFonts w:eastAsia="SimSun"/>
        </w:rPr>
      </w:pPr>
      <w:r>
        <w:rPr>
          <w:rFonts w:eastAsia="SimSun"/>
        </w:rPr>
        <w:t>BI</w:t>
      </w:r>
      <w:r w:rsidR="00B97FFB">
        <w:rPr>
          <w:lang w:val="en-GB"/>
        </w:rPr>
        <w:t xml:space="preserve"> </w:t>
      </w:r>
      <w:r w:rsidR="00B97FFB" w:rsidRPr="00280FAF">
        <w:rPr>
          <w:rFonts w:eastAsia="SimSun"/>
        </w:rPr>
        <w:t>–</w:t>
      </w:r>
      <w:r w:rsidR="00B97FFB">
        <w:rPr>
          <w:rFonts w:eastAsia="SimSun"/>
        </w:rPr>
        <w:t xml:space="preserve"> Hot Briquetted Iron</w:t>
      </w:r>
    </w:p>
    <w:p w14:paraId="728B7249" w14:textId="69562240" w:rsidR="00592934" w:rsidRDefault="00592934" w:rsidP="00280FAF">
      <w:pPr>
        <w:pStyle w:val="CETBodytext"/>
        <w:jc w:val="left"/>
        <w:rPr>
          <w:rFonts w:eastAsia="SimSun"/>
        </w:rPr>
      </w:pPr>
      <w:r>
        <w:rPr>
          <w:lang w:val="en-GB"/>
        </w:rPr>
        <w:t>IEA</w:t>
      </w:r>
      <w:r w:rsidR="00B97FFB">
        <w:rPr>
          <w:lang w:val="en-GB"/>
        </w:rPr>
        <w:t xml:space="preserve"> </w:t>
      </w:r>
      <w:r w:rsidR="00B97FFB" w:rsidRPr="00280FAF">
        <w:rPr>
          <w:rFonts w:eastAsia="SimSun"/>
        </w:rPr>
        <w:t>–</w:t>
      </w:r>
      <w:r w:rsidR="00B97FFB">
        <w:rPr>
          <w:rFonts w:eastAsia="SimSun"/>
        </w:rPr>
        <w:t xml:space="preserve"> International Energy Agency</w:t>
      </w:r>
    </w:p>
    <w:p w14:paraId="286CF32D" w14:textId="4AD192CA" w:rsidR="00B97FFB" w:rsidRDefault="00B97FFB" w:rsidP="00B97FFB">
      <w:pPr>
        <w:pStyle w:val="CETBodytext"/>
        <w:ind w:left="709" w:hanging="709"/>
        <w:jc w:val="left"/>
        <w:rPr>
          <w:lang w:val="en-GB"/>
        </w:rPr>
      </w:pPr>
      <w:r>
        <w:rPr>
          <w:lang w:val="en-GB"/>
        </w:rPr>
        <w:t>ISPRA</w:t>
      </w:r>
      <w:r w:rsidRPr="00280FAF">
        <w:rPr>
          <w:rFonts w:eastAsia="SimSun"/>
        </w:rPr>
        <w:t xml:space="preserve"> –</w:t>
      </w:r>
      <w:r>
        <w:rPr>
          <w:rFonts w:eastAsia="SimSun"/>
        </w:rPr>
        <w:t xml:space="preserve"> </w:t>
      </w:r>
      <w:proofErr w:type="spellStart"/>
      <w:r>
        <w:t>Istituto</w:t>
      </w:r>
      <w:proofErr w:type="spellEnd"/>
      <w:r>
        <w:t xml:space="preserve"> </w:t>
      </w:r>
      <w:proofErr w:type="spellStart"/>
      <w:r>
        <w:t>Superiore</w:t>
      </w:r>
      <w:proofErr w:type="spellEnd"/>
      <w:r>
        <w:t xml:space="preserve"> per la </w:t>
      </w:r>
      <w:proofErr w:type="spellStart"/>
      <w:r>
        <w:t>Protezione</w:t>
      </w:r>
      <w:proofErr w:type="spellEnd"/>
      <w:r>
        <w:t xml:space="preserve"> e la </w:t>
      </w:r>
      <w:proofErr w:type="spellStart"/>
      <w:r>
        <w:t>Ricerca</w:t>
      </w:r>
      <w:proofErr w:type="spellEnd"/>
      <w:r>
        <w:t xml:space="preserve"> </w:t>
      </w:r>
      <w:proofErr w:type="spellStart"/>
      <w:r>
        <w:t>Ambientale</w:t>
      </w:r>
      <w:proofErr w:type="spellEnd"/>
    </w:p>
    <w:p w14:paraId="57590CE2" w14:textId="38D5DF4F" w:rsidR="00280FAF" w:rsidRDefault="00DD4F21" w:rsidP="00280FAF">
      <w:pPr>
        <w:pStyle w:val="CETBodytext"/>
        <w:jc w:val="left"/>
        <w:rPr>
          <w:lang w:val="en-GB"/>
        </w:rPr>
      </w:pPr>
      <w:r w:rsidRPr="000B2A7C">
        <w:rPr>
          <w:lang w:val="en-GB"/>
        </w:rPr>
        <w:t>LCOP</w:t>
      </w:r>
      <w:r w:rsidR="00280FAF" w:rsidRPr="00280FAF">
        <w:rPr>
          <w:rFonts w:eastAsia="SimSun"/>
        </w:rPr>
        <w:t xml:space="preserve"> – </w:t>
      </w:r>
      <w:r w:rsidRPr="000B2A7C">
        <w:rPr>
          <w:lang w:val="en-GB"/>
        </w:rPr>
        <w:t>Levelized Cost of Production</w:t>
      </w:r>
    </w:p>
    <w:p w14:paraId="7FE4B3C2" w14:textId="1878B919" w:rsidR="00592934" w:rsidRDefault="00592934" w:rsidP="00280FAF">
      <w:pPr>
        <w:pStyle w:val="CETBodytext"/>
        <w:jc w:val="left"/>
        <w:rPr>
          <w:lang w:val="en-GB"/>
        </w:rPr>
      </w:pPr>
      <w:r>
        <w:rPr>
          <w:lang w:val="en-GB"/>
        </w:rPr>
        <w:t>NG</w:t>
      </w:r>
      <w:r w:rsidR="00B97FFB">
        <w:rPr>
          <w:lang w:val="en-GB"/>
        </w:rPr>
        <w:t xml:space="preserve"> </w:t>
      </w:r>
      <w:r w:rsidR="00B97FFB" w:rsidRPr="00280FAF">
        <w:rPr>
          <w:rFonts w:eastAsia="SimSun"/>
        </w:rPr>
        <w:t>–</w:t>
      </w:r>
      <w:r w:rsidR="00B97FFB">
        <w:rPr>
          <w:rFonts w:eastAsia="SimSun"/>
        </w:rPr>
        <w:t xml:space="preserve"> Natural Gas</w:t>
      </w:r>
    </w:p>
    <w:p w14:paraId="3DB7FD95" w14:textId="7AFE6952" w:rsidR="00592934" w:rsidRDefault="00592934" w:rsidP="00280FAF">
      <w:pPr>
        <w:pStyle w:val="CETBodytext"/>
        <w:jc w:val="left"/>
        <w:rPr>
          <w:rFonts w:eastAsia="SimSun"/>
        </w:rPr>
      </w:pPr>
      <w:r>
        <w:rPr>
          <w:rFonts w:eastAsia="SimSun"/>
        </w:rPr>
        <w:t>NGO</w:t>
      </w:r>
      <w:r w:rsidR="00B97FFB">
        <w:rPr>
          <w:lang w:val="en-GB"/>
        </w:rPr>
        <w:t xml:space="preserve"> </w:t>
      </w:r>
      <w:r w:rsidR="00B97FFB" w:rsidRPr="00280FAF">
        <w:rPr>
          <w:rFonts w:eastAsia="SimSun"/>
        </w:rPr>
        <w:t>–</w:t>
      </w:r>
      <w:r w:rsidR="00B97FFB">
        <w:rPr>
          <w:rFonts w:eastAsia="SimSun"/>
        </w:rPr>
        <w:t xml:space="preserve"> </w:t>
      </w:r>
      <w:r w:rsidR="00B97FFB">
        <w:t>Non-Governmental Organization</w:t>
      </w:r>
    </w:p>
    <w:p w14:paraId="72BE3465" w14:textId="688CD6FE" w:rsidR="00592934" w:rsidRPr="00592934" w:rsidRDefault="00BB669D" w:rsidP="00280FAF">
      <w:pPr>
        <w:pStyle w:val="CETBodytext"/>
        <w:jc w:val="left"/>
        <w:rPr>
          <w:rFonts w:eastAsia="SimSun"/>
        </w:rPr>
      </w:pPr>
      <m:oMath>
        <m:sSub>
          <m:sSubPr>
            <m:ctrlPr>
              <w:rPr>
                <w:rFonts w:ascii="Cambria Math" w:hAnsi="Cambria Math"/>
              </w:rPr>
            </m:ctrlPr>
          </m:sSubPr>
          <m:e>
            <m:r>
              <w:rPr>
                <w:rFonts w:ascii="Cambria Math" w:hAnsi="Cambria Math"/>
              </w:rPr>
              <m:t>OC</m:t>
            </m:r>
          </m:e>
          <m:sub>
            <m:r>
              <w:rPr>
                <w:rFonts w:ascii="Cambria Math" w:hAnsi="Cambria Math"/>
              </w:rPr>
              <m:t>fix</m:t>
            </m:r>
          </m:sub>
        </m:sSub>
      </m:oMath>
      <w:r w:rsidR="00B97FFB">
        <w:rPr>
          <w:lang w:val="en-GB"/>
        </w:rPr>
        <w:t xml:space="preserve"> </w:t>
      </w:r>
      <w:r w:rsidR="00B97FFB" w:rsidRPr="00280FAF">
        <w:rPr>
          <w:rFonts w:eastAsia="SimSun"/>
        </w:rPr>
        <w:t>–</w:t>
      </w:r>
      <w:r w:rsidR="00B97FFB">
        <w:rPr>
          <w:rFonts w:eastAsia="SimSun"/>
        </w:rPr>
        <w:t xml:space="preserve"> </w:t>
      </w:r>
      <w:r w:rsidR="00E35B86">
        <w:rPr>
          <w:rFonts w:eastAsia="SimSun"/>
        </w:rPr>
        <w:t>Fixed Operating Costs</w:t>
      </w:r>
    </w:p>
    <w:p w14:paraId="6B4250E7" w14:textId="1C80C1F8" w:rsidR="00592934" w:rsidRPr="00592934" w:rsidRDefault="00BB669D" w:rsidP="00280FAF">
      <w:pPr>
        <w:pStyle w:val="CETBodytext"/>
        <w:jc w:val="left"/>
        <w:rPr>
          <w:rFonts w:eastAsia="SimSun"/>
        </w:rPr>
      </w:pPr>
      <m:oMath>
        <m:sSub>
          <m:sSubPr>
            <m:ctrlPr>
              <w:rPr>
                <w:rFonts w:ascii="Cambria Math" w:hAnsi="Cambria Math" w:cs="Arial"/>
              </w:rPr>
            </m:ctrlPr>
          </m:sSubPr>
          <m:e>
            <m:r>
              <w:rPr>
                <w:rFonts w:ascii="Cambria Math" w:hAnsi="Cambria Math" w:cs="Arial"/>
              </w:rPr>
              <m:t>OC</m:t>
            </m:r>
          </m:e>
          <m:sub>
            <m:r>
              <w:rPr>
                <w:rFonts w:ascii="Cambria Math" w:hAnsi="Cambria Math" w:cs="Arial"/>
              </w:rPr>
              <m:t>var</m:t>
            </m:r>
          </m:sub>
        </m:sSub>
      </m:oMath>
      <w:r w:rsidR="00B97FFB">
        <w:rPr>
          <w:lang w:val="en-GB"/>
        </w:rPr>
        <w:t xml:space="preserve"> </w:t>
      </w:r>
      <w:r w:rsidR="00B97FFB" w:rsidRPr="00280FAF">
        <w:rPr>
          <w:rFonts w:eastAsia="SimSun"/>
        </w:rPr>
        <w:t>–</w:t>
      </w:r>
      <w:r w:rsidR="00E35B86">
        <w:rPr>
          <w:rFonts w:eastAsia="SimSun"/>
        </w:rPr>
        <w:t xml:space="preserve"> Variable Operating Costs</w:t>
      </w:r>
    </w:p>
    <w:p w14:paraId="1EF60FF3" w14:textId="71153D17" w:rsidR="00592934" w:rsidRDefault="00592934" w:rsidP="00280FAF">
      <w:pPr>
        <w:pStyle w:val="CETBodytext"/>
        <w:jc w:val="left"/>
        <w:rPr>
          <w:rFonts w:eastAsia="SimSun"/>
        </w:rPr>
      </w:pPr>
      <w:r>
        <w:rPr>
          <w:rFonts w:eastAsia="SimSun"/>
        </w:rPr>
        <w:t>PROD</w:t>
      </w:r>
      <w:r w:rsidR="00B97FFB">
        <w:rPr>
          <w:lang w:val="en-GB"/>
        </w:rPr>
        <w:t xml:space="preserve"> </w:t>
      </w:r>
      <w:r w:rsidR="00B97FFB" w:rsidRPr="00280FAF">
        <w:rPr>
          <w:rFonts w:eastAsia="SimSun"/>
        </w:rPr>
        <w:t>–</w:t>
      </w:r>
      <w:r w:rsidR="00E35B86">
        <w:rPr>
          <w:rFonts w:eastAsia="SimSun"/>
        </w:rPr>
        <w:t xml:space="preserve"> expected annual Production</w:t>
      </w:r>
    </w:p>
    <w:p w14:paraId="177FDF14" w14:textId="511BF6BF" w:rsidR="00592934" w:rsidRPr="00592934" w:rsidRDefault="00592934" w:rsidP="00280FAF">
      <w:pPr>
        <w:pStyle w:val="CETBodytext"/>
        <w:jc w:val="left"/>
        <w:rPr>
          <w:rFonts w:eastAsia="SimSun"/>
        </w:rPr>
      </w:pPr>
    </w:p>
    <w:p w14:paraId="38BFE636" w14:textId="35662B85" w:rsidR="00E35B86" w:rsidRPr="00E377D0" w:rsidRDefault="00E35B86" w:rsidP="00280FAF">
      <w:pPr>
        <w:pStyle w:val="CETBodytext"/>
        <w:jc w:val="left"/>
        <w:rPr>
          <w:rFonts w:eastAsia="SimSun"/>
        </w:rPr>
        <w:sectPr w:rsidR="00E35B86" w:rsidRPr="00E377D0" w:rsidSect="00DC73EE">
          <w:type w:val="continuous"/>
          <w:pgSz w:w="11906" w:h="16838" w:code="9"/>
          <w:pgMar w:top="1701" w:right="1418" w:bottom="1701" w:left="1701" w:header="1701" w:footer="0" w:gutter="0"/>
          <w:cols w:num="2" w:space="708"/>
          <w:formProt w:val="0"/>
          <w:titlePg/>
          <w:docGrid w:linePitch="360"/>
        </w:sectPr>
      </w:pPr>
    </w:p>
    <w:p w14:paraId="459D05E6" w14:textId="77777777" w:rsidR="00600535" w:rsidRPr="00B57B36" w:rsidRDefault="00600535" w:rsidP="00600535">
      <w:pPr>
        <w:pStyle w:val="CETAcknowledgementstitle"/>
      </w:pPr>
      <w:r w:rsidRPr="00B57B36">
        <w:t>Acknowledgments</w:t>
      </w:r>
    </w:p>
    <w:p w14:paraId="33F8138F" w14:textId="56E92C12" w:rsidR="00600535" w:rsidRPr="00B57B36" w:rsidRDefault="002C5A9B" w:rsidP="00600535">
      <w:pPr>
        <w:pStyle w:val="CETBodytext"/>
        <w:rPr>
          <w:lang w:val="en-GB"/>
        </w:rPr>
      </w:pPr>
      <w:r>
        <w:rPr>
          <w:lang w:val="en-GB"/>
        </w:rPr>
        <w:t xml:space="preserve">This study has been funded by WWF Italy. Andrea Mio, Romeo Danielis and Giovanni </w:t>
      </w:r>
      <w:proofErr w:type="spellStart"/>
      <w:r>
        <w:rPr>
          <w:lang w:val="en-GB"/>
        </w:rPr>
        <w:t>Carrosio</w:t>
      </w:r>
      <w:proofErr w:type="spellEnd"/>
      <w:r>
        <w:rPr>
          <w:lang w:val="en-GB"/>
        </w:rPr>
        <w:t xml:space="preserve"> are also affiliated to </w:t>
      </w:r>
      <w:proofErr w:type="spellStart"/>
      <w:r w:rsidRPr="002C5A9B">
        <w:rPr>
          <w:lang w:val="en-GB"/>
        </w:rPr>
        <w:t>Center</w:t>
      </w:r>
      <w:proofErr w:type="spellEnd"/>
      <w:r w:rsidRPr="002C5A9B">
        <w:rPr>
          <w:lang w:val="en-GB"/>
        </w:rPr>
        <w:t xml:space="preserve"> for Energy, Environment and Transport Giacomo </w:t>
      </w:r>
      <w:proofErr w:type="spellStart"/>
      <w:r w:rsidRPr="002C5A9B">
        <w:rPr>
          <w:lang w:val="en-GB"/>
        </w:rPr>
        <w:t>Ciamician</w:t>
      </w:r>
      <w:proofErr w:type="spellEnd"/>
      <w:r w:rsidRPr="002C5A9B">
        <w:rPr>
          <w:lang w:val="en-GB"/>
        </w:rPr>
        <w:t>, University of Trieste, Italy</w:t>
      </w:r>
      <w:r>
        <w:rPr>
          <w:lang w:val="en-GB"/>
        </w:rPr>
        <w:t xml:space="preserve">. </w:t>
      </w:r>
      <w:r w:rsidR="00371917">
        <w:rPr>
          <w:lang w:val="en-GB"/>
        </w:rPr>
        <w:t xml:space="preserve">Sabrina </w:t>
      </w:r>
      <w:proofErr w:type="spellStart"/>
      <w:r w:rsidR="00371917">
        <w:rPr>
          <w:lang w:val="en-GB"/>
        </w:rPr>
        <w:t>Pricl</w:t>
      </w:r>
      <w:proofErr w:type="spellEnd"/>
      <w:r w:rsidR="00371917">
        <w:rPr>
          <w:lang w:val="en-GB"/>
        </w:rPr>
        <w:t xml:space="preserve"> is also affiliated to </w:t>
      </w:r>
      <w:r w:rsidR="00371917" w:rsidRPr="00371917">
        <w:rPr>
          <w:lang w:val="en-GB"/>
        </w:rPr>
        <w:t xml:space="preserve">Department of General Biophysics, Faculty of Biology and Environmental Protection, University of Lodz, ul. </w:t>
      </w:r>
      <w:proofErr w:type="spellStart"/>
      <w:r w:rsidR="00371917" w:rsidRPr="00371917">
        <w:rPr>
          <w:lang w:val="en-GB"/>
        </w:rPr>
        <w:t>Pomorska</w:t>
      </w:r>
      <w:proofErr w:type="spellEnd"/>
      <w:r w:rsidR="00371917" w:rsidRPr="00371917">
        <w:rPr>
          <w:lang w:val="en-GB"/>
        </w:rPr>
        <w:t xml:space="preserve"> 141/143, 90-236 </w:t>
      </w:r>
      <w:proofErr w:type="spellStart"/>
      <w:r w:rsidR="00371917" w:rsidRPr="00371917">
        <w:rPr>
          <w:lang w:val="en-GB"/>
        </w:rPr>
        <w:t>Łódź</w:t>
      </w:r>
      <w:proofErr w:type="spellEnd"/>
      <w:r w:rsidR="00371917" w:rsidRPr="00371917">
        <w:rPr>
          <w:lang w:val="en-GB"/>
        </w:rPr>
        <w:t>, Poland</w:t>
      </w:r>
    </w:p>
    <w:p w14:paraId="4F1327F8" w14:textId="77777777" w:rsidR="00600535" w:rsidRPr="00B57B36" w:rsidRDefault="00600535" w:rsidP="00600535">
      <w:pPr>
        <w:pStyle w:val="CETReference"/>
      </w:pPr>
      <w:r w:rsidRPr="00B57B36">
        <w:t>References</w:t>
      </w:r>
    </w:p>
    <w:p w14:paraId="3C9A0F50" w14:textId="6BAB6165" w:rsidR="00FF0A46" w:rsidRPr="00FF0A46" w:rsidRDefault="009D7EB9" w:rsidP="00FF0A46">
      <w:pPr>
        <w:widowControl w:val="0"/>
        <w:autoSpaceDE w:val="0"/>
        <w:autoSpaceDN w:val="0"/>
        <w:adjustRightInd w:val="0"/>
        <w:spacing w:line="240" w:lineRule="auto"/>
        <w:ind w:left="480" w:hanging="480"/>
        <w:rPr>
          <w:rFonts w:cs="Arial"/>
          <w:noProof/>
          <w:szCs w:val="24"/>
        </w:rPr>
      </w:pPr>
      <w:r>
        <w:fldChar w:fldCharType="begin" w:fldLock="1"/>
      </w:r>
      <w:r>
        <w:instrText xml:space="preserve">ADDIN Mendeley Bibliography CSL_BIBLIOGRAPHY </w:instrText>
      </w:r>
      <w:r>
        <w:fldChar w:fldCharType="separate"/>
      </w:r>
      <w:r w:rsidR="00FF0A46" w:rsidRPr="00FF0A46">
        <w:rPr>
          <w:rFonts w:cs="Arial"/>
          <w:noProof/>
          <w:szCs w:val="24"/>
        </w:rPr>
        <w:t>Federacciai, 2023a. La siderurgia italiana in cifre-The italian steel industry key statistics 1–21.</w:t>
      </w:r>
    </w:p>
    <w:p w14:paraId="7D4A47F3" w14:textId="77777777" w:rsidR="00FF0A46" w:rsidRPr="00FF0A46" w:rsidRDefault="00FF0A46" w:rsidP="00FF0A46">
      <w:pPr>
        <w:widowControl w:val="0"/>
        <w:autoSpaceDE w:val="0"/>
        <w:autoSpaceDN w:val="0"/>
        <w:adjustRightInd w:val="0"/>
        <w:spacing w:line="240" w:lineRule="auto"/>
        <w:ind w:left="480" w:hanging="480"/>
        <w:rPr>
          <w:rFonts w:cs="Arial"/>
          <w:noProof/>
          <w:szCs w:val="24"/>
        </w:rPr>
      </w:pPr>
      <w:r w:rsidRPr="00FF0A46">
        <w:rPr>
          <w:rFonts w:cs="Arial"/>
          <w:noProof/>
          <w:szCs w:val="24"/>
        </w:rPr>
        <w:t>Federacciai, 2023b. Rapporto di sostenibilità 2023 - Sustainability report 2023.</w:t>
      </w:r>
    </w:p>
    <w:p w14:paraId="25B737F4" w14:textId="77777777" w:rsidR="00FF0A46" w:rsidRPr="00FF0A46" w:rsidRDefault="00FF0A46" w:rsidP="00FF0A46">
      <w:pPr>
        <w:widowControl w:val="0"/>
        <w:autoSpaceDE w:val="0"/>
        <w:autoSpaceDN w:val="0"/>
        <w:adjustRightInd w:val="0"/>
        <w:spacing w:line="240" w:lineRule="auto"/>
        <w:ind w:left="480" w:hanging="480"/>
        <w:rPr>
          <w:rFonts w:cs="Arial"/>
          <w:noProof/>
          <w:szCs w:val="24"/>
        </w:rPr>
      </w:pPr>
      <w:r w:rsidRPr="00FF0A46">
        <w:rPr>
          <w:rFonts w:cs="Arial"/>
          <w:noProof/>
          <w:szCs w:val="24"/>
        </w:rPr>
        <w:t>Federacciai, 2021. Rapporto di sostenibilità 2021 - Sustainability report 2023.</w:t>
      </w:r>
    </w:p>
    <w:p w14:paraId="00EA5D18" w14:textId="3C1AEE29" w:rsidR="00FF0A46" w:rsidRPr="00FF0A46" w:rsidRDefault="00FF0A46" w:rsidP="00FF0A46">
      <w:pPr>
        <w:widowControl w:val="0"/>
        <w:autoSpaceDE w:val="0"/>
        <w:autoSpaceDN w:val="0"/>
        <w:adjustRightInd w:val="0"/>
        <w:spacing w:line="240" w:lineRule="auto"/>
        <w:ind w:left="480" w:hanging="480"/>
        <w:rPr>
          <w:rFonts w:cs="Arial"/>
          <w:noProof/>
          <w:szCs w:val="24"/>
        </w:rPr>
      </w:pPr>
      <w:r w:rsidRPr="00FF0A46">
        <w:rPr>
          <w:rFonts w:cs="Arial"/>
          <w:noProof/>
          <w:szCs w:val="24"/>
        </w:rPr>
        <w:t>Fischedick, M., Marzinkowski, J., Winzer, P., Weigel, M., 2014. Techno-economic evaluation of innovative steel production technologies. J</w:t>
      </w:r>
      <w:r w:rsidR="00442AB0">
        <w:rPr>
          <w:rFonts w:cs="Arial"/>
          <w:noProof/>
          <w:szCs w:val="24"/>
        </w:rPr>
        <w:t>ournal of</w:t>
      </w:r>
      <w:r w:rsidRPr="00FF0A46">
        <w:rPr>
          <w:rFonts w:cs="Arial"/>
          <w:noProof/>
          <w:szCs w:val="24"/>
        </w:rPr>
        <w:t xml:space="preserve"> Clean</w:t>
      </w:r>
      <w:r w:rsidR="00442AB0">
        <w:rPr>
          <w:rFonts w:cs="Arial"/>
          <w:noProof/>
          <w:szCs w:val="24"/>
        </w:rPr>
        <w:t>er</w:t>
      </w:r>
      <w:r w:rsidRPr="00FF0A46">
        <w:rPr>
          <w:rFonts w:cs="Arial"/>
          <w:noProof/>
          <w:szCs w:val="24"/>
        </w:rPr>
        <w:t xml:space="preserve"> Prod</w:t>
      </w:r>
      <w:r w:rsidR="00442AB0">
        <w:rPr>
          <w:rFonts w:cs="Arial"/>
          <w:noProof/>
          <w:szCs w:val="24"/>
        </w:rPr>
        <w:t>uction</w:t>
      </w:r>
      <w:r w:rsidRPr="00FF0A46">
        <w:rPr>
          <w:rFonts w:cs="Arial"/>
          <w:noProof/>
          <w:szCs w:val="24"/>
        </w:rPr>
        <w:t xml:space="preserve"> 84, 563–580. </w:t>
      </w:r>
    </w:p>
    <w:p w14:paraId="3A01FFD7" w14:textId="77777777" w:rsidR="00FF0A46" w:rsidRPr="00FF0A46" w:rsidRDefault="00FF0A46" w:rsidP="00FF0A46">
      <w:pPr>
        <w:widowControl w:val="0"/>
        <w:autoSpaceDE w:val="0"/>
        <w:autoSpaceDN w:val="0"/>
        <w:adjustRightInd w:val="0"/>
        <w:spacing w:line="240" w:lineRule="auto"/>
        <w:ind w:left="480" w:hanging="480"/>
        <w:rPr>
          <w:rFonts w:cs="Arial"/>
          <w:noProof/>
          <w:szCs w:val="24"/>
        </w:rPr>
      </w:pPr>
      <w:r w:rsidRPr="00FF0A46">
        <w:rPr>
          <w:rFonts w:cs="Arial"/>
          <w:noProof/>
          <w:szCs w:val="24"/>
        </w:rPr>
        <w:t>GSE, 2022a. MONITORAGGIO DEGLI IMPATTI ECONOMICI E OCCUPAZIONALI DELLE FONTI RINNOVABILI E DELL’EFFICIENZA ENERGETICA.</w:t>
      </w:r>
    </w:p>
    <w:p w14:paraId="79C0B5B1" w14:textId="77777777" w:rsidR="00FF0A46" w:rsidRPr="00FF0A46" w:rsidRDefault="00FF0A46" w:rsidP="00FF0A46">
      <w:pPr>
        <w:widowControl w:val="0"/>
        <w:autoSpaceDE w:val="0"/>
        <w:autoSpaceDN w:val="0"/>
        <w:adjustRightInd w:val="0"/>
        <w:spacing w:line="240" w:lineRule="auto"/>
        <w:ind w:left="480" w:hanging="480"/>
        <w:rPr>
          <w:rFonts w:cs="Arial"/>
          <w:noProof/>
          <w:szCs w:val="24"/>
        </w:rPr>
      </w:pPr>
      <w:r w:rsidRPr="00FF0A46">
        <w:rPr>
          <w:rFonts w:cs="Arial"/>
          <w:noProof/>
          <w:szCs w:val="24"/>
        </w:rPr>
        <w:t>GSE, 2022b. Fattori di emissione per la produzione e il consumo di energia elettrica in Italia - Emission Factors for production and consumption of electricity in Italy.</w:t>
      </w:r>
    </w:p>
    <w:p w14:paraId="710743C1" w14:textId="2591BC17" w:rsidR="00FF0A46" w:rsidRPr="00FF0A46" w:rsidRDefault="00FF0A46" w:rsidP="00FF0A46">
      <w:pPr>
        <w:widowControl w:val="0"/>
        <w:autoSpaceDE w:val="0"/>
        <w:autoSpaceDN w:val="0"/>
        <w:adjustRightInd w:val="0"/>
        <w:spacing w:line="240" w:lineRule="auto"/>
        <w:ind w:left="480" w:hanging="480"/>
        <w:rPr>
          <w:rFonts w:cs="Arial"/>
          <w:noProof/>
          <w:szCs w:val="24"/>
        </w:rPr>
      </w:pPr>
      <w:r w:rsidRPr="00FF0A46">
        <w:rPr>
          <w:rFonts w:cs="Arial"/>
          <w:noProof/>
          <w:szCs w:val="24"/>
        </w:rPr>
        <w:t>IEA - International Energy Agency, 2024. Production of crude steel by route in the Net Zero Scenario, 2018-2030. URL https://www.iea.org/data-and-statistics/charts/production-of-crude-steel-by-route-in-the-net-zero-scenario-2018-2030</w:t>
      </w:r>
    </w:p>
    <w:p w14:paraId="3EBF3814" w14:textId="77777777" w:rsidR="00FF0A46" w:rsidRPr="00FF0A46" w:rsidRDefault="00FF0A46" w:rsidP="00FF0A46">
      <w:pPr>
        <w:widowControl w:val="0"/>
        <w:autoSpaceDE w:val="0"/>
        <w:autoSpaceDN w:val="0"/>
        <w:adjustRightInd w:val="0"/>
        <w:spacing w:line="240" w:lineRule="auto"/>
        <w:ind w:left="480" w:hanging="480"/>
        <w:rPr>
          <w:rFonts w:cs="Arial"/>
          <w:noProof/>
          <w:szCs w:val="24"/>
        </w:rPr>
      </w:pPr>
      <w:r w:rsidRPr="00FF0A46">
        <w:rPr>
          <w:rFonts w:cs="Arial"/>
          <w:noProof/>
          <w:szCs w:val="24"/>
        </w:rPr>
        <w:t>ISPRA - Istituto Superiore per la Protezione e la Ricerca Ambientale, 2023. Le emissioni di gas serra in Italia: obiettivi di riduzione e scenari emissivi - Greenhouse Gas Emissions in Italy: Reduction Targets and Emission Scenarios.</w:t>
      </w:r>
    </w:p>
    <w:p w14:paraId="48D71F92" w14:textId="6635E18E" w:rsidR="00FF0A46" w:rsidRPr="00FF0A46" w:rsidRDefault="00FF0A46" w:rsidP="00FF0A46">
      <w:pPr>
        <w:widowControl w:val="0"/>
        <w:autoSpaceDE w:val="0"/>
        <w:autoSpaceDN w:val="0"/>
        <w:adjustRightInd w:val="0"/>
        <w:spacing w:line="240" w:lineRule="auto"/>
        <w:ind w:left="480" w:hanging="480"/>
        <w:rPr>
          <w:rFonts w:cs="Arial"/>
          <w:noProof/>
          <w:szCs w:val="24"/>
        </w:rPr>
      </w:pPr>
      <w:r w:rsidRPr="00FF0A46">
        <w:rPr>
          <w:rFonts w:cs="Arial"/>
          <w:noProof/>
          <w:szCs w:val="24"/>
        </w:rPr>
        <w:t>Mio, A., Petrescu, L., Luca, A. V., Galusnyak, S.C., Fermeglia, M., Cormos, C.C., 2022. Carbon Dioxide Capture in the Iron and Steel Industry: Thermodynamic Analysis, Process Simulation, and Life Cycle Assessment. Chem</w:t>
      </w:r>
      <w:r w:rsidR="00442AB0">
        <w:rPr>
          <w:rFonts w:cs="Arial"/>
          <w:noProof/>
          <w:szCs w:val="24"/>
        </w:rPr>
        <w:t>ical and</w:t>
      </w:r>
      <w:r w:rsidRPr="00FF0A46">
        <w:rPr>
          <w:rFonts w:cs="Arial"/>
          <w:noProof/>
          <w:szCs w:val="24"/>
        </w:rPr>
        <w:t xml:space="preserve"> Biochem</w:t>
      </w:r>
      <w:r w:rsidR="00442AB0">
        <w:rPr>
          <w:rFonts w:cs="Arial"/>
          <w:noProof/>
          <w:szCs w:val="24"/>
        </w:rPr>
        <w:t>ical</w:t>
      </w:r>
      <w:r w:rsidRPr="00FF0A46">
        <w:rPr>
          <w:rFonts w:cs="Arial"/>
          <w:noProof/>
          <w:szCs w:val="24"/>
        </w:rPr>
        <w:t xml:space="preserve"> Eng</w:t>
      </w:r>
      <w:r w:rsidR="00442AB0">
        <w:rPr>
          <w:rFonts w:cs="Arial"/>
          <w:noProof/>
          <w:szCs w:val="24"/>
        </w:rPr>
        <w:t>ineering</w:t>
      </w:r>
      <w:r w:rsidRPr="00FF0A46">
        <w:rPr>
          <w:rFonts w:cs="Arial"/>
          <w:noProof/>
          <w:szCs w:val="24"/>
        </w:rPr>
        <w:t xml:space="preserve"> Q</w:t>
      </w:r>
      <w:r w:rsidR="00442AB0">
        <w:rPr>
          <w:rFonts w:cs="Arial"/>
          <w:noProof/>
          <w:szCs w:val="24"/>
        </w:rPr>
        <w:t>uarterly</w:t>
      </w:r>
      <w:r w:rsidRPr="00FF0A46">
        <w:rPr>
          <w:rFonts w:cs="Arial"/>
          <w:noProof/>
          <w:szCs w:val="24"/>
        </w:rPr>
        <w:t xml:space="preserve">. 36, 255–271. </w:t>
      </w:r>
    </w:p>
    <w:p w14:paraId="7FE308BD" w14:textId="77777777" w:rsidR="00FF0A46" w:rsidRPr="00FF0A46" w:rsidRDefault="00FF0A46" w:rsidP="00FF0A46">
      <w:pPr>
        <w:widowControl w:val="0"/>
        <w:autoSpaceDE w:val="0"/>
        <w:autoSpaceDN w:val="0"/>
        <w:adjustRightInd w:val="0"/>
        <w:spacing w:line="240" w:lineRule="auto"/>
        <w:ind w:left="480" w:hanging="480"/>
        <w:rPr>
          <w:rFonts w:cs="Arial"/>
          <w:noProof/>
          <w:szCs w:val="24"/>
        </w:rPr>
      </w:pPr>
      <w:r w:rsidRPr="00FF0A46">
        <w:rPr>
          <w:rFonts w:cs="Arial"/>
          <w:noProof/>
          <w:szCs w:val="24"/>
        </w:rPr>
        <w:t>Policy Department for Economic Scientific and Quality of Life Policies, 2021. Moving Towards Zero-Emission Steel.</w:t>
      </w:r>
    </w:p>
    <w:p w14:paraId="43D33FA8" w14:textId="4CA1B759" w:rsidR="00FF0A46" w:rsidRPr="00FF0A46" w:rsidRDefault="00FF0A46" w:rsidP="00FF0A46">
      <w:pPr>
        <w:widowControl w:val="0"/>
        <w:autoSpaceDE w:val="0"/>
        <w:autoSpaceDN w:val="0"/>
        <w:adjustRightInd w:val="0"/>
        <w:spacing w:line="240" w:lineRule="auto"/>
        <w:ind w:left="480" w:hanging="480"/>
        <w:rPr>
          <w:rFonts w:cs="Arial"/>
          <w:noProof/>
          <w:szCs w:val="24"/>
        </w:rPr>
      </w:pPr>
      <w:r w:rsidRPr="00FF0A46">
        <w:rPr>
          <w:rFonts w:cs="Arial"/>
          <w:noProof/>
          <w:szCs w:val="24"/>
        </w:rPr>
        <w:t xml:space="preserve">Rosner, F., Papadias, D., Brooks, K., Yoro, K., Ahluwalia, R., Autrey, T., Breunig, H., 2023. Green steel: design and cost analysis of hydrogen-based direct iron reduction. Energy </w:t>
      </w:r>
      <w:r w:rsidR="00442AB0">
        <w:rPr>
          <w:rFonts w:cs="Arial"/>
          <w:noProof/>
          <w:szCs w:val="24"/>
        </w:rPr>
        <w:t xml:space="preserve">and </w:t>
      </w:r>
      <w:r w:rsidRPr="00FF0A46">
        <w:rPr>
          <w:rFonts w:cs="Arial"/>
          <w:noProof/>
          <w:szCs w:val="24"/>
        </w:rPr>
        <w:t>Environ</w:t>
      </w:r>
      <w:r w:rsidR="00442AB0">
        <w:rPr>
          <w:rFonts w:cs="Arial"/>
          <w:noProof/>
          <w:szCs w:val="24"/>
        </w:rPr>
        <w:t>mental</w:t>
      </w:r>
      <w:r w:rsidRPr="00FF0A46">
        <w:rPr>
          <w:rFonts w:cs="Arial"/>
          <w:noProof/>
          <w:szCs w:val="24"/>
        </w:rPr>
        <w:t xml:space="preserve"> Sci</w:t>
      </w:r>
      <w:r w:rsidR="00442AB0">
        <w:rPr>
          <w:rFonts w:cs="Arial"/>
          <w:noProof/>
          <w:szCs w:val="24"/>
        </w:rPr>
        <w:t>ence</w:t>
      </w:r>
      <w:r w:rsidRPr="00FF0A46">
        <w:rPr>
          <w:rFonts w:cs="Arial"/>
          <w:noProof/>
          <w:szCs w:val="24"/>
        </w:rPr>
        <w:t xml:space="preserve"> 16, 4121–4134. https://doi.org/10.1039/d3ee01077e</w:t>
      </w:r>
    </w:p>
    <w:p w14:paraId="1A3DF9C2" w14:textId="535A6D3D" w:rsidR="00FF0A46" w:rsidRPr="00FF0A46" w:rsidRDefault="00FF0A46" w:rsidP="00FF0A46">
      <w:pPr>
        <w:widowControl w:val="0"/>
        <w:autoSpaceDE w:val="0"/>
        <w:autoSpaceDN w:val="0"/>
        <w:adjustRightInd w:val="0"/>
        <w:spacing w:line="240" w:lineRule="auto"/>
        <w:ind w:left="480" w:hanging="480"/>
        <w:rPr>
          <w:rFonts w:cs="Arial"/>
          <w:noProof/>
          <w:szCs w:val="24"/>
        </w:rPr>
      </w:pPr>
      <w:r w:rsidRPr="00FF0A46">
        <w:rPr>
          <w:rFonts w:cs="Arial"/>
          <w:noProof/>
          <w:szCs w:val="24"/>
        </w:rPr>
        <w:t>Wernet, G., Bauer, C., Steubing, B., Reinhard, J., Moreno-Ruiz, E., Weidema, B., 2016. The ecoinvent database version 3 (part I): overview and methodology. Int</w:t>
      </w:r>
      <w:r w:rsidR="00442AB0">
        <w:rPr>
          <w:rFonts w:cs="Arial"/>
          <w:noProof/>
          <w:szCs w:val="24"/>
        </w:rPr>
        <w:t>ernational</w:t>
      </w:r>
      <w:r w:rsidRPr="00FF0A46">
        <w:rPr>
          <w:rFonts w:cs="Arial"/>
          <w:noProof/>
          <w:szCs w:val="24"/>
        </w:rPr>
        <w:t xml:space="preserve"> J</w:t>
      </w:r>
      <w:r w:rsidR="00442AB0">
        <w:rPr>
          <w:rFonts w:cs="Arial"/>
          <w:noProof/>
          <w:szCs w:val="24"/>
        </w:rPr>
        <w:t>ournal of</w:t>
      </w:r>
      <w:r w:rsidRPr="00FF0A46">
        <w:rPr>
          <w:rFonts w:cs="Arial"/>
          <w:noProof/>
          <w:szCs w:val="24"/>
        </w:rPr>
        <w:t xml:space="preserve"> Life Cycle Assess</w:t>
      </w:r>
      <w:r w:rsidR="00442AB0">
        <w:rPr>
          <w:rFonts w:cs="Arial"/>
          <w:noProof/>
          <w:szCs w:val="24"/>
        </w:rPr>
        <w:t>ment</w:t>
      </w:r>
      <w:r w:rsidRPr="00FF0A46">
        <w:rPr>
          <w:rFonts w:cs="Arial"/>
          <w:noProof/>
          <w:szCs w:val="24"/>
        </w:rPr>
        <w:t xml:space="preserve"> 21, 1218–1230. https://doi.org/10.1007/s11367-016-1087-8</w:t>
      </w:r>
    </w:p>
    <w:p w14:paraId="56A34644" w14:textId="77777777" w:rsidR="00FF0A46" w:rsidRPr="00FF0A46" w:rsidRDefault="00FF0A46" w:rsidP="00FF0A46">
      <w:pPr>
        <w:widowControl w:val="0"/>
        <w:autoSpaceDE w:val="0"/>
        <w:autoSpaceDN w:val="0"/>
        <w:adjustRightInd w:val="0"/>
        <w:spacing w:line="240" w:lineRule="auto"/>
        <w:ind w:left="480" w:hanging="480"/>
        <w:rPr>
          <w:rFonts w:cs="Arial"/>
          <w:noProof/>
          <w:szCs w:val="24"/>
        </w:rPr>
      </w:pPr>
      <w:r w:rsidRPr="00FF0A46">
        <w:rPr>
          <w:rFonts w:cs="Arial"/>
          <w:noProof/>
          <w:szCs w:val="24"/>
        </w:rPr>
        <w:t>worldsteel association, 2023. 2023 World Steel in Figures.</w:t>
      </w:r>
    </w:p>
    <w:p w14:paraId="50CB80C9" w14:textId="00612CC9" w:rsidR="00FF0A46" w:rsidRPr="00FF0A46" w:rsidRDefault="00FF0A46" w:rsidP="00FF0A46">
      <w:pPr>
        <w:widowControl w:val="0"/>
        <w:autoSpaceDE w:val="0"/>
        <w:autoSpaceDN w:val="0"/>
        <w:adjustRightInd w:val="0"/>
        <w:spacing w:line="240" w:lineRule="auto"/>
        <w:ind w:left="480" w:hanging="480"/>
        <w:rPr>
          <w:rFonts w:cs="Arial"/>
          <w:noProof/>
        </w:rPr>
      </w:pPr>
      <w:r w:rsidRPr="00FF0A46">
        <w:rPr>
          <w:rFonts w:cs="Arial"/>
          <w:noProof/>
          <w:szCs w:val="24"/>
        </w:rPr>
        <w:t>Zecca, N., Cobden, P.D., Lücking, L., Manzolini, G., 2023. SEWGS integration in a direct reduction steelmaking process for CO2 mitigation. Int</w:t>
      </w:r>
      <w:r w:rsidR="00442AB0">
        <w:rPr>
          <w:rFonts w:cs="Arial"/>
          <w:noProof/>
          <w:szCs w:val="24"/>
        </w:rPr>
        <w:t>ernational</w:t>
      </w:r>
      <w:r w:rsidRPr="00FF0A46">
        <w:rPr>
          <w:rFonts w:cs="Arial"/>
          <w:noProof/>
          <w:szCs w:val="24"/>
        </w:rPr>
        <w:t xml:space="preserve"> J</w:t>
      </w:r>
      <w:r w:rsidR="00442AB0">
        <w:rPr>
          <w:rFonts w:cs="Arial"/>
          <w:noProof/>
          <w:szCs w:val="24"/>
        </w:rPr>
        <w:t>ournal of</w:t>
      </w:r>
      <w:r w:rsidRPr="00FF0A46">
        <w:rPr>
          <w:rFonts w:cs="Arial"/>
          <w:noProof/>
          <w:szCs w:val="24"/>
        </w:rPr>
        <w:t xml:space="preserve"> Greenh</w:t>
      </w:r>
      <w:r w:rsidR="00442AB0">
        <w:rPr>
          <w:rFonts w:cs="Arial"/>
          <w:noProof/>
          <w:szCs w:val="24"/>
        </w:rPr>
        <w:t>ouse</w:t>
      </w:r>
      <w:r w:rsidRPr="00FF0A46">
        <w:rPr>
          <w:rFonts w:cs="Arial"/>
          <w:noProof/>
          <w:szCs w:val="24"/>
        </w:rPr>
        <w:t xml:space="preserve"> Gas Control 130, 103991. https://doi.org/10.1016/J.IJGGC.2023.103991</w:t>
      </w:r>
    </w:p>
    <w:p w14:paraId="69D5EFBA" w14:textId="410E7693" w:rsidR="009D7EB9" w:rsidRDefault="009D7EB9" w:rsidP="00442AB0">
      <w:pPr>
        <w:pStyle w:val="CETReferencetext"/>
        <w:ind w:left="0" w:firstLine="0"/>
      </w:pPr>
      <w:r>
        <w:fldChar w:fldCharType="end"/>
      </w:r>
    </w:p>
    <w:sectPr w:rsidR="009D7EB9"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98F07" w14:textId="77777777" w:rsidR="00BB669D" w:rsidRDefault="00BB669D" w:rsidP="004F5E36">
      <w:r>
        <w:separator/>
      </w:r>
    </w:p>
  </w:endnote>
  <w:endnote w:type="continuationSeparator" w:id="0">
    <w:p w14:paraId="02F5CF8D" w14:textId="77777777" w:rsidR="00BB669D" w:rsidRDefault="00BB669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FED29" w14:textId="77777777" w:rsidR="00BB669D" w:rsidRDefault="00BB669D" w:rsidP="004F5E36">
      <w:r>
        <w:separator/>
      </w:r>
    </w:p>
  </w:footnote>
  <w:footnote w:type="continuationSeparator" w:id="0">
    <w:p w14:paraId="0E7F5B0B" w14:textId="77777777" w:rsidR="00BB669D" w:rsidRDefault="00BB669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1D45BF"/>
    <w:multiLevelType w:val="hybridMultilevel"/>
    <w:tmpl w:val="EB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679C384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EF65A64"/>
    <w:multiLevelType w:val="multilevel"/>
    <w:tmpl w:val="C49895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5"/>
  </w:num>
  <w:num w:numId="14">
    <w:abstractNumId w:val="21"/>
  </w:num>
  <w:num w:numId="15">
    <w:abstractNumId w:val="23"/>
  </w:num>
  <w:num w:numId="16">
    <w:abstractNumId w:val="22"/>
  </w:num>
  <w:num w:numId="17">
    <w:abstractNumId w:val="14"/>
  </w:num>
  <w:num w:numId="18">
    <w:abstractNumId w:val="15"/>
    <w:lvlOverride w:ilvl="0">
      <w:startOverride w:val="1"/>
    </w:lvlOverride>
  </w:num>
  <w:num w:numId="19">
    <w:abstractNumId w:val="19"/>
  </w:num>
  <w:num w:numId="20">
    <w:abstractNumId w:val="18"/>
  </w:num>
  <w:num w:numId="21">
    <w:abstractNumId w:val="17"/>
  </w:num>
  <w:num w:numId="22">
    <w:abstractNumId w:val="16"/>
  </w:num>
  <w:num w:numId="23">
    <w:abstractNumId w:val="10"/>
  </w:num>
  <w:num w:numId="24">
    <w:abstractNumId w:val="12"/>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516"/>
    <w:rsid w:val="000027C0"/>
    <w:rsid w:val="000052FB"/>
    <w:rsid w:val="00005A19"/>
    <w:rsid w:val="0000689B"/>
    <w:rsid w:val="000117CB"/>
    <w:rsid w:val="0003148D"/>
    <w:rsid w:val="00031EEC"/>
    <w:rsid w:val="0003293C"/>
    <w:rsid w:val="0004083E"/>
    <w:rsid w:val="00051566"/>
    <w:rsid w:val="00055734"/>
    <w:rsid w:val="000562A9"/>
    <w:rsid w:val="00057C03"/>
    <w:rsid w:val="000623AB"/>
    <w:rsid w:val="00062A9A"/>
    <w:rsid w:val="00065058"/>
    <w:rsid w:val="00070DFE"/>
    <w:rsid w:val="000728CE"/>
    <w:rsid w:val="00086C39"/>
    <w:rsid w:val="00097D66"/>
    <w:rsid w:val="000A03B2"/>
    <w:rsid w:val="000A2582"/>
    <w:rsid w:val="000B2A7C"/>
    <w:rsid w:val="000B52B4"/>
    <w:rsid w:val="000C13D8"/>
    <w:rsid w:val="000D0268"/>
    <w:rsid w:val="000D200F"/>
    <w:rsid w:val="000D34BE"/>
    <w:rsid w:val="000E0B3C"/>
    <w:rsid w:val="000E102F"/>
    <w:rsid w:val="000E2E7B"/>
    <w:rsid w:val="000E36F1"/>
    <w:rsid w:val="000E3A73"/>
    <w:rsid w:val="000E414A"/>
    <w:rsid w:val="000E75FD"/>
    <w:rsid w:val="000F093C"/>
    <w:rsid w:val="000F1261"/>
    <w:rsid w:val="000F787B"/>
    <w:rsid w:val="00116651"/>
    <w:rsid w:val="0012091F"/>
    <w:rsid w:val="00123072"/>
    <w:rsid w:val="0012558B"/>
    <w:rsid w:val="00126BC2"/>
    <w:rsid w:val="001308B6"/>
    <w:rsid w:val="0013121F"/>
    <w:rsid w:val="00131FE6"/>
    <w:rsid w:val="001324EF"/>
    <w:rsid w:val="0013263F"/>
    <w:rsid w:val="001331DF"/>
    <w:rsid w:val="001335EA"/>
    <w:rsid w:val="00134DE4"/>
    <w:rsid w:val="0014034D"/>
    <w:rsid w:val="00140FE3"/>
    <w:rsid w:val="0014176E"/>
    <w:rsid w:val="00144D16"/>
    <w:rsid w:val="00150568"/>
    <w:rsid w:val="00150E59"/>
    <w:rsid w:val="001528C5"/>
    <w:rsid w:val="00152DE3"/>
    <w:rsid w:val="001544EF"/>
    <w:rsid w:val="00164CF9"/>
    <w:rsid w:val="0016668E"/>
    <w:rsid w:val="001667A6"/>
    <w:rsid w:val="0017268B"/>
    <w:rsid w:val="0018171E"/>
    <w:rsid w:val="00184AD6"/>
    <w:rsid w:val="001A4AF7"/>
    <w:rsid w:val="001A7CA4"/>
    <w:rsid w:val="001B0349"/>
    <w:rsid w:val="001B1E93"/>
    <w:rsid w:val="001B2FF1"/>
    <w:rsid w:val="001B65C1"/>
    <w:rsid w:val="001C0BB4"/>
    <w:rsid w:val="001C260F"/>
    <w:rsid w:val="001C5C3A"/>
    <w:rsid w:val="001C684B"/>
    <w:rsid w:val="001D0CFB"/>
    <w:rsid w:val="001D21AF"/>
    <w:rsid w:val="001D3D32"/>
    <w:rsid w:val="001D53FC"/>
    <w:rsid w:val="001F33E2"/>
    <w:rsid w:val="001F42A5"/>
    <w:rsid w:val="001F7B9D"/>
    <w:rsid w:val="00201C93"/>
    <w:rsid w:val="0020749C"/>
    <w:rsid w:val="00214CA1"/>
    <w:rsid w:val="002224B4"/>
    <w:rsid w:val="00222F22"/>
    <w:rsid w:val="002447EF"/>
    <w:rsid w:val="0024775D"/>
    <w:rsid w:val="00251550"/>
    <w:rsid w:val="00263B05"/>
    <w:rsid w:val="0027221A"/>
    <w:rsid w:val="00275B61"/>
    <w:rsid w:val="00280FAF"/>
    <w:rsid w:val="00282656"/>
    <w:rsid w:val="00286784"/>
    <w:rsid w:val="00296B83"/>
    <w:rsid w:val="00297BB5"/>
    <w:rsid w:val="002B4015"/>
    <w:rsid w:val="002B63ED"/>
    <w:rsid w:val="002B78CE"/>
    <w:rsid w:val="002C2FB6"/>
    <w:rsid w:val="002C5A9B"/>
    <w:rsid w:val="002D1B74"/>
    <w:rsid w:val="002D65FA"/>
    <w:rsid w:val="002E5FA7"/>
    <w:rsid w:val="002F3309"/>
    <w:rsid w:val="003008CE"/>
    <w:rsid w:val="003009B7"/>
    <w:rsid w:val="00300E56"/>
    <w:rsid w:val="0030152C"/>
    <w:rsid w:val="00303A9C"/>
    <w:rsid w:val="0030469C"/>
    <w:rsid w:val="00304CE8"/>
    <w:rsid w:val="00321CA6"/>
    <w:rsid w:val="00323763"/>
    <w:rsid w:val="00323C5F"/>
    <w:rsid w:val="00334C09"/>
    <w:rsid w:val="00341CEB"/>
    <w:rsid w:val="0034738B"/>
    <w:rsid w:val="00352352"/>
    <w:rsid w:val="00354997"/>
    <w:rsid w:val="00357100"/>
    <w:rsid w:val="00371917"/>
    <w:rsid w:val="003723D4"/>
    <w:rsid w:val="00381905"/>
    <w:rsid w:val="00384CC8"/>
    <w:rsid w:val="003871FD"/>
    <w:rsid w:val="003877BC"/>
    <w:rsid w:val="003A1E30"/>
    <w:rsid w:val="003A2829"/>
    <w:rsid w:val="003A3966"/>
    <w:rsid w:val="003A5C82"/>
    <w:rsid w:val="003A7D1C"/>
    <w:rsid w:val="003B304B"/>
    <w:rsid w:val="003B3146"/>
    <w:rsid w:val="003B49CD"/>
    <w:rsid w:val="003C1E28"/>
    <w:rsid w:val="003D1E02"/>
    <w:rsid w:val="003D32EA"/>
    <w:rsid w:val="003F015E"/>
    <w:rsid w:val="003F1279"/>
    <w:rsid w:val="00400414"/>
    <w:rsid w:val="00410B84"/>
    <w:rsid w:val="0041446B"/>
    <w:rsid w:val="00417AE4"/>
    <w:rsid w:val="00436335"/>
    <w:rsid w:val="0044071E"/>
    <w:rsid w:val="00442AB0"/>
    <w:rsid w:val="0044329C"/>
    <w:rsid w:val="004439D8"/>
    <w:rsid w:val="004445D4"/>
    <w:rsid w:val="00453E24"/>
    <w:rsid w:val="00457456"/>
    <w:rsid w:val="004577FE"/>
    <w:rsid w:val="00457B9C"/>
    <w:rsid w:val="0046164A"/>
    <w:rsid w:val="004628D2"/>
    <w:rsid w:val="00462DCD"/>
    <w:rsid w:val="004648AD"/>
    <w:rsid w:val="004703A9"/>
    <w:rsid w:val="004760DE"/>
    <w:rsid w:val="004763D7"/>
    <w:rsid w:val="00486AEC"/>
    <w:rsid w:val="004A004E"/>
    <w:rsid w:val="004A24CF"/>
    <w:rsid w:val="004B02CE"/>
    <w:rsid w:val="004C3D1D"/>
    <w:rsid w:val="004C3D84"/>
    <w:rsid w:val="004C7913"/>
    <w:rsid w:val="004D0248"/>
    <w:rsid w:val="004D52E1"/>
    <w:rsid w:val="004E4DD6"/>
    <w:rsid w:val="004F04B3"/>
    <w:rsid w:val="004F5E36"/>
    <w:rsid w:val="00502EF4"/>
    <w:rsid w:val="00507B47"/>
    <w:rsid w:val="00507BEF"/>
    <w:rsid w:val="00507CC9"/>
    <w:rsid w:val="005119A5"/>
    <w:rsid w:val="005278B7"/>
    <w:rsid w:val="00532016"/>
    <w:rsid w:val="005346C8"/>
    <w:rsid w:val="00543E7D"/>
    <w:rsid w:val="00547A68"/>
    <w:rsid w:val="005531C9"/>
    <w:rsid w:val="00554879"/>
    <w:rsid w:val="00570C43"/>
    <w:rsid w:val="005761D6"/>
    <w:rsid w:val="00592274"/>
    <w:rsid w:val="00592934"/>
    <w:rsid w:val="005A1A38"/>
    <w:rsid w:val="005B2110"/>
    <w:rsid w:val="005B350B"/>
    <w:rsid w:val="005B61E6"/>
    <w:rsid w:val="005C77E1"/>
    <w:rsid w:val="005C7C47"/>
    <w:rsid w:val="005D668A"/>
    <w:rsid w:val="005D6A2F"/>
    <w:rsid w:val="005E0592"/>
    <w:rsid w:val="005E1A82"/>
    <w:rsid w:val="005E794C"/>
    <w:rsid w:val="005F0A28"/>
    <w:rsid w:val="005F0E5E"/>
    <w:rsid w:val="00600535"/>
    <w:rsid w:val="00610CD6"/>
    <w:rsid w:val="00620DEE"/>
    <w:rsid w:val="00621F92"/>
    <w:rsid w:val="0062280A"/>
    <w:rsid w:val="006231E1"/>
    <w:rsid w:val="00625639"/>
    <w:rsid w:val="00626342"/>
    <w:rsid w:val="00631B33"/>
    <w:rsid w:val="0063716C"/>
    <w:rsid w:val="0064184D"/>
    <w:rsid w:val="006422CC"/>
    <w:rsid w:val="00651D18"/>
    <w:rsid w:val="00660E3E"/>
    <w:rsid w:val="00662E74"/>
    <w:rsid w:val="00680C23"/>
    <w:rsid w:val="00683E23"/>
    <w:rsid w:val="00693766"/>
    <w:rsid w:val="006A085E"/>
    <w:rsid w:val="006A239A"/>
    <w:rsid w:val="006A3281"/>
    <w:rsid w:val="006A4E9B"/>
    <w:rsid w:val="006A6DE5"/>
    <w:rsid w:val="006B4888"/>
    <w:rsid w:val="006C033F"/>
    <w:rsid w:val="006C2E45"/>
    <w:rsid w:val="006C359C"/>
    <w:rsid w:val="006C5579"/>
    <w:rsid w:val="006D6E8B"/>
    <w:rsid w:val="006D7209"/>
    <w:rsid w:val="006D7250"/>
    <w:rsid w:val="006E0FC9"/>
    <w:rsid w:val="006E737D"/>
    <w:rsid w:val="00707DD1"/>
    <w:rsid w:val="00712240"/>
    <w:rsid w:val="00713973"/>
    <w:rsid w:val="007201D1"/>
    <w:rsid w:val="00720A24"/>
    <w:rsid w:val="00725161"/>
    <w:rsid w:val="00727B9C"/>
    <w:rsid w:val="00732386"/>
    <w:rsid w:val="0073514D"/>
    <w:rsid w:val="007447F3"/>
    <w:rsid w:val="00752CEA"/>
    <w:rsid w:val="0075499F"/>
    <w:rsid w:val="00756EEA"/>
    <w:rsid w:val="007661C8"/>
    <w:rsid w:val="0077098D"/>
    <w:rsid w:val="007766C1"/>
    <w:rsid w:val="00785BF9"/>
    <w:rsid w:val="0078770E"/>
    <w:rsid w:val="007931FA"/>
    <w:rsid w:val="007942E1"/>
    <w:rsid w:val="00794B46"/>
    <w:rsid w:val="007A4861"/>
    <w:rsid w:val="007A7BBA"/>
    <w:rsid w:val="007B0C50"/>
    <w:rsid w:val="007B48F9"/>
    <w:rsid w:val="007C070F"/>
    <w:rsid w:val="007C1A43"/>
    <w:rsid w:val="007D0865"/>
    <w:rsid w:val="007D0951"/>
    <w:rsid w:val="007D610D"/>
    <w:rsid w:val="007E3035"/>
    <w:rsid w:val="007E61E6"/>
    <w:rsid w:val="0080013E"/>
    <w:rsid w:val="00801759"/>
    <w:rsid w:val="008106C1"/>
    <w:rsid w:val="00813288"/>
    <w:rsid w:val="0081641E"/>
    <w:rsid w:val="008168FC"/>
    <w:rsid w:val="00817DBC"/>
    <w:rsid w:val="00830996"/>
    <w:rsid w:val="008345F1"/>
    <w:rsid w:val="00845959"/>
    <w:rsid w:val="0084725C"/>
    <w:rsid w:val="00862C07"/>
    <w:rsid w:val="00865B07"/>
    <w:rsid w:val="008667EA"/>
    <w:rsid w:val="00874EBD"/>
    <w:rsid w:val="00875835"/>
    <w:rsid w:val="0087637F"/>
    <w:rsid w:val="00876482"/>
    <w:rsid w:val="00882C2B"/>
    <w:rsid w:val="00886261"/>
    <w:rsid w:val="008922C3"/>
    <w:rsid w:val="00892AD5"/>
    <w:rsid w:val="00896FEB"/>
    <w:rsid w:val="008A1512"/>
    <w:rsid w:val="008B2CBE"/>
    <w:rsid w:val="008C52C3"/>
    <w:rsid w:val="008C75AB"/>
    <w:rsid w:val="008D1D23"/>
    <w:rsid w:val="008D32B9"/>
    <w:rsid w:val="008D433B"/>
    <w:rsid w:val="008D4A16"/>
    <w:rsid w:val="008E5401"/>
    <w:rsid w:val="008E566E"/>
    <w:rsid w:val="008E7CEB"/>
    <w:rsid w:val="008F1E51"/>
    <w:rsid w:val="0090161A"/>
    <w:rsid w:val="00901EB6"/>
    <w:rsid w:val="00902816"/>
    <w:rsid w:val="009041F8"/>
    <w:rsid w:val="00904C62"/>
    <w:rsid w:val="00911123"/>
    <w:rsid w:val="00911C7A"/>
    <w:rsid w:val="00912092"/>
    <w:rsid w:val="00922BA8"/>
    <w:rsid w:val="00924DAC"/>
    <w:rsid w:val="009263F5"/>
    <w:rsid w:val="00927058"/>
    <w:rsid w:val="00942750"/>
    <w:rsid w:val="009450CE"/>
    <w:rsid w:val="009459BB"/>
    <w:rsid w:val="00946F8A"/>
    <w:rsid w:val="00947179"/>
    <w:rsid w:val="0095164B"/>
    <w:rsid w:val="00954090"/>
    <w:rsid w:val="009546B5"/>
    <w:rsid w:val="009573E7"/>
    <w:rsid w:val="00963E05"/>
    <w:rsid w:val="00964A45"/>
    <w:rsid w:val="00967843"/>
    <w:rsid w:val="00967D54"/>
    <w:rsid w:val="00971028"/>
    <w:rsid w:val="009757CF"/>
    <w:rsid w:val="00976F4E"/>
    <w:rsid w:val="0098357A"/>
    <w:rsid w:val="00986B9C"/>
    <w:rsid w:val="00993B84"/>
    <w:rsid w:val="00994C6A"/>
    <w:rsid w:val="00996483"/>
    <w:rsid w:val="00996F5A"/>
    <w:rsid w:val="0099758D"/>
    <w:rsid w:val="009A72DE"/>
    <w:rsid w:val="009B041A"/>
    <w:rsid w:val="009B6E57"/>
    <w:rsid w:val="009C37C3"/>
    <w:rsid w:val="009C7C86"/>
    <w:rsid w:val="009D2FF7"/>
    <w:rsid w:val="009D7EB9"/>
    <w:rsid w:val="009E7884"/>
    <w:rsid w:val="009E788A"/>
    <w:rsid w:val="009F0E08"/>
    <w:rsid w:val="00A04F43"/>
    <w:rsid w:val="00A079AE"/>
    <w:rsid w:val="00A138CF"/>
    <w:rsid w:val="00A1763D"/>
    <w:rsid w:val="00A17CEC"/>
    <w:rsid w:val="00A21FC7"/>
    <w:rsid w:val="00A25525"/>
    <w:rsid w:val="00A27EF0"/>
    <w:rsid w:val="00A3048E"/>
    <w:rsid w:val="00A35F31"/>
    <w:rsid w:val="00A40E84"/>
    <w:rsid w:val="00A42361"/>
    <w:rsid w:val="00A50B20"/>
    <w:rsid w:val="00A51390"/>
    <w:rsid w:val="00A60D13"/>
    <w:rsid w:val="00A61A81"/>
    <w:rsid w:val="00A7223D"/>
    <w:rsid w:val="00A72745"/>
    <w:rsid w:val="00A76EFC"/>
    <w:rsid w:val="00A848EF"/>
    <w:rsid w:val="00A87D50"/>
    <w:rsid w:val="00A91010"/>
    <w:rsid w:val="00A97F29"/>
    <w:rsid w:val="00AA566A"/>
    <w:rsid w:val="00AA702E"/>
    <w:rsid w:val="00AA7D26"/>
    <w:rsid w:val="00AB0964"/>
    <w:rsid w:val="00AB5011"/>
    <w:rsid w:val="00AC5597"/>
    <w:rsid w:val="00AC7368"/>
    <w:rsid w:val="00AD16B9"/>
    <w:rsid w:val="00AE377D"/>
    <w:rsid w:val="00AF0EBA"/>
    <w:rsid w:val="00AF2463"/>
    <w:rsid w:val="00AF4A27"/>
    <w:rsid w:val="00AF6532"/>
    <w:rsid w:val="00AF692F"/>
    <w:rsid w:val="00B02C8A"/>
    <w:rsid w:val="00B17FBD"/>
    <w:rsid w:val="00B315A6"/>
    <w:rsid w:val="00B31813"/>
    <w:rsid w:val="00B33365"/>
    <w:rsid w:val="00B42163"/>
    <w:rsid w:val="00B519E4"/>
    <w:rsid w:val="00B57B36"/>
    <w:rsid w:val="00B57E6F"/>
    <w:rsid w:val="00B63B84"/>
    <w:rsid w:val="00B674D8"/>
    <w:rsid w:val="00B67C34"/>
    <w:rsid w:val="00B773F4"/>
    <w:rsid w:val="00B8686D"/>
    <w:rsid w:val="00B93F69"/>
    <w:rsid w:val="00B97FFB"/>
    <w:rsid w:val="00BB1DDC"/>
    <w:rsid w:val="00BB669D"/>
    <w:rsid w:val="00BC30C9"/>
    <w:rsid w:val="00BC461B"/>
    <w:rsid w:val="00BD077D"/>
    <w:rsid w:val="00BE3E58"/>
    <w:rsid w:val="00BF0138"/>
    <w:rsid w:val="00BF13CE"/>
    <w:rsid w:val="00C01616"/>
    <w:rsid w:val="00C0162B"/>
    <w:rsid w:val="00C0485D"/>
    <w:rsid w:val="00C068ED"/>
    <w:rsid w:val="00C06DB9"/>
    <w:rsid w:val="00C076C8"/>
    <w:rsid w:val="00C15105"/>
    <w:rsid w:val="00C20C12"/>
    <w:rsid w:val="00C22E0C"/>
    <w:rsid w:val="00C345B1"/>
    <w:rsid w:val="00C40142"/>
    <w:rsid w:val="00C422AC"/>
    <w:rsid w:val="00C52C3C"/>
    <w:rsid w:val="00C5529B"/>
    <w:rsid w:val="00C57182"/>
    <w:rsid w:val="00C571F1"/>
    <w:rsid w:val="00C57863"/>
    <w:rsid w:val="00C640AF"/>
    <w:rsid w:val="00C655FD"/>
    <w:rsid w:val="00C75407"/>
    <w:rsid w:val="00C841C6"/>
    <w:rsid w:val="00C870A8"/>
    <w:rsid w:val="00C94434"/>
    <w:rsid w:val="00C96D24"/>
    <w:rsid w:val="00CA0D75"/>
    <w:rsid w:val="00CA1C95"/>
    <w:rsid w:val="00CA37CE"/>
    <w:rsid w:val="00CA4AEB"/>
    <w:rsid w:val="00CA5A9C"/>
    <w:rsid w:val="00CA65B6"/>
    <w:rsid w:val="00CB555F"/>
    <w:rsid w:val="00CB6DCD"/>
    <w:rsid w:val="00CC4370"/>
    <w:rsid w:val="00CC4C20"/>
    <w:rsid w:val="00CD18D2"/>
    <w:rsid w:val="00CD3517"/>
    <w:rsid w:val="00CD5FE2"/>
    <w:rsid w:val="00CD71E1"/>
    <w:rsid w:val="00CE5EA0"/>
    <w:rsid w:val="00CE7C68"/>
    <w:rsid w:val="00D02B4C"/>
    <w:rsid w:val="00D040C4"/>
    <w:rsid w:val="00D20AD1"/>
    <w:rsid w:val="00D2536E"/>
    <w:rsid w:val="00D2582C"/>
    <w:rsid w:val="00D46B7E"/>
    <w:rsid w:val="00D52A7B"/>
    <w:rsid w:val="00D57C84"/>
    <w:rsid w:val="00D6057D"/>
    <w:rsid w:val="00D63F7B"/>
    <w:rsid w:val="00D71640"/>
    <w:rsid w:val="00D742DF"/>
    <w:rsid w:val="00D836C5"/>
    <w:rsid w:val="00D84576"/>
    <w:rsid w:val="00D979F1"/>
    <w:rsid w:val="00DA1399"/>
    <w:rsid w:val="00DA24C6"/>
    <w:rsid w:val="00DA2BEF"/>
    <w:rsid w:val="00DA4D7B"/>
    <w:rsid w:val="00DB1A9D"/>
    <w:rsid w:val="00DB5513"/>
    <w:rsid w:val="00DC2840"/>
    <w:rsid w:val="00DC73EE"/>
    <w:rsid w:val="00DD271C"/>
    <w:rsid w:val="00DD4F21"/>
    <w:rsid w:val="00DD55B5"/>
    <w:rsid w:val="00DE264A"/>
    <w:rsid w:val="00DE6588"/>
    <w:rsid w:val="00DF5072"/>
    <w:rsid w:val="00DF719E"/>
    <w:rsid w:val="00E02D18"/>
    <w:rsid w:val="00E041E7"/>
    <w:rsid w:val="00E23CA1"/>
    <w:rsid w:val="00E25654"/>
    <w:rsid w:val="00E35B86"/>
    <w:rsid w:val="00E409A8"/>
    <w:rsid w:val="00E41443"/>
    <w:rsid w:val="00E50C12"/>
    <w:rsid w:val="00E5796D"/>
    <w:rsid w:val="00E65824"/>
    <w:rsid w:val="00E65B91"/>
    <w:rsid w:val="00E718FF"/>
    <w:rsid w:val="00E7209D"/>
    <w:rsid w:val="00E72EAD"/>
    <w:rsid w:val="00E7651B"/>
    <w:rsid w:val="00E77223"/>
    <w:rsid w:val="00E8528B"/>
    <w:rsid w:val="00E85B94"/>
    <w:rsid w:val="00E87D4C"/>
    <w:rsid w:val="00E93785"/>
    <w:rsid w:val="00E93E7E"/>
    <w:rsid w:val="00E978D0"/>
    <w:rsid w:val="00EA4613"/>
    <w:rsid w:val="00EA7F91"/>
    <w:rsid w:val="00EB1523"/>
    <w:rsid w:val="00EB5C97"/>
    <w:rsid w:val="00EC0E49"/>
    <w:rsid w:val="00EC101F"/>
    <w:rsid w:val="00EC1D9F"/>
    <w:rsid w:val="00ED414B"/>
    <w:rsid w:val="00EE0131"/>
    <w:rsid w:val="00EE17B0"/>
    <w:rsid w:val="00EF06D9"/>
    <w:rsid w:val="00EF378A"/>
    <w:rsid w:val="00F0690D"/>
    <w:rsid w:val="00F2006A"/>
    <w:rsid w:val="00F24025"/>
    <w:rsid w:val="00F25116"/>
    <w:rsid w:val="00F3049E"/>
    <w:rsid w:val="00F30C64"/>
    <w:rsid w:val="00F32BA2"/>
    <w:rsid w:val="00F32CDB"/>
    <w:rsid w:val="00F41EE4"/>
    <w:rsid w:val="00F565FE"/>
    <w:rsid w:val="00F56FEC"/>
    <w:rsid w:val="00F63A70"/>
    <w:rsid w:val="00F63D8C"/>
    <w:rsid w:val="00F74AAE"/>
    <w:rsid w:val="00F7534E"/>
    <w:rsid w:val="00F933BE"/>
    <w:rsid w:val="00F93EDF"/>
    <w:rsid w:val="00F97E3F"/>
    <w:rsid w:val="00FA1802"/>
    <w:rsid w:val="00FA21D0"/>
    <w:rsid w:val="00FA29AA"/>
    <w:rsid w:val="00FA5F5F"/>
    <w:rsid w:val="00FA68C0"/>
    <w:rsid w:val="00FB29C2"/>
    <w:rsid w:val="00FB730C"/>
    <w:rsid w:val="00FC2695"/>
    <w:rsid w:val="00FC3E03"/>
    <w:rsid w:val="00FC3FC1"/>
    <w:rsid w:val="00FC67DE"/>
    <w:rsid w:val="00FE04E4"/>
    <w:rsid w:val="00FE0FA0"/>
    <w:rsid w:val="00FF0A46"/>
    <w:rsid w:val="00FF229E"/>
    <w:rsid w:val="00FF7539"/>
    <w:rsid w:val="00FF753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qFormat/>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A3966"/>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A3966"/>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unhideWhenUsed/>
    <w:rsid w:val="0003148D"/>
    <w:pPr>
      <w:spacing w:line="240" w:lineRule="auto"/>
    </w:pPr>
  </w:style>
  <w:style w:type="character" w:customStyle="1" w:styleId="FootnoteTextChar">
    <w:name w:val="Footnote Text Char"/>
    <w:basedOn w:val="DefaultParagraphFont"/>
    <w:link w:val="FootnoteText"/>
    <w:uiPriority w:val="99"/>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character" w:customStyle="1" w:styleId="gmail-apple-converted-space">
    <w:name w:val="gmail-apple-converted-space"/>
    <w:basedOn w:val="DefaultParagraphFont"/>
    <w:rsid w:val="00005A19"/>
  </w:style>
  <w:style w:type="character" w:customStyle="1" w:styleId="A31">
    <w:name w:val="A31"/>
    <w:uiPriority w:val="99"/>
    <w:rsid w:val="00214CA1"/>
    <w:rPr>
      <w:rFonts w:cs="Georgia"/>
      <w:b/>
      <w:bCs/>
      <w:color w:val="221E1F"/>
      <w:sz w:val="14"/>
      <w:szCs w:val="14"/>
    </w:rPr>
  </w:style>
  <w:style w:type="character" w:customStyle="1" w:styleId="A32">
    <w:name w:val="A32"/>
    <w:uiPriority w:val="99"/>
    <w:rsid w:val="00214CA1"/>
    <w:rPr>
      <w:rFonts w:cs="Georgia"/>
      <w:b/>
      <w:bCs/>
      <w:color w:val="221E1F"/>
      <w:sz w:val="8"/>
      <w:szCs w:val="8"/>
    </w:rPr>
  </w:style>
  <w:style w:type="paragraph" w:customStyle="1" w:styleId="Pa5">
    <w:name w:val="Pa5"/>
    <w:basedOn w:val="Normal"/>
    <w:next w:val="Normal"/>
    <w:uiPriority w:val="99"/>
    <w:rsid w:val="00214CA1"/>
    <w:pPr>
      <w:tabs>
        <w:tab w:val="clear" w:pos="7100"/>
      </w:tabs>
      <w:autoSpaceDE w:val="0"/>
      <w:autoSpaceDN w:val="0"/>
      <w:adjustRightInd w:val="0"/>
      <w:spacing w:line="241" w:lineRule="atLeast"/>
      <w:jc w:val="left"/>
    </w:pPr>
    <w:rPr>
      <w:rFonts w:ascii="Georgia" w:eastAsiaTheme="minorHAnsi" w:hAnsi="Georgia" w:cstheme="minorBidi"/>
      <w:sz w:val="24"/>
      <w:szCs w:val="24"/>
      <w:lang w:val="it-IT"/>
    </w:rPr>
  </w:style>
  <w:style w:type="character" w:styleId="FootnoteReference">
    <w:name w:val="footnote reference"/>
    <w:basedOn w:val="DefaultParagraphFont"/>
    <w:uiPriority w:val="99"/>
    <w:semiHidden/>
    <w:unhideWhenUsed/>
    <w:rsid w:val="008D1D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2175">
      <w:bodyDiv w:val="1"/>
      <w:marLeft w:val="0"/>
      <w:marRight w:val="0"/>
      <w:marTop w:val="0"/>
      <w:marBottom w:val="0"/>
      <w:divBdr>
        <w:top w:val="none" w:sz="0" w:space="0" w:color="auto"/>
        <w:left w:val="none" w:sz="0" w:space="0" w:color="auto"/>
        <w:bottom w:val="none" w:sz="0" w:space="0" w:color="auto"/>
        <w:right w:val="none" w:sz="0" w:space="0" w:color="auto"/>
      </w:divBdr>
    </w:div>
    <w:div w:id="40179742">
      <w:bodyDiv w:val="1"/>
      <w:marLeft w:val="0"/>
      <w:marRight w:val="0"/>
      <w:marTop w:val="0"/>
      <w:marBottom w:val="0"/>
      <w:divBdr>
        <w:top w:val="none" w:sz="0" w:space="0" w:color="auto"/>
        <w:left w:val="none" w:sz="0" w:space="0" w:color="auto"/>
        <w:bottom w:val="none" w:sz="0" w:space="0" w:color="auto"/>
        <w:right w:val="none" w:sz="0" w:space="0" w:color="auto"/>
      </w:divBdr>
    </w:div>
    <w:div w:id="62147734">
      <w:bodyDiv w:val="1"/>
      <w:marLeft w:val="0"/>
      <w:marRight w:val="0"/>
      <w:marTop w:val="0"/>
      <w:marBottom w:val="0"/>
      <w:divBdr>
        <w:top w:val="none" w:sz="0" w:space="0" w:color="auto"/>
        <w:left w:val="none" w:sz="0" w:space="0" w:color="auto"/>
        <w:bottom w:val="none" w:sz="0" w:space="0" w:color="auto"/>
        <w:right w:val="none" w:sz="0" w:space="0" w:color="auto"/>
      </w:divBdr>
    </w:div>
    <w:div w:id="66417234">
      <w:bodyDiv w:val="1"/>
      <w:marLeft w:val="0"/>
      <w:marRight w:val="0"/>
      <w:marTop w:val="0"/>
      <w:marBottom w:val="0"/>
      <w:divBdr>
        <w:top w:val="none" w:sz="0" w:space="0" w:color="auto"/>
        <w:left w:val="none" w:sz="0" w:space="0" w:color="auto"/>
        <w:bottom w:val="none" w:sz="0" w:space="0" w:color="auto"/>
        <w:right w:val="none" w:sz="0" w:space="0" w:color="auto"/>
      </w:divBdr>
    </w:div>
    <w:div w:id="66420477">
      <w:bodyDiv w:val="1"/>
      <w:marLeft w:val="0"/>
      <w:marRight w:val="0"/>
      <w:marTop w:val="0"/>
      <w:marBottom w:val="0"/>
      <w:divBdr>
        <w:top w:val="none" w:sz="0" w:space="0" w:color="auto"/>
        <w:left w:val="none" w:sz="0" w:space="0" w:color="auto"/>
        <w:bottom w:val="none" w:sz="0" w:space="0" w:color="auto"/>
        <w:right w:val="none" w:sz="0" w:space="0" w:color="auto"/>
      </w:divBdr>
    </w:div>
    <w:div w:id="76051217">
      <w:bodyDiv w:val="1"/>
      <w:marLeft w:val="0"/>
      <w:marRight w:val="0"/>
      <w:marTop w:val="0"/>
      <w:marBottom w:val="0"/>
      <w:divBdr>
        <w:top w:val="none" w:sz="0" w:space="0" w:color="auto"/>
        <w:left w:val="none" w:sz="0" w:space="0" w:color="auto"/>
        <w:bottom w:val="none" w:sz="0" w:space="0" w:color="auto"/>
        <w:right w:val="none" w:sz="0" w:space="0" w:color="auto"/>
      </w:divBdr>
    </w:div>
    <w:div w:id="96365294">
      <w:bodyDiv w:val="1"/>
      <w:marLeft w:val="0"/>
      <w:marRight w:val="0"/>
      <w:marTop w:val="0"/>
      <w:marBottom w:val="0"/>
      <w:divBdr>
        <w:top w:val="none" w:sz="0" w:space="0" w:color="auto"/>
        <w:left w:val="none" w:sz="0" w:space="0" w:color="auto"/>
        <w:bottom w:val="none" w:sz="0" w:space="0" w:color="auto"/>
        <w:right w:val="none" w:sz="0" w:space="0" w:color="auto"/>
      </w:divBdr>
    </w:div>
    <w:div w:id="108789831">
      <w:bodyDiv w:val="1"/>
      <w:marLeft w:val="0"/>
      <w:marRight w:val="0"/>
      <w:marTop w:val="0"/>
      <w:marBottom w:val="0"/>
      <w:divBdr>
        <w:top w:val="none" w:sz="0" w:space="0" w:color="auto"/>
        <w:left w:val="none" w:sz="0" w:space="0" w:color="auto"/>
        <w:bottom w:val="none" w:sz="0" w:space="0" w:color="auto"/>
        <w:right w:val="none" w:sz="0" w:space="0" w:color="auto"/>
      </w:divBdr>
    </w:div>
    <w:div w:id="156773458">
      <w:bodyDiv w:val="1"/>
      <w:marLeft w:val="0"/>
      <w:marRight w:val="0"/>
      <w:marTop w:val="0"/>
      <w:marBottom w:val="0"/>
      <w:divBdr>
        <w:top w:val="none" w:sz="0" w:space="0" w:color="auto"/>
        <w:left w:val="none" w:sz="0" w:space="0" w:color="auto"/>
        <w:bottom w:val="none" w:sz="0" w:space="0" w:color="auto"/>
        <w:right w:val="none" w:sz="0" w:space="0" w:color="auto"/>
      </w:divBdr>
    </w:div>
    <w:div w:id="246116632">
      <w:bodyDiv w:val="1"/>
      <w:marLeft w:val="0"/>
      <w:marRight w:val="0"/>
      <w:marTop w:val="0"/>
      <w:marBottom w:val="0"/>
      <w:divBdr>
        <w:top w:val="none" w:sz="0" w:space="0" w:color="auto"/>
        <w:left w:val="none" w:sz="0" w:space="0" w:color="auto"/>
        <w:bottom w:val="none" w:sz="0" w:space="0" w:color="auto"/>
        <w:right w:val="none" w:sz="0" w:space="0" w:color="auto"/>
      </w:divBdr>
    </w:div>
    <w:div w:id="264113992">
      <w:bodyDiv w:val="1"/>
      <w:marLeft w:val="0"/>
      <w:marRight w:val="0"/>
      <w:marTop w:val="0"/>
      <w:marBottom w:val="0"/>
      <w:divBdr>
        <w:top w:val="none" w:sz="0" w:space="0" w:color="auto"/>
        <w:left w:val="none" w:sz="0" w:space="0" w:color="auto"/>
        <w:bottom w:val="none" w:sz="0" w:space="0" w:color="auto"/>
        <w:right w:val="none" w:sz="0" w:space="0" w:color="auto"/>
      </w:divBdr>
    </w:div>
    <w:div w:id="305622164">
      <w:bodyDiv w:val="1"/>
      <w:marLeft w:val="0"/>
      <w:marRight w:val="0"/>
      <w:marTop w:val="0"/>
      <w:marBottom w:val="0"/>
      <w:divBdr>
        <w:top w:val="none" w:sz="0" w:space="0" w:color="auto"/>
        <w:left w:val="none" w:sz="0" w:space="0" w:color="auto"/>
        <w:bottom w:val="none" w:sz="0" w:space="0" w:color="auto"/>
        <w:right w:val="none" w:sz="0" w:space="0" w:color="auto"/>
      </w:divBdr>
    </w:div>
    <w:div w:id="586306038">
      <w:bodyDiv w:val="1"/>
      <w:marLeft w:val="0"/>
      <w:marRight w:val="0"/>
      <w:marTop w:val="0"/>
      <w:marBottom w:val="0"/>
      <w:divBdr>
        <w:top w:val="none" w:sz="0" w:space="0" w:color="auto"/>
        <w:left w:val="none" w:sz="0" w:space="0" w:color="auto"/>
        <w:bottom w:val="none" w:sz="0" w:space="0" w:color="auto"/>
        <w:right w:val="none" w:sz="0" w:space="0" w:color="auto"/>
      </w:divBdr>
    </w:div>
    <w:div w:id="637300093">
      <w:bodyDiv w:val="1"/>
      <w:marLeft w:val="0"/>
      <w:marRight w:val="0"/>
      <w:marTop w:val="0"/>
      <w:marBottom w:val="0"/>
      <w:divBdr>
        <w:top w:val="none" w:sz="0" w:space="0" w:color="auto"/>
        <w:left w:val="none" w:sz="0" w:space="0" w:color="auto"/>
        <w:bottom w:val="none" w:sz="0" w:space="0" w:color="auto"/>
        <w:right w:val="none" w:sz="0" w:space="0" w:color="auto"/>
      </w:divBdr>
    </w:div>
    <w:div w:id="651833443">
      <w:bodyDiv w:val="1"/>
      <w:marLeft w:val="0"/>
      <w:marRight w:val="0"/>
      <w:marTop w:val="0"/>
      <w:marBottom w:val="0"/>
      <w:divBdr>
        <w:top w:val="none" w:sz="0" w:space="0" w:color="auto"/>
        <w:left w:val="none" w:sz="0" w:space="0" w:color="auto"/>
        <w:bottom w:val="none" w:sz="0" w:space="0" w:color="auto"/>
        <w:right w:val="none" w:sz="0" w:space="0" w:color="auto"/>
      </w:divBdr>
    </w:div>
    <w:div w:id="655958254">
      <w:bodyDiv w:val="1"/>
      <w:marLeft w:val="0"/>
      <w:marRight w:val="0"/>
      <w:marTop w:val="0"/>
      <w:marBottom w:val="0"/>
      <w:divBdr>
        <w:top w:val="none" w:sz="0" w:space="0" w:color="auto"/>
        <w:left w:val="none" w:sz="0" w:space="0" w:color="auto"/>
        <w:bottom w:val="none" w:sz="0" w:space="0" w:color="auto"/>
        <w:right w:val="none" w:sz="0" w:space="0" w:color="auto"/>
      </w:divBdr>
      <w:divsChild>
        <w:div w:id="1905069682">
          <w:marLeft w:val="0"/>
          <w:marRight w:val="0"/>
          <w:marTop w:val="0"/>
          <w:marBottom w:val="0"/>
          <w:divBdr>
            <w:top w:val="none" w:sz="0" w:space="0" w:color="auto"/>
            <w:left w:val="none" w:sz="0" w:space="0" w:color="auto"/>
            <w:bottom w:val="none" w:sz="0" w:space="0" w:color="auto"/>
            <w:right w:val="none" w:sz="0" w:space="0" w:color="auto"/>
          </w:divBdr>
          <w:divsChild>
            <w:div w:id="1882280111">
              <w:marLeft w:val="0"/>
              <w:marRight w:val="0"/>
              <w:marTop w:val="0"/>
              <w:marBottom w:val="0"/>
              <w:divBdr>
                <w:top w:val="none" w:sz="0" w:space="0" w:color="auto"/>
                <w:left w:val="none" w:sz="0" w:space="0" w:color="auto"/>
                <w:bottom w:val="none" w:sz="0" w:space="0" w:color="auto"/>
                <w:right w:val="none" w:sz="0" w:space="0" w:color="auto"/>
              </w:divBdr>
              <w:divsChild>
                <w:div w:id="1896045197">
                  <w:marLeft w:val="0"/>
                  <w:marRight w:val="0"/>
                  <w:marTop w:val="0"/>
                  <w:marBottom w:val="0"/>
                  <w:divBdr>
                    <w:top w:val="none" w:sz="0" w:space="0" w:color="auto"/>
                    <w:left w:val="none" w:sz="0" w:space="0" w:color="auto"/>
                    <w:bottom w:val="none" w:sz="0" w:space="0" w:color="auto"/>
                    <w:right w:val="none" w:sz="0" w:space="0" w:color="auto"/>
                  </w:divBdr>
                  <w:divsChild>
                    <w:div w:id="1649939780">
                      <w:marLeft w:val="0"/>
                      <w:marRight w:val="0"/>
                      <w:marTop w:val="0"/>
                      <w:marBottom w:val="0"/>
                      <w:divBdr>
                        <w:top w:val="none" w:sz="0" w:space="0" w:color="auto"/>
                        <w:left w:val="none" w:sz="0" w:space="0" w:color="auto"/>
                        <w:bottom w:val="none" w:sz="0" w:space="0" w:color="auto"/>
                        <w:right w:val="none" w:sz="0" w:space="0" w:color="auto"/>
                      </w:divBdr>
                      <w:divsChild>
                        <w:div w:id="584649017">
                          <w:marLeft w:val="0"/>
                          <w:marRight w:val="0"/>
                          <w:marTop w:val="0"/>
                          <w:marBottom w:val="0"/>
                          <w:divBdr>
                            <w:top w:val="none" w:sz="0" w:space="0" w:color="auto"/>
                            <w:left w:val="none" w:sz="0" w:space="0" w:color="auto"/>
                            <w:bottom w:val="none" w:sz="0" w:space="0" w:color="auto"/>
                            <w:right w:val="none" w:sz="0" w:space="0" w:color="auto"/>
                          </w:divBdr>
                          <w:divsChild>
                            <w:div w:id="127011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0663">
      <w:bodyDiv w:val="1"/>
      <w:marLeft w:val="0"/>
      <w:marRight w:val="0"/>
      <w:marTop w:val="0"/>
      <w:marBottom w:val="0"/>
      <w:divBdr>
        <w:top w:val="none" w:sz="0" w:space="0" w:color="auto"/>
        <w:left w:val="none" w:sz="0" w:space="0" w:color="auto"/>
        <w:bottom w:val="none" w:sz="0" w:space="0" w:color="auto"/>
        <w:right w:val="none" w:sz="0" w:space="0" w:color="auto"/>
      </w:divBdr>
    </w:div>
    <w:div w:id="853224344">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80521">
      <w:bodyDiv w:val="1"/>
      <w:marLeft w:val="0"/>
      <w:marRight w:val="0"/>
      <w:marTop w:val="0"/>
      <w:marBottom w:val="0"/>
      <w:divBdr>
        <w:top w:val="none" w:sz="0" w:space="0" w:color="auto"/>
        <w:left w:val="none" w:sz="0" w:space="0" w:color="auto"/>
        <w:bottom w:val="none" w:sz="0" w:space="0" w:color="auto"/>
        <w:right w:val="none" w:sz="0" w:space="0" w:color="auto"/>
      </w:divBdr>
    </w:div>
    <w:div w:id="1070734914">
      <w:bodyDiv w:val="1"/>
      <w:marLeft w:val="0"/>
      <w:marRight w:val="0"/>
      <w:marTop w:val="0"/>
      <w:marBottom w:val="0"/>
      <w:divBdr>
        <w:top w:val="none" w:sz="0" w:space="0" w:color="auto"/>
        <w:left w:val="none" w:sz="0" w:space="0" w:color="auto"/>
        <w:bottom w:val="none" w:sz="0" w:space="0" w:color="auto"/>
        <w:right w:val="none" w:sz="0" w:space="0" w:color="auto"/>
      </w:divBdr>
    </w:div>
    <w:div w:id="1162042340">
      <w:bodyDiv w:val="1"/>
      <w:marLeft w:val="0"/>
      <w:marRight w:val="0"/>
      <w:marTop w:val="0"/>
      <w:marBottom w:val="0"/>
      <w:divBdr>
        <w:top w:val="none" w:sz="0" w:space="0" w:color="auto"/>
        <w:left w:val="none" w:sz="0" w:space="0" w:color="auto"/>
        <w:bottom w:val="none" w:sz="0" w:space="0" w:color="auto"/>
        <w:right w:val="none" w:sz="0" w:space="0" w:color="auto"/>
      </w:divBdr>
    </w:div>
    <w:div w:id="1271888718">
      <w:bodyDiv w:val="1"/>
      <w:marLeft w:val="0"/>
      <w:marRight w:val="0"/>
      <w:marTop w:val="0"/>
      <w:marBottom w:val="0"/>
      <w:divBdr>
        <w:top w:val="none" w:sz="0" w:space="0" w:color="auto"/>
        <w:left w:val="none" w:sz="0" w:space="0" w:color="auto"/>
        <w:bottom w:val="none" w:sz="0" w:space="0" w:color="auto"/>
        <w:right w:val="none" w:sz="0" w:space="0" w:color="auto"/>
      </w:divBdr>
    </w:div>
    <w:div w:id="1285189351">
      <w:bodyDiv w:val="1"/>
      <w:marLeft w:val="0"/>
      <w:marRight w:val="0"/>
      <w:marTop w:val="0"/>
      <w:marBottom w:val="0"/>
      <w:divBdr>
        <w:top w:val="none" w:sz="0" w:space="0" w:color="auto"/>
        <w:left w:val="none" w:sz="0" w:space="0" w:color="auto"/>
        <w:bottom w:val="none" w:sz="0" w:space="0" w:color="auto"/>
        <w:right w:val="none" w:sz="0" w:space="0" w:color="auto"/>
      </w:divBdr>
    </w:div>
    <w:div w:id="1349023076">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72997909">
      <w:bodyDiv w:val="1"/>
      <w:marLeft w:val="0"/>
      <w:marRight w:val="0"/>
      <w:marTop w:val="0"/>
      <w:marBottom w:val="0"/>
      <w:divBdr>
        <w:top w:val="none" w:sz="0" w:space="0" w:color="auto"/>
        <w:left w:val="none" w:sz="0" w:space="0" w:color="auto"/>
        <w:bottom w:val="none" w:sz="0" w:space="0" w:color="auto"/>
        <w:right w:val="none" w:sz="0" w:space="0" w:color="auto"/>
      </w:divBdr>
    </w:div>
    <w:div w:id="141747856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75171552">
      <w:bodyDiv w:val="1"/>
      <w:marLeft w:val="0"/>
      <w:marRight w:val="0"/>
      <w:marTop w:val="0"/>
      <w:marBottom w:val="0"/>
      <w:divBdr>
        <w:top w:val="none" w:sz="0" w:space="0" w:color="auto"/>
        <w:left w:val="none" w:sz="0" w:space="0" w:color="auto"/>
        <w:bottom w:val="none" w:sz="0" w:space="0" w:color="auto"/>
        <w:right w:val="none" w:sz="0" w:space="0" w:color="auto"/>
      </w:divBdr>
    </w:div>
    <w:div w:id="1476486954">
      <w:bodyDiv w:val="1"/>
      <w:marLeft w:val="0"/>
      <w:marRight w:val="0"/>
      <w:marTop w:val="0"/>
      <w:marBottom w:val="0"/>
      <w:divBdr>
        <w:top w:val="none" w:sz="0" w:space="0" w:color="auto"/>
        <w:left w:val="none" w:sz="0" w:space="0" w:color="auto"/>
        <w:bottom w:val="none" w:sz="0" w:space="0" w:color="auto"/>
        <w:right w:val="none" w:sz="0" w:space="0" w:color="auto"/>
      </w:divBdr>
    </w:div>
    <w:div w:id="1484156249">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33959571">
      <w:bodyDiv w:val="1"/>
      <w:marLeft w:val="0"/>
      <w:marRight w:val="0"/>
      <w:marTop w:val="0"/>
      <w:marBottom w:val="0"/>
      <w:divBdr>
        <w:top w:val="none" w:sz="0" w:space="0" w:color="auto"/>
        <w:left w:val="none" w:sz="0" w:space="0" w:color="auto"/>
        <w:bottom w:val="none" w:sz="0" w:space="0" w:color="auto"/>
        <w:right w:val="none" w:sz="0" w:space="0" w:color="auto"/>
      </w:divBdr>
    </w:div>
    <w:div w:id="1563911247">
      <w:bodyDiv w:val="1"/>
      <w:marLeft w:val="0"/>
      <w:marRight w:val="0"/>
      <w:marTop w:val="0"/>
      <w:marBottom w:val="0"/>
      <w:divBdr>
        <w:top w:val="none" w:sz="0" w:space="0" w:color="auto"/>
        <w:left w:val="none" w:sz="0" w:space="0" w:color="auto"/>
        <w:bottom w:val="none" w:sz="0" w:space="0" w:color="auto"/>
        <w:right w:val="none" w:sz="0" w:space="0" w:color="auto"/>
      </w:divBdr>
    </w:div>
    <w:div w:id="1568029677">
      <w:bodyDiv w:val="1"/>
      <w:marLeft w:val="0"/>
      <w:marRight w:val="0"/>
      <w:marTop w:val="0"/>
      <w:marBottom w:val="0"/>
      <w:divBdr>
        <w:top w:val="none" w:sz="0" w:space="0" w:color="auto"/>
        <w:left w:val="none" w:sz="0" w:space="0" w:color="auto"/>
        <w:bottom w:val="none" w:sz="0" w:space="0" w:color="auto"/>
        <w:right w:val="none" w:sz="0" w:space="0" w:color="auto"/>
      </w:divBdr>
    </w:div>
    <w:div w:id="1575696806">
      <w:bodyDiv w:val="1"/>
      <w:marLeft w:val="0"/>
      <w:marRight w:val="0"/>
      <w:marTop w:val="0"/>
      <w:marBottom w:val="0"/>
      <w:divBdr>
        <w:top w:val="none" w:sz="0" w:space="0" w:color="auto"/>
        <w:left w:val="none" w:sz="0" w:space="0" w:color="auto"/>
        <w:bottom w:val="none" w:sz="0" w:space="0" w:color="auto"/>
        <w:right w:val="none" w:sz="0" w:space="0" w:color="auto"/>
      </w:divBdr>
    </w:div>
    <w:div w:id="164103251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6608">
      <w:bodyDiv w:val="1"/>
      <w:marLeft w:val="0"/>
      <w:marRight w:val="0"/>
      <w:marTop w:val="0"/>
      <w:marBottom w:val="0"/>
      <w:divBdr>
        <w:top w:val="none" w:sz="0" w:space="0" w:color="auto"/>
        <w:left w:val="none" w:sz="0" w:space="0" w:color="auto"/>
        <w:bottom w:val="none" w:sz="0" w:space="0" w:color="auto"/>
        <w:right w:val="none" w:sz="0" w:space="0" w:color="auto"/>
      </w:divBdr>
      <w:divsChild>
        <w:div w:id="708139811">
          <w:marLeft w:val="0"/>
          <w:marRight w:val="0"/>
          <w:marTop w:val="0"/>
          <w:marBottom w:val="0"/>
          <w:divBdr>
            <w:top w:val="none" w:sz="0" w:space="0" w:color="auto"/>
            <w:left w:val="none" w:sz="0" w:space="0" w:color="auto"/>
            <w:bottom w:val="none" w:sz="0" w:space="0" w:color="auto"/>
            <w:right w:val="none" w:sz="0" w:space="0" w:color="auto"/>
          </w:divBdr>
          <w:divsChild>
            <w:div w:id="1791820391">
              <w:marLeft w:val="0"/>
              <w:marRight w:val="0"/>
              <w:marTop w:val="0"/>
              <w:marBottom w:val="0"/>
              <w:divBdr>
                <w:top w:val="none" w:sz="0" w:space="0" w:color="auto"/>
                <w:left w:val="none" w:sz="0" w:space="0" w:color="auto"/>
                <w:bottom w:val="none" w:sz="0" w:space="0" w:color="auto"/>
                <w:right w:val="none" w:sz="0" w:space="0" w:color="auto"/>
              </w:divBdr>
              <w:divsChild>
                <w:div w:id="919289820">
                  <w:marLeft w:val="0"/>
                  <w:marRight w:val="0"/>
                  <w:marTop w:val="0"/>
                  <w:marBottom w:val="0"/>
                  <w:divBdr>
                    <w:top w:val="none" w:sz="0" w:space="0" w:color="auto"/>
                    <w:left w:val="none" w:sz="0" w:space="0" w:color="auto"/>
                    <w:bottom w:val="none" w:sz="0" w:space="0" w:color="auto"/>
                    <w:right w:val="none" w:sz="0" w:space="0" w:color="auto"/>
                  </w:divBdr>
                  <w:divsChild>
                    <w:div w:id="1432895487">
                      <w:marLeft w:val="0"/>
                      <w:marRight w:val="0"/>
                      <w:marTop w:val="0"/>
                      <w:marBottom w:val="0"/>
                      <w:divBdr>
                        <w:top w:val="none" w:sz="0" w:space="0" w:color="auto"/>
                        <w:left w:val="none" w:sz="0" w:space="0" w:color="auto"/>
                        <w:bottom w:val="none" w:sz="0" w:space="0" w:color="auto"/>
                        <w:right w:val="none" w:sz="0" w:space="0" w:color="auto"/>
                      </w:divBdr>
                      <w:divsChild>
                        <w:div w:id="1170439863">
                          <w:marLeft w:val="0"/>
                          <w:marRight w:val="0"/>
                          <w:marTop w:val="0"/>
                          <w:marBottom w:val="0"/>
                          <w:divBdr>
                            <w:top w:val="none" w:sz="0" w:space="0" w:color="auto"/>
                            <w:left w:val="none" w:sz="0" w:space="0" w:color="auto"/>
                            <w:bottom w:val="none" w:sz="0" w:space="0" w:color="auto"/>
                            <w:right w:val="none" w:sz="0" w:space="0" w:color="auto"/>
                          </w:divBdr>
                          <w:divsChild>
                            <w:div w:id="965770027">
                              <w:marLeft w:val="0"/>
                              <w:marRight w:val="0"/>
                              <w:marTop w:val="0"/>
                              <w:marBottom w:val="0"/>
                              <w:divBdr>
                                <w:top w:val="none" w:sz="0" w:space="0" w:color="auto"/>
                                <w:left w:val="none" w:sz="0" w:space="0" w:color="auto"/>
                                <w:bottom w:val="none" w:sz="0" w:space="0" w:color="auto"/>
                                <w:right w:val="none" w:sz="0" w:space="0" w:color="auto"/>
                              </w:divBdr>
                              <w:divsChild>
                                <w:div w:id="823669415">
                                  <w:marLeft w:val="0"/>
                                  <w:marRight w:val="0"/>
                                  <w:marTop w:val="0"/>
                                  <w:marBottom w:val="0"/>
                                  <w:divBdr>
                                    <w:top w:val="none" w:sz="0" w:space="0" w:color="auto"/>
                                    <w:left w:val="none" w:sz="0" w:space="0" w:color="auto"/>
                                    <w:bottom w:val="none" w:sz="0" w:space="0" w:color="auto"/>
                                    <w:right w:val="none" w:sz="0" w:space="0" w:color="auto"/>
                                  </w:divBdr>
                                  <w:divsChild>
                                    <w:div w:id="1936985177">
                                      <w:marLeft w:val="0"/>
                                      <w:marRight w:val="0"/>
                                      <w:marTop w:val="0"/>
                                      <w:marBottom w:val="0"/>
                                      <w:divBdr>
                                        <w:top w:val="none" w:sz="0" w:space="0" w:color="auto"/>
                                        <w:left w:val="none" w:sz="0" w:space="0" w:color="auto"/>
                                        <w:bottom w:val="none" w:sz="0" w:space="0" w:color="auto"/>
                                        <w:right w:val="none" w:sz="0" w:space="0" w:color="auto"/>
                                      </w:divBdr>
                                      <w:divsChild>
                                        <w:div w:id="347296540">
                                          <w:marLeft w:val="0"/>
                                          <w:marRight w:val="0"/>
                                          <w:marTop w:val="0"/>
                                          <w:marBottom w:val="0"/>
                                          <w:divBdr>
                                            <w:top w:val="none" w:sz="0" w:space="0" w:color="auto"/>
                                            <w:left w:val="none" w:sz="0" w:space="0" w:color="auto"/>
                                            <w:bottom w:val="none" w:sz="0" w:space="0" w:color="auto"/>
                                            <w:right w:val="none" w:sz="0" w:space="0" w:color="auto"/>
                                          </w:divBdr>
                                          <w:divsChild>
                                            <w:div w:id="800415144">
                                              <w:marLeft w:val="0"/>
                                              <w:marRight w:val="0"/>
                                              <w:marTop w:val="0"/>
                                              <w:marBottom w:val="0"/>
                                              <w:divBdr>
                                                <w:top w:val="none" w:sz="0" w:space="0" w:color="auto"/>
                                                <w:left w:val="none" w:sz="0" w:space="0" w:color="auto"/>
                                                <w:bottom w:val="none" w:sz="0" w:space="0" w:color="auto"/>
                                                <w:right w:val="none" w:sz="0" w:space="0" w:color="auto"/>
                                              </w:divBdr>
                                              <w:divsChild>
                                                <w:div w:id="1548831664">
                                                  <w:marLeft w:val="0"/>
                                                  <w:marRight w:val="0"/>
                                                  <w:marTop w:val="0"/>
                                                  <w:marBottom w:val="0"/>
                                                  <w:divBdr>
                                                    <w:top w:val="none" w:sz="0" w:space="0" w:color="auto"/>
                                                    <w:left w:val="none" w:sz="0" w:space="0" w:color="auto"/>
                                                    <w:bottom w:val="none" w:sz="0" w:space="0" w:color="auto"/>
                                                    <w:right w:val="none" w:sz="0" w:space="0" w:color="auto"/>
                                                  </w:divBdr>
                                                  <w:divsChild>
                                                    <w:div w:id="1159736199">
                                                      <w:marLeft w:val="0"/>
                                                      <w:marRight w:val="0"/>
                                                      <w:marTop w:val="0"/>
                                                      <w:marBottom w:val="0"/>
                                                      <w:divBdr>
                                                        <w:top w:val="none" w:sz="0" w:space="0" w:color="auto"/>
                                                        <w:left w:val="none" w:sz="0" w:space="0" w:color="auto"/>
                                                        <w:bottom w:val="none" w:sz="0" w:space="0" w:color="auto"/>
                                                        <w:right w:val="none" w:sz="0" w:space="0" w:color="auto"/>
                                                      </w:divBdr>
                                                      <w:divsChild>
                                                        <w:div w:id="1134526041">
                                                          <w:marLeft w:val="0"/>
                                                          <w:marRight w:val="0"/>
                                                          <w:marTop w:val="0"/>
                                                          <w:marBottom w:val="0"/>
                                                          <w:divBdr>
                                                            <w:top w:val="none" w:sz="0" w:space="0" w:color="auto"/>
                                                            <w:left w:val="none" w:sz="0" w:space="0" w:color="auto"/>
                                                            <w:bottom w:val="none" w:sz="0" w:space="0" w:color="auto"/>
                                                            <w:right w:val="none" w:sz="0" w:space="0" w:color="auto"/>
                                                          </w:divBdr>
                                                          <w:divsChild>
                                                            <w:div w:id="9380868">
                                                              <w:marLeft w:val="0"/>
                                                              <w:marRight w:val="0"/>
                                                              <w:marTop w:val="0"/>
                                                              <w:marBottom w:val="0"/>
                                                              <w:divBdr>
                                                                <w:top w:val="none" w:sz="0" w:space="0" w:color="auto"/>
                                                                <w:left w:val="none" w:sz="0" w:space="0" w:color="auto"/>
                                                                <w:bottom w:val="none" w:sz="0" w:space="0" w:color="auto"/>
                                                                <w:right w:val="none" w:sz="0" w:space="0" w:color="auto"/>
                                                              </w:divBdr>
                                                              <w:divsChild>
                                                                <w:div w:id="1295869529">
                                                                  <w:marLeft w:val="0"/>
                                                                  <w:marRight w:val="0"/>
                                                                  <w:marTop w:val="0"/>
                                                                  <w:marBottom w:val="0"/>
                                                                  <w:divBdr>
                                                                    <w:top w:val="none" w:sz="0" w:space="0" w:color="auto"/>
                                                                    <w:left w:val="none" w:sz="0" w:space="0" w:color="auto"/>
                                                                    <w:bottom w:val="none" w:sz="0" w:space="0" w:color="auto"/>
                                                                    <w:right w:val="none" w:sz="0" w:space="0" w:color="auto"/>
                                                                  </w:divBdr>
                                                                  <w:divsChild>
                                                                    <w:div w:id="1917934610">
                                                                      <w:marLeft w:val="0"/>
                                                                      <w:marRight w:val="0"/>
                                                                      <w:marTop w:val="0"/>
                                                                      <w:marBottom w:val="0"/>
                                                                      <w:divBdr>
                                                                        <w:top w:val="none" w:sz="0" w:space="0" w:color="auto"/>
                                                                        <w:left w:val="none" w:sz="0" w:space="0" w:color="auto"/>
                                                                        <w:bottom w:val="none" w:sz="0" w:space="0" w:color="auto"/>
                                                                        <w:right w:val="none" w:sz="0" w:space="0" w:color="auto"/>
                                                                      </w:divBdr>
                                                                      <w:divsChild>
                                                                        <w:div w:id="20187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6492762">
      <w:bodyDiv w:val="1"/>
      <w:marLeft w:val="0"/>
      <w:marRight w:val="0"/>
      <w:marTop w:val="0"/>
      <w:marBottom w:val="0"/>
      <w:divBdr>
        <w:top w:val="none" w:sz="0" w:space="0" w:color="auto"/>
        <w:left w:val="none" w:sz="0" w:space="0" w:color="auto"/>
        <w:bottom w:val="none" w:sz="0" w:space="0" w:color="auto"/>
        <w:right w:val="none" w:sz="0" w:space="0" w:color="auto"/>
      </w:divBdr>
    </w:div>
    <w:div w:id="1708288002">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38742406">
      <w:bodyDiv w:val="1"/>
      <w:marLeft w:val="0"/>
      <w:marRight w:val="0"/>
      <w:marTop w:val="0"/>
      <w:marBottom w:val="0"/>
      <w:divBdr>
        <w:top w:val="none" w:sz="0" w:space="0" w:color="auto"/>
        <w:left w:val="none" w:sz="0" w:space="0" w:color="auto"/>
        <w:bottom w:val="none" w:sz="0" w:space="0" w:color="auto"/>
        <w:right w:val="none" w:sz="0" w:space="0" w:color="auto"/>
      </w:divBdr>
    </w:div>
    <w:div w:id="2024477833">
      <w:bodyDiv w:val="1"/>
      <w:marLeft w:val="0"/>
      <w:marRight w:val="0"/>
      <w:marTop w:val="0"/>
      <w:marBottom w:val="0"/>
      <w:divBdr>
        <w:top w:val="none" w:sz="0" w:space="0" w:color="auto"/>
        <w:left w:val="none" w:sz="0" w:space="0" w:color="auto"/>
        <w:bottom w:val="none" w:sz="0" w:space="0" w:color="auto"/>
        <w:right w:val="none" w:sz="0" w:space="0" w:color="auto"/>
      </w:divBdr>
    </w:div>
    <w:div w:id="2025128409">
      <w:bodyDiv w:val="1"/>
      <w:marLeft w:val="0"/>
      <w:marRight w:val="0"/>
      <w:marTop w:val="0"/>
      <w:marBottom w:val="0"/>
      <w:divBdr>
        <w:top w:val="none" w:sz="0" w:space="0" w:color="auto"/>
        <w:left w:val="none" w:sz="0" w:space="0" w:color="auto"/>
        <w:bottom w:val="none" w:sz="0" w:space="0" w:color="auto"/>
        <w:right w:val="none" w:sz="0" w:space="0" w:color="auto"/>
      </w:divBdr>
    </w:div>
    <w:div w:id="203406502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B58347-AFB0-4AAC-A768-EC7585FAB44C}">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e2ceee5-4e98-448d-bd69-9759c29185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CE008C23DB7DD4EAE85E55115C4A7EA" ma:contentTypeVersion="18" ma:contentTypeDescription="Creare un nuovo documento." ma:contentTypeScope="" ma:versionID="ec14eec296909a0293953f9f5941a194">
  <xsd:schema xmlns:xsd="http://www.w3.org/2001/XMLSchema" xmlns:xs="http://www.w3.org/2001/XMLSchema" xmlns:p="http://schemas.microsoft.com/office/2006/metadata/properties" xmlns:ns3="f3077446-a7b8-4994-9298-7551826f19f8" xmlns:ns4="ce2ceee5-4e98-448d-bd69-9759c2918574" targetNamespace="http://schemas.microsoft.com/office/2006/metadata/properties" ma:root="true" ma:fieldsID="84a1ab064f65d42de33cf62d4c6dadb3" ns3:_="" ns4:_="">
    <xsd:import namespace="f3077446-a7b8-4994-9298-7551826f19f8"/>
    <xsd:import namespace="ce2ceee5-4e98-448d-bd69-9759c29185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77446-a7b8-4994-9298-7551826f19f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ceee5-4e98-448d-bd69-9759c29185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8766D-EDF0-4015-B877-380443039764}">
  <ds:schemaRefs>
    <ds:schemaRef ds:uri="http://schemas.microsoft.com/office/2006/metadata/properties"/>
    <ds:schemaRef ds:uri="http://schemas.microsoft.com/office/infopath/2007/PartnerControls"/>
    <ds:schemaRef ds:uri="ce2ceee5-4e98-448d-bd69-9759c2918574"/>
  </ds:schemaRefs>
</ds:datastoreItem>
</file>

<file path=customXml/itemProps2.xml><?xml version="1.0" encoding="utf-8"?>
<ds:datastoreItem xmlns:ds="http://schemas.openxmlformats.org/officeDocument/2006/customXml" ds:itemID="{0135AD5E-593A-4373-B13E-843B20C8B2A7}">
  <ds:schemaRefs>
    <ds:schemaRef ds:uri="http://schemas.microsoft.com/sharepoint/v3/contenttype/forms"/>
  </ds:schemaRefs>
</ds:datastoreItem>
</file>

<file path=customXml/itemProps3.xml><?xml version="1.0" encoding="utf-8"?>
<ds:datastoreItem xmlns:ds="http://schemas.openxmlformats.org/officeDocument/2006/customXml" ds:itemID="{7F444EA9-85D5-473C-805D-0C54829A0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77446-a7b8-4994-9298-7551826f19f8"/>
    <ds:schemaRef ds:uri="ce2ceee5-4e98-448d-bd69-9759c2918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9F786-BD25-4BAE-99C9-7701061F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8379</Words>
  <Characters>47762</Characters>
  <Application>Microsoft Office Word</Application>
  <DocSecurity>0</DocSecurity>
  <Lines>398</Lines>
  <Paragraphs>112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MIO ANDREA</cp:lastModifiedBy>
  <cp:revision>5</cp:revision>
  <cp:lastPrinted>2024-12-05T16:33:00Z</cp:lastPrinted>
  <dcterms:created xsi:type="dcterms:W3CDTF">2024-12-11T15:08:00Z</dcterms:created>
  <dcterms:modified xsi:type="dcterms:W3CDTF">2025-04-14T12:46:00Z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0x0101007CE008C23DB7DD4EAE85E55115C4A7EA</vt:lpwstr>
  </property>
  <property fmtid="{D5CDD505-2E9C-101B-9397-08002B2CF9AE}" pid="5" name="Mendeley Document_1">
    <vt:lpwstr>True</vt:lpwstr>
  </property>
  <property fmtid="{D5CDD505-2E9C-101B-9397-08002B2CF9AE}" pid="6" name="Mendeley Unique User Id_1">
    <vt:lpwstr>229f2d35-d3c5-3e91-81ba-1be5e75236fc</vt:lpwstr>
  </property>
  <property fmtid="{D5CDD505-2E9C-101B-9397-08002B2CF9AE}" pid="7" name="Mendeley Citation Style_1">
    <vt:lpwstr>http://www.zotero.org/styles/journal-of-cleaner-production</vt:lpwstr>
  </property>
  <property fmtid="{D5CDD505-2E9C-101B-9397-08002B2CF9AE}" pid="8" name="Mendeley Recent Style Id 0_1">
    <vt:lpwstr>http://www.zotero.org/styles/acs-sustainable-chemistry-and-engineering</vt:lpwstr>
  </property>
  <property fmtid="{D5CDD505-2E9C-101B-9397-08002B2CF9AE}" pid="9" name="Mendeley Recent Style Name 0_1">
    <vt:lpwstr>ACS Sustainable Chemistry &amp; Engineering</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http://www.zotero.org/styles/applied-energy</vt:lpwstr>
  </property>
  <property fmtid="{D5CDD505-2E9C-101B-9397-08002B2CF9AE}" pid="13" name="Mendeley Recent Style Name 2_1">
    <vt:lpwstr>Applied Energy</vt:lpwstr>
  </property>
  <property fmtid="{D5CDD505-2E9C-101B-9397-08002B2CF9AE}" pid="14" name="Mendeley Recent Style Id 3_1">
    <vt:lpwstr>http://www.zotero.org/styles/harvard-cite-them-right</vt:lpwstr>
  </property>
  <property fmtid="{D5CDD505-2E9C-101B-9397-08002B2CF9AE}" pid="15" name="Mendeley Recent Style Name 3_1">
    <vt:lpwstr>Cite Them Right 12th edition - Harvard</vt:lpwstr>
  </property>
  <property fmtid="{D5CDD505-2E9C-101B-9397-08002B2CF9AE}" pid="16" name="Mendeley Recent Style Id 4_1">
    <vt:lpwstr>http://www.zotero.org/styles/energy-conversion-and-management</vt:lpwstr>
  </property>
  <property fmtid="{D5CDD505-2E9C-101B-9397-08002B2CF9AE}" pid="17" name="Mendeley Recent Style Name 4_1">
    <vt:lpwstr>Energy Conversion and Management</vt:lpwstr>
  </property>
  <property fmtid="{D5CDD505-2E9C-101B-9397-08002B2CF9AE}" pid="18" name="Mendeley Recent Style Id 5_1">
    <vt:lpwstr>http://www.zotero.org/styles/journal-of-chemical-and-engineering-data</vt:lpwstr>
  </property>
  <property fmtid="{D5CDD505-2E9C-101B-9397-08002B2CF9AE}" pid="19" name="Mendeley Recent Style Name 5_1">
    <vt:lpwstr>Journal of Chemical &amp; Engineering Data</vt:lpwstr>
  </property>
  <property fmtid="{D5CDD505-2E9C-101B-9397-08002B2CF9AE}" pid="20" name="Mendeley Recent Style Id 6_1">
    <vt:lpwstr>http://www.zotero.org/styles/journal-of-cleaner-production</vt:lpwstr>
  </property>
  <property fmtid="{D5CDD505-2E9C-101B-9397-08002B2CF9AE}" pid="21" name="Mendeley Recent Style Name 6_1">
    <vt:lpwstr>Journal of Cleaner Production</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http://www.zotero.org/styles/nature</vt:lpwstr>
  </property>
  <property fmtid="{D5CDD505-2E9C-101B-9397-08002B2CF9AE}" pid="25" name="Mendeley Recent Style Name 8_1">
    <vt:lpwstr>Nature</vt:lpwstr>
  </property>
  <property fmtid="{D5CDD505-2E9C-101B-9397-08002B2CF9AE}" pid="26" name="Mendeley Recent Style Id 9_1">
    <vt:lpwstr>http://www.zotero.org/styles/procedia-structural-integrity</vt:lpwstr>
  </property>
  <property fmtid="{D5CDD505-2E9C-101B-9397-08002B2CF9AE}" pid="27" name="Mendeley Recent Style Name 9_1">
    <vt:lpwstr>Procedia Structural Integrity</vt:lpwstr>
  </property>
</Properties>
</file>