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1E33F2"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1E33F2" w:rsidRDefault="000A03B2" w:rsidP="00DE264A">
            <w:pPr>
              <w:tabs>
                <w:tab w:val="left" w:pos="-108"/>
              </w:tabs>
              <w:ind w:left="-108"/>
              <w:jc w:val="left"/>
              <w:rPr>
                <w:rFonts w:cs="Arial"/>
                <w:b/>
                <w:bCs/>
                <w:i/>
                <w:iCs/>
                <w:color w:val="000066"/>
                <w:sz w:val="12"/>
                <w:szCs w:val="12"/>
                <w:lang w:eastAsia="it-IT"/>
              </w:rPr>
            </w:pPr>
            <w:bookmarkStart w:id="0" w:name="_Hlk145068772"/>
            <w:r w:rsidRPr="001E33F2">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1E33F2">
              <w:rPr>
                <w:rFonts w:ascii="AdvP6960" w:hAnsi="AdvP6960" w:cs="AdvP6960"/>
                <w:color w:val="241F20"/>
                <w:szCs w:val="18"/>
                <w:lang w:eastAsia="it-IT"/>
              </w:rPr>
              <w:t xml:space="preserve"> </w:t>
            </w:r>
            <w:r w:rsidRPr="001E33F2">
              <w:rPr>
                <w:rFonts w:cs="Arial"/>
                <w:b/>
                <w:bCs/>
                <w:i/>
                <w:iCs/>
                <w:color w:val="000066"/>
                <w:sz w:val="24"/>
                <w:szCs w:val="24"/>
                <w:lang w:eastAsia="it-IT"/>
              </w:rPr>
              <w:t>CHEMICAL ENGINEERING</w:t>
            </w:r>
            <w:r w:rsidRPr="001E33F2">
              <w:rPr>
                <w:rFonts w:cs="Arial"/>
                <w:b/>
                <w:bCs/>
                <w:i/>
                <w:iCs/>
                <w:color w:val="0033FF"/>
                <w:sz w:val="24"/>
                <w:szCs w:val="24"/>
                <w:lang w:eastAsia="it-IT"/>
              </w:rPr>
              <w:t xml:space="preserve"> </w:t>
            </w:r>
            <w:r w:rsidRPr="001E33F2">
              <w:rPr>
                <w:rFonts w:cs="Arial"/>
                <w:b/>
                <w:bCs/>
                <w:i/>
                <w:iCs/>
                <w:color w:val="666666"/>
                <w:sz w:val="24"/>
                <w:szCs w:val="24"/>
                <w:lang w:eastAsia="it-IT"/>
              </w:rPr>
              <w:t>TRANSACTIONS</w:t>
            </w:r>
            <w:r w:rsidRPr="001E33F2">
              <w:rPr>
                <w:color w:val="333333"/>
                <w:sz w:val="24"/>
                <w:szCs w:val="24"/>
                <w:lang w:eastAsia="it-IT"/>
              </w:rPr>
              <w:t xml:space="preserve"> </w:t>
            </w:r>
            <w:r w:rsidRPr="001E33F2">
              <w:rPr>
                <w:rFonts w:cs="Arial"/>
                <w:b/>
                <w:bCs/>
                <w:i/>
                <w:iCs/>
                <w:color w:val="000066"/>
                <w:sz w:val="27"/>
                <w:szCs w:val="27"/>
                <w:lang w:eastAsia="it-IT"/>
              </w:rPr>
              <w:br/>
            </w:r>
          </w:p>
          <w:p w14:paraId="4B780582" w14:textId="47EF826C" w:rsidR="000A03B2" w:rsidRPr="001E33F2" w:rsidRDefault="00A76EFC" w:rsidP="001D21AF">
            <w:pPr>
              <w:tabs>
                <w:tab w:val="left" w:pos="-108"/>
              </w:tabs>
              <w:ind w:left="-108"/>
              <w:rPr>
                <w:rFonts w:cs="Arial"/>
                <w:b/>
                <w:bCs/>
                <w:i/>
                <w:iCs/>
                <w:color w:val="000066"/>
                <w:sz w:val="22"/>
                <w:szCs w:val="22"/>
                <w:lang w:eastAsia="it-IT"/>
              </w:rPr>
            </w:pPr>
            <w:r w:rsidRPr="001E33F2">
              <w:rPr>
                <w:rFonts w:cs="Arial"/>
                <w:b/>
                <w:bCs/>
                <w:i/>
                <w:iCs/>
                <w:color w:val="000066"/>
                <w:sz w:val="22"/>
                <w:szCs w:val="22"/>
                <w:lang w:eastAsia="it-IT"/>
              </w:rPr>
              <w:t>VOL.</w:t>
            </w:r>
            <w:r w:rsidR="00785BF9" w:rsidRPr="001E33F2">
              <w:rPr>
                <w:rFonts w:cs="Arial"/>
                <w:b/>
                <w:bCs/>
                <w:i/>
                <w:iCs/>
                <w:color w:val="000066"/>
                <w:sz w:val="22"/>
                <w:szCs w:val="22"/>
                <w:lang w:eastAsia="it-IT"/>
              </w:rPr>
              <w:t xml:space="preserve"> </w:t>
            </w:r>
            <w:r w:rsidR="00994C6A" w:rsidRPr="001E33F2">
              <w:rPr>
                <w:rFonts w:cs="Arial"/>
                <w:b/>
                <w:bCs/>
                <w:i/>
                <w:iCs/>
                <w:color w:val="000066"/>
                <w:sz w:val="22"/>
                <w:szCs w:val="22"/>
                <w:lang w:eastAsia="it-IT"/>
              </w:rPr>
              <w:t>xxx</w:t>
            </w:r>
            <w:r w:rsidR="007B48F9" w:rsidRPr="001E33F2">
              <w:rPr>
                <w:rFonts w:cs="Arial"/>
                <w:b/>
                <w:bCs/>
                <w:i/>
                <w:iCs/>
                <w:color w:val="000066"/>
                <w:sz w:val="22"/>
                <w:szCs w:val="22"/>
                <w:lang w:eastAsia="it-IT"/>
              </w:rPr>
              <w:t>,</w:t>
            </w:r>
            <w:r w:rsidR="00FA5F5F" w:rsidRPr="001E33F2">
              <w:rPr>
                <w:rFonts w:cs="Arial"/>
                <w:b/>
                <w:bCs/>
                <w:i/>
                <w:iCs/>
                <w:color w:val="000066"/>
                <w:sz w:val="22"/>
                <w:szCs w:val="22"/>
                <w:lang w:eastAsia="it-IT"/>
              </w:rPr>
              <w:t xml:space="preserve"> </w:t>
            </w:r>
            <w:r w:rsidR="0030152C" w:rsidRPr="001E33F2">
              <w:rPr>
                <w:rFonts w:cs="Arial"/>
                <w:b/>
                <w:bCs/>
                <w:i/>
                <w:iCs/>
                <w:color w:val="000066"/>
                <w:sz w:val="22"/>
                <w:szCs w:val="22"/>
                <w:lang w:eastAsia="it-IT"/>
              </w:rPr>
              <w:t>202</w:t>
            </w:r>
            <w:r w:rsidR="00994C6A" w:rsidRPr="001E33F2">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1E33F2" w:rsidRDefault="000A03B2" w:rsidP="00CD5FE2">
            <w:pPr>
              <w:spacing w:line="140" w:lineRule="atLeast"/>
              <w:jc w:val="right"/>
              <w:rPr>
                <w:rFonts w:cs="Arial"/>
                <w:sz w:val="14"/>
                <w:szCs w:val="14"/>
              </w:rPr>
            </w:pPr>
            <w:r w:rsidRPr="001E33F2">
              <w:rPr>
                <w:rFonts w:cs="Arial"/>
                <w:sz w:val="14"/>
                <w:szCs w:val="14"/>
              </w:rPr>
              <w:t>A publication of</w:t>
            </w:r>
          </w:p>
          <w:p w14:paraId="599E5441" w14:textId="77777777" w:rsidR="000A03B2" w:rsidRPr="001E33F2" w:rsidRDefault="000A03B2" w:rsidP="00CD5FE2">
            <w:pPr>
              <w:jc w:val="right"/>
            </w:pPr>
            <w:r w:rsidRPr="001E33F2">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1E33F2" w14:paraId="380FA3CD" w14:textId="77777777" w:rsidTr="00DE264A">
        <w:trPr>
          <w:trHeight w:val="567"/>
          <w:jc w:val="center"/>
        </w:trPr>
        <w:tc>
          <w:tcPr>
            <w:tcW w:w="6946" w:type="dxa"/>
            <w:vMerge/>
            <w:tcBorders>
              <w:right w:val="single" w:sz="4" w:space="0" w:color="auto"/>
            </w:tcBorders>
          </w:tcPr>
          <w:p w14:paraId="39E5E4C1" w14:textId="77777777" w:rsidR="000A03B2" w:rsidRPr="001E33F2"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1E33F2" w:rsidRDefault="000A03B2" w:rsidP="00CD5FE2">
            <w:pPr>
              <w:spacing w:line="140" w:lineRule="atLeast"/>
              <w:jc w:val="right"/>
              <w:rPr>
                <w:rFonts w:cs="Arial"/>
                <w:sz w:val="14"/>
                <w:szCs w:val="14"/>
              </w:rPr>
            </w:pPr>
            <w:r w:rsidRPr="001E33F2">
              <w:rPr>
                <w:rFonts w:cs="Arial"/>
                <w:sz w:val="14"/>
                <w:szCs w:val="14"/>
              </w:rPr>
              <w:t>The Italian Association</w:t>
            </w:r>
          </w:p>
          <w:p w14:paraId="7522B1D2" w14:textId="77777777" w:rsidR="000A03B2" w:rsidRPr="001E33F2" w:rsidRDefault="000A03B2" w:rsidP="00CD5FE2">
            <w:pPr>
              <w:spacing w:line="140" w:lineRule="atLeast"/>
              <w:jc w:val="right"/>
              <w:rPr>
                <w:rFonts w:cs="Arial"/>
                <w:sz w:val="14"/>
                <w:szCs w:val="14"/>
              </w:rPr>
            </w:pPr>
            <w:r w:rsidRPr="001E33F2">
              <w:rPr>
                <w:rFonts w:cs="Arial"/>
                <w:sz w:val="14"/>
                <w:szCs w:val="14"/>
              </w:rPr>
              <w:t>of Chemical Engineering</w:t>
            </w:r>
          </w:p>
          <w:p w14:paraId="4F0CC5DE" w14:textId="47FDB2FC" w:rsidR="000A03B2" w:rsidRPr="001E33F2" w:rsidRDefault="000D0268" w:rsidP="00CD5FE2">
            <w:pPr>
              <w:spacing w:line="140" w:lineRule="atLeast"/>
              <w:jc w:val="right"/>
              <w:rPr>
                <w:rFonts w:cs="Arial"/>
                <w:sz w:val="13"/>
                <w:szCs w:val="13"/>
              </w:rPr>
            </w:pPr>
            <w:r w:rsidRPr="001E33F2">
              <w:rPr>
                <w:rFonts w:cs="Arial"/>
                <w:sz w:val="13"/>
                <w:szCs w:val="13"/>
              </w:rPr>
              <w:t>Online at www.cetjournal.it</w:t>
            </w:r>
          </w:p>
        </w:tc>
      </w:tr>
      <w:tr w:rsidR="000A03B2" w:rsidRPr="001E33F2" w14:paraId="2D1B7169" w14:textId="77777777" w:rsidTr="00DE264A">
        <w:trPr>
          <w:trHeight w:val="68"/>
          <w:jc w:val="center"/>
        </w:trPr>
        <w:tc>
          <w:tcPr>
            <w:tcW w:w="8789" w:type="dxa"/>
            <w:gridSpan w:val="2"/>
          </w:tcPr>
          <w:p w14:paraId="1D8DD3C9" w14:textId="025D7B18" w:rsidR="00AA7D26" w:rsidRPr="00195FE8" w:rsidRDefault="00AA7D26" w:rsidP="007D610D">
            <w:pPr>
              <w:ind w:left="-107"/>
              <w:outlineLvl w:val="2"/>
              <w:rPr>
                <w:rFonts w:ascii="Tahoma" w:hAnsi="Tahoma" w:cs="Tahoma"/>
                <w:color w:val="000000"/>
                <w:sz w:val="14"/>
                <w:szCs w:val="14"/>
                <w:shd w:val="clear" w:color="auto" w:fill="FFFFFF"/>
                <w:lang w:val="it-IT"/>
              </w:rPr>
            </w:pPr>
            <w:r w:rsidRPr="00195FE8">
              <w:rPr>
                <w:rFonts w:ascii="Tahoma" w:hAnsi="Tahoma" w:cs="Tahoma"/>
                <w:iCs/>
                <w:color w:val="333333"/>
                <w:sz w:val="14"/>
                <w:szCs w:val="14"/>
                <w:lang w:val="it-IT" w:eastAsia="it-IT"/>
              </w:rPr>
              <w:t>Guest Editors:</w:t>
            </w:r>
            <w:r w:rsidR="007D610D" w:rsidRPr="00195FE8">
              <w:rPr>
                <w:rFonts w:ascii="Aptos" w:eastAsiaTheme="minorHAnsi" w:hAnsi="Aptos" w:cs="Aptos"/>
                <w:sz w:val="22"/>
                <w:szCs w:val="22"/>
                <w:lang w:val="it-IT"/>
                <w14:ligatures w14:val="standardContextual"/>
              </w:rPr>
              <w:t xml:space="preserve"> </w:t>
            </w:r>
            <w:r w:rsidR="007D610D" w:rsidRPr="00195FE8">
              <w:rPr>
                <w:rFonts w:ascii="Tahoma" w:hAnsi="Tahoma" w:cs="Tahoma"/>
                <w:color w:val="000000"/>
                <w:sz w:val="14"/>
                <w:szCs w:val="14"/>
                <w:shd w:val="clear" w:color="auto" w:fill="FFFFFF"/>
                <w:lang w:val="it-IT"/>
              </w:rPr>
              <w:t xml:space="preserve">Fabrizio Bezzo, </w:t>
            </w:r>
            <w:r w:rsidR="001D3D32" w:rsidRPr="00195FE8">
              <w:rPr>
                <w:rFonts w:ascii="Tahoma" w:hAnsi="Tahoma" w:cs="Tahoma"/>
                <w:color w:val="000000"/>
                <w:sz w:val="14"/>
                <w:szCs w:val="14"/>
                <w:shd w:val="clear" w:color="auto" w:fill="FFFFFF"/>
                <w:lang w:val="it-IT"/>
              </w:rPr>
              <w:t>Flavio Manenti</w:t>
            </w:r>
            <w:r w:rsidR="00304CE8" w:rsidRPr="00195FE8">
              <w:rPr>
                <w:rFonts w:ascii="Tahoma" w:hAnsi="Tahoma" w:cs="Tahoma"/>
                <w:color w:val="000000"/>
                <w:sz w:val="14"/>
                <w:szCs w:val="14"/>
                <w:shd w:val="clear" w:color="auto" w:fill="FFFFFF"/>
                <w:lang w:val="it-IT"/>
              </w:rPr>
              <w:t>,</w:t>
            </w:r>
            <w:r w:rsidR="001D3D32" w:rsidRPr="00195FE8">
              <w:rPr>
                <w:rFonts w:ascii="Tahoma" w:hAnsi="Tahoma" w:cs="Tahoma"/>
                <w:color w:val="000000"/>
                <w:sz w:val="14"/>
                <w:szCs w:val="14"/>
                <w:shd w:val="clear" w:color="auto" w:fill="FFFFFF"/>
                <w:lang w:val="it-IT"/>
              </w:rPr>
              <w:t xml:space="preserve"> </w:t>
            </w:r>
            <w:r w:rsidR="007D610D" w:rsidRPr="00195FE8">
              <w:rPr>
                <w:rFonts w:ascii="Tahoma" w:hAnsi="Tahoma" w:cs="Tahoma"/>
                <w:color w:val="000000"/>
                <w:sz w:val="14"/>
                <w:szCs w:val="14"/>
                <w:shd w:val="clear" w:color="auto" w:fill="FFFFFF"/>
                <w:lang w:val="it-IT"/>
              </w:rPr>
              <w:t>Gabriele Pannocchia, Almerinda di Benedetto</w:t>
            </w:r>
          </w:p>
          <w:p w14:paraId="1B0F1814" w14:textId="7C54DC3A" w:rsidR="000A03B2" w:rsidRPr="001E33F2" w:rsidRDefault="00AA7D26" w:rsidP="00AA7D26">
            <w:pPr>
              <w:tabs>
                <w:tab w:val="left" w:pos="-108"/>
              </w:tabs>
              <w:spacing w:line="140" w:lineRule="atLeast"/>
              <w:ind w:left="-107"/>
              <w:jc w:val="left"/>
            </w:pPr>
            <w:r w:rsidRPr="001E33F2">
              <w:rPr>
                <w:rFonts w:ascii="Tahoma" w:hAnsi="Tahoma" w:cs="Tahoma"/>
                <w:iCs/>
                <w:color w:val="333333"/>
                <w:sz w:val="14"/>
                <w:szCs w:val="14"/>
                <w:lang w:eastAsia="it-IT"/>
              </w:rPr>
              <w:t>Copyright © 202</w:t>
            </w:r>
            <w:r w:rsidR="00994C6A" w:rsidRPr="001E33F2">
              <w:rPr>
                <w:rFonts w:ascii="Tahoma" w:hAnsi="Tahoma" w:cs="Tahoma"/>
                <w:iCs/>
                <w:color w:val="333333"/>
                <w:sz w:val="14"/>
                <w:szCs w:val="14"/>
                <w:lang w:eastAsia="it-IT"/>
              </w:rPr>
              <w:t>5</w:t>
            </w:r>
            <w:r w:rsidRPr="001E33F2">
              <w:rPr>
                <w:rFonts w:ascii="Tahoma" w:hAnsi="Tahoma" w:cs="Tahoma"/>
                <w:iCs/>
                <w:color w:val="333333"/>
                <w:sz w:val="14"/>
                <w:szCs w:val="14"/>
                <w:lang w:eastAsia="it-IT"/>
              </w:rPr>
              <w:t xml:space="preserve">, AIDIC </w:t>
            </w:r>
            <w:proofErr w:type="spellStart"/>
            <w:r w:rsidRPr="001E33F2">
              <w:rPr>
                <w:rFonts w:ascii="Tahoma" w:hAnsi="Tahoma" w:cs="Tahoma"/>
                <w:iCs/>
                <w:color w:val="333333"/>
                <w:sz w:val="14"/>
                <w:szCs w:val="14"/>
                <w:lang w:eastAsia="it-IT"/>
              </w:rPr>
              <w:t>Servizi</w:t>
            </w:r>
            <w:proofErr w:type="spellEnd"/>
            <w:r w:rsidRPr="001E33F2">
              <w:rPr>
                <w:rFonts w:ascii="Tahoma" w:hAnsi="Tahoma" w:cs="Tahoma"/>
                <w:iCs/>
                <w:color w:val="333333"/>
                <w:sz w:val="14"/>
                <w:szCs w:val="14"/>
                <w:lang w:eastAsia="it-IT"/>
              </w:rPr>
              <w:t xml:space="preserve"> </w:t>
            </w:r>
            <w:proofErr w:type="spellStart"/>
            <w:r w:rsidRPr="001E33F2">
              <w:rPr>
                <w:rFonts w:ascii="Tahoma" w:hAnsi="Tahoma" w:cs="Tahoma"/>
                <w:iCs/>
                <w:color w:val="333333"/>
                <w:sz w:val="14"/>
                <w:szCs w:val="14"/>
                <w:lang w:eastAsia="it-IT"/>
              </w:rPr>
              <w:t>S.r.l</w:t>
            </w:r>
            <w:proofErr w:type="spellEnd"/>
            <w:r w:rsidRPr="001E33F2">
              <w:rPr>
                <w:rFonts w:ascii="Tahoma" w:hAnsi="Tahoma" w:cs="Tahoma"/>
                <w:iCs/>
                <w:color w:val="333333"/>
                <w:sz w:val="14"/>
                <w:szCs w:val="14"/>
                <w:lang w:eastAsia="it-IT"/>
              </w:rPr>
              <w:t>.</w:t>
            </w:r>
            <w:r w:rsidRPr="001E33F2">
              <w:rPr>
                <w:rFonts w:ascii="Tahoma" w:hAnsi="Tahoma" w:cs="Tahoma"/>
                <w:iCs/>
                <w:color w:val="333333"/>
                <w:sz w:val="14"/>
                <w:szCs w:val="14"/>
                <w:lang w:eastAsia="it-IT"/>
              </w:rPr>
              <w:br/>
            </w:r>
            <w:r w:rsidRPr="001E33F2">
              <w:rPr>
                <w:rFonts w:ascii="Tahoma" w:hAnsi="Tahoma" w:cs="Tahoma"/>
                <w:b/>
                <w:iCs/>
                <w:color w:val="000000"/>
                <w:sz w:val="14"/>
                <w:szCs w:val="14"/>
                <w:lang w:eastAsia="it-IT"/>
              </w:rPr>
              <w:t>ISBN</w:t>
            </w:r>
            <w:r w:rsidRPr="001E33F2">
              <w:rPr>
                <w:rFonts w:ascii="Tahoma" w:hAnsi="Tahoma" w:cs="Tahoma"/>
                <w:iCs/>
                <w:color w:val="000000"/>
                <w:sz w:val="14"/>
                <w:szCs w:val="14"/>
                <w:lang w:eastAsia="it-IT"/>
              </w:rPr>
              <w:t xml:space="preserve"> </w:t>
            </w:r>
            <w:r w:rsidR="003B49CD" w:rsidRPr="001E33F2">
              <w:rPr>
                <w:rFonts w:ascii="Tahoma" w:hAnsi="Tahoma" w:cs="Tahoma"/>
                <w:sz w:val="14"/>
                <w:szCs w:val="14"/>
              </w:rPr>
              <w:t>979-12-81206-1</w:t>
            </w:r>
            <w:r w:rsidR="00994C6A" w:rsidRPr="001E33F2">
              <w:rPr>
                <w:rFonts w:ascii="Tahoma" w:hAnsi="Tahoma" w:cs="Tahoma"/>
                <w:sz w:val="14"/>
                <w:szCs w:val="14"/>
              </w:rPr>
              <w:t>7</w:t>
            </w:r>
            <w:r w:rsidR="003B49CD" w:rsidRPr="001E33F2">
              <w:rPr>
                <w:rFonts w:ascii="Tahoma" w:hAnsi="Tahoma" w:cs="Tahoma"/>
                <w:sz w:val="14"/>
                <w:szCs w:val="14"/>
              </w:rPr>
              <w:t>-</w:t>
            </w:r>
            <w:r w:rsidR="00994C6A" w:rsidRPr="001E33F2">
              <w:rPr>
                <w:rFonts w:ascii="Tahoma" w:hAnsi="Tahoma" w:cs="Tahoma"/>
                <w:sz w:val="14"/>
                <w:szCs w:val="14"/>
              </w:rPr>
              <w:t>5</w:t>
            </w:r>
            <w:r w:rsidRPr="001E33F2">
              <w:rPr>
                <w:rFonts w:ascii="Tahoma" w:hAnsi="Tahoma" w:cs="Tahoma"/>
                <w:iCs/>
                <w:color w:val="333333"/>
                <w:sz w:val="14"/>
                <w:szCs w:val="14"/>
                <w:lang w:eastAsia="it-IT"/>
              </w:rPr>
              <w:t xml:space="preserve">; </w:t>
            </w:r>
            <w:r w:rsidRPr="001E33F2">
              <w:rPr>
                <w:rFonts w:ascii="Tahoma" w:hAnsi="Tahoma" w:cs="Tahoma"/>
                <w:b/>
                <w:iCs/>
                <w:color w:val="333333"/>
                <w:sz w:val="14"/>
                <w:szCs w:val="14"/>
                <w:lang w:eastAsia="it-IT"/>
              </w:rPr>
              <w:t>ISSN</w:t>
            </w:r>
            <w:r w:rsidRPr="001E33F2">
              <w:rPr>
                <w:rFonts w:ascii="Tahoma" w:hAnsi="Tahoma" w:cs="Tahoma"/>
                <w:iCs/>
                <w:color w:val="333333"/>
                <w:sz w:val="14"/>
                <w:szCs w:val="14"/>
                <w:lang w:eastAsia="it-IT"/>
              </w:rPr>
              <w:t xml:space="preserve"> 2283-9216</w:t>
            </w:r>
          </w:p>
        </w:tc>
      </w:tr>
    </w:tbl>
    <w:bookmarkEnd w:id="0"/>
    <w:p w14:paraId="2E667253" w14:textId="7D579F6C" w:rsidR="00E978D0" w:rsidRPr="001E33F2" w:rsidRDefault="006E756F" w:rsidP="00E978D0">
      <w:pPr>
        <w:pStyle w:val="CETTitle"/>
      </w:pPr>
      <w:r w:rsidRPr="001E33F2">
        <w:t xml:space="preserve">Semi-quantitative Dust Hazard Analysis: </w:t>
      </w:r>
      <w:r w:rsidR="00047728">
        <w:t>I</w:t>
      </w:r>
      <w:r w:rsidRPr="001E33F2">
        <w:t xml:space="preserve">dentification of the </w:t>
      </w:r>
      <w:r w:rsidR="00047728">
        <w:t>I</w:t>
      </w:r>
      <w:r w:rsidRPr="001E33F2">
        <w:t xml:space="preserve">gnition </w:t>
      </w:r>
      <w:r w:rsidR="00047728">
        <w:t>S</w:t>
      </w:r>
      <w:r w:rsidRPr="001E33F2">
        <w:t xml:space="preserve">ources and </w:t>
      </w:r>
      <w:r w:rsidR="00047728">
        <w:t>Q</w:t>
      </w:r>
      <w:r w:rsidRPr="001E33F2">
        <w:t xml:space="preserve">uantification of the </w:t>
      </w:r>
      <w:r w:rsidR="00047728">
        <w:t>P</w:t>
      </w:r>
      <w:r w:rsidRPr="001E33F2">
        <w:t>robability</w:t>
      </w:r>
      <w:r w:rsidR="00600535" w:rsidRPr="001E33F2">
        <w:t xml:space="preserve"> </w:t>
      </w:r>
    </w:p>
    <w:p w14:paraId="0488FED2" w14:textId="7B4E9125" w:rsidR="00B57E6F" w:rsidRPr="00195FE8" w:rsidRDefault="006E756F" w:rsidP="00B57E6F">
      <w:pPr>
        <w:pStyle w:val="CETAuthors"/>
        <w:rPr>
          <w:lang w:val="it-IT"/>
        </w:rPr>
      </w:pPr>
      <w:r w:rsidRPr="00195FE8">
        <w:rPr>
          <w:lang w:val="it-IT"/>
        </w:rPr>
        <w:t>Leonardo Michele Carluccio*; Aurora Lafiosca</w:t>
      </w:r>
      <w:r w:rsidR="005F54AB">
        <w:rPr>
          <w:lang w:val="it-IT"/>
        </w:rPr>
        <w:t>, Sara Perelli</w:t>
      </w:r>
    </w:p>
    <w:p w14:paraId="6B2D21B3" w14:textId="1FF1A9C1" w:rsidR="00B57E6F" w:rsidRPr="00195FE8" w:rsidRDefault="006E756F" w:rsidP="00B57E6F">
      <w:pPr>
        <w:pStyle w:val="CETAddress"/>
        <w:rPr>
          <w:lang w:val="it-IT"/>
        </w:rPr>
      </w:pPr>
      <w:r w:rsidRPr="00195FE8">
        <w:rPr>
          <w:lang w:val="it-IT"/>
        </w:rPr>
        <w:t>DEKRA Italia s.r.l., Process Safety Business Unit, Via Fratelli Gracchi 27, 20122 Cinisello Balsamo (MI)</w:t>
      </w:r>
    </w:p>
    <w:p w14:paraId="3A4C9B78" w14:textId="11CB1120" w:rsidR="006E756F" w:rsidRPr="001E33F2" w:rsidRDefault="00047728" w:rsidP="00B57E6F">
      <w:pPr>
        <w:pStyle w:val="CETAddress"/>
      </w:pPr>
      <w:hyperlink r:id="rId13" w:history="1">
        <w:r w:rsidR="006E756F" w:rsidRPr="001E33F2">
          <w:t>leonardomichele.carluccio@dekra.com</w:t>
        </w:r>
      </w:hyperlink>
    </w:p>
    <w:p w14:paraId="702536D7" w14:textId="77777777" w:rsidR="006E756F" w:rsidRPr="001E33F2" w:rsidRDefault="006E756F" w:rsidP="006E756F">
      <w:pPr>
        <w:pStyle w:val="CETHeading1"/>
        <w:numPr>
          <w:ilvl w:val="0"/>
          <w:numId w:val="0"/>
        </w:numPr>
        <w:rPr>
          <w:b w:val="0"/>
          <w:sz w:val="18"/>
          <w:lang w:val="en-GB"/>
        </w:rPr>
      </w:pPr>
    </w:p>
    <w:p w14:paraId="724B2748" w14:textId="77777777" w:rsidR="00BF6B61" w:rsidRPr="001E33F2" w:rsidRDefault="00BF6B61" w:rsidP="00BF6B61">
      <w:r w:rsidRPr="001E33F2">
        <w:t>Dust Hazard Analysis (DHA) is a risk assessment technique used for identifying, managing, and mitigating the risks related to the handling, production, and storage of combustible dusts. In a previous study, the efficacy of the use of a semi-quantitative approach (i.e., leveraging a Risk Matrix to assess the risk level associated with combustible dust, through the definition of severity and likelihood levels) has been analysed. This study is intended to deepen some aspects of the methodology, exploring</w:t>
      </w:r>
      <w:proofErr w:type="gramStart"/>
      <w:r w:rsidRPr="001E33F2">
        <w:t>, in particular, the</w:t>
      </w:r>
      <w:proofErr w:type="gramEnd"/>
      <w:r w:rsidRPr="001E33F2">
        <w:t xml:space="preserve"> approaches used to identify the probability of ignition during a semi-quantitative DHA.</w:t>
      </w:r>
    </w:p>
    <w:p w14:paraId="482EDD3B" w14:textId="042FBF5B" w:rsidR="00BF6B61" w:rsidRPr="001E33F2" w:rsidRDefault="00BF6B61" w:rsidP="00BF6B61">
      <w:r w:rsidRPr="001E33F2">
        <w:t>The identification of all the possible ignition sources and the consequent definition of a probability for each of these to be effective (i.e., to be able to ignite a cloud of dust, properly mixed with air inside explosibility limits) is a fundamental step to conduct a semi-quantitative DHA; for this reason, the aim of the present study is to discuss the possible scenarios related to the different ignition sources that could be present in a working environment where combustible dust is handled (e.g., electrical equipment, electrostatic discharge, etc., as described in the standard EN 1127-1), together with the approach used to determine the proper ignition probability to be used in the assessment.</w:t>
      </w:r>
    </w:p>
    <w:p w14:paraId="48EA05D0" w14:textId="77777777" w:rsidR="00BF6B61" w:rsidRPr="001E33F2" w:rsidRDefault="00BF6B61" w:rsidP="00BF6B61">
      <w:r w:rsidRPr="001E33F2">
        <w:t>The study underscores the importance of the identification of all the possible ignition sources and the suggested approaches for the determination of the ignition probability within the framework of semi-quantitative DHA, where a Risk Matrix is used to evaluate the risk levels associated with identified dust-related scenarios.</w:t>
      </w:r>
    </w:p>
    <w:p w14:paraId="476B2F2E" w14:textId="3EFB912F" w:rsidR="00600535" w:rsidRPr="001E33F2" w:rsidRDefault="00600535" w:rsidP="00E02A33">
      <w:pPr>
        <w:pStyle w:val="CETHeading1"/>
        <w:tabs>
          <w:tab w:val="num" w:pos="360"/>
        </w:tabs>
        <w:rPr>
          <w:lang w:val="en-GB"/>
        </w:rPr>
      </w:pPr>
      <w:r w:rsidRPr="001E33F2">
        <w:rPr>
          <w:lang w:val="en-GB"/>
        </w:rPr>
        <w:t>Introduction</w:t>
      </w:r>
    </w:p>
    <w:p w14:paraId="1ABA24F6" w14:textId="64F587A2" w:rsidR="001355C2" w:rsidRPr="001E33F2" w:rsidRDefault="001355C2" w:rsidP="001355C2">
      <w:pPr>
        <w:pStyle w:val="CETBodytext"/>
        <w:rPr>
          <w:lang w:val="en-GB"/>
        </w:rPr>
      </w:pPr>
      <w:r w:rsidRPr="001E33F2">
        <w:rPr>
          <w:lang w:val="en-GB"/>
        </w:rPr>
        <w:t>The introduction of a semi-quantitative approach to Dust Hazard Analysis (DHA) allows the methodology to be systematically applied in different facilities (</w:t>
      </w:r>
      <w:proofErr w:type="spellStart"/>
      <w:r w:rsidRPr="001E33F2">
        <w:rPr>
          <w:lang w:val="en-GB"/>
        </w:rPr>
        <w:t>Gritti</w:t>
      </w:r>
      <w:proofErr w:type="spellEnd"/>
      <w:r w:rsidRPr="001E33F2">
        <w:rPr>
          <w:lang w:val="en-GB"/>
        </w:rPr>
        <w:t xml:space="preserve"> et al.,</w:t>
      </w:r>
      <w:r w:rsidR="00A86DD9" w:rsidRPr="001E33F2">
        <w:rPr>
          <w:lang w:val="en-GB"/>
        </w:rPr>
        <w:t xml:space="preserve"> </w:t>
      </w:r>
      <w:r w:rsidRPr="001E33F2">
        <w:rPr>
          <w:lang w:val="en-GB"/>
        </w:rPr>
        <w:t xml:space="preserve">2024). The necessity to develop a more reliable and uniform methodology to perform DHA </w:t>
      </w:r>
      <w:r w:rsidR="00BF6B61" w:rsidRPr="001E33F2">
        <w:rPr>
          <w:lang w:val="en-GB"/>
        </w:rPr>
        <w:t xml:space="preserve">brings the need </w:t>
      </w:r>
      <w:r w:rsidRPr="001E33F2">
        <w:rPr>
          <w:lang w:val="en-GB"/>
        </w:rPr>
        <w:t xml:space="preserve">to study the application of a Risk Matrix to the DHA. </w:t>
      </w:r>
    </w:p>
    <w:p w14:paraId="03FCCDBE" w14:textId="43F96CF3" w:rsidR="001355C2" w:rsidRPr="001E33F2" w:rsidRDefault="001355C2" w:rsidP="001355C2">
      <w:pPr>
        <w:pStyle w:val="CETBodytext"/>
        <w:rPr>
          <w:lang w:val="en-GB"/>
        </w:rPr>
      </w:pPr>
      <w:r w:rsidRPr="001E33F2">
        <w:rPr>
          <w:lang w:val="en-GB"/>
        </w:rPr>
        <w:t>This risk assessment technique enables the creation of a more structured analysis in which the following elements of DHA are included:</w:t>
      </w:r>
    </w:p>
    <w:p w14:paraId="47F74313" w14:textId="63C36EAB" w:rsidR="007D0951" w:rsidRPr="001E33F2" w:rsidRDefault="001355C2" w:rsidP="007D0951">
      <w:pPr>
        <w:pStyle w:val="CETListbullets"/>
        <w:numPr>
          <w:ilvl w:val="0"/>
          <w:numId w:val="13"/>
        </w:numPr>
        <w:rPr>
          <w:bCs/>
        </w:rPr>
      </w:pPr>
      <w:r w:rsidRPr="001E33F2">
        <w:rPr>
          <w:bCs/>
        </w:rPr>
        <w:t>Hazardous Area Classification (HAC) – applying the zoning system supported by the International Electrotechnical Commission (IEC 60079-10-2:2015), or Class / Division system supported by the National Fire Protection Association (NFPA 70, National Electrical Code – NEC</w:t>
      </w:r>
      <w:proofErr w:type="gramStart"/>
      <w:r w:rsidRPr="001E33F2">
        <w:rPr>
          <w:bCs/>
        </w:rPr>
        <w:t>)</w:t>
      </w:r>
      <w:r w:rsidR="00B340D3" w:rsidRPr="001E33F2">
        <w:rPr>
          <w:bCs/>
        </w:rPr>
        <w:t>;</w:t>
      </w:r>
      <w:proofErr w:type="gramEnd"/>
    </w:p>
    <w:p w14:paraId="600D7C67" w14:textId="57B2C515" w:rsidR="00B340D3" w:rsidRPr="001E33F2" w:rsidRDefault="00B340D3" w:rsidP="007D0951">
      <w:pPr>
        <w:pStyle w:val="CETListbullets"/>
        <w:numPr>
          <w:ilvl w:val="0"/>
          <w:numId w:val="13"/>
        </w:numPr>
        <w:rPr>
          <w:bCs/>
        </w:rPr>
      </w:pPr>
      <w:r w:rsidRPr="001E33F2">
        <w:rPr>
          <w:bCs/>
        </w:rPr>
        <w:t>Ignition Risk Assessment (IRA), including electrostatic risk assessment (Carluccio et al., 2023</w:t>
      </w:r>
      <w:proofErr w:type="gramStart"/>
      <w:r w:rsidRPr="001E33F2">
        <w:rPr>
          <w:bCs/>
        </w:rPr>
        <w:t>);</w:t>
      </w:r>
      <w:proofErr w:type="gramEnd"/>
    </w:p>
    <w:p w14:paraId="24FD1615" w14:textId="2E114289" w:rsidR="00B340D3" w:rsidRPr="001E33F2" w:rsidRDefault="008453D4" w:rsidP="007D0951">
      <w:pPr>
        <w:pStyle w:val="CETListbullets"/>
        <w:numPr>
          <w:ilvl w:val="0"/>
          <w:numId w:val="13"/>
        </w:numPr>
        <w:rPr>
          <w:bCs/>
        </w:rPr>
      </w:pPr>
      <w:r w:rsidRPr="001E33F2">
        <w:rPr>
          <w:bCs/>
        </w:rPr>
        <w:t>Assessment of the consequences effects (i.e., fire, flash fire, explosion</w:t>
      </w:r>
      <w:proofErr w:type="gramStart"/>
      <w:r w:rsidRPr="001E33F2">
        <w:rPr>
          <w:bCs/>
        </w:rPr>
        <w:t>)</w:t>
      </w:r>
      <w:r w:rsidR="00B340D3" w:rsidRPr="001E33F2">
        <w:rPr>
          <w:bCs/>
        </w:rPr>
        <w:t>;</w:t>
      </w:r>
      <w:proofErr w:type="gramEnd"/>
    </w:p>
    <w:p w14:paraId="28397AB9" w14:textId="77777777" w:rsidR="00A86DD9" w:rsidRPr="001E33F2" w:rsidRDefault="00B340D3" w:rsidP="007D0951">
      <w:pPr>
        <w:pStyle w:val="CETListbullets"/>
        <w:numPr>
          <w:ilvl w:val="0"/>
          <w:numId w:val="13"/>
        </w:numPr>
        <w:rPr>
          <w:bCs/>
        </w:rPr>
      </w:pPr>
      <w:r w:rsidRPr="001E33F2">
        <w:rPr>
          <w:bCs/>
        </w:rPr>
        <w:t>Evaluation of existing Basis of Safety (BoS</w:t>
      </w:r>
      <w:proofErr w:type="gramStart"/>
      <w:r w:rsidR="00A86DD9" w:rsidRPr="001E33F2">
        <w:rPr>
          <w:bCs/>
        </w:rPr>
        <w:t>);</w:t>
      </w:r>
      <w:proofErr w:type="gramEnd"/>
    </w:p>
    <w:p w14:paraId="02F17683" w14:textId="5001671F" w:rsidR="00B340D3" w:rsidRPr="001E33F2" w:rsidRDefault="00A86DD9" w:rsidP="007D0951">
      <w:pPr>
        <w:pStyle w:val="CETListbullets"/>
        <w:numPr>
          <w:ilvl w:val="0"/>
          <w:numId w:val="13"/>
        </w:numPr>
        <w:rPr>
          <w:bCs/>
        </w:rPr>
      </w:pPr>
      <w:r w:rsidRPr="001E33F2">
        <w:rPr>
          <w:bCs/>
        </w:rPr>
        <w:t>Safety Management System for identified scenarios.</w:t>
      </w:r>
    </w:p>
    <w:p w14:paraId="14FA3310" w14:textId="623A4CBF" w:rsidR="004F23E6" w:rsidRPr="001E33F2" w:rsidRDefault="004F23E6" w:rsidP="00CF291A">
      <w:pPr>
        <w:pStyle w:val="CETBodytext"/>
        <w:rPr>
          <w:lang w:val="en-GB"/>
        </w:rPr>
      </w:pPr>
      <w:r w:rsidRPr="001E33F2">
        <w:rPr>
          <w:lang w:val="en-GB"/>
        </w:rPr>
        <w:t>Semi-quantitative analysis of DHA provides a reliable risk assessment by conducting a structured approach, allowing prioritization of mitigation strategies, focusing on most critical high-risk scenarios and facilitating the decision-making process. The detailed steps that enable the success and effectiveness of DHA (i.e., plant visits and qualitative assessments) using the matrix in DHA are essential. Therefore,</w:t>
      </w:r>
      <w:r w:rsidR="003A3CDD">
        <w:rPr>
          <w:lang w:val="en-GB"/>
        </w:rPr>
        <w:t xml:space="preserve"> </w:t>
      </w:r>
      <w:r w:rsidR="003A3CDD" w:rsidRPr="003A3CDD">
        <w:rPr>
          <w:lang w:val="en-GB"/>
        </w:rPr>
        <w:t>although the strength of this methodology lies in the quantification of risk</w:t>
      </w:r>
      <w:r w:rsidR="003A3CDD">
        <w:rPr>
          <w:lang w:val="en-GB"/>
        </w:rPr>
        <w:t>,</w:t>
      </w:r>
      <w:r w:rsidRPr="001E33F2">
        <w:rPr>
          <w:lang w:val="en-GB"/>
        </w:rPr>
        <w:t xml:space="preserve"> numerical values for </w:t>
      </w:r>
      <w:r w:rsidR="003A3CDD">
        <w:rPr>
          <w:lang w:val="en-GB"/>
        </w:rPr>
        <w:t xml:space="preserve">ignition probability and </w:t>
      </w:r>
      <w:r w:rsidRPr="001E33F2">
        <w:rPr>
          <w:lang w:val="en-GB"/>
        </w:rPr>
        <w:t>risk reduction should only be considered as an indication of magnitude (</w:t>
      </w:r>
      <w:proofErr w:type="spellStart"/>
      <w:r w:rsidRPr="001E33F2">
        <w:rPr>
          <w:lang w:val="en-GB"/>
        </w:rPr>
        <w:t>Gritti</w:t>
      </w:r>
      <w:proofErr w:type="spellEnd"/>
      <w:r w:rsidRPr="001E33F2">
        <w:rPr>
          <w:lang w:val="en-GB"/>
        </w:rPr>
        <w:t xml:space="preserve"> et al., 2024). Nevertheless, as far as ignition sources </w:t>
      </w:r>
      <w:r w:rsidR="003A3CDD">
        <w:rPr>
          <w:lang w:val="en-GB"/>
        </w:rPr>
        <w:t xml:space="preserve">could be present in </w:t>
      </w:r>
      <w:r w:rsidR="00295F40">
        <w:rPr>
          <w:lang w:val="en-GB"/>
        </w:rPr>
        <w:t>a</w:t>
      </w:r>
      <w:r w:rsidR="003A3CDD">
        <w:rPr>
          <w:lang w:val="en-GB"/>
        </w:rPr>
        <w:t xml:space="preserve"> hazardous area</w:t>
      </w:r>
      <w:r w:rsidRPr="001E33F2">
        <w:rPr>
          <w:lang w:val="en-GB"/>
        </w:rPr>
        <w:t xml:space="preserve">, the need to assign a probability </w:t>
      </w:r>
      <w:r w:rsidR="003A3CDD">
        <w:rPr>
          <w:lang w:val="en-GB"/>
        </w:rPr>
        <w:t xml:space="preserve">level </w:t>
      </w:r>
      <w:r w:rsidRPr="001E33F2">
        <w:rPr>
          <w:lang w:val="en-GB"/>
        </w:rPr>
        <w:t>arises.</w:t>
      </w:r>
    </w:p>
    <w:p w14:paraId="73A81B5D" w14:textId="77777777" w:rsidR="00774061" w:rsidRPr="001E33F2" w:rsidRDefault="00774061" w:rsidP="00774061">
      <w:pPr>
        <w:pStyle w:val="CETBodytext"/>
        <w:rPr>
          <w:lang w:val="en-GB"/>
        </w:rPr>
      </w:pPr>
      <w:r w:rsidRPr="001E33F2">
        <w:rPr>
          <w:lang w:val="en-GB"/>
        </w:rPr>
        <w:lastRenderedPageBreak/>
        <w:t xml:space="preserve">The management of ignition sources is an important Basis of Safety (BoS) for fire and explosion hazard management. The assessment of the probability of ignition sources becoming effective can be carried out by applying the Standard UNI EN 1127-1, which identifies </w:t>
      </w:r>
      <w:r w:rsidRPr="003A3CDD">
        <w:rPr>
          <w:lang w:val="en-GB"/>
        </w:rPr>
        <w:t xml:space="preserve">thirteen </w:t>
      </w:r>
      <w:r w:rsidRPr="001E33F2">
        <w:rPr>
          <w:lang w:val="en-GB"/>
        </w:rPr>
        <w:t xml:space="preserve">general types of ignitions. However, in this paper the ignition risk assessment will be covered in detail </w:t>
      </w:r>
      <w:r>
        <w:rPr>
          <w:lang w:val="en-GB"/>
        </w:rPr>
        <w:t xml:space="preserve">only </w:t>
      </w:r>
      <w:r w:rsidRPr="001E33F2">
        <w:rPr>
          <w:lang w:val="en-GB"/>
        </w:rPr>
        <w:t>for the most common ignition sources, such as:</w:t>
      </w:r>
    </w:p>
    <w:p w14:paraId="132EB3E7" w14:textId="77777777" w:rsidR="00774061" w:rsidRPr="001E33F2" w:rsidRDefault="00774061" w:rsidP="00774061">
      <w:pPr>
        <w:pStyle w:val="CETListbullets"/>
        <w:numPr>
          <w:ilvl w:val="0"/>
          <w:numId w:val="13"/>
        </w:numPr>
        <w:rPr>
          <w:bCs/>
        </w:rPr>
      </w:pPr>
      <w:r w:rsidRPr="001E33F2">
        <w:rPr>
          <w:bCs/>
        </w:rPr>
        <w:t xml:space="preserve">Hot </w:t>
      </w:r>
      <w:proofErr w:type="gramStart"/>
      <w:r w:rsidRPr="001E33F2">
        <w:rPr>
          <w:bCs/>
        </w:rPr>
        <w:t>surfaces;</w:t>
      </w:r>
      <w:proofErr w:type="gramEnd"/>
    </w:p>
    <w:p w14:paraId="01B854CD" w14:textId="77777777" w:rsidR="00774061" w:rsidRPr="001E33F2" w:rsidRDefault="00774061" w:rsidP="00774061">
      <w:pPr>
        <w:pStyle w:val="CETListbullets"/>
        <w:numPr>
          <w:ilvl w:val="0"/>
          <w:numId w:val="13"/>
        </w:numPr>
        <w:rPr>
          <w:bCs/>
        </w:rPr>
      </w:pPr>
      <w:r w:rsidRPr="001E33F2">
        <w:rPr>
          <w:bCs/>
        </w:rPr>
        <w:t xml:space="preserve">Electrical </w:t>
      </w:r>
      <w:proofErr w:type="gramStart"/>
      <w:r w:rsidRPr="001E33F2">
        <w:rPr>
          <w:bCs/>
        </w:rPr>
        <w:t>equipment;</w:t>
      </w:r>
      <w:proofErr w:type="gramEnd"/>
    </w:p>
    <w:p w14:paraId="1799F293" w14:textId="77777777" w:rsidR="00774061" w:rsidRPr="001E33F2" w:rsidRDefault="00774061" w:rsidP="00774061">
      <w:pPr>
        <w:pStyle w:val="CETListbullets"/>
        <w:numPr>
          <w:ilvl w:val="0"/>
          <w:numId w:val="13"/>
        </w:numPr>
        <w:rPr>
          <w:bCs/>
        </w:rPr>
      </w:pPr>
      <w:r w:rsidRPr="001E33F2">
        <w:rPr>
          <w:bCs/>
        </w:rPr>
        <w:t>Static electricity (i.e., sparks discharge, cone discharges, static discharge due to the operator</w:t>
      </w:r>
      <w:proofErr w:type="gramStart"/>
      <w:r w:rsidRPr="001E33F2">
        <w:rPr>
          <w:bCs/>
        </w:rPr>
        <w:t>);</w:t>
      </w:r>
      <w:proofErr w:type="gramEnd"/>
    </w:p>
    <w:p w14:paraId="07FBAA6E" w14:textId="77777777" w:rsidR="00774061" w:rsidRPr="001E33F2" w:rsidRDefault="00774061" w:rsidP="00774061">
      <w:pPr>
        <w:pStyle w:val="CETListbullets"/>
        <w:numPr>
          <w:ilvl w:val="0"/>
          <w:numId w:val="13"/>
        </w:numPr>
        <w:rPr>
          <w:bCs/>
        </w:rPr>
      </w:pPr>
      <w:r w:rsidRPr="001E33F2">
        <w:rPr>
          <w:bCs/>
        </w:rPr>
        <w:t>Frictional ignition sources.</w:t>
      </w:r>
    </w:p>
    <w:p w14:paraId="5CC5EAD7" w14:textId="77777777" w:rsidR="00774061" w:rsidRPr="001E33F2" w:rsidRDefault="00774061" w:rsidP="00774061">
      <w:pPr>
        <w:pStyle w:val="CETBodytext"/>
        <w:rPr>
          <w:lang w:val="en-GB"/>
        </w:rPr>
      </w:pPr>
      <w:proofErr w:type="gramStart"/>
      <w:r w:rsidRPr="001E33F2">
        <w:rPr>
          <w:lang w:val="en-GB"/>
        </w:rPr>
        <w:t>Actually, one</w:t>
      </w:r>
      <w:proofErr w:type="gramEnd"/>
      <w:r w:rsidRPr="001E33F2">
        <w:rPr>
          <w:lang w:val="en-GB"/>
        </w:rPr>
        <w:t xml:space="preserve"> of the challenges of DHA analysis is to define the probability for each ignition sources; according to the Standard UNI EN 1127-1, the potential ignition sources shall be classified according to the likelihood to become effective, in the following manner: </w:t>
      </w:r>
    </w:p>
    <w:p w14:paraId="2FCF32BE" w14:textId="77777777" w:rsidR="00774061" w:rsidRPr="001E33F2" w:rsidRDefault="00774061" w:rsidP="00774061">
      <w:pPr>
        <w:pStyle w:val="CETListbullets"/>
        <w:numPr>
          <w:ilvl w:val="0"/>
          <w:numId w:val="13"/>
        </w:numPr>
        <w:rPr>
          <w:bCs/>
        </w:rPr>
      </w:pPr>
      <w:r w:rsidRPr="001E33F2">
        <w:rPr>
          <w:bCs/>
        </w:rPr>
        <w:t xml:space="preserve">Ignition sources which can occur continuously or </w:t>
      </w:r>
      <w:proofErr w:type="gramStart"/>
      <w:r w:rsidRPr="001E33F2">
        <w:rPr>
          <w:bCs/>
        </w:rPr>
        <w:t>frequently;</w:t>
      </w:r>
      <w:proofErr w:type="gramEnd"/>
    </w:p>
    <w:p w14:paraId="3ADA676F" w14:textId="77777777" w:rsidR="00774061" w:rsidRPr="001E33F2" w:rsidRDefault="00774061" w:rsidP="00774061">
      <w:pPr>
        <w:pStyle w:val="CETListbullets"/>
        <w:numPr>
          <w:ilvl w:val="0"/>
          <w:numId w:val="13"/>
        </w:numPr>
        <w:rPr>
          <w:bCs/>
        </w:rPr>
      </w:pPr>
      <w:r w:rsidRPr="001E33F2">
        <w:rPr>
          <w:bCs/>
        </w:rPr>
        <w:t xml:space="preserve">Ignition sources which can occur in rare </w:t>
      </w:r>
      <w:proofErr w:type="gramStart"/>
      <w:r w:rsidRPr="001E33F2">
        <w:rPr>
          <w:bCs/>
        </w:rPr>
        <w:t>situations;</w:t>
      </w:r>
      <w:proofErr w:type="gramEnd"/>
    </w:p>
    <w:p w14:paraId="67BEE0F1" w14:textId="77777777" w:rsidR="00774061" w:rsidRPr="001E33F2" w:rsidRDefault="00774061" w:rsidP="00774061">
      <w:pPr>
        <w:pStyle w:val="CETListbullets"/>
        <w:numPr>
          <w:ilvl w:val="0"/>
          <w:numId w:val="13"/>
        </w:numPr>
        <w:rPr>
          <w:bCs/>
        </w:rPr>
      </w:pPr>
      <w:r w:rsidRPr="001E33F2">
        <w:rPr>
          <w:bCs/>
        </w:rPr>
        <w:t>Ignition sources which can occur in very rare situations.</w:t>
      </w:r>
    </w:p>
    <w:p w14:paraId="02518314" w14:textId="20C872AA" w:rsidR="00CF291A" w:rsidRPr="001E33F2" w:rsidRDefault="00774061" w:rsidP="00774061">
      <w:pPr>
        <w:pStyle w:val="CETListbullets"/>
        <w:ind w:left="0" w:firstLine="0"/>
        <w:rPr>
          <w:bCs/>
        </w:rPr>
      </w:pPr>
      <w:r w:rsidRPr="001E33F2">
        <w:t>The purpose of this paper is to define a methodology to attribute a probability, i.e. a number, that gives an idea of the ignition sources probability to be effective, according to the actual conditions of the plant and the explosible characteristics of the dust handled</w:t>
      </w:r>
      <w:r>
        <w:t>, to be used as an input data for the semi-quantitative DHA</w:t>
      </w:r>
      <w:r w:rsidRPr="001E33F2">
        <w:t>.</w:t>
      </w:r>
    </w:p>
    <w:p w14:paraId="5741900F" w14:textId="2E7BBD25" w:rsidR="00453E24" w:rsidRPr="001E33F2" w:rsidRDefault="00E02A33" w:rsidP="00453E24">
      <w:pPr>
        <w:pStyle w:val="CETHeading1"/>
        <w:rPr>
          <w:lang w:val="en-GB"/>
        </w:rPr>
      </w:pPr>
      <w:r w:rsidRPr="001E33F2">
        <w:rPr>
          <w:lang w:val="en-GB"/>
        </w:rPr>
        <w:t>Methodology</w:t>
      </w:r>
    </w:p>
    <w:p w14:paraId="54652618" w14:textId="4FA93F55" w:rsidR="00DC2192" w:rsidRPr="00774061" w:rsidRDefault="00774061" w:rsidP="00DC2192">
      <w:pPr>
        <w:pStyle w:val="CETBodytext"/>
      </w:pPr>
      <w:r w:rsidRPr="00774061">
        <w:t>The proposed methodology is described below in dependence on the various</w:t>
      </w:r>
      <w:r>
        <w:t xml:space="preserve"> </w:t>
      </w:r>
      <w:r w:rsidRPr="00774061">
        <w:t>ignition sources considered</w:t>
      </w:r>
      <w:r>
        <w:t>.</w:t>
      </w:r>
    </w:p>
    <w:p w14:paraId="0636B784" w14:textId="1A159687" w:rsidR="00453E24" w:rsidRPr="001E33F2" w:rsidRDefault="00EA03F8" w:rsidP="00453E24">
      <w:pPr>
        <w:pStyle w:val="CETheadingx"/>
      </w:pPr>
      <w:r w:rsidRPr="001E33F2">
        <w:t>Hot surfaces</w:t>
      </w:r>
    </w:p>
    <w:p w14:paraId="597C07F4" w14:textId="2B42255D" w:rsidR="008779A2" w:rsidRPr="001E33F2" w:rsidRDefault="00EA03F8" w:rsidP="00EA03F8">
      <w:pPr>
        <w:pStyle w:val="CETBodytext"/>
        <w:rPr>
          <w:lang w:val="en-GB"/>
        </w:rPr>
      </w:pPr>
      <w:r w:rsidRPr="001E33F2">
        <w:rPr>
          <w:lang w:val="en-GB"/>
        </w:rPr>
        <w:t xml:space="preserve">Combustible dust can </w:t>
      </w:r>
      <w:r w:rsidR="001E33F2" w:rsidRPr="001E33F2">
        <w:rPr>
          <w:lang w:val="en-GB"/>
        </w:rPr>
        <w:t>be released</w:t>
      </w:r>
      <w:r w:rsidRPr="001E33F2">
        <w:rPr>
          <w:lang w:val="en-GB"/>
        </w:rPr>
        <w:t xml:space="preserve"> </w:t>
      </w:r>
      <w:r w:rsidR="00CE52A7">
        <w:rPr>
          <w:lang w:val="en-GB"/>
        </w:rPr>
        <w:t>and can form</w:t>
      </w:r>
      <w:r w:rsidRPr="001E33F2">
        <w:rPr>
          <w:lang w:val="en-GB"/>
        </w:rPr>
        <w:t xml:space="preserve"> clouds or layers </w:t>
      </w:r>
      <w:proofErr w:type="gramStart"/>
      <w:r w:rsidRPr="001E33F2">
        <w:rPr>
          <w:lang w:val="en-GB"/>
        </w:rPr>
        <w:t>and</w:t>
      </w:r>
      <w:r w:rsidR="001E33F2" w:rsidRPr="001E33F2">
        <w:rPr>
          <w:lang w:val="en-GB"/>
        </w:rPr>
        <w:t>,</w:t>
      </w:r>
      <w:proofErr w:type="gramEnd"/>
      <w:r w:rsidR="001E33F2" w:rsidRPr="001E33F2">
        <w:rPr>
          <w:lang w:val="en-GB"/>
        </w:rPr>
        <w:t xml:space="preserve"> based on different mechanisms and temperatures,</w:t>
      </w:r>
      <w:r w:rsidRPr="001E33F2">
        <w:rPr>
          <w:lang w:val="en-GB"/>
        </w:rPr>
        <w:t xml:space="preserve"> they can be ignited by hot surfaces. The capability of a heated surface to cause ignition depends on the type and concentration of the </w:t>
      </w:r>
      <w:proofErr w:type="gramStart"/>
      <w:r w:rsidRPr="001E33F2">
        <w:rPr>
          <w:lang w:val="en-GB"/>
        </w:rPr>
        <w:t>particular substance</w:t>
      </w:r>
      <w:proofErr w:type="gramEnd"/>
      <w:r w:rsidRPr="001E33F2">
        <w:rPr>
          <w:lang w:val="en-GB"/>
        </w:rPr>
        <w:t xml:space="preserve"> in the mixture with air</w:t>
      </w:r>
      <w:r w:rsidR="008779A2" w:rsidRPr="001E33F2">
        <w:rPr>
          <w:lang w:val="en-GB"/>
        </w:rPr>
        <w:t>, as well as the flow velocity of the explosive atmosphere around the hot surface</w:t>
      </w:r>
      <w:r w:rsidRPr="001E33F2">
        <w:rPr>
          <w:lang w:val="en-GB"/>
        </w:rPr>
        <w:t>.</w:t>
      </w:r>
      <w:r w:rsidR="008779A2" w:rsidRPr="001E33F2">
        <w:rPr>
          <w:lang w:val="en-GB"/>
        </w:rPr>
        <w:t xml:space="preserve"> Furthermore, the effectiveness of the ignition source depends on the size and shape of the heated body and</w:t>
      </w:r>
      <w:r w:rsidRPr="001E33F2">
        <w:rPr>
          <w:lang w:val="en-GB"/>
        </w:rPr>
        <w:t xml:space="preserve"> becomes greater with increasing temperature and increasing surface area. </w:t>
      </w:r>
    </w:p>
    <w:p w14:paraId="1AD8FAD7" w14:textId="49CFF313" w:rsidR="001E33F2" w:rsidRPr="001E33F2" w:rsidRDefault="001E33F2" w:rsidP="00EA03F8">
      <w:pPr>
        <w:pStyle w:val="CETBodytext"/>
        <w:rPr>
          <w:lang w:val="en-GB"/>
        </w:rPr>
      </w:pPr>
      <w:r w:rsidRPr="001E33F2">
        <w:rPr>
          <w:lang w:val="en-GB"/>
        </w:rPr>
        <w:t>Once the process has been verified and analysed</w:t>
      </w:r>
      <w:r w:rsidR="00CE52A7">
        <w:rPr>
          <w:lang w:val="en-GB"/>
        </w:rPr>
        <w:t xml:space="preserve"> (i.e., HAC has been performed, assessing the probability and the conditions in which the combustible dust can be present in the area, in form of a cloud or a layer</w:t>
      </w:r>
      <w:r w:rsidR="004375E0">
        <w:rPr>
          <w:lang w:val="en-GB"/>
        </w:rPr>
        <w:t xml:space="preserve"> - </w:t>
      </w:r>
      <w:proofErr w:type="spellStart"/>
      <w:r w:rsidR="004375E0">
        <w:rPr>
          <w:lang w:val="en-GB"/>
        </w:rPr>
        <w:t>Perelli</w:t>
      </w:r>
      <w:proofErr w:type="spellEnd"/>
      <w:r w:rsidR="004375E0">
        <w:rPr>
          <w:lang w:val="en-GB"/>
        </w:rPr>
        <w:t xml:space="preserve"> et al., 2023</w:t>
      </w:r>
      <w:r w:rsidR="00CE52A7">
        <w:rPr>
          <w:lang w:val="en-GB"/>
        </w:rPr>
        <w:t>)</w:t>
      </w:r>
      <w:r w:rsidRPr="001E33F2">
        <w:rPr>
          <w:lang w:val="en-GB"/>
        </w:rPr>
        <w:t xml:space="preserve">, DHA’s focus </w:t>
      </w:r>
      <w:r w:rsidR="00CE52A7">
        <w:rPr>
          <w:lang w:val="en-GB"/>
        </w:rPr>
        <w:t>can be moved to</w:t>
      </w:r>
      <w:r w:rsidRPr="001E33F2">
        <w:rPr>
          <w:lang w:val="en-GB"/>
        </w:rPr>
        <w:t xml:space="preserve"> all</w:t>
      </w:r>
      <w:r>
        <w:rPr>
          <w:lang w:val="en-GB"/>
        </w:rPr>
        <w:t xml:space="preserve"> pieces of</w:t>
      </w:r>
      <w:r w:rsidRPr="001E33F2">
        <w:rPr>
          <w:lang w:val="en-GB"/>
        </w:rPr>
        <w:t xml:space="preserve"> equipment in the </w:t>
      </w:r>
      <w:r w:rsidR="00CE52A7">
        <w:rPr>
          <w:lang w:val="en-GB"/>
        </w:rPr>
        <w:t>hazardous</w:t>
      </w:r>
      <w:r w:rsidRPr="001E33F2">
        <w:rPr>
          <w:lang w:val="en-GB"/>
        </w:rPr>
        <w:t xml:space="preserve"> area that generate heat, like no insulated steam lines, electrical motors</w:t>
      </w:r>
      <w:r>
        <w:rPr>
          <w:lang w:val="en-GB"/>
        </w:rPr>
        <w:t xml:space="preserve">, </w:t>
      </w:r>
      <w:r w:rsidRPr="001E33F2">
        <w:rPr>
          <w:lang w:val="en-GB"/>
        </w:rPr>
        <w:t>processing equipment, etc.</w:t>
      </w:r>
    </w:p>
    <w:p w14:paraId="3A35C8A7" w14:textId="12C3B2C4" w:rsidR="008779A2" w:rsidRPr="001E33F2" w:rsidRDefault="00654A06" w:rsidP="00EA03F8">
      <w:pPr>
        <w:pStyle w:val="CETBodytext"/>
        <w:rPr>
          <w:lang w:val="en-GB"/>
        </w:rPr>
      </w:pPr>
      <w:r w:rsidRPr="001E33F2">
        <w:rPr>
          <w:lang w:val="en-GB"/>
        </w:rPr>
        <w:t>To define</w:t>
      </w:r>
      <w:r w:rsidR="008779A2" w:rsidRPr="001E33F2">
        <w:rPr>
          <w:lang w:val="en-GB"/>
        </w:rPr>
        <w:t xml:space="preserve"> the safe working conditions (i.e., the maximum allowable surface temperature of equipment working in hazardous areas), the MIT and LIT of the involved combustible dust shall be </w:t>
      </w:r>
      <w:r w:rsidR="00CE52A7">
        <w:rPr>
          <w:lang w:val="en-GB"/>
        </w:rPr>
        <w:t>available</w:t>
      </w:r>
      <w:r w:rsidR="008779A2" w:rsidRPr="001E33F2">
        <w:rPr>
          <w:lang w:val="en-GB"/>
        </w:rPr>
        <w:t xml:space="preserve"> to select the maximum temperature. </w:t>
      </w:r>
      <w:proofErr w:type="gramStart"/>
      <w:r w:rsidR="008779A2" w:rsidRPr="001E33F2">
        <w:rPr>
          <w:lang w:val="en-GB"/>
        </w:rPr>
        <w:t xml:space="preserve">In particular, </w:t>
      </w:r>
      <w:r w:rsidR="001E33F2">
        <w:rPr>
          <w:lang w:val="en-GB"/>
        </w:rPr>
        <w:t>to</w:t>
      </w:r>
      <w:proofErr w:type="gramEnd"/>
      <w:r w:rsidR="001E33F2">
        <w:rPr>
          <w:lang w:val="en-GB"/>
        </w:rPr>
        <w:t xml:space="preserve"> define the maximum allowable temperature, </w:t>
      </w:r>
      <w:r w:rsidR="00CE52A7">
        <w:rPr>
          <w:lang w:val="en-GB"/>
        </w:rPr>
        <w:t>several</w:t>
      </w:r>
      <w:r w:rsidR="008779A2" w:rsidRPr="001E33F2">
        <w:rPr>
          <w:lang w:val="en-GB"/>
        </w:rPr>
        <w:t xml:space="preserve"> different approaches are present</w:t>
      </w:r>
      <w:r w:rsidR="00CE52A7">
        <w:rPr>
          <w:lang w:val="en-GB"/>
        </w:rPr>
        <w:t>, as reported</w:t>
      </w:r>
      <w:r w:rsidR="008779A2" w:rsidRPr="001E33F2">
        <w:rPr>
          <w:lang w:val="en-GB"/>
        </w:rPr>
        <w:t xml:space="preserve"> in the </w:t>
      </w:r>
      <w:r w:rsidR="00CE52A7">
        <w:rPr>
          <w:lang w:val="en-GB"/>
        </w:rPr>
        <w:t>S</w:t>
      </w:r>
      <w:r w:rsidR="008779A2" w:rsidRPr="001E33F2">
        <w:rPr>
          <w:lang w:val="en-GB"/>
        </w:rPr>
        <w:t>tandards</w:t>
      </w:r>
      <w:r w:rsidR="00295F40">
        <w:rPr>
          <w:lang w:val="en-GB"/>
        </w:rPr>
        <w:t xml:space="preserve"> IEC</w:t>
      </w:r>
      <w:r w:rsidR="00CF291A" w:rsidRPr="001E33F2">
        <w:rPr>
          <w:lang w:val="en-GB"/>
        </w:rPr>
        <w:t xml:space="preserve"> 60079-14</w:t>
      </w:r>
      <w:r w:rsidR="001E33F2">
        <w:rPr>
          <w:lang w:val="en-GB"/>
        </w:rPr>
        <w:t>,</w:t>
      </w:r>
      <w:r w:rsidR="008779A2" w:rsidRPr="001E33F2">
        <w:rPr>
          <w:lang w:val="en-GB"/>
        </w:rPr>
        <w:t xml:space="preserve"> NFPA 652</w:t>
      </w:r>
      <w:r w:rsidR="001E33F2">
        <w:rPr>
          <w:lang w:val="en-GB"/>
        </w:rPr>
        <w:t xml:space="preserve"> and </w:t>
      </w:r>
      <w:r w:rsidR="00CE52A7">
        <w:rPr>
          <w:lang w:val="en-GB"/>
        </w:rPr>
        <w:t>NEC (</w:t>
      </w:r>
      <w:r w:rsidR="001E33F2">
        <w:rPr>
          <w:lang w:val="en-GB"/>
        </w:rPr>
        <w:t>NFPA 70)</w:t>
      </w:r>
      <w:r w:rsidR="008779A2" w:rsidRPr="001E33F2">
        <w:rPr>
          <w:lang w:val="en-GB"/>
        </w:rPr>
        <w:t xml:space="preserve">, as reported </w:t>
      </w:r>
      <w:r w:rsidR="00CF0840">
        <w:rPr>
          <w:lang w:val="en-GB"/>
        </w:rPr>
        <w:t xml:space="preserve">in </w:t>
      </w:r>
      <w:r w:rsidR="00CF0840">
        <w:rPr>
          <w:lang w:val="en-GB"/>
        </w:rPr>
        <w:fldChar w:fldCharType="begin"/>
      </w:r>
      <w:r w:rsidR="00CF0840">
        <w:rPr>
          <w:lang w:val="en-GB"/>
        </w:rPr>
        <w:instrText xml:space="preserve"> REF _Ref184907262 \h </w:instrText>
      </w:r>
      <w:r w:rsidR="00CF0840">
        <w:rPr>
          <w:lang w:val="en-GB"/>
        </w:rPr>
      </w:r>
      <w:r w:rsidR="00CF0840">
        <w:rPr>
          <w:lang w:val="en-GB"/>
        </w:rPr>
        <w:instrText xml:space="preserve"> \* MERGEFORMAT </w:instrText>
      </w:r>
      <w:r w:rsidR="00CF0840">
        <w:rPr>
          <w:lang w:val="en-GB"/>
        </w:rPr>
        <w:fldChar w:fldCharType="separate"/>
      </w:r>
      <w:r w:rsidR="00CF0840" w:rsidRPr="00CF0840">
        <w:rPr>
          <w:lang w:val="en-GB"/>
        </w:rPr>
        <w:t>Table 1</w:t>
      </w:r>
      <w:r w:rsidR="00CF0840">
        <w:rPr>
          <w:lang w:val="en-GB"/>
        </w:rPr>
        <w:fldChar w:fldCharType="end"/>
      </w:r>
      <w:r w:rsidR="008779A2" w:rsidRPr="001E33F2">
        <w:rPr>
          <w:lang w:val="en-GB"/>
        </w:rPr>
        <w:t>.</w:t>
      </w:r>
    </w:p>
    <w:p w14:paraId="03CB43B1" w14:textId="77777777" w:rsidR="00512F1D" w:rsidRPr="001E33F2" w:rsidRDefault="00512F1D" w:rsidP="00EA03F8">
      <w:pPr>
        <w:pStyle w:val="CETBodytext"/>
        <w:rPr>
          <w:lang w:val="en-GB"/>
        </w:rPr>
      </w:pPr>
    </w:p>
    <w:p w14:paraId="66D969F9" w14:textId="3A532DCA" w:rsidR="00CE52A7" w:rsidRPr="00CE52A7" w:rsidRDefault="00CE52A7" w:rsidP="00CE52A7">
      <w:pPr>
        <w:pStyle w:val="CETBodytext"/>
        <w:rPr>
          <w:i/>
          <w:iCs/>
          <w:lang w:val="en-GB"/>
        </w:rPr>
      </w:pPr>
      <w:bookmarkStart w:id="1" w:name="_Ref184907262"/>
      <w:r w:rsidRPr="00CE52A7">
        <w:rPr>
          <w:i/>
          <w:iCs/>
          <w:lang w:val="en-GB"/>
        </w:rPr>
        <w:t xml:space="preserve">Table </w:t>
      </w:r>
      <w:r w:rsidRPr="00CE52A7">
        <w:rPr>
          <w:i/>
          <w:iCs/>
          <w:lang w:val="en-GB"/>
        </w:rPr>
        <w:fldChar w:fldCharType="begin"/>
      </w:r>
      <w:r w:rsidRPr="00CE52A7">
        <w:rPr>
          <w:i/>
          <w:iCs/>
          <w:lang w:val="en-GB"/>
        </w:rPr>
        <w:instrText xml:space="preserve"> SEQ Table \* ARABIC </w:instrText>
      </w:r>
      <w:r w:rsidRPr="00CE52A7">
        <w:rPr>
          <w:i/>
          <w:iCs/>
          <w:lang w:val="en-GB"/>
        </w:rPr>
        <w:fldChar w:fldCharType="separate"/>
      </w:r>
      <w:r w:rsidR="00CF0840">
        <w:rPr>
          <w:i/>
          <w:iCs/>
          <w:noProof/>
          <w:lang w:val="en-GB"/>
        </w:rPr>
        <w:t>1</w:t>
      </w:r>
      <w:r w:rsidRPr="00CE52A7">
        <w:rPr>
          <w:i/>
          <w:iCs/>
          <w:lang w:val="en-GB"/>
        </w:rPr>
        <w:fldChar w:fldCharType="end"/>
      </w:r>
      <w:bookmarkEnd w:id="1"/>
      <w:r w:rsidRPr="00CE52A7">
        <w:rPr>
          <w:i/>
          <w:iCs/>
          <w:lang w:val="en-GB"/>
        </w:rPr>
        <w:t xml:space="preserve">: Different </w:t>
      </w:r>
      <w:r w:rsidR="005E4563">
        <w:rPr>
          <w:i/>
          <w:iCs/>
          <w:lang w:val="en-GB"/>
        </w:rPr>
        <w:t>S</w:t>
      </w:r>
      <w:r w:rsidRPr="00CE52A7">
        <w:rPr>
          <w:i/>
          <w:iCs/>
          <w:lang w:val="en-GB"/>
        </w:rPr>
        <w:t>tandards to define the maximum allowable surface temperature for the equipment</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2268"/>
        <w:gridCol w:w="2268"/>
        <w:gridCol w:w="2977"/>
      </w:tblGrid>
      <w:tr w:rsidR="00512F1D" w:rsidRPr="001E33F2" w14:paraId="5E806D2D" w14:textId="77777777" w:rsidTr="00635E95">
        <w:trPr>
          <w:trHeight w:val="457"/>
        </w:trPr>
        <w:tc>
          <w:tcPr>
            <w:tcW w:w="1276" w:type="dxa"/>
            <w:tcBorders>
              <w:top w:val="single" w:sz="12" w:space="0" w:color="008000"/>
              <w:bottom w:val="single" w:sz="6" w:space="0" w:color="008000"/>
            </w:tcBorders>
            <w:shd w:val="clear" w:color="auto" w:fill="FFFFFF"/>
            <w:vAlign w:val="center"/>
          </w:tcPr>
          <w:p w14:paraId="14E8C47C" w14:textId="67FF0F06" w:rsidR="00512F1D" w:rsidRPr="001E33F2" w:rsidRDefault="00635E95" w:rsidP="00635E95">
            <w:pPr>
              <w:pStyle w:val="CETBodytext"/>
              <w:jc w:val="left"/>
              <w:rPr>
                <w:lang w:val="en-GB"/>
              </w:rPr>
            </w:pPr>
            <w:r w:rsidRPr="00635E95">
              <w:rPr>
                <w:b/>
                <w:bCs/>
                <w:lang w:val="en-GB"/>
              </w:rPr>
              <w:t>Standard</w:t>
            </w:r>
          </w:p>
        </w:tc>
        <w:tc>
          <w:tcPr>
            <w:tcW w:w="2268" w:type="dxa"/>
            <w:tcBorders>
              <w:top w:val="single" w:sz="12" w:space="0" w:color="008000"/>
              <w:bottom w:val="single" w:sz="6" w:space="0" w:color="008000"/>
            </w:tcBorders>
            <w:shd w:val="clear" w:color="auto" w:fill="FFFFFF"/>
            <w:vAlign w:val="center"/>
          </w:tcPr>
          <w:p w14:paraId="40C68E35" w14:textId="658AEF19" w:rsidR="00512F1D" w:rsidRPr="001E33F2" w:rsidRDefault="00512F1D" w:rsidP="00635E95">
            <w:pPr>
              <w:pStyle w:val="CETBodytext"/>
              <w:jc w:val="center"/>
              <w:rPr>
                <w:b/>
                <w:bCs/>
                <w:lang w:val="en-GB"/>
              </w:rPr>
            </w:pPr>
            <w:r w:rsidRPr="001E33F2">
              <w:rPr>
                <w:b/>
                <w:bCs/>
                <w:lang w:val="en-GB"/>
              </w:rPr>
              <w:t>Tmax MIT</w:t>
            </w:r>
          </w:p>
        </w:tc>
        <w:tc>
          <w:tcPr>
            <w:tcW w:w="2268" w:type="dxa"/>
            <w:tcBorders>
              <w:top w:val="single" w:sz="12" w:space="0" w:color="008000"/>
              <w:bottom w:val="single" w:sz="6" w:space="0" w:color="008000"/>
            </w:tcBorders>
            <w:shd w:val="clear" w:color="auto" w:fill="FFFFFF"/>
            <w:vAlign w:val="center"/>
          </w:tcPr>
          <w:p w14:paraId="1C4A53D5" w14:textId="09B34FF2" w:rsidR="00512F1D" w:rsidRPr="001E33F2" w:rsidRDefault="00512F1D" w:rsidP="00635E95">
            <w:pPr>
              <w:pStyle w:val="CETBodytext"/>
              <w:jc w:val="center"/>
              <w:rPr>
                <w:b/>
                <w:bCs/>
                <w:lang w:val="en-GB"/>
              </w:rPr>
            </w:pPr>
            <w:r w:rsidRPr="001E33F2">
              <w:rPr>
                <w:b/>
                <w:bCs/>
                <w:lang w:val="en-GB"/>
              </w:rPr>
              <w:t>Tmax LIT</w:t>
            </w:r>
          </w:p>
        </w:tc>
        <w:tc>
          <w:tcPr>
            <w:tcW w:w="2977" w:type="dxa"/>
            <w:tcBorders>
              <w:top w:val="single" w:sz="12" w:space="0" w:color="008000"/>
              <w:bottom w:val="single" w:sz="6" w:space="0" w:color="008000"/>
            </w:tcBorders>
            <w:shd w:val="clear" w:color="auto" w:fill="FFFFFF"/>
            <w:vAlign w:val="center"/>
          </w:tcPr>
          <w:p w14:paraId="6A7EDE47" w14:textId="33F202A1" w:rsidR="00512F1D" w:rsidRPr="001E33F2" w:rsidRDefault="00512F1D" w:rsidP="00635E95">
            <w:pPr>
              <w:pStyle w:val="CETBodytext"/>
              <w:ind w:right="-1"/>
              <w:jc w:val="left"/>
              <w:rPr>
                <w:rFonts w:cs="Arial"/>
                <w:b/>
                <w:bCs/>
                <w:szCs w:val="18"/>
                <w:lang w:val="en-GB"/>
              </w:rPr>
            </w:pPr>
            <w:r w:rsidRPr="001E33F2">
              <w:rPr>
                <w:rFonts w:cs="Arial"/>
                <w:b/>
                <w:bCs/>
                <w:szCs w:val="18"/>
                <w:lang w:val="en-GB"/>
              </w:rPr>
              <w:t>Maximum Allowable Temperature</w:t>
            </w:r>
          </w:p>
        </w:tc>
      </w:tr>
      <w:tr w:rsidR="00635E95" w:rsidRPr="001E33F2" w14:paraId="3671ED73" w14:textId="77777777" w:rsidTr="00635E95">
        <w:trPr>
          <w:trHeight w:val="638"/>
        </w:trPr>
        <w:tc>
          <w:tcPr>
            <w:tcW w:w="1276" w:type="dxa"/>
            <w:shd w:val="clear" w:color="auto" w:fill="FFFFFF"/>
          </w:tcPr>
          <w:p w14:paraId="7FE952FA" w14:textId="66CC10E0" w:rsidR="00635E95" w:rsidRPr="001E33F2" w:rsidRDefault="00295F40" w:rsidP="009D2E1C">
            <w:pPr>
              <w:pStyle w:val="CETBodytext"/>
              <w:rPr>
                <w:b/>
                <w:bCs/>
                <w:lang w:val="en-GB"/>
              </w:rPr>
            </w:pPr>
            <w:r>
              <w:rPr>
                <w:b/>
                <w:bCs/>
                <w:lang w:val="en-GB"/>
              </w:rPr>
              <w:t>IEC</w:t>
            </w:r>
          </w:p>
        </w:tc>
        <w:tc>
          <w:tcPr>
            <w:tcW w:w="2268" w:type="dxa"/>
            <w:shd w:val="clear" w:color="auto" w:fill="FFFFFF"/>
          </w:tcPr>
          <w:p w14:paraId="352135C9" w14:textId="7CB998B6" w:rsidR="00635E95" w:rsidRPr="001E33F2" w:rsidRDefault="00635E95" w:rsidP="00635E95">
            <w:pPr>
              <w:pStyle w:val="CETBodytext"/>
              <w:jc w:val="center"/>
              <w:rPr>
                <w:lang w:val="en-GB"/>
              </w:rPr>
            </w:pPr>
            <w:r w:rsidRPr="001E33F2">
              <w:rPr>
                <w:lang w:val="en-GB"/>
              </w:rPr>
              <w:t>2/3 MIT</w:t>
            </w:r>
          </w:p>
        </w:tc>
        <w:tc>
          <w:tcPr>
            <w:tcW w:w="2268" w:type="dxa"/>
            <w:shd w:val="clear" w:color="auto" w:fill="FFFFFF"/>
          </w:tcPr>
          <w:p w14:paraId="56192853" w14:textId="56580F13" w:rsidR="00635E95" w:rsidRPr="001E33F2" w:rsidRDefault="00635E95" w:rsidP="00635E95">
            <w:pPr>
              <w:pStyle w:val="CETBodytext"/>
              <w:jc w:val="center"/>
              <w:rPr>
                <w:lang w:val="en-GB"/>
              </w:rPr>
            </w:pPr>
            <w:r w:rsidRPr="001E33F2">
              <w:rPr>
                <w:lang w:val="en-GB"/>
              </w:rPr>
              <w:t>LIT</w:t>
            </w:r>
            <w:r w:rsidRPr="001E33F2">
              <w:rPr>
                <w:vertAlign w:val="subscript"/>
                <w:lang w:val="en-GB"/>
              </w:rPr>
              <w:t>5mm</w:t>
            </w:r>
            <w:r w:rsidRPr="001E33F2">
              <w:rPr>
                <w:lang w:val="en-GB"/>
              </w:rPr>
              <w:t>-75°C</w:t>
            </w:r>
          </w:p>
        </w:tc>
        <w:tc>
          <w:tcPr>
            <w:tcW w:w="2977" w:type="dxa"/>
            <w:shd w:val="clear" w:color="auto" w:fill="FFFFFF"/>
          </w:tcPr>
          <w:p w14:paraId="1E2CDCDC" w14:textId="36EF7D05" w:rsidR="00635E95" w:rsidRPr="001E33F2" w:rsidRDefault="00635E95" w:rsidP="009D2E1C">
            <w:pPr>
              <w:pStyle w:val="CETBodytext"/>
              <w:ind w:right="-1"/>
              <w:rPr>
                <w:rFonts w:cs="Arial"/>
                <w:szCs w:val="18"/>
                <w:lang w:val="en-GB"/>
              </w:rPr>
            </w:pPr>
            <w:r w:rsidRPr="001E33F2">
              <w:rPr>
                <w:rFonts w:cs="Arial"/>
                <w:szCs w:val="18"/>
                <w:lang w:val="en-GB"/>
              </w:rPr>
              <w:t>Minimum value between Tmax MIT and Tmax LIT</w:t>
            </w:r>
          </w:p>
        </w:tc>
      </w:tr>
      <w:tr w:rsidR="00635E95" w:rsidRPr="001E33F2" w14:paraId="495B0D98" w14:textId="77777777" w:rsidTr="00635E95">
        <w:trPr>
          <w:trHeight w:val="638"/>
        </w:trPr>
        <w:tc>
          <w:tcPr>
            <w:tcW w:w="1276" w:type="dxa"/>
            <w:shd w:val="clear" w:color="auto" w:fill="FFFFFF"/>
          </w:tcPr>
          <w:p w14:paraId="4BAF32F6" w14:textId="1B1D4AE8" w:rsidR="00635E95" w:rsidRPr="001E33F2" w:rsidRDefault="00635E95" w:rsidP="009D2E1C">
            <w:pPr>
              <w:pStyle w:val="CETBodytext"/>
              <w:ind w:right="-1"/>
              <w:rPr>
                <w:rFonts w:cs="Arial"/>
                <w:b/>
                <w:bCs/>
                <w:szCs w:val="18"/>
                <w:lang w:val="en-GB"/>
              </w:rPr>
            </w:pPr>
            <w:r w:rsidRPr="001E33F2">
              <w:rPr>
                <w:rFonts w:cs="Arial"/>
                <w:b/>
                <w:bCs/>
                <w:szCs w:val="18"/>
                <w:lang w:val="en-GB"/>
              </w:rPr>
              <w:t>NFPA</w:t>
            </w:r>
          </w:p>
        </w:tc>
        <w:tc>
          <w:tcPr>
            <w:tcW w:w="2268" w:type="dxa"/>
            <w:shd w:val="clear" w:color="auto" w:fill="FFFFFF"/>
          </w:tcPr>
          <w:p w14:paraId="1B42ED92" w14:textId="451D45B6" w:rsidR="00635E95" w:rsidRPr="001E33F2" w:rsidRDefault="00635E95" w:rsidP="00635E95">
            <w:pPr>
              <w:pStyle w:val="CETBodytext"/>
              <w:ind w:right="-1"/>
              <w:jc w:val="center"/>
              <w:rPr>
                <w:rFonts w:cs="Arial"/>
                <w:szCs w:val="18"/>
                <w:lang w:val="en-GB"/>
              </w:rPr>
            </w:pPr>
            <w:r w:rsidRPr="001E33F2">
              <w:rPr>
                <w:rFonts w:cs="Arial"/>
                <w:szCs w:val="18"/>
                <w:lang w:val="en-GB"/>
              </w:rPr>
              <w:t>MIT – 50°C</w:t>
            </w:r>
          </w:p>
        </w:tc>
        <w:tc>
          <w:tcPr>
            <w:tcW w:w="2268" w:type="dxa"/>
            <w:shd w:val="clear" w:color="auto" w:fill="FFFFFF"/>
          </w:tcPr>
          <w:p w14:paraId="71A0CA96" w14:textId="4352B3EB" w:rsidR="00635E95" w:rsidRPr="001E33F2" w:rsidRDefault="00635E95" w:rsidP="00635E95">
            <w:pPr>
              <w:pStyle w:val="CETBodytext"/>
              <w:ind w:right="-1"/>
              <w:jc w:val="center"/>
              <w:rPr>
                <w:rFonts w:cs="Arial"/>
                <w:szCs w:val="18"/>
                <w:lang w:val="en-GB"/>
              </w:rPr>
            </w:pPr>
            <w:r w:rsidRPr="001E33F2">
              <w:rPr>
                <w:rFonts w:cs="Arial"/>
                <w:szCs w:val="18"/>
                <w:lang w:val="en-GB"/>
              </w:rPr>
              <w:t>LIT – 50°C</w:t>
            </w:r>
          </w:p>
        </w:tc>
        <w:tc>
          <w:tcPr>
            <w:tcW w:w="2977" w:type="dxa"/>
            <w:shd w:val="clear" w:color="auto" w:fill="FFFFFF"/>
          </w:tcPr>
          <w:p w14:paraId="4088C072" w14:textId="1E4BDC98" w:rsidR="00635E95" w:rsidRPr="001E33F2" w:rsidRDefault="00635E95" w:rsidP="009D2E1C">
            <w:pPr>
              <w:pStyle w:val="CETBodytext"/>
              <w:ind w:right="-1"/>
              <w:rPr>
                <w:rFonts w:cs="Arial"/>
                <w:szCs w:val="18"/>
                <w:lang w:val="en-GB"/>
              </w:rPr>
            </w:pPr>
            <w:r w:rsidRPr="001E33F2">
              <w:rPr>
                <w:rFonts w:cs="Arial"/>
                <w:szCs w:val="18"/>
                <w:lang w:val="en-GB"/>
              </w:rPr>
              <w:t>Minimum value between Tmax MIT and Tmax LIT</w:t>
            </w:r>
          </w:p>
        </w:tc>
      </w:tr>
      <w:tr w:rsidR="00512F1D" w:rsidRPr="001E33F2" w14:paraId="7CAE17ED" w14:textId="77777777" w:rsidTr="00635E95">
        <w:trPr>
          <w:trHeight w:val="638"/>
        </w:trPr>
        <w:tc>
          <w:tcPr>
            <w:tcW w:w="1276" w:type="dxa"/>
            <w:shd w:val="clear" w:color="auto" w:fill="FFFFFF"/>
          </w:tcPr>
          <w:p w14:paraId="14812E6D" w14:textId="4AA173F4" w:rsidR="00512F1D" w:rsidRPr="001E33F2" w:rsidRDefault="00512F1D" w:rsidP="009D2E1C">
            <w:pPr>
              <w:pStyle w:val="CETBodytext"/>
              <w:ind w:right="-1"/>
              <w:rPr>
                <w:rFonts w:cs="Arial"/>
                <w:b/>
                <w:bCs/>
                <w:szCs w:val="18"/>
                <w:lang w:val="en-GB"/>
              </w:rPr>
            </w:pPr>
            <w:r w:rsidRPr="001E33F2">
              <w:rPr>
                <w:rFonts w:cs="Arial"/>
                <w:b/>
                <w:bCs/>
                <w:szCs w:val="18"/>
                <w:lang w:val="en-GB"/>
              </w:rPr>
              <w:t>NEC</w:t>
            </w:r>
          </w:p>
        </w:tc>
        <w:tc>
          <w:tcPr>
            <w:tcW w:w="2268" w:type="dxa"/>
            <w:shd w:val="clear" w:color="auto" w:fill="FFFFFF"/>
          </w:tcPr>
          <w:p w14:paraId="3ADECE36" w14:textId="613623FF" w:rsidR="00512F1D" w:rsidRPr="001E33F2" w:rsidRDefault="00512F1D" w:rsidP="00635E95">
            <w:pPr>
              <w:pStyle w:val="CETBodytext"/>
              <w:ind w:right="-1"/>
              <w:jc w:val="center"/>
              <w:rPr>
                <w:rFonts w:cs="Arial"/>
                <w:szCs w:val="18"/>
                <w:lang w:val="en-GB"/>
              </w:rPr>
            </w:pPr>
            <w:r w:rsidRPr="001E33F2">
              <w:rPr>
                <w:rFonts w:cs="Arial"/>
                <w:szCs w:val="18"/>
                <w:lang w:val="en-GB"/>
              </w:rPr>
              <w:t>MIT</w:t>
            </w:r>
          </w:p>
        </w:tc>
        <w:tc>
          <w:tcPr>
            <w:tcW w:w="2268" w:type="dxa"/>
            <w:shd w:val="clear" w:color="auto" w:fill="FFFFFF"/>
          </w:tcPr>
          <w:p w14:paraId="1099B374" w14:textId="5A5C1F43" w:rsidR="00512F1D" w:rsidRPr="001E33F2" w:rsidRDefault="00512F1D" w:rsidP="00635E95">
            <w:pPr>
              <w:pStyle w:val="CETBodytext"/>
              <w:ind w:right="-1"/>
              <w:jc w:val="center"/>
              <w:rPr>
                <w:rFonts w:cs="Arial"/>
                <w:szCs w:val="18"/>
                <w:lang w:val="en-GB"/>
              </w:rPr>
            </w:pPr>
            <w:r w:rsidRPr="001E33F2">
              <w:rPr>
                <w:rFonts w:cs="Arial"/>
                <w:szCs w:val="18"/>
                <w:lang w:val="en-GB"/>
              </w:rPr>
              <w:t>LIT</w:t>
            </w:r>
          </w:p>
        </w:tc>
        <w:tc>
          <w:tcPr>
            <w:tcW w:w="2977" w:type="dxa"/>
            <w:shd w:val="clear" w:color="auto" w:fill="FFFFFF"/>
          </w:tcPr>
          <w:p w14:paraId="738627B4" w14:textId="1463F0A0" w:rsidR="00512F1D" w:rsidRPr="001E33F2" w:rsidRDefault="00512F1D" w:rsidP="009D2E1C">
            <w:pPr>
              <w:pStyle w:val="CETBodytext"/>
              <w:ind w:right="-1"/>
              <w:rPr>
                <w:rFonts w:cs="Arial"/>
                <w:szCs w:val="18"/>
                <w:lang w:val="en-GB"/>
              </w:rPr>
            </w:pPr>
            <w:r w:rsidRPr="001E33F2">
              <w:rPr>
                <w:rFonts w:cs="Arial"/>
                <w:szCs w:val="18"/>
                <w:lang w:val="en-GB"/>
              </w:rPr>
              <w:t>Minimum between MIT, LIT or 165°C</w:t>
            </w:r>
          </w:p>
        </w:tc>
      </w:tr>
    </w:tbl>
    <w:p w14:paraId="1D2AEAA0" w14:textId="77777777" w:rsidR="008779A2" w:rsidRPr="001E33F2" w:rsidRDefault="008779A2" w:rsidP="00EA03F8">
      <w:pPr>
        <w:pStyle w:val="CETBodytext"/>
        <w:rPr>
          <w:lang w:val="en-GB"/>
        </w:rPr>
      </w:pPr>
    </w:p>
    <w:p w14:paraId="24CBC5E8" w14:textId="4BA3785E" w:rsidR="008779A2" w:rsidRPr="001E33F2" w:rsidRDefault="00512F1D" w:rsidP="00EA03F8">
      <w:pPr>
        <w:pStyle w:val="CETBodytext"/>
        <w:rPr>
          <w:lang w:val="en-GB"/>
        </w:rPr>
      </w:pPr>
      <w:r w:rsidRPr="001E33F2">
        <w:rPr>
          <w:lang w:val="en-GB"/>
        </w:rPr>
        <w:t>M</w:t>
      </w:r>
      <w:r w:rsidR="008779A2" w:rsidRPr="001E33F2">
        <w:rPr>
          <w:lang w:val="en-GB"/>
        </w:rPr>
        <w:t>ore</w:t>
      </w:r>
      <w:r w:rsidRPr="001E33F2">
        <w:rPr>
          <w:lang w:val="en-GB"/>
        </w:rPr>
        <w:t>over</w:t>
      </w:r>
      <w:r w:rsidR="008779A2" w:rsidRPr="001E33F2">
        <w:rPr>
          <w:lang w:val="en-GB"/>
        </w:rPr>
        <w:t>, attention should be paid when relevant dust accumulation is noticed in the plant, since the thickness of the layer has a negative impact on the LIT</w:t>
      </w:r>
      <w:r w:rsidR="00F42FA9">
        <w:rPr>
          <w:lang w:val="en-GB"/>
        </w:rPr>
        <w:t xml:space="preserve">, as reported in </w:t>
      </w:r>
      <w:r w:rsidR="00CF0840">
        <w:rPr>
          <w:lang w:val="en-GB"/>
        </w:rPr>
        <w:fldChar w:fldCharType="begin"/>
      </w:r>
      <w:r w:rsidR="00CF0840">
        <w:rPr>
          <w:lang w:val="en-GB"/>
        </w:rPr>
        <w:instrText xml:space="preserve"> REF _Ref190267435 \h </w:instrText>
      </w:r>
      <w:r w:rsidR="00CF0840">
        <w:rPr>
          <w:lang w:val="en-GB"/>
        </w:rPr>
      </w:r>
      <w:r w:rsidR="00CF0840">
        <w:rPr>
          <w:lang w:val="en-GB"/>
        </w:rPr>
        <w:instrText xml:space="preserve"> \* MERGEFORMAT </w:instrText>
      </w:r>
      <w:r w:rsidR="00CF0840">
        <w:rPr>
          <w:lang w:val="en-GB"/>
        </w:rPr>
        <w:fldChar w:fldCharType="separate"/>
      </w:r>
      <w:r w:rsidR="00CF0840" w:rsidRPr="00CF0840">
        <w:rPr>
          <w:lang w:val="en-GB"/>
        </w:rPr>
        <w:t>Figure 1</w:t>
      </w:r>
      <w:r w:rsidR="00CF0840">
        <w:rPr>
          <w:lang w:val="en-GB"/>
        </w:rPr>
        <w:fldChar w:fldCharType="end"/>
      </w:r>
      <w:r w:rsidR="00CF0840">
        <w:rPr>
          <w:lang w:val="en-GB"/>
        </w:rPr>
        <w:t xml:space="preserve"> below </w:t>
      </w:r>
      <w:r w:rsidR="00CE52A7" w:rsidRPr="00CF0840">
        <w:rPr>
          <w:lang w:val="en-GB"/>
        </w:rPr>
        <w:t>(IEC</w:t>
      </w:r>
      <w:r w:rsidR="00CE52A7">
        <w:t xml:space="preserve"> 60079-14:2024)</w:t>
      </w:r>
      <w:r w:rsidR="008779A2" w:rsidRPr="001E33F2">
        <w:rPr>
          <w:lang w:val="en-GB"/>
        </w:rPr>
        <w:t>.</w:t>
      </w:r>
    </w:p>
    <w:p w14:paraId="7F31F989" w14:textId="77777777" w:rsidR="00CF291A" w:rsidRDefault="00CF291A" w:rsidP="00EA03F8">
      <w:pPr>
        <w:pStyle w:val="CETBodytext"/>
        <w:rPr>
          <w:lang w:val="en-GB"/>
        </w:rPr>
      </w:pPr>
    </w:p>
    <w:p w14:paraId="3F4A40C0" w14:textId="77777777" w:rsidR="00F42FA9" w:rsidRDefault="001E33F2" w:rsidP="00F42FA9">
      <w:pPr>
        <w:pStyle w:val="CETBodytext"/>
        <w:keepNext/>
      </w:pPr>
      <w:r>
        <w:rPr>
          <w:noProof/>
        </w:rPr>
        <w:lastRenderedPageBreak/>
        <w:drawing>
          <wp:inline distT="0" distB="0" distL="0" distR="0" wp14:anchorId="0E7AAA1E" wp14:editId="5DE82401">
            <wp:extent cx="3037282" cy="2274073"/>
            <wp:effectExtent l="0" t="0" r="0" b="0"/>
            <wp:docPr id="107603540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35403" name=""/>
                    <pic:cNvPicPr/>
                  </pic:nvPicPr>
                  <pic:blipFill>
                    <a:blip r:embed="rId14"/>
                    <a:stretch>
                      <a:fillRect/>
                    </a:stretch>
                  </pic:blipFill>
                  <pic:spPr>
                    <a:xfrm>
                      <a:off x="0" y="0"/>
                      <a:ext cx="3053720" cy="2286381"/>
                    </a:xfrm>
                    <a:prstGeom prst="rect">
                      <a:avLst/>
                    </a:prstGeom>
                  </pic:spPr>
                </pic:pic>
              </a:graphicData>
            </a:graphic>
          </wp:inline>
        </w:drawing>
      </w:r>
    </w:p>
    <w:p w14:paraId="0589E5FC" w14:textId="2AB0F71F" w:rsidR="001E33F2" w:rsidRPr="00F42FA9" w:rsidRDefault="00F42FA9" w:rsidP="00F42FA9">
      <w:pPr>
        <w:pStyle w:val="CETBodytext"/>
        <w:rPr>
          <w:i/>
          <w:iCs/>
          <w:lang w:val="en-GB"/>
        </w:rPr>
      </w:pPr>
      <w:bookmarkStart w:id="2" w:name="_Ref190267435"/>
      <w:r w:rsidRPr="00F42FA9">
        <w:rPr>
          <w:i/>
          <w:iCs/>
          <w:lang w:val="en-GB"/>
        </w:rPr>
        <w:t xml:space="preserve">Figure </w:t>
      </w:r>
      <w:r w:rsidRPr="00F42FA9">
        <w:rPr>
          <w:i/>
          <w:iCs/>
          <w:lang w:val="en-GB"/>
        </w:rPr>
        <w:fldChar w:fldCharType="begin"/>
      </w:r>
      <w:r w:rsidRPr="00F42FA9">
        <w:rPr>
          <w:i/>
          <w:iCs/>
          <w:lang w:val="en-GB"/>
        </w:rPr>
        <w:instrText xml:space="preserve"> SEQ Figure \* ARABIC </w:instrText>
      </w:r>
      <w:r w:rsidRPr="00F42FA9">
        <w:rPr>
          <w:i/>
          <w:iCs/>
          <w:lang w:val="en-GB"/>
        </w:rPr>
        <w:fldChar w:fldCharType="separate"/>
      </w:r>
      <w:r w:rsidR="00CF0840">
        <w:rPr>
          <w:i/>
          <w:iCs/>
          <w:noProof/>
          <w:lang w:val="en-GB"/>
        </w:rPr>
        <w:t>1</w:t>
      </w:r>
      <w:r w:rsidRPr="00F42FA9">
        <w:rPr>
          <w:i/>
          <w:iCs/>
          <w:lang w:val="en-GB"/>
        </w:rPr>
        <w:fldChar w:fldCharType="end"/>
      </w:r>
      <w:bookmarkEnd w:id="2"/>
      <w:r w:rsidRPr="00F42FA9">
        <w:rPr>
          <w:i/>
          <w:iCs/>
          <w:lang w:val="en-GB"/>
        </w:rPr>
        <w:t>: Correlation between the maximum permissible</w:t>
      </w:r>
      <w:r>
        <w:rPr>
          <w:i/>
          <w:iCs/>
          <w:lang w:val="en-GB"/>
        </w:rPr>
        <w:t xml:space="preserve"> </w:t>
      </w:r>
      <w:r w:rsidRPr="004375E0">
        <w:rPr>
          <w:i/>
          <w:iCs/>
          <w:lang w:val="en-GB"/>
        </w:rPr>
        <w:t>surface temperature and thickness of dust layers</w:t>
      </w:r>
      <w:r w:rsidR="00730372" w:rsidRPr="004375E0">
        <w:rPr>
          <w:i/>
          <w:iCs/>
          <w:lang w:val="en-GB"/>
        </w:rPr>
        <w:t xml:space="preserve"> (IEC 60079-14:2024. Figure 1)</w:t>
      </w:r>
    </w:p>
    <w:p w14:paraId="7E2FB658" w14:textId="77777777" w:rsidR="00955D91" w:rsidRDefault="00955D91" w:rsidP="00EA03F8">
      <w:pPr>
        <w:pStyle w:val="CETBodytext"/>
        <w:rPr>
          <w:b/>
          <w:bCs/>
          <w:lang w:val="en-GB"/>
        </w:rPr>
      </w:pPr>
    </w:p>
    <w:p w14:paraId="09E283E4" w14:textId="77469676" w:rsidR="008779A2" w:rsidRPr="00955D91" w:rsidRDefault="008779A2" w:rsidP="00955D91">
      <w:pPr>
        <w:pStyle w:val="Tabellasemplice1"/>
        <w:rPr>
          <w:rFonts w:ascii="Arial" w:hAnsi="Arial"/>
          <w:b/>
          <w:sz w:val="18"/>
          <w:lang w:val="en-GB" w:eastAsia="en-US"/>
        </w:rPr>
      </w:pPr>
      <w:r w:rsidRPr="00955D91">
        <w:rPr>
          <w:rFonts w:ascii="Arial" w:hAnsi="Arial"/>
          <w:b/>
          <w:sz w:val="18"/>
          <w:lang w:val="en-GB" w:eastAsia="en-US"/>
        </w:rPr>
        <w:t>Ignition probability evaluation</w:t>
      </w:r>
    </w:p>
    <w:p w14:paraId="701DAD4E" w14:textId="787DA263" w:rsidR="008779A2" w:rsidRPr="001E33F2" w:rsidRDefault="008779A2" w:rsidP="00EA03F8">
      <w:pPr>
        <w:pStyle w:val="CETBodytext"/>
        <w:rPr>
          <w:lang w:val="en-GB"/>
        </w:rPr>
      </w:pPr>
      <w:r w:rsidRPr="001E33F2">
        <w:rPr>
          <w:lang w:val="en-GB"/>
        </w:rPr>
        <w:t xml:space="preserve">The probability of the ignition to be effective has to be </w:t>
      </w:r>
      <w:r w:rsidR="00CE52A7">
        <w:rPr>
          <w:lang w:val="en-GB"/>
        </w:rPr>
        <w:t>evaluated conducting a</w:t>
      </w:r>
      <w:r w:rsidRPr="001E33F2">
        <w:rPr>
          <w:lang w:val="en-GB"/>
        </w:rPr>
        <w:t xml:space="preserve"> comparison between the maximum foreseeable temperature of the </w:t>
      </w:r>
      <w:r w:rsidR="000607CD">
        <w:rPr>
          <w:lang w:val="en-GB"/>
        </w:rPr>
        <w:t xml:space="preserve">heated </w:t>
      </w:r>
      <w:r w:rsidRPr="001E33F2">
        <w:rPr>
          <w:lang w:val="en-GB"/>
        </w:rPr>
        <w:t xml:space="preserve">surface (e.g., electrical equipment) and the maximum allowable temperature calculated with one of the approaches reported in the </w:t>
      </w:r>
      <w:r w:rsidR="00CE52A7">
        <w:rPr>
          <w:lang w:val="en-GB"/>
        </w:rPr>
        <w:fldChar w:fldCharType="begin"/>
      </w:r>
      <w:r w:rsidR="00CE52A7">
        <w:rPr>
          <w:lang w:val="en-GB"/>
        </w:rPr>
        <w:instrText xml:space="preserve"> REF _Ref184907262 \h  \* MERGEFORMAT </w:instrText>
      </w:r>
      <w:r w:rsidR="00CE52A7">
        <w:rPr>
          <w:lang w:val="en-GB"/>
        </w:rPr>
      </w:r>
      <w:r w:rsidR="00CE52A7">
        <w:rPr>
          <w:lang w:val="en-GB"/>
        </w:rPr>
        <w:fldChar w:fldCharType="separate"/>
      </w:r>
      <w:r w:rsidR="00CF0840" w:rsidRPr="00CF0840">
        <w:rPr>
          <w:lang w:val="en-GB"/>
        </w:rPr>
        <w:t>Table 1</w:t>
      </w:r>
      <w:r w:rsidR="00CE52A7">
        <w:rPr>
          <w:lang w:val="en-GB"/>
        </w:rPr>
        <w:fldChar w:fldCharType="end"/>
      </w:r>
      <w:r w:rsidR="001F4E1E">
        <w:rPr>
          <w:lang w:val="en-GB"/>
        </w:rPr>
        <w:t>. It is possible to identify three classes</w:t>
      </w:r>
      <w:r w:rsidRPr="001E33F2">
        <w:rPr>
          <w:lang w:val="en-GB"/>
        </w:rPr>
        <w:t xml:space="preserve">, as follow: </w:t>
      </w:r>
    </w:p>
    <w:p w14:paraId="4E01225A" w14:textId="2938C7BD" w:rsidR="008779A2" w:rsidRPr="001E33F2" w:rsidRDefault="001F4E1E" w:rsidP="00246982">
      <w:pPr>
        <w:pStyle w:val="CETBodytext"/>
        <w:numPr>
          <w:ilvl w:val="0"/>
          <w:numId w:val="25"/>
        </w:numPr>
        <w:ind w:left="426"/>
        <w:rPr>
          <w:lang w:val="en-GB"/>
        </w:rPr>
      </w:pPr>
      <w:r>
        <w:rPr>
          <w:lang w:val="en-GB"/>
        </w:rPr>
        <w:t>High impact: i</w:t>
      </w:r>
      <w:r w:rsidR="00512F1D" w:rsidRPr="001E33F2">
        <w:rPr>
          <w:lang w:val="en-GB"/>
        </w:rPr>
        <w:t xml:space="preserve">f the </w:t>
      </w:r>
      <w:r w:rsidR="008779A2" w:rsidRPr="001E33F2">
        <w:rPr>
          <w:lang w:val="en-GB"/>
        </w:rPr>
        <w:t xml:space="preserve">Max T of the equipment </w:t>
      </w:r>
      <w:r w:rsidR="008779A2" w:rsidRPr="001E33F2">
        <w:rPr>
          <w:rFonts w:cs="Arial"/>
          <w:lang w:val="en-GB"/>
        </w:rPr>
        <w:t>≥</w:t>
      </w:r>
      <w:r w:rsidR="008779A2" w:rsidRPr="001E33F2">
        <w:rPr>
          <w:lang w:val="en-GB"/>
        </w:rPr>
        <w:t xml:space="preserve"> Max allowable T</w:t>
      </w:r>
      <w:r w:rsidR="00512F1D" w:rsidRPr="001E33F2">
        <w:rPr>
          <w:lang w:val="en-GB"/>
        </w:rPr>
        <w:t xml:space="preserve">, then </w:t>
      </w:r>
      <w:r w:rsidR="000607CD">
        <w:rPr>
          <w:lang w:val="en-GB"/>
        </w:rPr>
        <w:t>the</w:t>
      </w:r>
      <w:r w:rsidR="00512F1D" w:rsidRPr="001E33F2">
        <w:rPr>
          <w:lang w:val="en-GB"/>
        </w:rPr>
        <w:t xml:space="preserve"> probability assigned is P</w:t>
      </w:r>
      <w:r w:rsidR="000607CD">
        <w:rPr>
          <w:lang w:val="en-GB"/>
        </w:rPr>
        <w:t xml:space="preserve"> </w:t>
      </w:r>
      <w:r w:rsidR="00512F1D" w:rsidRPr="001E33F2">
        <w:rPr>
          <w:lang w:val="en-GB"/>
        </w:rPr>
        <w:t>=</w:t>
      </w:r>
      <w:r w:rsidR="000607CD">
        <w:rPr>
          <w:lang w:val="en-GB"/>
        </w:rPr>
        <w:t xml:space="preserve"> </w:t>
      </w:r>
      <w:proofErr w:type="gramStart"/>
      <w:r w:rsidR="00512F1D" w:rsidRPr="001E33F2">
        <w:rPr>
          <w:lang w:val="en-GB"/>
        </w:rPr>
        <w:t>1;</w:t>
      </w:r>
      <w:proofErr w:type="gramEnd"/>
    </w:p>
    <w:p w14:paraId="1685D230" w14:textId="7951DBAB" w:rsidR="008779A2" w:rsidRPr="001E33F2" w:rsidRDefault="001F4E1E" w:rsidP="00246982">
      <w:pPr>
        <w:pStyle w:val="CETBodytext"/>
        <w:numPr>
          <w:ilvl w:val="0"/>
          <w:numId w:val="25"/>
        </w:numPr>
        <w:ind w:left="426"/>
        <w:rPr>
          <w:lang w:val="en-GB"/>
        </w:rPr>
      </w:pPr>
      <w:r>
        <w:rPr>
          <w:lang w:val="en-GB"/>
        </w:rPr>
        <w:t>Medium-high impact: i</w:t>
      </w:r>
      <w:r w:rsidR="00512F1D" w:rsidRPr="001E33F2">
        <w:rPr>
          <w:lang w:val="en-GB"/>
        </w:rPr>
        <w:t xml:space="preserve">f the </w:t>
      </w:r>
      <w:r w:rsidR="008779A2" w:rsidRPr="001E33F2">
        <w:rPr>
          <w:lang w:val="en-GB"/>
        </w:rPr>
        <w:t xml:space="preserve">Max T of the equipment </w:t>
      </w:r>
      <w:r w:rsidR="00512F1D" w:rsidRPr="001E33F2">
        <w:rPr>
          <w:lang w:val="en-GB"/>
        </w:rPr>
        <w:t xml:space="preserve">is </w:t>
      </w:r>
      <w:r w:rsidR="008779A2" w:rsidRPr="001E33F2">
        <w:rPr>
          <w:lang w:val="en-GB"/>
        </w:rPr>
        <w:t>between 80%</w:t>
      </w:r>
      <w:r w:rsidR="00512F1D" w:rsidRPr="001E33F2">
        <w:rPr>
          <w:lang w:val="en-GB"/>
        </w:rPr>
        <w:t xml:space="preserve"> of Max allowable T </w:t>
      </w:r>
      <w:r w:rsidR="008779A2" w:rsidRPr="001E33F2">
        <w:rPr>
          <w:lang w:val="en-GB"/>
        </w:rPr>
        <w:t xml:space="preserve">and </w:t>
      </w:r>
      <w:r w:rsidR="008779A2" w:rsidRPr="001E33F2">
        <w:rPr>
          <w:iCs/>
          <w:lang w:val="en-GB"/>
        </w:rPr>
        <w:t>Max</w:t>
      </w:r>
      <w:r w:rsidR="008779A2" w:rsidRPr="001E33F2">
        <w:rPr>
          <w:lang w:val="en-GB"/>
        </w:rPr>
        <w:t xml:space="preserve"> allowable T</w:t>
      </w:r>
      <w:r w:rsidR="00512F1D" w:rsidRPr="001E33F2">
        <w:rPr>
          <w:lang w:val="en-GB"/>
        </w:rPr>
        <w:t xml:space="preserve">, </w:t>
      </w:r>
      <w:r w:rsidR="000607CD" w:rsidRPr="001E33F2">
        <w:rPr>
          <w:lang w:val="en-GB"/>
        </w:rPr>
        <w:t xml:space="preserve">then </w:t>
      </w:r>
      <w:r w:rsidR="000607CD">
        <w:rPr>
          <w:lang w:val="en-GB"/>
        </w:rPr>
        <w:t>the</w:t>
      </w:r>
      <w:r w:rsidR="000607CD" w:rsidRPr="001E33F2">
        <w:rPr>
          <w:lang w:val="en-GB"/>
        </w:rPr>
        <w:t xml:space="preserve"> probability assigned is</w:t>
      </w:r>
      <w:r w:rsidR="00512F1D" w:rsidRPr="001E33F2">
        <w:rPr>
          <w:lang w:val="en-GB"/>
        </w:rPr>
        <w:t xml:space="preserve"> P</w:t>
      </w:r>
      <w:r w:rsidR="008779A2" w:rsidRPr="001E33F2">
        <w:rPr>
          <w:lang w:val="en-GB"/>
        </w:rPr>
        <w:t xml:space="preserve"> = </w:t>
      </w:r>
      <w:proofErr w:type="gramStart"/>
      <w:r w:rsidR="008779A2" w:rsidRPr="001E33F2">
        <w:rPr>
          <w:lang w:val="en-GB"/>
        </w:rPr>
        <w:t>0</w:t>
      </w:r>
      <w:r w:rsidR="007828EB">
        <w:rPr>
          <w:lang w:val="en-GB"/>
        </w:rPr>
        <w:t>.</w:t>
      </w:r>
      <w:r w:rsidR="008779A2" w:rsidRPr="001E33F2">
        <w:rPr>
          <w:lang w:val="en-GB"/>
        </w:rPr>
        <w:t>1</w:t>
      </w:r>
      <w:r w:rsidR="00512F1D" w:rsidRPr="001E33F2">
        <w:rPr>
          <w:lang w:val="en-GB"/>
        </w:rPr>
        <w:t>;</w:t>
      </w:r>
      <w:proofErr w:type="gramEnd"/>
    </w:p>
    <w:p w14:paraId="77163D60" w14:textId="475FA5B6" w:rsidR="008779A2" w:rsidRPr="001E33F2" w:rsidRDefault="001F4E1E" w:rsidP="00246982">
      <w:pPr>
        <w:pStyle w:val="CETBodytext"/>
        <w:numPr>
          <w:ilvl w:val="0"/>
          <w:numId w:val="25"/>
        </w:numPr>
        <w:ind w:left="426"/>
        <w:rPr>
          <w:lang w:val="en-GB"/>
        </w:rPr>
      </w:pPr>
      <w:r>
        <w:rPr>
          <w:lang w:val="en-GB"/>
        </w:rPr>
        <w:t>Low impact: i</w:t>
      </w:r>
      <w:r w:rsidR="00512F1D" w:rsidRPr="001E33F2">
        <w:rPr>
          <w:lang w:val="en-GB"/>
        </w:rPr>
        <w:t xml:space="preserve">f the </w:t>
      </w:r>
      <w:r w:rsidR="008779A2" w:rsidRPr="001E33F2">
        <w:rPr>
          <w:lang w:val="en-GB"/>
        </w:rPr>
        <w:t>Max T of the equipment &lt; 80% of Max allowable T</w:t>
      </w:r>
      <w:r w:rsidR="00512F1D" w:rsidRPr="001E33F2">
        <w:rPr>
          <w:lang w:val="en-GB"/>
        </w:rPr>
        <w:t xml:space="preserve">, </w:t>
      </w:r>
      <w:r w:rsidR="000607CD" w:rsidRPr="001E33F2">
        <w:rPr>
          <w:lang w:val="en-GB"/>
        </w:rPr>
        <w:t xml:space="preserve">then </w:t>
      </w:r>
      <w:r w:rsidR="000607CD">
        <w:rPr>
          <w:lang w:val="en-GB"/>
        </w:rPr>
        <w:t>the</w:t>
      </w:r>
      <w:r w:rsidR="000607CD" w:rsidRPr="001E33F2">
        <w:rPr>
          <w:lang w:val="en-GB"/>
        </w:rPr>
        <w:t xml:space="preserve"> probability assigned is</w:t>
      </w:r>
      <w:r w:rsidR="008779A2" w:rsidRPr="001E33F2">
        <w:rPr>
          <w:lang w:val="en-GB"/>
        </w:rPr>
        <w:t xml:space="preserve"> P = 0</w:t>
      </w:r>
      <w:r w:rsidR="007828EB">
        <w:rPr>
          <w:lang w:val="en-GB"/>
        </w:rPr>
        <w:t>.</w:t>
      </w:r>
      <w:r w:rsidR="008779A2" w:rsidRPr="001E33F2">
        <w:rPr>
          <w:lang w:val="en-GB"/>
        </w:rPr>
        <w:t>01</w:t>
      </w:r>
      <w:r w:rsidR="00512F1D" w:rsidRPr="001E33F2">
        <w:rPr>
          <w:lang w:val="en-GB"/>
        </w:rPr>
        <w:t xml:space="preserve">. </w:t>
      </w:r>
    </w:p>
    <w:p w14:paraId="18BAFA6F" w14:textId="63A7C5B0" w:rsidR="00453E24" w:rsidRPr="001E33F2" w:rsidRDefault="00EA03F8" w:rsidP="00453E24">
      <w:pPr>
        <w:pStyle w:val="CETheadingx"/>
      </w:pPr>
      <w:r w:rsidRPr="001E33F2">
        <w:t>Electrical equipment</w:t>
      </w:r>
    </w:p>
    <w:p w14:paraId="7717D940" w14:textId="07D71E23" w:rsidR="00EA03F8" w:rsidRPr="001E33F2" w:rsidRDefault="0007734E" w:rsidP="00EA03F8">
      <w:pPr>
        <w:pStyle w:val="CETBodytext"/>
        <w:rPr>
          <w:lang w:val="en-GB"/>
        </w:rPr>
      </w:pPr>
      <w:r>
        <w:rPr>
          <w:lang w:val="en-GB"/>
        </w:rPr>
        <w:t xml:space="preserve">If </w:t>
      </w:r>
      <w:r w:rsidR="00B3676A" w:rsidRPr="001E33F2">
        <w:rPr>
          <w:lang w:val="en-GB"/>
        </w:rPr>
        <w:t>electrical equipment and components</w:t>
      </w:r>
      <w:r>
        <w:rPr>
          <w:lang w:val="en-GB"/>
        </w:rPr>
        <w:t xml:space="preserve"> are installed in </w:t>
      </w:r>
      <w:r w:rsidR="00E309EF">
        <w:rPr>
          <w:lang w:val="en-GB"/>
        </w:rPr>
        <w:t>a</w:t>
      </w:r>
      <w:r>
        <w:rPr>
          <w:lang w:val="en-GB"/>
        </w:rPr>
        <w:t xml:space="preserve"> hazardous area</w:t>
      </w:r>
      <w:r w:rsidR="00B3676A" w:rsidRPr="001E33F2">
        <w:rPr>
          <w:lang w:val="en-GB"/>
        </w:rPr>
        <w:t>, electrical sparks can appear as ignition sources</w:t>
      </w:r>
      <w:r>
        <w:rPr>
          <w:lang w:val="en-GB"/>
        </w:rPr>
        <w:t xml:space="preserve"> leading to a possible fire / flash fire or explosion scenario</w:t>
      </w:r>
      <w:r w:rsidR="00B3676A" w:rsidRPr="001E33F2">
        <w:rPr>
          <w:lang w:val="en-GB"/>
        </w:rPr>
        <w:t xml:space="preserve">. Electric sparks </w:t>
      </w:r>
      <w:r w:rsidR="00DE3DB2" w:rsidRPr="001E33F2">
        <w:rPr>
          <w:lang w:val="en-GB"/>
        </w:rPr>
        <w:t>can be generated, for example:</w:t>
      </w:r>
    </w:p>
    <w:p w14:paraId="7B88CA32" w14:textId="1B816B94" w:rsidR="00DE3DB2" w:rsidRPr="001E33F2" w:rsidRDefault="00DE3DB2" w:rsidP="00DE3DB2">
      <w:pPr>
        <w:pStyle w:val="CETListbullets"/>
        <w:numPr>
          <w:ilvl w:val="0"/>
          <w:numId w:val="13"/>
        </w:numPr>
        <w:rPr>
          <w:bCs/>
        </w:rPr>
      </w:pPr>
      <w:r w:rsidRPr="001E33F2">
        <w:rPr>
          <w:bCs/>
        </w:rPr>
        <w:t xml:space="preserve">When electric circuits are opened and </w:t>
      </w:r>
      <w:proofErr w:type="gramStart"/>
      <w:r w:rsidRPr="001E33F2">
        <w:rPr>
          <w:bCs/>
        </w:rPr>
        <w:t>closed;</w:t>
      </w:r>
      <w:proofErr w:type="gramEnd"/>
    </w:p>
    <w:p w14:paraId="49C1CF22" w14:textId="1E70A4DD" w:rsidR="00DE3DB2" w:rsidRPr="001E33F2" w:rsidRDefault="00DE3DB2" w:rsidP="00DE3DB2">
      <w:pPr>
        <w:pStyle w:val="CETListbullets"/>
        <w:numPr>
          <w:ilvl w:val="0"/>
          <w:numId w:val="13"/>
        </w:numPr>
        <w:rPr>
          <w:bCs/>
        </w:rPr>
      </w:pPr>
      <w:r w:rsidRPr="001E33F2">
        <w:rPr>
          <w:bCs/>
        </w:rPr>
        <w:t xml:space="preserve">By loose </w:t>
      </w:r>
      <w:proofErr w:type="gramStart"/>
      <w:r w:rsidRPr="001E33F2">
        <w:rPr>
          <w:bCs/>
        </w:rPr>
        <w:t>connections;</w:t>
      </w:r>
      <w:proofErr w:type="gramEnd"/>
    </w:p>
    <w:p w14:paraId="2B3425A4" w14:textId="2E13DE48" w:rsidR="00DE3DB2" w:rsidRPr="001E33F2" w:rsidRDefault="00DE3DB2" w:rsidP="00DE3DB2">
      <w:pPr>
        <w:pStyle w:val="CETListbullets"/>
        <w:numPr>
          <w:ilvl w:val="0"/>
          <w:numId w:val="13"/>
        </w:numPr>
        <w:rPr>
          <w:bCs/>
        </w:rPr>
      </w:pPr>
      <w:r w:rsidRPr="001E33F2">
        <w:rPr>
          <w:bCs/>
        </w:rPr>
        <w:t xml:space="preserve">By stray </w:t>
      </w:r>
      <w:proofErr w:type="gramStart"/>
      <w:r w:rsidRPr="001E33F2">
        <w:rPr>
          <w:bCs/>
        </w:rPr>
        <w:t>currents;</w:t>
      </w:r>
      <w:proofErr w:type="gramEnd"/>
    </w:p>
    <w:p w14:paraId="25F2B940" w14:textId="77777777" w:rsidR="00DE3DB2" w:rsidRPr="001E33F2" w:rsidRDefault="00DE3DB2" w:rsidP="00DE3DB2">
      <w:pPr>
        <w:pStyle w:val="CETListbullets"/>
        <w:numPr>
          <w:ilvl w:val="0"/>
          <w:numId w:val="13"/>
        </w:numPr>
        <w:rPr>
          <w:bCs/>
        </w:rPr>
      </w:pPr>
      <w:r w:rsidRPr="001E33F2">
        <w:rPr>
          <w:bCs/>
        </w:rPr>
        <w:t xml:space="preserve">By overload or insufficient </w:t>
      </w:r>
      <w:proofErr w:type="gramStart"/>
      <w:r w:rsidRPr="001E33F2">
        <w:rPr>
          <w:bCs/>
        </w:rPr>
        <w:t>cooling;</w:t>
      </w:r>
      <w:proofErr w:type="gramEnd"/>
    </w:p>
    <w:p w14:paraId="0A94D9B3" w14:textId="036232C9" w:rsidR="00DE3DB2" w:rsidRPr="001E33F2" w:rsidRDefault="00DE3DB2" w:rsidP="00DE3DB2">
      <w:pPr>
        <w:pStyle w:val="CETListbullets"/>
        <w:numPr>
          <w:ilvl w:val="0"/>
          <w:numId w:val="13"/>
        </w:numPr>
        <w:rPr>
          <w:bCs/>
        </w:rPr>
      </w:pPr>
      <w:r w:rsidRPr="001E33F2">
        <w:rPr>
          <w:bCs/>
        </w:rPr>
        <w:t>By short circuits.</w:t>
      </w:r>
    </w:p>
    <w:p w14:paraId="5DDFF6EE" w14:textId="1E655D07" w:rsidR="00DE3DB2" w:rsidRPr="001E33F2" w:rsidRDefault="001319BD" w:rsidP="00EA03F8">
      <w:pPr>
        <w:pStyle w:val="CETBodytext"/>
        <w:rPr>
          <w:lang w:val="en-GB"/>
        </w:rPr>
      </w:pPr>
      <w:r w:rsidRPr="001E33F2">
        <w:rPr>
          <w:lang w:val="en-GB"/>
        </w:rPr>
        <w:t xml:space="preserve">However, voltages lower than 50V can still produce sufficient energy to ignite an explosive atmosphere. </w:t>
      </w:r>
    </w:p>
    <w:p w14:paraId="2D9F1146" w14:textId="77777777" w:rsidR="00D26CAD" w:rsidRDefault="00D26CAD" w:rsidP="00EA03F8">
      <w:pPr>
        <w:pStyle w:val="CETBodytext"/>
        <w:rPr>
          <w:lang w:val="en-GB"/>
        </w:rPr>
      </w:pPr>
    </w:p>
    <w:p w14:paraId="0527471D" w14:textId="77777777" w:rsidR="00D26CAD" w:rsidRPr="00955D91" w:rsidRDefault="00D26CAD" w:rsidP="00D26CAD">
      <w:pPr>
        <w:pStyle w:val="Tabellasemplice1"/>
        <w:rPr>
          <w:rFonts w:ascii="Arial" w:hAnsi="Arial"/>
          <w:b/>
          <w:sz w:val="18"/>
          <w:lang w:val="en-GB" w:eastAsia="en-US"/>
        </w:rPr>
      </w:pPr>
      <w:r w:rsidRPr="00955D91">
        <w:rPr>
          <w:rFonts w:ascii="Arial" w:hAnsi="Arial"/>
          <w:b/>
          <w:sz w:val="18"/>
          <w:lang w:val="en-GB" w:eastAsia="en-US"/>
        </w:rPr>
        <w:t>Ignition probability evaluation</w:t>
      </w:r>
    </w:p>
    <w:p w14:paraId="1E2526BD" w14:textId="24AA6B4D" w:rsidR="00CA2373" w:rsidRPr="001E33F2" w:rsidRDefault="00164F71" w:rsidP="00EA03F8">
      <w:pPr>
        <w:pStyle w:val="CETBodytext"/>
        <w:rPr>
          <w:lang w:val="en-GB"/>
        </w:rPr>
      </w:pPr>
      <w:r w:rsidRPr="001E33F2">
        <w:rPr>
          <w:lang w:val="en-GB"/>
        </w:rPr>
        <w:t>The main method of dealing with sources of ignition due to electrical equipment is</w:t>
      </w:r>
      <w:r w:rsidR="001D46D1" w:rsidRPr="001E33F2">
        <w:rPr>
          <w:lang w:val="en-GB"/>
        </w:rPr>
        <w:t xml:space="preserve"> to verify</w:t>
      </w:r>
      <w:r w:rsidRPr="001E33F2">
        <w:rPr>
          <w:lang w:val="en-GB"/>
        </w:rPr>
        <w:t xml:space="preserve"> the correct marking of the equipment. </w:t>
      </w:r>
      <w:r w:rsidR="00CA2373" w:rsidRPr="001E33F2">
        <w:rPr>
          <w:lang w:val="en-GB"/>
        </w:rPr>
        <w:t>Therefore, during the plant visit it is advisable to verify that process equipment, in</w:t>
      </w:r>
      <w:r w:rsidR="00D0271D">
        <w:rPr>
          <w:lang w:val="en-GB"/>
        </w:rPr>
        <w:t>stalled in</w:t>
      </w:r>
      <w:r w:rsidR="00CA2373" w:rsidRPr="001E33F2">
        <w:rPr>
          <w:lang w:val="en-GB"/>
        </w:rPr>
        <w:t xml:space="preserve"> the </w:t>
      </w:r>
      <w:r w:rsidR="00D0271D">
        <w:rPr>
          <w:lang w:val="en-GB"/>
        </w:rPr>
        <w:t>hazardous area</w:t>
      </w:r>
      <w:r w:rsidR="00CA2373" w:rsidRPr="001E33F2">
        <w:rPr>
          <w:lang w:val="en-GB"/>
        </w:rPr>
        <w:t>, is ATEX marked as specified</w:t>
      </w:r>
      <w:r w:rsidR="000607CD">
        <w:rPr>
          <w:lang w:val="en-GB"/>
        </w:rPr>
        <w:t xml:space="preserve"> </w:t>
      </w:r>
      <w:r w:rsidR="00CA2373" w:rsidRPr="001E33F2">
        <w:rPr>
          <w:lang w:val="en-GB"/>
        </w:rPr>
        <w:t xml:space="preserve">in the Directive </w:t>
      </w:r>
      <w:r w:rsidR="00A826EA">
        <w:rPr>
          <w:lang w:val="en-GB"/>
        </w:rPr>
        <w:t>1999</w:t>
      </w:r>
      <w:r w:rsidR="00CA2373" w:rsidRPr="001E33F2">
        <w:rPr>
          <w:lang w:val="en-GB"/>
        </w:rPr>
        <w:t>/</w:t>
      </w:r>
      <w:r w:rsidR="00A826EA">
        <w:rPr>
          <w:lang w:val="en-GB"/>
        </w:rPr>
        <w:t>92</w:t>
      </w:r>
      <w:r w:rsidR="00CA2373" w:rsidRPr="001E33F2">
        <w:rPr>
          <w:lang w:val="en-GB"/>
        </w:rPr>
        <w:t>/</w:t>
      </w:r>
      <w:r w:rsidR="00A826EA">
        <w:rPr>
          <w:lang w:val="en-GB"/>
        </w:rPr>
        <w:t>C</w:t>
      </w:r>
      <w:r w:rsidR="00CA2373" w:rsidRPr="001E33F2">
        <w:rPr>
          <w:lang w:val="en-GB"/>
        </w:rPr>
        <w:t xml:space="preserve">E, EN 60079-0 (Electric) and EN ISO 80079-36 (Not Electric). </w:t>
      </w:r>
    </w:p>
    <w:p w14:paraId="4B3ACA98" w14:textId="300EAFC1" w:rsidR="00CA2373" w:rsidRPr="00246982" w:rsidRDefault="00CA2373" w:rsidP="00246982">
      <w:pPr>
        <w:pStyle w:val="CETBodytext"/>
        <w:numPr>
          <w:ilvl w:val="0"/>
          <w:numId w:val="25"/>
        </w:numPr>
        <w:ind w:left="426"/>
        <w:rPr>
          <w:lang w:val="en-GB"/>
        </w:rPr>
      </w:pPr>
      <w:r w:rsidRPr="001E33F2">
        <w:rPr>
          <w:lang w:val="en-GB"/>
        </w:rPr>
        <w:t>If the equipment is</w:t>
      </w:r>
      <w:r w:rsidR="00D0271D" w:rsidRPr="00246982">
        <w:rPr>
          <w:lang w:val="en-GB"/>
        </w:rPr>
        <w:t xml:space="preserve"> generally</w:t>
      </w:r>
      <w:r w:rsidRPr="001E33F2">
        <w:rPr>
          <w:lang w:val="en-GB"/>
        </w:rPr>
        <w:t xml:space="preserve"> ATEX marked,</w:t>
      </w:r>
      <w:r w:rsidR="003259A2" w:rsidRPr="00246982">
        <w:rPr>
          <w:lang w:val="en-GB"/>
        </w:rPr>
        <w:t xml:space="preserve"> </w:t>
      </w:r>
      <w:r w:rsidR="003259A2" w:rsidRPr="001E33F2">
        <w:rPr>
          <w:lang w:val="en-GB"/>
        </w:rPr>
        <w:t xml:space="preserve">then </w:t>
      </w:r>
      <w:r w:rsidR="003259A2">
        <w:rPr>
          <w:lang w:val="en-GB"/>
        </w:rPr>
        <w:t>the</w:t>
      </w:r>
      <w:r w:rsidR="003259A2" w:rsidRPr="001E33F2">
        <w:rPr>
          <w:lang w:val="en-GB"/>
        </w:rPr>
        <w:t xml:space="preserve"> probability assigned is P</w:t>
      </w:r>
      <w:r w:rsidR="003259A2" w:rsidRPr="00246982">
        <w:rPr>
          <w:lang w:val="en-GB"/>
        </w:rPr>
        <w:t xml:space="preserve"> </w:t>
      </w:r>
      <w:r w:rsidR="003259A2" w:rsidRPr="001E33F2">
        <w:rPr>
          <w:lang w:val="en-GB"/>
        </w:rPr>
        <w:t>=</w:t>
      </w:r>
      <w:r w:rsidR="003259A2" w:rsidRPr="00246982">
        <w:rPr>
          <w:lang w:val="en-GB"/>
        </w:rPr>
        <w:t xml:space="preserve"> </w:t>
      </w:r>
      <w:proofErr w:type="gramStart"/>
      <w:r w:rsidR="003259A2" w:rsidRPr="00246982">
        <w:rPr>
          <w:lang w:val="en-GB"/>
        </w:rPr>
        <w:t>0</w:t>
      </w:r>
      <w:r w:rsidR="007828EB">
        <w:rPr>
          <w:lang w:val="en-GB"/>
        </w:rPr>
        <w:t>.</w:t>
      </w:r>
      <w:r w:rsidR="003259A2" w:rsidRPr="001E33F2">
        <w:rPr>
          <w:lang w:val="en-GB"/>
        </w:rPr>
        <w:t>1;</w:t>
      </w:r>
      <w:proofErr w:type="gramEnd"/>
    </w:p>
    <w:p w14:paraId="297B03A9" w14:textId="04852D72" w:rsidR="00CA2373" w:rsidRPr="00246982" w:rsidRDefault="00CA2373" w:rsidP="00246982">
      <w:pPr>
        <w:pStyle w:val="CETBodytext"/>
        <w:numPr>
          <w:ilvl w:val="0"/>
          <w:numId w:val="25"/>
        </w:numPr>
        <w:ind w:left="426"/>
        <w:rPr>
          <w:lang w:val="en-GB"/>
        </w:rPr>
      </w:pPr>
      <w:r w:rsidRPr="00246982">
        <w:rPr>
          <w:lang w:val="en-GB"/>
        </w:rPr>
        <w:t xml:space="preserve">If the equipment is </w:t>
      </w:r>
      <w:r w:rsidR="00D0271D" w:rsidRPr="00246982">
        <w:rPr>
          <w:lang w:val="en-GB"/>
        </w:rPr>
        <w:t xml:space="preserve">generally </w:t>
      </w:r>
      <w:r w:rsidRPr="00246982">
        <w:rPr>
          <w:lang w:val="en-GB"/>
        </w:rPr>
        <w:t xml:space="preserve">not ATEX marked, </w:t>
      </w:r>
      <w:r w:rsidR="003259A2" w:rsidRPr="001E33F2">
        <w:rPr>
          <w:lang w:val="en-GB"/>
        </w:rPr>
        <w:t xml:space="preserve">then </w:t>
      </w:r>
      <w:r w:rsidR="003259A2">
        <w:rPr>
          <w:lang w:val="en-GB"/>
        </w:rPr>
        <w:t>the</w:t>
      </w:r>
      <w:r w:rsidR="003259A2" w:rsidRPr="001E33F2">
        <w:rPr>
          <w:lang w:val="en-GB"/>
        </w:rPr>
        <w:t xml:space="preserve"> probability assigned is P</w:t>
      </w:r>
      <w:r w:rsidR="003259A2" w:rsidRPr="00246982">
        <w:rPr>
          <w:lang w:val="en-GB"/>
        </w:rPr>
        <w:t xml:space="preserve"> </w:t>
      </w:r>
      <w:r w:rsidR="003259A2" w:rsidRPr="001E33F2">
        <w:rPr>
          <w:lang w:val="en-GB"/>
        </w:rPr>
        <w:t>=</w:t>
      </w:r>
      <w:r w:rsidR="003259A2" w:rsidRPr="00246982">
        <w:rPr>
          <w:lang w:val="en-GB"/>
        </w:rPr>
        <w:t xml:space="preserve"> </w:t>
      </w:r>
      <w:r w:rsidR="003259A2" w:rsidRPr="001E33F2">
        <w:rPr>
          <w:lang w:val="en-GB"/>
        </w:rPr>
        <w:t>1</w:t>
      </w:r>
      <w:r w:rsidR="003259A2" w:rsidRPr="00246982">
        <w:rPr>
          <w:lang w:val="en-GB"/>
        </w:rPr>
        <w:t>.</w:t>
      </w:r>
    </w:p>
    <w:p w14:paraId="741ED227" w14:textId="2CFBBFE2" w:rsidR="00E309EF" w:rsidRDefault="003259A2" w:rsidP="00EA03F8">
      <w:pPr>
        <w:pStyle w:val="CETBodytext"/>
        <w:rPr>
          <w:lang w:val="en-GB"/>
        </w:rPr>
      </w:pPr>
      <w:r w:rsidRPr="005F6D2F">
        <w:rPr>
          <w:bCs/>
        </w:rPr>
        <w:t>It is worth emphasizing</w:t>
      </w:r>
      <w:r>
        <w:rPr>
          <w:bCs/>
        </w:rPr>
        <w:t xml:space="preserve"> that, </w:t>
      </w:r>
      <w:r>
        <w:rPr>
          <w:lang w:val="en-GB"/>
        </w:rPr>
        <w:t>during</w:t>
      </w:r>
      <w:r w:rsidR="00E309EF">
        <w:rPr>
          <w:lang w:val="en-GB"/>
        </w:rPr>
        <w:t xml:space="preserve"> field visit, the verification of the compliance of the equipment with the hazardous area of installation is usually conducted just for some equipment, randomly</w:t>
      </w:r>
      <w:r>
        <w:rPr>
          <w:lang w:val="en-GB"/>
        </w:rPr>
        <w:t>;</w:t>
      </w:r>
      <w:r w:rsidR="00E309EF">
        <w:rPr>
          <w:lang w:val="en-GB"/>
        </w:rPr>
        <w:t xml:space="preserve"> </w:t>
      </w:r>
      <w:r>
        <w:rPr>
          <w:lang w:val="en-GB"/>
        </w:rPr>
        <w:t>for this reason, to maintain a cautionary approach, it is preferrable to us</w:t>
      </w:r>
      <w:r w:rsidR="00CF0840">
        <w:rPr>
          <w:lang w:val="en-GB"/>
        </w:rPr>
        <w:t>e</w:t>
      </w:r>
      <w:r>
        <w:rPr>
          <w:lang w:val="en-GB"/>
        </w:rPr>
        <w:t xml:space="preserve"> P = 0</w:t>
      </w:r>
      <w:r w:rsidR="007828EB">
        <w:rPr>
          <w:lang w:val="en-GB"/>
        </w:rPr>
        <w:t>.</w:t>
      </w:r>
      <w:r>
        <w:rPr>
          <w:lang w:val="en-GB"/>
        </w:rPr>
        <w:t>1 as a lowest probability value, avoiding to assign a probability equal to P = 0</w:t>
      </w:r>
      <w:r w:rsidR="007828EB">
        <w:rPr>
          <w:lang w:val="en-GB"/>
        </w:rPr>
        <w:t>.</w:t>
      </w:r>
      <w:r>
        <w:rPr>
          <w:lang w:val="en-GB"/>
        </w:rPr>
        <w:t>01 that could potentially lead to underestimation of the ignition risk.</w:t>
      </w:r>
    </w:p>
    <w:p w14:paraId="48FD674A" w14:textId="35C33516" w:rsidR="00EA03F8" w:rsidRPr="001E33F2" w:rsidRDefault="00EA03F8" w:rsidP="00EA03F8">
      <w:pPr>
        <w:pStyle w:val="CETheadingx"/>
      </w:pPr>
      <w:bookmarkStart w:id="3" w:name="_Ref184821762"/>
      <w:r w:rsidRPr="001E33F2">
        <w:t>Static electricity</w:t>
      </w:r>
      <w:bookmarkEnd w:id="3"/>
    </w:p>
    <w:p w14:paraId="0160FF14" w14:textId="77777777" w:rsidR="00D0271D" w:rsidRDefault="005F039F" w:rsidP="00EA03F8">
      <w:pPr>
        <w:pStyle w:val="CETBodytext"/>
        <w:rPr>
          <w:lang w:val="en-GB"/>
        </w:rPr>
      </w:pPr>
      <w:r w:rsidRPr="001E33F2">
        <w:rPr>
          <w:lang w:val="en-GB"/>
        </w:rPr>
        <w:t>Under certain conditions</w:t>
      </w:r>
      <w:r w:rsidR="008779A2" w:rsidRPr="001E33F2">
        <w:rPr>
          <w:lang w:val="en-GB"/>
        </w:rPr>
        <w:t xml:space="preserve">, when charges can be generated and accumulated, </w:t>
      </w:r>
      <w:r w:rsidRPr="001E33F2">
        <w:rPr>
          <w:lang w:val="en-GB"/>
        </w:rPr>
        <w:t xml:space="preserve">the </w:t>
      </w:r>
      <w:r w:rsidR="008779A2" w:rsidRPr="001E33F2">
        <w:rPr>
          <w:lang w:val="en-GB"/>
        </w:rPr>
        <w:t xml:space="preserve">possible </w:t>
      </w:r>
      <w:r w:rsidRPr="001E33F2">
        <w:rPr>
          <w:lang w:val="en-GB"/>
        </w:rPr>
        <w:t xml:space="preserve">discharge can lead to </w:t>
      </w:r>
      <w:proofErr w:type="spellStart"/>
      <w:r w:rsidRPr="001E33F2">
        <w:rPr>
          <w:lang w:val="en-GB"/>
        </w:rPr>
        <w:t>incendive</w:t>
      </w:r>
      <w:proofErr w:type="spellEnd"/>
      <w:r w:rsidRPr="001E33F2">
        <w:rPr>
          <w:lang w:val="en-GB"/>
        </w:rPr>
        <w:t xml:space="preserve"> sparks</w:t>
      </w:r>
      <w:r w:rsidR="00404676" w:rsidRPr="001E33F2">
        <w:rPr>
          <w:lang w:val="en-GB"/>
        </w:rPr>
        <w:t xml:space="preserve">. </w:t>
      </w:r>
      <w:r w:rsidR="00654A06" w:rsidRPr="001E33F2">
        <w:rPr>
          <w:lang w:val="en-GB"/>
        </w:rPr>
        <w:t>There are primarily three types of electrostatic discharge</w:t>
      </w:r>
      <w:r w:rsidR="00E32511">
        <w:rPr>
          <w:lang w:val="en-GB"/>
        </w:rPr>
        <w:t>s</w:t>
      </w:r>
      <w:r w:rsidR="00654A06" w:rsidRPr="001E33F2">
        <w:rPr>
          <w:lang w:val="en-GB"/>
        </w:rPr>
        <w:t xml:space="preserve"> that may be encountered during processing and material handling that may pose an ignition hazard:</w:t>
      </w:r>
      <w:r w:rsidR="008779A2" w:rsidRPr="001E33F2">
        <w:rPr>
          <w:lang w:val="en-GB"/>
        </w:rPr>
        <w:t xml:space="preserve"> Cone discharge, Spark discharge, Static discharge due to operator</w:t>
      </w:r>
      <w:r w:rsidR="00E32511">
        <w:rPr>
          <w:lang w:val="en-GB"/>
        </w:rPr>
        <w:t xml:space="preserve"> (</w:t>
      </w:r>
      <w:r w:rsidR="00E01BA2">
        <w:rPr>
          <w:lang w:val="en-GB"/>
        </w:rPr>
        <w:t>brush discharge will not be considered in this assessment</w:t>
      </w:r>
      <w:r w:rsidR="00D0271D">
        <w:rPr>
          <w:lang w:val="en-GB"/>
        </w:rPr>
        <w:t>; a</w:t>
      </w:r>
      <w:r w:rsidR="00E01BA2">
        <w:rPr>
          <w:lang w:val="en-GB"/>
        </w:rPr>
        <w:t>s reported in the Standard IEC 60079-32-1</w:t>
      </w:r>
      <w:r w:rsidR="00AD3991">
        <w:rPr>
          <w:bCs/>
        </w:rPr>
        <w:t>:2017</w:t>
      </w:r>
      <w:r w:rsidR="00E01BA2">
        <w:rPr>
          <w:lang w:val="en-GB"/>
        </w:rPr>
        <w:t>, “t</w:t>
      </w:r>
      <w:r w:rsidR="00E01BA2" w:rsidRPr="00E01BA2">
        <w:rPr>
          <w:lang w:val="en-GB"/>
        </w:rPr>
        <w:t xml:space="preserve">he present state of knowledge indicates however, that independent of their </w:t>
      </w:r>
      <w:r w:rsidR="00E01BA2" w:rsidRPr="00E01BA2">
        <w:rPr>
          <w:lang w:val="en-GB"/>
        </w:rPr>
        <w:lastRenderedPageBreak/>
        <w:t>MIE combustible powders cannot be ignited by brush discharges, providing there are no flammable gases or vapours</w:t>
      </w:r>
      <w:r w:rsidR="00E01BA2">
        <w:rPr>
          <w:lang w:val="en-GB"/>
        </w:rPr>
        <w:t>”)</w:t>
      </w:r>
      <w:r w:rsidR="008779A2" w:rsidRPr="001E33F2">
        <w:rPr>
          <w:lang w:val="en-GB"/>
        </w:rPr>
        <w:t xml:space="preserve">. </w:t>
      </w:r>
    </w:p>
    <w:p w14:paraId="4E1EED2B" w14:textId="5CAED015" w:rsidR="00EA03F8" w:rsidRPr="001E33F2" w:rsidRDefault="00D0271D" w:rsidP="00EA03F8">
      <w:pPr>
        <w:pStyle w:val="CETBodytext"/>
        <w:rPr>
          <w:lang w:val="en-GB"/>
        </w:rPr>
      </w:pPr>
      <w:r>
        <w:rPr>
          <w:lang w:val="en-GB"/>
        </w:rPr>
        <w:t>The main three static discharges are as follow:</w:t>
      </w:r>
    </w:p>
    <w:p w14:paraId="77CEF230" w14:textId="47B7B1FD" w:rsidR="006E6148" w:rsidRPr="001E33F2" w:rsidRDefault="00D0271D" w:rsidP="006E6148">
      <w:pPr>
        <w:pStyle w:val="CETListbullets"/>
        <w:numPr>
          <w:ilvl w:val="0"/>
          <w:numId w:val="13"/>
        </w:numPr>
        <w:rPr>
          <w:bCs/>
        </w:rPr>
      </w:pPr>
      <w:r>
        <w:rPr>
          <w:bCs/>
        </w:rPr>
        <w:t>Cone discharge: w</w:t>
      </w:r>
      <w:r w:rsidRPr="00D0271D">
        <w:rPr>
          <w:bCs/>
        </w:rPr>
        <w:t>hen highly charged insulating powder is filled into silos or large containers</w:t>
      </w:r>
      <w:r>
        <w:rPr>
          <w:bCs/>
        </w:rPr>
        <w:t>,</w:t>
      </w:r>
      <w:r w:rsidRPr="00D0271D">
        <w:rPr>
          <w:bCs/>
        </w:rPr>
        <w:t xml:space="preserve"> it generates a region of very high space charge density within the heap of bulked powder. This leads to high electrical fields at the top of the heap. Under those circumstances large discharges running (radially, in the case of cylindrical containers) along the surface have been observed.</w:t>
      </w:r>
      <w:r w:rsidR="006E6148" w:rsidRPr="001E33F2">
        <w:rPr>
          <w:bCs/>
        </w:rPr>
        <w:t xml:space="preserve"> </w:t>
      </w:r>
      <w:r>
        <w:rPr>
          <w:bCs/>
        </w:rPr>
        <w:t xml:space="preserve">Based on several and extensive experiments performed in earthed conductive silos, </w:t>
      </w:r>
      <w:r w:rsidR="006E6148" w:rsidRPr="001E33F2">
        <w:rPr>
          <w:bCs/>
        </w:rPr>
        <w:t>the energy release</w:t>
      </w:r>
      <w:r>
        <w:rPr>
          <w:bCs/>
        </w:rPr>
        <w:t>d</w:t>
      </w:r>
      <w:r w:rsidR="006E6148" w:rsidRPr="001E33F2">
        <w:rPr>
          <w:bCs/>
        </w:rPr>
        <w:t xml:space="preserve"> from a cone discharge</w:t>
      </w:r>
      <w:r>
        <w:rPr>
          <w:bCs/>
        </w:rPr>
        <w:t xml:space="preserve"> depends on the silo diameter and the particle size (mass median) of the dust creating the powder heap, as follow</w:t>
      </w:r>
      <w:r w:rsidR="006E6148" w:rsidRPr="001E33F2">
        <w:rPr>
          <w:bCs/>
        </w:rPr>
        <w:t>:</w:t>
      </w:r>
    </w:p>
    <w:tbl>
      <w:tblPr>
        <w:tblW w:w="5000" w:type="pct"/>
        <w:tblLook w:val="04A0" w:firstRow="1" w:lastRow="0" w:firstColumn="1" w:lastColumn="0" w:noHBand="0" w:noVBand="1"/>
      </w:tblPr>
      <w:tblGrid>
        <w:gridCol w:w="7983"/>
        <w:gridCol w:w="804"/>
      </w:tblGrid>
      <w:tr w:rsidR="006E6148" w:rsidRPr="001E33F2" w14:paraId="7EDDF6AA" w14:textId="77777777" w:rsidTr="008718C0">
        <w:tc>
          <w:tcPr>
            <w:tcW w:w="8188" w:type="dxa"/>
            <w:shd w:val="clear" w:color="auto" w:fill="auto"/>
            <w:vAlign w:val="center"/>
          </w:tcPr>
          <w:p w14:paraId="79984E01" w14:textId="7D5FA591" w:rsidR="006E6148" w:rsidRPr="001E33F2" w:rsidRDefault="006E6148" w:rsidP="00476494">
            <w:pPr>
              <w:pStyle w:val="CETEquation"/>
              <w:ind w:left="313"/>
            </w:pPr>
            <m:oMathPara>
              <m:oMathParaPr>
                <m:jc m:val="left"/>
              </m:oMathParaPr>
              <m:oMath>
                <m:r>
                  <w:rPr>
                    <w:rFonts w:ascii="Cambria Math" w:hAnsi="Cambria Math"/>
                  </w:rPr>
                  <m:t>E=5</m:t>
                </m:r>
                <m:r>
                  <w:rPr>
                    <w:rFonts w:ascii="Cambria Math" w:hAnsi="Cambria Math"/>
                  </w:rPr>
                  <m:t>.</m:t>
                </m:r>
                <m:r>
                  <w:rPr>
                    <w:rFonts w:ascii="Cambria Math" w:hAnsi="Cambria Math"/>
                  </w:rPr>
                  <m:t xml:space="preserve">22* </m:t>
                </m:r>
                <m:sSup>
                  <m:sSupPr>
                    <m:ctrlPr>
                      <w:rPr>
                        <w:rFonts w:ascii="Cambria Math" w:hAnsi="Cambria Math"/>
                        <w:i/>
                      </w:rPr>
                    </m:ctrlPr>
                  </m:sSupPr>
                  <m:e>
                    <m:r>
                      <w:rPr>
                        <w:rFonts w:ascii="Cambria Math" w:hAnsi="Cambria Math"/>
                      </w:rPr>
                      <m:t>D</m:t>
                    </m:r>
                  </m:e>
                  <m:sup>
                    <m:r>
                      <w:rPr>
                        <w:rFonts w:ascii="Cambria Math" w:hAnsi="Cambria Math"/>
                      </w:rPr>
                      <m:t>3</m:t>
                    </m:r>
                    <m:r>
                      <w:rPr>
                        <w:rFonts w:ascii="Cambria Math" w:hAnsi="Cambria Math"/>
                      </w:rPr>
                      <m:t>.</m:t>
                    </m:r>
                    <m:r>
                      <w:rPr>
                        <w:rFonts w:ascii="Cambria Math" w:hAnsi="Cambria Math"/>
                      </w:rPr>
                      <m:t>36</m:t>
                    </m:r>
                  </m:sup>
                </m:sSup>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1</m:t>
                    </m:r>
                    <m:r>
                      <w:rPr>
                        <w:rFonts w:ascii="Cambria Math" w:hAnsi="Cambria Math"/>
                      </w:rPr>
                      <m:t>.</m:t>
                    </m:r>
                    <m:r>
                      <w:rPr>
                        <w:rFonts w:ascii="Cambria Math" w:hAnsi="Cambria Math"/>
                      </w:rPr>
                      <m:t>462</m:t>
                    </m:r>
                  </m:sup>
                </m:sSup>
              </m:oMath>
            </m:oMathPara>
          </w:p>
        </w:tc>
        <w:tc>
          <w:tcPr>
            <w:tcW w:w="815" w:type="dxa"/>
            <w:shd w:val="clear" w:color="auto" w:fill="auto"/>
            <w:vAlign w:val="center"/>
          </w:tcPr>
          <w:p w14:paraId="62F57D8A" w14:textId="77777777" w:rsidR="006E6148" w:rsidRPr="001E33F2" w:rsidRDefault="006E6148" w:rsidP="008718C0">
            <w:pPr>
              <w:pStyle w:val="CETEquation"/>
              <w:jc w:val="right"/>
            </w:pPr>
            <w:r w:rsidRPr="001E33F2">
              <w:t>(1)</w:t>
            </w:r>
          </w:p>
        </w:tc>
      </w:tr>
    </w:tbl>
    <w:p w14:paraId="5A091892" w14:textId="02DE5AEE" w:rsidR="00654A06" w:rsidRPr="001E33F2" w:rsidRDefault="006E6148" w:rsidP="006E6148">
      <w:pPr>
        <w:pStyle w:val="CETListbullets"/>
        <w:ind w:firstLine="0"/>
        <w:rPr>
          <w:bCs/>
        </w:rPr>
      </w:pPr>
      <w:r w:rsidRPr="001E33F2">
        <w:rPr>
          <w:bCs/>
        </w:rPr>
        <w:t xml:space="preserve">Where: </w:t>
      </w:r>
    </w:p>
    <w:p w14:paraId="59236C69" w14:textId="663A26C3" w:rsidR="006E6148" w:rsidRPr="001E33F2" w:rsidRDefault="006E6148" w:rsidP="005F6D2F">
      <w:pPr>
        <w:pStyle w:val="CETnumberingbullets"/>
        <w:numPr>
          <w:ilvl w:val="1"/>
          <w:numId w:val="13"/>
        </w:numPr>
        <w:ind w:left="709"/>
        <w:rPr>
          <w:bCs/>
        </w:rPr>
      </w:pPr>
      <w:r w:rsidRPr="001E33F2">
        <w:rPr>
          <w:bCs/>
        </w:rPr>
        <w:t xml:space="preserve">E = upper limit of the energy of the cone discharge in </w:t>
      </w:r>
      <w:proofErr w:type="spellStart"/>
      <w:proofErr w:type="gramStart"/>
      <w:r w:rsidRPr="001E33F2">
        <w:rPr>
          <w:bCs/>
        </w:rPr>
        <w:t>mJ</w:t>
      </w:r>
      <w:proofErr w:type="spellEnd"/>
      <w:r w:rsidR="005E4563">
        <w:rPr>
          <w:bCs/>
        </w:rPr>
        <w:t>;</w:t>
      </w:r>
      <w:proofErr w:type="gramEnd"/>
    </w:p>
    <w:p w14:paraId="10E3F0FF" w14:textId="43D0A540" w:rsidR="006E6148" w:rsidRPr="001E33F2" w:rsidRDefault="006E6148" w:rsidP="005F6D2F">
      <w:pPr>
        <w:pStyle w:val="CETnumberingbullets"/>
        <w:numPr>
          <w:ilvl w:val="1"/>
          <w:numId w:val="13"/>
        </w:numPr>
        <w:ind w:left="709"/>
        <w:rPr>
          <w:bCs/>
        </w:rPr>
      </w:pPr>
      <w:r w:rsidRPr="001E33F2">
        <w:rPr>
          <w:bCs/>
        </w:rPr>
        <w:t>D = diameter of the earthed conductive silo in metres (valid for 0</w:t>
      </w:r>
      <w:r w:rsidR="007828EB">
        <w:rPr>
          <w:bCs/>
        </w:rPr>
        <w:t>.</w:t>
      </w:r>
      <w:r w:rsidRPr="001E33F2">
        <w:rPr>
          <w:bCs/>
        </w:rPr>
        <w:t>5 m &lt; D &lt; 3 m</w:t>
      </w:r>
      <w:proofErr w:type="gramStart"/>
      <w:r w:rsidRPr="001E33F2">
        <w:rPr>
          <w:bCs/>
        </w:rPr>
        <w:t>)</w:t>
      </w:r>
      <w:r w:rsidR="005E4563">
        <w:rPr>
          <w:bCs/>
        </w:rPr>
        <w:t>;</w:t>
      </w:r>
      <w:proofErr w:type="gramEnd"/>
    </w:p>
    <w:p w14:paraId="384F58F2" w14:textId="2A4C81C8" w:rsidR="006E6148" w:rsidRPr="001E33F2" w:rsidRDefault="006E6148" w:rsidP="005F6D2F">
      <w:pPr>
        <w:pStyle w:val="CETnumberingbullets"/>
        <w:numPr>
          <w:ilvl w:val="1"/>
          <w:numId w:val="13"/>
        </w:numPr>
        <w:ind w:left="709"/>
        <w:rPr>
          <w:bCs/>
        </w:rPr>
      </w:pPr>
      <w:r w:rsidRPr="001E33F2">
        <w:rPr>
          <w:bCs/>
        </w:rPr>
        <w:t xml:space="preserve">d = mass median of the particle size distribution of the powder forming the cone in </w:t>
      </w:r>
      <w:r w:rsidR="007E14B3" w:rsidRPr="001E33F2">
        <w:rPr>
          <w:bCs/>
        </w:rPr>
        <w:t>mm</w:t>
      </w:r>
      <w:r w:rsidRPr="001E33F2">
        <w:rPr>
          <w:bCs/>
        </w:rPr>
        <w:t xml:space="preserve"> (valid for 0</w:t>
      </w:r>
      <w:r w:rsidR="007828EB">
        <w:rPr>
          <w:bCs/>
        </w:rPr>
        <w:t>.</w:t>
      </w:r>
      <w:r w:rsidRPr="001E33F2">
        <w:rPr>
          <w:bCs/>
        </w:rPr>
        <w:t>1 mm &lt; d &lt; 3 mm)</w:t>
      </w:r>
      <w:r w:rsidR="005E4563">
        <w:rPr>
          <w:bCs/>
        </w:rPr>
        <w:t>.</w:t>
      </w:r>
    </w:p>
    <w:p w14:paraId="2262B558" w14:textId="55666DEF" w:rsidR="006E6148" w:rsidRPr="005F6D2F" w:rsidRDefault="008E7137" w:rsidP="00EA5A67">
      <w:pPr>
        <w:pStyle w:val="CETListbullets"/>
        <w:numPr>
          <w:ilvl w:val="0"/>
          <w:numId w:val="13"/>
        </w:numPr>
        <w:rPr>
          <w:bCs/>
        </w:rPr>
      </w:pPr>
      <w:r w:rsidRPr="005F6D2F">
        <w:rPr>
          <w:bCs/>
        </w:rPr>
        <w:t xml:space="preserve">Sparks </w:t>
      </w:r>
      <w:proofErr w:type="gramStart"/>
      <w:r w:rsidRPr="005F6D2F">
        <w:rPr>
          <w:bCs/>
        </w:rPr>
        <w:t>discharge</w:t>
      </w:r>
      <w:r w:rsidR="005F6D2F" w:rsidRPr="005F6D2F">
        <w:rPr>
          <w:bCs/>
        </w:rPr>
        <w:t>:</w:t>
      </w:r>
      <w:proofErr w:type="gramEnd"/>
      <w:r w:rsidR="005F6D2F" w:rsidRPr="005F6D2F">
        <w:rPr>
          <w:bCs/>
        </w:rPr>
        <w:t xml:space="preserve"> it</w:t>
      </w:r>
      <w:r w:rsidR="005F6D2F" w:rsidRPr="005F6D2F">
        <w:t xml:space="preserve"> </w:t>
      </w:r>
      <w:r w:rsidR="005F6D2F" w:rsidRPr="005F6D2F">
        <w:rPr>
          <w:bCs/>
        </w:rPr>
        <w:t>can occur due to the charging of electrically isolated conductive parts of equipment or accumulations of low resistivity powders. In most cases, virtually all the stored electrostatic energy is dissipated in the spark.</w:t>
      </w:r>
      <w:r w:rsidR="005F6D2F">
        <w:rPr>
          <w:bCs/>
        </w:rPr>
        <w:t xml:space="preserve"> The stored energy that could be released in the spark </w:t>
      </w:r>
      <w:r w:rsidR="0062232C" w:rsidRPr="005F6D2F">
        <w:rPr>
          <w:bCs/>
        </w:rPr>
        <w:t xml:space="preserve">can be evaluated using the following equation: </w:t>
      </w:r>
    </w:p>
    <w:tbl>
      <w:tblPr>
        <w:tblW w:w="5000" w:type="pct"/>
        <w:tblLook w:val="04A0" w:firstRow="1" w:lastRow="0" w:firstColumn="1" w:lastColumn="0" w:noHBand="0" w:noVBand="1"/>
      </w:tblPr>
      <w:tblGrid>
        <w:gridCol w:w="7983"/>
        <w:gridCol w:w="804"/>
      </w:tblGrid>
      <w:tr w:rsidR="008779A2" w:rsidRPr="001E33F2" w14:paraId="735B7B95" w14:textId="77777777" w:rsidTr="00903664">
        <w:tc>
          <w:tcPr>
            <w:tcW w:w="8188" w:type="dxa"/>
            <w:shd w:val="clear" w:color="auto" w:fill="auto"/>
            <w:vAlign w:val="center"/>
          </w:tcPr>
          <w:p w14:paraId="7C703FDF" w14:textId="0E00FD05" w:rsidR="008779A2" w:rsidRPr="001E33F2" w:rsidRDefault="0062232C" w:rsidP="009C02B5">
            <w:pPr>
              <w:pStyle w:val="CETEquation"/>
              <w:ind w:left="317"/>
            </w:pPr>
            <m:oMathPara>
              <m:oMathParaPr>
                <m:jc m:val="left"/>
              </m:oMathParaPr>
              <m:oMath>
                <m:r>
                  <w:rPr>
                    <w:rFonts w:ascii="Cambria Math" w:hAnsi="Cambria Math"/>
                  </w:rPr>
                  <m:t>W=</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Q V=</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C </m:t>
                </m:r>
                <m:sSup>
                  <m:sSupPr>
                    <m:ctrlPr>
                      <w:rPr>
                        <w:rFonts w:ascii="Cambria Math" w:hAnsi="Cambria Math"/>
                        <w:i/>
                      </w:rPr>
                    </m:ctrlPr>
                  </m:sSupPr>
                  <m:e>
                    <m:r>
                      <w:rPr>
                        <w:rFonts w:ascii="Cambria Math" w:hAnsi="Cambria Math"/>
                      </w:rPr>
                      <m:t>V</m:t>
                    </m:r>
                  </m:e>
                  <m:sup>
                    <m:r>
                      <w:rPr>
                        <w:rFonts w:ascii="Cambria Math" w:hAnsi="Cambria Math"/>
                      </w:rPr>
                      <m:t>2</m:t>
                    </m:r>
                  </m:sup>
                </m:sSup>
              </m:oMath>
            </m:oMathPara>
          </w:p>
        </w:tc>
        <w:tc>
          <w:tcPr>
            <w:tcW w:w="815" w:type="dxa"/>
            <w:shd w:val="clear" w:color="auto" w:fill="auto"/>
            <w:vAlign w:val="center"/>
          </w:tcPr>
          <w:p w14:paraId="794F5421" w14:textId="5523D722" w:rsidR="008779A2" w:rsidRPr="001E33F2" w:rsidRDefault="008779A2" w:rsidP="00903664">
            <w:pPr>
              <w:pStyle w:val="CETEquation"/>
              <w:jc w:val="right"/>
            </w:pPr>
            <w:r w:rsidRPr="001E33F2">
              <w:t>(</w:t>
            </w:r>
            <w:r w:rsidR="0062232C" w:rsidRPr="001E33F2">
              <w:t>2</w:t>
            </w:r>
            <w:r w:rsidRPr="001E33F2">
              <w:t>)</w:t>
            </w:r>
          </w:p>
        </w:tc>
      </w:tr>
    </w:tbl>
    <w:p w14:paraId="17A0FE3D" w14:textId="77777777" w:rsidR="008779A2" w:rsidRPr="001E33F2" w:rsidRDefault="008779A2" w:rsidP="008779A2">
      <w:pPr>
        <w:pStyle w:val="CETListbullets"/>
        <w:ind w:firstLine="0"/>
        <w:rPr>
          <w:bCs/>
        </w:rPr>
      </w:pPr>
      <w:r w:rsidRPr="001E33F2">
        <w:rPr>
          <w:bCs/>
        </w:rPr>
        <w:t xml:space="preserve">Where: </w:t>
      </w:r>
    </w:p>
    <w:p w14:paraId="16462E6C" w14:textId="4EF368FE" w:rsidR="008779A2" w:rsidRPr="001E33F2" w:rsidRDefault="0062232C" w:rsidP="005F6D2F">
      <w:pPr>
        <w:pStyle w:val="CETnumberingbullets"/>
        <w:numPr>
          <w:ilvl w:val="1"/>
          <w:numId w:val="13"/>
        </w:numPr>
        <w:ind w:left="709"/>
        <w:rPr>
          <w:bCs/>
        </w:rPr>
      </w:pPr>
      <w:r w:rsidRPr="001E33F2">
        <w:rPr>
          <w:bCs/>
        </w:rPr>
        <w:t>W</w:t>
      </w:r>
      <w:r w:rsidR="008779A2" w:rsidRPr="001E33F2">
        <w:rPr>
          <w:bCs/>
        </w:rPr>
        <w:t xml:space="preserve"> = </w:t>
      </w:r>
      <w:r w:rsidRPr="001E33F2">
        <w:rPr>
          <w:bCs/>
        </w:rPr>
        <w:t xml:space="preserve">is the energy dissipated in </w:t>
      </w:r>
      <w:proofErr w:type="gramStart"/>
      <w:r w:rsidR="00FE298D">
        <w:rPr>
          <w:bCs/>
        </w:rPr>
        <w:t>J</w:t>
      </w:r>
      <w:r w:rsidRPr="001E33F2">
        <w:rPr>
          <w:bCs/>
        </w:rPr>
        <w:t>oules</w:t>
      </w:r>
      <w:r w:rsidR="008779A2" w:rsidRPr="001E33F2">
        <w:rPr>
          <w:bCs/>
        </w:rPr>
        <w:t>;</w:t>
      </w:r>
      <w:proofErr w:type="gramEnd"/>
    </w:p>
    <w:p w14:paraId="1D6FAAEC" w14:textId="53A9BA49" w:rsidR="008779A2" w:rsidRPr="001E33F2" w:rsidRDefault="0062232C" w:rsidP="005F6D2F">
      <w:pPr>
        <w:pStyle w:val="CETnumberingbullets"/>
        <w:numPr>
          <w:ilvl w:val="1"/>
          <w:numId w:val="13"/>
        </w:numPr>
        <w:ind w:left="709"/>
        <w:rPr>
          <w:bCs/>
        </w:rPr>
      </w:pPr>
      <w:r w:rsidRPr="001E33F2">
        <w:rPr>
          <w:bCs/>
        </w:rPr>
        <w:t>Q</w:t>
      </w:r>
      <w:r w:rsidR="008779A2" w:rsidRPr="001E33F2">
        <w:rPr>
          <w:bCs/>
        </w:rPr>
        <w:t xml:space="preserve"> = </w:t>
      </w:r>
      <w:r w:rsidRPr="001E33F2">
        <w:rPr>
          <w:bCs/>
        </w:rPr>
        <w:t xml:space="preserve">is the quantity of charge on the conductor in </w:t>
      </w:r>
      <w:proofErr w:type="gramStart"/>
      <w:r w:rsidR="00FE298D">
        <w:rPr>
          <w:bCs/>
        </w:rPr>
        <w:t>C</w:t>
      </w:r>
      <w:r w:rsidRPr="001E33F2">
        <w:rPr>
          <w:bCs/>
        </w:rPr>
        <w:t>oulombs;</w:t>
      </w:r>
      <w:proofErr w:type="gramEnd"/>
    </w:p>
    <w:p w14:paraId="3AC265A0" w14:textId="3F898482" w:rsidR="0062232C" w:rsidRPr="001E33F2" w:rsidRDefault="0062232C" w:rsidP="005F6D2F">
      <w:pPr>
        <w:pStyle w:val="CETnumberingbullets"/>
        <w:numPr>
          <w:ilvl w:val="1"/>
          <w:numId w:val="13"/>
        </w:numPr>
        <w:ind w:left="709"/>
        <w:rPr>
          <w:bCs/>
        </w:rPr>
      </w:pPr>
      <w:r w:rsidRPr="001E33F2">
        <w:rPr>
          <w:bCs/>
        </w:rPr>
        <w:t>V</w:t>
      </w:r>
      <w:r w:rsidR="008779A2" w:rsidRPr="001E33F2">
        <w:rPr>
          <w:bCs/>
        </w:rPr>
        <w:t xml:space="preserve"> = </w:t>
      </w:r>
      <w:r w:rsidRPr="001E33F2">
        <w:rPr>
          <w:bCs/>
        </w:rPr>
        <w:t xml:space="preserve">is its potential in </w:t>
      </w:r>
      <w:proofErr w:type="gramStart"/>
      <w:r w:rsidR="00FE298D">
        <w:rPr>
          <w:bCs/>
        </w:rPr>
        <w:t>V</w:t>
      </w:r>
      <w:r w:rsidRPr="001E33F2">
        <w:rPr>
          <w:bCs/>
        </w:rPr>
        <w:t>olts;</w:t>
      </w:r>
      <w:proofErr w:type="gramEnd"/>
    </w:p>
    <w:p w14:paraId="5FFCD05C" w14:textId="26ED2D74" w:rsidR="008779A2" w:rsidRPr="001E33F2" w:rsidRDefault="0062232C" w:rsidP="005F6D2F">
      <w:pPr>
        <w:pStyle w:val="CETnumberingbullets"/>
        <w:numPr>
          <w:ilvl w:val="1"/>
          <w:numId w:val="13"/>
        </w:numPr>
        <w:ind w:left="709"/>
        <w:rPr>
          <w:bCs/>
        </w:rPr>
      </w:pPr>
      <w:r w:rsidRPr="001E33F2">
        <w:rPr>
          <w:bCs/>
        </w:rPr>
        <w:t xml:space="preserve">C = is its capacitance in </w:t>
      </w:r>
      <w:r w:rsidR="00FE298D">
        <w:rPr>
          <w:bCs/>
        </w:rPr>
        <w:t>F</w:t>
      </w:r>
      <w:r w:rsidRPr="001E33F2">
        <w:rPr>
          <w:bCs/>
        </w:rPr>
        <w:t>arads.</w:t>
      </w:r>
    </w:p>
    <w:p w14:paraId="2A006F0F" w14:textId="4835DA68" w:rsidR="00654A06" w:rsidRDefault="00654A06" w:rsidP="00654A06">
      <w:pPr>
        <w:pStyle w:val="CETListbullets"/>
        <w:numPr>
          <w:ilvl w:val="0"/>
          <w:numId w:val="13"/>
        </w:numPr>
        <w:rPr>
          <w:bCs/>
        </w:rPr>
      </w:pPr>
      <w:r w:rsidRPr="001E33F2">
        <w:rPr>
          <w:bCs/>
        </w:rPr>
        <w:t>Static discharge due to operator</w:t>
      </w:r>
      <w:r w:rsidR="008779A2" w:rsidRPr="001E33F2">
        <w:rPr>
          <w:bCs/>
        </w:rPr>
        <w:t xml:space="preserve"> may occur when the operator is not correctly grounded (e.g., not wearing antistatic </w:t>
      </w:r>
      <w:r w:rsidR="00295F40">
        <w:rPr>
          <w:bCs/>
        </w:rPr>
        <w:t xml:space="preserve">PPE – e.g., gloves, </w:t>
      </w:r>
      <w:r w:rsidR="008779A2" w:rsidRPr="001E33F2">
        <w:rPr>
          <w:bCs/>
        </w:rPr>
        <w:t>shoes</w:t>
      </w:r>
      <w:r w:rsidR="00295F40">
        <w:rPr>
          <w:bCs/>
        </w:rPr>
        <w:t xml:space="preserve"> –</w:t>
      </w:r>
      <w:r w:rsidR="008779A2" w:rsidRPr="001E33F2">
        <w:rPr>
          <w:bCs/>
        </w:rPr>
        <w:t xml:space="preserve"> insulative painting on the floor, use of insulative tools to perform manual operations). According</w:t>
      </w:r>
      <w:r w:rsidR="006808E3">
        <w:rPr>
          <w:bCs/>
        </w:rPr>
        <w:t xml:space="preserve"> to</w:t>
      </w:r>
      <w:r w:rsidR="004C2E43">
        <w:rPr>
          <w:bCs/>
        </w:rPr>
        <w:t xml:space="preserve"> the Standard</w:t>
      </w:r>
      <w:r w:rsidR="006808E3">
        <w:rPr>
          <w:bCs/>
        </w:rPr>
        <w:t xml:space="preserve"> IEC 60079-32-1:201</w:t>
      </w:r>
      <w:r w:rsidR="00AD3991">
        <w:rPr>
          <w:bCs/>
        </w:rPr>
        <w:t>7</w:t>
      </w:r>
      <w:r w:rsidR="008779A2" w:rsidRPr="001E33F2">
        <w:rPr>
          <w:bCs/>
        </w:rPr>
        <w:t xml:space="preserve">, </w:t>
      </w:r>
      <w:r w:rsidR="006808E3">
        <w:rPr>
          <w:bCs/>
        </w:rPr>
        <w:t>t</w:t>
      </w:r>
      <w:r w:rsidR="006808E3" w:rsidRPr="006808E3">
        <w:rPr>
          <w:bCs/>
        </w:rPr>
        <w:t xml:space="preserve">he worst-case voltage which may commonly be acquired by people is about 20 kV. With the typical capacitance of the human body being about 150 pF, the resulting maximum stored energy is about 30 </w:t>
      </w:r>
      <w:proofErr w:type="spellStart"/>
      <w:r w:rsidR="006808E3" w:rsidRPr="006808E3">
        <w:rPr>
          <w:bCs/>
        </w:rPr>
        <w:t>mJ</w:t>
      </w:r>
      <w:proofErr w:type="spellEnd"/>
      <w:r w:rsidR="00821018" w:rsidRPr="001E33F2">
        <w:rPr>
          <w:bCs/>
        </w:rPr>
        <w:t xml:space="preserve">. </w:t>
      </w:r>
    </w:p>
    <w:p w14:paraId="1E8EDB1B" w14:textId="77777777" w:rsidR="00D26CAD" w:rsidRPr="001E33F2" w:rsidRDefault="00D26CAD" w:rsidP="00D26CAD">
      <w:pPr>
        <w:pStyle w:val="CETListbullets"/>
        <w:rPr>
          <w:bCs/>
        </w:rPr>
      </w:pPr>
    </w:p>
    <w:p w14:paraId="11556B07" w14:textId="77777777" w:rsidR="00446808" w:rsidRPr="00D26CAD" w:rsidRDefault="00446808" w:rsidP="00D26CAD">
      <w:pPr>
        <w:pStyle w:val="Tabellasemplice1"/>
        <w:rPr>
          <w:rFonts w:ascii="Arial" w:hAnsi="Arial"/>
          <w:b/>
          <w:sz w:val="18"/>
          <w:lang w:val="en-GB" w:eastAsia="en-US"/>
        </w:rPr>
      </w:pPr>
      <w:r w:rsidRPr="00D26CAD">
        <w:rPr>
          <w:rFonts w:ascii="Arial" w:hAnsi="Arial"/>
          <w:b/>
          <w:sz w:val="18"/>
          <w:lang w:val="en-GB" w:eastAsia="en-US"/>
        </w:rPr>
        <w:t xml:space="preserve">Ignition probability evaluation </w:t>
      </w:r>
    </w:p>
    <w:p w14:paraId="14F7AE62" w14:textId="55944190" w:rsidR="00446808" w:rsidRPr="001E33F2" w:rsidRDefault="0066003E" w:rsidP="00446808">
      <w:pPr>
        <w:pStyle w:val="CETBodytext"/>
        <w:rPr>
          <w:lang w:val="en-GB"/>
        </w:rPr>
      </w:pPr>
      <w:r w:rsidRPr="001E33F2">
        <w:rPr>
          <w:lang w:val="en-GB"/>
        </w:rPr>
        <w:t xml:space="preserve">The probability of the ignition to be effective </w:t>
      </w:r>
      <w:proofErr w:type="gramStart"/>
      <w:r w:rsidRPr="001E33F2">
        <w:rPr>
          <w:lang w:val="en-GB"/>
        </w:rPr>
        <w:t>has to</w:t>
      </w:r>
      <w:proofErr w:type="gramEnd"/>
      <w:r w:rsidRPr="001E33F2">
        <w:rPr>
          <w:lang w:val="en-GB"/>
        </w:rPr>
        <w:t xml:space="preserve"> be selected from the comparison between the maximum foreseeable </w:t>
      </w:r>
      <w:r>
        <w:rPr>
          <w:lang w:val="en-GB"/>
        </w:rPr>
        <w:t xml:space="preserve">energy that could be released from the specific static discharge </w:t>
      </w:r>
      <w:r w:rsidRPr="001E33F2">
        <w:rPr>
          <w:lang w:val="en-GB"/>
        </w:rPr>
        <w:t>and the MIE</w:t>
      </w:r>
      <w:r>
        <w:rPr>
          <w:lang w:val="en-GB"/>
        </w:rPr>
        <w:t xml:space="preserve"> of the dust under evaluation</w:t>
      </w:r>
      <w:r w:rsidRPr="001E33F2">
        <w:rPr>
          <w:lang w:val="en-GB"/>
        </w:rPr>
        <w:t>, as follow</w:t>
      </w:r>
      <w:r w:rsidR="00446808" w:rsidRPr="001E33F2">
        <w:rPr>
          <w:lang w:val="en-GB"/>
        </w:rPr>
        <w:t>:</w:t>
      </w:r>
    </w:p>
    <w:p w14:paraId="7CE999F9" w14:textId="5103EDE4" w:rsidR="00446808" w:rsidRPr="001E33F2" w:rsidRDefault="00446808" w:rsidP="00246982">
      <w:pPr>
        <w:pStyle w:val="CETBodytext"/>
        <w:numPr>
          <w:ilvl w:val="0"/>
          <w:numId w:val="25"/>
        </w:numPr>
        <w:ind w:left="426"/>
        <w:rPr>
          <w:lang w:val="en-GB"/>
        </w:rPr>
      </w:pPr>
      <w:r w:rsidRPr="001E33F2">
        <w:rPr>
          <w:lang w:val="en-GB"/>
        </w:rPr>
        <w:t xml:space="preserve">High </w:t>
      </w:r>
      <w:r w:rsidR="001F4E1E">
        <w:rPr>
          <w:lang w:val="en-GB"/>
        </w:rPr>
        <w:t>impact</w:t>
      </w:r>
      <w:r w:rsidRPr="001E33F2">
        <w:rPr>
          <w:lang w:val="en-GB"/>
        </w:rPr>
        <w:t xml:space="preserve">: if the value it’s </w:t>
      </w:r>
      <w:r w:rsidR="0066003E" w:rsidRPr="00246982">
        <w:rPr>
          <w:lang w:val="en-GB"/>
        </w:rPr>
        <w:t>≥</w:t>
      </w:r>
      <w:r w:rsidRPr="001E33F2">
        <w:rPr>
          <w:lang w:val="en-GB"/>
        </w:rPr>
        <w:t xml:space="preserve"> MIE, </w:t>
      </w:r>
      <w:bookmarkStart w:id="4" w:name="_Hlk184910119"/>
      <w:r w:rsidR="001F4E1E" w:rsidRPr="001E33F2">
        <w:rPr>
          <w:lang w:val="en-GB"/>
        </w:rPr>
        <w:t xml:space="preserve">then </w:t>
      </w:r>
      <w:r w:rsidR="001F4E1E">
        <w:rPr>
          <w:lang w:val="en-GB"/>
        </w:rPr>
        <w:t>the</w:t>
      </w:r>
      <w:r w:rsidR="001F4E1E" w:rsidRPr="001E33F2">
        <w:rPr>
          <w:lang w:val="en-GB"/>
        </w:rPr>
        <w:t xml:space="preserve"> probability assigned is </w:t>
      </w:r>
      <w:r w:rsidRPr="001E33F2">
        <w:rPr>
          <w:lang w:val="en-GB"/>
        </w:rPr>
        <w:t>P</w:t>
      </w:r>
      <w:r w:rsidR="00246982">
        <w:rPr>
          <w:lang w:val="en-GB"/>
        </w:rPr>
        <w:t xml:space="preserve"> </w:t>
      </w:r>
      <w:r w:rsidRPr="001E33F2">
        <w:rPr>
          <w:lang w:val="en-GB"/>
        </w:rPr>
        <w:t>=</w:t>
      </w:r>
      <w:r w:rsidR="00246982">
        <w:rPr>
          <w:lang w:val="en-GB"/>
        </w:rPr>
        <w:t xml:space="preserve"> </w:t>
      </w:r>
      <w:proofErr w:type="gramStart"/>
      <w:r w:rsidRPr="001E33F2">
        <w:rPr>
          <w:lang w:val="en-GB"/>
        </w:rPr>
        <w:t>1;</w:t>
      </w:r>
      <w:bookmarkEnd w:id="4"/>
      <w:proofErr w:type="gramEnd"/>
    </w:p>
    <w:p w14:paraId="6AD4CF04" w14:textId="4001082B" w:rsidR="001F4E1E" w:rsidRPr="001E33F2" w:rsidRDefault="00446808" w:rsidP="00246982">
      <w:pPr>
        <w:pStyle w:val="CETBodytext"/>
        <w:numPr>
          <w:ilvl w:val="0"/>
          <w:numId w:val="25"/>
        </w:numPr>
        <w:ind w:left="426"/>
        <w:rPr>
          <w:lang w:val="en-GB"/>
        </w:rPr>
      </w:pPr>
      <w:r w:rsidRPr="001F4E1E">
        <w:rPr>
          <w:lang w:val="en-GB"/>
        </w:rPr>
        <w:t>Medium-high</w:t>
      </w:r>
      <w:r w:rsidR="001F4E1E" w:rsidRPr="001F4E1E">
        <w:rPr>
          <w:lang w:val="en-GB"/>
        </w:rPr>
        <w:t xml:space="preserve"> impact</w:t>
      </w:r>
      <w:r w:rsidRPr="001F4E1E">
        <w:rPr>
          <w:lang w:val="en-GB"/>
        </w:rPr>
        <w:t xml:space="preserve">: if the value is between 80% of MIE and MIE, </w:t>
      </w:r>
      <w:r w:rsidR="001F4E1E" w:rsidRPr="001E33F2">
        <w:rPr>
          <w:lang w:val="en-GB"/>
        </w:rPr>
        <w:t xml:space="preserve">then </w:t>
      </w:r>
      <w:r w:rsidR="001F4E1E">
        <w:rPr>
          <w:lang w:val="en-GB"/>
        </w:rPr>
        <w:t>the</w:t>
      </w:r>
      <w:r w:rsidR="001F4E1E" w:rsidRPr="001E33F2">
        <w:rPr>
          <w:lang w:val="en-GB"/>
        </w:rPr>
        <w:t xml:space="preserve"> probability assigned is P = </w:t>
      </w:r>
      <w:proofErr w:type="gramStart"/>
      <w:r w:rsidR="001F4E1E" w:rsidRPr="001E33F2">
        <w:rPr>
          <w:lang w:val="en-GB"/>
        </w:rPr>
        <w:t>0</w:t>
      </w:r>
      <w:r w:rsidR="007828EB">
        <w:rPr>
          <w:lang w:val="en-GB"/>
        </w:rPr>
        <w:t>.</w:t>
      </w:r>
      <w:r w:rsidR="001F4E1E" w:rsidRPr="001E33F2">
        <w:rPr>
          <w:lang w:val="en-GB"/>
        </w:rPr>
        <w:t>1;</w:t>
      </w:r>
      <w:proofErr w:type="gramEnd"/>
    </w:p>
    <w:p w14:paraId="247A786B" w14:textId="4BAC1403" w:rsidR="00446808" w:rsidRPr="001F4E1E" w:rsidRDefault="00446808" w:rsidP="00246982">
      <w:pPr>
        <w:pStyle w:val="CETBodytext"/>
        <w:numPr>
          <w:ilvl w:val="0"/>
          <w:numId w:val="25"/>
        </w:numPr>
        <w:ind w:left="426"/>
        <w:rPr>
          <w:lang w:val="en-GB"/>
        </w:rPr>
      </w:pPr>
      <w:r w:rsidRPr="001F4E1E">
        <w:rPr>
          <w:lang w:val="en-GB"/>
        </w:rPr>
        <w:t xml:space="preserve">Low </w:t>
      </w:r>
      <w:r w:rsidR="001F4E1E" w:rsidRPr="001F4E1E">
        <w:rPr>
          <w:lang w:val="en-GB"/>
        </w:rPr>
        <w:t>impact</w:t>
      </w:r>
      <w:r w:rsidRPr="001F4E1E">
        <w:rPr>
          <w:lang w:val="en-GB"/>
        </w:rPr>
        <w:t xml:space="preserve">: if the value is &lt; 80% of MIE, </w:t>
      </w:r>
      <w:r w:rsidR="001F4E1E" w:rsidRPr="001E33F2">
        <w:rPr>
          <w:lang w:val="en-GB"/>
        </w:rPr>
        <w:t xml:space="preserve">then </w:t>
      </w:r>
      <w:r w:rsidR="001F4E1E">
        <w:rPr>
          <w:lang w:val="en-GB"/>
        </w:rPr>
        <w:t>the</w:t>
      </w:r>
      <w:r w:rsidR="001F4E1E" w:rsidRPr="001E33F2">
        <w:rPr>
          <w:lang w:val="en-GB"/>
        </w:rPr>
        <w:t xml:space="preserve"> probability assigned is P = 0</w:t>
      </w:r>
      <w:r w:rsidR="007828EB">
        <w:rPr>
          <w:lang w:val="en-GB"/>
        </w:rPr>
        <w:t>.</w:t>
      </w:r>
      <w:r w:rsidR="001F4E1E" w:rsidRPr="001E33F2">
        <w:rPr>
          <w:lang w:val="en-GB"/>
        </w:rPr>
        <w:t>01</w:t>
      </w:r>
      <w:r w:rsidRPr="001F4E1E">
        <w:rPr>
          <w:lang w:val="en-GB"/>
        </w:rPr>
        <w:t xml:space="preserve">. </w:t>
      </w:r>
    </w:p>
    <w:p w14:paraId="3B549A6A" w14:textId="18D7BA23" w:rsidR="005F6D2F" w:rsidRPr="001E33F2" w:rsidRDefault="005F6D2F" w:rsidP="001F4E1E">
      <w:pPr>
        <w:pStyle w:val="CETListbullets"/>
        <w:ind w:left="0" w:firstLine="0"/>
        <w:rPr>
          <w:bCs/>
        </w:rPr>
      </w:pPr>
      <w:r w:rsidRPr="005F6D2F">
        <w:rPr>
          <w:bCs/>
        </w:rPr>
        <w:t>It is worth emphasizing</w:t>
      </w:r>
      <w:r>
        <w:rPr>
          <w:bCs/>
        </w:rPr>
        <w:t xml:space="preserve"> that the most relevant value of MIE to evaluate the electrostatic hazard is the MIE determined using a capacitive circuit without an additional inductance (as described in ISO/IEC 80079-20-2 and ASTM E2019-03).</w:t>
      </w:r>
    </w:p>
    <w:p w14:paraId="3243185B" w14:textId="051E9FD4" w:rsidR="00EA03F8" w:rsidRPr="00F40514" w:rsidRDefault="00EA03F8" w:rsidP="00EA03F8">
      <w:pPr>
        <w:pStyle w:val="CETheadingx"/>
      </w:pPr>
      <w:r w:rsidRPr="00F40514">
        <w:t>Frictional ignition sources</w:t>
      </w:r>
    </w:p>
    <w:p w14:paraId="768F7970" w14:textId="223301F7" w:rsidR="00195FE8" w:rsidRPr="00195FE8" w:rsidRDefault="00195FE8" w:rsidP="00195FE8">
      <w:pPr>
        <w:pStyle w:val="CETBodytext"/>
      </w:pPr>
      <w:r>
        <w:t xml:space="preserve">Friction, impact, or abrasion processes, such as grinding, can cause particles to detach from solid materials and become hot due to the energy involved. If these particles are oxidizable, like iron or steel, they can oxidize, increasing their temperature further. These hot particles, or sparks, can ignite flammable gases and dust/air mixtures, particularly metal dust/air mixtures. In deposited dust, these sparks can cause </w:t>
      </w:r>
      <w:proofErr w:type="spellStart"/>
      <w:r>
        <w:t>smouldering</w:t>
      </w:r>
      <w:proofErr w:type="spellEnd"/>
      <w:r>
        <w:t>, potentially igniting an explosive atmosphere.</w:t>
      </w:r>
      <w:r w:rsidR="00A826EA">
        <w:t xml:space="preserve"> </w:t>
      </w:r>
      <w:r>
        <w:t>When stainless steel undergoes impact, friction, or grinding, it can easily produce hot surfaces, serving as an effective ignition source. High contact pressure during friction or grinding can generate a burst of sparks, enhancing the ignition risk.</w:t>
      </w:r>
    </w:p>
    <w:p w14:paraId="2B6F1CC8" w14:textId="76EE35D5" w:rsidR="00195FE8" w:rsidRDefault="008700C6" w:rsidP="00EA03F8">
      <w:pPr>
        <w:pStyle w:val="CETBodytext"/>
        <w:rPr>
          <w:lang w:val="en-GB"/>
        </w:rPr>
      </w:pPr>
      <w:r>
        <w:rPr>
          <w:lang w:val="en-GB"/>
        </w:rPr>
        <w:t>As reported in the Standard ISO EN 80079-36:2016, a</w:t>
      </w:r>
      <w:r w:rsidRPr="008700C6">
        <w:rPr>
          <w:lang w:val="en-GB"/>
        </w:rPr>
        <w:t xml:space="preserve"> relative contact speed of 1 m/s is often used as the limit value below which friction ignition sources are not capable to ignite an explosive atmosphere</w:t>
      </w:r>
      <w:r w:rsidR="004375E0">
        <w:rPr>
          <w:lang w:val="en-GB"/>
        </w:rPr>
        <w:t>.</w:t>
      </w:r>
    </w:p>
    <w:p w14:paraId="0969D1FB" w14:textId="4665FF22" w:rsidR="00195FE8" w:rsidRDefault="00DE19C5" w:rsidP="00EA03F8">
      <w:pPr>
        <w:pStyle w:val="CETBodytext"/>
        <w:rPr>
          <w:lang w:val="en-GB"/>
        </w:rPr>
      </w:pPr>
      <w:r>
        <w:rPr>
          <w:lang w:val="en-GB"/>
        </w:rPr>
        <w:t>To this regard, analysis of incidents has led to the following values for the relationship between the ignition ability of rotating parts and their relative speed v (ISSA Prevention Series No, 2033, 2004):</w:t>
      </w:r>
    </w:p>
    <w:p w14:paraId="770EFC1C" w14:textId="77777777" w:rsidR="00D26CAD" w:rsidRDefault="00D26CAD" w:rsidP="00EA03F8">
      <w:pPr>
        <w:pStyle w:val="CETBodytext"/>
        <w:rPr>
          <w:lang w:val="en-GB"/>
        </w:rPr>
      </w:pPr>
    </w:p>
    <w:p w14:paraId="6D3196C7" w14:textId="26AE1FD3" w:rsidR="00177FB1" w:rsidRPr="00177FB1" w:rsidRDefault="00177FB1" w:rsidP="00177FB1">
      <w:pPr>
        <w:pStyle w:val="CETBodytext"/>
        <w:tabs>
          <w:tab w:val="clear" w:pos="7100"/>
          <w:tab w:val="left" w:pos="1701"/>
          <w:tab w:val="right" w:pos="5245"/>
        </w:tabs>
      </w:pPr>
      <m:oMath>
        <m:r>
          <w:rPr>
            <w:rFonts w:ascii="Cambria Math" w:hAnsi="Cambria Math"/>
            <w:lang w:val="en-GB"/>
          </w:rPr>
          <w:lastRenderedPageBreak/>
          <m:t>v</m:t>
        </m:r>
        <m:r>
          <w:rPr>
            <w:rFonts w:ascii="Cambria Math" w:hAnsi="Cambria Math"/>
          </w:rPr>
          <m:t>≤1</m:t>
        </m:r>
        <m:f>
          <m:fPr>
            <m:type m:val="lin"/>
            <m:ctrlPr>
              <w:rPr>
                <w:rFonts w:ascii="Cambria Math" w:hAnsi="Cambria Math"/>
                <w:i/>
                <w:lang w:val="en-GB"/>
              </w:rPr>
            </m:ctrlPr>
          </m:fPr>
          <m:num>
            <m:r>
              <w:rPr>
                <w:rFonts w:ascii="Cambria Math" w:hAnsi="Cambria Math"/>
                <w:lang w:val="en-GB"/>
              </w:rPr>
              <m:t>m</m:t>
            </m:r>
          </m:num>
          <m:den>
            <m:r>
              <w:rPr>
                <w:rFonts w:ascii="Cambria Math" w:hAnsi="Cambria Math"/>
                <w:lang w:val="en-GB"/>
              </w:rPr>
              <m:t>s</m:t>
            </m:r>
          </m:den>
        </m:f>
      </m:oMath>
      <w:r w:rsidRPr="00177FB1">
        <w:tab/>
      </w:r>
      <w:r>
        <w:sym w:font="Wingdings" w:char="F0E0"/>
      </w:r>
      <w:r w:rsidRPr="00177FB1">
        <w:t xml:space="preserve"> no ignition haza</w:t>
      </w:r>
      <w:r>
        <w:t>rd</w:t>
      </w:r>
      <w:r w:rsidR="006100E6">
        <w:t xml:space="preserve"> (low relative speed</w:t>
      </w:r>
      <w:proofErr w:type="gramStart"/>
      <w:r w:rsidR="006100E6">
        <w:t>)</w:t>
      </w:r>
      <w:r w:rsidR="005E4563">
        <w:t>;</w:t>
      </w:r>
      <w:proofErr w:type="gramEnd"/>
    </w:p>
    <w:p w14:paraId="6FE5BE92" w14:textId="0107B859" w:rsidR="00DE19C5" w:rsidRDefault="00177FB1" w:rsidP="00177FB1">
      <w:pPr>
        <w:pStyle w:val="CETBodytext"/>
        <w:tabs>
          <w:tab w:val="clear" w:pos="7100"/>
          <w:tab w:val="right" w:pos="6379"/>
        </w:tabs>
        <w:ind w:left="1985" w:hanging="1985"/>
        <w:rPr>
          <w:lang w:val="en-GB"/>
        </w:rPr>
      </w:pPr>
      <m:oMath>
        <m:r>
          <w:rPr>
            <w:rFonts w:ascii="Cambria Math" w:hAnsi="Cambria Math"/>
            <w:lang w:val="en-GB"/>
          </w:rPr>
          <m:t>1</m:t>
        </m:r>
        <m:f>
          <m:fPr>
            <m:type m:val="lin"/>
            <m:ctrlPr>
              <w:rPr>
                <w:rFonts w:ascii="Cambria Math" w:hAnsi="Cambria Math"/>
                <w:i/>
                <w:lang w:val="en-GB"/>
              </w:rPr>
            </m:ctrlPr>
          </m:fPr>
          <m:num>
            <m:r>
              <w:rPr>
                <w:rFonts w:ascii="Cambria Math" w:hAnsi="Cambria Math"/>
                <w:lang w:val="en-GB"/>
              </w:rPr>
              <m:t>m</m:t>
            </m:r>
          </m:num>
          <m:den>
            <m:r>
              <w:rPr>
                <w:rFonts w:ascii="Cambria Math" w:hAnsi="Cambria Math"/>
                <w:lang w:val="en-GB"/>
              </w:rPr>
              <m:t>s</m:t>
            </m:r>
          </m:den>
        </m:f>
        <m:r>
          <w:rPr>
            <w:rFonts w:ascii="Cambria Math" w:hAnsi="Cambria Math"/>
            <w:lang w:val="en-GB"/>
          </w:rPr>
          <m:t>≤v≤10</m:t>
        </m:r>
        <m:f>
          <m:fPr>
            <m:type m:val="lin"/>
            <m:ctrlPr>
              <w:rPr>
                <w:rFonts w:ascii="Cambria Math" w:hAnsi="Cambria Math"/>
                <w:i/>
                <w:lang w:val="en-GB"/>
              </w:rPr>
            </m:ctrlPr>
          </m:fPr>
          <m:num>
            <m:r>
              <w:rPr>
                <w:rFonts w:ascii="Cambria Math" w:hAnsi="Cambria Math"/>
                <w:lang w:val="en-GB"/>
              </w:rPr>
              <m:t>m</m:t>
            </m:r>
          </m:num>
          <m:den>
            <m:r>
              <w:rPr>
                <w:rFonts w:ascii="Cambria Math" w:hAnsi="Cambria Math"/>
                <w:lang w:val="en-GB"/>
              </w:rPr>
              <m:t>s</m:t>
            </m:r>
          </m:den>
        </m:f>
        <m:r>
          <w:rPr>
            <w:rFonts w:ascii="Cambria Math" w:hAnsi="Cambria Math"/>
            <w:lang w:val="en-GB"/>
          </w:rPr>
          <m:t xml:space="preserve"> </m:t>
        </m:r>
      </m:oMath>
      <w:r>
        <w:rPr>
          <w:lang w:val="en-GB"/>
        </w:rPr>
        <w:t xml:space="preserve"> </w:t>
      </w:r>
      <w:r w:rsidRPr="00177FB1">
        <w:rPr>
          <w:lang w:val="en-GB"/>
        </w:rPr>
        <w:sym w:font="Wingdings" w:char="F0E0"/>
      </w:r>
      <w:r>
        <w:rPr>
          <w:lang w:val="en-GB"/>
        </w:rPr>
        <w:t xml:space="preserve"> each case must be considered on its own merits taking into account data for the specific dust and construction material</w:t>
      </w:r>
      <w:r w:rsidR="006100E6">
        <w:rPr>
          <w:lang w:val="en-GB"/>
        </w:rPr>
        <w:t xml:space="preserve"> (medium relative speed</w:t>
      </w:r>
      <w:proofErr w:type="gramStart"/>
      <w:r w:rsidR="006100E6">
        <w:rPr>
          <w:lang w:val="en-GB"/>
        </w:rPr>
        <w:t>)</w:t>
      </w:r>
      <w:r w:rsidR="005E4563">
        <w:rPr>
          <w:lang w:val="en-GB"/>
        </w:rPr>
        <w:t>;</w:t>
      </w:r>
      <w:proofErr w:type="gramEnd"/>
    </w:p>
    <w:p w14:paraId="5B9116BC" w14:textId="2037E7E1" w:rsidR="00177FB1" w:rsidRDefault="00177FB1" w:rsidP="00177FB1">
      <w:pPr>
        <w:pStyle w:val="CETBodytext"/>
        <w:tabs>
          <w:tab w:val="clear" w:pos="7100"/>
          <w:tab w:val="left" w:pos="1701"/>
          <w:tab w:val="right" w:pos="5245"/>
        </w:tabs>
      </w:pPr>
      <m:oMath>
        <m:r>
          <w:rPr>
            <w:rFonts w:ascii="Cambria Math" w:hAnsi="Cambria Math"/>
            <w:lang w:val="en-GB"/>
          </w:rPr>
          <m:t>v</m:t>
        </m:r>
        <m:r>
          <w:rPr>
            <w:rFonts w:ascii="Cambria Math" w:hAnsi="Cambria Math"/>
          </w:rPr>
          <m:t>&gt;10</m:t>
        </m:r>
        <m:f>
          <m:fPr>
            <m:type m:val="lin"/>
            <m:ctrlPr>
              <w:rPr>
                <w:rFonts w:ascii="Cambria Math" w:hAnsi="Cambria Math"/>
                <w:i/>
                <w:lang w:val="en-GB"/>
              </w:rPr>
            </m:ctrlPr>
          </m:fPr>
          <m:num>
            <m:r>
              <w:rPr>
                <w:rFonts w:ascii="Cambria Math" w:hAnsi="Cambria Math"/>
                <w:lang w:val="en-GB"/>
              </w:rPr>
              <m:t>m</m:t>
            </m:r>
          </m:num>
          <m:den>
            <m:r>
              <w:rPr>
                <w:rFonts w:ascii="Cambria Math" w:hAnsi="Cambria Math"/>
                <w:lang w:val="en-GB"/>
              </w:rPr>
              <m:t>s</m:t>
            </m:r>
          </m:den>
        </m:f>
      </m:oMath>
      <w:r w:rsidRPr="00177FB1">
        <w:tab/>
      </w:r>
      <w:r>
        <w:sym w:font="Wingdings" w:char="F0E0"/>
      </w:r>
      <w:r w:rsidRPr="00177FB1">
        <w:t xml:space="preserve"> </w:t>
      </w:r>
      <w:r w:rsidR="006100E6">
        <w:t>an ignition hazard exists in all cases (high relative speed)</w:t>
      </w:r>
      <w:r w:rsidR="005E4563">
        <w:t>.</w:t>
      </w:r>
    </w:p>
    <w:p w14:paraId="33267CC5" w14:textId="77777777" w:rsidR="00D26CAD" w:rsidRPr="00177FB1" w:rsidRDefault="00D26CAD" w:rsidP="00177FB1">
      <w:pPr>
        <w:pStyle w:val="CETBodytext"/>
        <w:tabs>
          <w:tab w:val="clear" w:pos="7100"/>
          <w:tab w:val="left" w:pos="1701"/>
          <w:tab w:val="right" w:pos="5245"/>
        </w:tabs>
      </w:pPr>
    </w:p>
    <w:p w14:paraId="2E569846" w14:textId="77777777" w:rsidR="008F244D" w:rsidRPr="00D26CAD" w:rsidRDefault="008F244D" w:rsidP="00D26CAD">
      <w:pPr>
        <w:pStyle w:val="Tabellasemplice1"/>
        <w:rPr>
          <w:rFonts w:ascii="Arial" w:hAnsi="Arial"/>
          <w:b/>
          <w:sz w:val="18"/>
          <w:lang w:val="en-GB" w:eastAsia="en-US"/>
        </w:rPr>
      </w:pPr>
      <w:r w:rsidRPr="00D26CAD">
        <w:rPr>
          <w:rFonts w:ascii="Arial" w:hAnsi="Arial"/>
          <w:b/>
          <w:sz w:val="18"/>
          <w:lang w:val="en-GB" w:eastAsia="en-US"/>
        </w:rPr>
        <w:t>Ignition probability evaluation</w:t>
      </w:r>
    </w:p>
    <w:p w14:paraId="33EA2035" w14:textId="68DC446B" w:rsidR="006100E6" w:rsidRDefault="006100E6" w:rsidP="00180E4A">
      <w:pPr>
        <w:pStyle w:val="CETBodytext"/>
        <w:rPr>
          <w:lang w:val="en-GB"/>
        </w:rPr>
      </w:pPr>
      <w:r>
        <w:rPr>
          <w:lang w:val="en-GB"/>
        </w:rPr>
        <w:t>According to the specification reported above, it is possible to assign the probability of ignition according to the three classes reported below:</w:t>
      </w:r>
    </w:p>
    <w:p w14:paraId="0889F3FB" w14:textId="2B0F9B7B" w:rsidR="006100E6" w:rsidRPr="001E33F2" w:rsidRDefault="006100E6" w:rsidP="006100E6">
      <w:pPr>
        <w:pStyle w:val="CETBodytext"/>
        <w:numPr>
          <w:ilvl w:val="0"/>
          <w:numId w:val="25"/>
        </w:numPr>
        <w:ind w:left="426"/>
        <w:rPr>
          <w:lang w:val="en-GB"/>
        </w:rPr>
      </w:pPr>
      <w:r w:rsidRPr="001E33F2">
        <w:rPr>
          <w:lang w:val="en-GB"/>
        </w:rPr>
        <w:t xml:space="preserve">High </w:t>
      </w:r>
      <w:r>
        <w:rPr>
          <w:lang w:val="en-GB"/>
        </w:rPr>
        <w:t>relative speed</w:t>
      </w:r>
      <w:r w:rsidRPr="001E33F2">
        <w:rPr>
          <w:lang w:val="en-GB"/>
        </w:rPr>
        <w:t xml:space="preserve">: </w:t>
      </w:r>
      <w:r>
        <w:rPr>
          <w:lang w:val="en-GB"/>
        </w:rPr>
        <w:t>the</w:t>
      </w:r>
      <w:r w:rsidRPr="001E33F2">
        <w:rPr>
          <w:lang w:val="en-GB"/>
        </w:rPr>
        <w:t xml:space="preserve"> probability assigned is P</w:t>
      </w:r>
      <w:r>
        <w:rPr>
          <w:lang w:val="en-GB"/>
        </w:rPr>
        <w:t xml:space="preserve"> </w:t>
      </w:r>
      <w:r w:rsidRPr="001E33F2">
        <w:rPr>
          <w:lang w:val="en-GB"/>
        </w:rPr>
        <w:t>=</w:t>
      </w:r>
      <w:r>
        <w:rPr>
          <w:lang w:val="en-GB"/>
        </w:rPr>
        <w:t xml:space="preserve"> </w:t>
      </w:r>
      <w:proofErr w:type="gramStart"/>
      <w:r w:rsidRPr="001E33F2">
        <w:rPr>
          <w:lang w:val="en-GB"/>
        </w:rPr>
        <w:t>1;</w:t>
      </w:r>
      <w:proofErr w:type="gramEnd"/>
    </w:p>
    <w:p w14:paraId="2F6198C9" w14:textId="47D6D286" w:rsidR="006100E6" w:rsidRPr="001E33F2" w:rsidRDefault="006100E6" w:rsidP="006100E6">
      <w:pPr>
        <w:pStyle w:val="CETBodytext"/>
        <w:numPr>
          <w:ilvl w:val="0"/>
          <w:numId w:val="25"/>
        </w:numPr>
        <w:ind w:left="426"/>
        <w:rPr>
          <w:lang w:val="en-GB"/>
        </w:rPr>
      </w:pPr>
      <w:r w:rsidRPr="001F4E1E">
        <w:rPr>
          <w:lang w:val="en-GB"/>
        </w:rPr>
        <w:t>Medium</w:t>
      </w:r>
      <w:r>
        <w:rPr>
          <w:lang w:val="en-GB"/>
        </w:rPr>
        <w:t xml:space="preserve"> relative speed</w:t>
      </w:r>
      <w:r w:rsidRPr="001F4E1E">
        <w:rPr>
          <w:lang w:val="en-GB"/>
        </w:rPr>
        <w:t>:</w:t>
      </w:r>
      <w:r w:rsidRPr="001E33F2">
        <w:rPr>
          <w:lang w:val="en-GB"/>
        </w:rPr>
        <w:t xml:space="preserve"> </w:t>
      </w:r>
      <w:r>
        <w:rPr>
          <w:lang w:val="en-GB"/>
        </w:rPr>
        <w:t>the</w:t>
      </w:r>
      <w:r w:rsidRPr="001E33F2">
        <w:rPr>
          <w:lang w:val="en-GB"/>
        </w:rPr>
        <w:t xml:space="preserve"> probability assigned is P = </w:t>
      </w:r>
      <w:proofErr w:type="gramStart"/>
      <w:r w:rsidRPr="001E33F2">
        <w:rPr>
          <w:lang w:val="en-GB"/>
        </w:rPr>
        <w:t>0</w:t>
      </w:r>
      <w:r w:rsidR="007828EB">
        <w:rPr>
          <w:lang w:val="en-GB"/>
        </w:rPr>
        <w:t>.</w:t>
      </w:r>
      <w:r w:rsidRPr="001E33F2">
        <w:rPr>
          <w:lang w:val="en-GB"/>
        </w:rPr>
        <w:t>1;</w:t>
      </w:r>
      <w:proofErr w:type="gramEnd"/>
    </w:p>
    <w:p w14:paraId="4E2F1E20" w14:textId="0B33B48E" w:rsidR="006100E6" w:rsidRPr="001F4E1E" w:rsidRDefault="006100E6" w:rsidP="006100E6">
      <w:pPr>
        <w:pStyle w:val="CETBodytext"/>
        <w:numPr>
          <w:ilvl w:val="0"/>
          <w:numId w:val="25"/>
        </w:numPr>
        <w:ind w:left="426"/>
        <w:rPr>
          <w:lang w:val="en-GB"/>
        </w:rPr>
      </w:pPr>
      <w:r w:rsidRPr="001F4E1E">
        <w:rPr>
          <w:lang w:val="en-GB"/>
        </w:rPr>
        <w:t xml:space="preserve">Low </w:t>
      </w:r>
      <w:r>
        <w:rPr>
          <w:lang w:val="en-GB"/>
        </w:rPr>
        <w:t>relative speed</w:t>
      </w:r>
      <w:r w:rsidRPr="001F4E1E">
        <w:rPr>
          <w:lang w:val="en-GB"/>
        </w:rPr>
        <w:t>:</w:t>
      </w:r>
      <w:r w:rsidRPr="001E33F2">
        <w:rPr>
          <w:lang w:val="en-GB"/>
        </w:rPr>
        <w:t xml:space="preserve"> </w:t>
      </w:r>
      <w:r>
        <w:rPr>
          <w:lang w:val="en-GB"/>
        </w:rPr>
        <w:t>the</w:t>
      </w:r>
      <w:r w:rsidRPr="001E33F2">
        <w:rPr>
          <w:lang w:val="en-GB"/>
        </w:rPr>
        <w:t xml:space="preserve"> probability assigned is P = 0</w:t>
      </w:r>
      <w:r w:rsidR="007828EB">
        <w:rPr>
          <w:lang w:val="en-GB"/>
        </w:rPr>
        <w:t>.</w:t>
      </w:r>
      <w:r w:rsidRPr="001E33F2">
        <w:rPr>
          <w:lang w:val="en-GB"/>
        </w:rPr>
        <w:t>01</w:t>
      </w:r>
      <w:r w:rsidRPr="001F4E1E">
        <w:rPr>
          <w:lang w:val="en-GB"/>
        </w:rPr>
        <w:t xml:space="preserve">. </w:t>
      </w:r>
    </w:p>
    <w:p w14:paraId="7B6885EC" w14:textId="4C7D1FD9" w:rsidR="006100E6" w:rsidRDefault="004375E0" w:rsidP="006100E6">
      <w:pPr>
        <w:pStyle w:val="CETListbullets"/>
        <w:ind w:left="0" w:firstLine="0"/>
        <w:rPr>
          <w:bCs/>
        </w:rPr>
      </w:pPr>
      <w:r>
        <w:rPr>
          <w:bCs/>
        </w:rPr>
        <w:t>I</w:t>
      </w:r>
      <w:r w:rsidR="006100E6" w:rsidRPr="005F6D2F">
        <w:rPr>
          <w:bCs/>
        </w:rPr>
        <w:t>t is worth emphasizing</w:t>
      </w:r>
      <w:r w:rsidR="006100E6">
        <w:rPr>
          <w:bCs/>
        </w:rPr>
        <w:t xml:space="preserve"> that the knowledge of </w:t>
      </w:r>
      <w:proofErr w:type="spellStart"/>
      <w:r w:rsidR="006100E6">
        <w:rPr>
          <w:bCs/>
        </w:rPr>
        <w:t>MIT</w:t>
      </w:r>
      <w:r w:rsidR="006100E6" w:rsidRPr="006100E6">
        <w:rPr>
          <w:bCs/>
          <w:vertAlign w:val="subscript"/>
        </w:rPr>
        <w:t>cloud</w:t>
      </w:r>
      <w:proofErr w:type="spellEnd"/>
      <w:r w:rsidR="006100E6">
        <w:rPr>
          <w:bCs/>
        </w:rPr>
        <w:t xml:space="preserve"> and MIE (with inductance) is required </w:t>
      </w:r>
      <w:r w:rsidR="008A6E64">
        <w:rPr>
          <w:bCs/>
        </w:rPr>
        <w:t xml:space="preserve">to evaluate the ignition risk due to friction, since the effectiveness of ignition source is influenced by both the </w:t>
      </w:r>
      <w:proofErr w:type="spellStart"/>
      <w:r w:rsidR="008A6E64">
        <w:rPr>
          <w:bCs/>
        </w:rPr>
        <w:t>MIT</w:t>
      </w:r>
      <w:r w:rsidR="008A6E64" w:rsidRPr="006100E6">
        <w:rPr>
          <w:bCs/>
          <w:vertAlign w:val="subscript"/>
        </w:rPr>
        <w:t>cloud</w:t>
      </w:r>
      <w:proofErr w:type="spellEnd"/>
      <w:r w:rsidR="008A6E64">
        <w:rPr>
          <w:bCs/>
        </w:rPr>
        <w:t xml:space="preserve"> and the MIE</w:t>
      </w:r>
      <w:r w:rsidR="006100E6">
        <w:rPr>
          <w:bCs/>
        </w:rPr>
        <w:t xml:space="preserve">. From the following </w:t>
      </w:r>
      <w:r w:rsidR="00CF0840">
        <w:rPr>
          <w:bCs/>
        </w:rPr>
        <w:fldChar w:fldCharType="begin"/>
      </w:r>
      <w:r w:rsidR="00CF0840">
        <w:rPr>
          <w:bCs/>
        </w:rPr>
        <w:instrText xml:space="preserve"> REF _Ref190267462 \h </w:instrText>
      </w:r>
      <w:r w:rsidR="00CF0840">
        <w:rPr>
          <w:bCs/>
        </w:rPr>
      </w:r>
      <w:r w:rsidR="00CF0840">
        <w:rPr>
          <w:bCs/>
        </w:rPr>
        <w:instrText xml:space="preserve"> \* MERGEFORMAT </w:instrText>
      </w:r>
      <w:r w:rsidR="00CF0840">
        <w:rPr>
          <w:bCs/>
        </w:rPr>
        <w:fldChar w:fldCharType="separate"/>
      </w:r>
      <w:r w:rsidR="00CF0840" w:rsidRPr="00CF0840">
        <w:rPr>
          <w:bCs/>
        </w:rPr>
        <w:t>Figure 2</w:t>
      </w:r>
      <w:r w:rsidR="00CF0840">
        <w:rPr>
          <w:bCs/>
        </w:rPr>
        <w:fldChar w:fldCharType="end"/>
      </w:r>
      <w:r w:rsidR="00CF0840">
        <w:rPr>
          <w:bCs/>
        </w:rPr>
        <w:t xml:space="preserve"> </w:t>
      </w:r>
      <w:r w:rsidR="006100E6" w:rsidRPr="00CF0840">
        <w:rPr>
          <w:bCs/>
        </w:rPr>
        <w:t>(ISSA Prevention</w:t>
      </w:r>
      <w:r w:rsidR="006100E6">
        <w:t xml:space="preserve"> Series No, 2033, 2004) it is possible to evaluate the effectiveness of a mechanical spark for a specific dust: in particular, the ignition of a dust cloud is possible if the MIE lies below the </w:t>
      </w:r>
      <w:r>
        <w:t>Equivalent</w:t>
      </w:r>
      <w:r w:rsidR="006100E6">
        <w:t xml:space="preserve"> </w:t>
      </w:r>
      <w:r>
        <w:t>E</w:t>
      </w:r>
      <w:r w:rsidR="006100E6">
        <w:t xml:space="preserve">lectrical </w:t>
      </w:r>
      <w:r>
        <w:t>E</w:t>
      </w:r>
      <w:r w:rsidR="006100E6">
        <w:t>nergy E</w:t>
      </w:r>
      <w:r w:rsidR="006100E6" w:rsidRPr="006100E6">
        <w:rPr>
          <w:vertAlign w:val="subscript"/>
        </w:rPr>
        <w:t>Q</w:t>
      </w:r>
      <w:r w:rsidR="006100E6">
        <w:t>.</w:t>
      </w:r>
      <w:r>
        <w:t xml:space="preserve"> </w:t>
      </w:r>
    </w:p>
    <w:p w14:paraId="7317276A" w14:textId="77777777" w:rsidR="006100E6" w:rsidRDefault="006100E6" w:rsidP="006100E6">
      <w:pPr>
        <w:pStyle w:val="CETListbullets"/>
        <w:ind w:left="0" w:firstLine="0"/>
        <w:rPr>
          <w:bCs/>
        </w:rPr>
      </w:pPr>
    </w:p>
    <w:p w14:paraId="3CEC8C37" w14:textId="77777777" w:rsidR="004375E0" w:rsidRDefault="004375E0" w:rsidP="004375E0">
      <w:pPr>
        <w:pStyle w:val="CETListbullets"/>
        <w:keepNext/>
        <w:ind w:left="0" w:firstLine="0"/>
      </w:pPr>
      <w:r>
        <w:rPr>
          <w:noProof/>
        </w:rPr>
        <w:drawing>
          <wp:inline distT="0" distB="0" distL="0" distR="0" wp14:anchorId="7A083835" wp14:editId="381758B5">
            <wp:extent cx="2120604" cy="2790908"/>
            <wp:effectExtent l="0" t="0" r="0" b="0"/>
            <wp:docPr id="11323382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33827" name=""/>
                    <pic:cNvPicPr/>
                  </pic:nvPicPr>
                  <pic:blipFill>
                    <a:blip r:embed="rId15"/>
                    <a:stretch>
                      <a:fillRect/>
                    </a:stretch>
                  </pic:blipFill>
                  <pic:spPr>
                    <a:xfrm>
                      <a:off x="0" y="0"/>
                      <a:ext cx="2165329" cy="2849770"/>
                    </a:xfrm>
                    <a:prstGeom prst="rect">
                      <a:avLst/>
                    </a:prstGeom>
                  </pic:spPr>
                </pic:pic>
              </a:graphicData>
            </a:graphic>
          </wp:inline>
        </w:drawing>
      </w:r>
    </w:p>
    <w:p w14:paraId="33C49FC4" w14:textId="43C8127D" w:rsidR="006100E6" w:rsidRPr="004375E0" w:rsidRDefault="004375E0" w:rsidP="004375E0">
      <w:pPr>
        <w:pStyle w:val="CETBodytext"/>
        <w:rPr>
          <w:i/>
          <w:iCs/>
          <w:lang w:val="en-GB"/>
        </w:rPr>
      </w:pPr>
      <w:bookmarkStart w:id="5" w:name="_Ref190267462"/>
      <w:r w:rsidRPr="004375E0">
        <w:rPr>
          <w:i/>
          <w:iCs/>
          <w:lang w:val="en-GB"/>
        </w:rPr>
        <w:t xml:space="preserve">Figure </w:t>
      </w:r>
      <w:r w:rsidRPr="004375E0">
        <w:rPr>
          <w:i/>
          <w:iCs/>
          <w:lang w:val="en-GB"/>
        </w:rPr>
        <w:fldChar w:fldCharType="begin"/>
      </w:r>
      <w:r w:rsidRPr="004375E0">
        <w:rPr>
          <w:i/>
          <w:iCs/>
          <w:lang w:val="en-GB"/>
        </w:rPr>
        <w:instrText xml:space="preserve"> SEQ Figure \* ARABIC </w:instrText>
      </w:r>
      <w:r w:rsidRPr="004375E0">
        <w:rPr>
          <w:i/>
          <w:iCs/>
          <w:lang w:val="en-GB"/>
        </w:rPr>
        <w:fldChar w:fldCharType="separate"/>
      </w:r>
      <w:r w:rsidR="00CF0840">
        <w:rPr>
          <w:i/>
          <w:iCs/>
          <w:noProof/>
          <w:lang w:val="en-GB"/>
        </w:rPr>
        <w:t>2</w:t>
      </w:r>
      <w:r w:rsidRPr="004375E0">
        <w:rPr>
          <w:i/>
          <w:iCs/>
          <w:lang w:val="en-GB"/>
        </w:rPr>
        <w:fldChar w:fldCharType="end"/>
      </w:r>
      <w:bookmarkEnd w:id="5"/>
      <w:r w:rsidRPr="004375E0">
        <w:rPr>
          <w:i/>
          <w:iCs/>
          <w:lang w:val="en-GB"/>
        </w:rPr>
        <w:t xml:space="preserve">. Grinding sparks: relationship between </w:t>
      </w:r>
      <w:r>
        <w:rPr>
          <w:i/>
          <w:iCs/>
          <w:lang w:val="en-GB"/>
        </w:rPr>
        <w:t>E</w:t>
      </w:r>
      <w:r w:rsidRPr="004375E0">
        <w:rPr>
          <w:i/>
          <w:iCs/>
          <w:lang w:val="en-GB"/>
        </w:rPr>
        <w:t xml:space="preserve">quivalent </w:t>
      </w:r>
      <w:r>
        <w:rPr>
          <w:i/>
          <w:iCs/>
          <w:lang w:val="en-GB"/>
        </w:rPr>
        <w:t>E</w:t>
      </w:r>
      <w:r w:rsidRPr="004375E0">
        <w:rPr>
          <w:i/>
          <w:iCs/>
          <w:lang w:val="en-GB"/>
        </w:rPr>
        <w:t xml:space="preserve">lectrical </w:t>
      </w:r>
      <w:r>
        <w:rPr>
          <w:i/>
          <w:iCs/>
          <w:lang w:val="en-GB"/>
        </w:rPr>
        <w:t>E</w:t>
      </w:r>
      <w:r w:rsidRPr="004375E0">
        <w:rPr>
          <w:i/>
          <w:iCs/>
          <w:lang w:val="en-GB"/>
        </w:rPr>
        <w:t>nergy E</w:t>
      </w:r>
      <w:r w:rsidRPr="004375E0">
        <w:rPr>
          <w:i/>
          <w:iCs/>
          <w:vertAlign w:val="subscript"/>
          <w:lang w:val="en-GB"/>
        </w:rPr>
        <w:t>Q</w:t>
      </w:r>
      <w:r w:rsidRPr="004375E0">
        <w:rPr>
          <w:i/>
          <w:iCs/>
          <w:lang w:val="en-GB"/>
        </w:rPr>
        <w:t xml:space="preserve"> and </w:t>
      </w:r>
      <w:proofErr w:type="spellStart"/>
      <w:r w:rsidRPr="004375E0">
        <w:rPr>
          <w:i/>
          <w:iCs/>
          <w:lang w:val="en-GB"/>
        </w:rPr>
        <w:t>MIT</w:t>
      </w:r>
      <w:r w:rsidRPr="004375E0">
        <w:rPr>
          <w:i/>
          <w:iCs/>
          <w:vertAlign w:val="subscript"/>
          <w:lang w:val="en-GB"/>
        </w:rPr>
        <w:t>C</w:t>
      </w:r>
      <w:r w:rsidRPr="004C2E43">
        <w:rPr>
          <w:i/>
          <w:iCs/>
          <w:vertAlign w:val="subscript"/>
          <w:lang w:val="en-GB"/>
        </w:rPr>
        <w:t>loud</w:t>
      </w:r>
      <w:proofErr w:type="spellEnd"/>
      <w:r>
        <w:rPr>
          <w:i/>
          <w:iCs/>
          <w:lang w:val="en-GB"/>
        </w:rPr>
        <w:t xml:space="preserve"> </w:t>
      </w:r>
      <w:r w:rsidRPr="004375E0">
        <w:rPr>
          <w:i/>
          <w:iCs/>
          <w:lang w:val="en-GB"/>
        </w:rPr>
        <w:t>(ISSA Prevention Series No, 2033, 2004</w:t>
      </w:r>
      <w:r>
        <w:rPr>
          <w:i/>
          <w:iCs/>
          <w:lang w:val="en-GB"/>
        </w:rPr>
        <w:t>, Figure 7</w:t>
      </w:r>
      <w:r w:rsidRPr="004375E0">
        <w:rPr>
          <w:i/>
          <w:iCs/>
          <w:lang w:val="en-GB"/>
        </w:rPr>
        <w:t>)</w:t>
      </w:r>
    </w:p>
    <w:p w14:paraId="68D26B83" w14:textId="15EF1840" w:rsidR="00600535" w:rsidRPr="006E50A0" w:rsidRDefault="00B17600" w:rsidP="00600535">
      <w:pPr>
        <w:pStyle w:val="CETHeading1"/>
        <w:rPr>
          <w:lang w:val="en-GB"/>
        </w:rPr>
      </w:pPr>
      <w:r>
        <w:rPr>
          <w:lang w:val="en-GB"/>
        </w:rPr>
        <w:t xml:space="preserve">Conclusions and </w:t>
      </w:r>
      <w:r w:rsidR="00F40514">
        <w:rPr>
          <w:lang w:val="en-GB"/>
        </w:rPr>
        <w:t xml:space="preserve">Next steps </w:t>
      </w:r>
    </w:p>
    <w:p w14:paraId="275F37E0" w14:textId="10157EFD" w:rsidR="001F4E1E" w:rsidRDefault="006E50A0" w:rsidP="00600535">
      <w:pPr>
        <w:pStyle w:val="CETBodytext"/>
        <w:rPr>
          <w:lang w:val="en-GB"/>
        </w:rPr>
      </w:pPr>
      <w:r>
        <w:rPr>
          <w:lang w:val="en-GB"/>
        </w:rPr>
        <w:t xml:space="preserve">The Ignition Risk Assessment is a fundamental </w:t>
      </w:r>
      <w:r w:rsidR="00774061">
        <w:rPr>
          <w:lang w:val="en-GB"/>
        </w:rPr>
        <w:t>stage</w:t>
      </w:r>
      <w:r>
        <w:rPr>
          <w:lang w:val="en-GB"/>
        </w:rPr>
        <w:t xml:space="preserve"> during a DHA, and therefore the quantification of the probability is a crucial step in the semi-quantitative DHA </w:t>
      </w:r>
      <w:r w:rsidR="00256B04">
        <w:rPr>
          <w:lang w:val="en-GB"/>
        </w:rPr>
        <w:t>to</w:t>
      </w:r>
      <w:r>
        <w:rPr>
          <w:lang w:val="en-GB"/>
        </w:rPr>
        <w:t xml:space="preserve"> exploit the potential of the Risk Matrix.</w:t>
      </w:r>
    </w:p>
    <w:p w14:paraId="3FE44BFB" w14:textId="485615C1" w:rsidR="00A826EA" w:rsidRDefault="00F40514" w:rsidP="00600535">
      <w:pPr>
        <w:pStyle w:val="CETBodytext"/>
        <w:rPr>
          <w:lang w:val="en-GB"/>
        </w:rPr>
      </w:pPr>
      <w:r>
        <w:rPr>
          <w:lang w:val="en-GB"/>
        </w:rPr>
        <w:t xml:space="preserve">According to the outcomes of this paper, it has emerged that further studies are necessary to identify a model capable to increase the safety margins </w:t>
      </w:r>
      <w:r w:rsidR="00FF50B2">
        <w:rPr>
          <w:lang w:val="en-GB"/>
        </w:rPr>
        <w:t>when the specific dust is characterized</w:t>
      </w:r>
      <w:r w:rsidR="00774061">
        <w:rPr>
          <w:lang w:val="en-GB"/>
        </w:rPr>
        <w:t xml:space="preserve"> by high ignition sensitivity, i.e.,</w:t>
      </w:r>
      <w:r w:rsidR="00FF50B2">
        <w:rPr>
          <w:lang w:val="en-GB"/>
        </w:rPr>
        <w:t xml:space="preserve"> by low MIE or MIT</w:t>
      </w:r>
      <w:r w:rsidR="00543933">
        <w:rPr>
          <w:lang w:val="en-GB"/>
        </w:rPr>
        <w:t xml:space="preserve"> (e.</w:t>
      </w:r>
      <w:r w:rsidR="00774061">
        <w:rPr>
          <w:lang w:val="en-GB"/>
        </w:rPr>
        <w:t>g.</w:t>
      </w:r>
      <w:r w:rsidR="00543933">
        <w:rPr>
          <w:lang w:val="en-GB"/>
        </w:rPr>
        <w:t>, expanding ‘Medium-high impact’ zone, assigning a probability equal to 0</w:t>
      </w:r>
      <w:r w:rsidR="007828EB">
        <w:rPr>
          <w:lang w:val="en-GB"/>
        </w:rPr>
        <w:t>.</w:t>
      </w:r>
      <w:r w:rsidR="00543933">
        <w:rPr>
          <w:lang w:val="en-GB"/>
        </w:rPr>
        <w:t>1 in a wider range of values)</w:t>
      </w:r>
      <w:r w:rsidR="00FF50B2">
        <w:rPr>
          <w:lang w:val="en-GB"/>
        </w:rPr>
        <w:t xml:space="preserve">. </w:t>
      </w:r>
    </w:p>
    <w:p w14:paraId="2A21107B" w14:textId="4CA3CBF0" w:rsidR="00365232" w:rsidRDefault="00543933" w:rsidP="00600535">
      <w:pPr>
        <w:pStyle w:val="CETBodytext"/>
        <w:rPr>
          <w:lang w:val="en-GB"/>
        </w:rPr>
      </w:pPr>
      <w:r>
        <w:rPr>
          <w:lang w:val="en-GB"/>
        </w:rPr>
        <w:t xml:space="preserve">Moreover, </w:t>
      </w:r>
      <w:r w:rsidR="00E12E1F">
        <w:rPr>
          <w:lang w:val="en-GB"/>
        </w:rPr>
        <w:t>with respect to</w:t>
      </w:r>
      <w:r>
        <w:rPr>
          <w:lang w:val="en-GB"/>
        </w:rPr>
        <w:t xml:space="preserve"> the</w:t>
      </w:r>
      <w:r w:rsidR="00365232">
        <w:rPr>
          <w:lang w:val="en-GB"/>
        </w:rPr>
        <w:t xml:space="preserve"> </w:t>
      </w:r>
      <w:r>
        <w:rPr>
          <w:lang w:val="en-GB"/>
        </w:rPr>
        <w:t xml:space="preserve">electrical equipment, deeper studies should be conducted </w:t>
      </w:r>
      <w:r w:rsidR="00256B04">
        <w:rPr>
          <w:lang w:val="en-GB"/>
        </w:rPr>
        <w:t>to</w:t>
      </w:r>
      <w:r>
        <w:rPr>
          <w:lang w:val="en-GB"/>
        </w:rPr>
        <w:t xml:space="preserve"> evaluate the possible </w:t>
      </w:r>
      <w:r w:rsidR="00365232">
        <w:rPr>
          <w:lang w:val="en-GB"/>
        </w:rPr>
        <w:t>correlation</w:t>
      </w:r>
      <w:r>
        <w:rPr>
          <w:lang w:val="en-GB"/>
        </w:rPr>
        <w:t xml:space="preserve"> between the reliability of the equipment </w:t>
      </w:r>
      <w:r w:rsidR="00365232">
        <w:rPr>
          <w:lang w:val="en-GB"/>
        </w:rPr>
        <w:t xml:space="preserve">suitable to be installed in a specific hazardous area </w:t>
      </w:r>
      <w:r>
        <w:rPr>
          <w:lang w:val="en-GB"/>
        </w:rPr>
        <w:t xml:space="preserve">(i.e., </w:t>
      </w:r>
      <w:r w:rsidR="00365232">
        <w:rPr>
          <w:lang w:val="en-GB"/>
        </w:rPr>
        <w:t xml:space="preserve">Category 1 / 2 / 3 equipment according to ATEX </w:t>
      </w:r>
      <w:r w:rsidR="00365232" w:rsidRPr="001E33F2">
        <w:rPr>
          <w:lang w:val="en-GB"/>
        </w:rPr>
        <w:t>Directive</w:t>
      </w:r>
      <w:r w:rsidR="00365232">
        <w:rPr>
          <w:lang w:val="en-GB"/>
        </w:rPr>
        <w:t>s</w:t>
      </w:r>
      <w:r w:rsidR="00365232" w:rsidRPr="001E33F2">
        <w:rPr>
          <w:lang w:val="en-GB"/>
        </w:rPr>
        <w:t xml:space="preserve"> </w:t>
      </w:r>
      <w:r w:rsidR="00365232">
        <w:rPr>
          <w:lang w:val="en-GB"/>
        </w:rPr>
        <w:t>1999</w:t>
      </w:r>
      <w:r w:rsidR="00365232" w:rsidRPr="001E33F2">
        <w:rPr>
          <w:lang w:val="en-GB"/>
        </w:rPr>
        <w:t>/</w:t>
      </w:r>
      <w:r w:rsidR="00365232">
        <w:rPr>
          <w:lang w:val="en-GB"/>
        </w:rPr>
        <w:t>92</w:t>
      </w:r>
      <w:r w:rsidR="00365232" w:rsidRPr="001E33F2">
        <w:rPr>
          <w:lang w:val="en-GB"/>
        </w:rPr>
        <w:t>/</w:t>
      </w:r>
      <w:r w:rsidR="00365232">
        <w:rPr>
          <w:lang w:val="en-GB"/>
        </w:rPr>
        <w:t>C</w:t>
      </w:r>
      <w:r w:rsidR="00365232" w:rsidRPr="001E33F2">
        <w:rPr>
          <w:lang w:val="en-GB"/>
        </w:rPr>
        <w:t>E</w:t>
      </w:r>
      <w:r w:rsidR="00365232" w:rsidRPr="00365232">
        <w:rPr>
          <w:lang w:val="en-GB"/>
        </w:rPr>
        <w:t xml:space="preserve"> </w:t>
      </w:r>
      <w:r w:rsidR="00365232">
        <w:rPr>
          <w:lang w:val="en-GB"/>
        </w:rPr>
        <w:t>and 2014/34/EU) and the probability for those pieces of equipment to give rise to ignition. To this regard, reference could be done to Standards IEC 61508 and 61511 and VDI/VDE 2180 Blatt 6.</w:t>
      </w:r>
    </w:p>
    <w:p w14:paraId="3C5513B1" w14:textId="17D0503B" w:rsidR="006E50A0" w:rsidRDefault="00B17600" w:rsidP="00600535">
      <w:pPr>
        <w:pStyle w:val="CETBodytext"/>
        <w:rPr>
          <w:lang w:val="en-GB"/>
        </w:rPr>
      </w:pPr>
      <w:r>
        <w:rPr>
          <w:lang w:val="en-GB"/>
        </w:rPr>
        <w:t>To conclude, i</w:t>
      </w:r>
      <w:r w:rsidR="00F40514">
        <w:rPr>
          <w:lang w:val="en-GB"/>
        </w:rPr>
        <w:t>n this paper, a structure is proposed to adopt a systematic approach in the definition of the</w:t>
      </w:r>
      <w:r w:rsidR="00E12E1F">
        <w:rPr>
          <w:lang w:val="en-GB"/>
        </w:rPr>
        <w:t xml:space="preserve"> ignition</w:t>
      </w:r>
      <w:r w:rsidR="00F40514">
        <w:rPr>
          <w:lang w:val="en-GB"/>
        </w:rPr>
        <w:t xml:space="preserve"> probability; nevertheless, the field visit </w:t>
      </w:r>
      <w:r w:rsidR="00E12E1F">
        <w:rPr>
          <w:lang w:val="en-GB"/>
        </w:rPr>
        <w:t>are</w:t>
      </w:r>
      <w:r w:rsidR="00F40514">
        <w:rPr>
          <w:lang w:val="en-GB"/>
        </w:rPr>
        <w:t xml:space="preserve"> of paramount importance to collect the necessary information to conduct DHA and IRA</w:t>
      </w:r>
      <w:r w:rsidR="00543933">
        <w:rPr>
          <w:lang w:val="en-GB"/>
        </w:rPr>
        <w:t xml:space="preserve"> (e.g., adequacy of the grounding and bonding, compliance of electrical equipment to the zone of installation, inspection of manual operations)</w:t>
      </w:r>
      <w:r w:rsidR="00F40514">
        <w:rPr>
          <w:lang w:val="en-GB"/>
        </w:rPr>
        <w:t>: to this regard, the qualitative evaluations are</w:t>
      </w:r>
      <w:r w:rsidR="00E12E1F">
        <w:rPr>
          <w:lang w:val="en-GB"/>
        </w:rPr>
        <w:t xml:space="preserve"> and remain</w:t>
      </w:r>
      <w:r w:rsidR="00F40514">
        <w:rPr>
          <w:lang w:val="en-GB"/>
        </w:rPr>
        <w:t xml:space="preserve"> essential, and this methodology is intended to provide a framework to translate</w:t>
      </w:r>
      <w:r w:rsidR="00774061">
        <w:rPr>
          <w:lang w:val="en-GB"/>
        </w:rPr>
        <w:t xml:space="preserve"> them</w:t>
      </w:r>
      <w:r w:rsidR="00F40514">
        <w:rPr>
          <w:lang w:val="en-GB"/>
        </w:rPr>
        <w:t xml:space="preserve"> into numbers, allowing the adoption of a semi-quantitative approach. </w:t>
      </w:r>
    </w:p>
    <w:p w14:paraId="7BCE558C" w14:textId="77777777" w:rsidR="00D26CAD" w:rsidRDefault="00D26CAD">
      <w:pPr>
        <w:tabs>
          <w:tab w:val="clear" w:pos="7100"/>
        </w:tabs>
        <w:spacing w:after="200" w:line="276" w:lineRule="auto"/>
        <w:jc w:val="left"/>
        <w:rPr>
          <w:b/>
        </w:rPr>
      </w:pPr>
      <w:r>
        <w:br w:type="page"/>
      </w:r>
    </w:p>
    <w:p w14:paraId="2B6B2612" w14:textId="2B1FBE25" w:rsidR="00BF6B61" w:rsidRPr="001E33F2" w:rsidRDefault="00BF6B61" w:rsidP="00BF6B61">
      <w:pPr>
        <w:pStyle w:val="CETHeadingxx"/>
        <w:sectPr w:rsidR="00BF6B61" w:rsidRPr="001E33F2" w:rsidSect="00BF6B61">
          <w:type w:val="continuous"/>
          <w:pgSz w:w="11906" w:h="16838" w:code="9"/>
          <w:pgMar w:top="1701" w:right="1418" w:bottom="1701" w:left="1701" w:header="1701" w:footer="0" w:gutter="0"/>
          <w:cols w:space="708"/>
          <w:formProt w:val="0"/>
          <w:titlePg/>
          <w:docGrid w:linePitch="360"/>
        </w:sectPr>
      </w:pPr>
      <w:r w:rsidRPr="001E33F2">
        <w:lastRenderedPageBreak/>
        <w:t>Nomenclature</w:t>
      </w:r>
    </w:p>
    <w:p w14:paraId="2268E3B2" w14:textId="77777777" w:rsidR="00295F40" w:rsidRDefault="00295F40" w:rsidP="00BF6B61">
      <w:pPr>
        <w:pStyle w:val="CETBodytext"/>
        <w:jc w:val="left"/>
        <w:rPr>
          <w:rFonts w:eastAsia="SimSun"/>
          <w:lang w:val="en-GB"/>
        </w:rPr>
      </w:pPr>
      <w:r>
        <w:rPr>
          <w:rFonts w:eastAsia="SimSun"/>
          <w:lang w:val="en-GB"/>
        </w:rPr>
        <w:t>ASTM – American Society for Testing and Materials</w:t>
      </w:r>
    </w:p>
    <w:p w14:paraId="3B8FC3B5" w14:textId="05EAF941" w:rsidR="00BF6B61" w:rsidRPr="001E33F2" w:rsidRDefault="00BF6B61" w:rsidP="00BF6B61">
      <w:pPr>
        <w:pStyle w:val="CETBodytext"/>
        <w:jc w:val="left"/>
        <w:rPr>
          <w:rFonts w:eastAsia="SimSun"/>
          <w:lang w:val="en-GB"/>
        </w:rPr>
      </w:pPr>
      <w:r w:rsidRPr="001E33F2">
        <w:rPr>
          <w:rFonts w:eastAsia="SimSun"/>
          <w:lang w:val="en-GB"/>
        </w:rPr>
        <w:t>BoS – Basis of Safety</w:t>
      </w:r>
    </w:p>
    <w:p w14:paraId="1553CA60" w14:textId="77777777" w:rsidR="00BF6B61" w:rsidRPr="001E33F2" w:rsidRDefault="00BF6B61" w:rsidP="00BF6B61">
      <w:pPr>
        <w:pStyle w:val="CETBodytext"/>
        <w:jc w:val="left"/>
        <w:rPr>
          <w:rFonts w:eastAsia="SimSun"/>
          <w:lang w:val="en-GB"/>
        </w:rPr>
      </w:pPr>
      <w:r w:rsidRPr="001E33F2">
        <w:rPr>
          <w:rFonts w:eastAsia="SimSun"/>
          <w:lang w:val="en-GB"/>
        </w:rPr>
        <w:t xml:space="preserve">DHA – Dust Hazard Analysis </w:t>
      </w:r>
    </w:p>
    <w:p w14:paraId="0F355874" w14:textId="4200A443" w:rsidR="004375E0" w:rsidRDefault="004375E0" w:rsidP="00BF6B61">
      <w:pPr>
        <w:pStyle w:val="CETBodytext"/>
        <w:jc w:val="left"/>
        <w:rPr>
          <w:rFonts w:eastAsia="SimSun"/>
          <w:lang w:val="en-GB"/>
        </w:rPr>
      </w:pPr>
      <w:r>
        <w:t>E</w:t>
      </w:r>
      <w:r w:rsidRPr="006100E6">
        <w:rPr>
          <w:vertAlign w:val="subscript"/>
        </w:rPr>
        <w:t>Q</w:t>
      </w:r>
      <w:r>
        <w:t xml:space="preserve"> – Equivalent Electrical Energy </w:t>
      </w:r>
    </w:p>
    <w:p w14:paraId="4A8793A0" w14:textId="70F201A0" w:rsidR="00BF6B61" w:rsidRPr="001E33F2" w:rsidRDefault="00BF6B61" w:rsidP="00BF6B61">
      <w:pPr>
        <w:pStyle w:val="CETBodytext"/>
        <w:jc w:val="left"/>
        <w:rPr>
          <w:rFonts w:eastAsia="SimSun"/>
          <w:lang w:val="en-GB"/>
        </w:rPr>
      </w:pPr>
      <w:r w:rsidRPr="001E33F2">
        <w:rPr>
          <w:rFonts w:eastAsia="SimSun"/>
          <w:lang w:val="en-GB"/>
        </w:rPr>
        <w:t>HAC – Hazardous Area Classification</w:t>
      </w:r>
    </w:p>
    <w:p w14:paraId="4E37374B" w14:textId="77777777" w:rsidR="00BF6B61" w:rsidRPr="001E33F2" w:rsidRDefault="00BF6B61" w:rsidP="00BF6B61">
      <w:pPr>
        <w:pStyle w:val="CETBodytext"/>
        <w:jc w:val="left"/>
        <w:rPr>
          <w:rFonts w:eastAsia="SimSun"/>
          <w:lang w:val="en-GB"/>
        </w:rPr>
      </w:pPr>
      <w:r w:rsidRPr="001E33F2">
        <w:rPr>
          <w:rFonts w:eastAsia="SimSun"/>
          <w:lang w:val="en-GB"/>
        </w:rPr>
        <w:t xml:space="preserve">IEC – </w:t>
      </w:r>
      <w:r w:rsidRPr="001E33F2">
        <w:rPr>
          <w:lang w:val="en-GB"/>
        </w:rPr>
        <w:t>International Electrotechnical Commission</w:t>
      </w:r>
    </w:p>
    <w:p w14:paraId="5B332A38" w14:textId="77777777" w:rsidR="00543933" w:rsidRDefault="00BF6B61" w:rsidP="00BF6B61">
      <w:pPr>
        <w:pStyle w:val="CETBodytext"/>
        <w:jc w:val="left"/>
        <w:rPr>
          <w:rFonts w:eastAsia="SimSun"/>
          <w:lang w:val="en-GB"/>
        </w:rPr>
      </w:pPr>
      <w:r w:rsidRPr="001E33F2">
        <w:rPr>
          <w:rFonts w:eastAsia="SimSun"/>
          <w:lang w:val="en-GB"/>
        </w:rPr>
        <w:t>IRA – Ignition Risk Assessment</w:t>
      </w:r>
    </w:p>
    <w:p w14:paraId="53F0516C" w14:textId="77777777" w:rsidR="00543933" w:rsidRDefault="00DE19C5" w:rsidP="00BF6B61">
      <w:pPr>
        <w:pStyle w:val="CETBodytext"/>
        <w:jc w:val="left"/>
        <w:rPr>
          <w:rFonts w:eastAsia="SimSun"/>
          <w:lang w:val="en-GB"/>
        </w:rPr>
      </w:pPr>
      <w:r>
        <w:rPr>
          <w:rFonts w:eastAsia="SimSun"/>
          <w:lang w:val="en-GB"/>
        </w:rPr>
        <w:t xml:space="preserve">ISSA – </w:t>
      </w:r>
      <w:r>
        <w:t>International Social Security Association</w:t>
      </w:r>
      <w:r>
        <w:rPr>
          <w:rFonts w:eastAsia="SimSun"/>
          <w:lang w:val="en-GB"/>
        </w:rPr>
        <w:t xml:space="preserve"> </w:t>
      </w:r>
    </w:p>
    <w:p w14:paraId="64C901B0" w14:textId="54E79948" w:rsidR="00295F40" w:rsidRDefault="00295F40" w:rsidP="00BF6B61">
      <w:pPr>
        <w:pStyle w:val="CETBodytext"/>
        <w:jc w:val="left"/>
        <w:rPr>
          <w:rFonts w:eastAsia="SimSun"/>
          <w:lang w:val="en-GB"/>
        </w:rPr>
      </w:pPr>
      <w:bookmarkStart w:id="6" w:name="_Hlk190252734"/>
      <w:r>
        <w:rPr>
          <w:rFonts w:eastAsia="SimSun"/>
          <w:lang w:val="en-GB"/>
        </w:rPr>
        <w:t>ISO – International Organization for Standardization</w:t>
      </w:r>
    </w:p>
    <w:p w14:paraId="3B88EF2A" w14:textId="25F9373E" w:rsidR="00BF6B61" w:rsidRPr="001E33F2" w:rsidRDefault="00BF6B61" w:rsidP="00BF6B61">
      <w:pPr>
        <w:pStyle w:val="CETBodytext"/>
        <w:jc w:val="left"/>
        <w:rPr>
          <w:rFonts w:eastAsia="SimSun"/>
          <w:lang w:val="en-GB"/>
        </w:rPr>
      </w:pPr>
      <w:r w:rsidRPr="001E33F2">
        <w:rPr>
          <w:rFonts w:eastAsia="SimSun"/>
          <w:lang w:val="en-GB"/>
        </w:rPr>
        <w:t>NEC – National Electrical Code</w:t>
      </w:r>
    </w:p>
    <w:p w14:paraId="0F4C007E" w14:textId="77777777" w:rsidR="00BF6B61" w:rsidRPr="001E33F2" w:rsidRDefault="00BF6B61" w:rsidP="00BF6B61">
      <w:pPr>
        <w:pStyle w:val="CETBodytext"/>
        <w:jc w:val="left"/>
        <w:rPr>
          <w:lang w:val="en-GB"/>
        </w:rPr>
      </w:pPr>
      <w:r w:rsidRPr="001E33F2">
        <w:rPr>
          <w:rFonts w:eastAsia="SimSun"/>
          <w:lang w:val="en-GB"/>
        </w:rPr>
        <w:t xml:space="preserve">NFPA – </w:t>
      </w:r>
      <w:r w:rsidRPr="001E33F2">
        <w:rPr>
          <w:lang w:val="en-GB"/>
        </w:rPr>
        <w:t>National Fire Protection Association</w:t>
      </w:r>
    </w:p>
    <w:bookmarkEnd w:id="6"/>
    <w:p w14:paraId="71BB9A44" w14:textId="0F2F0DA3" w:rsidR="00BF6B61" w:rsidRPr="001E33F2" w:rsidRDefault="00BF6B61" w:rsidP="00BF6B61">
      <w:pPr>
        <w:pStyle w:val="CETBodytext"/>
        <w:jc w:val="left"/>
        <w:rPr>
          <w:rFonts w:eastAsia="SimSun"/>
          <w:lang w:val="en-GB"/>
        </w:rPr>
      </w:pPr>
      <w:r w:rsidRPr="001E33F2">
        <w:rPr>
          <w:rFonts w:eastAsia="SimSun"/>
          <w:lang w:val="en-GB"/>
        </w:rPr>
        <w:t>ATEX –</w:t>
      </w:r>
      <w:r w:rsidRPr="001E33F2">
        <w:rPr>
          <w:lang w:val="en-GB"/>
        </w:rPr>
        <w:t xml:space="preserve"> </w:t>
      </w:r>
      <w:proofErr w:type="spellStart"/>
      <w:r w:rsidRPr="001E33F2">
        <w:rPr>
          <w:rFonts w:eastAsia="SimSun"/>
          <w:lang w:val="en-GB"/>
        </w:rPr>
        <w:t>A</w:t>
      </w:r>
      <w:r w:rsidR="00F40514">
        <w:rPr>
          <w:rFonts w:eastAsia="SimSun"/>
          <w:lang w:val="en-GB"/>
        </w:rPr>
        <w:t>T</w:t>
      </w:r>
      <w:r w:rsidRPr="001E33F2">
        <w:rPr>
          <w:rFonts w:eastAsia="SimSun"/>
          <w:lang w:val="en-GB"/>
        </w:rPr>
        <w:t>mosphere</w:t>
      </w:r>
      <w:proofErr w:type="spellEnd"/>
      <w:r w:rsidRPr="001E33F2">
        <w:rPr>
          <w:rFonts w:eastAsia="SimSun"/>
          <w:lang w:val="en-GB"/>
        </w:rPr>
        <w:t xml:space="preserve"> </w:t>
      </w:r>
      <w:proofErr w:type="spellStart"/>
      <w:r w:rsidRPr="001E33F2">
        <w:rPr>
          <w:rFonts w:eastAsia="SimSun"/>
          <w:lang w:val="en-GB"/>
        </w:rPr>
        <w:t>EXplosive</w:t>
      </w:r>
      <w:proofErr w:type="spellEnd"/>
    </w:p>
    <w:p w14:paraId="451A2142" w14:textId="77777777" w:rsidR="00BF6B61" w:rsidRPr="001E33F2" w:rsidRDefault="00BF6B61" w:rsidP="00BF6B61">
      <w:pPr>
        <w:pStyle w:val="CETBodytext"/>
        <w:jc w:val="left"/>
        <w:rPr>
          <w:rFonts w:eastAsia="SimSun"/>
          <w:lang w:val="en-GB"/>
        </w:rPr>
      </w:pPr>
      <w:r w:rsidRPr="001E33F2">
        <w:rPr>
          <w:rFonts w:eastAsia="SimSun"/>
          <w:lang w:val="en-GB"/>
        </w:rPr>
        <w:t>MIT – Minimum Ignition Temperature</w:t>
      </w:r>
    </w:p>
    <w:p w14:paraId="167AB2E0" w14:textId="77777777" w:rsidR="00BF6B61" w:rsidRPr="001E33F2" w:rsidRDefault="00BF6B61" w:rsidP="00BF6B61">
      <w:pPr>
        <w:pStyle w:val="CETBodytext"/>
        <w:jc w:val="left"/>
        <w:rPr>
          <w:rFonts w:eastAsia="SimSun" w:cs="Arial"/>
          <w:highlight w:val="yellow"/>
          <w:lang w:val="en-GB"/>
        </w:rPr>
      </w:pPr>
      <w:r w:rsidRPr="001E33F2">
        <w:rPr>
          <w:rFonts w:eastAsia="SimSun"/>
          <w:lang w:val="en-GB"/>
        </w:rPr>
        <w:t>LIT – Layer Ignition Temperature</w:t>
      </w:r>
      <w:r w:rsidRPr="001E33F2">
        <w:rPr>
          <w:rFonts w:eastAsia="SimSun" w:cs="Arial"/>
          <w:highlight w:val="yellow"/>
          <w:lang w:val="en-GB"/>
        </w:rPr>
        <w:t xml:space="preserve"> </w:t>
      </w:r>
    </w:p>
    <w:p w14:paraId="3023CDDD" w14:textId="702A6B29" w:rsidR="00BF6B61" w:rsidRDefault="00BF6B61" w:rsidP="00BF6B61">
      <w:pPr>
        <w:pStyle w:val="CETBodytext"/>
        <w:jc w:val="left"/>
        <w:rPr>
          <w:rFonts w:eastAsia="SimSun"/>
          <w:lang w:val="en-GB"/>
        </w:rPr>
      </w:pPr>
      <w:r w:rsidRPr="001E33F2">
        <w:rPr>
          <w:rFonts w:eastAsia="SimSun" w:cs="Arial"/>
          <w:lang w:val="en-GB"/>
        </w:rPr>
        <w:t>MIE</w:t>
      </w:r>
      <w:r w:rsidRPr="001E33F2">
        <w:rPr>
          <w:rFonts w:eastAsia="SimSun"/>
          <w:lang w:val="en-GB"/>
        </w:rPr>
        <w:t xml:space="preserve"> – Minimum Ignition </w:t>
      </w:r>
      <w:r w:rsidR="00295F40">
        <w:rPr>
          <w:rFonts w:eastAsia="SimSun"/>
          <w:lang w:val="en-GB"/>
        </w:rPr>
        <w:t>Energy</w:t>
      </w:r>
    </w:p>
    <w:p w14:paraId="3863791B" w14:textId="731D67EC" w:rsidR="00295F40" w:rsidRDefault="00295F40" w:rsidP="00295F40">
      <w:pPr>
        <w:pStyle w:val="CETBodytext"/>
        <w:jc w:val="left"/>
        <w:rPr>
          <w:rFonts w:eastAsia="SimSun"/>
          <w:lang w:val="en-GB"/>
        </w:rPr>
      </w:pPr>
      <w:r>
        <w:rPr>
          <w:rFonts w:eastAsia="SimSun"/>
          <w:lang w:val="en-GB"/>
        </w:rPr>
        <w:t>PPE – Personal Protective Equipment</w:t>
      </w:r>
    </w:p>
    <w:p w14:paraId="353A579A" w14:textId="4E9D5497" w:rsidR="00365232" w:rsidRPr="00295F40" w:rsidRDefault="00365232" w:rsidP="00295F40">
      <w:pPr>
        <w:pStyle w:val="CETBodytext"/>
        <w:jc w:val="left"/>
        <w:rPr>
          <w:rFonts w:eastAsia="SimSun"/>
          <w:lang w:val="en-GB"/>
        </w:rPr>
        <w:sectPr w:rsidR="00365232" w:rsidRPr="00295F40" w:rsidSect="00BF6B61">
          <w:type w:val="continuous"/>
          <w:pgSz w:w="11906" w:h="16838" w:code="9"/>
          <w:pgMar w:top="1701" w:right="1418" w:bottom="1701" w:left="1701" w:header="1701" w:footer="0" w:gutter="0"/>
          <w:cols w:num="2" w:space="708"/>
          <w:formProt w:val="0"/>
          <w:titlePg/>
          <w:docGrid w:linePitch="360"/>
        </w:sectPr>
      </w:pPr>
      <w:r>
        <w:rPr>
          <w:rFonts w:eastAsia="SimSun"/>
          <w:lang w:val="en-GB"/>
        </w:rPr>
        <w:t xml:space="preserve">SIL – Safety </w:t>
      </w:r>
    </w:p>
    <w:p w14:paraId="4F1327F8" w14:textId="42F10580" w:rsidR="00600535" w:rsidRPr="001E33F2" w:rsidRDefault="00600535" w:rsidP="00600535">
      <w:pPr>
        <w:pStyle w:val="CETReference"/>
      </w:pPr>
      <w:r w:rsidRPr="001E33F2">
        <w:t>References</w:t>
      </w:r>
    </w:p>
    <w:p w14:paraId="385EC969" w14:textId="33113964" w:rsidR="002E18DB" w:rsidRDefault="002E18DB" w:rsidP="00CC0B3A">
      <w:pPr>
        <w:pStyle w:val="CETReferencetext"/>
      </w:pPr>
      <w:r w:rsidRPr="002E18DB">
        <w:t>American Society for Testing and Materials</w:t>
      </w:r>
      <w:r>
        <w:t xml:space="preserve">, 2019, ASTM E2019-03, Standard Test </w:t>
      </w:r>
      <w:proofErr w:type="spellStart"/>
      <w:r>
        <w:t>Mehod</w:t>
      </w:r>
      <w:proofErr w:type="spellEnd"/>
      <w:r>
        <w:t xml:space="preserve"> for Minimum Ignition Energy of a Dust Cloud in Air</w:t>
      </w:r>
      <w:r w:rsidR="00635E95">
        <w:t>.</w:t>
      </w:r>
    </w:p>
    <w:p w14:paraId="2EBC6755" w14:textId="03404E31" w:rsidR="00CC0B3A" w:rsidRDefault="00CC0B3A" w:rsidP="00CC0B3A">
      <w:pPr>
        <w:pStyle w:val="CETReferencetext"/>
      </w:pPr>
      <w:r w:rsidRPr="001E33F2">
        <w:t xml:space="preserve">Carluccio L.M., </w:t>
      </w:r>
      <w:proofErr w:type="spellStart"/>
      <w:r w:rsidRPr="001E33F2">
        <w:t>Perelli</w:t>
      </w:r>
      <w:proofErr w:type="spellEnd"/>
      <w:r w:rsidRPr="001E33F2">
        <w:t xml:space="preserve"> S., 2023, Electrostatic Risk Assessment for Combustible Dust Atmospheres, Chemical Engineering Transactions, 104, 61</w:t>
      </w:r>
      <w:r w:rsidR="00774061">
        <w:t xml:space="preserve"> </w:t>
      </w:r>
      <w:r w:rsidR="00774061" w:rsidRPr="006B4888">
        <w:t>–</w:t>
      </w:r>
      <w:r w:rsidR="00774061">
        <w:t xml:space="preserve"> </w:t>
      </w:r>
      <w:r w:rsidRPr="001E33F2">
        <w:t>66.</w:t>
      </w:r>
    </w:p>
    <w:p w14:paraId="41DCFE75" w14:textId="77777777" w:rsidR="00AD3991" w:rsidRDefault="00AD3991" w:rsidP="00AD3991">
      <w:pPr>
        <w:pStyle w:val="CETReferencetext"/>
      </w:pPr>
      <w:r w:rsidRPr="001E33F2">
        <w:t>European Committee for Standardization / European Committee for Electrotechnical Standardization, CEN / CENELEC, 2019, EN 1127-1 Explosive atmospheres - Explosion prevention and protection - Part 1: Basic concepts and methodology.</w:t>
      </w:r>
    </w:p>
    <w:p w14:paraId="6BBFC5CD" w14:textId="0638626E" w:rsidR="00AD3991" w:rsidRDefault="00AD3991" w:rsidP="00E12E1F">
      <w:pPr>
        <w:pStyle w:val="CETReferencetext"/>
      </w:pPr>
      <w:r w:rsidRPr="001E33F2">
        <w:t>European Parliament and Council</w:t>
      </w:r>
      <w:r w:rsidR="00E12E1F">
        <w:t xml:space="preserve"> of the European Union</w:t>
      </w:r>
      <w:r w:rsidRPr="001E33F2">
        <w:t xml:space="preserve">, </w:t>
      </w:r>
      <w:r w:rsidR="00A826EA">
        <w:t>1999</w:t>
      </w:r>
      <w:r w:rsidRPr="001E33F2">
        <w:t>, Directive</w:t>
      </w:r>
      <w:r w:rsidR="00A826EA">
        <w:t xml:space="preserve"> 1999/92/CE of the European Parliament and</w:t>
      </w:r>
      <w:r w:rsidR="00E12E1F">
        <w:t xml:space="preserve"> of the Council</w:t>
      </w:r>
      <w:r w:rsidR="00A826EA">
        <w:t xml:space="preserve"> on minimum requirements for improving the safety and health protection of workers potentially at risk from explosive atmospheres</w:t>
      </w:r>
      <w:r w:rsidRPr="001E33F2">
        <w:t xml:space="preserve">. </w:t>
      </w:r>
    </w:p>
    <w:p w14:paraId="31C439A4" w14:textId="3FDB541B" w:rsidR="00E12E1F" w:rsidRPr="001E33F2" w:rsidRDefault="00E12E1F" w:rsidP="00E12E1F">
      <w:pPr>
        <w:pStyle w:val="CETReferencetext"/>
      </w:pPr>
      <w:r w:rsidRPr="001E33F2">
        <w:t>European Parliament and Council</w:t>
      </w:r>
      <w:r>
        <w:t xml:space="preserve"> of the European Union</w:t>
      </w:r>
      <w:r w:rsidRPr="001E33F2">
        <w:t xml:space="preserve">, </w:t>
      </w:r>
      <w:r>
        <w:t>2014</w:t>
      </w:r>
      <w:r w:rsidRPr="001E33F2">
        <w:t>, Directive</w:t>
      </w:r>
      <w:r>
        <w:t xml:space="preserve"> 20114/34/EU of the European Parliament and of the Council on </w:t>
      </w:r>
      <w:r w:rsidRPr="00E12E1F">
        <w:t>the harmonisation of the laws of the Member States relating to equipment and protective systems intended for use in potentially explosive atmospheres</w:t>
      </w:r>
      <w:r w:rsidRPr="001E33F2">
        <w:t xml:space="preserve">. </w:t>
      </w:r>
    </w:p>
    <w:p w14:paraId="37143D2A" w14:textId="5FA0B373" w:rsidR="00AD3991" w:rsidRPr="001E33F2" w:rsidRDefault="00AD3991" w:rsidP="00AD3991">
      <w:pPr>
        <w:pStyle w:val="CETReferencetext"/>
      </w:pPr>
      <w:r w:rsidRPr="001E33F2">
        <w:t>European Committee for Standardization, 2016, EN ISO 80079-36 – Part: 36: Non-electrical equipment for explosive atmospheres – Basic method and requirements.</w:t>
      </w:r>
    </w:p>
    <w:p w14:paraId="00BA3D4F" w14:textId="260C52B8" w:rsidR="00C52C3C" w:rsidRPr="001E33F2" w:rsidRDefault="00CC0B3A" w:rsidP="00CC0B3A">
      <w:pPr>
        <w:pStyle w:val="CETReferencetext"/>
      </w:pPr>
      <w:proofErr w:type="spellStart"/>
      <w:r w:rsidRPr="001E33F2">
        <w:t>Gritti</w:t>
      </w:r>
      <w:proofErr w:type="spellEnd"/>
      <w:r w:rsidRPr="001E33F2">
        <w:t xml:space="preserve"> A., Carluccio L.M., Pellegrini L., 2024, Semi-quantitative Dust Hazard Analysis: Advantages and Limitations of Using a Risk Matrix in DHA, Chemical Engineering Transactions, 111, 265</w:t>
      </w:r>
      <w:r w:rsidR="00774061">
        <w:t xml:space="preserve"> </w:t>
      </w:r>
      <w:r w:rsidR="00774061" w:rsidRPr="006B4888">
        <w:t>–</w:t>
      </w:r>
      <w:r w:rsidR="00774061">
        <w:t xml:space="preserve"> </w:t>
      </w:r>
      <w:r w:rsidRPr="001E33F2">
        <w:t>270.</w:t>
      </w:r>
    </w:p>
    <w:p w14:paraId="368ED15E" w14:textId="40CF52FA" w:rsidR="00CC0B3A" w:rsidRDefault="00CC0B3A" w:rsidP="00CC0B3A">
      <w:pPr>
        <w:pStyle w:val="CETReferencetext"/>
      </w:pPr>
      <w:r w:rsidRPr="001E33F2">
        <w:t>International Electrotechnical Commission, 2015, IEC 60079-10-2 Explosive atmospheres - Part 10-2: Classification of areas - Explosive dust atmospheres, Geneva, Switzerland.</w:t>
      </w:r>
    </w:p>
    <w:p w14:paraId="267BADDC" w14:textId="77777777" w:rsidR="00AD3991" w:rsidRPr="001E33F2" w:rsidRDefault="00AD3991" w:rsidP="00AD3991">
      <w:pPr>
        <w:pStyle w:val="CETReferencetext"/>
      </w:pPr>
      <w:r w:rsidRPr="001E33F2">
        <w:t>International Electrotechnical Commission, 2024, IEC 60079-14 Explosive atmospheres - Part 14: Electrical installation design, selection and installation of equipment, including initial inspection, Geneva, Switzerland.</w:t>
      </w:r>
    </w:p>
    <w:p w14:paraId="3D7139C6" w14:textId="77777777" w:rsidR="00AD3991" w:rsidRPr="001E33F2" w:rsidRDefault="00AD3991" w:rsidP="00AD3991">
      <w:pPr>
        <w:pStyle w:val="CETReferencetext"/>
      </w:pPr>
      <w:r w:rsidRPr="001E33F2">
        <w:t>International Electrotechnical Commission</w:t>
      </w:r>
      <w:r>
        <w:t xml:space="preserve">, 2017, </w:t>
      </w:r>
      <w:r w:rsidRPr="001E33F2">
        <w:t>Technical Report</w:t>
      </w:r>
      <w:r>
        <w:t>,</w:t>
      </w:r>
      <w:r w:rsidRPr="001E33F2">
        <w:t xml:space="preserve"> CLC/TR 60079-32-1 Explosive atmospheres </w:t>
      </w:r>
      <w:r>
        <w:t>-</w:t>
      </w:r>
      <w:r w:rsidRPr="001E33F2">
        <w:t xml:space="preserve"> Part 32-1: Electrostatic hazards, guidance</w:t>
      </w:r>
      <w:r>
        <w:t xml:space="preserve">, </w:t>
      </w:r>
      <w:r w:rsidRPr="001E33F2">
        <w:t>Geneva, Switzerland.</w:t>
      </w:r>
    </w:p>
    <w:p w14:paraId="3BC229C3" w14:textId="77777777" w:rsidR="00AD3991" w:rsidRDefault="00AD3991" w:rsidP="00AD3991">
      <w:pPr>
        <w:pStyle w:val="CETReferencetext"/>
      </w:pPr>
      <w:r w:rsidRPr="001E33F2">
        <w:t>International Electrotechnical Commission, 2017, IEC 60079-0 Explosive atmospheres - Part 0: General requirements, Geneva, Switzerland.</w:t>
      </w:r>
    </w:p>
    <w:p w14:paraId="1C9455A5" w14:textId="2490888D" w:rsidR="002E18DB" w:rsidRDefault="002E18DB" w:rsidP="00AD3991">
      <w:pPr>
        <w:pStyle w:val="CETReferencetext"/>
      </w:pPr>
      <w:r w:rsidRPr="001E33F2">
        <w:t>International Electrotechnical Commission</w:t>
      </w:r>
      <w:r>
        <w:t>, 2016, ISO/IEC 80079-20-2 Explosive atmospheres - Part 20-2: Material characteristics - Combustible dust methods</w:t>
      </w:r>
      <w:r w:rsidR="00635E95">
        <w:t>.</w:t>
      </w:r>
    </w:p>
    <w:p w14:paraId="5CB6BCCB" w14:textId="77777777" w:rsidR="00A826EA" w:rsidRDefault="00A826EA" w:rsidP="00A826EA">
      <w:pPr>
        <w:pStyle w:val="CETReferencetext"/>
        <w:jc w:val="left"/>
      </w:pPr>
      <w:r>
        <w:t xml:space="preserve">International Electrotechnical Commission, IEC 61508, </w:t>
      </w:r>
      <w:r w:rsidRPr="00E166AC">
        <w:t>Functional safety of electrical/electronic/programmable electronic safety-related systems</w:t>
      </w:r>
      <w:r>
        <w:t>, Geneva, Switzerland</w:t>
      </w:r>
    </w:p>
    <w:p w14:paraId="69758F69" w14:textId="77777777" w:rsidR="00A826EA" w:rsidRDefault="00A826EA" w:rsidP="00A826EA">
      <w:pPr>
        <w:pStyle w:val="CETReferencetext"/>
        <w:jc w:val="left"/>
      </w:pPr>
      <w:r>
        <w:t xml:space="preserve">International Electrotechnical Commission, IEC 61511, </w:t>
      </w:r>
      <w:r w:rsidRPr="00E166AC">
        <w:t>Functional safety – Safety instrumented systems for the process industry sector</w:t>
      </w:r>
      <w:r>
        <w:t>, Geneva, Switzerland</w:t>
      </w:r>
    </w:p>
    <w:p w14:paraId="5F6B4049" w14:textId="0467D23D" w:rsidR="00DE19C5" w:rsidRPr="001E33F2" w:rsidRDefault="00DE19C5" w:rsidP="00AD3991">
      <w:pPr>
        <w:pStyle w:val="CETReferencetext"/>
      </w:pPr>
      <w:r>
        <w:t>International Section of the ISSA for Machine and System Safety, 2004, ISSA Prevention Series No. 2033 (E), Dust Explosion Prevention and Protection for Machines and Equipment, Basic Principles, 19</w:t>
      </w:r>
      <w:r w:rsidR="00774061">
        <w:t xml:space="preserve"> </w:t>
      </w:r>
      <w:r w:rsidR="00774061" w:rsidRPr="006B4888">
        <w:t>–</w:t>
      </w:r>
      <w:r w:rsidR="00774061">
        <w:t xml:space="preserve"> </w:t>
      </w:r>
      <w:r>
        <w:t>23, Mannheim, Germany.</w:t>
      </w:r>
    </w:p>
    <w:p w14:paraId="76A683D6" w14:textId="6D8B0199" w:rsidR="00CC0B3A" w:rsidRPr="001E33F2" w:rsidRDefault="00F845D5" w:rsidP="00CC0B3A">
      <w:pPr>
        <w:pStyle w:val="CETReferencetext"/>
      </w:pPr>
      <w:r w:rsidRPr="001E33F2">
        <w:t>National Fire Protection Association, NFPA 70, 2023, National Electrical Code.</w:t>
      </w:r>
    </w:p>
    <w:p w14:paraId="5A13856B" w14:textId="1F3D5A13" w:rsidR="006B4888" w:rsidRDefault="00F845D5" w:rsidP="00246982">
      <w:pPr>
        <w:pStyle w:val="CETReferencetext"/>
      </w:pPr>
      <w:r w:rsidRPr="001E33F2">
        <w:t>National Fire Protection Association, NFPA 652, 2019, National Electrical Code.</w:t>
      </w:r>
    </w:p>
    <w:p w14:paraId="0F0C3C22" w14:textId="5831A6BF" w:rsidR="004375E0" w:rsidRDefault="004375E0" w:rsidP="00246982">
      <w:pPr>
        <w:pStyle w:val="CETReferencetext"/>
      </w:pPr>
      <w:proofErr w:type="spellStart"/>
      <w:r w:rsidRPr="004375E0">
        <w:t>Perelli</w:t>
      </w:r>
      <w:proofErr w:type="spellEnd"/>
      <w:r w:rsidRPr="004375E0">
        <w:t xml:space="preserve"> S., Carluccio L.M., 2023, Hazardous Area Classification Due to Combustible Dust Atmospheres and Layers: Avoiding Common Mistakes, Chemical Engineering Transactions, 99, 211</w:t>
      </w:r>
      <w:r w:rsidR="00774061">
        <w:t xml:space="preserve"> </w:t>
      </w:r>
      <w:r w:rsidR="00774061" w:rsidRPr="006B4888">
        <w:t>–</w:t>
      </w:r>
      <w:r w:rsidR="00774061">
        <w:t xml:space="preserve"> </w:t>
      </w:r>
      <w:r w:rsidRPr="004375E0">
        <w:t>216.</w:t>
      </w:r>
    </w:p>
    <w:p w14:paraId="1670C6E6" w14:textId="1F46E473" w:rsidR="009E3036" w:rsidRPr="001E33F2" w:rsidRDefault="00E12E1F" w:rsidP="00774061">
      <w:pPr>
        <w:pStyle w:val="CETReferencetext"/>
      </w:pPr>
      <w:r>
        <w:t xml:space="preserve">VDI/VDE 2180 Blatt 6, 2013-06, </w:t>
      </w:r>
      <w:r w:rsidRPr="00D93A4B">
        <w:t>Safeguarding of industrial process plants by means</w:t>
      </w:r>
      <w:r>
        <w:t xml:space="preserve"> </w:t>
      </w:r>
      <w:r w:rsidRPr="00D93A4B">
        <w:t>of process control engineering (PCE)</w:t>
      </w:r>
      <w:r>
        <w:t xml:space="preserve">. </w:t>
      </w:r>
      <w:r w:rsidRPr="00D93A4B">
        <w:t>Application of functional safety in the context of</w:t>
      </w:r>
      <w:r>
        <w:t xml:space="preserve"> </w:t>
      </w:r>
      <w:r w:rsidRPr="00D93A4B">
        <w:t>explosion protection</w:t>
      </w:r>
      <w:r>
        <w:t xml:space="preserve"> (original title: </w:t>
      </w:r>
      <w:proofErr w:type="spellStart"/>
      <w:r w:rsidRPr="00D93A4B">
        <w:t>Sicherung</w:t>
      </w:r>
      <w:proofErr w:type="spellEnd"/>
      <w:r w:rsidRPr="00D93A4B">
        <w:t xml:space="preserve"> von Anlagen der </w:t>
      </w:r>
      <w:proofErr w:type="spellStart"/>
      <w:r w:rsidRPr="00D93A4B">
        <w:t>Verfahrenstechnik</w:t>
      </w:r>
      <w:proofErr w:type="spellEnd"/>
      <w:r w:rsidRPr="00D93A4B">
        <w:t xml:space="preserve"> </w:t>
      </w:r>
      <w:proofErr w:type="spellStart"/>
      <w:r w:rsidRPr="00D93A4B">
        <w:t>mit</w:t>
      </w:r>
      <w:proofErr w:type="spellEnd"/>
      <w:r>
        <w:t xml:space="preserve"> </w:t>
      </w:r>
      <w:proofErr w:type="spellStart"/>
      <w:r w:rsidRPr="00D93A4B">
        <w:t>Mitteln</w:t>
      </w:r>
      <w:proofErr w:type="spellEnd"/>
      <w:r w:rsidRPr="00D93A4B">
        <w:t xml:space="preserve"> der </w:t>
      </w:r>
      <w:proofErr w:type="spellStart"/>
      <w:r w:rsidRPr="00D93A4B">
        <w:t>Prozessleittechnik</w:t>
      </w:r>
      <w:proofErr w:type="spellEnd"/>
      <w:r w:rsidRPr="00D93A4B">
        <w:t xml:space="preserve"> (PLT)</w:t>
      </w:r>
      <w:r>
        <w:t xml:space="preserve"> </w:t>
      </w:r>
      <w:proofErr w:type="spellStart"/>
      <w:r w:rsidRPr="00D93A4B">
        <w:t>Anwendung</w:t>
      </w:r>
      <w:proofErr w:type="spellEnd"/>
      <w:r w:rsidRPr="00D93A4B">
        <w:t xml:space="preserve"> der </w:t>
      </w:r>
      <w:proofErr w:type="spellStart"/>
      <w:r w:rsidRPr="00D93A4B">
        <w:t>funktionalen</w:t>
      </w:r>
      <w:proofErr w:type="spellEnd"/>
      <w:r w:rsidRPr="00D93A4B">
        <w:t xml:space="preserve"> </w:t>
      </w:r>
      <w:proofErr w:type="spellStart"/>
      <w:r w:rsidRPr="00D93A4B">
        <w:t>Sicherheit</w:t>
      </w:r>
      <w:proofErr w:type="spellEnd"/>
      <w:r w:rsidRPr="00D93A4B">
        <w:t xml:space="preserve"> </w:t>
      </w:r>
      <w:proofErr w:type="spellStart"/>
      <w:r w:rsidRPr="00D93A4B">
        <w:t>im</w:t>
      </w:r>
      <w:proofErr w:type="spellEnd"/>
      <w:r w:rsidRPr="00D93A4B">
        <w:t xml:space="preserve"> </w:t>
      </w:r>
      <w:proofErr w:type="spellStart"/>
      <w:r w:rsidRPr="00D93A4B">
        <w:t>Rahmen</w:t>
      </w:r>
      <w:proofErr w:type="spellEnd"/>
      <w:r w:rsidRPr="00D93A4B">
        <w:t xml:space="preserve"> von</w:t>
      </w:r>
      <w:r>
        <w:t xml:space="preserve"> </w:t>
      </w:r>
      <w:proofErr w:type="spellStart"/>
      <w:r w:rsidRPr="00D93A4B">
        <w:t>Explosionsschutzmaßnahmen</w:t>
      </w:r>
      <w:proofErr w:type="spellEnd"/>
      <w:r>
        <w:t xml:space="preserve">). Berlin: </w:t>
      </w:r>
      <w:proofErr w:type="spellStart"/>
      <w:r w:rsidRPr="00D93A4B">
        <w:t>Beuth</w:t>
      </w:r>
      <w:proofErr w:type="spellEnd"/>
      <w:r>
        <w:t xml:space="preserve"> </w:t>
      </w:r>
      <w:r w:rsidRPr="00D93A4B">
        <w:t>Verlag</w:t>
      </w:r>
    </w:p>
    <w:sectPr w:rsidR="009E3036" w:rsidRPr="001E33F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29FC3" w14:textId="77777777" w:rsidR="009B6E57" w:rsidRDefault="009B6E57" w:rsidP="004F5E36">
      <w:r>
        <w:separator/>
      </w:r>
    </w:p>
  </w:endnote>
  <w:endnote w:type="continuationSeparator" w:id="0">
    <w:p w14:paraId="6862EAAA" w14:textId="77777777" w:rsidR="009B6E57" w:rsidRDefault="009B6E57" w:rsidP="004F5E36">
      <w:r>
        <w:continuationSeparator/>
      </w:r>
    </w:p>
  </w:endnote>
  <w:endnote w:type="continuationNotice" w:id="1">
    <w:p w14:paraId="54BF3881" w14:textId="77777777" w:rsidR="00F06E42" w:rsidRDefault="00F06E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068A6" w14:textId="77777777" w:rsidR="009B6E57" w:rsidRDefault="009B6E57" w:rsidP="004F5E36">
      <w:r>
        <w:separator/>
      </w:r>
    </w:p>
  </w:footnote>
  <w:footnote w:type="continuationSeparator" w:id="0">
    <w:p w14:paraId="6E3774DB" w14:textId="77777777" w:rsidR="009B6E57" w:rsidRDefault="009B6E57" w:rsidP="004F5E36">
      <w:r>
        <w:continuationSeparator/>
      </w:r>
    </w:p>
  </w:footnote>
  <w:footnote w:type="continuationNotice" w:id="1">
    <w:p w14:paraId="73E05E79" w14:textId="77777777" w:rsidR="00F06E42" w:rsidRDefault="00F06E4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534D2B"/>
    <w:multiLevelType w:val="hybridMultilevel"/>
    <w:tmpl w:val="5D54F344"/>
    <w:lvl w:ilvl="0" w:tplc="041A90F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3C586C5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E1F66F1"/>
    <w:multiLevelType w:val="hybridMultilevel"/>
    <w:tmpl w:val="1BFC1B8C"/>
    <w:lvl w:ilvl="0" w:tplc="2E46A5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6882765">
    <w:abstractNumId w:val="12"/>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4"/>
  </w:num>
  <w:num w:numId="14" w16cid:durableId="145903400">
    <w:abstractNumId w:val="20"/>
  </w:num>
  <w:num w:numId="15" w16cid:durableId="19162326">
    <w:abstractNumId w:val="22"/>
  </w:num>
  <w:num w:numId="16" w16cid:durableId="1977102699">
    <w:abstractNumId w:val="21"/>
  </w:num>
  <w:num w:numId="17" w16cid:durableId="860774865">
    <w:abstractNumId w:val="13"/>
  </w:num>
  <w:num w:numId="18" w16cid:durableId="313221457">
    <w:abstractNumId w:val="14"/>
    <w:lvlOverride w:ilvl="0">
      <w:startOverride w:val="1"/>
    </w:lvlOverride>
  </w:num>
  <w:num w:numId="19" w16cid:durableId="534971577">
    <w:abstractNumId w:val="18"/>
  </w:num>
  <w:num w:numId="20" w16cid:durableId="1150947773">
    <w:abstractNumId w:val="17"/>
  </w:num>
  <w:num w:numId="21" w16cid:durableId="124660497">
    <w:abstractNumId w:val="16"/>
  </w:num>
  <w:num w:numId="22" w16cid:durableId="2099861471">
    <w:abstractNumId w:val="15"/>
  </w:num>
  <w:num w:numId="23" w16cid:durableId="84351335">
    <w:abstractNumId w:val="10"/>
  </w:num>
  <w:num w:numId="24" w16cid:durableId="1036540637">
    <w:abstractNumId w:val="12"/>
  </w:num>
  <w:num w:numId="25" w16cid:durableId="2056928906">
    <w:abstractNumId w:val="11"/>
  </w:num>
  <w:num w:numId="26" w16cid:durableId="589855782">
    <w:abstractNumId w:val="23"/>
  </w:num>
  <w:num w:numId="27" w16cid:durableId="409233757">
    <w:abstractNumId w:val="14"/>
  </w:num>
  <w:num w:numId="28" w16cid:durableId="1632637090">
    <w:abstractNumId w:val="12"/>
  </w:num>
  <w:num w:numId="29" w16cid:durableId="1997024742">
    <w:abstractNumId w:val="12"/>
  </w:num>
  <w:num w:numId="30" w16cid:durableId="6821717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3148D"/>
    <w:rsid w:val="00031EEC"/>
    <w:rsid w:val="00047728"/>
    <w:rsid w:val="00051566"/>
    <w:rsid w:val="000562A9"/>
    <w:rsid w:val="000607CD"/>
    <w:rsid w:val="00062A9A"/>
    <w:rsid w:val="00065058"/>
    <w:rsid w:val="0007734E"/>
    <w:rsid w:val="00086C39"/>
    <w:rsid w:val="00087061"/>
    <w:rsid w:val="00096C7C"/>
    <w:rsid w:val="000A03B2"/>
    <w:rsid w:val="000D0268"/>
    <w:rsid w:val="000D34BE"/>
    <w:rsid w:val="000E0B3C"/>
    <w:rsid w:val="000E102F"/>
    <w:rsid w:val="000E36F1"/>
    <w:rsid w:val="000E3A73"/>
    <w:rsid w:val="000E414A"/>
    <w:rsid w:val="000E75FD"/>
    <w:rsid w:val="000F093C"/>
    <w:rsid w:val="000F787B"/>
    <w:rsid w:val="0012091F"/>
    <w:rsid w:val="00121B2A"/>
    <w:rsid w:val="00126BC2"/>
    <w:rsid w:val="001308B6"/>
    <w:rsid w:val="0013121F"/>
    <w:rsid w:val="001319BD"/>
    <w:rsid w:val="00131FE6"/>
    <w:rsid w:val="0013263F"/>
    <w:rsid w:val="001331DF"/>
    <w:rsid w:val="00134DE4"/>
    <w:rsid w:val="001355C2"/>
    <w:rsid w:val="0014034D"/>
    <w:rsid w:val="00140FE3"/>
    <w:rsid w:val="00144D16"/>
    <w:rsid w:val="00150E59"/>
    <w:rsid w:val="00152DE3"/>
    <w:rsid w:val="00161C76"/>
    <w:rsid w:val="00164CF9"/>
    <w:rsid w:val="00164F71"/>
    <w:rsid w:val="0016668E"/>
    <w:rsid w:val="001667A6"/>
    <w:rsid w:val="00172307"/>
    <w:rsid w:val="00177FB1"/>
    <w:rsid w:val="00180E4A"/>
    <w:rsid w:val="0018171E"/>
    <w:rsid w:val="00184AD6"/>
    <w:rsid w:val="001864DD"/>
    <w:rsid w:val="00195FE8"/>
    <w:rsid w:val="001A4AF7"/>
    <w:rsid w:val="001B0349"/>
    <w:rsid w:val="001B1E93"/>
    <w:rsid w:val="001B65C1"/>
    <w:rsid w:val="001C260F"/>
    <w:rsid w:val="001C5C3A"/>
    <w:rsid w:val="001C684B"/>
    <w:rsid w:val="001D0CFB"/>
    <w:rsid w:val="001D21AF"/>
    <w:rsid w:val="001D3D32"/>
    <w:rsid w:val="001D46D1"/>
    <w:rsid w:val="001D53FC"/>
    <w:rsid w:val="001E33F2"/>
    <w:rsid w:val="001F1354"/>
    <w:rsid w:val="001F42A5"/>
    <w:rsid w:val="001F4E1E"/>
    <w:rsid w:val="001F7B9D"/>
    <w:rsid w:val="00201C93"/>
    <w:rsid w:val="002106B9"/>
    <w:rsid w:val="002224B4"/>
    <w:rsid w:val="0022304E"/>
    <w:rsid w:val="002447EF"/>
    <w:rsid w:val="00246982"/>
    <w:rsid w:val="00247A34"/>
    <w:rsid w:val="00250470"/>
    <w:rsid w:val="00251550"/>
    <w:rsid w:val="00256B04"/>
    <w:rsid w:val="0026089E"/>
    <w:rsid w:val="00263B05"/>
    <w:rsid w:val="0027221A"/>
    <w:rsid w:val="00275B61"/>
    <w:rsid w:val="00280FAF"/>
    <w:rsid w:val="00282656"/>
    <w:rsid w:val="002834F2"/>
    <w:rsid w:val="00295F40"/>
    <w:rsid w:val="00296B83"/>
    <w:rsid w:val="002A279F"/>
    <w:rsid w:val="002B4015"/>
    <w:rsid w:val="002B78CE"/>
    <w:rsid w:val="002C2FB6"/>
    <w:rsid w:val="002E18DB"/>
    <w:rsid w:val="002E5FA7"/>
    <w:rsid w:val="002F3309"/>
    <w:rsid w:val="003008CE"/>
    <w:rsid w:val="003009B7"/>
    <w:rsid w:val="00300E56"/>
    <w:rsid w:val="0030152C"/>
    <w:rsid w:val="0030469C"/>
    <w:rsid w:val="00304CE8"/>
    <w:rsid w:val="00321CA6"/>
    <w:rsid w:val="00323763"/>
    <w:rsid w:val="00323C5F"/>
    <w:rsid w:val="003259A2"/>
    <w:rsid w:val="00334C09"/>
    <w:rsid w:val="00365232"/>
    <w:rsid w:val="003702DC"/>
    <w:rsid w:val="003723D4"/>
    <w:rsid w:val="00381905"/>
    <w:rsid w:val="00384CC8"/>
    <w:rsid w:val="00385DD0"/>
    <w:rsid w:val="003871FD"/>
    <w:rsid w:val="003A1E30"/>
    <w:rsid w:val="003A2829"/>
    <w:rsid w:val="003A3CDD"/>
    <w:rsid w:val="003A7D1C"/>
    <w:rsid w:val="003B304B"/>
    <w:rsid w:val="003B3146"/>
    <w:rsid w:val="003B49CD"/>
    <w:rsid w:val="003D1E02"/>
    <w:rsid w:val="003F015E"/>
    <w:rsid w:val="00400414"/>
    <w:rsid w:val="00404676"/>
    <w:rsid w:val="00407074"/>
    <w:rsid w:val="0041446B"/>
    <w:rsid w:val="004375E0"/>
    <w:rsid w:val="0044071E"/>
    <w:rsid w:val="0044329C"/>
    <w:rsid w:val="00446808"/>
    <w:rsid w:val="00453E24"/>
    <w:rsid w:val="00457456"/>
    <w:rsid w:val="004577FE"/>
    <w:rsid w:val="00457B9C"/>
    <w:rsid w:val="0046164A"/>
    <w:rsid w:val="004628D2"/>
    <w:rsid w:val="00462DCD"/>
    <w:rsid w:val="004648AD"/>
    <w:rsid w:val="004703A9"/>
    <w:rsid w:val="00471488"/>
    <w:rsid w:val="004760DE"/>
    <w:rsid w:val="004763D7"/>
    <w:rsid w:val="00476494"/>
    <w:rsid w:val="00483885"/>
    <w:rsid w:val="004A004E"/>
    <w:rsid w:val="004A24CF"/>
    <w:rsid w:val="004C0345"/>
    <w:rsid w:val="004C2E43"/>
    <w:rsid w:val="004C3D1D"/>
    <w:rsid w:val="004C3D84"/>
    <w:rsid w:val="004C7913"/>
    <w:rsid w:val="004D2CDA"/>
    <w:rsid w:val="004E4DD6"/>
    <w:rsid w:val="004F23E6"/>
    <w:rsid w:val="004F5E36"/>
    <w:rsid w:val="00507B47"/>
    <w:rsid w:val="00507BEF"/>
    <w:rsid w:val="00507CC9"/>
    <w:rsid w:val="005119A5"/>
    <w:rsid w:val="00512F1D"/>
    <w:rsid w:val="005278B7"/>
    <w:rsid w:val="00532016"/>
    <w:rsid w:val="005346C8"/>
    <w:rsid w:val="00543933"/>
    <w:rsid w:val="00543E7D"/>
    <w:rsid w:val="00547A68"/>
    <w:rsid w:val="005531C9"/>
    <w:rsid w:val="00554879"/>
    <w:rsid w:val="00556562"/>
    <w:rsid w:val="005675E9"/>
    <w:rsid w:val="00570C43"/>
    <w:rsid w:val="00592274"/>
    <w:rsid w:val="005A2CB7"/>
    <w:rsid w:val="005B2110"/>
    <w:rsid w:val="005B350B"/>
    <w:rsid w:val="005B61E6"/>
    <w:rsid w:val="005C77E1"/>
    <w:rsid w:val="005D668A"/>
    <w:rsid w:val="005D6A2F"/>
    <w:rsid w:val="005E0592"/>
    <w:rsid w:val="005E1A82"/>
    <w:rsid w:val="005E4563"/>
    <w:rsid w:val="005E794C"/>
    <w:rsid w:val="005F039F"/>
    <w:rsid w:val="005F0A28"/>
    <w:rsid w:val="005F0E5E"/>
    <w:rsid w:val="005F54AB"/>
    <w:rsid w:val="005F6D2F"/>
    <w:rsid w:val="00600535"/>
    <w:rsid w:val="006100E6"/>
    <w:rsid w:val="00610CD6"/>
    <w:rsid w:val="00611216"/>
    <w:rsid w:val="00620DEE"/>
    <w:rsid w:val="00621F92"/>
    <w:rsid w:val="0062232C"/>
    <w:rsid w:val="00622766"/>
    <w:rsid w:val="0062280A"/>
    <w:rsid w:val="006231E1"/>
    <w:rsid w:val="00624C60"/>
    <w:rsid w:val="00625639"/>
    <w:rsid w:val="00626342"/>
    <w:rsid w:val="00631B33"/>
    <w:rsid w:val="00635E95"/>
    <w:rsid w:val="0064184D"/>
    <w:rsid w:val="0064186F"/>
    <w:rsid w:val="006422CC"/>
    <w:rsid w:val="00642617"/>
    <w:rsid w:val="00651D18"/>
    <w:rsid w:val="00654A06"/>
    <w:rsid w:val="0066003E"/>
    <w:rsid w:val="00660E3E"/>
    <w:rsid w:val="00662E74"/>
    <w:rsid w:val="0066798A"/>
    <w:rsid w:val="006808E3"/>
    <w:rsid w:val="00680C23"/>
    <w:rsid w:val="00683E23"/>
    <w:rsid w:val="00693766"/>
    <w:rsid w:val="006A3281"/>
    <w:rsid w:val="006A6DE5"/>
    <w:rsid w:val="006B4888"/>
    <w:rsid w:val="006C2E45"/>
    <w:rsid w:val="006C359C"/>
    <w:rsid w:val="006C5579"/>
    <w:rsid w:val="006D6E8B"/>
    <w:rsid w:val="006D7209"/>
    <w:rsid w:val="006E50A0"/>
    <w:rsid w:val="006E6148"/>
    <w:rsid w:val="006E737D"/>
    <w:rsid w:val="006E756F"/>
    <w:rsid w:val="006F5867"/>
    <w:rsid w:val="00707DD1"/>
    <w:rsid w:val="00713973"/>
    <w:rsid w:val="00720A24"/>
    <w:rsid w:val="00730372"/>
    <w:rsid w:val="00732386"/>
    <w:rsid w:val="0073514D"/>
    <w:rsid w:val="007447F3"/>
    <w:rsid w:val="0075499F"/>
    <w:rsid w:val="00760C41"/>
    <w:rsid w:val="007661C8"/>
    <w:rsid w:val="0077098D"/>
    <w:rsid w:val="00774061"/>
    <w:rsid w:val="007828EB"/>
    <w:rsid w:val="00785BF9"/>
    <w:rsid w:val="007931FA"/>
    <w:rsid w:val="007A4861"/>
    <w:rsid w:val="007A79DB"/>
    <w:rsid w:val="007A7BBA"/>
    <w:rsid w:val="007B0C50"/>
    <w:rsid w:val="007B48F9"/>
    <w:rsid w:val="007C1A43"/>
    <w:rsid w:val="007D0951"/>
    <w:rsid w:val="007D610D"/>
    <w:rsid w:val="007E14B3"/>
    <w:rsid w:val="0080013E"/>
    <w:rsid w:val="00801759"/>
    <w:rsid w:val="00813288"/>
    <w:rsid w:val="008168FC"/>
    <w:rsid w:val="00821018"/>
    <w:rsid w:val="00830996"/>
    <w:rsid w:val="008345F1"/>
    <w:rsid w:val="008453D4"/>
    <w:rsid w:val="008454F8"/>
    <w:rsid w:val="00865B07"/>
    <w:rsid w:val="008667EA"/>
    <w:rsid w:val="008700C6"/>
    <w:rsid w:val="00870502"/>
    <w:rsid w:val="0087637F"/>
    <w:rsid w:val="008779A2"/>
    <w:rsid w:val="00877ED4"/>
    <w:rsid w:val="00892AD5"/>
    <w:rsid w:val="008A1512"/>
    <w:rsid w:val="008A6E64"/>
    <w:rsid w:val="008D32B9"/>
    <w:rsid w:val="008D433B"/>
    <w:rsid w:val="008D4A16"/>
    <w:rsid w:val="008D5C4B"/>
    <w:rsid w:val="008E5401"/>
    <w:rsid w:val="008E566E"/>
    <w:rsid w:val="008E7137"/>
    <w:rsid w:val="008F244D"/>
    <w:rsid w:val="0090161A"/>
    <w:rsid w:val="00901EB6"/>
    <w:rsid w:val="009041F8"/>
    <w:rsid w:val="00904C62"/>
    <w:rsid w:val="00922BA8"/>
    <w:rsid w:val="00924DAC"/>
    <w:rsid w:val="00927058"/>
    <w:rsid w:val="00942750"/>
    <w:rsid w:val="009450CE"/>
    <w:rsid w:val="009459BB"/>
    <w:rsid w:val="00947179"/>
    <w:rsid w:val="00947511"/>
    <w:rsid w:val="0095164B"/>
    <w:rsid w:val="00954090"/>
    <w:rsid w:val="00955D91"/>
    <w:rsid w:val="009573E7"/>
    <w:rsid w:val="00963E05"/>
    <w:rsid w:val="00964A45"/>
    <w:rsid w:val="00967843"/>
    <w:rsid w:val="00967D54"/>
    <w:rsid w:val="00971028"/>
    <w:rsid w:val="00977C31"/>
    <w:rsid w:val="00993B84"/>
    <w:rsid w:val="00994C6A"/>
    <w:rsid w:val="00996483"/>
    <w:rsid w:val="00996F5A"/>
    <w:rsid w:val="009B041A"/>
    <w:rsid w:val="009B6E57"/>
    <w:rsid w:val="009C02B5"/>
    <w:rsid w:val="009C37C3"/>
    <w:rsid w:val="009C7C86"/>
    <w:rsid w:val="009D2FF7"/>
    <w:rsid w:val="009D3566"/>
    <w:rsid w:val="009E3036"/>
    <w:rsid w:val="009E7884"/>
    <w:rsid w:val="009E788A"/>
    <w:rsid w:val="009F0E08"/>
    <w:rsid w:val="00A079AE"/>
    <w:rsid w:val="00A1763D"/>
    <w:rsid w:val="00A17CEC"/>
    <w:rsid w:val="00A20A67"/>
    <w:rsid w:val="00A22C17"/>
    <w:rsid w:val="00A27EF0"/>
    <w:rsid w:val="00A42361"/>
    <w:rsid w:val="00A50B20"/>
    <w:rsid w:val="00A51390"/>
    <w:rsid w:val="00A60D13"/>
    <w:rsid w:val="00A7223D"/>
    <w:rsid w:val="00A72745"/>
    <w:rsid w:val="00A76EFC"/>
    <w:rsid w:val="00A826EA"/>
    <w:rsid w:val="00A86DD9"/>
    <w:rsid w:val="00A87D50"/>
    <w:rsid w:val="00A91010"/>
    <w:rsid w:val="00A97F29"/>
    <w:rsid w:val="00AA702E"/>
    <w:rsid w:val="00AA7D26"/>
    <w:rsid w:val="00AB0964"/>
    <w:rsid w:val="00AB5011"/>
    <w:rsid w:val="00AC7368"/>
    <w:rsid w:val="00AD16B9"/>
    <w:rsid w:val="00AD3991"/>
    <w:rsid w:val="00AD5527"/>
    <w:rsid w:val="00AE377D"/>
    <w:rsid w:val="00AF0EBA"/>
    <w:rsid w:val="00AF2463"/>
    <w:rsid w:val="00B02C8A"/>
    <w:rsid w:val="00B17600"/>
    <w:rsid w:val="00B17FBD"/>
    <w:rsid w:val="00B315A6"/>
    <w:rsid w:val="00B31813"/>
    <w:rsid w:val="00B33365"/>
    <w:rsid w:val="00B340D3"/>
    <w:rsid w:val="00B3676A"/>
    <w:rsid w:val="00B57B36"/>
    <w:rsid w:val="00B57E6F"/>
    <w:rsid w:val="00B6602B"/>
    <w:rsid w:val="00B8686D"/>
    <w:rsid w:val="00B93F69"/>
    <w:rsid w:val="00B95133"/>
    <w:rsid w:val="00BB1DDC"/>
    <w:rsid w:val="00BC30C9"/>
    <w:rsid w:val="00BC4743"/>
    <w:rsid w:val="00BD077D"/>
    <w:rsid w:val="00BD5902"/>
    <w:rsid w:val="00BE3E58"/>
    <w:rsid w:val="00BE44D3"/>
    <w:rsid w:val="00BF13CE"/>
    <w:rsid w:val="00BF6B61"/>
    <w:rsid w:val="00C01616"/>
    <w:rsid w:val="00C0162B"/>
    <w:rsid w:val="00C068ED"/>
    <w:rsid w:val="00C21CCC"/>
    <w:rsid w:val="00C22E0C"/>
    <w:rsid w:val="00C345B1"/>
    <w:rsid w:val="00C40142"/>
    <w:rsid w:val="00C52C3C"/>
    <w:rsid w:val="00C57182"/>
    <w:rsid w:val="00C57863"/>
    <w:rsid w:val="00C640AF"/>
    <w:rsid w:val="00C655FD"/>
    <w:rsid w:val="00C723C9"/>
    <w:rsid w:val="00C75407"/>
    <w:rsid w:val="00C841C6"/>
    <w:rsid w:val="00C870A8"/>
    <w:rsid w:val="00C94434"/>
    <w:rsid w:val="00CA0D75"/>
    <w:rsid w:val="00CA1C95"/>
    <w:rsid w:val="00CA2373"/>
    <w:rsid w:val="00CA5A9C"/>
    <w:rsid w:val="00CC0B3A"/>
    <w:rsid w:val="00CC4C20"/>
    <w:rsid w:val="00CD3517"/>
    <w:rsid w:val="00CD5FE2"/>
    <w:rsid w:val="00CE3BA3"/>
    <w:rsid w:val="00CE52A7"/>
    <w:rsid w:val="00CE7C68"/>
    <w:rsid w:val="00CF0840"/>
    <w:rsid w:val="00CF291A"/>
    <w:rsid w:val="00D0271D"/>
    <w:rsid w:val="00D02B4C"/>
    <w:rsid w:val="00D040C4"/>
    <w:rsid w:val="00D109F6"/>
    <w:rsid w:val="00D20AD1"/>
    <w:rsid w:val="00D2582C"/>
    <w:rsid w:val="00D26CAD"/>
    <w:rsid w:val="00D46B7E"/>
    <w:rsid w:val="00D57C84"/>
    <w:rsid w:val="00D6057D"/>
    <w:rsid w:val="00D60581"/>
    <w:rsid w:val="00D71640"/>
    <w:rsid w:val="00D81810"/>
    <w:rsid w:val="00D836C5"/>
    <w:rsid w:val="00D84576"/>
    <w:rsid w:val="00DA1399"/>
    <w:rsid w:val="00DA24C6"/>
    <w:rsid w:val="00DA4D7B"/>
    <w:rsid w:val="00DC2192"/>
    <w:rsid w:val="00DC2840"/>
    <w:rsid w:val="00DC73EE"/>
    <w:rsid w:val="00DD271C"/>
    <w:rsid w:val="00DD5542"/>
    <w:rsid w:val="00DE19C5"/>
    <w:rsid w:val="00DE264A"/>
    <w:rsid w:val="00DE3DB2"/>
    <w:rsid w:val="00DF0CE2"/>
    <w:rsid w:val="00DF5072"/>
    <w:rsid w:val="00DF791A"/>
    <w:rsid w:val="00E01BA2"/>
    <w:rsid w:val="00E02A33"/>
    <w:rsid w:val="00E02D18"/>
    <w:rsid w:val="00E041E7"/>
    <w:rsid w:val="00E12E1F"/>
    <w:rsid w:val="00E23CA1"/>
    <w:rsid w:val="00E309EF"/>
    <w:rsid w:val="00E32511"/>
    <w:rsid w:val="00E409A8"/>
    <w:rsid w:val="00E50C12"/>
    <w:rsid w:val="00E530C2"/>
    <w:rsid w:val="00E65B91"/>
    <w:rsid w:val="00E7209D"/>
    <w:rsid w:val="00E72EAD"/>
    <w:rsid w:val="00E77223"/>
    <w:rsid w:val="00E8528B"/>
    <w:rsid w:val="00E85B94"/>
    <w:rsid w:val="00E978D0"/>
    <w:rsid w:val="00EA03F8"/>
    <w:rsid w:val="00EA4613"/>
    <w:rsid w:val="00EA7F91"/>
    <w:rsid w:val="00EB1523"/>
    <w:rsid w:val="00EC0E49"/>
    <w:rsid w:val="00EC101F"/>
    <w:rsid w:val="00EC1D9F"/>
    <w:rsid w:val="00EE0131"/>
    <w:rsid w:val="00EE17B0"/>
    <w:rsid w:val="00EF06D9"/>
    <w:rsid w:val="00F06E42"/>
    <w:rsid w:val="00F3049E"/>
    <w:rsid w:val="00F30C64"/>
    <w:rsid w:val="00F32BA2"/>
    <w:rsid w:val="00F32CDB"/>
    <w:rsid w:val="00F40514"/>
    <w:rsid w:val="00F41EE4"/>
    <w:rsid w:val="00F42FA9"/>
    <w:rsid w:val="00F565FE"/>
    <w:rsid w:val="00F63A70"/>
    <w:rsid w:val="00F63D8C"/>
    <w:rsid w:val="00F7534E"/>
    <w:rsid w:val="00F845D5"/>
    <w:rsid w:val="00F93EDF"/>
    <w:rsid w:val="00FA1802"/>
    <w:rsid w:val="00FA21D0"/>
    <w:rsid w:val="00FA5F5F"/>
    <w:rsid w:val="00FB730C"/>
    <w:rsid w:val="00FC2695"/>
    <w:rsid w:val="00FC3E03"/>
    <w:rsid w:val="00FC3FC1"/>
    <w:rsid w:val="00FE298D"/>
    <w:rsid w:val="00FF50B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955D91"/>
    <w:pPr>
      <w:keepNext/>
      <w:numPr>
        <w:ilvl w:val="2"/>
        <w:numId w:val="1"/>
      </w:numPr>
      <w:suppressAutoHyphens/>
      <w:spacing w:before="120" w:after="120" w:line="240" w:lineRule="auto"/>
    </w:pPr>
    <w:rPr>
      <w:rFonts w:ascii="Arial" w:eastAsia="Times New Roman" w:hAnsi="Arial" w:cs="Times New Roman"/>
      <w:b/>
      <w:sz w:val="18"/>
      <w:szCs w:val="20"/>
      <w:lang w:val="en-GB"/>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955D91"/>
    <w:rPr>
      <w:rFonts w:ascii="Arial" w:eastAsia="Times New Roman" w:hAnsi="Arial" w:cs="Times New Roman"/>
      <w:b/>
      <w:sz w:val="18"/>
      <w:szCs w:val="20"/>
      <w:lang w:val="en-GB"/>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6E756F"/>
    <w:rPr>
      <w:color w:val="605E5C"/>
      <w:shd w:val="clear" w:color="auto" w:fill="E1DFDD"/>
    </w:rPr>
  </w:style>
  <w:style w:type="character" w:styleId="Testosegnaposto">
    <w:name w:val="Placeholder Text"/>
    <w:basedOn w:val="Carpredefinitoparagrafo"/>
    <w:uiPriority w:val="99"/>
    <w:semiHidden/>
    <w:rsid w:val="006E6148"/>
    <w:rPr>
      <w:color w:val="666666"/>
    </w:rPr>
  </w:style>
  <w:style w:type="character" w:styleId="Menzione">
    <w:name w:val="Mention"/>
    <w:basedOn w:val="Carpredefinitoparagrafo"/>
    <w:uiPriority w:val="99"/>
    <w:unhideWhenUsed/>
    <w:rsid w:val="00BC474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22490">
      <w:bodyDiv w:val="1"/>
      <w:marLeft w:val="0"/>
      <w:marRight w:val="0"/>
      <w:marTop w:val="0"/>
      <w:marBottom w:val="0"/>
      <w:divBdr>
        <w:top w:val="none" w:sz="0" w:space="0" w:color="auto"/>
        <w:left w:val="none" w:sz="0" w:space="0" w:color="auto"/>
        <w:bottom w:val="none" w:sz="0" w:space="0" w:color="auto"/>
        <w:right w:val="none" w:sz="0" w:space="0" w:color="auto"/>
      </w:divBdr>
    </w:div>
    <w:div w:id="1072893657">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70463992">
      <w:bodyDiv w:val="1"/>
      <w:marLeft w:val="0"/>
      <w:marRight w:val="0"/>
      <w:marTop w:val="0"/>
      <w:marBottom w:val="0"/>
      <w:divBdr>
        <w:top w:val="none" w:sz="0" w:space="0" w:color="auto"/>
        <w:left w:val="none" w:sz="0" w:space="0" w:color="auto"/>
        <w:bottom w:val="none" w:sz="0" w:space="0" w:color="auto"/>
        <w:right w:val="none" w:sz="0" w:space="0" w:color="auto"/>
      </w:divBdr>
    </w:div>
    <w:div w:id="178245283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onardomichele.carluccio@dekr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3AF8F0278B2354D871DAEF0B807ECB9" ma:contentTypeVersion="13" ma:contentTypeDescription="Creare un nuovo documento." ma:contentTypeScope="" ma:versionID="de7434dbb2508aebe457661c9c014cb1">
  <xsd:schema xmlns:xsd="http://www.w3.org/2001/XMLSchema" xmlns:xs="http://www.w3.org/2001/XMLSchema" xmlns:p="http://schemas.microsoft.com/office/2006/metadata/properties" xmlns:ns2="a861464b-37cf-44ea-8d18-14153ca159e9" xmlns:ns3="7344bc78-a3c5-48e7-879b-23dae01f9991" targetNamespace="http://schemas.microsoft.com/office/2006/metadata/properties" ma:root="true" ma:fieldsID="ac4825e34f5b5e6faf346dc01f2be33a" ns2:_="" ns3:_="">
    <xsd:import namespace="a861464b-37cf-44ea-8d18-14153ca159e9"/>
    <xsd:import namespace="7344bc78-a3c5-48e7-879b-23dae01f99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1464b-37cf-44ea-8d18-14153ca15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f43bf995-fbfa-44ea-8187-e0b9c3bf97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44bc78-a3c5-48e7-879b-23dae01f999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1ddccec-1ca0-4f23-9ea9-f01a15cea4a1}" ma:internalName="TaxCatchAll" ma:showField="CatchAllData" ma:web="7344bc78-a3c5-48e7-879b-23dae01f9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61464b-37cf-44ea-8d18-14153ca159e9">
      <Terms xmlns="http://schemas.microsoft.com/office/infopath/2007/PartnerControls"/>
    </lcf76f155ced4ddcb4097134ff3c332f>
    <TaxCatchAll xmlns="7344bc78-a3c5-48e7-879b-23dae01f9991" xsi:nil="true"/>
  </documentManagement>
</p:properties>
</file>

<file path=customXml/itemProps1.xml><?xml version="1.0" encoding="utf-8"?>
<ds:datastoreItem xmlns:ds="http://schemas.openxmlformats.org/officeDocument/2006/customXml" ds:itemID="{2079912A-D8C5-41B7-B3EC-B55FDC31A716}">
  <ds:schemaRefs>
    <ds:schemaRef ds:uri="http://schemas.microsoft.com/sharepoint/v3/contenttype/forms"/>
  </ds:schemaRefs>
</ds:datastoreItem>
</file>

<file path=customXml/itemProps2.xml><?xml version="1.0" encoding="utf-8"?>
<ds:datastoreItem xmlns:ds="http://schemas.openxmlformats.org/officeDocument/2006/customXml" ds:itemID="{E8556E1D-7413-4B5F-86C6-63FF80562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1464b-37cf-44ea-8d18-14153ca159e9"/>
    <ds:schemaRef ds:uri="7344bc78-a3c5-48e7-879b-23dae01f9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customXml/itemProps4.xml><?xml version="1.0" encoding="utf-8"?>
<ds:datastoreItem xmlns:ds="http://schemas.openxmlformats.org/officeDocument/2006/customXml" ds:itemID="{8B0BA71C-41F9-4C8E-8A0C-4AA70CF5CE17}">
  <ds:schemaRefs>
    <ds:schemaRef ds:uri="7344bc78-a3c5-48e7-879b-23dae01f9991"/>
    <ds:schemaRef ds:uri="http://schemas.microsoft.com/office/2006/documentManagement/types"/>
    <ds:schemaRef ds:uri="a861464b-37cf-44ea-8d18-14153ca159e9"/>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6</Pages>
  <Words>3284</Words>
  <Characters>18723</Characters>
  <Application>Microsoft Office Word</Application>
  <DocSecurity>0</DocSecurity>
  <Lines>156</Lines>
  <Paragraphs>43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Leonardo Michele CARLUCCIO</cp:lastModifiedBy>
  <cp:revision>34</cp:revision>
  <cp:lastPrinted>2015-05-12T18:31:00Z</cp:lastPrinted>
  <dcterms:created xsi:type="dcterms:W3CDTF">2024-12-12T08:55:00Z</dcterms:created>
  <dcterms:modified xsi:type="dcterms:W3CDTF">2025-02-12T14:45:00Z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0x01010023AF8F0278B2354D871DAEF0B807ECB9</vt:lpwstr>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