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91523E">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91523E">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91523E">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0B499B48" w:rsidR="00E978D0" w:rsidRPr="00B57B36" w:rsidRDefault="0091523E" w:rsidP="00E978D0">
      <w:pPr>
        <w:pStyle w:val="CETTitle"/>
      </w:pPr>
      <w:r w:rsidRPr="0091523E">
        <w:t>Study of oxygen isotope distillation for applications in medical diagnostics</w:t>
      </w:r>
    </w:p>
    <w:p w14:paraId="0488FED2" w14:textId="27911B57" w:rsidR="00B57E6F" w:rsidRPr="0091523E" w:rsidRDefault="0091523E" w:rsidP="00B57E6F">
      <w:pPr>
        <w:pStyle w:val="CETAuthors"/>
        <w:rPr>
          <w:lang w:val="it-IT"/>
        </w:rPr>
      </w:pPr>
      <w:r w:rsidRPr="0091523E">
        <w:rPr>
          <w:lang w:val="it-IT"/>
        </w:rPr>
        <w:t>Stefania Moioli</w:t>
      </w:r>
      <w:r w:rsidRPr="0091523E">
        <w:rPr>
          <w:vertAlign w:val="superscript"/>
          <w:lang w:val="it-IT"/>
        </w:rPr>
        <w:t>a,</w:t>
      </w:r>
      <w:r w:rsidRPr="0091523E">
        <w:rPr>
          <w:lang w:val="it-IT"/>
        </w:rPr>
        <w:t>*, Cristiano Galbiati</w:t>
      </w:r>
      <w:r w:rsidRPr="0091523E">
        <w:rPr>
          <w:vertAlign w:val="superscript"/>
          <w:lang w:val="it-IT"/>
        </w:rPr>
        <w:t>b,c</w:t>
      </w:r>
      <w:r w:rsidRPr="0091523E">
        <w:rPr>
          <w:lang w:val="it-IT"/>
        </w:rPr>
        <w:t>, Paolo Agnes</w:t>
      </w:r>
      <w:r w:rsidRPr="0091523E">
        <w:rPr>
          <w:vertAlign w:val="superscript"/>
          <w:lang w:val="it-IT"/>
        </w:rPr>
        <w:t>c</w:t>
      </w:r>
      <w:r w:rsidRPr="0091523E">
        <w:rPr>
          <w:lang w:val="it-IT"/>
        </w:rPr>
        <w:t>, Federico Gabriele</w:t>
      </w:r>
      <w:r w:rsidRPr="0091523E">
        <w:rPr>
          <w:vertAlign w:val="superscript"/>
          <w:lang w:val="it-IT"/>
        </w:rPr>
        <w:t>d</w:t>
      </w:r>
      <w:r w:rsidRPr="0091523E">
        <w:rPr>
          <w:lang w:val="it-IT"/>
        </w:rPr>
        <w:t>, Walter Marcello Bonivento</w:t>
      </w:r>
      <w:r w:rsidRPr="0091523E">
        <w:rPr>
          <w:vertAlign w:val="superscript"/>
          <w:lang w:val="it-IT"/>
        </w:rPr>
        <w:t>d</w:t>
      </w:r>
      <w:r w:rsidRPr="0091523E">
        <w:rPr>
          <w:lang w:val="it-IT"/>
        </w:rPr>
        <w:t>, Marino Simeone</w:t>
      </w:r>
      <w:r w:rsidRPr="0091523E">
        <w:rPr>
          <w:vertAlign w:val="superscript"/>
          <w:lang w:val="it-IT"/>
        </w:rPr>
        <w:t>e</w:t>
      </w:r>
    </w:p>
    <w:p w14:paraId="6B2D21B3" w14:textId="0673A78D" w:rsidR="00B57E6F" w:rsidRPr="0091523E" w:rsidRDefault="0091523E" w:rsidP="00B57E6F">
      <w:pPr>
        <w:pStyle w:val="CETAddress"/>
        <w:rPr>
          <w:lang w:val="it-IT"/>
        </w:rPr>
      </w:pPr>
      <w:r w:rsidRPr="0091523E">
        <w:rPr>
          <w:vertAlign w:val="superscript"/>
          <w:lang w:val="it-IT"/>
        </w:rPr>
        <w:t>a</w:t>
      </w:r>
      <w:r w:rsidRPr="0091523E">
        <w:rPr>
          <w:lang w:val="it-IT"/>
        </w:rPr>
        <w:t>GASP - Group on Advanced Separation Processes &amp; GAS Processing, Dipartimento di Chimica, Materiali e Ingegneria Chimica “G. Natta”, Politecnico di Milano, Piazza Leonardo da Vinci 32, 20133 Milano, Italy</w:t>
      </w:r>
    </w:p>
    <w:p w14:paraId="6A6D062F" w14:textId="77777777" w:rsidR="0091523E" w:rsidRPr="0091523E" w:rsidRDefault="0091523E" w:rsidP="0091523E">
      <w:pPr>
        <w:pStyle w:val="CETAddress"/>
      </w:pPr>
      <w:r w:rsidRPr="0091523E">
        <w:rPr>
          <w:vertAlign w:val="superscript"/>
        </w:rPr>
        <w:t>b</w:t>
      </w:r>
      <w:r w:rsidRPr="0091523E">
        <w:t>Physics Department, Princeton University, Princeton, NJ 08544, USA</w:t>
      </w:r>
    </w:p>
    <w:p w14:paraId="73932CFC" w14:textId="77777777" w:rsidR="0091523E" w:rsidRPr="0091523E" w:rsidRDefault="0091523E" w:rsidP="0091523E">
      <w:pPr>
        <w:pStyle w:val="CETAddress"/>
        <w:rPr>
          <w:lang w:val="it-IT"/>
        </w:rPr>
      </w:pPr>
      <w:r w:rsidRPr="0091523E">
        <w:rPr>
          <w:vertAlign w:val="superscript"/>
          <w:lang w:val="it-IT"/>
        </w:rPr>
        <w:t>c</w:t>
      </w:r>
      <w:r w:rsidRPr="0091523E">
        <w:rPr>
          <w:lang w:val="it-IT"/>
        </w:rPr>
        <w:t>Gran Sasso Science Institute, 67100 L’Aquila, Italy</w:t>
      </w:r>
    </w:p>
    <w:p w14:paraId="7031BFAC" w14:textId="77777777" w:rsidR="0091523E" w:rsidRPr="0091523E" w:rsidRDefault="0091523E" w:rsidP="0091523E">
      <w:pPr>
        <w:pStyle w:val="CETAddress"/>
        <w:rPr>
          <w:lang w:val="it-IT"/>
        </w:rPr>
      </w:pPr>
      <w:r w:rsidRPr="0091523E">
        <w:rPr>
          <w:vertAlign w:val="superscript"/>
          <w:lang w:val="it-IT"/>
        </w:rPr>
        <w:t>d</w:t>
      </w:r>
      <w:r w:rsidRPr="0091523E">
        <w:rPr>
          <w:lang w:val="it-IT"/>
        </w:rPr>
        <w:t>INFN Cagliari, 09042 Cagliari, Italy</w:t>
      </w:r>
    </w:p>
    <w:p w14:paraId="3D72B0B0" w14:textId="3F931AB4" w:rsidR="00B57E6F" w:rsidRPr="0091523E" w:rsidRDefault="0091523E" w:rsidP="0091523E">
      <w:pPr>
        <w:pStyle w:val="CETAddress"/>
        <w:rPr>
          <w:lang w:val="it-IT"/>
        </w:rPr>
      </w:pPr>
      <w:r w:rsidRPr="0091523E">
        <w:rPr>
          <w:vertAlign w:val="superscript"/>
          <w:lang w:val="it-IT"/>
        </w:rPr>
        <w:t>e</w:t>
      </w:r>
      <w:r w:rsidRPr="0091523E">
        <w:rPr>
          <w:lang w:val="it-IT"/>
        </w:rPr>
        <w:t>Dipartimento di Ingegneria Chimica dei Materiali e della Produzione Industriale, Università degli Studi di Napoli Federico II, Piazzale Tecchio 80, 80125 Napoli, Italy</w:t>
      </w:r>
    </w:p>
    <w:p w14:paraId="73F1267A" w14:textId="69622BAC" w:rsidR="00B57E6F" w:rsidRPr="0091523E" w:rsidRDefault="0091523E" w:rsidP="00B57E6F">
      <w:pPr>
        <w:pStyle w:val="CETemail"/>
      </w:pPr>
      <w:r w:rsidRPr="0091523E">
        <w:t>stefania.moioli@polimi.it</w:t>
      </w:r>
    </w:p>
    <w:p w14:paraId="7D5F6587" w14:textId="77777777" w:rsidR="00F763D6" w:rsidRDefault="0032562E" w:rsidP="0032562E">
      <w:pPr>
        <w:pStyle w:val="CETBodytext"/>
      </w:pPr>
      <w:r>
        <w:t xml:space="preserve">The production of rare isotopes is difficult and carried out only in few sites in the World, though being of interest. For instance, the </w:t>
      </w:r>
      <w:r w:rsidRPr="00851411">
        <w:t xml:space="preserve">production of </w:t>
      </w:r>
      <w:r w:rsidRPr="00851411">
        <w:rPr>
          <w:vertAlign w:val="superscript"/>
        </w:rPr>
        <w:t>18</w:t>
      </w:r>
      <w:r w:rsidRPr="00851411">
        <w:t xml:space="preserve">O and </w:t>
      </w:r>
      <w:r w:rsidRPr="00851411">
        <w:rPr>
          <w:vertAlign w:val="superscript"/>
        </w:rPr>
        <w:t>17</w:t>
      </w:r>
      <w:r w:rsidRPr="00851411">
        <w:t>O</w:t>
      </w:r>
      <w:r>
        <w:t xml:space="preserve"> is relevant for</w:t>
      </w:r>
      <w:r w:rsidRPr="00851411">
        <w:t xml:space="preserve"> medical diagnostics</w:t>
      </w:r>
      <w:r>
        <w:t xml:space="preserve">, in particular to promote </w:t>
      </w:r>
      <w:r w:rsidRPr="00851411">
        <w:t>largescale application of breakthrough methods for early diagnostics for cancer, neurodegenerative diseases and lung diseases.</w:t>
      </w:r>
      <w:r w:rsidR="00F763D6">
        <w:t xml:space="preserve"> </w:t>
      </w:r>
      <w:r w:rsidRPr="0066411B">
        <w:rPr>
          <w:vertAlign w:val="superscript"/>
        </w:rPr>
        <w:t>18</w:t>
      </w:r>
      <w:r>
        <w:t xml:space="preserve">O and </w:t>
      </w:r>
      <w:r w:rsidRPr="0066411B">
        <w:rPr>
          <w:vertAlign w:val="superscript"/>
        </w:rPr>
        <w:t>17</w:t>
      </w:r>
      <w:r>
        <w:t>O can be produced by cryogenic distillation, operating with a very high number of theoretical stages.</w:t>
      </w:r>
    </w:p>
    <w:p w14:paraId="38F76186" w14:textId="7BC529E1" w:rsidR="006A6DE5" w:rsidRDefault="0032562E" w:rsidP="0032562E">
      <w:pPr>
        <w:pStyle w:val="CETBodytext"/>
      </w:pPr>
      <w:r>
        <w:t xml:space="preserve">On this topic a PRIN 2022 project has been funded by the </w:t>
      </w:r>
      <w:proofErr w:type="spellStart"/>
      <w:r>
        <w:t>Ministero</w:t>
      </w:r>
      <w:proofErr w:type="spellEnd"/>
      <w:r>
        <w:t xml:space="preserve"> </w:t>
      </w:r>
      <w:proofErr w:type="spellStart"/>
      <w:r>
        <w:t>dell’Università</w:t>
      </w:r>
      <w:proofErr w:type="spellEnd"/>
      <w:r>
        <w:t xml:space="preserve"> e </w:t>
      </w:r>
      <w:proofErr w:type="spellStart"/>
      <w:r>
        <w:t>della</w:t>
      </w:r>
      <w:proofErr w:type="spellEnd"/>
      <w:r>
        <w:t xml:space="preserve"> </w:t>
      </w:r>
      <w:proofErr w:type="spellStart"/>
      <w:r>
        <w:t>Ricerca</w:t>
      </w:r>
      <w:proofErr w:type="spellEnd"/>
      <w:r>
        <w:t>, with the aim of designing a distillation plant for increasing the amount of the isotopes of interest in the final product from the natural abundance up to 10%.</w:t>
      </w:r>
      <w:r w:rsidR="00F763D6">
        <w:t xml:space="preserve"> </w:t>
      </w:r>
      <w:r w:rsidRPr="004A5B57">
        <w:t xml:space="preserve">The project </w:t>
      </w:r>
      <w:r>
        <w:t xml:space="preserve">is based on </w:t>
      </w:r>
      <w:r w:rsidRPr="004A5B57">
        <w:t>Aria, a</w:t>
      </w:r>
      <w:r>
        <w:t xml:space="preserve"> </w:t>
      </w:r>
      <w:r w:rsidRPr="004A5B57">
        <w:t xml:space="preserve">major cryogenic distillation infrastructure in </w:t>
      </w:r>
      <w:proofErr w:type="spellStart"/>
      <w:r w:rsidRPr="004A5B57">
        <w:t>Nuraxi-Figus</w:t>
      </w:r>
      <w:proofErr w:type="spellEnd"/>
      <w:r w:rsidRPr="004A5B57">
        <w:t xml:space="preserve"> (South Sardinia), where a 350-meter-tall</w:t>
      </w:r>
      <w:r>
        <w:t xml:space="preserve"> </w:t>
      </w:r>
      <w:r w:rsidRPr="004A5B57">
        <w:t>cryogenic distillation column is being installed to purify argon isotopes for dark matter searches.</w:t>
      </w:r>
      <w:r>
        <w:t xml:space="preserve"> </w:t>
      </w:r>
      <w:r w:rsidRPr="004A5B57">
        <w:t>Extending 350 meters underground into a mineshaft of a former coal mine, Aria is today the only</w:t>
      </w:r>
      <w:r>
        <w:t xml:space="preserve"> </w:t>
      </w:r>
      <w:r w:rsidRPr="004A5B57">
        <w:t>facility capable of producing stable light isotopes via cryogenic distillation in the European Union</w:t>
      </w:r>
      <w:r>
        <w:t xml:space="preserve"> </w:t>
      </w:r>
      <w:r w:rsidRPr="004A5B57">
        <w:t>and has the potentiality to become the most powerful production plant of its kind in the world.</w:t>
      </w:r>
      <w:r w:rsidR="00F763D6">
        <w:t xml:space="preserve"> </w:t>
      </w:r>
      <w:r>
        <w:t xml:space="preserve">This work focuses on the study of the cryogenic distillation column for treating a binary mixture of </w:t>
      </w:r>
      <w:r w:rsidRPr="00E31F45">
        <w:rPr>
          <w:vertAlign w:val="superscript"/>
        </w:rPr>
        <w:t>16</w:t>
      </w:r>
      <w:r>
        <w:t>O</w:t>
      </w:r>
      <w:r w:rsidRPr="00E31F45">
        <w:rPr>
          <w:vertAlign w:val="subscript"/>
        </w:rPr>
        <w:t>2</w:t>
      </w:r>
      <w:r w:rsidR="00AD386D">
        <w:t xml:space="preserve"> and </w:t>
      </w:r>
      <w:r w:rsidRPr="00E31F45">
        <w:rPr>
          <w:vertAlign w:val="superscript"/>
        </w:rPr>
        <w:t>1</w:t>
      </w:r>
      <w:r>
        <w:rPr>
          <w:vertAlign w:val="superscript"/>
        </w:rPr>
        <w:t>6</w:t>
      </w:r>
      <w:r>
        <w:t>O</w:t>
      </w:r>
      <w:r w:rsidRPr="00E31F45">
        <w:rPr>
          <w:vertAlign w:val="superscript"/>
        </w:rPr>
        <w:t>1</w:t>
      </w:r>
      <w:r>
        <w:rPr>
          <w:vertAlign w:val="superscript"/>
        </w:rPr>
        <w:t>8</w:t>
      </w:r>
      <w:r>
        <w:t xml:space="preserve">O with the aim of producing a stream richer in </w:t>
      </w:r>
      <w:r w:rsidRPr="00E31F45">
        <w:rPr>
          <w:vertAlign w:val="superscript"/>
        </w:rPr>
        <w:t>1</w:t>
      </w:r>
      <w:r>
        <w:rPr>
          <w:vertAlign w:val="superscript"/>
        </w:rPr>
        <w:t>6</w:t>
      </w:r>
      <w:r>
        <w:t>O</w:t>
      </w:r>
      <w:r w:rsidRPr="00E31F45">
        <w:rPr>
          <w:vertAlign w:val="superscript"/>
        </w:rPr>
        <w:t>1</w:t>
      </w:r>
      <w:r>
        <w:rPr>
          <w:vertAlign w:val="superscript"/>
        </w:rPr>
        <w:t>8</w:t>
      </w:r>
      <w:r>
        <w:t>O. The simulation of the process has been performed and sensitivity analyses on the main operating parameters have been carried out to define the best operating conditions of the column.</w:t>
      </w:r>
    </w:p>
    <w:p w14:paraId="476B2F2E" w14:textId="52B36035" w:rsidR="00600535" w:rsidRPr="00B57B36" w:rsidRDefault="00600535" w:rsidP="00600535">
      <w:pPr>
        <w:pStyle w:val="CETHeading1"/>
        <w:rPr>
          <w:lang w:val="en-GB"/>
        </w:rPr>
      </w:pPr>
      <w:r w:rsidRPr="00B57B36">
        <w:rPr>
          <w:lang w:val="en-GB"/>
        </w:rPr>
        <w:t>Introduction</w:t>
      </w:r>
    </w:p>
    <w:p w14:paraId="29737AD7" w14:textId="186F8A07" w:rsidR="001442B3" w:rsidRDefault="001442B3" w:rsidP="001442B3">
      <w:pPr>
        <w:pStyle w:val="CETBodytext"/>
        <w:rPr>
          <w:rFonts w:eastAsiaTheme="minorHAnsi"/>
        </w:rPr>
      </w:pPr>
      <w:r w:rsidRPr="00227DC7">
        <w:rPr>
          <w:rFonts w:eastAsiaTheme="minorHAnsi"/>
        </w:rPr>
        <w:t xml:space="preserve">Over the past 20 years, significant progress has been made in the research, production and application of stable isotopes. Their importance has </w:t>
      </w:r>
      <w:r w:rsidR="00EF50F8">
        <w:rPr>
          <w:rFonts w:eastAsiaTheme="minorHAnsi"/>
        </w:rPr>
        <w:t>increased in</w:t>
      </w:r>
      <w:r w:rsidRPr="00227DC7">
        <w:rPr>
          <w:rFonts w:eastAsiaTheme="minorHAnsi"/>
        </w:rPr>
        <w:t xml:space="preserve"> nuclear energy, medical diagnostics, and ecological studies. For example, medical applications have advanced with isotopes like </w:t>
      </w:r>
      <w:r w:rsidRPr="00227DC7">
        <w:rPr>
          <w:rFonts w:eastAsiaTheme="minorHAnsi"/>
          <w:vertAlign w:val="superscript"/>
        </w:rPr>
        <w:t>2</w:t>
      </w:r>
      <w:r w:rsidRPr="00227DC7">
        <w:rPr>
          <w:rFonts w:eastAsiaTheme="minorHAnsi"/>
        </w:rPr>
        <w:t xml:space="preserve">H, </w:t>
      </w:r>
      <w:r w:rsidRPr="00227DC7">
        <w:rPr>
          <w:rFonts w:eastAsiaTheme="minorHAnsi"/>
          <w:vertAlign w:val="superscript"/>
        </w:rPr>
        <w:t>13</w:t>
      </w:r>
      <w:r w:rsidRPr="00227DC7">
        <w:rPr>
          <w:rFonts w:eastAsiaTheme="minorHAnsi"/>
        </w:rPr>
        <w:t xml:space="preserve">C, </w:t>
      </w:r>
      <w:r w:rsidRPr="00227DC7">
        <w:rPr>
          <w:rFonts w:eastAsiaTheme="minorHAnsi"/>
          <w:vertAlign w:val="superscript"/>
        </w:rPr>
        <w:t>15</w:t>
      </w:r>
      <w:r w:rsidRPr="00227DC7">
        <w:rPr>
          <w:rFonts w:eastAsiaTheme="minorHAnsi"/>
        </w:rPr>
        <w:t xml:space="preserve">N, </w:t>
      </w:r>
      <w:r w:rsidRPr="00227DC7">
        <w:rPr>
          <w:rFonts w:eastAsiaTheme="minorHAnsi"/>
          <w:vertAlign w:val="superscript"/>
        </w:rPr>
        <w:t>17</w:t>
      </w:r>
      <w:r w:rsidRPr="00227DC7">
        <w:rPr>
          <w:rFonts w:eastAsiaTheme="minorHAnsi"/>
        </w:rPr>
        <w:t xml:space="preserve">O, and </w:t>
      </w:r>
      <w:r w:rsidRPr="00227DC7">
        <w:rPr>
          <w:rFonts w:eastAsiaTheme="minorHAnsi"/>
          <w:vertAlign w:val="superscript"/>
        </w:rPr>
        <w:t>18</w:t>
      </w:r>
      <w:r w:rsidRPr="00227DC7">
        <w:rPr>
          <w:rFonts w:eastAsiaTheme="minorHAnsi"/>
        </w:rPr>
        <w:t xml:space="preserve">O playing </w:t>
      </w:r>
      <w:r w:rsidR="006849CB">
        <w:rPr>
          <w:rFonts w:eastAsiaTheme="minorHAnsi"/>
        </w:rPr>
        <w:t>a relevant</w:t>
      </w:r>
      <w:r w:rsidRPr="00227DC7">
        <w:rPr>
          <w:rFonts w:eastAsiaTheme="minorHAnsi"/>
        </w:rPr>
        <w:t xml:space="preserve"> role in </w:t>
      </w:r>
      <w:r>
        <w:rPr>
          <w:rFonts w:eastAsiaTheme="minorHAnsi"/>
        </w:rPr>
        <w:t>the Nuclear Magnetic Resonance (</w:t>
      </w:r>
      <w:r w:rsidRPr="00227DC7">
        <w:rPr>
          <w:rFonts w:eastAsiaTheme="minorHAnsi"/>
        </w:rPr>
        <w:t>NMR</w:t>
      </w:r>
      <w:r>
        <w:rPr>
          <w:rFonts w:eastAsiaTheme="minorHAnsi"/>
        </w:rPr>
        <w:t>)</w:t>
      </w:r>
      <w:r w:rsidRPr="00227DC7">
        <w:rPr>
          <w:rFonts w:eastAsiaTheme="minorHAnsi"/>
        </w:rPr>
        <w:t xml:space="preserve"> for </w:t>
      </w:r>
      <w:r w:rsidR="006849CB">
        <w:rPr>
          <w:rFonts w:eastAsiaTheme="minorHAnsi"/>
        </w:rPr>
        <w:t xml:space="preserve">the </w:t>
      </w:r>
      <w:r w:rsidRPr="00227DC7">
        <w:rPr>
          <w:rFonts w:eastAsiaTheme="minorHAnsi"/>
        </w:rPr>
        <w:t>disease detection and monitoring</w:t>
      </w:r>
      <w:r w:rsidR="00BD5BAA">
        <w:rPr>
          <w:rFonts w:eastAsiaTheme="minorHAnsi"/>
        </w:rPr>
        <w:t xml:space="preserve"> </w:t>
      </w:r>
      <w:r w:rsidR="00BD5BAA">
        <w:rPr>
          <w:rFonts w:eastAsiaTheme="minorHAnsi"/>
        </w:rPr>
        <w:fldChar w:fldCharType="begin"/>
      </w:r>
      <w:r w:rsidR="00BD5BAA">
        <w:rPr>
          <w:rFonts w:eastAsiaTheme="minorHAnsi"/>
        </w:rPr>
        <w:instrText xml:space="preserve"> ADDIN EN.CITE &lt;EndNote&gt;&lt;Cite&gt;&lt;Author&gt;Shulman&lt;/Author&gt;&lt;Year&gt;1984&lt;/Year&gt;&lt;RecNum&gt;4128&lt;/RecNum&gt;&lt;DisplayText&gt;(Shulman et al., 1984)&lt;/DisplayText&gt;&lt;record&gt;&lt;rec-number&gt;4128&lt;/rec-number&gt;&lt;foreign-keys&gt;&lt;key app="EN" db-id="vdep529fssfr24ertz15wt2bvrvzfeta5w5v" timestamp="1733870634"&gt;4128&lt;/key&gt;&lt;/foreign-keys&gt;&lt;ref-type name="Journal Article"&gt;17&lt;/ref-type&gt;&lt;contributors&gt;&lt;authors&gt;&lt;author&gt;Shulman, G.I.&lt;/author&gt;&lt;author&gt;Alger, J.R.&lt;/author&gt;&lt;author&gt;Prichard, J.W.&lt;/author&gt;&lt;author&gt;Shulman, R.G.&lt;/author&gt;&lt;/authors&gt;&lt;/contributors&gt;&lt;titles&gt;&lt;title&gt;Nuclear Magnetic Resonance Spectroscopy in Diagnostic and Investigative Medicine&lt;/title&gt;&lt;secondary-title&gt;Nuclear Magnetic Resonance Spectroscopy in Medicine&lt;/secondary-title&gt;&lt;/titles&gt;&lt;periodical&gt;&lt;full-title&gt;Nuclear Magnetic Resonance Spectroscopy in Medicine&lt;/full-title&gt;&lt;/periodical&gt;&lt;pages&gt;1127-1131&lt;/pages&gt;&lt;volume&gt;74&lt;/volume&gt;&lt;section&gt;1127&lt;/section&gt;&lt;dates&gt;&lt;year&gt;1984&lt;/year&gt;&lt;/dates&gt;&lt;urls&gt;&lt;/urls&gt;&lt;/record&gt;&lt;/Cite&gt;&lt;/EndNote&gt;</w:instrText>
      </w:r>
      <w:r w:rsidR="00BD5BAA">
        <w:rPr>
          <w:rFonts w:eastAsiaTheme="minorHAnsi"/>
        </w:rPr>
        <w:fldChar w:fldCharType="separate"/>
      </w:r>
      <w:r w:rsidR="00BD5BAA">
        <w:rPr>
          <w:rFonts w:eastAsiaTheme="minorHAnsi"/>
          <w:noProof/>
        </w:rPr>
        <w:t>(Shulman et al., 1984)</w:t>
      </w:r>
      <w:r w:rsidR="00BD5BAA">
        <w:rPr>
          <w:rFonts w:eastAsiaTheme="minorHAnsi"/>
        </w:rPr>
        <w:fldChar w:fldCharType="end"/>
      </w:r>
      <w:r w:rsidRPr="00227DC7">
        <w:rPr>
          <w:rFonts w:eastAsiaTheme="minorHAnsi"/>
        </w:rPr>
        <w:t xml:space="preserve">, and in </w:t>
      </w:r>
      <w:r>
        <w:rPr>
          <w:rFonts w:eastAsiaTheme="minorHAnsi"/>
        </w:rPr>
        <w:t>the Positron Emission Tomography (</w:t>
      </w:r>
      <w:r w:rsidRPr="00227DC7">
        <w:rPr>
          <w:rFonts w:eastAsiaTheme="minorHAnsi"/>
        </w:rPr>
        <w:t>PET</w:t>
      </w:r>
      <w:r>
        <w:rPr>
          <w:rFonts w:eastAsiaTheme="minorHAnsi"/>
        </w:rPr>
        <w:t>)</w:t>
      </w:r>
      <w:r w:rsidRPr="00227DC7">
        <w:rPr>
          <w:rFonts w:eastAsiaTheme="minorHAnsi"/>
        </w:rPr>
        <w:t xml:space="preserve"> for </w:t>
      </w:r>
      <w:r w:rsidR="006849CB">
        <w:rPr>
          <w:rFonts w:eastAsiaTheme="minorHAnsi"/>
        </w:rPr>
        <w:t xml:space="preserve">the </w:t>
      </w:r>
      <w:r w:rsidRPr="00227DC7">
        <w:rPr>
          <w:rFonts w:eastAsiaTheme="minorHAnsi"/>
        </w:rPr>
        <w:t>effective cancer, cardiac and neurological diagnostics through non-invasive imaging using radioactive tracers</w:t>
      </w:r>
      <w:r w:rsidR="00BD5BAA">
        <w:rPr>
          <w:rFonts w:eastAsiaTheme="minorHAnsi"/>
        </w:rPr>
        <w:t xml:space="preserve"> </w:t>
      </w:r>
      <w:r w:rsidR="00BD5BAA">
        <w:rPr>
          <w:rFonts w:eastAsiaTheme="minorHAnsi"/>
        </w:rPr>
        <w:fldChar w:fldCharType="begin"/>
      </w:r>
      <w:r w:rsidR="00BD5BAA">
        <w:rPr>
          <w:rFonts w:eastAsiaTheme="minorHAnsi"/>
        </w:rPr>
        <w:instrText xml:space="preserve"> ADDIN EN.CITE &lt;EndNote&gt;&lt;Cite&gt;&lt;Author&gt;Ter-Pogossian&lt;/Author&gt;&lt;Year&gt;1980&lt;/Year&gt;&lt;RecNum&gt;4129&lt;/RecNum&gt;&lt;DisplayText&gt;(Ter-Pogossian et al., 1980)&lt;/DisplayText&gt;&lt;record&gt;&lt;rec-number&gt;4129&lt;/rec-number&gt;&lt;foreign-keys&gt;&lt;key app="EN" db-id="vdep529fssfr24ertz15wt2bvrvzfeta5w5v" timestamp="1733870790"&gt;4129&lt;/key&gt;&lt;/foreign-keys&gt;&lt;ref-type name="Journal Article"&gt;17&lt;/ref-type&gt;&lt;contributors&gt;&lt;authors&gt;&lt;author&gt;Ter-Pogossian, M.M.&lt;/author&gt;&lt;author&gt;Raichle, M.E.&lt;/author&gt;&lt;author&gt;Sobel, B.E.&lt;/author&gt;&lt;/authors&gt;&lt;/contributors&gt;&lt;titles&gt;&lt;title&gt;Positron-Emission Tomography&lt;/title&gt;&lt;secondary-title&gt;Scientific American&lt;/secondary-title&gt;&lt;/titles&gt;&lt;periodical&gt;&lt;full-title&gt;Scientific American&lt;/full-title&gt;&lt;/periodical&gt;&lt;pages&gt;170-181&lt;/pages&gt;&lt;volume&gt;243&lt;/volume&gt;&lt;section&gt;170&lt;/section&gt;&lt;dates&gt;&lt;year&gt;1980&lt;/year&gt;&lt;/dates&gt;&lt;urls&gt;&lt;/urls&gt;&lt;/record&gt;&lt;/Cite&gt;&lt;/EndNote&gt;</w:instrText>
      </w:r>
      <w:r w:rsidR="00BD5BAA">
        <w:rPr>
          <w:rFonts w:eastAsiaTheme="minorHAnsi"/>
        </w:rPr>
        <w:fldChar w:fldCharType="separate"/>
      </w:r>
      <w:r w:rsidR="00BD5BAA">
        <w:rPr>
          <w:rFonts w:eastAsiaTheme="minorHAnsi"/>
          <w:noProof/>
        </w:rPr>
        <w:t>(Ter-Pogossian et al., 1980)</w:t>
      </w:r>
      <w:r w:rsidR="00BD5BAA">
        <w:rPr>
          <w:rFonts w:eastAsiaTheme="minorHAnsi"/>
        </w:rPr>
        <w:fldChar w:fldCharType="end"/>
      </w:r>
      <w:r w:rsidRPr="00227DC7">
        <w:rPr>
          <w:rFonts w:eastAsiaTheme="minorHAnsi"/>
        </w:rPr>
        <w:t xml:space="preserve">. In the nuclear sector, the use of enriched isotopes such as </w:t>
      </w:r>
      <w:r w:rsidRPr="00227DC7">
        <w:rPr>
          <w:rFonts w:eastAsiaTheme="minorHAnsi"/>
          <w:vertAlign w:val="superscript"/>
        </w:rPr>
        <w:t>235</w:t>
      </w:r>
      <w:r w:rsidRPr="00227DC7">
        <w:rPr>
          <w:rFonts w:eastAsiaTheme="minorHAnsi"/>
        </w:rPr>
        <w:t xml:space="preserve">U and </w:t>
      </w:r>
      <w:r w:rsidRPr="00227DC7">
        <w:rPr>
          <w:rFonts w:eastAsiaTheme="minorHAnsi"/>
          <w:vertAlign w:val="superscript"/>
        </w:rPr>
        <w:t>239</w:t>
      </w:r>
      <w:r w:rsidRPr="00227DC7">
        <w:rPr>
          <w:rFonts w:eastAsiaTheme="minorHAnsi"/>
        </w:rPr>
        <w:t xml:space="preserve">Pu </w:t>
      </w:r>
      <w:r w:rsidR="00BD5BAA">
        <w:rPr>
          <w:rFonts w:eastAsiaTheme="minorHAnsi"/>
        </w:rPr>
        <w:t>is</w:t>
      </w:r>
      <w:r w:rsidRPr="00227DC7">
        <w:rPr>
          <w:rFonts w:eastAsiaTheme="minorHAnsi"/>
        </w:rPr>
        <w:t xml:space="preserve"> </w:t>
      </w:r>
      <w:r w:rsidR="00BD5BAA">
        <w:rPr>
          <w:rFonts w:eastAsiaTheme="minorHAnsi"/>
        </w:rPr>
        <w:t>needed</w:t>
      </w:r>
      <w:r w:rsidRPr="00227DC7">
        <w:rPr>
          <w:rFonts w:eastAsiaTheme="minorHAnsi"/>
        </w:rPr>
        <w:t xml:space="preserve"> for nuclear reactor fuels. Recently, </w:t>
      </w:r>
      <w:r w:rsidRPr="00227DC7">
        <w:rPr>
          <w:rFonts w:eastAsiaTheme="minorHAnsi"/>
          <w:vertAlign w:val="superscript"/>
        </w:rPr>
        <w:t>15</w:t>
      </w:r>
      <w:r w:rsidRPr="00227DC7">
        <w:rPr>
          <w:rFonts w:eastAsiaTheme="minorHAnsi"/>
        </w:rPr>
        <w:t xml:space="preserve">N has gained attention for its potential use in uranium nitrides as fuel for </w:t>
      </w:r>
      <w:r w:rsidR="00BD5BAA">
        <w:rPr>
          <w:rFonts w:eastAsiaTheme="minorHAnsi"/>
        </w:rPr>
        <w:t xml:space="preserve">the </w:t>
      </w:r>
      <w:r w:rsidR="006849CB">
        <w:rPr>
          <w:rFonts w:eastAsiaTheme="minorHAnsi"/>
        </w:rPr>
        <w:t>fourth</w:t>
      </w:r>
      <w:r w:rsidR="006849CB" w:rsidRPr="00227DC7">
        <w:rPr>
          <w:rFonts w:eastAsiaTheme="minorHAnsi"/>
        </w:rPr>
        <w:t>-generation</w:t>
      </w:r>
      <w:r w:rsidRPr="00227DC7">
        <w:rPr>
          <w:rFonts w:eastAsiaTheme="minorHAnsi"/>
        </w:rPr>
        <w:t xml:space="preserve"> nuclear reactors, due to its exceptional thermal and mechanical properties.</w:t>
      </w:r>
    </w:p>
    <w:p w14:paraId="012C51B2" w14:textId="5CA013FF" w:rsidR="00BF1BC6" w:rsidRPr="00BF1BC6" w:rsidRDefault="00BD5BAA" w:rsidP="00BF1BC6">
      <w:pPr>
        <w:pStyle w:val="CETBodytext"/>
      </w:pPr>
      <w:r>
        <w:t>The i</w:t>
      </w:r>
      <w:r w:rsidR="00BF1BC6" w:rsidRPr="00BF1BC6">
        <w:t xml:space="preserve">sotope separation </w:t>
      </w:r>
      <w:r>
        <w:t>has been carried out by</w:t>
      </w:r>
      <w:r w:rsidR="00BF1BC6" w:rsidRPr="00BF1BC6">
        <w:t xml:space="preserve"> </w:t>
      </w:r>
      <w:r>
        <w:t xml:space="preserve">employing several </w:t>
      </w:r>
      <w:r w:rsidR="00BF1BC6" w:rsidRPr="00BF1BC6">
        <w:t>techniques to exploit</w:t>
      </w:r>
      <w:r>
        <w:t xml:space="preserve"> the</w:t>
      </w:r>
      <w:r w:rsidR="00BF1BC6" w:rsidRPr="00BF1BC6">
        <w:t xml:space="preserve"> differences in the physical and chemical properties of isotopes, such as mass or boiling points. Among the many </w:t>
      </w:r>
      <w:r>
        <w:t xml:space="preserve">considered </w:t>
      </w:r>
      <w:r w:rsidR="00BF1BC6" w:rsidRPr="00BF1BC6">
        <w:t xml:space="preserve">methods, cryogenic distillation </w:t>
      </w:r>
      <w:r>
        <w:t xml:space="preserve">is </w:t>
      </w:r>
      <w:r w:rsidR="00BF1BC6" w:rsidRPr="00BF1BC6">
        <w:t xml:space="preserve">one of the </w:t>
      </w:r>
      <w:r>
        <w:t>best</w:t>
      </w:r>
      <w:r w:rsidR="00BF1BC6" w:rsidRPr="00BF1BC6">
        <w:t xml:space="preserve"> for </w:t>
      </w:r>
      <w:r>
        <w:t xml:space="preserve">the </w:t>
      </w:r>
      <w:r w:rsidR="00BF1BC6" w:rsidRPr="00BF1BC6">
        <w:t>industrial-scale isotope production due to its efficiency and scalability</w:t>
      </w:r>
      <w:r w:rsidR="00D01E56">
        <w:t xml:space="preserve"> </w:t>
      </w:r>
      <w:r w:rsidR="00D01E56">
        <w:fldChar w:fldCharType="begin"/>
      </w:r>
      <w:r w:rsidR="00D01E56">
        <w:instrText xml:space="preserve"> ADDIN EN.CITE &lt;EndNote&gt;&lt;Cite&gt;&lt;Author&gt;Andreev&lt;/Author&gt;&lt;Year&gt;2007&lt;/Year&gt;&lt;RecNum&gt;4123&lt;/RecNum&gt;&lt;DisplayText&gt;(Andreev, 2007)&lt;/DisplayText&gt;&lt;record&gt;&lt;rec-number&gt;4123&lt;/rec-number&gt;&lt;foreign-keys&gt;&lt;key app="EN" db-id="vdep529fssfr24ertz15wt2bvrvzfeta5w5v" timestamp="1733764191"&gt;4123&lt;/key&gt;&lt;/foreign-keys&gt;&lt;ref-type name="Book"&gt;6&lt;/ref-type&gt;&lt;contributors&gt;&lt;authors&gt;&lt;author&gt;Andreev, B.&lt;/author&gt;&lt;/authors&gt;&lt;secondary-authors&gt;&lt;author&gt;Elsevier&lt;/author&gt;&lt;/secondary-authors&gt;&lt;/contributors&gt;&lt;titles&gt;&lt;title&gt;Separation of Isotopes of Biogenic Elements in Two-phase Systems&lt;/title&gt;&lt;/titles&gt;&lt;dates&gt;&lt;year&gt;2007&lt;/year&gt;&lt;/dates&gt;&lt;pub-location&gt;Moscow, Russian Federation&lt;/pub-location&gt;&lt;urls&gt;&lt;/urls&gt;&lt;/record&gt;&lt;/Cite&gt;&lt;/EndNote&gt;</w:instrText>
      </w:r>
      <w:r w:rsidR="00D01E56">
        <w:fldChar w:fldCharType="separate"/>
      </w:r>
      <w:r w:rsidR="00D01E56">
        <w:rPr>
          <w:noProof/>
        </w:rPr>
        <w:t>(Andreev, 2007)</w:t>
      </w:r>
      <w:r w:rsidR="00D01E56">
        <w:fldChar w:fldCharType="end"/>
      </w:r>
      <w:r w:rsidR="00BF1BC6" w:rsidRPr="00BF1BC6">
        <w:t xml:space="preserve">. </w:t>
      </w:r>
      <w:r w:rsidR="006849CB">
        <w:t>It</w:t>
      </w:r>
      <w:r w:rsidR="00BF1BC6" w:rsidRPr="00BF1BC6">
        <w:t xml:space="preserve"> </w:t>
      </w:r>
      <w:r w:rsidR="006849CB">
        <w:t xml:space="preserve">performs </w:t>
      </w:r>
      <w:r w:rsidR="00BF1BC6" w:rsidRPr="00BF1BC6">
        <w:t xml:space="preserve">the separation of isotopes </w:t>
      </w:r>
      <w:r w:rsidR="006849CB">
        <w:t>on the basis of</w:t>
      </w:r>
      <w:r w:rsidR="00BF1BC6" w:rsidRPr="00BF1BC6">
        <w:t xml:space="preserve"> their boiling point differences at extremely low temperatures</w:t>
      </w:r>
      <w:r w:rsidR="00C35D93">
        <w:t xml:space="preserve">, though the boiling point differences among different isotopes are </w:t>
      </w:r>
      <w:r w:rsidR="00C35D93">
        <w:lastRenderedPageBreak/>
        <w:t>very low</w:t>
      </w:r>
      <w:r w:rsidR="00BF1BC6" w:rsidRPr="00BF1BC6">
        <w:t xml:space="preserve">. The scalability and </w:t>
      </w:r>
      <w:r w:rsidR="00C35D93">
        <w:t xml:space="preserve">the </w:t>
      </w:r>
      <w:r w:rsidR="00BF1BC6" w:rsidRPr="00BF1BC6">
        <w:t>cost-effectiveness of cryogenic distillation have made it an essential technology in the production of stable isotopes, a market that is projected to grow significantly in the coming decade.</w:t>
      </w:r>
    </w:p>
    <w:p w14:paraId="2F17DF0D" w14:textId="36A325DC" w:rsidR="004A6896" w:rsidRDefault="00BF1BC6" w:rsidP="00BF1BC6">
      <w:pPr>
        <w:pStyle w:val="CETBodytext"/>
      </w:pPr>
      <w:r w:rsidRPr="00BF1BC6">
        <w:t xml:space="preserve">One of the key projects </w:t>
      </w:r>
      <w:r w:rsidR="004A6896">
        <w:t>on</w:t>
      </w:r>
      <w:r w:rsidRPr="00BF1BC6">
        <w:t xml:space="preserve"> cryogenic distillation is Aria</w:t>
      </w:r>
      <w:r w:rsidR="00A11A9E">
        <w:t xml:space="preserve"> </w:t>
      </w:r>
      <w:r w:rsidR="00A11A9E">
        <w:fldChar w:fldCharType="begin"/>
      </w:r>
      <w:r w:rsidR="00A11A9E">
        <w:instrText xml:space="preserve"> ADDIN EN.CITE &lt;EndNote&gt;&lt;Cite&gt;&lt;Author&gt;INFN&lt;/Author&gt;&lt;Year&gt;2020&lt;/Year&gt;&lt;RecNum&gt;4127&lt;/RecNum&gt;&lt;DisplayText&gt;(INFN, 2020)&lt;/DisplayText&gt;&lt;record&gt;&lt;rec-number&gt;4127&lt;/rec-number&gt;&lt;foreign-keys&gt;&lt;key app="EN" db-id="vdep529fssfr24ertz15wt2bvrvzfeta5w5v" timestamp="1733869580"&gt;4127&lt;/key&gt;&lt;/foreign-keys&gt;&lt;ref-type name="Web Page"&gt;12&lt;/ref-type&gt;&lt;contributors&gt;&lt;authors&gt;&lt;author&gt;INFN,&lt;/author&gt;&lt;/authors&gt;&lt;/contributors&gt;&lt;titles&gt;&lt;title&gt;Progetto Aria&lt;/title&gt;&lt;/titles&gt;&lt;dates&gt;&lt;year&gt;2020&lt;/year&gt;&lt;/dates&gt;&lt;urls&gt;&lt;related-urls&gt;&lt;url&gt;https://wpress.ca.infn.it/?p=2866&lt;/url&gt;&lt;/related-urls&gt;&lt;/urls&gt;&lt;/record&gt;&lt;/Cite&gt;&lt;/EndNote&gt;</w:instrText>
      </w:r>
      <w:r w:rsidR="00A11A9E">
        <w:fldChar w:fldCharType="separate"/>
      </w:r>
      <w:r w:rsidR="00A11A9E">
        <w:rPr>
          <w:noProof/>
        </w:rPr>
        <w:t>(INFN, 2020)</w:t>
      </w:r>
      <w:r w:rsidR="00A11A9E">
        <w:fldChar w:fldCharType="end"/>
      </w:r>
      <w:r w:rsidRPr="00BF1BC6">
        <w:t xml:space="preserve">, </w:t>
      </w:r>
      <w:r w:rsidR="004A6896">
        <w:t xml:space="preserve">that </w:t>
      </w:r>
      <w:r w:rsidRPr="00BF1BC6">
        <w:t xml:space="preserve">is part of the DarkSide-20k Collaboration. Aria </w:t>
      </w:r>
      <w:r w:rsidR="00D01E56">
        <w:t xml:space="preserve">is based on distillation columns </w:t>
      </w:r>
      <w:r w:rsidR="006849CB">
        <w:t xml:space="preserve">initially </w:t>
      </w:r>
      <w:r w:rsidR="00D01E56">
        <w:t>designed for</w:t>
      </w:r>
      <w:r w:rsidRPr="00BF1BC6">
        <w:t xml:space="preserve"> the purification of Underground Argon (</w:t>
      </w:r>
      <w:proofErr w:type="spellStart"/>
      <w:r w:rsidRPr="00BF1BC6">
        <w:t>UAr</w:t>
      </w:r>
      <w:proofErr w:type="spellEnd"/>
      <w:r w:rsidRPr="00BF1BC6">
        <w:t xml:space="preserve">) from sources </w:t>
      </w:r>
      <w:r w:rsidR="006849CB">
        <w:t>as the</w:t>
      </w:r>
      <w:r w:rsidRPr="00BF1BC6">
        <w:t xml:space="preserve"> Kinder Morgan’s Doe Canyon wells in Colorado</w:t>
      </w:r>
      <w:r w:rsidR="004A6896">
        <w:t xml:space="preserve"> in order to obtain a stream rich in </w:t>
      </w:r>
      <w:r w:rsidR="004A6896">
        <w:rPr>
          <w:vertAlign w:val="superscript"/>
        </w:rPr>
        <w:t>40</w:t>
      </w:r>
      <w:r w:rsidR="004A6896">
        <w:t>Ar</w:t>
      </w:r>
      <w:r w:rsidR="00F52BC1">
        <w:t xml:space="preserve"> </w:t>
      </w:r>
      <w:r w:rsidR="00F52BC1">
        <w:fldChar w:fldCharType="begin"/>
      </w:r>
      <w:r w:rsidR="00F52BC1">
        <w:instrText xml:space="preserve"> ADDIN EN.CITE &lt;EndNote&gt;&lt;Cite&gt;&lt;Author&gt;Aaron&lt;/Author&gt;&lt;Year&gt;2023&lt;/Year&gt;&lt;RecNum&gt;4130&lt;/RecNum&gt;&lt;DisplayText&gt;(Aaron et al., 2023)&lt;/DisplayText&gt;&lt;record&gt;&lt;rec-number&gt;4130&lt;/rec-number&gt;&lt;foreign-keys&gt;&lt;key app="EN" db-id="vdep529fssfr24ertz15wt2bvrvzfeta5w5v" timestamp="1733871057"&gt;4130&lt;/key&gt;&lt;/foreign-keys&gt;&lt;ref-type name="Journal Article"&gt;17&lt;/ref-type&gt;&lt;contributors&gt;&lt;authors&gt;&lt;author&gt;Aaron, E.&lt;/author&gt;&lt;author&gt;Agnes, P.&lt;/author&gt;&lt;author&gt;Ahmad, I.&lt;/author&gt;&lt;author&gt;Albergo, S.&lt;/author&gt;&lt;author&gt;Albuquerque, I. F. M.&lt;/author&gt;&lt;author&gt;Alexander, T.&lt;/author&gt;&lt;author&gt;et al. (Darkside-20 Collaboration),&lt;/author&gt;&lt;/authors&gt;&lt;/contributors&gt;&lt;titles&gt;&lt;title&gt;Measurement of isotopic separation of argon with the prototype of the cryogenic distillation plant Aria for dark matter searches&lt;/title&gt;&lt;secondary-title&gt;The European Physical Journal C&lt;/secondary-title&gt;&lt;/titles&gt;&lt;periodical&gt;&lt;full-title&gt;The European Physical Journal C&lt;/full-title&gt;&lt;/periodical&gt;&lt;pages&gt;453&lt;/pages&gt;&lt;volume&gt;83&lt;/volume&gt;&lt;number&gt;5&lt;/number&gt;&lt;section&gt;453&lt;/section&gt;&lt;dates&gt;&lt;year&gt;2023&lt;/year&gt;&lt;pub-dates&gt;&lt;date&gt;2023/05/31&lt;/date&gt;&lt;/pub-dates&gt;&lt;/dates&gt;&lt;isbn&gt;1434-6052&lt;/isbn&gt;&lt;urls&gt;&lt;related-urls&gt;&lt;url&gt;https://doi.org/10.1140/epjc/s10052-023-11430-0&lt;/url&gt;&lt;/related-urls&gt;&lt;/urls&gt;&lt;electronic-resource-num&gt;10.1140/epjc/s10052-023-11430-0&lt;/electronic-resource-num&gt;&lt;/record&gt;&lt;/Cite&gt;&lt;/EndNote&gt;</w:instrText>
      </w:r>
      <w:r w:rsidR="00F52BC1">
        <w:fldChar w:fldCharType="separate"/>
      </w:r>
      <w:r w:rsidR="00F52BC1">
        <w:rPr>
          <w:noProof/>
        </w:rPr>
        <w:t>(Aaron et al., 2023)</w:t>
      </w:r>
      <w:r w:rsidR="00F52BC1">
        <w:fldChar w:fldCharType="end"/>
      </w:r>
      <w:r w:rsidRPr="00BF1BC6">
        <w:t xml:space="preserve">. The </w:t>
      </w:r>
      <w:proofErr w:type="spellStart"/>
      <w:r w:rsidRPr="00BF1BC6">
        <w:t>UAr</w:t>
      </w:r>
      <w:proofErr w:type="spellEnd"/>
      <w:r w:rsidRPr="00BF1BC6">
        <w:t xml:space="preserve"> is chosen for its significantly lower </w:t>
      </w:r>
      <w:r w:rsidRPr="004A6896">
        <w:rPr>
          <w:vertAlign w:val="superscript"/>
        </w:rPr>
        <w:t>39</w:t>
      </w:r>
      <w:r w:rsidRPr="00BF1BC6">
        <w:t xml:space="preserve">Ar content compared to </w:t>
      </w:r>
      <w:r w:rsidR="004A6896">
        <w:t xml:space="preserve">the one of </w:t>
      </w:r>
      <w:r w:rsidRPr="00BF1BC6">
        <w:t>atmospheric argon</w:t>
      </w:r>
      <w:r w:rsidR="006849CB">
        <w:t xml:space="preserve"> and therefore its higher easiness in increasing the </w:t>
      </w:r>
      <w:r w:rsidR="006849CB" w:rsidRPr="006849CB">
        <w:rPr>
          <w:vertAlign w:val="superscript"/>
        </w:rPr>
        <w:t>40</w:t>
      </w:r>
      <w:r w:rsidR="006849CB" w:rsidRPr="006849CB">
        <w:t>Ar content</w:t>
      </w:r>
      <w:r w:rsidRPr="00BF1BC6">
        <w:t xml:space="preserve">, reducing </w:t>
      </w:r>
      <w:r w:rsidR="006849CB">
        <w:t xml:space="preserve">the </w:t>
      </w:r>
      <w:r w:rsidRPr="00BF1BC6">
        <w:t>radioactive interference in experiments aimed at detecting dark matter</w:t>
      </w:r>
      <w:r w:rsidR="00F52BC1">
        <w:t xml:space="preserve"> </w:t>
      </w:r>
      <w:r w:rsidR="00F52BC1">
        <w:fldChar w:fldCharType="begin"/>
      </w:r>
      <w:r w:rsidR="009A33A8">
        <w:instrText xml:space="preserve"> ADDIN EN.CITE &lt;EndNote&gt;&lt;Cite&gt;&lt;Author&gt;Agnes&lt;/Author&gt;&lt;Year&gt;2021&lt;/Year&gt;&lt;RecNum&gt;4131&lt;/RecNum&gt;&lt;DisplayText&gt;(Agnes et al., 2021)&lt;/DisplayText&gt;&lt;record&gt;&lt;rec-number&gt;4131&lt;/rec-number&gt;&lt;foreign-keys&gt;&lt;key app="EN" db-id="vdep529fssfr24ertz15wt2bvrvzfeta5w5v" timestamp="1733871411"&gt;4131&lt;/key&gt;&lt;/foreign-keys&gt;&lt;ref-type name="Journal Article"&gt;17&lt;/ref-type&gt;&lt;contributors&gt;&lt;authors&gt;&lt;author&gt;Agnes, P.&lt;/author&gt;&lt;author&gt;Albergo, S.&lt;/author&gt;&lt;author&gt;Albuquerque, I. F. M.&lt;/author&gt;&lt;author&gt;Alexander, T.&lt;/author&gt;&lt;author&gt;Alici, A.&lt;/author&gt;&lt;author&gt;Alton, A.K.&lt;/author&gt;&lt;author&gt;Amadruz, P.&lt;/author&gt;&lt;author&gt;Arba, M.&lt;/author&gt;&lt;author&gt;Arpaia, P.&lt;/author&gt;&lt;author&gt;Arcelli, S.&lt;/author&gt;&lt;author&gt;Ave, M.&lt;/author&gt;&lt;author&gt;Avetissov, I. Ch.&lt;/author&gt;&lt;author&gt;Avetisov, R.I.&lt;/author&gt;&lt;author&gt;et al. (Darkside-20 Collaboration),&lt;/author&gt;&lt;/authors&gt;&lt;/contributors&gt;&lt;titles&gt;&lt;title&gt;&lt;style face="normal" font="default" size="100%"&gt;Separating &lt;/style&gt;&lt;style face="superscript" font="default" size="100%"&gt;39&lt;/style&gt;&lt;style face="normal" font="default" size="100%"&gt;Ar from &lt;/style&gt;&lt;style face="superscript" font="default" size="100%"&gt;40&lt;/style&gt;&lt;style face="normal" font="default" size="100%"&gt;Ar by cryogenic distillation with Aria for dark matter searches&lt;/style&gt;&lt;/title&gt;&lt;secondary-title&gt;European Physical Journal C: Particles and Fields&lt;/secondary-title&gt;&lt;/titles&gt;&lt;periodical&gt;&lt;full-title&gt;European Physical Journal C: Particles and Fields&lt;/full-title&gt;&lt;/periodical&gt;&lt;pages&gt;1434-6044&lt;/pages&gt;&lt;volume&gt;81&lt;/volume&gt;&lt;section&gt;1434&lt;/section&gt;&lt;dates&gt;&lt;year&gt;2021&lt;/year&gt;&lt;/dates&gt;&lt;urls&gt;&lt;/urls&gt;&lt;electronic-resource-num&gt;10.1140/epjc/s10052-021-09121-9&lt;/electronic-resource-num&gt;&lt;/record&gt;&lt;/Cite&gt;&lt;/EndNote&gt;</w:instrText>
      </w:r>
      <w:r w:rsidR="00F52BC1">
        <w:fldChar w:fldCharType="separate"/>
      </w:r>
      <w:r w:rsidR="009A33A8">
        <w:rPr>
          <w:noProof/>
        </w:rPr>
        <w:t>(Agnes et al., 2021)</w:t>
      </w:r>
      <w:r w:rsidR="00F52BC1">
        <w:fldChar w:fldCharType="end"/>
      </w:r>
      <w:r w:rsidRPr="00BF1BC6">
        <w:t xml:space="preserve">. </w:t>
      </w:r>
      <w:r w:rsidR="003114DD" w:rsidRPr="003114DD">
        <w:t xml:space="preserve">DarkSide-20k is an advanced experiment </w:t>
      </w:r>
      <w:r w:rsidR="004A6896">
        <w:t>l</w:t>
      </w:r>
      <w:r w:rsidR="004A6896" w:rsidRPr="003114DD">
        <w:t xml:space="preserve">ocated at the Gran </w:t>
      </w:r>
      <w:proofErr w:type="spellStart"/>
      <w:r w:rsidR="004A6896" w:rsidRPr="003114DD">
        <w:t>Sasso</w:t>
      </w:r>
      <w:proofErr w:type="spellEnd"/>
      <w:r w:rsidR="004A6896" w:rsidRPr="003114DD">
        <w:t xml:space="preserve"> National Laboratory in Italy</w:t>
      </w:r>
      <w:r w:rsidR="00D24818">
        <w:t xml:space="preserve"> </w:t>
      </w:r>
      <w:r w:rsidR="00D24818">
        <w:fldChar w:fldCharType="begin"/>
      </w:r>
      <w:r w:rsidR="009A33A8">
        <w:instrText xml:space="preserve"> ADDIN EN.CITE &lt;EndNote&gt;&lt;Cite&gt;&lt;Author&gt;Aalseth&lt;/Author&gt;&lt;Year&gt;2018&lt;/Year&gt;&lt;RecNum&gt;4132&lt;/RecNum&gt;&lt;DisplayText&gt;(Aalseth et al., 2018)&lt;/DisplayText&gt;&lt;record&gt;&lt;rec-number&gt;4132&lt;/rec-number&gt;&lt;foreign-keys&gt;&lt;key app="EN" db-id="vdep529fssfr24ertz15wt2bvrvzfeta5w5v" timestamp="1733871675"&gt;4132&lt;/key&gt;&lt;/foreign-keys&gt;&lt;ref-type name="Journal Article"&gt;17&lt;/ref-type&gt;&lt;contributors&gt;&lt;authors&gt;&lt;author&gt;Aalseth, C.E.&lt;/author&gt;&lt;author&gt;Acerbi, P.&lt;/author&gt;&lt;author&gt;Agnes, P.&lt;/author&gt;&lt;author&gt;Albuquerque, I.F.M.&lt;/author&gt;&lt;author&gt;Alexander, T.&lt;/author&gt;&lt;author&gt;Alici, A.&lt;/author&gt;&lt;author&gt;Alton, A.K.&lt;/author&gt;&lt;author&gt;Antonioli, P.&lt;/author&gt;&lt;author&gt;Arcelli, S.&lt;/author&gt;&lt;author&gt;Ardito, R.&lt;/author&gt;&lt;author&gt;Arnquist, I.J.&lt;/author&gt;&lt;author&gt;Asner, D.M.&lt;/author&gt;&lt;author&gt;Ave, M.&lt;/author&gt;&lt;author&gt;Back, O.&lt;/author&gt;&lt;author&gt;et al. (the DarkSide collaboration),&lt;/author&gt;&lt;/authors&gt;&lt;/contributors&gt;&lt;titles&gt;&lt;title&gt;DarkSide-20k: A 20 tonne two-phase LAr TPC for direct dark matter detection at LNGS&lt;/title&gt;&lt;secondary-title&gt;The European Physical Journal Plus&lt;/secondary-title&gt;&lt;/titles&gt;&lt;periodical&gt;&lt;full-title&gt;The European Physical Journal Plus&lt;/full-title&gt;&lt;/periodical&gt;&lt;pages&gt;133&lt;/pages&gt;&lt;section&gt;133&lt;/section&gt;&lt;dates&gt;&lt;year&gt;2018&lt;/year&gt;&lt;/dates&gt;&lt;urls&gt;&lt;/urls&gt;&lt;electronic-resource-num&gt;10.1140/epjp/i2018-11973-4&lt;/electronic-resource-num&gt;&lt;/record&gt;&lt;/Cite&gt;&lt;/EndNote&gt;</w:instrText>
      </w:r>
      <w:r w:rsidR="00D24818">
        <w:fldChar w:fldCharType="separate"/>
      </w:r>
      <w:r w:rsidR="009A33A8">
        <w:rPr>
          <w:noProof/>
        </w:rPr>
        <w:t>(Aalseth et al., 2018)</w:t>
      </w:r>
      <w:r w:rsidR="00D24818">
        <w:fldChar w:fldCharType="end"/>
      </w:r>
      <w:r w:rsidR="004A6896" w:rsidRPr="003114DD">
        <w:t xml:space="preserve">, </w:t>
      </w:r>
      <w:r w:rsidR="004A6896">
        <w:t>employing</w:t>
      </w:r>
      <w:r w:rsidR="003114DD" w:rsidRPr="003114DD">
        <w:t xml:space="preserve"> Liquid Argon Time </w:t>
      </w:r>
      <w:r w:rsidR="003114DD" w:rsidRPr="003907AF">
        <w:t>Projection Chambers (</w:t>
      </w:r>
      <w:proofErr w:type="spellStart"/>
      <w:r w:rsidR="003114DD" w:rsidRPr="003907AF">
        <w:t>LAr</w:t>
      </w:r>
      <w:proofErr w:type="spellEnd"/>
      <w:r w:rsidR="003114DD" w:rsidRPr="003907AF">
        <w:t xml:space="preserve"> TPCs) to detect weakly interacting massive particles (WIMPs) through nuclear recoil. The usage of purified and enriched argon in the chambers is to minimize radioactive interference from </w:t>
      </w:r>
      <w:r w:rsidR="003114DD" w:rsidRPr="004A6896">
        <w:rPr>
          <w:vertAlign w:val="superscript"/>
        </w:rPr>
        <w:t>39</w:t>
      </w:r>
      <w:r w:rsidR="003114DD" w:rsidRPr="003907AF">
        <w:t>Ar</w:t>
      </w:r>
      <w:r w:rsidR="003114DD" w:rsidRPr="003114DD">
        <w:t>, which would otherwise contaminate the data and reduce the sensitivity of dark matter detection.</w:t>
      </w:r>
    </w:p>
    <w:p w14:paraId="1813FB25" w14:textId="6191931D" w:rsidR="00A11A9E" w:rsidRDefault="006849CB" w:rsidP="00BF1BC6">
      <w:pPr>
        <w:pStyle w:val="CETBodytext"/>
      </w:pPr>
      <w:r w:rsidRPr="004A5B57">
        <w:t>Aria is today the only</w:t>
      </w:r>
      <w:r>
        <w:t xml:space="preserve"> </w:t>
      </w:r>
      <w:r w:rsidRPr="004A5B57">
        <w:t>facility capable of producing stable light isotopes via cryogenic distillation in the European Union</w:t>
      </w:r>
      <w:r>
        <w:t xml:space="preserve"> </w:t>
      </w:r>
      <w:r w:rsidRPr="004A5B57">
        <w:t>and has the potentiality to become the most powerful production plant of its kind in the world.</w:t>
      </w:r>
      <w:r>
        <w:t xml:space="preserve"> </w:t>
      </w:r>
      <w:r w:rsidR="00BF1BC6" w:rsidRPr="003114DD">
        <w:t>The facility</w:t>
      </w:r>
      <w:r w:rsidR="00D01E56" w:rsidRPr="003114DD">
        <w:t xml:space="preserve"> for </w:t>
      </w:r>
      <w:r w:rsidR="00A11A9E">
        <w:t xml:space="preserve">the </w:t>
      </w:r>
      <w:r w:rsidR="00D01E56" w:rsidRPr="003114DD">
        <w:t>isotope separation</w:t>
      </w:r>
      <w:r w:rsidR="004A6896">
        <w:t xml:space="preserve"> is</w:t>
      </w:r>
      <w:r w:rsidR="00BF1BC6" w:rsidRPr="003114DD">
        <w:t xml:space="preserve"> located at the </w:t>
      </w:r>
      <w:proofErr w:type="spellStart"/>
      <w:r w:rsidR="00BF1BC6" w:rsidRPr="003114DD">
        <w:t>Seruci</w:t>
      </w:r>
      <w:proofErr w:type="spellEnd"/>
      <w:r w:rsidR="00BF1BC6" w:rsidRPr="003114DD">
        <w:t xml:space="preserve"> mine campus </w:t>
      </w:r>
      <w:r w:rsidR="003B5D61" w:rsidRPr="004A5B57">
        <w:t xml:space="preserve">in </w:t>
      </w:r>
      <w:proofErr w:type="spellStart"/>
      <w:r w:rsidR="003B5D61" w:rsidRPr="004A5B57">
        <w:t>Nuraxi-Figus</w:t>
      </w:r>
      <w:proofErr w:type="spellEnd"/>
      <w:r w:rsidR="003B5D61" w:rsidRPr="004A5B57">
        <w:t xml:space="preserve"> </w:t>
      </w:r>
      <w:r w:rsidR="00A11A9E">
        <w:t xml:space="preserve">at </w:t>
      </w:r>
      <w:proofErr w:type="spellStart"/>
      <w:r w:rsidR="00A11A9E">
        <w:t>Gonnesa</w:t>
      </w:r>
      <w:proofErr w:type="spellEnd"/>
      <w:r w:rsidR="00A11A9E">
        <w:t xml:space="preserve">, </w:t>
      </w:r>
      <w:proofErr w:type="spellStart"/>
      <w:r w:rsidR="00A11A9E">
        <w:t>Carbonia</w:t>
      </w:r>
      <w:proofErr w:type="spellEnd"/>
      <w:r w:rsidR="00A11A9E">
        <w:t xml:space="preserve"> in</w:t>
      </w:r>
      <w:r w:rsidR="00BF1BC6" w:rsidRPr="003114DD">
        <w:t xml:space="preserve"> Sardinia</w:t>
      </w:r>
      <w:r w:rsidR="004A6896">
        <w:t xml:space="preserve"> (</w:t>
      </w:r>
      <w:r w:rsidR="00BF1BC6" w:rsidRPr="003114DD">
        <w:t>Italy</w:t>
      </w:r>
      <w:r w:rsidR="004A6896">
        <w:t xml:space="preserve">) and </w:t>
      </w:r>
      <w:r w:rsidR="00D01E56" w:rsidRPr="003114DD">
        <w:t>is expected to be composed of</w:t>
      </w:r>
      <w:r w:rsidR="00BF1BC6" w:rsidRPr="003114DD">
        <w:t xml:space="preserve"> two distillation columns (</w:t>
      </w:r>
      <w:proofErr w:type="spellStart"/>
      <w:r w:rsidR="00BF1BC6" w:rsidRPr="003114DD">
        <w:t>Seruci</w:t>
      </w:r>
      <w:proofErr w:type="spellEnd"/>
      <w:r w:rsidR="00BF1BC6" w:rsidRPr="003114DD">
        <w:t xml:space="preserve">-I and </w:t>
      </w:r>
      <w:proofErr w:type="spellStart"/>
      <w:r w:rsidR="00BF1BC6" w:rsidRPr="003114DD">
        <w:t>Seruci</w:t>
      </w:r>
      <w:proofErr w:type="spellEnd"/>
      <w:r w:rsidR="00BF1BC6" w:rsidRPr="003114DD">
        <w:t xml:space="preserve">-II) designed to enhance </w:t>
      </w:r>
      <w:r>
        <w:t xml:space="preserve">the </w:t>
      </w:r>
      <w:r w:rsidR="00BF1BC6" w:rsidRPr="003114DD">
        <w:t>mass transfer</w:t>
      </w:r>
      <w:r>
        <w:t xml:space="preserve"> between the vapor phase and the liquid phase</w:t>
      </w:r>
      <w:r w:rsidR="00BF1BC6" w:rsidRPr="003114DD">
        <w:t xml:space="preserve"> and </w:t>
      </w:r>
      <w:r>
        <w:t xml:space="preserve">the </w:t>
      </w:r>
      <w:r w:rsidR="00BF1BC6" w:rsidRPr="003114DD">
        <w:t xml:space="preserve">separation through </w:t>
      </w:r>
      <w:r>
        <w:t xml:space="preserve">an </w:t>
      </w:r>
      <w:r w:rsidR="00BF1BC6" w:rsidRPr="003114DD">
        <w:t>efficient packing</w:t>
      </w:r>
      <w:r w:rsidR="00BF1BC6" w:rsidRPr="003907AF">
        <w:t xml:space="preserve">. </w:t>
      </w:r>
      <w:r w:rsidR="00A11A9E" w:rsidRPr="003907AF">
        <w:t xml:space="preserve">A closed-loop refrigeration system using liquid nitrogen to minimize </w:t>
      </w:r>
      <w:r>
        <w:t xml:space="preserve">the </w:t>
      </w:r>
      <w:r w:rsidR="00A11A9E" w:rsidRPr="003907AF">
        <w:t xml:space="preserve">thermal losses and </w:t>
      </w:r>
      <w:r>
        <w:t xml:space="preserve">to </w:t>
      </w:r>
      <w:r w:rsidR="00A11A9E" w:rsidRPr="003907AF">
        <w:t xml:space="preserve">optimize </w:t>
      </w:r>
      <w:r w:rsidR="00A11A9E">
        <w:t xml:space="preserve">the </w:t>
      </w:r>
      <w:r w:rsidR="00A11A9E" w:rsidRPr="003907AF">
        <w:t>energy efficiency</w:t>
      </w:r>
      <w:r w:rsidR="00A11A9E">
        <w:t xml:space="preserve"> is employed for cooling. The modules are tested at</w:t>
      </w:r>
      <w:r w:rsidR="00A41B24">
        <w:t xml:space="preserve"> the</w:t>
      </w:r>
      <w:r w:rsidR="00A11A9E">
        <w:t xml:space="preserve"> </w:t>
      </w:r>
      <w:r w:rsidR="00E137D3" w:rsidRPr="00E137D3">
        <w:t xml:space="preserve">Conseil </w:t>
      </w:r>
      <w:proofErr w:type="spellStart"/>
      <w:r w:rsidR="00A41B24">
        <w:t>E</w:t>
      </w:r>
      <w:r w:rsidR="00E137D3" w:rsidRPr="00E137D3">
        <w:t>uropéen</w:t>
      </w:r>
      <w:proofErr w:type="spellEnd"/>
      <w:r w:rsidR="00E137D3" w:rsidRPr="00E137D3">
        <w:t xml:space="preserve"> pour la </w:t>
      </w:r>
      <w:r w:rsidR="00A41B24">
        <w:t>R</w:t>
      </w:r>
      <w:r w:rsidR="00E137D3" w:rsidRPr="00E137D3">
        <w:t xml:space="preserve">echerche </w:t>
      </w:r>
      <w:proofErr w:type="spellStart"/>
      <w:r w:rsidR="00A41B24">
        <w:t>N</w:t>
      </w:r>
      <w:r w:rsidR="00E137D3" w:rsidRPr="00E137D3">
        <w:t>ucléaire</w:t>
      </w:r>
      <w:proofErr w:type="spellEnd"/>
      <w:r w:rsidR="00A41B24">
        <w:t xml:space="preserve"> (</w:t>
      </w:r>
      <w:r w:rsidR="00A11A9E">
        <w:t>CERN</w:t>
      </w:r>
      <w:r w:rsidR="00A41B24">
        <w:t>)</w:t>
      </w:r>
      <w:r w:rsidR="00A11A9E">
        <w:t xml:space="preserve"> </w:t>
      </w:r>
      <w:r w:rsidR="00A41B24">
        <w:t xml:space="preserve">in </w:t>
      </w:r>
      <w:r>
        <w:t>Geneve</w:t>
      </w:r>
      <w:r w:rsidR="00A41B24">
        <w:t xml:space="preserve"> (</w:t>
      </w:r>
      <w:r>
        <w:t xml:space="preserve">Switzerland) </w:t>
      </w:r>
      <w:r w:rsidR="00A11A9E">
        <w:t xml:space="preserve">and then installed in the mine well. </w:t>
      </w:r>
      <w:r w:rsidR="00A11A9E" w:rsidRPr="00A11A9E">
        <w:t xml:space="preserve">The height and </w:t>
      </w:r>
      <w:r w:rsidR="00A11A9E">
        <w:t xml:space="preserve">the </w:t>
      </w:r>
      <w:r w:rsidR="00A11A9E" w:rsidRPr="00A11A9E">
        <w:t>diameter of the wells, their configuration with multiple accesses and integrated security systems and</w:t>
      </w:r>
      <w:r w:rsidR="00934A59">
        <w:t xml:space="preserve"> </w:t>
      </w:r>
      <w:r w:rsidR="00A11A9E" w:rsidRPr="00A11A9E">
        <w:t xml:space="preserve">the availability of a </w:t>
      </w:r>
      <w:proofErr w:type="spellStart"/>
      <w:r w:rsidR="00A11A9E" w:rsidRPr="00A11A9E">
        <w:t>truckable</w:t>
      </w:r>
      <w:proofErr w:type="spellEnd"/>
      <w:r w:rsidR="00A11A9E" w:rsidRPr="00A11A9E">
        <w:t xml:space="preserve"> motorway from the surface to a depth of 500 m</w:t>
      </w:r>
      <w:r w:rsidR="00934A59">
        <w:t xml:space="preserve"> </w:t>
      </w:r>
      <w:r w:rsidR="00A11A9E" w:rsidRPr="00A11A9E">
        <w:t xml:space="preserve">are ideal conditions for </w:t>
      </w:r>
      <w:r w:rsidR="00A11A9E">
        <w:t xml:space="preserve">the </w:t>
      </w:r>
      <w:r w:rsidR="00A11A9E" w:rsidRPr="00A11A9E">
        <w:t>safe installation of a plant with unique features in the world</w:t>
      </w:r>
      <w:r w:rsidR="00F52BC1">
        <w:t xml:space="preserve"> </w:t>
      </w:r>
      <w:r w:rsidR="00F52BC1">
        <w:fldChar w:fldCharType="begin"/>
      </w:r>
      <w:r w:rsidR="00F52BC1">
        <w:instrText xml:space="preserve"> ADDIN EN.CITE &lt;EndNote&gt;&lt;Cite&gt;&lt;Author&gt;INFN&lt;/Author&gt;&lt;Year&gt;2020&lt;/Year&gt;&lt;RecNum&gt;4127&lt;/RecNum&gt;&lt;DisplayText&gt;(INFN, 2020)&lt;/DisplayText&gt;&lt;record&gt;&lt;rec-number&gt;4127&lt;/rec-number&gt;&lt;foreign-keys&gt;&lt;key app="EN" db-id="vdep529fssfr24ertz15wt2bvrvzfeta5w5v" timestamp="1733869580"&gt;4127&lt;/key&gt;&lt;/foreign-keys&gt;&lt;ref-type name="Web Page"&gt;12&lt;/ref-type&gt;&lt;contributors&gt;&lt;authors&gt;&lt;author&gt;INFN,&lt;/author&gt;&lt;/authors&gt;&lt;/contributors&gt;&lt;titles&gt;&lt;title&gt;Progetto Aria&lt;/title&gt;&lt;/titles&gt;&lt;dates&gt;&lt;year&gt;2020&lt;/year&gt;&lt;/dates&gt;&lt;urls&gt;&lt;related-urls&gt;&lt;url&gt;https://wpress.ca.infn.it/?p=2866&lt;/url&gt;&lt;/related-urls&gt;&lt;/urls&gt;&lt;/record&gt;&lt;/Cite&gt;&lt;/EndNote&gt;</w:instrText>
      </w:r>
      <w:r w:rsidR="00F52BC1">
        <w:fldChar w:fldCharType="separate"/>
      </w:r>
      <w:r w:rsidR="00F52BC1">
        <w:rPr>
          <w:noProof/>
        </w:rPr>
        <w:t>(INFN, 2020)</w:t>
      </w:r>
      <w:r w:rsidR="00F52BC1">
        <w:fldChar w:fldCharType="end"/>
      </w:r>
      <w:r w:rsidR="00A11A9E" w:rsidRPr="00A11A9E">
        <w:t>.</w:t>
      </w:r>
    </w:p>
    <w:p w14:paraId="1C46D1A3" w14:textId="3497485F" w:rsidR="00BF1BC6" w:rsidRPr="00BF1BC6" w:rsidRDefault="003907AF" w:rsidP="00BF1BC6">
      <w:pPr>
        <w:pStyle w:val="CETBodytext"/>
      </w:pPr>
      <w:r>
        <w:t xml:space="preserve">The facility has </w:t>
      </w:r>
      <w:r w:rsidR="00934A59">
        <w:t xml:space="preserve">then </w:t>
      </w:r>
      <w:r>
        <w:t xml:space="preserve">been thought to be used for the purification of other isotopes in addition to </w:t>
      </w:r>
      <w:proofErr w:type="spellStart"/>
      <w:r>
        <w:t>Ar</w:t>
      </w:r>
      <w:proofErr w:type="spellEnd"/>
      <w:r>
        <w:t>, to set up a production with the aim of satisfying the increasing demand of these species, for instance in medical diagnostics.</w:t>
      </w:r>
    </w:p>
    <w:p w14:paraId="1CCAABD7" w14:textId="4DB3DD94" w:rsidR="001442B3" w:rsidRPr="00E15BAC" w:rsidRDefault="00F04B3A" w:rsidP="001442B3">
      <w:pPr>
        <w:pStyle w:val="CETBodytext"/>
        <w:rPr>
          <w:rFonts w:eastAsiaTheme="minorHAnsi"/>
        </w:rPr>
      </w:pPr>
      <w:r>
        <w:rPr>
          <w:rFonts w:eastAsiaTheme="minorHAnsi"/>
        </w:rPr>
        <w:t>This work has been carried out within the research project “</w:t>
      </w:r>
      <w:r w:rsidRPr="0032562E">
        <w:t>Production of rare oxygen isotopes with the Aria cryogenic distillation plant for innovative applications in medical diagnostics</w:t>
      </w:r>
      <w:r>
        <w:t>”</w:t>
      </w:r>
      <w:r w:rsidR="00E15BAC">
        <w:t xml:space="preserve"> and aims at studying the cryogenic distillation column for treating a binary mixture of </w:t>
      </w:r>
      <w:r w:rsidR="00E15BAC" w:rsidRPr="00E31F45">
        <w:rPr>
          <w:vertAlign w:val="superscript"/>
        </w:rPr>
        <w:t>16</w:t>
      </w:r>
      <w:r w:rsidR="00E15BAC">
        <w:t>O</w:t>
      </w:r>
      <w:r w:rsidR="00E15BAC" w:rsidRPr="00E31F45">
        <w:rPr>
          <w:vertAlign w:val="subscript"/>
        </w:rPr>
        <w:t>2</w:t>
      </w:r>
      <w:r w:rsidR="004A6896">
        <w:t xml:space="preserve"> and </w:t>
      </w:r>
      <w:r w:rsidR="00E15BAC" w:rsidRPr="00E31F45">
        <w:rPr>
          <w:vertAlign w:val="superscript"/>
        </w:rPr>
        <w:t>1</w:t>
      </w:r>
      <w:r w:rsidR="00E15BAC">
        <w:rPr>
          <w:vertAlign w:val="superscript"/>
        </w:rPr>
        <w:t>6</w:t>
      </w:r>
      <w:r w:rsidR="00E15BAC">
        <w:t>O</w:t>
      </w:r>
      <w:r w:rsidR="00E15BAC" w:rsidRPr="00E31F45">
        <w:rPr>
          <w:vertAlign w:val="superscript"/>
        </w:rPr>
        <w:t>1</w:t>
      </w:r>
      <w:r w:rsidR="00E15BAC">
        <w:rPr>
          <w:vertAlign w:val="superscript"/>
        </w:rPr>
        <w:t>8</w:t>
      </w:r>
      <w:r w:rsidR="00E15BAC">
        <w:t xml:space="preserve">O </w:t>
      </w:r>
      <w:r w:rsidR="00934A59">
        <w:t>for</w:t>
      </w:r>
      <w:r w:rsidR="00E15BAC">
        <w:t xml:space="preserve"> </w:t>
      </w:r>
      <w:r w:rsidR="00934A59">
        <w:t>the production of</w:t>
      </w:r>
      <w:r w:rsidR="00E15BAC">
        <w:t xml:space="preserve"> a stream richer in </w:t>
      </w:r>
      <w:r w:rsidR="00E15BAC" w:rsidRPr="00E31F45">
        <w:rPr>
          <w:vertAlign w:val="superscript"/>
        </w:rPr>
        <w:t>1</w:t>
      </w:r>
      <w:r w:rsidR="00E15BAC">
        <w:rPr>
          <w:vertAlign w:val="superscript"/>
        </w:rPr>
        <w:t>6</w:t>
      </w:r>
      <w:r w:rsidR="00E15BAC">
        <w:t>O</w:t>
      </w:r>
      <w:r w:rsidR="00E15BAC" w:rsidRPr="00E31F45">
        <w:rPr>
          <w:vertAlign w:val="superscript"/>
        </w:rPr>
        <w:t>1</w:t>
      </w:r>
      <w:r w:rsidR="00E15BAC">
        <w:rPr>
          <w:vertAlign w:val="superscript"/>
        </w:rPr>
        <w:t>8</w:t>
      </w:r>
      <w:r w:rsidR="00E15BAC">
        <w:t xml:space="preserve">O, with a target of 10 % </w:t>
      </w:r>
      <w:r w:rsidR="00E15BAC">
        <w:rPr>
          <w:vertAlign w:val="superscript"/>
        </w:rPr>
        <w:t>18</w:t>
      </w:r>
      <w:r w:rsidR="00E15BAC">
        <w:t>O in the product.</w:t>
      </w:r>
    </w:p>
    <w:p w14:paraId="4113B64F" w14:textId="79D3085F" w:rsidR="001442B3" w:rsidRPr="00B57B36" w:rsidRDefault="001442B3" w:rsidP="001442B3">
      <w:pPr>
        <w:pStyle w:val="CETHeading1"/>
        <w:rPr>
          <w:lang w:val="en-GB"/>
        </w:rPr>
      </w:pPr>
      <w:r>
        <w:rPr>
          <w:lang w:val="en-GB"/>
        </w:rPr>
        <w:t>Isotopes of the molecular O</w:t>
      </w:r>
      <w:r>
        <w:rPr>
          <w:vertAlign w:val="subscript"/>
          <w:lang w:val="en-GB"/>
        </w:rPr>
        <w:t>2</w:t>
      </w:r>
    </w:p>
    <w:p w14:paraId="5FFDDAB2" w14:textId="4D4E443B" w:rsidR="00E15BAC" w:rsidRPr="00381B95" w:rsidRDefault="00E15BAC" w:rsidP="00E15BAC">
      <w:pPr>
        <w:pStyle w:val="CETBodytext"/>
        <w:rPr>
          <w:lang w:val="en-GB"/>
        </w:rPr>
      </w:pPr>
      <w:r w:rsidRPr="00E15BAC">
        <w:rPr>
          <w:vertAlign w:val="superscript"/>
        </w:rPr>
        <w:t>16</w:t>
      </w:r>
      <w:r>
        <w:t xml:space="preserve">O, </w:t>
      </w:r>
      <w:r w:rsidRPr="00E15BAC">
        <w:rPr>
          <w:vertAlign w:val="superscript"/>
        </w:rPr>
        <w:t>17</w:t>
      </w:r>
      <w:r>
        <w:t xml:space="preserve">O and </w:t>
      </w:r>
      <w:r w:rsidRPr="00E15BAC">
        <w:rPr>
          <w:vertAlign w:val="superscript"/>
        </w:rPr>
        <w:t>18</w:t>
      </w:r>
      <w:r>
        <w:t xml:space="preserve">O are the three oxygen isotopes present in nature. </w:t>
      </w:r>
      <w:r w:rsidRPr="00381B95">
        <w:rPr>
          <w:lang w:val="en-GB"/>
        </w:rPr>
        <w:t xml:space="preserve">Their abundances </w:t>
      </w:r>
      <w:r>
        <w:fldChar w:fldCharType="begin"/>
      </w:r>
      <w:r w:rsidRPr="00381B95">
        <w:rPr>
          <w:lang w:val="en-GB"/>
        </w:rPr>
        <w:instrText xml:space="preserve"> ADDIN EN.CITE &lt;EndNote&gt;&lt;Cite&gt;&lt;Author&gt;LibreText Chemistry&lt;/Author&gt;&lt;Year&gt;2024&lt;/Year&gt;&lt;RecNum&gt;4124&lt;/RecNum&gt;&lt;DisplayText&gt;(LibreText Chemistry, 2024)&lt;/DisplayText&gt;&lt;record&gt;&lt;rec-number&gt;4124&lt;/rec-number&gt;&lt;foreign-keys&gt;&lt;key app="EN" db-id="vdep529fssfr24ertz15wt2bvrvzfeta5w5v" timestamp="1733821478"&gt;4124&lt;/key&gt;&lt;/foreign-keys&gt;&lt;ref-type name="Web Page"&gt;12&lt;/ref-type&gt;&lt;contributors&gt;&lt;authors&gt;&lt;author&gt;LibreText Chemistry,&lt;/author&gt;&lt;/authors&gt;&lt;/contributors&gt;&lt;titles&gt;&lt;title&gt;Oxigen Isotopes and the Origin of the Planets&lt;/title&gt;&lt;/titles&gt;&lt;dates&gt;&lt;year&gt;2024&lt;/year&gt;&lt;/dates&gt;&lt;urls&gt;&lt;related-urls&gt;&lt;url&gt;https://chem.libretexts.org/Ancillary_Materials/Exemplars_and_Case_Studies/Exemplars/Physics_and_Astronomy/Oxygen_Isotopes_and_the_Origin_of_the_Planets&lt;/url&gt;&lt;/related-urls&gt;&lt;/urls&gt;&lt;/record&gt;&lt;/Cite&gt;&lt;/EndNote&gt;</w:instrText>
      </w:r>
      <w:r>
        <w:fldChar w:fldCharType="separate"/>
      </w:r>
      <w:r w:rsidRPr="00381B95">
        <w:rPr>
          <w:noProof/>
          <w:lang w:val="en-GB"/>
        </w:rPr>
        <w:t>(LibreText Chemistry, 2024)</w:t>
      </w:r>
      <w:r>
        <w:fldChar w:fldCharType="end"/>
      </w:r>
      <w:r w:rsidRPr="00381B95">
        <w:rPr>
          <w:lang w:val="en-GB"/>
        </w:rPr>
        <w:t xml:space="preserve"> are reported in</w:t>
      </w:r>
      <w:r w:rsidR="00381B95">
        <w:t xml:space="preserve"> </w:t>
      </w:r>
      <w:r w:rsidR="00381B95">
        <w:fldChar w:fldCharType="begin"/>
      </w:r>
      <w:r w:rsidR="00381B95">
        <w:instrText xml:space="preserve"> REF _Ref184717829 \h </w:instrText>
      </w:r>
      <w:r w:rsidR="00381B95">
        <w:fldChar w:fldCharType="separate"/>
      </w:r>
      <w:r w:rsidR="00381B95">
        <w:t xml:space="preserve">Table </w:t>
      </w:r>
      <w:r w:rsidR="00381B95">
        <w:rPr>
          <w:noProof/>
        </w:rPr>
        <w:t>1</w:t>
      </w:r>
      <w:r w:rsidR="00381B95">
        <w:fldChar w:fldCharType="end"/>
      </w:r>
      <w:r w:rsidRPr="00381B95">
        <w:rPr>
          <w:lang w:val="en-GB"/>
        </w:rPr>
        <w:t>.</w:t>
      </w:r>
    </w:p>
    <w:p w14:paraId="26703930" w14:textId="43FA489F" w:rsidR="00E15BAC" w:rsidRPr="00B57B36" w:rsidRDefault="00381B95" w:rsidP="00381B95">
      <w:pPr>
        <w:pStyle w:val="CETTabletitle"/>
      </w:pPr>
      <w:bookmarkStart w:id="1" w:name="_Ref184717829"/>
      <w:r>
        <w:t xml:space="preserve">Table </w:t>
      </w:r>
      <w:r>
        <w:fldChar w:fldCharType="begin"/>
      </w:r>
      <w:r>
        <w:instrText xml:space="preserve"> SEQ Table \* ARABIC </w:instrText>
      </w:r>
      <w:r>
        <w:fldChar w:fldCharType="separate"/>
      </w:r>
      <w:r>
        <w:rPr>
          <w:noProof/>
        </w:rPr>
        <w:t>1</w:t>
      </w:r>
      <w:r>
        <w:fldChar w:fldCharType="end"/>
      </w:r>
      <w:bookmarkEnd w:id="1"/>
      <w:r w:rsidR="00E15BAC" w:rsidRPr="00B57B36">
        <w:t xml:space="preserve">: </w:t>
      </w:r>
      <w:r w:rsidR="00E15BAC" w:rsidRPr="00E15BAC">
        <w:t>Natural abundances [%] of oxygen isotopes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2268"/>
      </w:tblGrid>
      <w:tr w:rsidR="00E15BAC" w:rsidRPr="00B57B36" w14:paraId="28CFA2BE" w14:textId="77777777" w:rsidTr="00AC4DCE">
        <w:tc>
          <w:tcPr>
            <w:tcW w:w="2268" w:type="dxa"/>
            <w:tcBorders>
              <w:top w:val="single" w:sz="12" w:space="0" w:color="008000"/>
              <w:bottom w:val="single" w:sz="6" w:space="0" w:color="008000"/>
            </w:tcBorders>
            <w:shd w:val="clear" w:color="auto" w:fill="FFFFFF"/>
          </w:tcPr>
          <w:p w14:paraId="3A4EA35B" w14:textId="162F715C" w:rsidR="00E15BAC" w:rsidRPr="00E15BAC" w:rsidRDefault="00E15BAC" w:rsidP="00E15BAC">
            <w:pPr>
              <w:pStyle w:val="CETBodytext"/>
              <w:rPr>
                <w:b/>
                <w:bCs/>
              </w:rPr>
            </w:pPr>
            <w:r w:rsidRPr="00E15BAC">
              <w:rPr>
                <w:b/>
                <w:bCs/>
              </w:rPr>
              <w:t>Isotope</w:t>
            </w:r>
          </w:p>
        </w:tc>
        <w:tc>
          <w:tcPr>
            <w:tcW w:w="2268" w:type="dxa"/>
            <w:tcBorders>
              <w:top w:val="single" w:sz="12" w:space="0" w:color="008000"/>
              <w:bottom w:val="single" w:sz="6" w:space="0" w:color="008000"/>
            </w:tcBorders>
            <w:shd w:val="clear" w:color="auto" w:fill="FFFFFF"/>
            <w:vAlign w:val="center"/>
          </w:tcPr>
          <w:p w14:paraId="3C450BFF" w14:textId="131E2662" w:rsidR="00E15BAC" w:rsidRPr="00E15BAC" w:rsidRDefault="00E15BAC" w:rsidP="00E15BAC">
            <w:pPr>
              <w:pStyle w:val="CETBodytext"/>
              <w:rPr>
                <w:b/>
                <w:bCs/>
              </w:rPr>
            </w:pPr>
            <w:r w:rsidRPr="00E15BAC">
              <w:rPr>
                <w:b/>
                <w:bCs/>
              </w:rPr>
              <w:t>Isotope abundance [%]</w:t>
            </w:r>
          </w:p>
        </w:tc>
      </w:tr>
      <w:tr w:rsidR="00E15BAC" w:rsidRPr="00B57B36" w14:paraId="66C33BF1" w14:textId="77777777" w:rsidTr="00AC4DCE">
        <w:tc>
          <w:tcPr>
            <w:tcW w:w="2268" w:type="dxa"/>
            <w:shd w:val="clear" w:color="auto" w:fill="FFFFFF"/>
            <w:vAlign w:val="center"/>
          </w:tcPr>
          <w:p w14:paraId="40A313C3" w14:textId="6D38AADE" w:rsidR="00E15BAC" w:rsidRPr="00E15BAC" w:rsidRDefault="00E15BAC" w:rsidP="00E15BAC">
            <w:pPr>
              <w:pStyle w:val="CETBodytext"/>
            </w:pPr>
            <w:r w:rsidRPr="00381B95">
              <w:rPr>
                <w:vertAlign w:val="superscript"/>
              </w:rPr>
              <w:t>16</w:t>
            </w:r>
            <w:r w:rsidRPr="00E15BAC">
              <w:t>O</w:t>
            </w:r>
          </w:p>
        </w:tc>
        <w:tc>
          <w:tcPr>
            <w:tcW w:w="2268" w:type="dxa"/>
            <w:shd w:val="clear" w:color="auto" w:fill="FFFFFF"/>
            <w:vAlign w:val="center"/>
          </w:tcPr>
          <w:p w14:paraId="6D70B95E" w14:textId="06B34AB5" w:rsidR="00E15BAC" w:rsidRPr="00E15BAC" w:rsidRDefault="00E15BAC" w:rsidP="00E15BAC">
            <w:pPr>
              <w:pStyle w:val="CETBodytext"/>
            </w:pPr>
            <w:r w:rsidRPr="00E15BAC">
              <w:t>99.757</w:t>
            </w:r>
          </w:p>
        </w:tc>
      </w:tr>
      <w:tr w:rsidR="00E15BAC" w:rsidRPr="00B57B36" w14:paraId="024054B6" w14:textId="77777777" w:rsidTr="00AC4DCE">
        <w:tc>
          <w:tcPr>
            <w:tcW w:w="2268" w:type="dxa"/>
            <w:shd w:val="clear" w:color="auto" w:fill="FFFFFF"/>
            <w:vAlign w:val="center"/>
          </w:tcPr>
          <w:p w14:paraId="38F6CA2E" w14:textId="1B20C1BC" w:rsidR="00E15BAC" w:rsidRPr="00E15BAC" w:rsidRDefault="00E15BAC" w:rsidP="00E15BAC">
            <w:pPr>
              <w:pStyle w:val="CETBodytext"/>
            </w:pPr>
            <w:r w:rsidRPr="00381B95">
              <w:rPr>
                <w:vertAlign w:val="superscript"/>
              </w:rPr>
              <w:t>17</w:t>
            </w:r>
            <w:r w:rsidRPr="00E15BAC">
              <w:t>O</w:t>
            </w:r>
          </w:p>
        </w:tc>
        <w:tc>
          <w:tcPr>
            <w:tcW w:w="2268" w:type="dxa"/>
            <w:shd w:val="clear" w:color="auto" w:fill="FFFFFF"/>
            <w:vAlign w:val="center"/>
          </w:tcPr>
          <w:p w14:paraId="62BFE91D" w14:textId="2745B1B6" w:rsidR="00E15BAC" w:rsidRPr="00E15BAC" w:rsidRDefault="00E15BAC" w:rsidP="00E15BAC">
            <w:pPr>
              <w:pStyle w:val="CETBodytext"/>
            </w:pPr>
            <w:r w:rsidRPr="00E15BAC">
              <w:t>0.038</w:t>
            </w:r>
          </w:p>
        </w:tc>
      </w:tr>
      <w:tr w:rsidR="00E15BAC" w:rsidRPr="00B57B36" w14:paraId="7D9C0D48" w14:textId="77777777" w:rsidTr="00AC4DCE">
        <w:tc>
          <w:tcPr>
            <w:tcW w:w="2268" w:type="dxa"/>
            <w:shd w:val="clear" w:color="auto" w:fill="FFFFFF"/>
            <w:vAlign w:val="center"/>
          </w:tcPr>
          <w:p w14:paraId="6ADF8615" w14:textId="52B501CB" w:rsidR="00E15BAC" w:rsidRPr="00E15BAC" w:rsidRDefault="00E15BAC" w:rsidP="00E15BAC">
            <w:pPr>
              <w:pStyle w:val="CETBodytext"/>
            </w:pPr>
            <w:r w:rsidRPr="00381B95">
              <w:rPr>
                <w:vertAlign w:val="superscript"/>
              </w:rPr>
              <w:t>18</w:t>
            </w:r>
            <w:r w:rsidRPr="00E15BAC">
              <w:t>O</w:t>
            </w:r>
          </w:p>
        </w:tc>
        <w:tc>
          <w:tcPr>
            <w:tcW w:w="2268" w:type="dxa"/>
            <w:shd w:val="clear" w:color="auto" w:fill="FFFFFF"/>
            <w:vAlign w:val="center"/>
          </w:tcPr>
          <w:p w14:paraId="60D928BB" w14:textId="37BF502F" w:rsidR="00E15BAC" w:rsidRPr="00E15BAC" w:rsidRDefault="00E15BAC" w:rsidP="00E15BAC">
            <w:pPr>
              <w:pStyle w:val="CETBodytext"/>
            </w:pPr>
            <w:r w:rsidRPr="00E15BAC">
              <w:t>0.205</w:t>
            </w:r>
          </w:p>
        </w:tc>
      </w:tr>
    </w:tbl>
    <w:p w14:paraId="4B416298" w14:textId="77777777" w:rsidR="00E15BAC" w:rsidRDefault="00E15BAC" w:rsidP="00E15BAC">
      <w:pPr>
        <w:pStyle w:val="CETBodytext"/>
        <w:rPr>
          <w:sz w:val="16"/>
          <w:szCs w:val="16"/>
        </w:rPr>
      </w:pPr>
    </w:p>
    <w:p w14:paraId="615DB0E1" w14:textId="325E6C8E" w:rsidR="00E15BAC" w:rsidRDefault="00381B95" w:rsidP="00E15BAC">
      <w:pPr>
        <w:pStyle w:val="CETBodytext"/>
      </w:pPr>
      <w:r>
        <w:t>The c</w:t>
      </w:r>
      <w:r w:rsidR="00E15BAC">
        <w:t xml:space="preserve">ombinations of these isotopes </w:t>
      </w:r>
      <w:r>
        <w:t>for</w:t>
      </w:r>
      <w:r w:rsidR="00E15BAC">
        <w:t xml:space="preserve"> constitut</w:t>
      </w:r>
      <w:r>
        <w:t>ing the</w:t>
      </w:r>
      <w:r w:rsidR="00E15BAC">
        <w:t xml:space="preserve"> molecular oxygen are </w:t>
      </w:r>
      <w:r>
        <w:t>obtained</w:t>
      </w:r>
      <w:r w:rsidR="00E15BAC">
        <w:t xml:space="preserve"> by </w:t>
      </w:r>
      <w:r w:rsidR="007B272B">
        <w:t>considering the</w:t>
      </w:r>
      <w:r w:rsidR="00E15BAC">
        <w:t xml:space="preserve"> probability</w:t>
      </w:r>
      <w:r w:rsidR="007B272B">
        <w:t xml:space="preserve"> </w:t>
      </w:r>
      <w:r w:rsidR="00E15BAC">
        <w:t xml:space="preserve">of formation </w:t>
      </w:r>
      <w:r w:rsidR="00E15BAC" w:rsidRPr="005C5EC3">
        <w:t xml:space="preserve">of </w:t>
      </w:r>
      <w:r w:rsidR="00E15BAC" w:rsidRPr="00295AA5">
        <w:t>these molecules</w:t>
      </w:r>
      <w:r w:rsidR="007B272B">
        <w:t>, as t</w:t>
      </w:r>
      <w:r w:rsidR="00E15BAC" w:rsidRPr="00295AA5">
        <w:t>he product between the concentrations of the two isotopes</w:t>
      </w:r>
      <w:r>
        <w:t xml:space="preserve"> constituting the molecule and the normalization of all the molar fractions</w:t>
      </w:r>
      <w:r w:rsidR="00E15BAC" w:rsidRPr="00295AA5">
        <w:t>.</w:t>
      </w:r>
      <w:r w:rsidR="00A41B24">
        <w:t xml:space="preserve"> </w:t>
      </w:r>
      <w:r>
        <w:t xml:space="preserve">The </w:t>
      </w:r>
      <w:r w:rsidR="00E15BAC" w:rsidRPr="00295AA5">
        <w:t xml:space="preserve">results are </w:t>
      </w:r>
      <w:r w:rsidR="007B272B">
        <w:t>reported</w:t>
      </w:r>
      <w:r w:rsidR="00E15BAC" w:rsidRPr="00295AA5">
        <w:t xml:space="preserve"> i</w:t>
      </w:r>
      <w:r>
        <w:t xml:space="preserve">n </w:t>
      </w:r>
      <w:r>
        <w:fldChar w:fldCharType="begin"/>
      </w:r>
      <w:r>
        <w:instrText xml:space="preserve"> REF _Ref184717884 \h </w:instrText>
      </w:r>
      <w:r>
        <w:fldChar w:fldCharType="separate"/>
      </w:r>
      <w:r>
        <w:t xml:space="preserve">Table </w:t>
      </w:r>
      <w:r>
        <w:rPr>
          <w:noProof/>
        </w:rPr>
        <w:t>2</w:t>
      </w:r>
      <w:r>
        <w:fldChar w:fldCharType="end"/>
      </w:r>
      <w:r w:rsidR="00E15BAC" w:rsidRPr="00A63803">
        <w:t>.</w:t>
      </w:r>
    </w:p>
    <w:p w14:paraId="5859C522" w14:textId="28C81924" w:rsidR="00381B95" w:rsidRPr="00B57B36" w:rsidRDefault="00381B95" w:rsidP="00381B95">
      <w:pPr>
        <w:pStyle w:val="CETTabletitle"/>
      </w:pPr>
      <w:bookmarkStart w:id="2" w:name="_Ref184717884"/>
      <w:r>
        <w:t xml:space="preserve">Table </w:t>
      </w:r>
      <w:r>
        <w:fldChar w:fldCharType="begin"/>
      </w:r>
      <w:r>
        <w:instrText xml:space="preserve"> SEQ Table \* ARABIC </w:instrText>
      </w:r>
      <w:r>
        <w:fldChar w:fldCharType="separate"/>
      </w:r>
      <w:r>
        <w:rPr>
          <w:noProof/>
        </w:rPr>
        <w:t>2</w:t>
      </w:r>
      <w:r>
        <w:fldChar w:fldCharType="end"/>
      </w:r>
      <w:bookmarkEnd w:id="2"/>
      <w:r w:rsidRPr="00B57B36">
        <w:t xml:space="preserve">: </w:t>
      </w:r>
      <w:r>
        <w:t>Mole fractions</w:t>
      </w:r>
      <w:r w:rsidRPr="00381B95">
        <w:t xml:space="preserve"> of molecular oxygen isotopes</w:t>
      </w:r>
      <w:r>
        <w:t>, determined on the basis of the natural abundances of each isotope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2268"/>
      </w:tblGrid>
      <w:tr w:rsidR="00381B95" w:rsidRPr="00B57B36" w14:paraId="3F32E96A" w14:textId="77777777" w:rsidTr="00475B94">
        <w:tc>
          <w:tcPr>
            <w:tcW w:w="2268" w:type="dxa"/>
            <w:tcBorders>
              <w:top w:val="single" w:sz="12" w:space="0" w:color="008000"/>
              <w:bottom w:val="single" w:sz="6" w:space="0" w:color="008000"/>
            </w:tcBorders>
            <w:shd w:val="clear" w:color="auto" w:fill="FFFFFF"/>
          </w:tcPr>
          <w:p w14:paraId="6E506CD7" w14:textId="5E5C4E29" w:rsidR="00381B95" w:rsidRPr="00E15BAC" w:rsidRDefault="00381B95" w:rsidP="00475B94">
            <w:pPr>
              <w:pStyle w:val="CETBodytext"/>
              <w:rPr>
                <w:b/>
                <w:bCs/>
              </w:rPr>
            </w:pPr>
            <w:r>
              <w:rPr>
                <w:b/>
                <w:bCs/>
              </w:rPr>
              <w:t>Molecule</w:t>
            </w:r>
          </w:p>
        </w:tc>
        <w:tc>
          <w:tcPr>
            <w:tcW w:w="2268" w:type="dxa"/>
            <w:tcBorders>
              <w:top w:val="single" w:sz="12" w:space="0" w:color="008000"/>
              <w:bottom w:val="single" w:sz="6" w:space="0" w:color="008000"/>
            </w:tcBorders>
            <w:shd w:val="clear" w:color="auto" w:fill="FFFFFF"/>
            <w:vAlign w:val="center"/>
          </w:tcPr>
          <w:p w14:paraId="1E6C6387" w14:textId="55D905AF" w:rsidR="00381B95" w:rsidRPr="00E15BAC" w:rsidRDefault="00381B95" w:rsidP="00475B94">
            <w:pPr>
              <w:pStyle w:val="CETBodytext"/>
              <w:rPr>
                <w:b/>
                <w:bCs/>
              </w:rPr>
            </w:pPr>
            <w:r>
              <w:rPr>
                <w:b/>
                <w:bCs/>
              </w:rPr>
              <w:t>Mole fraction</w:t>
            </w:r>
          </w:p>
        </w:tc>
      </w:tr>
      <w:tr w:rsidR="00381B95" w:rsidRPr="00B57B36" w14:paraId="699AE9BD" w14:textId="77777777" w:rsidTr="00475B94">
        <w:tc>
          <w:tcPr>
            <w:tcW w:w="2268" w:type="dxa"/>
            <w:shd w:val="clear" w:color="auto" w:fill="FFFFFF"/>
            <w:vAlign w:val="center"/>
          </w:tcPr>
          <w:p w14:paraId="1F316A44" w14:textId="44149F7A" w:rsidR="00381B95" w:rsidRPr="00381B95" w:rsidRDefault="00381B95" w:rsidP="00381B95">
            <w:pPr>
              <w:pStyle w:val="CETBodytext"/>
            </w:pPr>
            <w:r w:rsidRPr="00381B95">
              <w:rPr>
                <w:vertAlign w:val="superscript"/>
              </w:rPr>
              <w:t>16</w:t>
            </w:r>
            <w:r w:rsidRPr="00381B95">
              <w:t>O</w:t>
            </w:r>
            <w:r w:rsidRPr="00381B95">
              <w:rPr>
                <w:vertAlign w:val="subscript"/>
              </w:rPr>
              <w:t>2</w:t>
            </w:r>
          </w:p>
        </w:tc>
        <w:tc>
          <w:tcPr>
            <w:tcW w:w="2268" w:type="dxa"/>
            <w:shd w:val="clear" w:color="auto" w:fill="FFFFFF"/>
            <w:vAlign w:val="center"/>
          </w:tcPr>
          <w:p w14:paraId="45C6759D" w14:textId="659D0990" w:rsidR="00381B95" w:rsidRPr="00381B95" w:rsidRDefault="00381B95" w:rsidP="00381B95">
            <w:pPr>
              <w:pStyle w:val="CETBodytext"/>
            </w:pPr>
            <w:r w:rsidRPr="00381B95">
              <w:t>0.99757</w:t>
            </w:r>
          </w:p>
        </w:tc>
      </w:tr>
      <w:tr w:rsidR="00381B95" w:rsidRPr="00B57B36" w14:paraId="0774FBBD" w14:textId="77777777" w:rsidTr="00475B94">
        <w:tc>
          <w:tcPr>
            <w:tcW w:w="2268" w:type="dxa"/>
            <w:shd w:val="clear" w:color="auto" w:fill="FFFFFF"/>
            <w:vAlign w:val="center"/>
          </w:tcPr>
          <w:p w14:paraId="4F7720F4" w14:textId="320005F4" w:rsidR="00381B95" w:rsidRPr="00381B95" w:rsidRDefault="00381B95" w:rsidP="00381B95">
            <w:pPr>
              <w:pStyle w:val="CETBodytext"/>
            </w:pPr>
            <w:r w:rsidRPr="00381B95">
              <w:rPr>
                <w:vertAlign w:val="superscript"/>
              </w:rPr>
              <w:t>16</w:t>
            </w:r>
            <w:r w:rsidRPr="00381B95">
              <w:t>O</w:t>
            </w:r>
            <w:r w:rsidRPr="00381B95">
              <w:rPr>
                <w:vertAlign w:val="superscript"/>
              </w:rPr>
              <w:t>18</w:t>
            </w:r>
            <w:r w:rsidRPr="00381B95">
              <w:t>O</w:t>
            </w:r>
          </w:p>
        </w:tc>
        <w:tc>
          <w:tcPr>
            <w:tcW w:w="2268" w:type="dxa"/>
            <w:shd w:val="clear" w:color="auto" w:fill="FFFFFF"/>
            <w:vAlign w:val="center"/>
          </w:tcPr>
          <w:p w14:paraId="2838006C" w14:textId="023B6C72" w:rsidR="00381B95" w:rsidRPr="00381B95" w:rsidRDefault="00381B95" w:rsidP="00381B95">
            <w:pPr>
              <w:pStyle w:val="CETBodytext"/>
            </w:pPr>
            <w:r w:rsidRPr="00381B95">
              <w:t>0.00205</w:t>
            </w:r>
          </w:p>
        </w:tc>
      </w:tr>
      <w:tr w:rsidR="00381B95" w:rsidRPr="00B57B36" w14:paraId="185EF89C" w14:textId="77777777" w:rsidTr="00475B94">
        <w:tc>
          <w:tcPr>
            <w:tcW w:w="2268" w:type="dxa"/>
            <w:shd w:val="clear" w:color="auto" w:fill="FFFFFF"/>
            <w:vAlign w:val="center"/>
          </w:tcPr>
          <w:p w14:paraId="003BB60A" w14:textId="45F12C7E" w:rsidR="00381B95" w:rsidRPr="00381B95" w:rsidRDefault="00381B95" w:rsidP="00381B95">
            <w:pPr>
              <w:pStyle w:val="CETBodytext"/>
            </w:pPr>
            <w:r w:rsidRPr="00381B95">
              <w:rPr>
                <w:vertAlign w:val="superscript"/>
              </w:rPr>
              <w:t>16</w:t>
            </w:r>
            <w:r w:rsidRPr="00381B95">
              <w:t>O</w:t>
            </w:r>
            <w:r w:rsidRPr="00381B95">
              <w:rPr>
                <w:vertAlign w:val="superscript"/>
              </w:rPr>
              <w:t>17</w:t>
            </w:r>
            <w:r w:rsidRPr="00381B95">
              <w:t>O</w:t>
            </w:r>
          </w:p>
        </w:tc>
        <w:tc>
          <w:tcPr>
            <w:tcW w:w="2268" w:type="dxa"/>
            <w:shd w:val="clear" w:color="auto" w:fill="FFFFFF"/>
            <w:vAlign w:val="center"/>
          </w:tcPr>
          <w:p w14:paraId="0DC34C9E" w14:textId="1602DA43" w:rsidR="00381B95" w:rsidRPr="00381B95" w:rsidRDefault="00381B95" w:rsidP="00381B95">
            <w:pPr>
              <w:pStyle w:val="CETBodytext"/>
            </w:pPr>
            <w:r w:rsidRPr="00381B95">
              <w:t>0.00038</w:t>
            </w:r>
          </w:p>
        </w:tc>
      </w:tr>
      <w:tr w:rsidR="00381B95" w:rsidRPr="00B57B36" w14:paraId="72645473" w14:textId="77777777" w:rsidTr="00475B94">
        <w:tc>
          <w:tcPr>
            <w:tcW w:w="2268" w:type="dxa"/>
            <w:shd w:val="clear" w:color="auto" w:fill="FFFFFF"/>
            <w:vAlign w:val="center"/>
          </w:tcPr>
          <w:p w14:paraId="79C1841C" w14:textId="067BF417" w:rsidR="00381B95" w:rsidRPr="00381B95" w:rsidRDefault="00381B95" w:rsidP="00381B95">
            <w:pPr>
              <w:pStyle w:val="CETBodytext"/>
            </w:pPr>
            <w:r w:rsidRPr="00381B95">
              <w:rPr>
                <w:vertAlign w:val="superscript"/>
              </w:rPr>
              <w:t>18</w:t>
            </w:r>
            <w:r w:rsidRPr="00381B95">
              <w:t>O</w:t>
            </w:r>
            <w:r w:rsidRPr="00381B95">
              <w:rPr>
                <w:vertAlign w:val="subscript"/>
              </w:rPr>
              <w:t>2</w:t>
            </w:r>
          </w:p>
        </w:tc>
        <w:tc>
          <w:tcPr>
            <w:tcW w:w="2268" w:type="dxa"/>
            <w:shd w:val="clear" w:color="auto" w:fill="FFFFFF"/>
            <w:vAlign w:val="center"/>
          </w:tcPr>
          <w:p w14:paraId="0FF62E8B" w14:textId="5C4FCF3A" w:rsidR="00381B95" w:rsidRPr="00381B95" w:rsidRDefault="00381B95" w:rsidP="00381B95">
            <w:pPr>
              <w:pStyle w:val="CETBodytext"/>
            </w:pPr>
            <w:r w:rsidRPr="00381B95">
              <w:t>4.21E-06</w:t>
            </w:r>
          </w:p>
        </w:tc>
      </w:tr>
      <w:tr w:rsidR="00381B95" w:rsidRPr="00B57B36" w14:paraId="6C978A6A" w14:textId="77777777" w:rsidTr="00475B94">
        <w:tc>
          <w:tcPr>
            <w:tcW w:w="2268" w:type="dxa"/>
            <w:shd w:val="clear" w:color="auto" w:fill="FFFFFF"/>
            <w:vAlign w:val="center"/>
          </w:tcPr>
          <w:p w14:paraId="7705F277" w14:textId="5044C938" w:rsidR="00381B95" w:rsidRPr="00381B95" w:rsidRDefault="00381B95" w:rsidP="00381B95">
            <w:pPr>
              <w:pStyle w:val="CETBodytext"/>
            </w:pPr>
            <w:r w:rsidRPr="00381B95">
              <w:rPr>
                <w:vertAlign w:val="superscript"/>
              </w:rPr>
              <w:t>17</w:t>
            </w:r>
            <w:r w:rsidRPr="00381B95">
              <w:t>O</w:t>
            </w:r>
            <w:r w:rsidRPr="00381B95">
              <w:rPr>
                <w:vertAlign w:val="superscript"/>
              </w:rPr>
              <w:t>18</w:t>
            </w:r>
            <w:r w:rsidRPr="00381B95">
              <w:t>O</w:t>
            </w:r>
          </w:p>
        </w:tc>
        <w:tc>
          <w:tcPr>
            <w:tcW w:w="2268" w:type="dxa"/>
            <w:shd w:val="clear" w:color="auto" w:fill="FFFFFF"/>
            <w:vAlign w:val="center"/>
          </w:tcPr>
          <w:p w14:paraId="3A33B445" w14:textId="120C3B1C" w:rsidR="00381B95" w:rsidRPr="00381B95" w:rsidRDefault="00381B95" w:rsidP="00381B95">
            <w:pPr>
              <w:pStyle w:val="CETBodytext"/>
            </w:pPr>
            <w:r w:rsidRPr="00381B95">
              <w:t>7.81E-07</w:t>
            </w:r>
          </w:p>
        </w:tc>
      </w:tr>
      <w:tr w:rsidR="00381B95" w:rsidRPr="00B57B36" w14:paraId="2EFA477D" w14:textId="77777777" w:rsidTr="00475B94">
        <w:tc>
          <w:tcPr>
            <w:tcW w:w="2268" w:type="dxa"/>
            <w:shd w:val="clear" w:color="auto" w:fill="FFFFFF"/>
            <w:vAlign w:val="center"/>
          </w:tcPr>
          <w:p w14:paraId="0CA5EC10" w14:textId="2AAC9343" w:rsidR="00381B95" w:rsidRPr="00381B95" w:rsidRDefault="00381B95" w:rsidP="00381B95">
            <w:pPr>
              <w:pStyle w:val="CETBodytext"/>
            </w:pPr>
            <w:r w:rsidRPr="00381B95">
              <w:rPr>
                <w:vertAlign w:val="superscript"/>
              </w:rPr>
              <w:t>17</w:t>
            </w:r>
            <w:r w:rsidRPr="00381B95">
              <w:t>O</w:t>
            </w:r>
            <w:r w:rsidRPr="00381B95">
              <w:rPr>
                <w:vertAlign w:val="subscript"/>
              </w:rPr>
              <w:t>2</w:t>
            </w:r>
          </w:p>
        </w:tc>
        <w:tc>
          <w:tcPr>
            <w:tcW w:w="2268" w:type="dxa"/>
            <w:shd w:val="clear" w:color="auto" w:fill="FFFFFF"/>
            <w:vAlign w:val="center"/>
          </w:tcPr>
          <w:p w14:paraId="545DD67C" w14:textId="6DBC06F8" w:rsidR="00381B95" w:rsidRPr="00381B95" w:rsidRDefault="00381B95" w:rsidP="00381B95">
            <w:pPr>
              <w:pStyle w:val="CETBodytext"/>
            </w:pPr>
            <w:r w:rsidRPr="00381B95">
              <w:t>1.45E-07</w:t>
            </w:r>
          </w:p>
        </w:tc>
      </w:tr>
    </w:tbl>
    <w:p w14:paraId="592346CF" w14:textId="39605B5A" w:rsidR="00381B95" w:rsidRDefault="00381B95" w:rsidP="00E15BAC">
      <w:pPr>
        <w:pStyle w:val="CETBodytext"/>
      </w:pPr>
    </w:p>
    <w:p w14:paraId="6EA167B0" w14:textId="1DF0DE32" w:rsidR="001442B3" w:rsidRPr="00381B95" w:rsidRDefault="00381B95" w:rsidP="00E15BAC">
      <w:pPr>
        <w:pStyle w:val="CETBodytext"/>
        <w:rPr>
          <w:rFonts w:eastAsiaTheme="minorHAnsi"/>
          <w:lang w:val="en-GB"/>
        </w:rPr>
      </w:pPr>
      <w:r w:rsidRPr="00381B95">
        <w:rPr>
          <w:rFonts w:eastAsiaTheme="minorHAnsi"/>
          <w:vertAlign w:val="superscript"/>
          <w:lang w:val="en-GB"/>
        </w:rPr>
        <w:t>18</w:t>
      </w:r>
      <w:r w:rsidRPr="00381B95">
        <w:rPr>
          <w:rFonts w:eastAsiaTheme="minorHAnsi"/>
          <w:lang w:val="en-GB"/>
        </w:rPr>
        <w:t>O</w:t>
      </w:r>
      <w:r w:rsidRPr="00381B95">
        <w:rPr>
          <w:rFonts w:eastAsiaTheme="minorHAnsi"/>
          <w:vertAlign w:val="subscript"/>
          <w:lang w:val="en-GB"/>
        </w:rPr>
        <w:t>2</w:t>
      </w:r>
      <w:r w:rsidRPr="00381B95">
        <w:rPr>
          <w:rFonts w:eastAsiaTheme="minorHAnsi"/>
          <w:lang w:val="en-GB"/>
        </w:rPr>
        <w:t xml:space="preserve">, </w:t>
      </w:r>
      <w:r w:rsidRPr="00381B95">
        <w:rPr>
          <w:rFonts w:eastAsiaTheme="minorHAnsi"/>
          <w:vertAlign w:val="superscript"/>
          <w:lang w:val="en-GB"/>
        </w:rPr>
        <w:t>17</w:t>
      </w:r>
      <w:r w:rsidRPr="00381B95">
        <w:rPr>
          <w:rFonts w:eastAsiaTheme="minorHAnsi"/>
          <w:lang w:val="en-GB"/>
        </w:rPr>
        <w:t>O</w:t>
      </w:r>
      <w:r w:rsidRPr="00381B95">
        <w:rPr>
          <w:rFonts w:eastAsiaTheme="minorHAnsi"/>
          <w:vertAlign w:val="superscript"/>
          <w:lang w:val="en-GB"/>
        </w:rPr>
        <w:t>18</w:t>
      </w:r>
      <w:r w:rsidRPr="00381B95">
        <w:rPr>
          <w:rFonts w:eastAsiaTheme="minorHAnsi"/>
          <w:lang w:val="en-GB"/>
        </w:rPr>
        <w:t xml:space="preserve">O and </w:t>
      </w:r>
      <w:r w:rsidRPr="00381B95">
        <w:rPr>
          <w:rFonts w:eastAsiaTheme="minorHAnsi"/>
          <w:vertAlign w:val="superscript"/>
          <w:lang w:val="en-GB"/>
        </w:rPr>
        <w:t>17</w:t>
      </w:r>
      <w:r w:rsidRPr="00381B95">
        <w:rPr>
          <w:rFonts w:eastAsiaTheme="minorHAnsi"/>
          <w:lang w:val="en-GB"/>
        </w:rPr>
        <w:t>O</w:t>
      </w:r>
      <w:r w:rsidRPr="00381B95">
        <w:rPr>
          <w:rFonts w:eastAsiaTheme="minorHAnsi"/>
          <w:vertAlign w:val="subscript"/>
          <w:lang w:val="en-GB"/>
        </w:rPr>
        <w:t>2</w:t>
      </w:r>
      <w:r w:rsidRPr="00381B95">
        <w:rPr>
          <w:rFonts w:eastAsiaTheme="minorHAnsi"/>
          <w:lang w:val="en-GB"/>
        </w:rPr>
        <w:t xml:space="preserve"> are present in traces. Th</w:t>
      </w:r>
      <w:r>
        <w:rPr>
          <w:rFonts w:eastAsiaTheme="minorHAnsi"/>
          <w:lang w:val="en-GB"/>
        </w:rPr>
        <w:t xml:space="preserve">e production of the isotope </w:t>
      </w:r>
      <w:r>
        <w:rPr>
          <w:rFonts w:eastAsiaTheme="minorHAnsi"/>
          <w:vertAlign w:val="superscript"/>
          <w:lang w:val="en-GB"/>
        </w:rPr>
        <w:t>18</w:t>
      </w:r>
      <w:r>
        <w:rPr>
          <w:rFonts w:eastAsiaTheme="minorHAnsi"/>
          <w:lang w:val="en-GB"/>
        </w:rPr>
        <w:t xml:space="preserve">O could be obtained by </w:t>
      </w:r>
      <w:r>
        <w:rPr>
          <w:rFonts w:eastAsiaTheme="minorHAnsi"/>
          <w:vertAlign w:val="superscript"/>
          <w:lang w:val="en-GB"/>
        </w:rPr>
        <w:t>16</w:t>
      </w:r>
      <w:r>
        <w:rPr>
          <w:rFonts w:eastAsiaTheme="minorHAnsi"/>
          <w:lang w:val="en-GB"/>
        </w:rPr>
        <w:t>O</w:t>
      </w:r>
      <w:r>
        <w:rPr>
          <w:rFonts w:eastAsiaTheme="minorHAnsi"/>
          <w:vertAlign w:val="superscript"/>
          <w:lang w:val="en-GB"/>
        </w:rPr>
        <w:t>18</w:t>
      </w:r>
      <w:r>
        <w:rPr>
          <w:rFonts w:eastAsiaTheme="minorHAnsi"/>
          <w:lang w:val="en-GB"/>
        </w:rPr>
        <w:t xml:space="preserve">O. </w:t>
      </w:r>
      <w:r w:rsidR="007B272B">
        <w:rPr>
          <w:rFonts w:eastAsiaTheme="minorHAnsi"/>
          <w:lang w:val="en-GB"/>
        </w:rPr>
        <w:t>I</w:t>
      </w:r>
      <w:r>
        <w:rPr>
          <w:rFonts w:eastAsiaTheme="minorHAnsi"/>
          <w:lang w:val="en-GB"/>
        </w:rPr>
        <w:t xml:space="preserve">n this work, the mixture of isotopes has been assumed to be composed of only the two isotopes </w:t>
      </w:r>
      <w:r>
        <w:rPr>
          <w:rFonts w:eastAsiaTheme="minorHAnsi"/>
          <w:vertAlign w:val="superscript"/>
          <w:lang w:val="en-GB"/>
        </w:rPr>
        <w:t>16</w:t>
      </w:r>
      <w:r>
        <w:rPr>
          <w:rFonts w:eastAsiaTheme="minorHAnsi"/>
          <w:lang w:val="en-GB"/>
        </w:rPr>
        <w:t>O</w:t>
      </w:r>
      <w:r>
        <w:rPr>
          <w:rFonts w:eastAsiaTheme="minorHAnsi"/>
          <w:vertAlign w:val="subscript"/>
          <w:lang w:val="en-GB"/>
        </w:rPr>
        <w:t>2</w:t>
      </w:r>
      <w:r>
        <w:rPr>
          <w:rFonts w:eastAsiaTheme="minorHAnsi"/>
          <w:lang w:val="en-GB"/>
        </w:rPr>
        <w:t xml:space="preserve">, that is the </w:t>
      </w:r>
      <w:r>
        <w:rPr>
          <w:rFonts w:eastAsiaTheme="minorHAnsi"/>
          <w:lang w:val="en-GB"/>
        </w:rPr>
        <w:lastRenderedPageBreak/>
        <w:t xml:space="preserve">main one, and </w:t>
      </w:r>
      <w:r>
        <w:rPr>
          <w:rFonts w:eastAsiaTheme="minorHAnsi"/>
          <w:vertAlign w:val="superscript"/>
          <w:lang w:val="en-GB"/>
        </w:rPr>
        <w:t>16</w:t>
      </w:r>
      <w:r>
        <w:rPr>
          <w:rFonts w:eastAsiaTheme="minorHAnsi"/>
          <w:lang w:val="en-GB"/>
        </w:rPr>
        <w:t>O</w:t>
      </w:r>
      <w:r>
        <w:rPr>
          <w:rFonts w:eastAsiaTheme="minorHAnsi"/>
          <w:vertAlign w:val="superscript"/>
          <w:lang w:val="en-GB"/>
        </w:rPr>
        <w:t>18</w:t>
      </w:r>
      <w:r>
        <w:rPr>
          <w:rFonts w:eastAsiaTheme="minorHAnsi"/>
          <w:lang w:val="en-GB"/>
        </w:rPr>
        <w:t xml:space="preserve">O, that, though being characterized by a much lower amount, is the one with the highest composition excluding </w:t>
      </w:r>
      <w:r>
        <w:rPr>
          <w:rFonts w:eastAsiaTheme="minorHAnsi"/>
          <w:vertAlign w:val="superscript"/>
          <w:lang w:val="en-GB"/>
        </w:rPr>
        <w:t>16</w:t>
      </w:r>
      <w:r>
        <w:rPr>
          <w:rFonts w:eastAsiaTheme="minorHAnsi"/>
          <w:lang w:val="en-GB"/>
        </w:rPr>
        <w:t>O</w:t>
      </w:r>
      <w:r>
        <w:rPr>
          <w:rFonts w:eastAsiaTheme="minorHAnsi"/>
          <w:vertAlign w:val="subscript"/>
          <w:lang w:val="en-GB"/>
        </w:rPr>
        <w:t>2</w:t>
      </w:r>
      <w:r>
        <w:rPr>
          <w:rFonts w:eastAsiaTheme="minorHAnsi"/>
          <w:lang w:val="en-GB"/>
        </w:rPr>
        <w:t xml:space="preserve">. Considering that the target is 10 % of </w:t>
      </w:r>
      <w:r>
        <w:rPr>
          <w:rFonts w:eastAsiaTheme="minorHAnsi"/>
          <w:vertAlign w:val="superscript"/>
          <w:lang w:val="en-GB"/>
        </w:rPr>
        <w:t>18</w:t>
      </w:r>
      <w:r>
        <w:rPr>
          <w:rFonts w:eastAsiaTheme="minorHAnsi"/>
          <w:lang w:val="en-GB"/>
        </w:rPr>
        <w:t xml:space="preserve">O and that </w:t>
      </w:r>
      <w:r>
        <w:rPr>
          <w:rFonts w:eastAsiaTheme="minorHAnsi"/>
          <w:vertAlign w:val="superscript"/>
          <w:lang w:val="en-GB"/>
        </w:rPr>
        <w:t>18</w:t>
      </w:r>
      <w:r>
        <w:rPr>
          <w:rFonts w:eastAsiaTheme="minorHAnsi"/>
          <w:lang w:val="en-GB"/>
        </w:rPr>
        <w:t xml:space="preserve">O is present in the molecule </w:t>
      </w:r>
      <w:r>
        <w:rPr>
          <w:rFonts w:eastAsiaTheme="minorHAnsi"/>
          <w:vertAlign w:val="superscript"/>
          <w:lang w:val="en-GB"/>
        </w:rPr>
        <w:t>16</w:t>
      </w:r>
      <w:r>
        <w:rPr>
          <w:rFonts w:eastAsiaTheme="minorHAnsi"/>
          <w:lang w:val="en-GB"/>
        </w:rPr>
        <w:t>O</w:t>
      </w:r>
      <w:r>
        <w:rPr>
          <w:rFonts w:eastAsiaTheme="minorHAnsi"/>
          <w:vertAlign w:val="superscript"/>
          <w:lang w:val="en-GB"/>
        </w:rPr>
        <w:t>18</w:t>
      </w:r>
      <w:r>
        <w:rPr>
          <w:rFonts w:eastAsiaTheme="minorHAnsi"/>
          <w:lang w:val="en-GB"/>
        </w:rPr>
        <w:t xml:space="preserve">O, the distillation column should produce a bottom stream with 20 % </w:t>
      </w:r>
      <w:r w:rsidR="007B272B">
        <w:rPr>
          <w:rFonts w:eastAsiaTheme="minorHAnsi"/>
          <w:lang w:val="en-GB"/>
        </w:rPr>
        <w:t xml:space="preserve">of </w:t>
      </w:r>
      <w:r>
        <w:rPr>
          <w:rFonts w:eastAsiaTheme="minorHAnsi"/>
          <w:vertAlign w:val="superscript"/>
          <w:lang w:val="en-GB"/>
        </w:rPr>
        <w:t>16</w:t>
      </w:r>
      <w:r>
        <w:rPr>
          <w:rFonts w:eastAsiaTheme="minorHAnsi"/>
          <w:lang w:val="en-GB"/>
        </w:rPr>
        <w:t>O</w:t>
      </w:r>
      <w:r>
        <w:rPr>
          <w:rFonts w:eastAsiaTheme="minorHAnsi"/>
          <w:vertAlign w:val="superscript"/>
          <w:lang w:val="en-GB"/>
        </w:rPr>
        <w:t>18</w:t>
      </w:r>
      <w:r>
        <w:rPr>
          <w:rFonts w:eastAsiaTheme="minorHAnsi"/>
          <w:lang w:val="en-GB"/>
        </w:rPr>
        <w:t>O</w:t>
      </w:r>
      <w:r w:rsidR="007B272B">
        <w:rPr>
          <w:rFonts w:eastAsiaTheme="minorHAnsi"/>
          <w:lang w:val="en-GB"/>
        </w:rPr>
        <w:t xml:space="preserve"> on a molar basis</w:t>
      </w:r>
      <w:r>
        <w:rPr>
          <w:rFonts w:eastAsiaTheme="minorHAnsi"/>
          <w:lang w:val="en-GB"/>
        </w:rPr>
        <w:t>.</w:t>
      </w:r>
    </w:p>
    <w:p w14:paraId="47A68ACC" w14:textId="2E492997" w:rsidR="001442B3" w:rsidRPr="00B57B36" w:rsidRDefault="001442B3" w:rsidP="001442B3">
      <w:pPr>
        <w:pStyle w:val="CETHeading1"/>
        <w:rPr>
          <w:lang w:val="en-GB"/>
        </w:rPr>
      </w:pPr>
      <w:r>
        <w:rPr>
          <w:lang w:val="en-GB"/>
        </w:rPr>
        <w:t>Methodology</w:t>
      </w:r>
    </w:p>
    <w:p w14:paraId="2C3C0894" w14:textId="318493D3" w:rsidR="001442B3" w:rsidRPr="00B57B36" w:rsidRDefault="001442B3" w:rsidP="001442B3">
      <w:pPr>
        <w:pStyle w:val="CETheadingx"/>
      </w:pPr>
      <w:r>
        <w:t>Properties of the binary system</w:t>
      </w:r>
    </w:p>
    <w:p w14:paraId="5D2BA422" w14:textId="13889ED9" w:rsidR="0064001D" w:rsidRDefault="0064001D" w:rsidP="0064001D">
      <w:pPr>
        <w:pStyle w:val="CETBodytext"/>
      </w:pPr>
      <w:r>
        <w:t>T</w:t>
      </w:r>
      <w:r w:rsidRPr="00400591">
        <w:t xml:space="preserve">he composition of the binary mixture </w:t>
      </w:r>
      <w:r w:rsidR="00D421AC">
        <w:t xml:space="preserve">with </w:t>
      </w:r>
      <w:r w:rsidRPr="0064001D">
        <w:rPr>
          <w:vertAlign w:val="superscript"/>
        </w:rPr>
        <w:t>16</w:t>
      </w:r>
      <w:r w:rsidRPr="00400591">
        <w:t>O</w:t>
      </w:r>
      <w:r w:rsidRPr="0064001D">
        <w:rPr>
          <w:vertAlign w:val="subscript"/>
        </w:rPr>
        <w:t>2</w:t>
      </w:r>
      <w:r w:rsidRPr="00400591">
        <w:t xml:space="preserve"> </w:t>
      </w:r>
      <w:r w:rsidR="00D421AC">
        <w:t>and</w:t>
      </w:r>
      <w:r w:rsidRPr="00400591">
        <w:t xml:space="preserve"> </w:t>
      </w:r>
      <w:r w:rsidRPr="0064001D">
        <w:rPr>
          <w:vertAlign w:val="superscript"/>
        </w:rPr>
        <w:t>16</w:t>
      </w:r>
      <w:r w:rsidRPr="00400591">
        <w:t>O</w:t>
      </w:r>
      <w:r w:rsidRPr="0064001D">
        <w:rPr>
          <w:vertAlign w:val="superscript"/>
        </w:rPr>
        <w:t>18</w:t>
      </w:r>
      <w:r w:rsidRPr="00400591">
        <w:t>O</w:t>
      </w:r>
      <w:r>
        <w:t xml:space="preserve"> has been normalized by neglecting the molecules present in very low amount and by adding the amount of </w:t>
      </w:r>
      <w:r w:rsidRPr="0064001D">
        <w:rPr>
          <w:vertAlign w:val="superscript"/>
        </w:rPr>
        <w:t>16</w:t>
      </w:r>
      <w:r w:rsidRPr="00400591">
        <w:t>O</w:t>
      </w:r>
      <w:r w:rsidRPr="0064001D">
        <w:rPr>
          <w:vertAlign w:val="superscript"/>
        </w:rPr>
        <w:t>17</w:t>
      </w:r>
      <w:r w:rsidRPr="00400591">
        <w:t>O</w:t>
      </w:r>
      <w:r>
        <w:t xml:space="preserve"> </w:t>
      </w:r>
      <w:r w:rsidR="00D421AC">
        <w:t xml:space="preserve">(with a molar fraction equal to 0.00038) </w:t>
      </w:r>
      <w:r>
        <w:t xml:space="preserve">to the amount of </w:t>
      </w:r>
      <w:r>
        <w:rPr>
          <w:vertAlign w:val="superscript"/>
        </w:rPr>
        <w:t>16</w:t>
      </w:r>
      <w:r>
        <w:t>O</w:t>
      </w:r>
      <w:r>
        <w:rPr>
          <w:vertAlign w:val="subscript"/>
        </w:rPr>
        <w:t>2</w:t>
      </w:r>
      <w:r>
        <w:t xml:space="preserve">. The considered mixture is characterized by a molar fraction of </w:t>
      </w:r>
      <w:r>
        <w:rPr>
          <w:vertAlign w:val="superscript"/>
        </w:rPr>
        <w:t>16</w:t>
      </w:r>
      <w:r>
        <w:t>O</w:t>
      </w:r>
      <w:r>
        <w:rPr>
          <w:vertAlign w:val="subscript"/>
        </w:rPr>
        <w:t>2</w:t>
      </w:r>
      <w:r>
        <w:t xml:space="preserve"> and of </w:t>
      </w:r>
      <w:r>
        <w:rPr>
          <w:vertAlign w:val="superscript"/>
        </w:rPr>
        <w:t>16</w:t>
      </w:r>
      <w:r>
        <w:t>O</w:t>
      </w:r>
      <w:r>
        <w:rPr>
          <w:vertAlign w:val="superscript"/>
        </w:rPr>
        <w:t>18</w:t>
      </w:r>
      <w:r>
        <w:t xml:space="preserve">O </w:t>
      </w:r>
      <w:r w:rsidR="00D421AC">
        <w:t xml:space="preserve">as reported in </w:t>
      </w:r>
      <w:r w:rsidR="00D421AC">
        <w:fldChar w:fldCharType="begin"/>
      </w:r>
      <w:r w:rsidR="00D421AC">
        <w:instrText xml:space="preserve"> REF _Ref184766275 \h </w:instrText>
      </w:r>
      <w:r w:rsidR="00D421AC">
        <w:fldChar w:fldCharType="separate"/>
      </w:r>
      <w:r w:rsidR="00D421AC">
        <w:t xml:space="preserve">Table </w:t>
      </w:r>
      <w:r w:rsidR="00D421AC">
        <w:rPr>
          <w:noProof/>
        </w:rPr>
        <w:t>3</w:t>
      </w:r>
      <w:r w:rsidR="00D421AC">
        <w:fldChar w:fldCharType="end"/>
      </w:r>
      <w:r>
        <w:t>.</w:t>
      </w:r>
    </w:p>
    <w:p w14:paraId="37A266A0" w14:textId="2ADCD5A1" w:rsidR="00D421AC" w:rsidRPr="00B57B36" w:rsidRDefault="00D421AC" w:rsidP="00D421AC">
      <w:pPr>
        <w:pStyle w:val="CETTabletitle"/>
      </w:pPr>
      <w:bookmarkStart w:id="3" w:name="_Ref184766275"/>
      <w:r>
        <w:t xml:space="preserve">Table </w:t>
      </w:r>
      <w:r>
        <w:fldChar w:fldCharType="begin"/>
      </w:r>
      <w:r>
        <w:instrText xml:space="preserve"> SEQ Table \* ARABIC </w:instrText>
      </w:r>
      <w:r>
        <w:fldChar w:fldCharType="separate"/>
      </w:r>
      <w:r>
        <w:rPr>
          <w:noProof/>
        </w:rPr>
        <w:t>3</w:t>
      </w:r>
      <w:r>
        <w:fldChar w:fldCharType="end"/>
      </w:r>
      <w:bookmarkEnd w:id="3"/>
      <w:r w:rsidRPr="00B57B36">
        <w:t xml:space="preserve">: </w:t>
      </w:r>
      <w:r>
        <w:t xml:space="preserve">Composition of the binary mixture with </w:t>
      </w:r>
      <w:r w:rsidRPr="0064001D">
        <w:rPr>
          <w:vertAlign w:val="superscript"/>
        </w:rPr>
        <w:t>16</w:t>
      </w:r>
      <w:r w:rsidRPr="00400591">
        <w:t>O</w:t>
      </w:r>
      <w:r w:rsidRPr="0064001D">
        <w:rPr>
          <w:vertAlign w:val="subscript"/>
        </w:rPr>
        <w:t>2</w:t>
      </w:r>
      <w:r w:rsidRPr="00400591">
        <w:t xml:space="preserve"> </w:t>
      </w:r>
      <w:r>
        <w:t>and</w:t>
      </w:r>
      <w:r w:rsidRPr="00400591">
        <w:t xml:space="preserve"> </w:t>
      </w:r>
      <w:r w:rsidRPr="0064001D">
        <w:rPr>
          <w:vertAlign w:val="superscript"/>
        </w:rPr>
        <w:t>16</w:t>
      </w:r>
      <w:r w:rsidRPr="00400591">
        <w:t>O</w:t>
      </w:r>
      <w:r w:rsidRPr="0064001D">
        <w:rPr>
          <w:vertAlign w:val="superscript"/>
        </w:rPr>
        <w:t>18</w:t>
      </w:r>
      <w:r w:rsidRPr="00400591">
        <w:t>O</w:t>
      </w:r>
      <w:r>
        <w:t xml:space="preserve"> considered in this work</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2268"/>
      </w:tblGrid>
      <w:tr w:rsidR="00D421AC" w:rsidRPr="00B57B36" w14:paraId="07266276" w14:textId="77777777" w:rsidTr="00E045F8">
        <w:tc>
          <w:tcPr>
            <w:tcW w:w="2268" w:type="dxa"/>
            <w:tcBorders>
              <w:top w:val="single" w:sz="12" w:space="0" w:color="008000"/>
              <w:bottom w:val="single" w:sz="6" w:space="0" w:color="008000"/>
            </w:tcBorders>
            <w:shd w:val="clear" w:color="auto" w:fill="FFFFFF"/>
          </w:tcPr>
          <w:p w14:paraId="71ED3E24" w14:textId="77777777" w:rsidR="00D421AC" w:rsidRPr="00E15BAC" w:rsidRDefault="00D421AC" w:rsidP="00E045F8">
            <w:pPr>
              <w:pStyle w:val="CETBodytext"/>
              <w:rPr>
                <w:b/>
                <w:bCs/>
              </w:rPr>
            </w:pPr>
            <w:r>
              <w:rPr>
                <w:b/>
                <w:bCs/>
              </w:rPr>
              <w:t>Molecule</w:t>
            </w:r>
          </w:p>
        </w:tc>
        <w:tc>
          <w:tcPr>
            <w:tcW w:w="2268" w:type="dxa"/>
            <w:tcBorders>
              <w:top w:val="single" w:sz="12" w:space="0" w:color="008000"/>
              <w:bottom w:val="single" w:sz="6" w:space="0" w:color="008000"/>
            </w:tcBorders>
            <w:shd w:val="clear" w:color="auto" w:fill="FFFFFF"/>
            <w:vAlign w:val="center"/>
          </w:tcPr>
          <w:p w14:paraId="3575E6DC" w14:textId="77777777" w:rsidR="00D421AC" w:rsidRPr="00E15BAC" w:rsidRDefault="00D421AC" w:rsidP="00E045F8">
            <w:pPr>
              <w:pStyle w:val="CETBodytext"/>
              <w:rPr>
                <w:b/>
                <w:bCs/>
              </w:rPr>
            </w:pPr>
            <w:r>
              <w:rPr>
                <w:b/>
                <w:bCs/>
              </w:rPr>
              <w:t>Mole fraction</w:t>
            </w:r>
          </w:p>
        </w:tc>
      </w:tr>
      <w:tr w:rsidR="00D421AC" w:rsidRPr="00B57B36" w14:paraId="7D31B9B4" w14:textId="77777777" w:rsidTr="00E045F8">
        <w:tc>
          <w:tcPr>
            <w:tcW w:w="2268" w:type="dxa"/>
            <w:shd w:val="clear" w:color="auto" w:fill="FFFFFF"/>
            <w:vAlign w:val="center"/>
          </w:tcPr>
          <w:p w14:paraId="669C08DB" w14:textId="77777777" w:rsidR="00D421AC" w:rsidRPr="00381B95" w:rsidRDefault="00D421AC" w:rsidP="00E045F8">
            <w:pPr>
              <w:pStyle w:val="CETBodytext"/>
            </w:pPr>
            <w:r w:rsidRPr="00381B95">
              <w:rPr>
                <w:vertAlign w:val="superscript"/>
              </w:rPr>
              <w:t>16</w:t>
            </w:r>
            <w:r w:rsidRPr="00381B95">
              <w:t>O</w:t>
            </w:r>
            <w:r w:rsidRPr="00381B95">
              <w:rPr>
                <w:vertAlign w:val="subscript"/>
              </w:rPr>
              <w:t>2</w:t>
            </w:r>
          </w:p>
        </w:tc>
        <w:tc>
          <w:tcPr>
            <w:tcW w:w="2268" w:type="dxa"/>
            <w:shd w:val="clear" w:color="auto" w:fill="FFFFFF"/>
            <w:vAlign w:val="center"/>
          </w:tcPr>
          <w:p w14:paraId="0B0C980C" w14:textId="2E789AC7" w:rsidR="00D421AC" w:rsidRPr="00381B95" w:rsidRDefault="00D421AC" w:rsidP="00E045F8">
            <w:pPr>
              <w:pStyle w:val="CETBodytext"/>
            </w:pPr>
            <w:r w:rsidRPr="00381B95">
              <w:t>0.997</w:t>
            </w:r>
            <w:r>
              <w:t>95</w:t>
            </w:r>
          </w:p>
        </w:tc>
      </w:tr>
      <w:tr w:rsidR="00D421AC" w:rsidRPr="00B57B36" w14:paraId="7F9DB7CB" w14:textId="77777777" w:rsidTr="00E045F8">
        <w:tc>
          <w:tcPr>
            <w:tcW w:w="2268" w:type="dxa"/>
            <w:shd w:val="clear" w:color="auto" w:fill="FFFFFF"/>
            <w:vAlign w:val="center"/>
          </w:tcPr>
          <w:p w14:paraId="77AE3B2E" w14:textId="77777777" w:rsidR="00D421AC" w:rsidRPr="00381B95" w:rsidRDefault="00D421AC" w:rsidP="00E045F8">
            <w:pPr>
              <w:pStyle w:val="CETBodytext"/>
            </w:pPr>
            <w:r w:rsidRPr="00381B95">
              <w:rPr>
                <w:vertAlign w:val="superscript"/>
              </w:rPr>
              <w:t>16</w:t>
            </w:r>
            <w:r w:rsidRPr="00381B95">
              <w:t>O</w:t>
            </w:r>
            <w:r w:rsidRPr="00381B95">
              <w:rPr>
                <w:vertAlign w:val="superscript"/>
              </w:rPr>
              <w:t>18</w:t>
            </w:r>
            <w:r w:rsidRPr="00381B95">
              <w:t>O</w:t>
            </w:r>
          </w:p>
        </w:tc>
        <w:tc>
          <w:tcPr>
            <w:tcW w:w="2268" w:type="dxa"/>
            <w:shd w:val="clear" w:color="auto" w:fill="FFFFFF"/>
            <w:vAlign w:val="center"/>
          </w:tcPr>
          <w:p w14:paraId="7221393C" w14:textId="77777777" w:rsidR="00D421AC" w:rsidRPr="00381B95" w:rsidRDefault="00D421AC" w:rsidP="00E045F8">
            <w:pPr>
              <w:pStyle w:val="CETBodytext"/>
            </w:pPr>
            <w:r w:rsidRPr="00381B95">
              <w:t>0.00205</w:t>
            </w:r>
          </w:p>
        </w:tc>
      </w:tr>
    </w:tbl>
    <w:p w14:paraId="5E6D26C8" w14:textId="77777777" w:rsidR="00D421AC" w:rsidRDefault="00D421AC" w:rsidP="00D421AC">
      <w:pPr>
        <w:pStyle w:val="CETBodytext"/>
        <w:rPr>
          <w:sz w:val="16"/>
          <w:szCs w:val="16"/>
        </w:rPr>
      </w:pPr>
    </w:p>
    <w:p w14:paraId="206F3018" w14:textId="5F92547A" w:rsidR="0064001D" w:rsidRDefault="0064001D" w:rsidP="0064001D">
      <w:pPr>
        <w:pStyle w:val="CETBodytext"/>
      </w:pPr>
      <w:r w:rsidRPr="00400591">
        <w:t xml:space="preserve">Given the </w:t>
      </w:r>
      <w:r w:rsidR="007B272B">
        <w:t>very</w:t>
      </w:r>
      <w:r w:rsidRPr="00400591">
        <w:t xml:space="preserve"> low concentration of </w:t>
      </w:r>
      <w:r>
        <w:t xml:space="preserve">the </w:t>
      </w:r>
      <w:r w:rsidRPr="00400591">
        <w:t>heavy isotope</w:t>
      </w:r>
      <w:r>
        <w:t xml:space="preserve"> of interest (only 0.2 %)</w:t>
      </w:r>
      <w:r w:rsidR="007B272B">
        <w:t xml:space="preserve"> in the feed of the distillation column</w:t>
      </w:r>
      <w:r w:rsidRPr="00400591">
        <w:t xml:space="preserve">, the enrichment </w:t>
      </w:r>
      <w:r>
        <w:t xml:space="preserve">up to 20 % </w:t>
      </w:r>
      <w:r w:rsidRPr="00400591">
        <w:t>is very difficult to achieve</w:t>
      </w:r>
      <w:r w:rsidR="00F90471">
        <w:t xml:space="preserve"> and is a general characteristic of </w:t>
      </w:r>
      <w:r w:rsidR="007B272B">
        <w:t>separation</w:t>
      </w:r>
      <w:r w:rsidR="00F90471">
        <w:t xml:space="preserve"> of isotopes</w:t>
      </w:r>
      <w:r w:rsidRPr="00400591">
        <w:t xml:space="preserve">. </w:t>
      </w:r>
      <w:r>
        <w:t>Therefore,</w:t>
      </w:r>
      <w:r w:rsidRPr="00400591">
        <w:t xml:space="preserve"> </w:t>
      </w:r>
      <w:r>
        <w:t>a tall distillation</w:t>
      </w:r>
      <w:r w:rsidRPr="00400591">
        <w:t xml:space="preserve"> column</w:t>
      </w:r>
      <w:r>
        <w:t xml:space="preserve"> is needed, with a high reflux ratio and a low bottom product flowrate</w:t>
      </w:r>
      <w:r w:rsidR="00D421AC">
        <w:t xml:space="preserve">, as the one designed for </w:t>
      </w:r>
      <w:proofErr w:type="spellStart"/>
      <w:r w:rsidR="00D421AC">
        <w:t>Seruci</w:t>
      </w:r>
      <w:proofErr w:type="spellEnd"/>
      <w:r w:rsidR="00D421AC">
        <w:t>-I</w:t>
      </w:r>
      <w:r>
        <w:t>.</w:t>
      </w:r>
    </w:p>
    <w:p w14:paraId="2CE445E0" w14:textId="2CFB06B0" w:rsidR="001442B3" w:rsidRPr="00B57B36" w:rsidRDefault="001442B3" w:rsidP="001442B3">
      <w:pPr>
        <w:pStyle w:val="CETheadingx"/>
      </w:pPr>
      <w:r>
        <w:t>Simulation of the unit</w:t>
      </w:r>
    </w:p>
    <w:p w14:paraId="6564E1D3" w14:textId="40C7D0A7" w:rsidR="00F90471" w:rsidRPr="00F90471" w:rsidRDefault="00F90471" w:rsidP="001442B3">
      <w:pPr>
        <w:pStyle w:val="CETBodytext"/>
        <w:rPr>
          <w:rFonts w:eastAsiaTheme="minorHAnsi"/>
        </w:rPr>
      </w:pPr>
      <w:r>
        <w:rPr>
          <w:rFonts w:eastAsiaTheme="minorHAnsi"/>
        </w:rPr>
        <w:t>The commercial process simulator ASPEN Plus</w:t>
      </w:r>
      <w:r w:rsidRPr="00F90471">
        <w:rPr>
          <w:rFonts w:eastAsiaTheme="minorHAnsi"/>
          <w:vertAlign w:val="superscript"/>
        </w:rPr>
        <w:t>®</w:t>
      </w:r>
      <w:r>
        <w:rPr>
          <w:rFonts w:eastAsiaTheme="minorHAnsi"/>
        </w:rPr>
        <w:t xml:space="preserve"> </w:t>
      </w:r>
      <w:r w:rsidR="00A41B24">
        <w:rPr>
          <w:rFonts w:eastAsiaTheme="minorHAnsi"/>
        </w:rPr>
        <w:t xml:space="preserve">V14 </w:t>
      </w:r>
      <w:r>
        <w:rPr>
          <w:rFonts w:eastAsiaTheme="minorHAnsi"/>
        </w:rPr>
        <w:t>has been used for the simulation of the distillation column. It is provided by default in the database with only one molecule of O</w:t>
      </w:r>
      <w:r>
        <w:rPr>
          <w:rFonts w:eastAsiaTheme="minorHAnsi"/>
          <w:vertAlign w:val="subscript"/>
        </w:rPr>
        <w:t>2</w:t>
      </w:r>
      <w:r>
        <w:rPr>
          <w:rFonts w:eastAsiaTheme="minorHAnsi"/>
        </w:rPr>
        <w:t xml:space="preserve">, that has been assumed to be representative of the isotope </w:t>
      </w:r>
      <w:r>
        <w:rPr>
          <w:rFonts w:eastAsiaTheme="minorHAnsi"/>
          <w:vertAlign w:val="superscript"/>
        </w:rPr>
        <w:t>16</w:t>
      </w:r>
      <w:r>
        <w:rPr>
          <w:rFonts w:eastAsiaTheme="minorHAnsi"/>
        </w:rPr>
        <w:t>O</w:t>
      </w:r>
      <w:r>
        <w:rPr>
          <w:rFonts w:eastAsiaTheme="minorHAnsi"/>
          <w:vertAlign w:val="subscript"/>
        </w:rPr>
        <w:t>2</w:t>
      </w:r>
      <w:r>
        <w:rPr>
          <w:rFonts w:eastAsiaTheme="minorHAnsi"/>
        </w:rPr>
        <w:t>, the main common one. Another component</w:t>
      </w:r>
      <w:r w:rsidR="007B272B">
        <w:rPr>
          <w:rFonts w:eastAsiaTheme="minorHAnsi"/>
        </w:rPr>
        <w:t xml:space="preserve">, representing the </w:t>
      </w:r>
      <w:r w:rsidR="007B272B" w:rsidRPr="007B272B">
        <w:rPr>
          <w:rFonts w:eastAsiaTheme="minorHAnsi"/>
          <w:vertAlign w:val="superscript"/>
        </w:rPr>
        <w:t>16</w:t>
      </w:r>
      <w:r w:rsidR="007B272B">
        <w:rPr>
          <w:rFonts w:eastAsiaTheme="minorHAnsi"/>
        </w:rPr>
        <w:t>O</w:t>
      </w:r>
      <w:r w:rsidR="007B272B" w:rsidRPr="007B272B">
        <w:rPr>
          <w:rFonts w:eastAsiaTheme="minorHAnsi"/>
          <w:vertAlign w:val="superscript"/>
        </w:rPr>
        <w:t>18</w:t>
      </w:r>
      <w:r w:rsidR="007B272B">
        <w:rPr>
          <w:rFonts w:eastAsiaTheme="minorHAnsi"/>
        </w:rPr>
        <w:t xml:space="preserve">O isotope, </w:t>
      </w:r>
      <w:r>
        <w:rPr>
          <w:rFonts w:eastAsiaTheme="minorHAnsi"/>
        </w:rPr>
        <w:t>has been added to the database, with a different molecular weight because of the different atomic composition and a different vapor pressure</w:t>
      </w:r>
      <w:r w:rsidR="00A41B24">
        <w:rPr>
          <w:rFonts w:eastAsiaTheme="minorHAnsi"/>
        </w:rPr>
        <w:t xml:space="preserve">. The vapor pressure has been </w:t>
      </w:r>
      <w:r>
        <w:rPr>
          <w:rFonts w:eastAsiaTheme="minorHAnsi"/>
        </w:rPr>
        <w:t xml:space="preserve">determined on the basis of the value provided by </w:t>
      </w:r>
      <w:r>
        <w:rPr>
          <w:rFonts w:eastAsiaTheme="minorHAnsi"/>
        </w:rPr>
        <w:fldChar w:fldCharType="begin"/>
      </w:r>
      <w:r>
        <w:rPr>
          <w:rFonts w:eastAsiaTheme="minorHAnsi"/>
        </w:rPr>
        <w:instrText xml:space="preserve"> ADDIN EN.CITE &lt;EndNote&gt;&lt;Cite AuthorYear="1"&gt;&lt;Author&gt;Ancona&lt;/Author&gt;&lt;Year&gt;1962&lt;/Year&gt;&lt;RecNum&gt;4125&lt;/RecNum&gt;&lt;DisplayText&gt;Ancona et al. (1962)&lt;/DisplayText&gt;&lt;record&gt;&lt;rec-number&gt;4125&lt;/rec-number&gt;&lt;foreign-keys&gt;&lt;key app="EN" db-id="vdep529fssfr24ertz15wt2bvrvzfeta5w5v" timestamp="1733836267"&gt;4125&lt;/key&gt;&lt;/foreign-keys&gt;&lt;ref-type name="Journal Article"&gt;17&lt;/ref-type&gt;&lt;contributors&gt;&lt;authors&gt;&lt;author&gt;Ancona, E.&lt;/author&gt;&lt;author&gt;Boato, G.&lt;/author&gt;&lt;author&gt;Casanova, G.&lt;/author&gt;&lt;/authors&gt;&lt;/contributors&gt;&lt;titles&gt;&lt;title&gt;Vapour Pressure of Isotopic Liquids&lt;/title&gt;&lt;secondary-title&gt;Il nuovo Cimento&lt;/secondary-title&gt;&lt;/titles&gt;&lt;periodical&gt;&lt;full-title&gt;Il nuovo Cimento&lt;/full-title&gt;&lt;/periodical&gt;&lt;pages&gt;111-120&lt;/pages&gt;&lt;volume&gt;XXIV&lt;/volume&gt;&lt;number&gt;1&lt;/number&gt;&lt;section&gt;111&lt;/section&gt;&lt;dates&gt;&lt;year&gt;1962&lt;/year&gt;&lt;/dates&gt;&lt;urls&gt;&lt;/urls&gt;&lt;/record&gt;&lt;/Cite&gt;&lt;/EndNote&gt;</w:instrText>
      </w:r>
      <w:r>
        <w:rPr>
          <w:rFonts w:eastAsiaTheme="minorHAnsi"/>
        </w:rPr>
        <w:fldChar w:fldCharType="separate"/>
      </w:r>
      <w:r>
        <w:rPr>
          <w:rFonts w:eastAsiaTheme="minorHAnsi"/>
          <w:noProof/>
        </w:rPr>
        <w:t>Ancona et al. (1962)</w:t>
      </w:r>
      <w:r>
        <w:rPr>
          <w:rFonts w:eastAsiaTheme="minorHAnsi"/>
        </w:rPr>
        <w:fldChar w:fldCharType="end"/>
      </w:r>
      <w:r w:rsidR="00635EC6">
        <w:rPr>
          <w:rFonts w:eastAsiaTheme="minorHAnsi"/>
        </w:rPr>
        <w:t xml:space="preserve">. </w:t>
      </w:r>
      <w:r w:rsidR="00A41B24">
        <w:rPr>
          <w:rFonts w:eastAsiaTheme="minorHAnsi"/>
        </w:rPr>
        <w:t xml:space="preserve">The </w:t>
      </w:r>
      <w:r w:rsidR="00A41B24" w:rsidRPr="007B272B">
        <w:rPr>
          <w:rFonts w:eastAsiaTheme="minorHAnsi"/>
          <w:vertAlign w:val="superscript"/>
        </w:rPr>
        <w:t>16</w:t>
      </w:r>
      <w:r w:rsidR="00A41B24">
        <w:rPr>
          <w:rFonts w:eastAsiaTheme="minorHAnsi"/>
        </w:rPr>
        <w:t>O</w:t>
      </w:r>
      <w:r w:rsidR="00A41B24" w:rsidRPr="007B272B">
        <w:rPr>
          <w:rFonts w:eastAsiaTheme="minorHAnsi"/>
          <w:vertAlign w:val="superscript"/>
        </w:rPr>
        <w:t>18</w:t>
      </w:r>
      <w:r w:rsidR="00A41B24">
        <w:rPr>
          <w:rFonts w:eastAsiaTheme="minorHAnsi"/>
        </w:rPr>
        <w:t xml:space="preserve">O isotope </w:t>
      </w:r>
      <w:r w:rsidR="00635EC6">
        <w:rPr>
          <w:rFonts w:eastAsiaTheme="minorHAnsi"/>
        </w:rPr>
        <w:t xml:space="preserve">is characterized by </w:t>
      </w:r>
      <w:r>
        <w:rPr>
          <w:rFonts w:eastAsiaTheme="minorHAnsi"/>
        </w:rPr>
        <w:t>the same specific heat capacity of the vapor phase and of the liquid phase, the same heat of vaporization and the same liquid molar volume</w:t>
      </w:r>
      <w:r w:rsidR="00A41B24">
        <w:rPr>
          <w:rFonts w:eastAsiaTheme="minorHAnsi"/>
        </w:rPr>
        <w:t xml:space="preserve"> of the </w:t>
      </w:r>
      <w:proofErr w:type="spellStart"/>
      <w:r w:rsidR="00A41B24">
        <w:rPr>
          <w:rFonts w:eastAsiaTheme="minorHAnsi"/>
        </w:rPr>
        <w:t>the</w:t>
      </w:r>
      <w:proofErr w:type="spellEnd"/>
      <w:r w:rsidR="00A41B24">
        <w:rPr>
          <w:rFonts w:eastAsiaTheme="minorHAnsi"/>
        </w:rPr>
        <w:t xml:space="preserve"> </w:t>
      </w:r>
      <w:r w:rsidR="00A41B24" w:rsidRPr="007B272B">
        <w:rPr>
          <w:rFonts w:eastAsiaTheme="minorHAnsi"/>
          <w:vertAlign w:val="superscript"/>
        </w:rPr>
        <w:t>16</w:t>
      </w:r>
      <w:r w:rsidR="00A41B24">
        <w:rPr>
          <w:rFonts w:eastAsiaTheme="minorHAnsi"/>
        </w:rPr>
        <w:t>O</w:t>
      </w:r>
      <w:r w:rsidR="00A41B24">
        <w:rPr>
          <w:rFonts w:eastAsiaTheme="minorHAnsi"/>
          <w:vertAlign w:val="subscript"/>
        </w:rPr>
        <w:t>2</w:t>
      </w:r>
      <w:r w:rsidR="00A41B24">
        <w:rPr>
          <w:rFonts w:eastAsiaTheme="minorHAnsi"/>
        </w:rPr>
        <w:t xml:space="preserve"> isotope</w:t>
      </w:r>
      <w:r>
        <w:rPr>
          <w:rFonts w:eastAsiaTheme="minorHAnsi"/>
        </w:rPr>
        <w:t xml:space="preserve"> </w:t>
      </w:r>
      <w:r>
        <w:rPr>
          <w:rFonts w:eastAsiaTheme="minorHAnsi"/>
        </w:rPr>
        <w:fldChar w:fldCharType="begin"/>
      </w:r>
      <w:r>
        <w:rPr>
          <w:rFonts w:eastAsiaTheme="minorHAnsi"/>
        </w:rPr>
        <w:instrText xml:space="preserve"> ADDIN EN.CITE &lt;EndNote&gt;&lt;Cite&gt;&lt;Author&gt;Baraldi&lt;/Author&gt;&lt;Year&gt;2024&lt;/Year&gt;&lt;RecNum&gt;4126&lt;/RecNum&gt;&lt;DisplayText&gt;(Baraldi, 2024)&lt;/DisplayText&gt;&lt;record&gt;&lt;rec-number&gt;4126&lt;/rec-number&gt;&lt;foreign-keys&gt;&lt;key app="EN" db-id="vdep529fssfr24ertz15wt2bvrvzfeta5w5v" timestamp="1733836451"&gt;4126&lt;/key&gt;&lt;/foreign-keys&gt;&lt;ref-type name="Thesis"&gt;32&lt;/ref-type&gt;&lt;contributors&gt;&lt;authors&gt;&lt;author&gt;Baraldi, L.&lt;/author&gt;&lt;/authors&gt;&lt;/contributors&gt;&lt;titles&gt;&lt;title&gt;&lt;style face="normal" font="default" size="100%"&gt;Study of O&lt;/style&gt;&lt;style face="subscript" font="default" size="100%"&gt;2&lt;/style&gt;&lt;style face="normal" font="default" size="100%"&gt; Cryogenic Distillation for Stable Isotopes Production&lt;/style&gt;&lt;/title&gt;&lt;/titles&gt;&lt;volume&gt;MSc Thesis&lt;/volume&gt;&lt;dates&gt;&lt;year&gt;2024&lt;/year&gt;&lt;/dates&gt;&lt;publisher&gt;Politecnico di Milano&lt;/publisher&gt;&lt;work-type&gt;MSc Thesis&lt;/work-type&gt;&lt;urls&gt;&lt;/urls&gt;&lt;/record&gt;&lt;/Cite&gt;&lt;/EndNote&gt;</w:instrText>
      </w:r>
      <w:r>
        <w:rPr>
          <w:rFonts w:eastAsiaTheme="minorHAnsi"/>
        </w:rPr>
        <w:fldChar w:fldCharType="separate"/>
      </w:r>
      <w:r>
        <w:rPr>
          <w:rFonts w:eastAsiaTheme="minorHAnsi"/>
          <w:noProof/>
        </w:rPr>
        <w:t>(Baraldi, 2024)</w:t>
      </w:r>
      <w:r>
        <w:rPr>
          <w:rFonts w:eastAsiaTheme="minorHAnsi"/>
        </w:rPr>
        <w:fldChar w:fldCharType="end"/>
      </w:r>
      <w:r>
        <w:rPr>
          <w:rFonts w:eastAsiaTheme="minorHAnsi"/>
        </w:rPr>
        <w:t>.</w:t>
      </w:r>
    </w:p>
    <w:p w14:paraId="7E1381AE" w14:textId="3EBE576B" w:rsidR="001442B3" w:rsidRDefault="00100139" w:rsidP="001442B3">
      <w:pPr>
        <w:pStyle w:val="CETBodytext"/>
        <w:rPr>
          <w:rFonts w:eastAsiaTheme="minorHAnsi"/>
        </w:rPr>
      </w:pPr>
      <w:r>
        <w:rPr>
          <w:rFonts w:eastAsiaTheme="minorHAnsi"/>
        </w:rPr>
        <w:t xml:space="preserve">The </w:t>
      </w:r>
      <w:proofErr w:type="spellStart"/>
      <w:r>
        <w:rPr>
          <w:rFonts w:eastAsiaTheme="minorHAnsi"/>
        </w:rPr>
        <w:t>Seruci</w:t>
      </w:r>
      <w:proofErr w:type="spellEnd"/>
      <w:r>
        <w:rPr>
          <w:rFonts w:eastAsiaTheme="minorHAnsi"/>
        </w:rPr>
        <w:t xml:space="preserve">-I column is provided with 28 central modules, each one of height equal to 10.28 m and diameter of 0.71 m, with an internal packing characterized by a </w:t>
      </w:r>
      <w:r w:rsidR="009407E0">
        <w:rPr>
          <w:rFonts w:eastAsiaTheme="minorHAnsi"/>
        </w:rPr>
        <w:t>H</w:t>
      </w:r>
      <w:r w:rsidR="009407E0" w:rsidRPr="009407E0">
        <w:rPr>
          <w:rFonts w:eastAsiaTheme="minorHAnsi"/>
        </w:rPr>
        <w:t xml:space="preserve">eight </w:t>
      </w:r>
      <w:r w:rsidR="009407E0">
        <w:rPr>
          <w:rFonts w:eastAsiaTheme="minorHAnsi"/>
        </w:rPr>
        <w:t>E</w:t>
      </w:r>
      <w:r w:rsidR="009407E0" w:rsidRPr="009407E0">
        <w:rPr>
          <w:rFonts w:eastAsiaTheme="minorHAnsi"/>
        </w:rPr>
        <w:t xml:space="preserve">quivalent </w:t>
      </w:r>
      <w:r w:rsidR="00BA0B0C">
        <w:rPr>
          <w:rFonts w:eastAsiaTheme="minorHAnsi"/>
        </w:rPr>
        <w:t>to</w:t>
      </w:r>
      <w:r w:rsidR="009407E0" w:rsidRPr="009407E0">
        <w:rPr>
          <w:rFonts w:eastAsiaTheme="minorHAnsi"/>
        </w:rPr>
        <w:t xml:space="preserve"> a </w:t>
      </w:r>
      <w:r w:rsidR="009407E0">
        <w:rPr>
          <w:rFonts w:eastAsiaTheme="minorHAnsi"/>
        </w:rPr>
        <w:t>T</w:t>
      </w:r>
      <w:r w:rsidR="009407E0" w:rsidRPr="009407E0">
        <w:rPr>
          <w:rFonts w:eastAsiaTheme="minorHAnsi"/>
        </w:rPr>
        <w:t xml:space="preserve">heoretical </w:t>
      </w:r>
      <w:r w:rsidR="009407E0">
        <w:rPr>
          <w:rFonts w:eastAsiaTheme="minorHAnsi"/>
        </w:rPr>
        <w:t>P</w:t>
      </w:r>
      <w:r w:rsidR="009407E0" w:rsidRPr="009407E0">
        <w:rPr>
          <w:rFonts w:eastAsiaTheme="minorHAnsi"/>
        </w:rPr>
        <w:t xml:space="preserve">late </w:t>
      </w:r>
      <w:r w:rsidR="009407E0">
        <w:rPr>
          <w:rFonts w:eastAsiaTheme="minorHAnsi"/>
        </w:rPr>
        <w:t>(</w:t>
      </w:r>
      <w:r>
        <w:rPr>
          <w:rFonts w:eastAsiaTheme="minorHAnsi"/>
        </w:rPr>
        <w:t>HETP</w:t>
      </w:r>
      <w:r w:rsidR="009407E0">
        <w:rPr>
          <w:rFonts w:eastAsiaTheme="minorHAnsi"/>
        </w:rPr>
        <w:t>)</w:t>
      </w:r>
      <w:r>
        <w:rPr>
          <w:rFonts w:eastAsiaTheme="minorHAnsi"/>
        </w:rPr>
        <w:t xml:space="preserve"> of 10 cm, in addition to be provided with a top module and a bottom module and liquid distributors. The total column height is equal to 349 m and the total number of theoretical stages is 2871.</w:t>
      </w:r>
    </w:p>
    <w:p w14:paraId="5A80E6EF" w14:textId="66F2830F" w:rsidR="00054841" w:rsidRDefault="00100139" w:rsidP="00100139">
      <w:pPr>
        <w:pStyle w:val="CETBodytext"/>
      </w:pPr>
      <w:r w:rsidRPr="00400591">
        <w:t xml:space="preserve">The DSTWU column </w:t>
      </w:r>
      <w:r>
        <w:t xml:space="preserve">has been employed for the simulation in this work. It </w:t>
      </w:r>
      <w:r w:rsidRPr="00400591">
        <w:t xml:space="preserve">performs a Winn-Underwood-Gilliland shortcut design calculation for a distillation column, with a partial or </w:t>
      </w:r>
      <w:r w:rsidR="00C461D0">
        <w:t xml:space="preserve">a </w:t>
      </w:r>
      <w:r w:rsidRPr="00400591">
        <w:t>total condenser</w:t>
      </w:r>
      <w:r w:rsidR="00CB1E69">
        <w:t xml:space="preserve"> and with a </w:t>
      </w:r>
      <w:r w:rsidR="00CB1E69" w:rsidRPr="00400591">
        <w:t>single feed</w:t>
      </w:r>
      <w:r w:rsidR="00CB1E69">
        <w:t xml:space="preserve"> and</w:t>
      </w:r>
      <w:r w:rsidR="00CB1E69" w:rsidRPr="00400591">
        <w:t xml:space="preserve"> two products</w:t>
      </w:r>
      <w:r w:rsidR="00CB1E69">
        <w:t>.</w:t>
      </w:r>
      <w:r w:rsidRPr="00400591">
        <w:t xml:space="preserve"> For the specified recovery of the light and the heavy key components</w:t>
      </w:r>
      <w:r w:rsidR="00C461D0">
        <w:t xml:space="preserve">, </w:t>
      </w:r>
      <w:r w:rsidRPr="00400591">
        <w:t>the minimum number of theoretical stages with</w:t>
      </w:r>
      <w:r w:rsidR="00CB1E69">
        <w:t xml:space="preserve"> the</w:t>
      </w:r>
      <w:r w:rsidRPr="00400591">
        <w:t xml:space="preserve"> Winn correlation, the minimum reflux ratio with </w:t>
      </w:r>
      <w:r w:rsidR="00CB1E69">
        <w:t xml:space="preserve">the </w:t>
      </w:r>
      <w:r w:rsidRPr="00400591">
        <w:t>Underwood correlation</w:t>
      </w:r>
      <w:r w:rsidR="00CB1E69">
        <w:t>s</w:t>
      </w:r>
      <w:r w:rsidRPr="00400591">
        <w:t>, the required reflux ratio for a specified number of theoretical stages</w:t>
      </w:r>
      <w:r w:rsidR="00CB1E69">
        <w:t xml:space="preserve"> </w:t>
      </w:r>
      <w:r w:rsidRPr="00400591">
        <w:t xml:space="preserve">or the required number of stages for a specified reflux ratio with </w:t>
      </w:r>
      <w:r w:rsidR="00CB1E69">
        <w:t xml:space="preserve">the </w:t>
      </w:r>
      <w:r w:rsidRPr="00400591">
        <w:t>Gilliland method</w:t>
      </w:r>
      <w:r w:rsidR="00C461D0">
        <w:t xml:space="preserve"> are estimated</w:t>
      </w:r>
      <w:r w:rsidRPr="00400591">
        <w:t>.</w:t>
      </w:r>
    </w:p>
    <w:p w14:paraId="4753F909" w14:textId="2FCDDA71" w:rsidR="00100139" w:rsidRPr="00400591" w:rsidRDefault="00054841" w:rsidP="00100139">
      <w:pPr>
        <w:pStyle w:val="CETBodytext"/>
      </w:pPr>
      <w:r>
        <w:t>I</w:t>
      </w:r>
      <w:r w:rsidR="00CB1E69">
        <w:t xml:space="preserve">n this work, the number of stages has been set equal to the one of the </w:t>
      </w:r>
      <w:proofErr w:type="spellStart"/>
      <w:r w:rsidR="00CB1E69">
        <w:t>Seruci</w:t>
      </w:r>
      <w:proofErr w:type="spellEnd"/>
      <w:r w:rsidR="00CB1E69">
        <w:t xml:space="preserve">-I distillation </w:t>
      </w:r>
      <w:proofErr w:type="gramStart"/>
      <w:r w:rsidR="00CB1E69">
        <w:t>column</w:t>
      </w:r>
      <w:proofErr w:type="gramEnd"/>
      <w:r w:rsidR="00CB1E69">
        <w:t xml:space="preserve"> and the reflux ratio has been determined for different recovery ratios </w:t>
      </w:r>
      <w:r w:rsidR="00C461D0">
        <w:t xml:space="preserve">(from 60 % to 99 %) in the bottom product </w:t>
      </w:r>
      <w:r w:rsidR="00CB1E69">
        <w:t>of the heavy isotope of interest. Then, the maximum feed that can be provided on the basis of fluid dynamic performances has been determined and the productivity of the unit has been analyzed.</w:t>
      </w:r>
    </w:p>
    <w:p w14:paraId="5920CC2F" w14:textId="4AF7E332" w:rsidR="001442B3" w:rsidRDefault="001442B3" w:rsidP="001442B3">
      <w:pPr>
        <w:pStyle w:val="CETHeading1"/>
        <w:rPr>
          <w:lang w:val="en-GB"/>
        </w:rPr>
      </w:pPr>
      <w:r>
        <w:rPr>
          <w:lang w:val="en-GB"/>
        </w:rPr>
        <w:t>Results and Discussion</w:t>
      </w:r>
    </w:p>
    <w:p w14:paraId="07B3C9F5" w14:textId="766B023A" w:rsidR="0064001D" w:rsidRPr="00400591" w:rsidRDefault="0064001D" w:rsidP="006217AA">
      <w:r w:rsidRPr="00400591">
        <w:t xml:space="preserve">Firstly, the minimum number of stages </w:t>
      </w:r>
      <w:r w:rsidR="00412B61">
        <w:t>(</w:t>
      </w:r>
      <w:r w:rsidRPr="00400591">
        <w:t>reported in</w:t>
      </w:r>
      <w:r w:rsidR="00412B61">
        <w:t xml:space="preserve"> </w:t>
      </w:r>
      <w:r w:rsidR="00412B61">
        <w:fldChar w:fldCharType="begin"/>
      </w:r>
      <w:r w:rsidR="00412B61">
        <w:instrText xml:space="preserve"> REF _Ref184763335 \h </w:instrText>
      </w:r>
      <w:r w:rsidR="00412B61">
        <w:fldChar w:fldCharType="separate"/>
      </w:r>
      <w:r w:rsidR="00412B61">
        <w:t xml:space="preserve">Figure </w:t>
      </w:r>
      <w:r w:rsidR="00412B61">
        <w:rPr>
          <w:noProof/>
        </w:rPr>
        <w:t>1</w:t>
      </w:r>
      <w:r w:rsidR="00412B61">
        <w:fldChar w:fldCharType="end"/>
      </w:r>
      <w:r w:rsidR="00412B61">
        <w:t xml:space="preserve">a)) </w:t>
      </w:r>
      <w:r w:rsidRPr="00400591">
        <w:t xml:space="preserve">required for the separation has </w:t>
      </w:r>
      <w:r>
        <w:t>been</w:t>
      </w:r>
      <w:r w:rsidRPr="00400591">
        <w:t xml:space="preserve"> checked. </w:t>
      </w:r>
      <w:r>
        <w:t>T</w:t>
      </w:r>
      <w:r w:rsidRPr="00400591">
        <w:t>he required binary distillation is possible</w:t>
      </w:r>
      <w:r>
        <w:t xml:space="preserve"> for every recovery ratio</w:t>
      </w:r>
      <w:r w:rsidR="00412B61">
        <w:t xml:space="preserve"> of the heavy isotope </w:t>
      </w:r>
      <w:r w:rsidR="00412B61">
        <w:rPr>
          <w:vertAlign w:val="superscript"/>
        </w:rPr>
        <w:t>16</w:t>
      </w:r>
      <w:r w:rsidR="00412B61">
        <w:t>O</w:t>
      </w:r>
      <w:r w:rsidR="00412B61">
        <w:rPr>
          <w:vertAlign w:val="superscript"/>
        </w:rPr>
        <w:t>18</w:t>
      </w:r>
      <w:r w:rsidR="00412B61">
        <w:t>O</w:t>
      </w:r>
      <w:r w:rsidRPr="00400591">
        <w:t xml:space="preserve">, </w:t>
      </w:r>
      <w:r>
        <w:t>because</w:t>
      </w:r>
      <w:r w:rsidRPr="00400591">
        <w:t xml:space="preserve"> the minimum number of stages is always lower than the number of available ones from </w:t>
      </w:r>
      <w:proofErr w:type="spellStart"/>
      <w:r w:rsidRPr="00400591">
        <w:t>Seruci</w:t>
      </w:r>
      <w:proofErr w:type="spellEnd"/>
      <w:r w:rsidRPr="00400591">
        <w:t>-I.</w:t>
      </w:r>
    </w:p>
    <w:p w14:paraId="5E2162DB" w14:textId="77777777" w:rsidR="00D421AC" w:rsidRDefault="00D421AC" w:rsidP="00D421AC">
      <w:pPr>
        <w:pStyle w:val="CETBodytext"/>
      </w:pPr>
      <w:r>
        <w:t>The</w:t>
      </w:r>
      <w:r w:rsidRPr="00400591">
        <w:t xml:space="preserve"> molar </w:t>
      </w:r>
      <w:r>
        <w:t xml:space="preserve">fraction of </w:t>
      </w:r>
      <w:r>
        <w:rPr>
          <w:vertAlign w:val="superscript"/>
        </w:rPr>
        <w:t>16</w:t>
      </w:r>
      <w:r>
        <w:t>O</w:t>
      </w:r>
      <w:r>
        <w:rPr>
          <w:vertAlign w:val="subscript"/>
        </w:rPr>
        <w:t>2</w:t>
      </w:r>
      <w:r w:rsidRPr="00400591">
        <w:t xml:space="preserve"> </w:t>
      </w:r>
      <w:r>
        <w:t>in</w:t>
      </w:r>
      <w:r w:rsidRPr="00400591">
        <w:t xml:space="preserve"> </w:t>
      </w:r>
      <w:r>
        <w:t xml:space="preserve">the distillate product slightly increases as the recovery ratio of </w:t>
      </w:r>
      <w:r>
        <w:rPr>
          <w:vertAlign w:val="superscript"/>
        </w:rPr>
        <w:t>16</w:t>
      </w:r>
      <w:r>
        <w:t>O</w:t>
      </w:r>
      <w:r>
        <w:rPr>
          <w:vertAlign w:val="superscript"/>
        </w:rPr>
        <w:t>18</w:t>
      </w:r>
      <w:r>
        <w:t xml:space="preserve">O increases because more </w:t>
      </w:r>
      <w:r>
        <w:rPr>
          <w:vertAlign w:val="superscript"/>
        </w:rPr>
        <w:t>16</w:t>
      </w:r>
      <w:r>
        <w:t>O</w:t>
      </w:r>
      <w:r>
        <w:rPr>
          <w:vertAlign w:val="superscript"/>
        </w:rPr>
        <w:t>18</w:t>
      </w:r>
      <w:r>
        <w:t>O is recovered in the bottom product (</w:t>
      </w:r>
      <w:r>
        <w:fldChar w:fldCharType="begin"/>
      </w:r>
      <w:r>
        <w:instrText xml:space="preserve"> REF _Ref184765033 \h </w:instrText>
      </w:r>
      <w:r>
        <w:fldChar w:fldCharType="separate"/>
      </w:r>
      <w:r>
        <w:t xml:space="preserve">Figure </w:t>
      </w:r>
      <w:r>
        <w:rPr>
          <w:noProof/>
        </w:rPr>
        <w:t>2</w:t>
      </w:r>
      <w:r>
        <w:fldChar w:fldCharType="end"/>
      </w:r>
      <w:r>
        <w:t xml:space="preserve">). The distillate stream, also for a recovery ratio equal to 60%, is characterized by a molar fraction of the light isotope </w:t>
      </w:r>
      <w:r>
        <w:rPr>
          <w:vertAlign w:val="superscript"/>
        </w:rPr>
        <w:t>16</w:t>
      </w:r>
      <w:r>
        <w:t>O</w:t>
      </w:r>
      <w:r>
        <w:rPr>
          <w:vertAlign w:val="subscript"/>
        </w:rPr>
        <w:t>2</w:t>
      </w:r>
      <w:r>
        <w:t xml:space="preserve"> equal to more than 0.999. The molar compositions of the bottom product do not change because of the specification of molar fraction of </w:t>
      </w:r>
      <w:r>
        <w:rPr>
          <w:vertAlign w:val="superscript"/>
        </w:rPr>
        <w:t>16</w:t>
      </w:r>
      <w:r>
        <w:t>O</w:t>
      </w:r>
      <w:r>
        <w:rPr>
          <w:vertAlign w:val="superscript"/>
        </w:rPr>
        <w:t>18</w:t>
      </w:r>
      <w:r>
        <w:t>O equal to 0.20.</w:t>
      </w:r>
    </w:p>
    <w:p w14:paraId="3F62AA1C" w14:textId="46C51E4A" w:rsidR="00CB1E69" w:rsidRPr="00B57B36" w:rsidRDefault="00DF1B6D" w:rsidP="00CB1E69">
      <w:pPr>
        <w:pStyle w:val="CETCaption"/>
      </w:pPr>
      <w:r w:rsidRPr="00DF1B6D">
        <w:rPr>
          <w:noProof/>
        </w:rPr>
        <w:lastRenderedPageBreak/>
        <w:drawing>
          <wp:inline distT="0" distB="0" distL="0" distR="0" wp14:anchorId="07C3D072" wp14:editId="152E49A0">
            <wp:extent cx="2664000" cy="2086567"/>
            <wp:effectExtent l="0" t="0" r="317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4000" cy="2086567"/>
                    </a:xfrm>
                    <a:prstGeom prst="rect">
                      <a:avLst/>
                    </a:prstGeom>
                    <a:noFill/>
                    <a:ln>
                      <a:noFill/>
                    </a:ln>
                  </pic:spPr>
                </pic:pic>
              </a:graphicData>
            </a:graphic>
          </wp:inline>
        </w:drawing>
      </w:r>
      <w:r w:rsidR="00412B61" w:rsidRPr="00412B61">
        <w:rPr>
          <w:i w:val="0"/>
          <w:iCs/>
        </w:rPr>
        <w:t>a)</w:t>
      </w:r>
      <w:r w:rsidR="00412B61" w:rsidRPr="00412B61">
        <w:rPr>
          <w:noProof/>
        </w:rPr>
        <w:drawing>
          <wp:inline distT="0" distB="0" distL="0" distR="0" wp14:anchorId="51B28E25" wp14:editId="7F3DBE1F">
            <wp:extent cx="2664000" cy="2088905"/>
            <wp:effectExtent l="0" t="0" r="3175" b="698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4000" cy="2088905"/>
                    </a:xfrm>
                    <a:prstGeom prst="rect">
                      <a:avLst/>
                    </a:prstGeom>
                    <a:noFill/>
                    <a:ln>
                      <a:noFill/>
                    </a:ln>
                  </pic:spPr>
                </pic:pic>
              </a:graphicData>
            </a:graphic>
          </wp:inline>
        </w:drawing>
      </w:r>
      <w:r w:rsidR="00412B61">
        <w:rPr>
          <w:i w:val="0"/>
        </w:rPr>
        <w:t>b)</w:t>
      </w:r>
    </w:p>
    <w:p w14:paraId="4724B97B" w14:textId="2CC6CB30" w:rsidR="00CB1E69" w:rsidRDefault="00412B61" w:rsidP="00412B61">
      <w:pPr>
        <w:pStyle w:val="CETCaption"/>
        <w:rPr>
          <w:rStyle w:val="CETCaptionCarattere"/>
          <w:i/>
        </w:rPr>
      </w:pPr>
      <w:bookmarkStart w:id="4" w:name="_Ref184763335"/>
      <w:r>
        <w:t xml:space="preserve">Figure </w:t>
      </w:r>
      <w:r>
        <w:fldChar w:fldCharType="begin"/>
      </w:r>
      <w:r>
        <w:instrText xml:space="preserve"> SEQ Figure \* ARABIC </w:instrText>
      </w:r>
      <w:r>
        <w:fldChar w:fldCharType="separate"/>
      </w:r>
      <w:r>
        <w:rPr>
          <w:noProof/>
        </w:rPr>
        <w:t>1</w:t>
      </w:r>
      <w:r>
        <w:fldChar w:fldCharType="end"/>
      </w:r>
      <w:bookmarkEnd w:id="4"/>
      <w:r w:rsidR="00CB1E69" w:rsidRPr="00BD077D">
        <w:rPr>
          <w:rStyle w:val="CETCaptionCarattere"/>
          <w:i/>
        </w:rPr>
        <w:t xml:space="preserve">: </w:t>
      </w:r>
      <w:r>
        <w:rPr>
          <w:rStyle w:val="CETCaptionCarattere"/>
          <w:i/>
        </w:rPr>
        <w:t xml:space="preserve">Variation a) </w:t>
      </w:r>
      <w:r w:rsidR="0078239D">
        <w:rPr>
          <w:rStyle w:val="CETCaptionCarattere"/>
          <w:i/>
        </w:rPr>
        <w:t xml:space="preserve">of </w:t>
      </w:r>
      <w:r>
        <w:rPr>
          <w:rStyle w:val="CETCaptionCarattere"/>
          <w:i/>
        </w:rPr>
        <w:t>the m</w:t>
      </w:r>
      <w:r w:rsidR="00CB1E69" w:rsidRPr="00CB1E69">
        <w:rPr>
          <w:rStyle w:val="CETCaptionCarattere"/>
          <w:i/>
        </w:rPr>
        <w:t xml:space="preserve">inimum </w:t>
      </w:r>
      <w:r>
        <w:rPr>
          <w:rStyle w:val="CETCaptionCarattere"/>
          <w:i/>
        </w:rPr>
        <w:t>n</w:t>
      </w:r>
      <w:r w:rsidR="00CB1E69" w:rsidRPr="00CB1E69">
        <w:rPr>
          <w:rStyle w:val="CETCaptionCarattere"/>
          <w:i/>
        </w:rPr>
        <w:t xml:space="preserve">umber of </w:t>
      </w:r>
      <w:r>
        <w:rPr>
          <w:rStyle w:val="CETCaptionCarattere"/>
          <w:i/>
        </w:rPr>
        <w:t>s</w:t>
      </w:r>
      <w:r w:rsidR="00CB1E69" w:rsidRPr="00CB1E69">
        <w:rPr>
          <w:rStyle w:val="CETCaptionCarattere"/>
          <w:i/>
        </w:rPr>
        <w:t xml:space="preserve">tages </w:t>
      </w:r>
      <w:r>
        <w:rPr>
          <w:rStyle w:val="CETCaptionCarattere"/>
          <w:i/>
        </w:rPr>
        <w:t xml:space="preserve">and b) </w:t>
      </w:r>
      <w:r w:rsidR="0078239D">
        <w:rPr>
          <w:rStyle w:val="CETCaptionCarattere"/>
          <w:i/>
        </w:rPr>
        <w:t xml:space="preserve">of </w:t>
      </w:r>
      <w:r>
        <w:rPr>
          <w:rStyle w:val="CETCaptionCarattere"/>
          <w:i/>
        </w:rPr>
        <w:t xml:space="preserve">the reflux ratio as the recovery ratio of </w:t>
      </w:r>
      <w:r w:rsidRPr="00412B61">
        <w:rPr>
          <w:rStyle w:val="CETCaptionCarattere"/>
          <w:i/>
          <w:vertAlign w:val="superscript"/>
        </w:rPr>
        <w:t>16</w:t>
      </w:r>
      <w:r w:rsidRPr="00412B61">
        <w:rPr>
          <w:rStyle w:val="CETCaptionCarattere"/>
          <w:i/>
        </w:rPr>
        <w:t>O</w:t>
      </w:r>
      <w:r w:rsidRPr="00412B61">
        <w:rPr>
          <w:rStyle w:val="CETCaptionCarattere"/>
          <w:i/>
          <w:vertAlign w:val="superscript"/>
        </w:rPr>
        <w:t>18</w:t>
      </w:r>
      <w:r>
        <w:rPr>
          <w:rStyle w:val="CETCaptionCarattere"/>
          <w:i/>
        </w:rPr>
        <w:t xml:space="preserve">O </w:t>
      </w:r>
      <w:r w:rsidR="004A6896">
        <w:rPr>
          <w:rStyle w:val="CETCaptionCarattere"/>
          <w:i/>
        </w:rPr>
        <w:t xml:space="preserve">in the bottom stream </w:t>
      </w:r>
      <w:r>
        <w:rPr>
          <w:rStyle w:val="CETCaptionCarattere"/>
          <w:i/>
        </w:rPr>
        <w:t>varies</w:t>
      </w:r>
      <w:r w:rsidR="004A6896">
        <w:rPr>
          <w:rStyle w:val="CETCaptionCarattere"/>
          <w:i/>
        </w:rPr>
        <w:t>,</w:t>
      </w:r>
      <w:r>
        <w:rPr>
          <w:rStyle w:val="CETCaptionCarattere"/>
          <w:i/>
        </w:rPr>
        <w:t xml:space="preserve"> obtained</w:t>
      </w:r>
      <w:r w:rsidR="00CB1E69" w:rsidRPr="00CB1E69">
        <w:rPr>
          <w:rStyle w:val="CETCaptionCarattere"/>
          <w:i/>
        </w:rPr>
        <w:t xml:space="preserve"> with </w:t>
      </w:r>
      <w:r w:rsidR="00DF1B6D">
        <w:rPr>
          <w:rStyle w:val="CETCaptionCarattere"/>
          <w:i/>
        </w:rPr>
        <w:t xml:space="preserve">a molar fraction of </w:t>
      </w:r>
      <w:r w:rsidR="00CB1E69" w:rsidRPr="00CB1E69">
        <w:rPr>
          <w:rStyle w:val="CETCaptionCarattere"/>
          <w:i/>
        </w:rPr>
        <w:t xml:space="preserve">20% of </w:t>
      </w:r>
      <w:r w:rsidR="00CB1E69" w:rsidRPr="00DF1B6D">
        <w:rPr>
          <w:rStyle w:val="CETCaptionCarattere"/>
          <w:i/>
          <w:vertAlign w:val="superscript"/>
        </w:rPr>
        <w:t>16</w:t>
      </w:r>
      <w:r w:rsidR="00CB1E69" w:rsidRPr="00CB1E69">
        <w:rPr>
          <w:rStyle w:val="CETCaptionCarattere"/>
          <w:i/>
        </w:rPr>
        <w:t>O</w:t>
      </w:r>
      <w:r w:rsidR="00CB1E69" w:rsidRPr="00DF1B6D">
        <w:rPr>
          <w:rStyle w:val="CETCaptionCarattere"/>
          <w:i/>
          <w:vertAlign w:val="superscript"/>
        </w:rPr>
        <w:t>18</w:t>
      </w:r>
      <w:r w:rsidR="00CB1E69" w:rsidRPr="00CB1E69">
        <w:rPr>
          <w:rStyle w:val="CETCaptionCarattere"/>
          <w:i/>
        </w:rPr>
        <w:t xml:space="preserve">O in the </w:t>
      </w:r>
      <w:r>
        <w:rPr>
          <w:rStyle w:val="CETCaptionCarattere"/>
          <w:i/>
        </w:rPr>
        <w:t>b</w:t>
      </w:r>
      <w:r w:rsidR="00CB1E69" w:rsidRPr="00CB1E69">
        <w:rPr>
          <w:rStyle w:val="CETCaptionCarattere"/>
          <w:i/>
        </w:rPr>
        <w:t>ottom</w:t>
      </w:r>
      <w:r>
        <w:rPr>
          <w:rStyle w:val="CETCaptionCarattere"/>
          <w:i/>
        </w:rPr>
        <w:t xml:space="preserve"> product</w:t>
      </w:r>
    </w:p>
    <w:p w14:paraId="28BFC493" w14:textId="5EB33BB6" w:rsidR="000F64B5" w:rsidRPr="000F64B5" w:rsidRDefault="000F64B5" w:rsidP="000F64B5">
      <w:pPr>
        <w:pStyle w:val="CETCaption"/>
        <w:rPr>
          <w:i w:val="0"/>
        </w:rPr>
      </w:pPr>
      <w:r w:rsidRPr="000F64B5">
        <w:rPr>
          <w:noProof/>
        </w:rPr>
        <w:drawing>
          <wp:inline distT="0" distB="0" distL="0" distR="0" wp14:anchorId="1174097C" wp14:editId="283CAD02">
            <wp:extent cx="2664000" cy="2088907"/>
            <wp:effectExtent l="0" t="0" r="3175" b="698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4000" cy="2088907"/>
                    </a:xfrm>
                    <a:prstGeom prst="rect">
                      <a:avLst/>
                    </a:prstGeom>
                    <a:noFill/>
                    <a:ln>
                      <a:noFill/>
                    </a:ln>
                  </pic:spPr>
                </pic:pic>
              </a:graphicData>
            </a:graphic>
          </wp:inline>
        </w:drawing>
      </w:r>
      <w:r>
        <w:rPr>
          <w:i w:val="0"/>
          <w:iCs/>
        </w:rPr>
        <w:t>a)</w:t>
      </w:r>
      <w:r w:rsidRPr="000F64B5">
        <w:rPr>
          <w:iCs/>
        </w:rPr>
        <w:t xml:space="preserve"> </w:t>
      </w:r>
      <w:r w:rsidRPr="000F64B5">
        <w:rPr>
          <w:noProof/>
        </w:rPr>
        <w:drawing>
          <wp:inline distT="0" distB="0" distL="0" distR="0" wp14:anchorId="503F8E75" wp14:editId="38EF6B7A">
            <wp:extent cx="2664000" cy="2088907"/>
            <wp:effectExtent l="0" t="0" r="3175" b="698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4000" cy="2088907"/>
                    </a:xfrm>
                    <a:prstGeom prst="rect">
                      <a:avLst/>
                    </a:prstGeom>
                    <a:noFill/>
                    <a:ln>
                      <a:noFill/>
                    </a:ln>
                  </pic:spPr>
                </pic:pic>
              </a:graphicData>
            </a:graphic>
          </wp:inline>
        </w:drawing>
      </w:r>
      <w:r>
        <w:rPr>
          <w:i w:val="0"/>
        </w:rPr>
        <w:t>b)</w:t>
      </w:r>
    </w:p>
    <w:p w14:paraId="5FE50D5F" w14:textId="49E20F64" w:rsidR="000F64B5" w:rsidRPr="00BD077D" w:rsidRDefault="000F64B5" w:rsidP="000F64B5">
      <w:pPr>
        <w:pStyle w:val="CETCaption"/>
      </w:pPr>
      <w:bookmarkStart w:id="5" w:name="_Ref184765033"/>
      <w:r>
        <w:t xml:space="preserve">Figure </w:t>
      </w:r>
      <w:r>
        <w:fldChar w:fldCharType="begin"/>
      </w:r>
      <w:r>
        <w:instrText xml:space="preserve"> SEQ Figure \* ARABIC </w:instrText>
      </w:r>
      <w:r>
        <w:fldChar w:fldCharType="separate"/>
      </w:r>
      <w:r>
        <w:rPr>
          <w:noProof/>
        </w:rPr>
        <w:t>2</w:t>
      </w:r>
      <w:r>
        <w:fldChar w:fldCharType="end"/>
      </w:r>
      <w:bookmarkEnd w:id="5"/>
      <w:r w:rsidRPr="00BD077D">
        <w:rPr>
          <w:rStyle w:val="CETCaptionCarattere"/>
          <w:i/>
        </w:rPr>
        <w:t xml:space="preserve">: </w:t>
      </w:r>
      <w:r>
        <w:rPr>
          <w:rStyle w:val="CETCaptionCarattere"/>
          <w:i/>
        </w:rPr>
        <w:t xml:space="preserve">Variation of the mole fraction of a) </w:t>
      </w:r>
      <w:r>
        <w:rPr>
          <w:rStyle w:val="CETCaptionCarattere"/>
          <w:i/>
          <w:vertAlign w:val="superscript"/>
        </w:rPr>
        <w:t>16</w:t>
      </w:r>
      <w:r>
        <w:rPr>
          <w:rStyle w:val="CETCaptionCarattere"/>
          <w:i/>
        </w:rPr>
        <w:t>O</w:t>
      </w:r>
      <w:r>
        <w:rPr>
          <w:rStyle w:val="CETCaptionCarattere"/>
          <w:i/>
          <w:vertAlign w:val="subscript"/>
        </w:rPr>
        <w:t>2</w:t>
      </w:r>
      <w:r>
        <w:rPr>
          <w:rStyle w:val="CETCaptionCarattere"/>
          <w:i/>
        </w:rPr>
        <w:t xml:space="preserve"> and b) of </w:t>
      </w:r>
      <w:r w:rsidRPr="000F64B5">
        <w:rPr>
          <w:rStyle w:val="CETCaptionCarattere"/>
          <w:i/>
          <w:vertAlign w:val="superscript"/>
        </w:rPr>
        <w:t>16</w:t>
      </w:r>
      <w:r>
        <w:rPr>
          <w:rStyle w:val="CETCaptionCarattere"/>
          <w:i/>
        </w:rPr>
        <w:t>O</w:t>
      </w:r>
      <w:r w:rsidRPr="000F64B5">
        <w:rPr>
          <w:rStyle w:val="CETCaptionCarattere"/>
          <w:i/>
          <w:vertAlign w:val="superscript"/>
        </w:rPr>
        <w:t>18</w:t>
      </w:r>
      <w:r>
        <w:rPr>
          <w:rStyle w:val="CETCaptionCarattere"/>
          <w:i/>
        </w:rPr>
        <w:t xml:space="preserve">O in the distillate product as the recovery ratio of </w:t>
      </w:r>
      <w:r w:rsidRPr="00412B61">
        <w:rPr>
          <w:rStyle w:val="CETCaptionCarattere"/>
          <w:i/>
          <w:vertAlign w:val="superscript"/>
        </w:rPr>
        <w:t>16</w:t>
      </w:r>
      <w:r w:rsidRPr="00412B61">
        <w:rPr>
          <w:rStyle w:val="CETCaptionCarattere"/>
          <w:i/>
        </w:rPr>
        <w:t>O</w:t>
      </w:r>
      <w:r w:rsidRPr="00412B61">
        <w:rPr>
          <w:rStyle w:val="CETCaptionCarattere"/>
          <w:i/>
          <w:vertAlign w:val="superscript"/>
        </w:rPr>
        <w:t>18</w:t>
      </w:r>
      <w:r>
        <w:rPr>
          <w:rStyle w:val="CETCaptionCarattere"/>
          <w:i/>
        </w:rPr>
        <w:t xml:space="preserve">O </w:t>
      </w:r>
      <w:r w:rsidR="004A6896">
        <w:rPr>
          <w:rStyle w:val="CETCaptionCarattere"/>
          <w:i/>
        </w:rPr>
        <w:t xml:space="preserve">in the bottom stream </w:t>
      </w:r>
      <w:r>
        <w:rPr>
          <w:rStyle w:val="CETCaptionCarattere"/>
          <w:i/>
        </w:rPr>
        <w:t>varies</w:t>
      </w:r>
      <w:r w:rsidR="004A6896">
        <w:rPr>
          <w:rStyle w:val="CETCaptionCarattere"/>
          <w:i/>
        </w:rPr>
        <w:t>,</w:t>
      </w:r>
      <w:r>
        <w:rPr>
          <w:rStyle w:val="CETCaptionCarattere"/>
          <w:i/>
        </w:rPr>
        <w:t xml:space="preserve"> obtained</w:t>
      </w:r>
      <w:r w:rsidRPr="00CB1E69">
        <w:rPr>
          <w:rStyle w:val="CETCaptionCarattere"/>
          <w:i/>
        </w:rPr>
        <w:t xml:space="preserve"> with </w:t>
      </w:r>
      <w:r>
        <w:rPr>
          <w:rStyle w:val="CETCaptionCarattere"/>
          <w:i/>
        </w:rPr>
        <w:t xml:space="preserve">a molar fraction of </w:t>
      </w:r>
      <w:r w:rsidRPr="00CB1E69">
        <w:rPr>
          <w:rStyle w:val="CETCaptionCarattere"/>
          <w:i/>
        </w:rPr>
        <w:t xml:space="preserve">20% of </w:t>
      </w:r>
      <w:r w:rsidRPr="00DF1B6D">
        <w:rPr>
          <w:rStyle w:val="CETCaptionCarattere"/>
          <w:i/>
          <w:vertAlign w:val="superscript"/>
        </w:rPr>
        <w:t>16</w:t>
      </w:r>
      <w:r w:rsidRPr="00CB1E69">
        <w:rPr>
          <w:rStyle w:val="CETCaptionCarattere"/>
          <w:i/>
        </w:rPr>
        <w:t>O</w:t>
      </w:r>
      <w:r w:rsidRPr="00DF1B6D">
        <w:rPr>
          <w:rStyle w:val="CETCaptionCarattere"/>
          <w:i/>
          <w:vertAlign w:val="superscript"/>
        </w:rPr>
        <w:t>18</w:t>
      </w:r>
      <w:r w:rsidRPr="00CB1E69">
        <w:rPr>
          <w:rStyle w:val="CETCaptionCarattere"/>
          <w:i/>
        </w:rPr>
        <w:t xml:space="preserve">O in the </w:t>
      </w:r>
      <w:r>
        <w:rPr>
          <w:rStyle w:val="CETCaptionCarattere"/>
          <w:i/>
        </w:rPr>
        <w:t>b</w:t>
      </w:r>
      <w:r w:rsidRPr="00CB1E69">
        <w:rPr>
          <w:rStyle w:val="CETCaptionCarattere"/>
          <w:i/>
        </w:rPr>
        <w:t>ottom</w:t>
      </w:r>
      <w:r>
        <w:rPr>
          <w:rStyle w:val="CETCaptionCarattere"/>
          <w:i/>
        </w:rPr>
        <w:t xml:space="preserve"> product</w:t>
      </w:r>
    </w:p>
    <w:p w14:paraId="21B48E99" w14:textId="463F14BA" w:rsidR="00412B61" w:rsidRPr="00B57B36" w:rsidRDefault="0078239D" w:rsidP="000F64B5">
      <w:pPr>
        <w:pStyle w:val="CETCaption"/>
        <w:jc w:val="center"/>
      </w:pPr>
      <w:r w:rsidRPr="0078239D">
        <w:rPr>
          <w:noProof/>
        </w:rPr>
        <w:drawing>
          <wp:inline distT="0" distB="0" distL="0" distR="0" wp14:anchorId="54CA9FA3" wp14:editId="45BC94CB">
            <wp:extent cx="3060000" cy="2399420"/>
            <wp:effectExtent l="0" t="0" r="7620" b="127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0000" cy="2399420"/>
                    </a:xfrm>
                    <a:prstGeom prst="rect">
                      <a:avLst/>
                    </a:prstGeom>
                    <a:noFill/>
                    <a:ln>
                      <a:noFill/>
                    </a:ln>
                  </pic:spPr>
                </pic:pic>
              </a:graphicData>
            </a:graphic>
          </wp:inline>
        </w:drawing>
      </w:r>
    </w:p>
    <w:p w14:paraId="26CF59AD" w14:textId="2DB8B17A" w:rsidR="00412B61" w:rsidRPr="00BD077D" w:rsidRDefault="00412B61" w:rsidP="00412B61">
      <w:pPr>
        <w:pStyle w:val="CETCaption"/>
      </w:pPr>
      <w:bookmarkStart w:id="6" w:name="_Ref184763684"/>
      <w:r>
        <w:t xml:space="preserve">Figure </w:t>
      </w:r>
      <w:r>
        <w:fldChar w:fldCharType="begin"/>
      </w:r>
      <w:r>
        <w:instrText xml:space="preserve"> SEQ Figure \* ARABIC </w:instrText>
      </w:r>
      <w:r>
        <w:fldChar w:fldCharType="separate"/>
      </w:r>
      <w:r w:rsidR="004A6896">
        <w:rPr>
          <w:noProof/>
        </w:rPr>
        <w:t>3</w:t>
      </w:r>
      <w:r>
        <w:fldChar w:fldCharType="end"/>
      </w:r>
      <w:bookmarkEnd w:id="6"/>
      <w:r w:rsidRPr="00BD077D">
        <w:rPr>
          <w:rStyle w:val="CETCaptionCarattere"/>
          <w:i/>
        </w:rPr>
        <w:t xml:space="preserve">: </w:t>
      </w:r>
      <w:r>
        <w:rPr>
          <w:rStyle w:val="CETCaptionCarattere"/>
          <w:i/>
        </w:rPr>
        <w:t xml:space="preserve">Variation of the feed flowrate as the recovery ratio of </w:t>
      </w:r>
      <w:r w:rsidRPr="00412B61">
        <w:rPr>
          <w:rStyle w:val="CETCaptionCarattere"/>
          <w:i/>
          <w:vertAlign w:val="superscript"/>
        </w:rPr>
        <w:t>16</w:t>
      </w:r>
      <w:r w:rsidRPr="00412B61">
        <w:rPr>
          <w:rStyle w:val="CETCaptionCarattere"/>
          <w:i/>
        </w:rPr>
        <w:t>O</w:t>
      </w:r>
      <w:r w:rsidRPr="00412B61">
        <w:rPr>
          <w:rStyle w:val="CETCaptionCarattere"/>
          <w:i/>
          <w:vertAlign w:val="superscript"/>
        </w:rPr>
        <w:t>18</w:t>
      </w:r>
      <w:r>
        <w:rPr>
          <w:rStyle w:val="CETCaptionCarattere"/>
          <w:i/>
        </w:rPr>
        <w:t xml:space="preserve">O </w:t>
      </w:r>
      <w:r w:rsidR="004A6896">
        <w:rPr>
          <w:rStyle w:val="CETCaptionCarattere"/>
          <w:i/>
        </w:rPr>
        <w:t xml:space="preserve">in the bottom stream </w:t>
      </w:r>
      <w:r>
        <w:rPr>
          <w:rStyle w:val="CETCaptionCarattere"/>
          <w:i/>
        </w:rPr>
        <w:t>varies</w:t>
      </w:r>
      <w:r w:rsidR="004A6896">
        <w:rPr>
          <w:rStyle w:val="CETCaptionCarattere"/>
          <w:i/>
        </w:rPr>
        <w:t>,</w:t>
      </w:r>
      <w:r>
        <w:rPr>
          <w:rStyle w:val="CETCaptionCarattere"/>
          <w:i/>
        </w:rPr>
        <w:t xml:space="preserve"> obtained</w:t>
      </w:r>
      <w:r w:rsidRPr="00CB1E69">
        <w:rPr>
          <w:rStyle w:val="CETCaptionCarattere"/>
          <w:i/>
        </w:rPr>
        <w:t xml:space="preserve"> with </w:t>
      </w:r>
      <w:r>
        <w:rPr>
          <w:rStyle w:val="CETCaptionCarattere"/>
          <w:i/>
        </w:rPr>
        <w:t xml:space="preserve">a molar fraction of </w:t>
      </w:r>
      <w:r w:rsidRPr="00CB1E69">
        <w:rPr>
          <w:rStyle w:val="CETCaptionCarattere"/>
          <w:i/>
        </w:rPr>
        <w:t xml:space="preserve">20% of </w:t>
      </w:r>
      <w:r w:rsidRPr="00DF1B6D">
        <w:rPr>
          <w:rStyle w:val="CETCaptionCarattere"/>
          <w:i/>
          <w:vertAlign w:val="superscript"/>
        </w:rPr>
        <w:t>16</w:t>
      </w:r>
      <w:r w:rsidRPr="00CB1E69">
        <w:rPr>
          <w:rStyle w:val="CETCaptionCarattere"/>
          <w:i/>
        </w:rPr>
        <w:t>O</w:t>
      </w:r>
      <w:r w:rsidRPr="00DF1B6D">
        <w:rPr>
          <w:rStyle w:val="CETCaptionCarattere"/>
          <w:i/>
          <w:vertAlign w:val="superscript"/>
        </w:rPr>
        <w:t>18</w:t>
      </w:r>
      <w:r w:rsidRPr="00CB1E69">
        <w:rPr>
          <w:rStyle w:val="CETCaptionCarattere"/>
          <w:i/>
        </w:rPr>
        <w:t xml:space="preserve">O in the </w:t>
      </w:r>
      <w:r>
        <w:rPr>
          <w:rStyle w:val="CETCaptionCarattere"/>
          <w:i/>
        </w:rPr>
        <w:t>b</w:t>
      </w:r>
      <w:r w:rsidRPr="00CB1E69">
        <w:rPr>
          <w:rStyle w:val="CETCaptionCarattere"/>
          <w:i/>
        </w:rPr>
        <w:t>ottom</w:t>
      </w:r>
      <w:r>
        <w:rPr>
          <w:rStyle w:val="CETCaptionCarattere"/>
          <w:i/>
        </w:rPr>
        <w:t xml:space="preserve"> product</w:t>
      </w:r>
    </w:p>
    <w:p w14:paraId="063287AA" w14:textId="03175276" w:rsidR="0078239D" w:rsidRPr="0078239D" w:rsidRDefault="0078239D" w:rsidP="0078239D">
      <w:pPr>
        <w:pStyle w:val="CETCaption"/>
        <w:rPr>
          <w:i w:val="0"/>
          <w:iCs/>
        </w:rPr>
      </w:pPr>
      <w:r w:rsidRPr="0078239D">
        <w:rPr>
          <w:noProof/>
        </w:rPr>
        <w:lastRenderedPageBreak/>
        <w:drawing>
          <wp:inline distT="0" distB="0" distL="0" distR="0" wp14:anchorId="333DD791" wp14:editId="4DF48B7D">
            <wp:extent cx="2664000" cy="2088907"/>
            <wp:effectExtent l="0" t="0" r="3175" b="698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4000" cy="2088907"/>
                    </a:xfrm>
                    <a:prstGeom prst="rect">
                      <a:avLst/>
                    </a:prstGeom>
                    <a:noFill/>
                    <a:ln>
                      <a:noFill/>
                    </a:ln>
                  </pic:spPr>
                </pic:pic>
              </a:graphicData>
            </a:graphic>
          </wp:inline>
        </w:drawing>
      </w:r>
      <w:r>
        <w:rPr>
          <w:i w:val="0"/>
          <w:iCs/>
        </w:rPr>
        <w:t>a)</w:t>
      </w:r>
      <w:r w:rsidRPr="0078239D">
        <w:rPr>
          <w:iCs/>
        </w:rPr>
        <w:t xml:space="preserve"> </w:t>
      </w:r>
      <w:r w:rsidRPr="0078239D">
        <w:rPr>
          <w:noProof/>
        </w:rPr>
        <w:drawing>
          <wp:inline distT="0" distB="0" distL="0" distR="0" wp14:anchorId="7A9B62EC" wp14:editId="413FBF8E">
            <wp:extent cx="2664000" cy="2064417"/>
            <wp:effectExtent l="0" t="0" r="3175"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4000" cy="2064417"/>
                    </a:xfrm>
                    <a:prstGeom prst="rect">
                      <a:avLst/>
                    </a:prstGeom>
                    <a:noFill/>
                    <a:ln>
                      <a:noFill/>
                    </a:ln>
                  </pic:spPr>
                </pic:pic>
              </a:graphicData>
            </a:graphic>
          </wp:inline>
        </w:drawing>
      </w:r>
      <w:r>
        <w:rPr>
          <w:i w:val="0"/>
          <w:iCs/>
        </w:rPr>
        <w:t>b)</w:t>
      </w:r>
    </w:p>
    <w:p w14:paraId="5B8B3922" w14:textId="61E80E8B" w:rsidR="0078239D" w:rsidRPr="00BD077D" w:rsidRDefault="0078239D" w:rsidP="0078239D">
      <w:pPr>
        <w:pStyle w:val="CETCaption"/>
      </w:pPr>
      <w:bookmarkStart w:id="7" w:name="_Ref184765146"/>
      <w:r>
        <w:t xml:space="preserve">Figure </w:t>
      </w:r>
      <w:r>
        <w:fldChar w:fldCharType="begin"/>
      </w:r>
      <w:r>
        <w:instrText xml:space="preserve"> SEQ Figure \* ARABIC </w:instrText>
      </w:r>
      <w:r>
        <w:fldChar w:fldCharType="separate"/>
      </w:r>
      <w:r w:rsidR="004A6896">
        <w:rPr>
          <w:noProof/>
        </w:rPr>
        <w:t>4</w:t>
      </w:r>
      <w:r>
        <w:fldChar w:fldCharType="end"/>
      </w:r>
      <w:bookmarkEnd w:id="7"/>
      <w:r w:rsidRPr="00BD077D">
        <w:rPr>
          <w:rStyle w:val="CETCaptionCarattere"/>
          <w:i/>
        </w:rPr>
        <w:t xml:space="preserve">: </w:t>
      </w:r>
      <w:r>
        <w:rPr>
          <w:rStyle w:val="CETCaptionCarattere"/>
          <w:i/>
        </w:rPr>
        <w:t xml:space="preserve">Variation a) of the distillate flowrate and b) of the bottom flowrate as the recovery ratio of </w:t>
      </w:r>
      <w:r w:rsidRPr="00412B61">
        <w:rPr>
          <w:rStyle w:val="CETCaptionCarattere"/>
          <w:i/>
          <w:vertAlign w:val="superscript"/>
        </w:rPr>
        <w:t>16</w:t>
      </w:r>
      <w:r w:rsidRPr="00412B61">
        <w:rPr>
          <w:rStyle w:val="CETCaptionCarattere"/>
          <w:i/>
        </w:rPr>
        <w:t>O</w:t>
      </w:r>
      <w:r w:rsidRPr="00412B61">
        <w:rPr>
          <w:rStyle w:val="CETCaptionCarattere"/>
          <w:i/>
          <w:vertAlign w:val="superscript"/>
        </w:rPr>
        <w:t>18</w:t>
      </w:r>
      <w:r>
        <w:rPr>
          <w:rStyle w:val="CETCaptionCarattere"/>
          <w:i/>
        </w:rPr>
        <w:t xml:space="preserve">O </w:t>
      </w:r>
      <w:r w:rsidR="004A6896">
        <w:rPr>
          <w:rStyle w:val="CETCaptionCarattere"/>
          <w:i/>
        </w:rPr>
        <w:t xml:space="preserve">in the bottom stream </w:t>
      </w:r>
      <w:r>
        <w:rPr>
          <w:rStyle w:val="CETCaptionCarattere"/>
          <w:i/>
        </w:rPr>
        <w:t>varies</w:t>
      </w:r>
      <w:r w:rsidR="004A6896">
        <w:rPr>
          <w:rStyle w:val="CETCaptionCarattere"/>
          <w:i/>
        </w:rPr>
        <w:t>,</w:t>
      </w:r>
      <w:r>
        <w:rPr>
          <w:rStyle w:val="CETCaptionCarattere"/>
          <w:i/>
        </w:rPr>
        <w:t xml:space="preserve"> obtained</w:t>
      </w:r>
      <w:r w:rsidRPr="00CB1E69">
        <w:rPr>
          <w:rStyle w:val="CETCaptionCarattere"/>
          <w:i/>
        </w:rPr>
        <w:t xml:space="preserve"> with </w:t>
      </w:r>
      <w:r>
        <w:rPr>
          <w:rStyle w:val="CETCaptionCarattere"/>
          <w:i/>
        </w:rPr>
        <w:t xml:space="preserve">a molar fraction of </w:t>
      </w:r>
      <w:r w:rsidRPr="00CB1E69">
        <w:rPr>
          <w:rStyle w:val="CETCaptionCarattere"/>
          <w:i/>
        </w:rPr>
        <w:t xml:space="preserve">20% of </w:t>
      </w:r>
      <w:r w:rsidRPr="00DF1B6D">
        <w:rPr>
          <w:rStyle w:val="CETCaptionCarattere"/>
          <w:i/>
          <w:vertAlign w:val="superscript"/>
        </w:rPr>
        <w:t>16</w:t>
      </w:r>
      <w:r w:rsidRPr="00CB1E69">
        <w:rPr>
          <w:rStyle w:val="CETCaptionCarattere"/>
          <w:i/>
        </w:rPr>
        <w:t>O</w:t>
      </w:r>
      <w:r w:rsidRPr="00DF1B6D">
        <w:rPr>
          <w:rStyle w:val="CETCaptionCarattere"/>
          <w:i/>
          <w:vertAlign w:val="superscript"/>
        </w:rPr>
        <w:t>18</w:t>
      </w:r>
      <w:r w:rsidRPr="00CB1E69">
        <w:rPr>
          <w:rStyle w:val="CETCaptionCarattere"/>
          <w:i/>
        </w:rPr>
        <w:t xml:space="preserve">O in the </w:t>
      </w:r>
      <w:r>
        <w:rPr>
          <w:rStyle w:val="CETCaptionCarattere"/>
          <w:i/>
        </w:rPr>
        <w:t>b</w:t>
      </w:r>
      <w:r w:rsidRPr="00CB1E69">
        <w:rPr>
          <w:rStyle w:val="CETCaptionCarattere"/>
          <w:i/>
        </w:rPr>
        <w:t>ottom</w:t>
      </w:r>
      <w:r>
        <w:rPr>
          <w:rStyle w:val="CETCaptionCarattere"/>
          <w:i/>
        </w:rPr>
        <w:t xml:space="preserve"> product</w:t>
      </w:r>
    </w:p>
    <w:p w14:paraId="79F7633F" w14:textId="2E38F01A" w:rsidR="00054841" w:rsidRDefault="00054841" w:rsidP="00054841">
      <w:pPr>
        <w:pStyle w:val="CETBodytext"/>
      </w:pPr>
      <w:r>
        <w:t xml:space="preserve">The reflux ratio, that is much higher than the value usually considered for the separation of traditional systems, significantly increases as the recovery ratio of </w:t>
      </w:r>
      <w:r>
        <w:rPr>
          <w:vertAlign w:val="superscript"/>
        </w:rPr>
        <w:t>16</w:t>
      </w:r>
      <w:r>
        <w:t>O</w:t>
      </w:r>
      <w:r>
        <w:rPr>
          <w:vertAlign w:val="superscript"/>
        </w:rPr>
        <w:t>18</w:t>
      </w:r>
      <w:r>
        <w:t>O increases, up to more than 300, because of the increased difficulty in the separation (</w:t>
      </w:r>
      <w:r>
        <w:fldChar w:fldCharType="begin"/>
      </w:r>
      <w:r>
        <w:instrText xml:space="preserve"> REF _Ref184763335 \h </w:instrText>
      </w:r>
      <w:r>
        <w:fldChar w:fldCharType="separate"/>
      </w:r>
      <w:r>
        <w:t xml:space="preserve">Figure </w:t>
      </w:r>
      <w:r>
        <w:rPr>
          <w:noProof/>
        </w:rPr>
        <w:t>1</w:t>
      </w:r>
      <w:r>
        <w:fldChar w:fldCharType="end"/>
      </w:r>
      <w:r>
        <w:t>b)).</w:t>
      </w:r>
      <w:r w:rsidR="00E53428">
        <w:t xml:space="preserve"> Generally, the increase in the reflux ratio causes an increase in the operating costs of the distillation column, mainly related to the condenser duty and to the reboiler duty, because of the higher circulating flowrates.</w:t>
      </w:r>
    </w:p>
    <w:p w14:paraId="5E390E78" w14:textId="3C629CDE" w:rsidR="00BD5BAA" w:rsidRPr="0078239D" w:rsidRDefault="00BD5BAA" w:rsidP="00BD5BAA">
      <w:pPr>
        <w:pStyle w:val="CETBodytext"/>
      </w:pPr>
      <w:r>
        <w:t xml:space="preserve">The feed flowrate depends on the maximum circulating flowrates of vapor and liquid inside the column, that increase as the recovery ratio of the heavy isotope increases. As the circulating flowrates inside the column increase, the maximum feed flowrate decreases, as reported in </w:t>
      </w:r>
      <w:r>
        <w:fldChar w:fldCharType="begin"/>
      </w:r>
      <w:r>
        <w:instrText xml:space="preserve"> REF _Ref184763684 \h </w:instrText>
      </w:r>
      <w:r>
        <w:fldChar w:fldCharType="separate"/>
      </w:r>
      <w:r>
        <w:t xml:space="preserve">Figure </w:t>
      </w:r>
      <w:r>
        <w:rPr>
          <w:noProof/>
        </w:rPr>
        <w:t>3</w:t>
      </w:r>
      <w:r>
        <w:fldChar w:fldCharType="end"/>
      </w:r>
      <w:r>
        <w:t xml:space="preserve">. For a recovery ratio of 99% the feed flowrate is lower than half of the one obtained for a recovery ratio of 60%. Therefore, also the productivity varies and the flowrates of the distillate and of the bottom products decrease as the recovery of the isotope </w:t>
      </w:r>
      <w:r>
        <w:rPr>
          <w:vertAlign w:val="superscript"/>
        </w:rPr>
        <w:t>16</w:t>
      </w:r>
      <w:r>
        <w:t>O</w:t>
      </w:r>
      <w:r>
        <w:rPr>
          <w:vertAlign w:val="superscript"/>
        </w:rPr>
        <w:t>18</w:t>
      </w:r>
      <w:r>
        <w:t>O in the bottom stream increases (</w:t>
      </w:r>
      <w:r>
        <w:fldChar w:fldCharType="begin"/>
      </w:r>
      <w:r>
        <w:instrText xml:space="preserve"> REF _Ref184765146 \h </w:instrText>
      </w:r>
      <w:r>
        <w:fldChar w:fldCharType="separate"/>
      </w:r>
      <w:r>
        <w:t xml:space="preserve">Figure </w:t>
      </w:r>
      <w:r>
        <w:rPr>
          <w:noProof/>
        </w:rPr>
        <w:t>4</w:t>
      </w:r>
      <w:r>
        <w:fldChar w:fldCharType="end"/>
      </w:r>
      <w:r>
        <w:t xml:space="preserve">), for the same molar fraction of </w:t>
      </w:r>
      <w:r>
        <w:rPr>
          <w:vertAlign w:val="superscript"/>
        </w:rPr>
        <w:t>16</w:t>
      </w:r>
      <w:r>
        <w:t>O</w:t>
      </w:r>
      <w:r>
        <w:rPr>
          <w:vertAlign w:val="superscript"/>
        </w:rPr>
        <w:t>18</w:t>
      </w:r>
      <w:r>
        <w:t>O in the bottom product</w:t>
      </w:r>
      <w:r w:rsidR="00404264">
        <w:t>, equal to 20%</w:t>
      </w:r>
      <w:r>
        <w:t>.</w:t>
      </w:r>
    </w:p>
    <w:p w14:paraId="22A9618C" w14:textId="77777777" w:rsidR="000F64B5" w:rsidRPr="00400591" w:rsidRDefault="000F64B5" w:rsidP="0078239D">
      <w:pPr>
        <w:pStyle w:val="CETBodytext"/>
      </w:pPr>
    </w:p>
    <w:p w14:paraId="0EC60CD9" w14:textId="423A7BD9" w:rsidR="000F64B5" w:rsidRPr="0078239D" w:rsidRDefault="000F64B5" w:rsidP="000F64B5">
      <w:pPr>
        <w:pStyle w:val="CETBodytext"/>
        <w:jc w:val="center"/>
      </w:pPr>
      <w:r w:rsidRPr="000F64B5">
        <w:rPr>
          <w:noProof/>
        </w:rPr>
        <w:drawing>
          <wp:inline distT="0" distB="0" distL="0" distR="0" wp14:anchorId="2F3BB4E4" wp14:editId="57B2B13B">
            <wp:extent cx="3060000" cy="2396731"/>
            <wp:effectExtent l="0" t="0" r="7620" b="381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0000" cy="2396731"/>
                    </a:xfrm>
                    <a:prstGeom prst="rect">
                      <a:avLst/>
                    </a:prstGeom>
                    <a:noFill/>
                    <a:ln>
                      <a:noFill/>
                    </a:ln>
                  </pic:spPr>
                </pic:pic>
              </a:graphicData>
            </a:graphic>
          </wp:inline>
        </w:drawing>
      </w:r>
    </w:p>
    <w:p w14:paraId="5EE79E46" w14:textId="377D0675" w:rsidR="000F64B5" w:rsidRDefault="000F64B5" w:rsidP="000F64B5">
      <w:pPr>
        <w:pStyle w:val="CETCaption"/>
        <w:rPr>
          <w:rStyle w:val="CETCaptionCarattere"/>
          <w:i/>
        </w:rPr>
      </w:pPr>
      <w:bookmarkStart w:id="8" w:name="_Ref184764621"/>
      <w:r>
        <w:t xml:space="preserve">Figure </w:t>
      </w:r>
      <w:r>
        <w:fldChar w:fldCharType="begin"/>
      </w:r>
      <w:r>
        <w:instrText xml:space="preserve"> SEQ Figure \* ARABIC </w:instrText>
      </w:r>
      <w:r>
        <w:fldChar w:fldCharType="separate"/>
      </w:r>
      <w:r w:rsidR="004A6896">
        <w:rPr>
          <w:noProof/>
        </w:rPr>
        <w:t>5</w:t>
      </w:r>
      <w:r>
        <w:fldChar w:fldCharType="end"/>
      </w:r>
      <w:bookmarkEnd w:id="8"/>
      <w:r w:rsidRPr="00BD077D">
        <w:rPr>
          <w:rStyle w:val="CETCaptionCarattere"/>
          <w:i/>
        </w:rPr>
        <w:t xml:space="preserve">: </w:t>
      </w:r>
      <w:r>
        <w:rPr>
          <w:rStyle w:val="CETCaptionCarattere"/>
          <w:i/>
        </w:rPr>
        <w:t xml:space="preserve">Variation of the number of stages above the feed stage as the recovery ratio of </w:t>
      </w:r>
      <w:r w:rsidRPr="00412B61">
        <w:rPr>
          <w:rStyle w:val="CETCaptionCarattere"/>
          <w:i/>
          <w:vertAlign w:val="superscript"/>
        </w:rPr>
        <w:t>16</w:t>
      </w:r>
      <w:r w:rsidRPr="00412B61">
        <w:rPr>
          <w:rStyle w:val="CETCaptionCarattere"/>
          <w:i/>
        </w:rPr>
        <w:t>O</w:t>
      </w:r>
      <w:r w:rsidRPr="00412B61">
        <w:rPr>
          <w:rStyle w:val="CETCaptionCarattere"/>
          <w:i/>
          <w:vertAlign w:val="superscript"/>
        </w:rPr>
        <w:t>18</w:t>
      </w:r>
      <w:r>
        <w:rPr>
          <w:rStyle w:val="CETCaptionCarattere"/>
          <w:i/>
        </w:rPr>
        <w:t xml:space="preserve">O </w:t>
      </w:r>
      <w:r w:rsidR="004A6896">
        <w:rPr>
          <w:rStyle w:val="CETCaptionCarattere"/>
          <w:i/>
        </w:rPr>
        <w:t xml:space="preserve">in the bottom stream </w:t>
      </w:r>
      <w:r>
        <w:rPr>
          <w:rStyle w:val="CETCaptionCarattere"/>
          <w:i/>
        </w:rPr>
        <w:t>varies</w:t>
      </w:r>
      <w:r w:rsidR="004A6896">
        <w:rPr>
          <w:rStyle w:val="CETCaptionCarattere"/>
          <w:i/>
        </w:rPr>
        <w:t>,</w:t>
      </w:r>
      <w:r>
        <w:rPr>
          <w:rStyle w:val="CETCaptionCarattere"/>
          <w:i/>
        </w:rPr>
        <w:t xml:space="preserve"> obtained</w:t>
      </w:r>
      <w:r w:rsidRPr="00CB1E69">
        <w:rPr>
          <w:rStyle w:val="CETCaptionCarattere"/>
          <w:i/>
        </w:rPr>
        <w:t xml:space="preserve"> with </w:t>
      </w:r>
      <w:r>
        <w:rPr>
          <w:rStyle w:val="CETCaptionCarattere"/>
          <w:i/>
        </w:rPr>
        <w:t xml:space="preserve">a molar fraction of </w:t>
      </w:r>
      <w:r w:rsidRPr="00CB1E69">
        <w:rPr>
          <w:rStyle w:val="CETCaptionCarattere"/>
          <w:i/>
        </w:rPr>
        <w:t xml:space="preserve">20% of </w:t>
      </w:r>
      <w:r w:rsidRPr="00DF1B6D">
        <w:rPr>
          <w:rStyle w:val="CETCaptionCarattere"/>
          <w:i/>
          <w:vertAlign w:val="superscript"/>
        </w:rPr>
        <w:t>16</w:t>
      </w:r>
      <w:r w:rsidRPr="00CB1E69">
        <w:rPr>
          <w:rStyle w:val="CETCaptionCarattere"/>
          <w:i/>
        </w:rPr>
        <w:t>O</w:t>
      </w:r>
      <w:r w:rsidRPr="00DF1B6D">
        <w:rPr>
          <w:rStyle w:val="CETCaptionCarattere"/>
          <w:i/>
          <w:vertAlign w:val="superscript"/>
        </w:rPr>
        <w:t>18</w:t>
      </w:r>
      <w:r w:rsidRPr="00CB1E69">
        <w:rPr>
          <w:rStyle w:val="CETCaptionCarattere"/>
          <w:i/>
        </w:rPr>
        <w:t xml:space="preserve">O in the </w:t>
      </w:r>
      <w:r>
        <w:rPr>
          <w:rStyle w:val="CETCaptionCarattere"/>
          <w:i/>
        </w:rPr>
        <w:t>b</w:t>
      </w:r>
      <w:r w:rsidRPr="00CB1E69">
        <w:rPr>
          <w:rStyle w:val="CETCaptionCarattere"/>
          <w:i/>
        </w:rPr>
        <w:t>ottom</w:t>
      </w:r>
      <w:r>
        <w:rPr>
          <w:rStyle w:val="CETCaptionCarattere"/>
          <w:i/>
        </w:rPr>
        <w:t xml:space="preserve"> product</w:t>
      </w:r>
    </w:p>
    <w:p w14:paraId="39FCC209" w14:textId="00A058A9" w:rsidR="007C574B" w:rsidRDefault="00F52BC1" w:rsidP="00F52BC1">
      <w:pPr>
        <w:pStyle w:val="CETBodytext"/>
      </w:pPr>
      <w:r w:rsidRPr="00400591">
        <w:t xml:space="preserve">The number of </w:t>
      </w:r>
      <w:r>
        <w:t xml:space="preserve">theoretical </w:t>
      </w:r>
      <w:r w:rsidRPr="00400591">
        <w:t xml:space="preserve">stages above the </w:t>
      </w:r>
      <w:r>
        <w:t xml:space="preserve">feed </w:t>
      </w:r>
      <w:r w:rsidRPr="00400591">
        <w:t xml:space="preserve">inlet position increases </w:t>
      </w:r>
      <w:r>
        <w:t xml:space="preserve">as the recovery ratio of the heavy isotope in the bottom product increases and the feed stage tends to move closer to the bottom of the column (a higher number of theoretical stages above the feed is needed, as reported in </w:t>
      </w:r>
      <w:r>
        <w:fldChar w:fldCharType="begin"/>
      </w:r>
      <w:r>
        <w:instrText xml:space="preserve"> REF _Ref184764621 \h </w:instrText>
      </w:r>
      <w:r>
        <w:fldChar w:fldCharType="separate"/>
      </w:r>
      <w:r>
        <w:t xml:space="preserve">Figure </w:t>
      </w:r>
      <w:r>
        <w:rPr>
          <w:noProof/>
        </w:rPr>
        <w:t>5</w:t>
      </w:r>
      <w:r>
        <w:fldChar w:fldCharType="end"/>
      </w:r>
      <w:r>
        <w:t>)</w:t>
      </w:r>
      <w:r w:rsidR="00C461D0">
        <w:t xml:space="preserve">. A higher section of rectification and a lower section of stripping are needed, with a relevant variation if considering a recovery ratio of </w:t>
      </w:r>
      <w:r w:rsidR="00C461D0" w:rsidRPr="00C461D0">
        <w:rPr>
          <w:vertAlign w:val="superscript"/>
        </w:rPr>
        <w:t>16</w:t>
      </w:r>
      <w:r w:rsidR="00C461D0">
        <w:t>O</w:t>
      </w:r>
      <w:r w:rsidR="00C461D0" w:rsidRPr="00C461D0">
        <w:rPr>
          <w:vertAlign w:val="superscript"/>
        </w:rPr>
        <w:t>18</w:t>
      </w:r>
      <w:r w:rsidR="00C461D0">
        <w:t xml:space="preserve">O in the bottom stream equal to 60 % or </w:t>
      </w:r>
      <w:r w:rsidR="00CE6EBA">
        <w:t>e</w:t>
      </w:r>
      <w:r w:rsidR="00C461D0">
        <w:t>qual to 99 %.</w:t>
      </w:r>
    </w:p>
    <w:p w14:paraId="2275EFC6" w14:textId="49056714" w:rsidR="00D84618" w:rsidRDefault="00D84618" w:rsidP="00F52BC1">
      <w:pPr>
        <w:pStyle w:val="CETBodytext"/>
      </w:pPr>
      <w:r>
        <w:lastRenderedPageBreak/>
        <w:t xml:space="preserve">An experimental activity on the </w:t>
      </w:r>
      <w:proofErr w:type="spellStart"/>
      <w:r>
        <w:t>Seruci</w:t>
      </w:r>
      <w:proofErr w:type="spellEnd"/>
      <w:r>
        <w:t>-I distillation column is scheduled and it is of interest to compare the results obtained in this work with the experimental points.</w:t>
      </w:r>
    </w:p>
    <w:p w14:paraId="3A081DAC" w14:textId="20DC15F6" w:rsidR="001442B3" w:rsidRDefault="001442B3" w:rsidP="001442B3">
      <w:pPr>
        <w:pStyle w:val="CETHeading1"/>
        <w:rPr>
          <w:lang w:val="en-GB"/>
        </w:rPr>
      </w:pPr>
      <w:r>
        <w:rPr>
          <w:lang w:val="en-GB"/>
        </w:rPr>
        <w:t>Conclusions</w:t>
      </w:r>
    </w:p>
    <w:p w14:paraId="14CC183E" w14:textId="2A4BF4C8" w:rsidR="0070186E" w:rsidRPr="00BB0F6D" w:rsidRDefault="0070186E" w:rsidP="0070186E">
      <w:pPr>
        <w:pStyle w:val="CETBodytext"/>
      </w:pPr>
      <w:r>
        <w:t>This paper focused on the study of a</w:t>
      </w:r>
      <w:r w:rsidRPr="00D55C26">
        <w:t xml:space="preserve"> cryogenic distillation </w:t>
      </w:r>
      <w:r>
        <w:t xml:space="preserve">column </w:t>
      </w:r>
      <w:r w:rsidRPr="00D55C26">
        <w:t xml:space="preserve">for </w:t>
      </w:r>
      <w:r>
        <w:t xml:space="preserve">producing </w:t>
      </w:r>
      <w:r w:rsidRPr="00D55C26">
        <w:t>isotopic mixtures</w:t>
      </w:r>
      <w:r>
        <w:t xml:space="preserve"> rich in the isotope </w:t>
      </w:r>
      <w:r>
        <w:rPr>
          <w:vertAlign w:val="superscript"/>
        </w:rPr>
        <w:t>18</w:t>
      </w:r>
      <w:r>
        <w:t>O</w:t>
      </w:r>
      <w:r w:rsidRPr="00D55C26">
        <w:t xml:space="preserve">, </w:t>
      </w:r>
      <w:r>
        <w:t xml:space="preserve">with the </w:t>
      </w:r>
      <w:r w:rsidRPr="00D55C26">
        <w:t>analy</w:t>
      </w:r>
      <w:r>
        <w:t>ses of the</w:t>
      </w:r>
      <w:r w:rsidRPr="00D55C26">
        <w:t xml:space="preserve"> </w:t>
      </w:r>
      <w:r>
        <w:t xml:space="preserve">performances of a unit within </w:t>
      </w:r>
      <w:r w:rsidRPr="00D55C26">
        <w:t>the Aria Project</w:t>
      </w:r>
      <w:r>
        <w:t>. In particular, the database of the ASPEN Plus</w:t>
      </w:r>
      <w:r w:rsidRPr="0070186E">
        <w:rPr>
          <w:vertAlign w:val="superscript"/>
        </w:rPr>
        <w:t>®</w:t>
      </w:r>
      <w:r>
        <w:t xml:space="preserve"> software has been implemented with the </w:t>
      </w:r>
      <w:r>
        <w:rPr>
          <w:vertAlign w:val="superscript"/>
        </w:rPr>
        <w:t>18</w:t>
      </w:r>
      <w:r>
        <w:t xml:space="preserve">O isotope and several simulations of the distillation column have been performed, by </w:t>
      </w:r>
      <w:r w:rsidR="002564D3">
        <w:t>analyzing the variation of</w:t>
      </w:r>
      <w:r>
        <w:t xml:space="preserve"> the main parameters</w:t>
      </w:r>
      <w:r w:rsidR="002564D3">
        <w:t xml:space="preserve"> as the recovery ratio of the heavy isotope in the bottom stream varies, for the same purity of the bottom product</w:t>
      </w:r>
      <w:r>
        <w:t>.</w:t>
      </w:r>
      <w:r w:rsidR="0095557F">
        <w:t xml:space="preserve"> </w:t>
      </w:r>
      <w:r w:rsidR="002564D3">
        <w:t>T</w:t>
      </w:r>
      <w:r w:rsidRPr="00194CA9">
        <w:t xml:space="preserve">he Aria plant </w:t>
      </w:r>
      <w:r>
        <w:t>can</w:t>
      </w:r>
      <w:r w:rsidRPr="00194CA9">
        <w:t xml:space="preserve"> </w:t>
      </w:r>
      <w:r>
        <w:t>provide an</w:t>
      </w:r>
      <w:r w:rsidRPr="00194CA9">
        <w:t xml:space="preserve"> oxygen isotope production, with </w:t>
      </w:r>
      <w:r>
        <w:t>a</w:t>
      </w:r>
      <w:r w:rsidRPr="00194CA9">
        <w:t xml:space="preserve"> potential for the facility to enter the global market. As the </w:t>
      </w:r>
      <w:r>
        <w:t>research project</w:t>
      </w:r>
      <w:r w:rsidRPr="00194CA9">
        <w:t xml:space="preserve"> </w:t>
      </w:r>
      <w:r>
        <w:t>is being developed</w:t>
      </w:r>
      <w:r w:rsidRPr="00194CA9">
        <w:t xml:space="preserve">, </w:t>
      </w:r>
      <w:r>
        <w:t>the</w:t>
      </w:r>
      <w:r w:rsidRPr="00194CA9">
        <w:t xml:space="preserve"> isotope production </w:t>
      </w:r>
      <w:r>
        <w:t xml:space="preserve">capacities could be expanded </w:t>
      </w:r>
      <w:r w:rsidR="002564D3">
        <w:t>with</w:t>
      </w:r>
      <w:r>
        <w:t xml:space="preserve"> </w:t>
      </w:r>
      <w:proofErr w:type="spellStart"/>
      <w:r>
        <w:t>Seruci</w:t>
      </w:r>
      <w:proofErr w:type="spellEnd"/>
      <w:r>
        <w:t xml:space="preserve">-II, the second column with a larger diameter, </w:t>
      </w:r>
      <w:r w:rsidR="002564D3">
        <w:t>that is planned to be</w:t>
      </w:r>
      <w:r>
        <w:t xml:space="preserve"> built and</w:t>
      </w:r>
      <w:r w:rsidR="002564D3">
        <w:t xml:space="preserve"> to</w:t>
      </w:r>
      <w:r>
        <w:t xml:space="preserve"> start its operation, </w:t>
      </w:r>
      <w:r w:rsidRPr="00194CA9">
        <w:t xml:space="preserve">contributing to the </w:t>
      </w:r>
      <w:r w:rsidR="005E5466">
        <w:t>development of the</w:t>
      </w:r>
      <w:r w:rsidRPr="00194CA9">
        <w:t xml:space="preserve"> industry</w:t>
      </w:r>
      <w:r>
        <w:t xml:space="preserve"> </w:t>
      </w:r>
      <w:r w:rsidR="005E5466">
        <w:t>focusing on</w:t>
      </w:r>
      <w:r>
        <w:t xml:space="preserve"> stable isotopes production</w:t>
      </w:r>
      <w:r w:rsidRPr="00194CA9">
        <w:t>.</w:t>
      </w:r>
    </w:p>
    <w:p w14:paraId="459D05E6" w14:textId="77777777" w:rsidR="00600535" w:rsidRPr="00B57B36" w:rsidRDefault="00600535" w:rsidP="00600535">
      <w:pPr>
        <w:pStyle w:val="CETAcknowledgementstitle"/>
      </w:pPr>
      <w:r w:rsidRPr="00B57B36">
        <w:t>Acknowledgments</w:t>
      </w:r>
    </w:p>
    <w:p w14:paraId="7C8D0293" w14:textId="099B0255" w:rsidR="0032562E" w:rsidRPr="006818E0" w:rsidRDefault="0032562E" w:rsidP="0032562E">
      <w:pPr>
        <w:pStyle w:val="CETBodytext"/>
      </w:pPr>
      <w:r w:rsidRPr="006818E0">
        <w:t xml:space="preserve">We acknowledge financial support under the National Recovery and Resilience Plan (NRRP), Mission 4, Component C2, Call for tender No. 104 published on 2.2.2022 by the Italian Ministry of University and Research (MUR), funded by the European Union – </w:t>
      </w:r>
      <w:proofErr w:type="spellStart"/>
      <w:r w:rsidRPr="006818E0">
        <w:t>NextGenerationEU</w:t>
      </w:r>
      <w:proofErr w:type="spellEnd"/>
      <w:r w:rsidRPr="006818E0">
        <w:t>– Project Title “</w:t>
      </w:r>
      <w:r w:rsidRPr="0032562E">
        <w:t>Production of rare oxygen isotopes with the Aria cryogenic distillation plant for innovative applications in medical diagnostics</w:t>
      </w:r>
      <w:r w:rsidR="00F04B3A">
        <w:t>”</w:t>
      </w:r>
      <w:r w:rsidRPr="006818E0">
        <w:t xml:space="preserve"> – CUP </w:t>
      </w:r>
      <w:r w:rsidRPr="0032562E">
        <w:t>E53D23002780006</w:t>
      </w:r>
      <w:r w:rsidRPr="006818E0">
        <w:t xml:space="preserve"> - Grant Assignment Decree No. 961 adopted on 30.6.2023 by the Italian Ministry of Ministry of University and Research (MUR).</w:t>
      </w:r>
    </w:p>
    <w:p w14:paraId="4F1327F8" w14:textId="77777777" w:rsidR="00600535" w:rsidRPr="00B57B36" w:rsidRDefault="00600535" w:rsidP="00600535">
      <w:pPr>
        <w:pStyle w:val="CETReference"/>
      </w:pPr>
      <w:r w:rsidRPr="00B57B36">
        <w:t>References</w:t>
      </w:r>
    </w:p>
    <w:p w14:paraId="37104EB9" w14:textId="77777777" w:rsidR="009A33A8" w:rsidRPr="009A33A8" w:rsidRDefault="00D01E56" w:rsidP="009A33A8">
      <w:pPr>
        <w:pStyle w:val="CETReferencetext"/>
        <w:rPr>
          <w:noProof/>
        </w:rPr>
      </w:pPr>
      <w:r w:rsidRPr="0050575A">
        <w:fldChar w:fldCharType="begin"/>
      </w:r>
      <w:r w:rsidRPr="0050575A">
        <w:instrText xml:space="preserve"> ADDIN EN.REFLIST </w:instrText>
      </w:r>
      <w:r w:rsidRPr="0050575A">
        <w:fldChar w:fldCharType="separate"/>
      </w:r>
      <w:r w:rsidR="009A33A8" w:rsidRPr="009A33A8">
        <w:rPr>
          <w:noProof/>
        </w:rPr>
        <w:t>Aalseth C.E., Acerbi P., Agnes P., Albuquerque I.F.M., Alexander T., Alici A., Alton A.K., Antonioli P., Arcelli S., Ardito R., Arnquist I.J., Asner D.M., Ave M., Back O., et al. (the DarkSide collaboration), 2018, DarkSide-20k: A 20 tonne two-phase LAr TPC for direct dark matter detection at LNGS, The European Physical Journal Plus, 133.</w:t>
      </w:r>
    </w:p>
    <w:p w14:paraId="3909DB21" w14:textId="77777777" w:rsidR="009A33A8" w:rsidRPr="009A33A8" w:rsidRDefault="009A33A8" w:rsidP="009A33A8">
      <w:pPr>
        <w:pStyle w:val="CETReferencetext"/>
        <w:rPr>
          <w:noProof/>
        </w:rPr>
      </w:pPr>
      <w:r w:rsidRPr="009A33A8">
        <w:rPr>
          <w:noProof/>
        </w:rPr>
        <w:t>Aaron E., Agnes P., Ahmad I., Albergo S., Albuquerque I.F.M., Alexander T., et al. (Darkside-20 Collaboration), 2023, Measurement of isotopic separation of argon with the prototype of the cryogenic distillation plant Aria for dark matter searches, The European Physical Journal C 83, 453.</w:t>
      </w:r>
    </w:p>
    <w:p w14:paraId="1BBBA732" w14:textId="77777777" w:rsidR="009A33A8" w:rsidRPr="009A33A8" w:rsidRDefault="009A33A8" w:rsidP="009A33A8">
      <w:pPr>
        <w:pStyle w:val="CETReferencetext"/>
        <w:rPr>
          <w:noProof/>
        </w:rPr>
      </w:pPr>
      <w:r w:rsidRPr="006217AA">
        <w:rPr>
          <w:noProof/>
          <w:lang w:val="it-IT"/>
        </w:rPr>
        <w:t xml:space="preserve">Agnes P., Albergo S., Albuquerque I.F.M., Alexander T., Alici A., Alton A.K., Amadruz P., Arba M., Arpaia P., Arcelli S., Ave M., Avetissov I.C., Avetisov R.I., et al. </w:t>
      </w:r>
      <w:r w:rsidRPr="009A33A8">
        <w:rPr>
          <w:noProof/>
        </w:rPr>
        <w:t xml:space="preserve">(Darkside-20 Collaboration), 2021, Separating </w:t>
      </w:r>
      <w:r w:rsidRPr="009A33A8">
        <w:rPr>
          <w:noProof/>
          <w:vertAlign w:val="superscript"/>
        </w:rPr>
        <w:t>39</w:t>
      </w:r>
      <w:r w:rsidRPr="009A33A8">
        <w:rPr>
          <w:noProof/>
        </w:rPr>
        <w:t xml:space="preserve">Ar from </w:t>
      </w:r>
      <w:r w:rsidRPr="009A33A8">
        <w:rPr>
          <w:noProof/>
          <w:vertAlign w:val="superscript"/>
        </w:rPr>
        <w:t>40</w:t>
      </w:r>
      <w:r w:rsidRPr="009A33A8">
        <w:rPr>
          <w:noProof/>
        </w:rPr>
        <w:t>Ar by cryogenic distillation with Aria for dark matter searches, European Physical Journal C: Particles and Fields 81, 1434-6044.</w:t>
      </w:r>
    </w:p>
    <w:p w14:paraId="279F75FC" w14:textId="77777777" w:rsidR="009A33A8" w:rsidRPr="006217AA" w:rsidRDefault="009A33A8" w:rsidP="009A33A8">
      <w:pPr>
        <w:pStyle w:val="CETReferencetext"/>
        <w:rPr>
          <w:noProof/>
          <w:lang w:val="it-IT"/>
        </w:rPr>
      </w:pPr>
      <w:r w:rsidRPr="006217AA">
        <w:rPr>
          <w:noProof/>
          <w:lang w:val="it-IT"/>
        </w:rPr>
        <w:t>Ancona E., Boato G., Casanova G., 1962, Vapour Pressure of Isotopic Liquids, Il nuovo Cimento XXIV, 111-120.</w:t>
      </w:r>
    </w:p>
    <w:p w14:paraId="1D07F42E" w14:textId="77777777" w:rsidR="009A33A8" w:rsidRPr="009A33A8" w:rsidRDefault="009A33A8" w:rsidP="009A33A8">
      <w:pPr>
        <w:pStyle w:val="CETReferencetext"/>
        <w:rPr>
          <w:noProof/>
        </w:rPr>
      </w:pPr>
      <w:r w:rsidRPr="009A33A8">
        <w:rPr>
          <w:noProof/>
        </w:rPr>
        <w:t>Andreev B., 2007, Separation of Isotopes of Biogenic Elements in Two-phase Systems, Moscow, Russian Federation.</w:t>
      </w:r>
    </w:p>
    <w:p w14:paraId="6F2A3E8F" w14:textId="77777777" w:rsidR="009A33A8" w:rsidRPr="009A33A8" w:rsidRDefault="009A33A8" w:rsidP="009A33A8">
      <w:pPr>
        <w:pStyle w:val="CETReferencetext"/>
        <w:rPr>
          <w:noProof/>
        </w:rPr>
      </w:pPr>
      <w:r w:rsidRPr="009A33A8">
        <w:rPr>
          <w:noProof/>
        </w:rPr>
        <w:t>Baraldi L., 2024, Study of O</w:t>
      </w:r>
      <w:r w:rsidRPr="009A33A8">
        <w:rPr>
          <w:noProof/>
          <w:vertAlign w:val="subscript"/>
        </w:rPr>
        <w:t>2</w:t>
      </w:r>
      <w:r w:rsidRPr="009A33A8">
        <w:rPr>
          <w:noProof/>
        </w:rPr>
        <w:t xml:space="preserve"> Cryogenic Distillation for Stable Isotopes Production. Politecnico di Milano.</w:t>
      </w:r>
    </w:p>
    <w:p w14:paraId="4B1BC1E3" w14:textId="0F82990C" w:rsidR="009A33A8" w:rsidRPr="009A33A8" w:rsidRDefault="009A33A8" w:rsidP="009A33A8">
      <w:pPr>
        <w:pStyle w:val="CETReferencetext"/>
        <w:rPr>
          <w:noProof/>
        </w:rPr>
      </w:pPr>
      <w:r w:rsidRPr="009A33A8">
        <w:rPr>
          <w:noProof/>
        </w:rPr>
        <w:t xml:space="preserve">INFN, 2020. </w:t>
      </w:r>
      <w:hyperlink r:id="rId18" w:history="1">
        <w:r w:rsidRPr="009A33A8">
          <w:rPr>
            <w:rStyle w:val="Collegamentoipertestuale"/>
            <w:noProof/>
          </w:rPr>
          <w:t>https://wpress.ca.infn.it/?p=2866</w:t>
        </w:r>
      </w:hyperlink>
    </w:p>
    <w:p w14:paraId="3262ED59" w14:textId="14C52EB8" w:rsidR="009A33A8" w:rsidRPr="009A33A8" w:rsidRDefault="009A33A8" w:rsidP="009A33A8">
      <w:pPr>
        <w:pStyle w:val="CETReferencetext"/>
        <w:rPr>
          <w:noProof/>
        </w:rPr>
      </w:pPr>
      <w:r w:rsidRPr="009A33A8">
        <w:rPr>
          <w:noProof/>
        </w:rPr>
        <w:t xml:space="preserve">LibreText Chemistry, 2024. </w:t>
      </w:r>
      <w:hyperlink r:id="rId19" w:history="1">
        <w:r w:rsidRPr="009A33A8">
          <w:rPr>
            <w:rStyle w:val="Collegamentoipertestuale"/>
            <w:noProof/>
          </w:rPr>
          <w:t>https://chem.libretexts.org/Ancillary_Materials/Exemplars_and_Case_Studies/Exemplars/Physics_and_Astronomy/Oxygen_Isotopes_and_the_Origin_of_the_Planets</w:t>
        </w:r>
      </w:hyperlink>
    </w:p>
    <w:p w14:paraId="3F6DB069" w14:textId="77777777" w:rsidR="009A33A8" w:rsidRPr="009A33A8" w:rsidRDefault="009A33A8" w:rsidP="009A33A8">
      <w:pPr>
        <w:pStyle w:val="CETReferencetext"/>
        <w:rPr>
          <w:noProof/>
        </w:rPr>
      </w:pPr>
      <w:r w:rsidRPr="009A33A8">
        <w:rPr>
          <w:noProof/>
        </w:rPr>
        <w:t>Shulman G.I., Alger J.R., Prichard J.W., Shulman R.G., 1984, Nuclear Magnetic Resonance Spectroscopy in Diagnostic and Investigative Medicine, Nuclear Magnetic Resonance Spectroscopy in Medicine 74, 1127-1131.</w:t>
      </w:r>
    </w:p>
    <w:p w14:paraId="253D2C64" w14:textId="77777777" w:rsidR="009A33A8" w:rsidRPr="009A33A8" w:rsidRDefault="009A33A8" w:rsidP="009A33A8">
      <w:pPr>
        <w:pStyle w:val="CETReferencetext"/>
        <w:rPr>
          <w:noProof/>
        </w:rPr>
      </w:pPr>
      <w:r w:rsidRPr="009A33A8">
        <w:rPr>
          <w:noProof/>
        </w:rPr>
        <w:t>Ter-Pogossian M.M., Raichle M.E., Sobel B.E., 1980, Positron-Emission Tomography, Scientific American 243, 170-181.</w:t>
      </w:r>
    </w:p>
    <w:p w14:paraId="0174E451" w14:textId="24CC1EB8" w:rsidR="009A33A8" w:rsidRDefault="00D01E56" w:rsidP="009A33A8">
      <w:pPr>
        <w:pStyle w:val="CETReferencetext"/>
        <w:ind w:left="0" w:firstLine="0"/>
      </w:pPr>
      <w:r w:rsidRPr="0050575A">
        <w:fldChar w:fldCharType="end"/>
      </w:r>
    </w:p>
    <w:sectPr w:rsidR="009A33A8"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35394" w14:textId="77777777" w:rsidR="009B6E57" w:rsidRDefault="009B6E57" w:rsidP="004F5E36">
      <w:r>
        <w:separator/>
      </w:r>
    </w:p>
  </w:endnote>
  <w:endnote w:type="continuationSeparator" w:id="0">
    <w:p w14:paraId="0CBD9BC7" w14:textId="77777777" w:rsidR="009B6E57" w:rsidRDefault="009B6E5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1BDD7" w14:textId="77777777" w:rsidR="009B6E57" w:rsidRDefault="009B6E57" w:rsidP="004F5E36">
      <w:r>
        <w:separator/>
      </w:r>
    </w:p>
  </w:footnote>
  <w:footnote w:type="continuationSeparator" w:id="0">
    <w:p w14:paraId="6A941260" w14:textId="77777777" w:rsidR="009B6E57" w:rsidRDefault="009B6E5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EB6BFE"/>
    <w:multiLevelType w:val="hybridMultilevel"/>
    <w:tmpl w:val="B73877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1&lt;/Enabled&gt;&lt;ScanUnformatted&gt;1&lt;/ScanUnformatted&gt;&lt;ScanChanges&gt;1&lt;/ScanChanges&gt;&lt;Suspended&gt;0&lt;/Suspended&gt;&lt;/ENInstantFormat&gt;"/>
    <w:docVar w:name="EN.Layout" w:val="&lt;ENLayout&gt;&lt;Style&gt;Chemical Engineering Transactions&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ep529fssfr24ertz15wt2bvrvzfeta5w5v&quot;&gt;My EndNote Library&lt;record-ids&gt;&lt;item&gt;4123&lt;/item&gt;&lt;item&gt;4124&lt;/item&gt;&lt;item&gt;4125&lt;/item&gt;&lt;item&gt;4126&lt;/item&gt;&lt;item&gt;4127&lt;/item&gt;&lt;item&gt;4128&lt;/item&gt;&lt;item&gt;4129&lt;/item&gt;&lt;item&gt;4130&lt;/item&gt;&lt;item&gt;4131&lt;/item&gt;&lt;item&gt;4132&lt;/item&gt;&lt;/record-ids&gt;&lt;/item&gt;&lt;/Libraries&gt;"/>
  </w:docVars>
  <w:rsids>
    <w:rsidRoot w:val="000E414A"/>
    <w:rsid w:val="000027C0"/>
    <w:rsid w:val="000052FB"/>
    <w:rsid w:val="00005A19"/>
    <w:rsid w:val="000117CB"/>
    <w:rsid w:val="0003148D"/>
    <w:rsid w:val="00031EEC"/>
    <w:rsid w:val="00051566"/>
    <w:rsid w:val="00054841"/>
    <w:rsid w:val="000562A9"/>
    <w:rsid w:val="00062A9A"/>
    <w:rsid w:val="00065058"/>
    <w:rsid w:val="00082C72"/>
    <w:rsid w:val="00086C39"/>
    <w:rsid w:val="000A03B2"/>
    <w:rsid w:val="000D0268"/>
    <w:rsid w:val="000D34BE"/>
    <w:rsid w:val="000E0B3C"/>
    <w:rsid w:val="000E102F"/>
    <w:rsid w:val="000E36F1"/>
    <w:rsid w:val="000E3A73"/>
    <w:rsid w:val="000E414A"/>
    <w:rsid w:val="000E75FD"/>
    <w:rsid w:val="000F093C"/>
    <w:rsid w:val="000F64B5"/>
    <w:rsid w:val="000F787B"/>
    <w:rsid w:val="00100139"/>
    <w:rsid w:val="0012091F"/>
    <w:rsid w:val="00126BC2"/>
    <w:rsid w:val="001308B6"/>
    <w:rsid w:val="0013121F"/>
    <w:rsid w:val="00131FE6"/>
    <w:rsid w:val="0013263F"/>
    <w:rsid w:val="001331DF"/>
    <w:rsid w:val="00134DE4"/>
    <w:rsid w:val="0014034D"/>
    <w:rsid w:val="00140FE3"/>
    <w:rsid w:val="001442B3"/>
    <w:rsid w:val="00144D16"/>
    <w:rsid w:val="00150E59"/>
    <w:rsid w:val="00152DE3"/>
    <w:rsid w:val="00164CF9"/>
    <w:rsid w:val="0016668E"/>
    <w:rsid w:val="001667A6"/>
    <w:rsid w:val="0018171E"/>
    <w:rsid w:val="00184AD6"/>
    <w:rsid w:val="001A4AF7"/>
    <w:rsid w:val="001B0349"/>
    <w:rsid w:val="001B1E93"/>
    <w:rsid w:val="001B65C1"/>
    <w:rsid w:val="001C260F"/>
    <w:rsid w:val="001C5C3A"/>
    <w:rsid w:val="001C684B"/>
    <w:rsid w:val="001D0CFB"/>
    <w:rsid w:val="001D21AF"/>
    <w:rsid w:val="001D3D32"/>
    <w:rsid w:val="001D53FC"/>
    <w:rsid w:val="001F42A5"/>
    <w:rsid w:val="001F7B9D"/>
    <w:rsid w:val="00201C93"/>
    <w:rsid w:val="002224B4"/>
    <w:rsid w:val="002447EF"/>
    <w:rsid w:val="00251550"/>
    <w:rsid w:val="002564D3"/>
    <w:rsid w:val="00263B05"/>
    <w:rsid w:val="0027221A"/>
    <w:rsid w:val="00275B61"/>
    <w:rsid w:val="00280093"/>
    <w:rsid w:val="00280FAF"/>
    <w:rsid w:val="00282656"/>
    <w:rsid w:val="00296B83"/>
    <w:rsid w:val="002B4015"/>
    <w:rsid w:val="002B78CE"/>
    <w:rsid w:val="002C2FB6"/>
    <w:rsid w:val="002E5FA7"/>
    <w:rsid w:val="002F3309"/>
    <w:rsid w:val="003008CE"/>
    <w:rsid w:val="003009B7"/>
    <w:rsid w:val="00300E56"/>
    <w:rsid w:val="0030152C"/>
    <w:rsid w:val="0030469C"/>
    <w:rsid w:val="00304CE8"/>
    <w:rsid w:val="003114DD"/>
    <w:rsid w:val="00321CA6"/>
    <w:rsid w:val="00323763"/>
    <w:rsid w:val="00323C5F"/>
    <w:rsid w:val="0032562E"/>
    <w:rsid w:val="00334C09"/>
    <w:rsid w:val="003723D4"/>
    <w:rsid w:val="00381905"/>
    <w:rsid w:val="00381B95"/>
    <w:rsid w:val="00384CC8"/>
    <w:rsid w:val="003871FD"/>
    <w:rsid w:val="003907AF"/>
    <w:rsid w:val="003A1E30"/>
    <w:rsid w:val="003A2829"/>
    <w:rsid w:val="003A7D1C"/>
    <w:rsid w:val="003B304B"/>
    <w:rsid w:val="003B3146"/>
    <w:rsid w:val="003B49CD"/>
    <w:rsid w:val="003B5D61"/>
    <w:rsid w:val="003D1E02"/>
    <w:rsid w:val="003F015E"/>
    <w:rsid w:val="00400414"/>
    <w:rsid w:val="00404264"/>
    <w:rsid w:val="00412B61"/>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A6896"/>
    <w:rsid w:val="004C3D1D"/>
    <w:rsid w:val="004C3D84"/>
    <w:rsid w:val="004C7913"/>
    <w:rsid w:val="004E4DD6"/>
    <w:rsid w:val="004F5E36"/>
    <w:rsid w:val="0050575A"/>
    <w:rsid w:val="00507B47"/>
    <w:rsid w:val="00507BEF"/>
    <w:rsid w:val="00507CC9"/>
    <w:rsid w:val="005119A5"/>
    <w:rsid w:val="005278B7"/>
    <w:rsid w:val="00532016"/>
    <w:rsid w:val="005346C8"/>
    <w:rsid w:val="00543E7D"/>
    <w:rsid w:val="00547A68"/>
    <w:rsid w:val="005531C9"/>
    <w:rsid w:val="00554879"/>
    <w:rsid w:val="00570C43"/>
    <w:rsid w:val="00592274"/>
    <w:rsid w:val="005A28CB"/>
    <w:rsid w:val="005B2110"/>
    <w:rsid w:val="005B350B"/>
    <w:rsid w:val="005B61E6"/>
    <w:rsid w:val="005C77E1"/>
    <w:rsid w:val="005D668A"/>
    <w:rsid w:val="005D6A2F"/>
    <w:rsid w:val="005E0592"/>
    <w:rsid w:val="005E1A82"/>
    <w:rsid w:val="005E5466"/>
    <w:rsid w:val="005E794C"/>
    <w:rsid w:val="005F0A28"/>
    <w:rsid w:val="005F0E5E"/>
    <w:rsid w:val="00600535"/>
    <w:rsid w:val="00610CD6"/>
    <w:rsid w:val="00620DEE"/>
    <w:rsid w:val="006217AA"/>
    <w:rsid w:val="00621F92"/>
    <w:rsid w:val="0062280A"/>
    <w:rsid w:val="006231E1"/>
    <w:rsid w:val="00625639"/>
    <w:rsid w:val="00626342"/>
    <w:rsid w:val="00631B33"/>
    <w:rsid w:val="00635EC6"/>
    <w:rsid w:val="0064001D"/>
    <w:rsid w:val="0064184D"/>
    <w:rsid w:val="006422CC"/>
    <w:rsid w:val="00651D18"/>
    <w:rsid w:val="00660E3E"/>
    <w:rsid w:val="00662E74"/>
    <w:rsid w:val="00680C23"/>
    <w:rsid w:val="00683E23"/>
    <w:rsid w:val="006849CB"/>
    <w:rsid w:val="00693766"/>
    <w:rsid w:val="006A3281"/>
    <w:rsid w:val="006A6DE5"/>
    <w:rsid w:val="006B4888"/>
    <w:rsid w:val="006C2E45"/>
    <w:rsid w:val="006C359C"/>
    <w:rsid w:val="006C5579"/>
    <w:rsid w:val="006D6E8B"/>
    <w:rsid w:val="006D7209"/>
    <w:rsid w:val="006E737D"/>
    <w:rsid w:val="0070186E"/>
    <w:rsid w:val="00707DD1"/>
    <w:rsid w:val="00713973"/>
    <w:rsid w:val="00720A24"/>
    <w:rsid w:val="00732386"/>
    <w:rsid w:val="0073514D"/>
    <w:rsid w:val="007447F3"/>
    <w:rsid w:val="0075499F"/>
    <w:rsid w:val="007661C8"/>
    <w:rsid w:val="0077098D"/>
    <w:rsid w:val="0078239D"/>
    <w:rsid w:val="00785BF9"/>
    <w:rsid w:val="007931FA"/>
    <w:rsid w:val="007A4861"/>
    <w:rsid w:val="007A7BBA"/>
    <w:rsid w:val="007B0C50"/>
    <w:rsid w:val="007B272B"/>
    <w:rsid w:val="007B48F9"/>
    <w:rsid w:val="007C1A43"/>
    <w:rsid w:val="007C574B"/>
    <w:rsid w:val="007D0951"/>
    <w:rsid w:val="007D610D"/>
    <w:rsid w:val="0080013E"/>
    <w:rsid w:val="00801759"/>
    <w:rsid w:val="00813288"/>
    <w:rsid w:val="008168FC"/>
    <w:rsid w:val="00830996"/>
    <w:rsid w:val="008345F1"/>
    <w:rsid w:val="00865B07"/>
    <w:rsid w:val="008667EA"/>
    <w:rsid w:val="0087637F"/>
    <w:rsid w:val="00892AD5"/>
    <w:rsid w:val="008A1512"/>
    <w:rsid w:val="008D32B9"/>
    <w:rsid w:val="008D433B"/>
    <w:rsid w:val="008D4A16"/>
    <w:rsid w:val="008E5401"/>
    <w:rsid w:val="008E566E"/>
    <w:rsid w:val="0090161A"/>
    <w:rsid w:val="00901EB6"/>
    <w:rsid w:val="009041F8"/>
    <w:rsid w:val="00904C62"/>
    <w:rsid w:val="0091523E"/>
    <w:rsid w:val="00922BA8"/>
    <w:rsid w:val="00924DAC"/>
    <w:rsid w:val="00927058"/>
    <w:rsid w:val="00934A59"/>
    <w:rsid w:val="009407E0"/>
    <w:rsid w:val="00942750"/>
    <w:rsid w:val="009450CE"/>
    <w:rsid w:val="009459BB"/>
    <w:rsid w:val="00947179"/>
    <w:rsid w:val="0095164B"/>
    <w:rsid w:val="00954090"/>
    <w:rsid w:val="0095557F"/>
    <w:rsid w:val="009573E7"/>
    <w:rsid w:val="00963E05"/>
    <w:rsid w:val="00964A45"/>
    <w:rsid w:val="00967843"/>
    <w:rsid w:val="00967D54"/>
    <w:rsid w:val="00971028"/>
    <w:rsid w:val="00993B84"/>
    <w:rsid w:val="00994C6A"/>
    <w:rsid w:val="00996483"/>
    <w:rsid w:val="00996F5A"/>
    <w:rsid w:val="009A33A8"/>
    <w:rsid w:val="009B041A"/>
    <w:rsid w:val="009B6E57"/>
    <w:rsid w:val="009C37C3"/>
    <w:rsid w:val="009C7C86"/>
    <w:rsid w:val="009D2FF7"/>
    <w:rsid w:val="009E7884"/>
    <w:rsid w:val="009E788A"/>
    <w:rsid w:val="009F0E08"/>
    <w:rsid w:val="00A079AE"/>
    <w:rsid w:val="00A11A9E"/>
    <w:rsid w:val="00A1763D"/>
    <w:rsid w:val="00A17CEC"/>
    <w:rsid w:val="00A27EF0"/>
    <w:rsid w:val="00A41B24"/>
    <w:rsid w:val="00A42361"/>
    <w:rsid w:val="00A50B20"/>
    <w:rsid w:val="00A51390"/>
    <w:rsid w:val="00A60D13"/>
    <w:rsid w:val="00A7223D"/>
    <w:rsid w:val="00A72745"/>
    <w:rsid w:val="00A76EFC"/>
    <w:rsid w:val="00A87D50"/>
    <w:rsid w:val="00A91010"/>
    <w:rsid w:val="00A97F29"/>
    <w:rsid w:val="00AA702E"/>
    <w:rsid w:val="00AA7D26"/>
    <w:rsid w:val="00AB0964"/>
    <w:rsid w:val="00AB5011"/>
    <w:rsid w:val="00AC7368"/>
    <w:rsid w:val="00AD16B9"/>
    <w:rsid w:val="00AD386D"/>
    <w:rsid w:val="00AE377D"/>
    <w:rsid w:val="00AF0EBA"/>
    <w:rsid w:val="00AF2463"/>
    <w:rsid w:val="00B02C8A"/>
    <w:rsid w:val="00B17FBD"/>
    <w:rsid w:val="00B315A6"/>
    <w:rsid w:val="00B31813"/>
    <w:rsid w:val="00B33365"/>
    <w:rsid w:val="00B57B36"/>
    <w:rsid w:val="00B57E6F"/>
    <w:rsid w:val="00B8686D"/>
    <w:rsid w:val="00B93F69"/>
    <w:rsid w:val="00BA0B0C"/>
    <w:rsid w:val="00BB1DDC"/>
    <w:rsid w:val="00BC30C9"/>
    <w:rsid w:val="00BD077D"/>
    <w:rsid w:val="00BD5BAA"/>
    <w:rsid w:val="00BE3E58"/>
    <w:rsid w:val="00BF13CE"/>
    <w:rsid w:val="00BF1BC6"/>
    <w:rsid w:val="00C01616"/>
    <w:rsid w:val="00C0162B"/>
    <w:rsid w:val="00C068ED"/>
    <w:rsid w:val="00C22E0C"/>
    <w:rsid w:val="00C345B1"/>
    <w:rsid w:val="00C35D93"/>
    <w:rsid w:val="00C40142"/>
    <w:rsid w:val="00C461D0"/>
    <w:rsid w:val="00C52C3C"/>
    <w:rsid w:val="00C57182"/>
    <w:rsid w:val="00C57863"/>
    <w:rsid w:val="00C640AF"/>
    <w:rsid w:val="00C655FD"/>
    <w:rsid w:val="00C75407"/>
    <w:rsid w:val="00C841C6"/>
    <w:rsid w:val="00C870A8"/>
    <w:rsid w:val="00C94434"/>
    <w:rsid w:val="00CA0D75"/>
    <w:rsid w:val="00CA1C95"/>
    <w:rsid w:val="00CA5A9C"/>
    <w:rsid w:val="00CB1E69"/>
    <w:rsid w:val="00CC4C20"/>
    <w:rsid w:val="00CD3517"/>
    <w:rsid w:val="00CD5FE2"/>
    <w:rsid w:val="00CE6EBA"/>
    <w:rsid w:val="00CE7C68"/>
    <w:rsid w:val="00D01E56"/>
    <w:rsid w:val="00D02B4C"/>
    <w:rsid w:val="00D040C4"/>
    <w:rsid w:val="00D20AD1"/>
    <w:rsid w:val="00D24818"/>
    <w:rsid w:val="00D2582C"/>
    <w:rsid w:val="00D421AC"/>
    <w:rsid w:val="00D46B7E"/>
    <w:rsid w:val="00D57C84"/>
    <w:rsid w:val="00D6057D"/>
    <w:rsid w:val="00D71640"/>
    <w:rsid w:val="00D836C5"/>
    <w:rsid w:val="00D84576"/>
    <w:rsid w:val="00D84618"/>
    <w:rsid w:val="00DA1399"/>
    <w:rsid w:val="00DA24C6"/>
    <w:rsid w:val="00DA4D7B"/>
    <w:rsid w:val="00DC2840"/>
    <w:rsid w:val="00DC73EE"/>
    <w:rsid w:val="00DD271C"/>
    <w:rsid w:val="00DE264A"/>
    <w:rsid w:val="00DF1B6D"/>
    <w:rsid w:val="00DF5072"/>
    <w:rsid w:val="00E02D18"/>
    <w:rsid w:val="00E041E7"/>
    <w:rsid w:val="00E137D3"/>
    <w:rsid w:val="00E15BAC"/>
    <w:rsid w:val="00E23CA1"/>
    <w:rsid w:val="00E409A8"/>
    <w:rsid w:val="00E50C12"/>
    <w:rsid w:val="00E53428"/>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EF50F8"/>
    <w:rsid w:val="00F04B3A"/>
    <w:rsid w:val="00F3049E"/>
    <w:rsid w:val="00F30C64"/>
    <w:rsid w:val="00F32BA2"/>
    <w:rsid w:val="00F32CDB"/>
    <w:rsid w:val="00F41EE4"/>
    <w:rsid w:val="00F52BC1"/>
    <w:rsid w:val="00F565FE"/>
    <w:rsid w:val="00F63A70"/>
    <w:rsid w:val="00F63D8C"/>
    <w:rsid w:val="00F7534E"/>
    <w:rsid w:val="00F763D6"/>
    <w:rsid w:val="00F90471"/>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paragraph" w:customStyle="1" w:styleId="Text">
    <w:name w:val="Text"/>
    <w:basedOn w:val="Normale"/>
    <w:link w:val="TextChar"/>
    <w:qFormat/>
    <w:rsid w:val="00BF1BC6"/>
    <w:pPr>
      <w:tabs>
        <w:tab w:val="clear" w:pos="7100"/>
      </w:tabs>
      <w:spacing w:before="120" w:after="120" w:line="240" w:lineRule="auto"/>
    </w:pPr>
    <w:rPr>
      <w:rFonts w:ascii="Palatino Linotype" w:eastAsiaTheme="minorHAnsi" w:hAnsi="Palatino Linotype" w:cstheme="minorBidi"/>
      <w:sz w:val="20"/>
      <w:szCs w:val="22"/>
      <w:lang w:val="en-US"/>
    </w:rPr>
  </w:style>
  <w:style w:type="character" w:customStyle="1" w:styleId="TextChar">
    <w:name w:val="Text Char"/>
    <w:basedOn w:val="Carpredefinitoparagrafo"/>
    <w:link w:val="Text"/>
    <w:rsid w:val="00BF1BC6"/>
    <w:rPr>
      <w:rFonts w:ascii="Palatino Linotype" w:hAnsi="Palatino Linotype"/>
      <w:sz w:val="20"/>
      <w:lang w:val="en-US"/>
    </w:rPr>
  </w:style>
  <w:style w:type="paragraph" w:customStyle="1" w:styleId="EndNoteBibliographyTitle">
    <w:name w:val="EndNote Bibliography Title"/>
    <w:basedOn w:val="Normale"/>
    <w:link w:val="EndNoteBibliographyTitleCarattere"/>
    <w:rsid w:val="00D01E56"/>
    <w:pPr>
      <w:jc w:val="center"/>
    </w:pPr>
    <w:rPr>
      <w:rFonts w:cs="Arial"/>
      <w:noProof/>
      <w:sz w:val="20"/>
      <w:lang w:val="en-US"/>
    </w:rPr>
  </w:style>
  <w:style w:type="character" w:customStyle="1" w:styleId="EndNoteBibliographyTitleCarattere">
    <w:name w:val="EndNote Bibliography Title Carattere"/>
    <w:basedOn w:val="CETBodytextCarattere"/>
    <w:link w:val="EndNoteBibliographyTitle"/>
    <w:rsid w:val="00D01E56"/>
    <w:rPr>
      <w:rFonts w:ascii="Arial" w:eastAsia="Times New Roman" w:hAnsi="Arial" w:cs="Arial"/>
      <w:noProof/>
      <w:sz w:val="20"/>
      <w:szCs w:val="20"/>
      <w:lang w:val="en-US"/>
    </w:rPr>
  </w:style>
  <w:style w:type="paragraph" w:customStyle="1" w:styleId="EndNoteBibliography">
    <w:name w:val="EndNote Bibliography"/>
    <w:basedOn w:val="Normale"/>
    <w:link w:val="EndNoteBibliographyCarattere"/>
    <w:rsid w:val="00D01E56"/>
    <w:pPr>
      <w:spacing w:line="240" w:lineRule="auto"/>
      <w:jc w:val="left"/>
    </w:pPr>
    <w:rPr>
      <w:rFonts w:cs="Arial"/>
      <w:noProof/>
      <w:sz w:val="20"/>
      <w:lang w:val="en-US"/>
    </w:rPr>
  </w:style>
  <w:style w:type="character" w:customStyle="1" w:styleId="EndNoteBibliographyCarattere">
    <w:name w:val="EndNote Bibliography Carattere"/>
    <w:basedOn w:val="CETBodytextCarattere"/>
    <w:link w:val="EndNoteBibliography"/>
    <w:rsid w:val="00D01E56"/>
    <w:rPr>
      <w:rFonts w:ascii="Arial" w:eastAsia="Times New Roman" w:hAnsi="Arial" w:cs="Arial"/>
      <w:noProof/>
      <w:sz w:val="20"/>
      <w:szCs w:val="20"/>
      <w:lang w:val="en-US"/>
    </w:rPr>
  </w:style>
  <w:style w:type="paragraph" w:customStyle="1" w:styleId="Default">
    <w:name w:val="Default"/>
    <w:rsid w:val="00E15BAC"/>
    <w:pPr>
      <w:autoSpaceDE w:val="0"/>
      <w:autoSpaceDN w:val="0"/>
      <w:adjustRightInd w:val="0"/>
      <w:spacing w:after="0" w:line="240" w:lineRule="auto"/>
    </w:pPr>
    <w:rPr>
      <w:rFonts w:ascii="Palatino Linotype" w:hAnsi="Palatino Linotype" w:cs="Palatino Linotype"/>
      <w:color w:val="000000"/>
      <w:sz w:val="24"/>
      <w:szCs w:val="24"/>
    </w:rPr>
  </w:style>
  <w:style w:type="character" w:styleId="Menzionenonrisolta">
    <w:name w:val="Unresolved Mention"/>
    <w:basedOn w:val="Carpredefinitoparagrafo"/>
    <w:uiPriority w:val="99"/>
    <w:semiHidden/>
    <w:unhideWhenUsed/>
    <w:rsid w:val="00E15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yperlink" Target="https://wpress.ca.infn.it/?p=286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yperlink" Target="https://chem.libretexts.org/Ancillary_Materials/Exemplars_and_Case_Studies/Exemplars/Physics_and_Astronomy/Oxygen_Isotopes_and_the_Origin_of_the_Plane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And07</b:Tag>
    <b:SourceType>Book</b:SourceType>
    <b:Guid>{DA75D741-D7DF-4278-9BA0-0957E8A27A02}</b:Guid>
    <b:Author>
      <b:Author>
        <b:NameList>
          <b:Person>
            <b:Last>Andreev</b:Last>
            <b:First>B.M.</b:First>
          </b:Person>
        </b:NameList>
      </b:Author>
    </b:Author>
    <b:Title>Separation of Isotopes of Biogenic Elements in Two-phase Systems</b:Title>
    <b:Year>2007</b:Year>
    <b:City>Moscow, Russian Federation</b:City>
    <b:Publisher>Elsevier</b:Publisher>
    <b:RefOrder>1</b:RefOrder>
  </b:Source>
  <b:Source>
    <b:Tag>Dar21</b:Tag>
    <b:SourceType>JournalArticle</b:SourceType>
    <b:Guid>{F1A69850-D738-4FA9-8413-3C6514181836}</b:Guid>
    <b:Author>
      <b:Author>
        <b:Corporate>DarkSide-20k Collaboration</b:Corporate>
      </b:Author>
    </b:Author>
    <b:Title>Separating 39Ar from 40Ar by cryogenic distillation with Aria for dark-matter searches</b:Title>
    <b:JournalName>Eur. Phys. J. C</b:JournalName>
    <b:Year>2021</b:Year>
    <b:Pages>359 (18)</b:Pages>
    <b:Volume>81</b:Volume>
    <b:RefOrder>2</b:RefOrder>
  </b:Source>
  <b:Source>
    <b:Tag>Dar19</b:Tag>
    <b:SourceType>Report</b:SourceType>
    <b:Guid>{014E682A-E841-4C8C-9822-5A36CFEB908B}</b:Guid>
    <b:Title>DarkSide-20k Preliminary Design Report</b:Title>
    <b:Year>2019</b:Year>
    <b:Author>
      <b:Author>
        <b:Corporate>DarkSide-20k Collaboration</b:Corporate>
      </b:Author>
    </b:Author>
    <b:RefOrder>3</b:RefOrder>
  </b:Source>
  <b:Source>
    <b:Tag>GBe05</b:Tag>
    <b:SourceType>Misc</b:SourceType>
    <b:Guid>{14E24506-9E01-4172-B79E-0B870A306751}</b:Guid>
    <b:Author>
      <b:Author>
        <b:NameList>
          <b:Person>
            <b:Last>Bertone</b:Last>
            <b:First>G.</b:First>
          </b:Person>
          <b:Person>
            <b:Last>Hooper</b:Last>
            <b:First>D.</b:First>
          </b:Person>
          <b:Person>
            <b:Last>Silk</b:Last>
            <b:First>J.</b:First>
          </b:Person>
        </b:NameList>
      </b:Author>
    </b:Author>
    <b:Title>Particle dark matter:e vidence, candidates and constraints</b:Title>
    <b:PeriodicalTitle>Physics Reports</b:PeriodicalTitle>
    <b:Year>2005</b:Year>
    <b:Pages>279-390</b:Pages>
    <b:Publisher>Elsevier</b:Publisher>
    <b:RefOrder>4</b:RefOrder>
  </b:Source>
  <b:Source>
    <b:Tag>Dar16</b:Tag>
    <b:SourceType>Misc</b:SourceType>
    <b:Guid>{3937079C-1EAB-47D5-B7A9-54474B7C445F}</b:Guid>
    <b:Author>
      <b:Author>
        <b:Corporate>DarkSide-20k Collaboration</b:Corporate>
      </b:Author>
    </b:Author>
    <b:Title>The veto system of the DarkSide-50 experiment</b:Title>
    <b:Year>2016</b:Year>
    <b:Publisher>IOP Publishing Ltd and Sissa Medialab srl</b:Publisher>
    <b:RefOrder>5</b:RefOrder>
  </b:Source>
</b:Sources>
</file>

<file path=customXml/itemProps1.xml><?xml version="1.0" encoding="utf-8"?>
<ds:datastoreItem xmlns:ds="http://schemas.openxmlformats.org/officeDocument/2006/customXml" ds:itemID="{B939D3FF-F30B-43D8-8E8B-098139E0C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6</Pages>
  <Words>4460</Words>
  <Characters>25427</Characters>
  <Application>Microsoft Office Word</Application>
  <DocSecurity>0</DocSecurity>
  <Lines>211</Lines>
  <Paragraphs>59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GASP</cp:lastModifiedBy>
  <cp:revision>52</cp:revision>
  <cp:lastPrinted>2015-05-12T18:31:00Z</cp:lastPrinted>
  <dcterms:created xsi:type="dcterms:W3CDTF">2024-02-20T10:29:00Z</dcterms:created>
  <dcterms:modified xsi:type="dcterms:W3CDTF">2025-01-28T14:15:00Z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