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7A22B4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7A22B4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7A22B4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25D7B18" w:rsidR="00AA7D26" w:rsidRPr="007D610D" w:rsidRDefault="00AA7D26" w:rsidP="007D610D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7D610D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Fabrizio Bezzo, 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Flavio Manenti</w:t>
            </w:r>
            <w:r w:rsidR="00304CE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Gabriele Pannocchia, Almerinda di Benedetto</w:t>
            </w:r>
          </w:p>
          <w:p w14:paraId="1B0F1814" w14:textId="7C54DC3A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81206-1</w:t>
            </w:r>
            <w:r w:rsidR="00994C6A">
              <w:rPr>
                <w:rFonts w:ascii="Tahoma" w:hAnsi="Tahoma" w:cs="Tahoma"/>
                <w:sz w:val="14"/>
                <w:szCs w:val="14"/>
              </w:rPr>
              <w:t>7</w:t>
            </w:r>
            <w:r w:rsidR="003B49CD">
              <w:rPr>
                <w:rFonts w:ascii="Tahoma" w:hAnsi="Tahoma" w:cs="Tahoma"/>
                <w:sz w:val="14"/>
                <w:szCs w:val="14"/>
              </w:rPr>
              <w:t>-</w:t>
            </w:r>
            <w:r w:rsidR="00994C6A">
              <w:rPr>
                <w:rFonts w:ascii="Tahoma" w:hAnsi="Tahoma" w:cs="Tahoma"/>
                <w:sz w:val="14"/>
                <w:szCs w:val="14"/>
              </w:rPr>
              <w:t>5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3B2F3F42" w:rsidR="00E978D0" w:rsidRPr="00B57B36" w:rsidRDefault="007A22B4" w:rsidP="00E978D0">
      <w:pPr>
        <w:pStyle w:val="CETTitle"/>
      </w:pPr>
      <w:r>
        <w:t xml:space="preserve">Validation of </w:t>
      </w:r>
      <w:r w:rsidR="003F45BD">
        <w:t>Gas-Liquid</w:t>
      </w:r>
      <w:r>
        <w:t xml:space="preserve"> </w:t>
      </w:r>
      <w:r w:rsidR="0079495F">
        <w:t>F</w:t>
      </w:r>
      <w:r>
        <w:t xml:space="preserve">low </w:t>
      </w:r>
      <w:r w:rsidR="001176D2">
        <w:t>M</w:t>
      </w:r>
      <w:r>
        <w:t xml:space="preserve">aps </w:t>
      </w:r>
      <w:r w:rsidR="003F45BD">
        <w:t>using</w:t>
      </w:r>
      <w:r>
        <w:br/>
        <w:t>Chemical Thermodynamic Simulation</w:t>
      </w:r>
    </w:p>
    <w:p w14:paraId="0488FED2" w14:textId="2BD600BE" w:rsidR="00B57E6F" w:rsidRPr="00B57B36" w:rsidRDefault="007A22B4" w:rsidP="00B57E6F">
      <w:pPr>
        <w:pStyle w:val="CETAuthors"/>
      </w:pPr>
      <w:r>
        <w:t>Luigi Raimondi</w:t>
      </w:r>
    </w:p>
    <w:p w14:paraId="6B2D21B3" w14:textId="4BE74AB2" w:rsidR="00B57E6F" w:rsidRPr="00B57B36" w:rsidRDefault="007A22B4" w:rsidP="00B57E6F">
      <w:pPr>
        <w:pStyle w:val="CETAddress"/>
      </w:pPr>
      <w:r>
        <w:t>Process Simulation Services srl</w:t>
      </w:r>
    </w:p>
    <w:p w14:paraId="73F1267A" w14:textId="0329680F" w:rsidR="00B57E6F" w:rsidRPr="00B57B36" w:rsidRDefault="007A22B4" w:rsidP="00B57E6F">
      <w:pPr>
        <w:pStyle w:val="CETemail"/>
      </w:pPr>
      <w:r>
        <w:t>luigi.raimondi@xpsimworld.com</w:t>
      </w:r>
    </w:p>
    <w:p w14:paraId="3D895513" w14:textId="0161BEDB" w:rsidR="00364A68" w:rsidRPr="004943C3" w:rsidRDefault="00364A68" w:rsidP="00364A68">
      <w:pPr>
        <w:spacing w:line="240" w:lineRule="auto"/>
        <w:rPr>
          <w:rFonts w:cs="Arial"/>
        </w:rPr>
      </w:pPr>
      <w:r w:rsidRPr="00A13E4B">
        <w:rPr>
          <w:rFonts w:cs="Arial"/>
        </w:rPr>
        <w:t xml:space="preserve">The transport of liquid and vapor phases </w:t>
      </w:r>
      <w:r w:rsidR="00CC6BA1">
        <w:rPr>
          <w:rFonts w:cs="Arial"/>
        </w:rPr>
        <w:t xml:space="preserve">in pipes </w:t>
      </w:r>
      <w:r w:rsidRPr="00A13E4B">
        <w:rPr>
          <w:rFonts w:cs="Arial"/>
        </w:rPr>
        <w:t>is a more complex engineering problem than that of separate phases</w:t>
      </w:r>
      <w:r w:rsidR="00CC6BA1">
        <w:rPr>
          <w:rFonts w:cs="Arial"/>
        </w:rPr>
        <w:t xml:space="preserve">. </w:t>
      </w:r>
      <w:r w:rsidRPr="00A13E4B">
        <w:rPr>
          <w:rFonts w:cs="Arial"/>
        </w:rPr>
        <w:t>Two-phase transport can be found in chemical plants, production of oil and gas from wells, and reinjection of gas-oil mixtures into depleted reservoirs.</w:t>
      </w:r>
      <w:r w:rsidR="001176D2">
        <w:rPr>
          <w:rFonts w:cs="Arial"/>
        </w:rPr>
        <w:t xml:space="preserve"> </w:t>
      </w:r>
      <w:r w:rsidRPr="00A13E4B">
        <w:rPr>
          <w:rFonts w:cs="Arial"/>
        </w:rPr>
        <w:t xml:space="preserve">Two-phase flow models were initially based on empirical correlations and the </w:t>
      </w:r>
      <w:r>
        <w:rPr>
          <w:rFonts w:cs="Arial"/>
        </w:rPr>
        <w:t>search</w:t>
      </w:r>
      <w:r w:rsidRPr="00A13E4B">
        <w:rPr>
          <w:rFonts w:cs="Arial"/>
        </w:rPr>
        <w:t xml:space="preserve"> </w:t>
      </w:r>
      <w:r>
        <w:rPr>
          <w:rFonts w:cs="Arial"/>
        </w:rPr>
        <w:t>for</w:t>
      </w:r>
      <w:r w:rsidRPr="00A13E4B">
        <w:rPr>
          <w:rFonts w:cs="Arial"/>
        </w:rPr>
        <w:t xml:space="preserve"> </w:t>
      </w:r>
      <w:proofErr w:type="spellStart"/>
      <w:r w:rsidRPr="00A13E4B">
        <w:rPr>
          <w:rFonts w:cs="Arial"/>
        </w:rPr>
        <w:t>adimensional</w:t>
      </w:r>
      <w:proofErr w:type="spellEnd"/>
      <w:r w:rsidRPr="00A13E4B">
        <w:rPr>
          <w:rFonts w:cs="Arial"/>
        </w:rPr>
        <w:t xml:space="preserve"> groups</w:t>
      </w:r>
      <w:r>
        <w:rPr>
          <w:rFonts w:cs="Arial"/>
        </w:rPr>
        <w:t xml:space="preserve"> </w:t>
      </w:r>
      <w:r w:rsidR="00EF1213">
        <w:rPr>
          <w:rFonts w:cs="Arial"/>
        </w:rPr>
        <w:t xml:space="preserve">for the </w:t>
      </w:r>
      <w:r>
        <w:rPr>
          <w:rFonts w:cs="Arial"/>
        </w:rPr>
        <w:t>calculati</w:t>
      </w:r>
      <w:r w:rsidR="00EF1213">
        <w:rPr>
          <w:rFonts w:cs="Arial"/>
        </w:rPr>
        <w:t xml:space="preserve">on of </w:t>
      </w:r>
      <w:r>
        <w:rPr>
          <w:rFonts w:cs="Arial"/>
        </w:rPr>
        <w:t>liquid holdup and friction factors for pressure evaluations</w:t>
      </w:r>
      <w:r w:rsidRPr="00A13E4B">
        <w:rPr>
          <w:rFonts w:cs="Arial"/>
        </w:rPr>
        <w:t>. Later the analysis of gas-liquid interactions turned to the</w:t>
      </w:r>
      <w:r w:rsidR="00EF1213">
        <w:rPr>
          <w:rFonts w:cs="Arial"/>
        </w:rPr>
        <w:t xml:space="preserve"> </w:t>
      </w:r>
      <w:r w:rsidRPr="00A13E4B">
        <w:rPr>
          <w:rFonts w:cs="Arial"/>
        </w:rPr>
        <w:t xml:space="preserve">search for mechanistic models based on fundamental physical principles. The </w:t>
      </w:r>
      <w:r>
        <w:rPr>
          <w:rFonts w:cs="Arial"/>
        </w:rPr>
        <w:t xml:space="preserve">initial </w:t>
      </w:r>
      <w:r w:rsidRPr="00A13E4B">
        <w:rPr>
          <w:rFonts w:cs="Arial"/>
        </w:rPr>
        <w:t xml:space="preserve">development of this topic occurred in the 1980s and 1990s. The seminal study </w:t>
      </w:r>
      <w:r w:rsidR="00F33FE5">
        <w:rPr>
          <w:rFonts w:cs="Arial"/>
        </w:rPr>
        <w:t xml:space="preserve">titled </w:t>
      </w:r>
      <w:r w:rsidR="00F33FE5" w:rsidRPr="00A13E4B">
        <w:rPr>
          <w:rFonts w:cs="Arial"/>
        </w:rPr>
        <w:t>“A Model for Predicting Flow Regime Transitions in Horizontal and near Horizontal Gas-Liquid Flow”</w:t>
      </w:r>
      <w:r w:rsidR="00F33FE5">
        <w:rPr>
          <w:rFonts w:cs="Arial"/>
        </w:rPr>
        <w:t xml:space="preserve"> was published </w:t>
      </w:r>
      <w:r w:rsidRPr="00A13E4B">
        <w:rPr>
          <w:rFonts w:cs="Arial"/>
        </w:rPr>
        <w:t xml:space="preserve">by </w:t>
      </w:r>
      <w:proofErr w:type="spellStart"/>
      <w:r w:rsidRPr="00A13E4B">
        <w:rPr>
          <w:rFonts w:cs="Arial"/>
        </w:rPr>
        <w:t>Taitel</w:t>
      </w:r>
      <w:proofErr w:type="spellEnd"/>
      <w:r w:rsidRPr="00A13E4B">
        <w:rPr>
          <w:rFonts w:cs="Arial"/>
        </w:rPr>
        <w:t xml:space="preserve"> and </w:t>
      </w:r>
      <w:proofErr w:type="spellStart"/>
      <w:r w:rsidRPr="00A13E4B">
        <w:rPr>
          <w:rFonts w:cs="Arial"/>
        </w:rPr>
        <w:t>Dukler</w:t>
      </w:r>
      <w:proofErr w:type="spellEnd"/>
      <w:r w:rsidRPr="00A13E4B">
        <w:rPr>
          <w:rFonts w:cs="Arial"/>
        </w:rPr>
        <w:t xml:space="preserve"> in 1976</w:t>
      </w:r>
      <w:r w:rsidR="00F33FE5">
        <w:rPr>
          <w:rFonts w:cs="Arial"/>
        </w:rPr>
        <w:t xml:space="preserve">. </w:t>
      </w:r>
      <w:r w:rsidRPr="00D402F6">
        <w:rPr>
          <w:rFonts w:cs="Arial"/>
        </w:rPr>
        <w:t xml:space="preserve">The flow types are represented by diagrams showing the gas and liquid flow rates </w:t>
      </w:r>
      <w:r w:rsidR="0057548E">
        <w:rPr>
          <w:rFonts w:cs="Arial"/>
        </w:rPr>
        <w:t xml:space="preserve">using </w:t>
      </w:r>
      <w:r w:rsidR="00A77F55">
        <w:rPr>
          <w:rFonts w:cs="Arial"/>
        </w:rPr>
        <w:t>superficial</w:t>
      </w:r>
      <w:r w:rsidRPr="00D402F6">
        <w:rPr>
          <w:rFonts w:cs="Arial"/>
        </w:rPr>
        <w:t xml:space="preserve"> velocities of the liquid U</w:t>
      </w:r>
      <w:r w:rsidR="0057548E" w:rsidRPr="0057548E">
        <w:rPr>
          <w:rFonts w:cs="Arial"/>
          <w:vertAlign w:val="superscript"/>
        </w:rPr>
        <w:t>S</w:t>
      </w:r>
      <w:r w:rsidR="0057548E">
        <w:rPr>
          <w:rFonts w:cs="Arial"/>
          <w:vertAlign w:val="subscript"/>
        </w:rPr>
        <w:t>L</w:t>
      </w:r>
      <w:r w:rsidRPr="00D402F6">
        <w:rPr>
          <w:rFonts w:cs="Arial"/>
        </w:rPr>
        <w:t xml:space="preserve"> and vapor U</w:t>
      </w:r>
      <w:r w:rsidR="0057548E" w:rsidRPr="0057548E">
        <w:rPr>
          <w:rFonts w:cs="Arial"/>
          <w:vertAlign w:val="superscript"/>
        </w:rPr>
        <w:t>S</w:t>
      </w:r>
      <w:r w:rsidR="0057548E">
        <w:rPr>
          <w:rFonts w:cs="Arial"/>
          <w:vertAlign w:val="subscript"/>
        </w:rPr>
        <w:t>G</w:t>
      </w:r>
      <w:r w:rsidRPr="00D402F6">
        <w:rPr>
          <w:rFonts w:cs="Arial"/>
        </w:rPr>
        <w:t>. These maps</w:t>
      </w:r>
      <w:r>
        <w:rPr>
          <w:rFonts w:cs="Arial"/>
        </w:rPr>
        <w:t>,</w:t>
      </w:r>
      <w:r w:rsidRPr="00D402F6">
        <w:rPr>
          <w:rFonts w:cs="Arial"/>
        </w:rPr>
        <w:t xml:space="preserve"> widely reproduced in textbooks and design manuals</w:t>
      </w:r>
      <w:r>
        <w:rPr>
          <w:rFonts w:cs="Arial"/>
        </w:rPr>
        <w:t>,</w:t>
      </w:r>
      <w:r w:rsidRPr="00D402F6">
        <w:rPr>
          <w:rFonts w:cs="Arial"/>
        </w:rPr>
        <w:t xml:space="preserve"> are often considered cornerstones in the two-phase flow subject but </w:t>
      </w:r>
      <w:r>
        <w:rPr>
          <w:rFonts w:cs="Arial"/>
        </w:rPr>
        <w:t>have</w:t>
      </w:r>
      <w:r w:rsidRPr="00D402F6">
        <w:rPr>
          <w:rFonts w:cs="Arial"/>
        </w:rPr>
        <w:t xml:space="preserve"> never </w:t>
      </w:r>
      <w:r>
        <w:rPr>
          <w:rFonts w:cs="Arial"/>
        </w:rPr>
        <w:t xml:space="preserve">been </w:t>
      </w:r>
      <w:r w:rsidRPr="00D402F6">
        <w:rPr>
          <w:rFonts w:cs="Arial"/>
        </w:rPr>
        <w:t>discussed.</w:t>
      </w:r>
      <w:r w:rsidR="00F33FE5">
        <w:rPr>
          <w:rFonts w:cs="Arial"/>
        </w:rPr>
        <w:t xml:space="preserve"> </w:t>
      </w:r>
      <w:r w:rsidRPr="00971E57">
        <w:rPr>
          <w:rFonts w:cs="Arial"/>
        </w:rPr>
        <w:t xml:space="preserve">The results </w:t>
      </w:r>
      <w:r>
        <w:rPr>
          <w:rFonts w:cs="Arial"/>
        </w:rPr>
        <w:t xml:space="preserve">obtained </w:t>
      </w:r>
      <w:r w:rsidRPr="00971E57">
        <w:rPr>
          <w:rFonts w:cs="Arial"/>
        </w:rPr>
        <w:t xml:space="preserve">in developing a mathematical model for the </w:t>
      </w:r>
      <w:r>
        <w:rPr>
          <w:rFonts w:cs="Arial"/>
        </w:rPr>
        <w:t xml:space="preserve">dynamic </w:t>
      </w:r>
      <w:r w:rsidRPr="00971E57">
        <w:rPr>
          <w:rFonts w:cs="Arial"/>
        </w:rPr>
        <w:t>compositional simulation of two-phase flows, allowed the author to highlight the lack of thermodynamic bases and other approximations in calculati</w:t>
      </w:r>
      <w:r>
        <w:rPr>
          <w:rFonts w:cs="Arial"/>
        </w:rPr>
        <w:t>ng</w:t>
      </w:r>
      <w:r w:rsidRPr="00971E57">
        <w:rPr>
          <w:rFonts w:cs="Arial"/>
        </w:rPr>
        <w:t xml:space="preserve"> </w:t>
      </w:r>
      <w:r>
        <w:rPr>
          <w:rFonts w:cs="Arial"/>
        </w:rPr>
        <w:t>classical two-phase</w:t>
      </w:r>
      <w:r w:rsidRPr="00971E57">
        <w:rPr>
          <w:rFonts w:cs="Arial"/>
        </w:rPr>
        <w:t xml:space="preserve"> flow maps.</w:t>
      </w:r>
      <w:r w:rsidR="00F33FE5">
        <w:rPr>
          <w:rFonts w:cs="Arial"/>
        </w:rPr>
        <w:t xml:space="preserve"> </w:t>
      </w:r>
      <w:r w:rsidRPr="004943C3">
        <w:rPr>
          <w:rFonts w:cs="Arial"/>
        </w:rPr>
        <w:t xml:space="preserve">They represent reality in a very approximate way, especially when used by chemical engineers to design two-phase </w:t>
      </w:r>
      <w:r w:rsidR="00F33FE5">
        <w:rPr>
          <w:rFonts w:cs="Arial"/>
        </w:rPr>
        <w:t xml:space="preserve">transport </w:t>
      </w:r>
      <w:r w:rsidRPr="004943C3">
        <w:rPr>
          <w:rFonts w:cs="Arial"/>
        </w:rPr>
        <w:t>of multicomponent mixtures.</w:t>
      </w:r>
      <w:r w:rsidR="00F33FE5">
        <w:rPr>
          <w:rFonts w:cs="Arial"/>
        </w:rPr>
        <w:t xml:space="preserve"> T</w:t>
      </w:r>
      <w:r w:rsidRPr="004943C3">
        <w:rPr>
          <w:rFonts w:cs="Arial"/>
        </w:rPr>
        <w:t xml:space="preserve">he failure to consider the vapor-liquid equilibrium in the cases of oil and gas transport is perhaps the greatest error, </w:t>
      </w:r>
      <w:r w:rsidR="00F33FE5">
        <w:rPr>
          <w:rFonts w:cs="Arial"/>
        </w:rPr>
        <w:t xml:space="preserve">probably </w:t>
      </w:r>
      <w:r w:rsidRPr="004943C3">
        <w:rPr>
          <w:rFonts w:cs="Arial"/>
        </w:rPr>
        <w:t>generated by the initial consideration of air-water systems only.</w:t>
      </w:r>
      <w:r w:rsidR="00F33FE5">
        <w:rPr>
          <w:rFonts w:cs="Arial"/>
        </w:rPr>
        <w:t xml:space="preserve"> </w:t>
      </w:r>
      <w:r w:rsidRPr="004943C3">
        <w:rPr>
          <w:rFonts w:cs="Arial"/>
        </w:rPr>
        <w:t>The frequent reproduction of these flow</w:t>
      </w:r>
      <w:r>
        <w:rPr>
          <w:rFonts w:cs="Arial"/>
        </w:rPr>
        <w:t xml:space="preserve"> </w:t>
      </w:r>
      <w:r w:rsidRPr="004943C3">
        <w:rPr>
          <w:rFonts w:cs="Arial"/>
        </w:rPr>
        <w:t xml:space="preserve">maps in textbooks and design manuals is also a problem in </w:t>
      </w:r>
      <w:r>
        <w:rPr>
          <w:rFonts w:cs="Arial"/>
        </w:rPr>
        <w:t xml:space="preserve">the </w:t>
      </w:r>
      <w:r w:rsidRPr="004943C3">
        <w:rPr>
          <w:rFonts w:cs="Arial"/>
        </w:rPr>
        <w:t>correct teaching of two-phase flow topics.</w:t>
      </w:r>
      <w:r w:rsidR="00F33FE5">
        <w:rPr>
          <w:rFonts w:cs="Arial"/>
        </w:rPr>
        <w:t xml:space="preserve"> </w:t>
      </w:r>
      <w:r w:rsidRPr="004943C3">
        <w:rPr>
          <w:rFonts w:cs="Arial"/>
        </w:rPr>
        <w:t xml:space="preserve">The article highlights the inconsistencies introduced in the generation of two-phase flow maps presented by </w:t>
      </w:r>
      <w:proofErr w:type="spellStart"/>
      <w:r w:rsidRPr="004943C3">
        <w:rPr>
          <w:rFonts w:cs="Arial"/>
        </w:rPr>
        <w:t>Taitel</w:t>
      </w:r>
      <w:proofErr w:type="spellEnd"/>
      <w:r w:rsidRPr="004943C3">
        <w:rPr>
          <w:rFonts w:cs="Arial"/>
        </w:rPr>
        <w:t xml:space="preserve"> and </w:t>
      </w:r>
      <w:proofErr w:type="spellStart"/>
      <w:r w:rsidRPr="004943C3">
        <w:rPr>
          <w:rFonts w:cs="Arial"/>
        </w:rPr>
        <w:t>Dukler</w:t>
      </w:r>
      <w:proofErr w:type="spellEnd"/>
      <w:r w:rsidRPr="004943C3">
        <w:rPr>
          <w:rFonts w:cs="Arial"/>
        </w:rPr>
        <w:t xml:space="preserve"> in their historical study.</w:t>
      </w:r>
      <w:r w:rsidR="00F33FE5">
        <w:rPr>
          <w:rFonts w:cs="Arial"/>
        </w:rPr>
        <w:t xml:space="preserve"> </w:t>
      </w:r>
      <w:r w:rsidRPr="004943C3">
        <w:rPr>
          <w:rFonts w:cs="Arial"/>
        </w:rPr>
        <w:t>Th</w:t>
      </w:r>
      <w:r w:rsidR="006F6E6E">
        <w:rPr>
          <w:rFonts w:cs="Arial"/>
        </w:rPr>
        <w:t>is</w:t>
      </w:r>
      <w:r w:rsidRPr="004943C3">
        <w:rPr>
          <w:rFonts w:cs="Arial"/>
        </w:rPr>
        <w:t xml:space="preserve"> analysis </w:t>
      </w:r>
      <w:r w:rsidR="0057548E">
        <w:rPr>
          <w:rFonts w:cs="Arial"/>
        </w:rPr>
        <w:t xml:space="preserve">is based on </w:t>
      </w:r>
      <w:r w:rsidR="006F6E6E">
        <w:rPr>
          <w:rFonts w:cs="Arial"/>
        </w:rPr>
        <w:t xml:space="preserve">a </w:t>
      </w:r>
      <w:r w:rsidRPr="004943C3">
        <w:rPr>
          <w:rFonts w:cs="Arial"/>
        </w:rPr>
        <w:t xml:space="preserve">rigorous 1D fluid dynamic </w:t>
      </w:r>
      <w:r w:rsidR="0057548E">
        <w:rPr>
          <w:rFonts w:cs="Arial"/>
        </w:rPr>
        <w:t xml:space="preserve">simulation </w:t>
      </w:r>
      <w:r w:rsidRPr="004943C3">
        <w:rPr>
          <w:rFonts w:cs="Arial"/>
        </w:rPr>
        <w:t>implemented by the author</w:t>
      </w:r>
      <w:r w:rsidR="00976CF5">
        <w:rPr>
          <w:rFonts w:cs="Arial"/>
        </w:rPr>
        <w:t>.</w:t>
      </w:r>
    </w:p>
    <w:p w14:paraId="3A7F91AC" w14:textId="77777777" w:rsidR="002A1CDC" w:rsidRPr="00B57B36" w:rsidRDefault="002A1CDC" w:rsidP="002A1CDC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2C9F959D" w14:textId="0824BA5F" w:rsidR="00D72E24" w:rsidRDefault="00D72E24" w:rsidP="00532D13">
      <w:pPr>
        <w:pStyle w:val="CETBodytext"/>
      </w:pPr>
      <w:r>
        <w:rPr>
          <w:rFonts w:cs="Arial"/>
        </w:rPr>
        <w:t>Thus</w:t>
      </w:r>
      <w:r w:rsidRPr="00A13E4B">
        <w:rPr>
          <w:rFonts w:cs="Arial"/>
        </w:rPr>
        <w:t xml:space="preserve"> gas-liquid two-phase flows represent an </w:t>
      </w:r>
      <w:r w:rsidR="001C176C">
        <w:rPr>
          <w:rFonts w:cs="Arial"/>
        </w:rPr>
        <w:t xml:space="preserve">essential </w:t>
      </w:r>
      <w:r w:rsidRPr="00A13E4B">
        <w:rPr>
          <w:rFonts w:cs="Arial"/>
        </w:rPr>
        <w:t>topic in chemical engineering and</w:t>
      </w:r>
      <w:r>
        <w:rPr>
          <w:rFonts w:cs="Arial"/>
        </w:rPr>
        <w:t xml:space="preserve"> </w:t>
      </w:r>
      <w:r w:rsidR="001C176C">
        <w:rPr>
          <w:rFonts w:cs="Arial"/>
        </w:rPr>
        <w:t xml:space="preserve">for the design </w:t>
      </w:r>
      <w:r w:rsidRPr="00A13E4B">
        <w:rPr>
          <w:rFonts w:cs="Arial"/>
        </w:rPr>
        <w:t xml:space="preserve">of mass transport </w:t>
      </w:r>
      <w:r w:rsidR="001C176C">
        <w:rPr>
          <w:rFonts w:cs="Arial"/>
        </w:rPr>
        <w:t>in</w:t>
      </w:r>
      <w:r w:rsidRPr="00A13E4B">
        <w:rPr>
          <w:rFonts w:cs="Arial"/>
        </w:rPr>
        <w:t xml:space="preserve"> chemical plants</w:t>
      </w:r>
      <w:r>
        <w:rPr>
          <w:rFonts w:cs="Arial"/>
        </w:rPr>
        <w:t>.</w:t>
      </w:r>
      <w:r w:rsidR="001C176C">
        <w:rPr>
          <w:rFonts w:cs="Arial"/>
        </w:rPr>
        <w:t xml:space="preserve"> </w:t>
      </w:r>
      <w:r w:rsidRPr="00C92BFF">
        <w:rPr>
          <w:rFonts w:cs="Arial"/>
        </w:rPr>
        <w:t>The main characteristic of two-phase flow is the formation of different flow configurations or patterns depending on the relative flow rates of the two phases. The main flow patterns are</w:t>
      </w:r>
      <w:r w:rsidR="001C176C">
        <w:rPr>
          <w:rFonts w:cs="Arial"/>
        </w:rPr>
        <w:t>:</w:t>
      </w:r>
      <w:r w:rsidRPr="00C92BFF">
        <w:rPr>
          <w:rFonts w:cs="Arial"/>
        </w:rPr>
        <w:t xml:space="preserve"> stratified, annular, dispersed, bubble</w:t>
      </w:r>
      <w:r>
        <w:rPr>
          <w:rFonts w:cs="Arial"/>
        </w:rPr>
        <w:t>,</w:t>
      </w:r>
      <w:r w:rsidRPr="00C92BFF">
        <w:rPr>
          <w:rFonts w:cs="Arial"/>
        </w:rPr>
        <w:t xml:space="preserve"> and slug flow</w:t>
      </w:r>
      <w:r>
        <w:rPr>
          <w:rFonts w:cs="Arial"/>
        </w:rPr>
        <w:t>s</w:t>
      </w:r>
      <w:r w:rsidRPr="00C92BFF">
        <w:rPr>
          <w:rFonts w:cs="Arial"/>
        </w:rPr>
        <w:t>. The 'slug' flow</w:t>
      </w:r>
      <w:r>
        <w:rPr>
          <w:rFonts w:cs="Arial"/>
        </w:rPr>
        <w:t>,</w:t>
      </w:r>
      <w:r w:rsidRPr="00C92BFF">
        <w:rPr>
          <w:rFonts w:cs="Arial"/>
        </w:rPr>
        <w:t xml:space="preserve"> </w:t>
      </w:r>
      <w:r>
        <w:rPr>
          <w:rFonts w:cs="Arial"/>
        </w:rPr>
        <w:t xml:space="preserve">being </w:t>
      </w:r>
      <w:r w:rsidRPr="00C92BFF">
        <w:rPr>
          <w:rFonts w:cs="Arial"/>
        </w:rPr>
        <w:t>the most complex</w:t>
      </w:r>
      <w:r>
        <w:rPr>
          <w:rFonts w:cs="Arial"/>
        </w:rPr>
        <w:t xml:space="preserve"> one</w:t>
      </w:r>
      <w:r w:rsidR="001C176C">
        <w:rPr>
          <w:rFonts w:cs="Arial"/>
        </w:rPr>
        <w:t>,</w:t>
      </w:r>
      <w:r>
        <w:rPr>
          <w:rFonts w:cs="Arial"/>
        </w:rPr>
        <w:t xml:space="preserve"> </w:t>
      </w:r>
      <w:r w:rsidRPr="00C92BFF">
        <w:rPr>
          <w:rFonts w:cs="Arial"/>
        </w:rPr>
        <w:t>show</w:t>
      </w:r>
      <w:r>
        <w:rPr>
          <w:rFonts w:cs="Arial"/>
        </w:rPr>
        <w:t>s</w:t>
      </w:r>
      <w:r w:rsidRPr="00C92BFF">
        <w:rPr>
          <w:rFonts w:cs="Arial"/>
        </w:rPr>
        <w:t xml:space="preserve"> </w:t>
      </w:r>
      <w:r>
        <w:rPr>
          <w:rFonts w:cs="Arial"/>
        </w:rPr>
        <w:t xml:space="preserve">dynamic </w:t>
      </w:r>
      <w:r w:rsidRPr="00C92BFF">
        <w:rPr>
          <w:rFonts w:cs="Arial"/>
        </w:rPr>
        <w:t>instabilities</w:t>
      </w:r>
      <w:r>
        <w:rPr>
          <w:rFonts w:cs="Arial"/>
        </w:rPr>
        <w:t xml:space="preserve"> and </w:t>
      </w:r>
      <w:r w:rsidRPr="00C92BFF">
        <w:rPr>
          <w:rFonts w:cs="Arial"/>
        </w:rPr>
        <w:t xml:space="preserve">has been the subject of </w:t>
      </w:r>
      <w:r>
        <w:rPr>
          <w:rFonts w:cs="Arial"/>
        </w:rPr>
        <w:t xml:space="preserve">numerous </w:t>
      </w:r>
      <w:r w:rsidRPr="00C92BFF">
        <w:rPr>
          <w:rFonts w:cs="Arial"/>
        </w:rPr>
        <w:t>studies</w:t>
      </w:r>
    </w:p>
    <w:p w14:paraId="23B5EFAF" w14:textId="7B57A176" w:rsidR="00532D13" w:rsidRPr="00532D13" w:rsidRDefault="001C176C" w:rsidP="00532D13">
      <w:pPr>
        <w:pStyle w:val="CETBodytext"/>
      </w:pPr>
      <w:r>
        <w:t>T</w:t>
      </w:r>
      <w:r w:rsidRPr="00532D13">
        <w:t>o introduce this study</w:t>
      </w:r>
      <w:r>
        <w:t>,</w:t>
      </w:r>
      <w:r w:rsidRPr="00532D13">
        <w:t xml:space="preserve"> </w:t>
      </w:r>
      <w:r>
        <w:t>w</w:t>
      </w:r>
      <w:r w:rsidR="002A1CDC" w:rsidRPr="00532D13">
        <w:t xml:space="preserve">e may start from </w:t>
      </w:r>
      <w:r w:rsidR="009615BE" w:rsidRPr="00532D13">
        <w:t xml:space="preserve">the description in </w:t>
      </w:r>
      <w:r w:rsidR="002A1CDC" w:rsidRPr="00532D13">
        <w:t>Perry</w:t>
      </w:r>
      <w:r w:rsidR="009615BE" w:rsidRPr="00532D13">
        <w:t>’s</w:t>
      </w:r>
      <w:r w:rsidR="002A1CDC" w:rsidRPr="00532D13">
        <w:t xml:space="preserve"> Chemical Engineer</w:t>
      </w:r>
      <w:r w:rsidR="009615BE" w:rsidRPr="00532D13">
        <w:t>s’</w:t>
      </w:r>
      <w:r w:rsidR="002A1CDC" w:rsidRPr="00532D13">
        <w:t xml:space="preserve"> Handbook</w:t>
      </w:r>
      <w:r w:rsidR="006F6E6E" w:rsidRPr="00532D13">
        <w:t xml:space="preserve"> of </w:t>
      </w:r>
      <w:r>
        <w:t xml:space="preserve">the </w:t>
      </w:r>
      <w:r w:rsidR="006F6E6E" w:rsidRPr="00532D13">
        <w:t>gas-liquid two-phase flow</w:t>
      </w:r>
      <w:r w:rsidR="009615BE" w:rsidRPr="00532D13">
        <w:t>.</w:t>
      </w:r>
      <w:r w:rsidR="008B4127" w:rsidRPr="00532D13">
        <w:t xml:space="preserve"> </w:t>
      </w:r>
      <w:r w:rsidR="002A1CDC" w:rsidRPr="00532D13">
        <w:t>For co-current flow for liquid and gases in horizontal and inclined pipes</w:t>
      </w:r>
      <w:r>
        <w:t>,</w:t>
      </w:r>
      <w:r w:rsidR="002A1CDC" w:rsidRPr="00532D13">
        <w:t xml:space="preserve"> a very large literature of experimental and theoretical work has been published</w:t>
      </w:r>
      <w:r w:rsidR="009615BE" w:rsidRPr="00532D13">
        <w:t xml:space="preserve">, </w:t>
      </w:r>
      <w:r w:rsidR="002A1CDC" w:rsidRPr="00532D13">
        <w:t>with less work on co</w:t>
      </w:r>
      <w:r w:rsidR="009615BE" w:rsidRPr="00532D13">
        <w:t>-</w:t>
      </w:r>
      <w:r w:rsidR="002A1CDC" w:rsidRPr="00532D13">
        <w:t>current and counter</w:t>
      </w:r>
      <w:r w:rsidR="009615BE" w:rsidRPr="00532D13">
        <w:t>-</w:t>
      </w:r>
      <w:r w:rsidR="002A1CDC" w:rsidRPr="00532D13">
        <w:t>current vertical downflow.</w:t>
      </w:r>
      <w:r w:rsidR="009615BE" w:rsidRPr="00532D13">
        <w:t xml:space="preserve"> </w:t>
      </w:r>
      <w:r w:rsidR="002A1CDC" w:rsidRPr="00532D13">
        <w:t>Much of the effort has been devot</w:t>
      </w:r>
      <w:r w:rsidR="004017CF" w:rsidRPr="00532D13">
        <w:t>ed</w:t>
      </w:r>
      <w:r w:rsidR="002A1CDC" w:rsidRPr="00532D13">
        <w:t xml:space="preserve"> </w:t>
      </w:r>
      <w:r w:rsidR="004017CF" w:rsidRPr="00532D13">
        <w:t>to</w:t>
      </w:r>
      <w:r w:rsidR="002A1CDC" w:rsidRPr="00532D13">
        <w:t xml:space="preserve"> predicting flow patterns, pressure drop, and volume fractions of the phases, with emphasis on fully developed flow. In practice</w:t>
      </w:r>
      <w:r w:rsidR="009615BE" w:rsidRPr="00532D13">
        <w:t xml:space="preserve">, </w:t>
      </w:r>
      <w:r w:rsidR="002A1CDC" w:rsidRPr="00532D13">
        <w:t>many two</w:t>
      </w:r>
      <w:r w:rsidR="009615BE" w:rsidRPr="00532D13">
        <w:t>-</w:t>
      </w:r>
      <w:r w:rsidR="002A1CDC" w:rsidRPr="00532D13">
        <w:t>phase flows in process plants are not fully developed.</w:t>
      </w:r>
      <w:r w:rsidR="009615BE" w:rsidRPr="00532D13">
        <w:t xml:space="preserve"> </w:t>
      </w:r>
      <w:r w:rsidR="002A1CDC" w:rsidRPr="00532D13">
        <w:t>The most reliable methods for fully developed gas-liquid flows use mechanistic models to predict flow pattern</w:t>
      </w:r>
      <w:r w:rsidR="006F6E6E" w:rsidRPr="00532D13">
        <w:t>s</w:t>
      </w:r>
      <w:r w:rsidR="002A1CDC" w:rsidRPr="00532D13">
        <w:t xml:space="preserve">, </w:t>
      </w:r>
      <w:r w:rsidR="009A5F80" w:rsidRPr="00532D13">
        <w:t xml:space="preserve">(stratified, annular, dispersed, bubble, and slug) </w:t>
      </w:r>
      <w:r w:rsidR="002A1CDC" w:rsidRPr="00532D13">
        <w:t xml:space="preserve">and use different pressure drop and void fraction estimation procedures for each flow pattern. </w:t>
      </w:r>
      <w:r w:rsidR="00976CF5" w:rsidRPr="00532D13">
        <w:t>One</w:t>
      </w:r>
      <w:r w:rsidR="008B4127" w:rsidRPr="00532D13">
        <w:t xml:space="preserve"> image of </w:t>
      </w:r>
      <w:r w:rsidR="00976CF5" w:rsidRPr="00532D13">
        <w:t xml:space="preserve">the most common classification of </w:t>
      </w:r>
      <w:r w:rsidR="008B4127" w:rsidRPr="00532D13">
        <w:t>horizontal flow patterns is shown in Figure 1.</w:t>
      </w:r>
      <w:r w:rsidR="007D2458" w:rsidRPr="00532D13">
        <w:t xml:space="preserve"> </w:t>
      </w:r>
      <w:r w:rsidR="003C6D2D" w:rsidRPr="00532D13">
        <w:t>A</w:t>
      </w:r>
      <w:r w:rsidR="002A1CDC" w:rsidRPr="00532D13">
        <w:t xml:space="preserve"> key reference for mechanistic methods for flow pattern predictions and flow regime</w:t>
      </w:r>
      <w:r w:rsidR="007D2458" w:rsidRPr="00532D13">
        <w:t>-</w:t>
      </w:r>
      <w:r w:rsidR="002A1CDC" w:rsidRPr="00532D13">
        <w:t xml:space="preserve">specific pressure drop methods </w:t>
      </w:r>
      <w:r w:rsidR="003C6D2D" w:rsidRPr="00532D13">
        <w:t>is that of</w:t>
      </w:r>
      <w:r w:rsidR="00E728C1" w:rsidRPr="00532D13">
        <w:t xml:space="preserve"> </w:t>
      </w:r>
      <w:proofErr w:type="spellStart"/>
      <w:r w:rsidR="002A1CDC" w:rsidRPr="00532D13">
        <w:t>Taitel</w:t>
      </w:r>
      <w:proofErr w:type="spellEnd"/>
      <w:r w:rsidR="002A1CDC" w:rsidRPr="00532D13">
        <w:t xml:space="preserve"> and </w:t>
      </w:r>
      <w:proofErr w:type="spellStart"/>
      <w:r w:rsidR="002A1CDC" w:rsidRPr="00532D13">
        <w:t>Dukler</w:t>
      </w:r>
      <w:proofErr w:type="spellEnd"/>
      <w:r w:rsidR="007D2458" w:rsidRPr="00532D13">
        <w:t xml:space="preserve"> (</w:t>
      </w:r>
      <w:r w:rsidR="003C6D2D" w:rsidRPr="00532D13">
        <w:t>TD,</w:t>
      </w:r>
      <w:r w:rsidR="007D2458" w:rsidRPr="00532D13">
        <w:t>1976)</w:t>
      </w:r>
      <w:r w:rsidR="00976CF5" w:rsidRPr="00532D13">
        <w:t xml:space="preserve">. </w:t>
      </w:r>
      <w:r w:rsidR="004017CF" w:rsidRPr="00532D13">
        <w:t>These flow maps, widely reproduced in textbooks and design manuals, are often considered cornerstones in the two-phase flow subject but have never been discussed in detail.</w:t>
      </w:r>
    </w:p>
    <w:p w14:paraId="795E6960" w14:textId="0A9F7E1E" w:rsidR="00E8277E" w:rsidRDefault="00E8277E" w:rsidP="00532D13">
      <w:pPr>
        <w:pStyle w:val="CETBodytext"/>
        <w:jc w:val="left"/>
      </w:pPr>
      <w:r>
        <w:rPr>
          <w:noProof/>
        </w:rPr>
        <w:lastRenderedPageBreak/>
        <w:drawing>
          <wp:inline distT="0" distB="0" distL="0" distR="0" wp14:anchorId="50632462" wp14:editId="293EECCA">
            <wp:extent cx="2986088" cy="2305050"/>
            <wp:effectExtent l="0" t="0" r="5080" b="0"/>
            <wp:docPr id="643285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85835" name="Picture 6432858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1963" cy="230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3997A" w14:textId="1729D4F3" w:rsidR="00E8277E" w:rsidRPr="00E8277E" w:rsidRDefault="00E8277E" w:rsidP="00E8277E">
      <w:pPr>
        <w:pStyle w:val="CETCaption"/>
        <w:rPr>
          <w:rStyle w:val="CETCaptionCarattere"/>
          <w:i/>
        </w:rPr>
      </w:pPr>
      <w:r w:rsidRPr="00E8277E">
        <w:rPr>
          <w:rStyle w:val="CETCaptionCarattere"/>
          <w:i/>
        </w:rPr>
        <w:t>Figure 1. Flow patterns of horizontal gas-liquid flow.</w:t>
      </w:r>
    </w:p>
    <w:p w14:paraId="1388BA7D" w14:textId="4961AF08" w:rsidR="002A1CDC" w:rsidRDefault="003C6D2D" w:rsidP="002A1CDC">
      <w:r>
        <w:rPr>
          <w:rFonts w:cs="Arial"/>
        </w:rPr>
        <w:t>In this context</w:t>
      </w:r>
      <w:r w:rsidR="00532D13">
        <w:rPr>
          <w:rFonts w:cs="Arial"/>
        </w:rPr>
        <w:t>,</w:t>
      </w:r>
      <w:r>
        <w:rPr>
          <w:rFonts w:cs="Arial"/>
        </w:rPr>
        <w:t xml:space="preserve"> </w:t>
      </w:r>
      <w:r w:rsidR="004017CF">
        <w:t>w</w:t>
      </w:r>
      <w:r w:rsidR="002A1CDC">
        <w:t>e may also quote the book “Applied Multiphase Flow in Pipes and Flow Assurance, Oil and Gas Production” by E.M Al-Safran and J. Brill</w:t>
      </w:r>
      <w:r w:rsidR="007D2458">
        <w:t xml:space="preserve"> (</w:t>
      </w:r>
      <w:r w:rsidR="002A1CDC">
        <w:t>2017</w:t>
      </w:r>
      <w:r w:rsidR="007D2458">
        <w:t>)</w:t>
      </w:r>
      <w:r w:rsidR="002A1CDC">
        <w:t>.</w:t>
      </w:r>
      <w:r w:rsidR="004017CF">
        <w:t xml:space="preserve"> </w:t>
      </w:r>
      <w:r w:rsidR="004017CF" w:rsidRPr="00D402F6">
        <w:rPr>
          <w:rFonts w:cs="Arial"/>
        </w:rPr>
        <w:t xml:space="preserve">The flow </w:t>
      </w:r>
      <w:r w:rsidR="004017CF">
        <w:rPr>
          <w:rFonts w:cs="Arial"/>
        </w:rPr>
        <w:t xml:space="preserve">patterns </w:t>
      </w:r>
      <w:r w:rsidR="004017CF" w:rsidRPr="00D402F6">
        <w:rPr>
          <w:rFonts w:cs="Arial"/>
        </w:rPr>
        <w:t xml:space="preserve">are represented by diagrams showing </w:t>
      </w:r>
      <w:r w:rsidR="006F6E6E">
        <w:rPr>
          <w:rFonts w:cs="Arial"/>
        </w:rPr>
        <w:t>the pattern area</w:t>
      </w:r>
      <w:r w:rsidR="00513205">
        <w:rPr>
          <w:rFonts w:cs="Arial"/>
        </w:rPr>
        <w:t>s</w:t>
      </w:r>
      <w:r w:rsidR="006F6E6E">
        <w:rPr>
          <w:rFonts w:cs="Arial"/>
        </w:rPr>
        <w:t xml:space="preserve"> </w:t>
      </w:r>
      <w:r w:rsidR="00513205">
        <w:rPr>
          <w:rFonts w:cs="Arial"/>
        </w:rPr>
        <w:t xml:space="preserve">as functions of </w:t>
      </w:r>
      <w:r w:rsidR="004017CF" w:rsidRPr="00D402F6">
        <w:rPr>
          <w:rFonts w:cs="Arial"/>
        </w:rPr>
        <w:t xml:space="preserve">the gas and liquid flow rates </w:t>
      </w:r>
      <w:r w:rsidR="004017CF">
        <w:rPr>
          <w:rFonts w:cs="Arial"/>
        </w:rPr>
        <w:t xml:space="preserve">using </w:t>
      </w:r>
      <w:r w:rsidR="004017CF" w:rsidRPr="00D402F6">
        <w:rPr>
          <w:rFonts w:cs="Arial"/>
        </w:rPr>
        <w:t xml:space="preserve">the </w:t>
      </w:r>
      <w:r w:rsidR="006F780E">
        <w:rPr>
          <w:rFonts w:cs="Arial"/>
        </w:rPr>
        <w:t>superficial</w:t>
      </w:r>
      <w:r w:rsidR="004017CF" w:rsidRPr="00D402F6">
        <w:rPr>
          <w:rFonts w:cs="Arial"/>
        </w:rPr>
        <w:t xml:space="preserve"> velocities of the liquid U</w:t>
      </w:r>
      <w:r w:rsidR="00C511E9" w:rsidRPr="00C511E9">
        <w:rPr>
          <w:rFonts w:cs="Arial"/>
          <w:vertAlign w:val="subscript"/>
        </w:rPr>
        <w:t>S</w:t>
      </w:r>
      <w:r w:rsidR="004017CF" w:rsidRPr="00364A68">
        <w:rPr>
          <w:rFonts w:cs="Arial"/>
          <w:vertAlign w:val="subscript"/>
        </w:rPr>
        <w:t>L</w:t>
      </w:r>
      <w:r w:rsidR="004017CF" w:rsidRPr="00D402F6">
        <w:rPr>
          <w:rFonts w:cs="Arial"/>
        </w:rPr>
        <w:t xml:space="preserve"> (</w:t>
      </w:r>
      <w:r w:rsidR="004017CF">
        <w:rPr>
          <w:rFonts w:cs="Arial"/>
        </w:rPr>
        <w:t xml:space="preserve">on the </w:t>
      </w:r>
      <w:r w:rsidR="004017CF" w:rsidRPr="00D402F6">
        <w:rPr>
          <w:rFonts w:cs="Arial"/>
        </w:rPr>
        <w:t>Y</w:t>
      </w:r>
      <w:r w:rsidR="004017CF">
        <w:rPr>
          <w:rFonts w:cs="Arial"/>
        </w:rPr>
        <w:t>-</w:t>
      </w:r>
      <w:r w:rsidR="004017CF" w:rsidRPr="00D402F6">
        <w:rPr>
          <w:rFonts w:cs="Arial"/>
        </w:rPr>
        <w:t>axis) and vapor U</w:t>
      </w:r>
      <w:r w:rsidR="00C511E9" w:rsidRPr="00C511E9">
        <w:rPr>
          <w:rFonts w:cs="Arial"/>
          <w:vertAlign w:val="subscript"/>
        </w:rPr>
        <w:t>S</w:t>
      </w:r>
      <w:r w:rsidR="004017CF" w:rsidRPr="00364A68">
        <w:rPr>
          <w:rFonts w:cs="Arial"/>
          <w:vertAlign w:val="subscript"/>
        </w:rPr>
        <w:t>G</w:t>
      </w:r>
      <w:r w:rsidR="004017CF" w:rsidRPr="00D402F6">
        <w:rPr>
          <w:rFonts w:cs="Arial"/>
        </w:rPr>
        <w:t xml:space="preserve"> (</w:t>
      </w:r>
      <w:r w:rsidR="004017CF">
        <w:rPr>
          <w:rFonts w:cs="Arial"/>
        </w:rPr>
        <w:t xml:space="preserve">usually on the </w:t>
      </w:r>
      <w:r w:rsidR="004017CF" w:rsidRPr="00D402F6">
        <w:rPr>
          <w:rFonts w:cs="Arial"/>
        </w:rPr>
        <w:t>X</w:t>
      </w:r>
      <w:r w:rsidR="004017CF">
        <w:rPr>
          <w:rFonts w:cs="Arial"/>
        </w:rPr>
        <w:t>-</w:t>
      </w:r>
      <w:r w:rsidR="004017CF" w:rsidRPr="00D402F6">
        <w:rPr>
          <w:rFonts w:cs="Arial"/>
        </w:rPr>
        <w:t>axis).</w:t>
      </w:r>
      <w:r w:rsidR="0081676E">
        <w:rPr>
          <w:rFonts w:cs="Arial"/>
        </w:rPr>
        <w:t xml:space="preserve"> </w:t>
      </w:r>
      <w:r w:rsidR="00E8277E">
        <w:t>A</w:t>
      </w:r>
      <w:r w:rsidR="002A1CDC">
        <w:t>ssum</w:t>
      </w:r>
      <w:r w:rsidR="00E8277E">
        <w:t>ing</w:t>
      </w:r>
      <w:r w:rsidR="002A1CDC">
        <w:t xml:space="preserve"> </w:t>
      </w:r>
      <w:r>
        <w:t xml:space="preserve">the </w:t>
      </w:r>
      <w:r w:rsidR="002A1CDC">
        <w:t>general validity of a flow map for different fluid mixture</w:t>
      </w:r>
      <w:r w:rsidR="0079495F">
        <w:t>s</w:t>
      </w:r>
      <w:r w:rsidR="002A1CDC">
        <w:t xml:space="preserve"> may bring gross errors in the engineering design of pipelines.</w:t>
      </w:r>
      <w:r w:rsidR="00E8277E">
        <w:t xml:space="preserve"> </w:t>
      </w:r>
      <w:r w:rsidR="002A1CDC">
        <w:t>Th</w:t>
      </w:r>
      <w:r w:rsidR="00530B24">
        <w:t>ese</w:t>
      </w:r>
      <w:r w:rsidR="002A1CDC">
        <w:t xml:space="preserve"> maps have been built </w:t>
      </w:r>
      <w:r w:rsidR="0081676E">
        <w:t xml:space="preserve">based </w:t>
      </w:r>
      <w:r w:rsidR="002A1CDC">
        <w:t xml:space="preserve">on limited data </w:t>
      </w:r>
      <w:r w:rsidR="00530B24">
        <w:t xml:space="preserve">(either experimental or calculated) </w:t>
      </w:r>
      <w:r w:rsidR="002A1CDC">
        <w:t>for one specific pipe diameter and extend</w:t>
      </w:r>
      <w:r w:rsidR="00530B24">
        <w:t>ed</w:t>
      </w:r>
      <w:r w:rsidR="002A1CDC">
        <w:t xml:space="preserve"> to </w:t>
      </w:r>
      <w:r w:rsidR="00E8277E">
        <w:t>ranges</w:t>
      </w:r>
      <w:r w:rsidR="002A1CDC">
        <w:t xml:space="preserve"> of the gas superficial velocity never tested or even calculated.</w:t>
      </w:r>
      <w:r w:rsidR="0081676E">
        <w:t xml:space="preserve"> </w:t>
      </w:r>
      <w:r w:rsidR="002A1CDC">
        <w:t>In most cases</w:t>
      </w:r>
      <w:r w:rsidR="00530B24">
        <w:t>,</w:t>
      </w:r>
      <w:r w:rsidR="002A1CDC">
        <w:t xml:space="preserve"> the vapor-liquid equilibrium is never considered</w:t>
      </w:r>
      <w:r w:rsidR="00E8277E">
        <w:t>,</w:t>
      </w:r>
      <w:r w:rsidR="002A1CDC">
        <w:t xml:space="preserve"> and the temperature and pressure change</w:t>
      </w:r>
      <w:r w:rsidR="0079495F">
        <w:t>s</w:t>
      </w:r>
      <w:r w:rsidR="002A1CDC">
        <w:t xml:space="preserve"> </w:t>
      </w:r>
      <w:r w:rsidR="00E8277E">
        <w:t>bring</w:t>
      </w:r>
      <w:r w:rsidR="007D2458">
        <w:t>ing</w:t>
      </w:r>
      <w:r w:rsidR="0079495F">
        <w:t xml:space="preserve"> </w:t>
      </w:r>
      <w:r w:rsidR="002A1CDC">
        <w:t>the density and viscosity properties</w:t>
      </w:r>
      <w:r w:rsidR="0079495F">
        <w:t xml:space="preserve"> </w:t>
      </w:r>
      <w:r w:rsidR="002A1CDC">
        <w:t xml:space="preserve">to new regions </w:t>
      </w:r>
      <w:r w:rsidR="007D2458">
        <w:t xml:space="preserve">are </w:t>
      </w:r>
      <w:r w:rsidR="002A1CDC">
        <w:t xml:space="preserve">not </w:t>
      </w:r>
      <w:r w:rsidR="007D2458">
        <w:t>properly considered</w:t>
      </w:r>
      <w:r w:rsidR="002A1CDC">
        <w:t>.</w:t>
      </w:r>
      <w:r w:rsidR="0081676E">
        <w:t xml:space="preserve"> </w:t>
      </w:r>
      <w:r w:rsidR="002A1CDC" w:rsidRPr="002A1CDC">
        <w:t>This study develops the comparison between the flow</w:t>
      </w:r>
      <w:r w:rsidR="00865479">
        <w:t xml:space="preserve"> </w:t>
      </w:r>
      <w:r w:rsidR="002A1CDC" w:rsidRPr="002A1CDC">
        <w:t xml:space="preserve">map published in the classical paper of </w:t>
      </w:r>
      <w:proofErr w:type="spellStart"/>
      <w:r w:rsidR="002A1CDC" w:rsidRPr="002A1CDC">
        <w:t>Taitel</w:t>
      </w:r>
      <w:proofErr w:type="spellEnd"/>
      <w:r w:rsidR="0079495F">
        <w:t xml:space="preserve"> and </w:t>
      </w:r>
      <w:proofErr w:type="spellStart"/>
      <w:r w:rsidR="002A1CDC" w:rsidRPr="002A1CDC">
        <w:t>Dukler</w:t>
      </w:r>
      <w:proofErr w:type="spellEnd"/>
      <w:r w:rsidR="002A1CDC" w:rsidRPr="002A1CDC">
        <w:t xml:space="preserve"> (TD, 1976), reproduced </w:t>
      </w:r>
      <w:r w:rsidR="00865479">
        <w:t xml:space="preserve">in </w:t>
      </w:r>
      <w:r w:rsidR="002A1CDC" w:rsidRPr="002A1CDC">
        <w:t xml:space="preserve">Figure </w:t>
      </w:r>
      <w:r w:rsidR="00E8277E">
        <w:t>2</w:t>
      </w:r>
      <w:r w:rsidR="0079495F">
        <w:t xml:space="preserve">, and the results obtained </w:t>
      </w:r>
      <w:r w:rsidR="00865479">
        <w:t xml:space="preserve">using </w:t>
      </w:r>
      <w:r w:rsidR="0079495F">
        <w:t>the dynamic simulation of vapor-liquid flows in pipes</w:t>
      </w:r>
      <w:r w:rsidR="002A1CDC" w:rsidRPr="002A1CDC">
        <w:t>.</w:t>
      </w:r>
    </w:p>
    <w:p w14:paraId="3D0737E5" w14:textId="77777777" w:rsidR="00976CF5" w:rsidRDefault="00976CF5" w:rsidP="002A1CDC"/>
    <w:p w14:paraId="7F66FE1C" w14:textId="77777777" w:rsidR="002A1CDC" w:rsidRDefault="002A1CDC" w:rsidP="002A1CDC">
      <w:pPr>
        <w:rPr>
          <w:rFonts w:cs="Arial"/>
        </w:rPr>
      </w:pPr>
      <w:r w:rsidRPr="00E43B14">
        <w:rPr>
          <w:rFonts w:cs="Arial"/>
          <w:noProof/>
          <w:bdr w:val="single" w:sz="12" w:space="0" w:color="auto"/>
        </w:rPr>
        <w:drawing>
          <wp:inline distT="0" distB="0" distL="0" distR="0" wp14:anchorId="2049A645" wp14:editId="7848B61F">
            <wp:extent cx="3214255" cy="2709638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226" cy="2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F7AEC" w14:textId="5D4C2C4E" w:rsidR="002A1CDC" w:rsidRPr="00EF4A0E" w:rsidRDefault="002A1CDC" w:rsidP="00EF4A0E">
      <w:pPr>
        <w:pStyle w:val="CETCaption"/>
        <w:rPr>
          <w:rStyle w:val="CETCaptionCarattere"/>
          <w:i/>
        </w:rPr>
      </w:pPr>
      <w:r w:rsidRPr="00EF4A0E">
        <w:rPr>
          <w:rStyle w:val="CETCaptionCarattere"/>
          <w:i/>
        </w:rPr>
        <w:t xml:space="preserve">Figure </w:t>
      </w:r>
      <w:r w:rsidR="00E8277E">
        <w:rPr>
          <w:rStyle w:val="CETCaptionCarattere"/>
          <w:i/>
        </w:rPr>
        <w:t>2</w:t>
      </w:r>
      <w:r w:rsidRPr="00EF4A0E">
        <w:rPr>
          <w:rStyle w:val="CETCaptionCarattere"/>
          <w:i/>
        </w:rPr>
        <w:t xml:space="preserve">. Crude oil - natural gas, 38°C, 68 </w:t>
      </w:r>
      <w:proofErr w:type="spellStart"/>
      <w:r w:rsidRPr="00EF4A0E">
        <w:rPr>
          <w:rStyle w:val="CETCaptionCarattere"/>
          <w:i/>
        </w:rPr>
        <w:t>atm</w:t>
      </w:r>
      <w:proofErr w:type="spellEnd"/>
      <w:r w:rsidRPr="00EF4A0E">
        <w:rPr>
          <w:rStyle w:val="CETCaptionCarattere"/>
          <w:i/>
        </w:rPr>
        <w:t>, horizontal. Reproduced from T</w:t>
      </w:r>
      <w:r w:rsidR="006B0039">
        <w:rPr>
          <w:rStyle w:val="CETCaptionCarattere"/>
          <w:i/>
        </w:rPr>
        <w:t>D</w:t>
      </w:r>
    </w:p>
    <w:p w14:paraId="30F5E067" w14:textId="109E362B" w:rsidR="002A1CDC" w:rsidRPr="0091496F" w:rsidRDefault="002A1CDC" w:rsidP="0091496F">
      <w:r w:rsidRPr="002A1CDC">
        <w:t xml:space="preserve">The </w:t>
      </w:r>
      <w:r w:rsidR="00513205">
        <w:t xml:space="preserve">example </w:t>
      </w:r>
      <w:r w:rsidRPr="002A1CDC">
        <w:t xml:space="preserve">selected </w:t>
      </w:r>
      <w:r w:rsidR="00150C95">
        <w:t xml:space="preserve">by TD </w:t>
      </w:r>
      <w:r w:rsidRPr="002A1CDC">
        <w:t xml:space="preserve">is an industrial fluid transport case in the oil and gas industry. A horizontal pipeline of </w:t>
      </w:r>
      <w:r w:rsidR="00150C95">
        <w:t xml:space="preserve">0.30 m </w:t>
      </w:r>
      <w:r w:rsidRPr="002A1CDC">
        <w:t>diameter transport</w:t>
      </w:r>
      <w:r w:rsidR="0081676E">
        <w:t>s</w:t>
      </w:r>
      <w:r w:rsidRPr="002A1CDC">
        <w:t xml:space="preserve"> a mixture of crude oil and natural gas at 38 °C and 68 atm. The fluid properties used </w:t>
      </w:r>
      <w:r w:rsidR="0075628B">
        <w:t xml:space="preserve">to calculate </w:t>
      </w:r>
      <w:r w:rsidRPr="002A1CDC">
        <w:t xml:space="preserve">the flow-pattern boundaries are reproduced in Table </w:t>
      </w:r>
      <w:r w:rsidR="0002701D">
        <w:t>1</w:t>
      </w:r>
      <w:r w:rsidRPr="0091496F">
        <w:t>.</w:t>
      </w:r>
    </w:p>
    <w:p w14:paraId="63AEA642" w14:textId="217D8CAD" w:rsidR="002A1CDC" w:rsidRPr="00133AA1" w:rsidRDefault="002A1CDC" w:rsidP="000E5930">
      <w:pPr>
        <w:pStyle w:val="CETTabletitle"/>
      </w:pPr>
      <w:r w:rsidRPr="00133AA1">
        <w:lastRenderedPageBreak/>
        <w:t xml:space="preserve">Table </w:t>
      </w:r>
      <w:r w:rsidR="000E5930">
        <w:t>1</w:t>
      </w:r>
      <w:r w:rsidRPr="00133AA1">
        <w:t xml:space="preserve">. TD case </w:t>
      </w:r>
      <w:r w:rsidR="00513205">
        <w:t>–</w:t>
      </w:r>
      <w:r w:rsidRPr="00133AA1">
        <w:t xml:space="preserve"> crude</w:t>
      </w:r>
      <w:r w:rsidR="00513205">
        <w:t xml:space="preserve"> </w:t>
      </w:r>
      <w:r w:rsidRPr="00133AA1">
        <w:t>oil and natural gas properties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1263"/>
        <w:gridCol w:w="1572"/>
      </w:tblGrid>
      <w:tr w:rsidR="00530B24" w:rsidRPr="00B57B36" w14:paraId="2E49BE57" w14:textId="77777777" w:rsidTr="00530B24">
        <w:tc>
          <w:tcPr>
            <w:tcW w:w="15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134C9EC" w14:textId="7C65CAFB" w:rsidR="00530B24" w:rsidRPr="00B57B36" w:rsidRDefault="00530B24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Fluid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26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332E7D" w14:textId="39D95F15" w:rsidR="00530B24" w:rsidRPr="00B57B36" w:rsidRDefault="00530B24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Crude oil</w:t>
            </w:r>
          </w:p>
        </w:tc>
        <w:tc>
          <w:tcPr>
            <w:tcW w:w="1572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38B3D64" w14:textId="42162FD8" w:rsidR="00530B24" w:rsidRPr="00B57B36" w:rsidRDefault="00530B24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Natural gas</w:t>
            </w:r>
          </w:p>
        </w:tc>
      </w:tr>
      <w:tr w:rsidR="00530B24" w:rsidRPr="00B57B36" w14:paraId="6FB94EF9" w14:textId="77777777" w:rsidTr="00530B24">
        <w:tc>
          <w:tcPr>
            <w:tcW w:w="1560" w:type="dxa"/>
            <w:shd w:val="clear" w:color="auto" w:fill="FFFFFF"/>
          </w:tcPr>
          <w:p w14:paraId="5E17DAAF" w14:textId="66CE530A" w:rsidR="00530B24" w:rsidRPr="00B57B36" w:rsidRDefault="00530B24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Temperature, °C</w:t>
            </w:r>
          </w:p>
        </w:tc>
        <w:tc>
          <w:tcPr>
            <w:tcW w:w="1263" w:type="dxa"/>
            <w:shd w:val="clear" w:color="auto" w:fill="FFFFFF"/>
          </w:tcPr>
          <w:p w14:paraId="542D4590" w14:textId="74ADA0B1" w:rsidR="00530B24" w:rsidRPr="00B57B36" w:rsidRDefault="006E2EA1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572" w:type="dxa"/>
            <w:shd w:val="clear" w:color="auto" w:fill="FFFFFF"/>
          </w:tcPr>
          <w:p w14:paraId="67D284EB" w14:textId="4BFA7821" w:rsidR="00530B24" w:rsidRPr="00B57B36" w:rsidRDefault="006E2EA1" w:rsidP="00217ABD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530B24" w:rsidRPr="00B57B36" w14:paraId="2771F333" w14:textId="77777777" w:rsidTr="00530B24">
        <w:tc>
          <w:tcPr>
            <w:tcW w:w="1560" w:type="dxa"/>
            <w:shd w:val="clear" w:color="auto" w:fill="FFFFFF"/>
          </w:tcPr>
          <w:p w14:paraId="331795F4" w14:textId="7ACF8B49" w:rsidR="00530B24" w:rsidRPr="00B57B36" w:rsidRDefault="00530B24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 xml:space="preserve">Pressure, </w:t>
            </w:r>
            <w:proofErr w:type="spellStart"/>
            <w:r>
              <w:rPr>
                <w:rFonts w:cs="Arial"/>
                <w:szCs w:val="18"/>
                <w:lang w:val="en-GB"/>
              </w:rPr>
              <w:t>atm</w:t>
            </w:r>
            <w:proofErr w:type="spellEnd"/>
          </w:p>
        </w:tc>
        <w:tc>
          <w:tcPr>
            <w:tcW w:w="1263" w:type="dxa"/>
            <w:shd w:val="clear" w:color="auto" w:fill="FFFFFF"/>
          </w:tcPr>
          <w:p w14:paraId="2AE06FE8" w14:textId="74434D22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68.0</w:t>
            </w:r>
          </w:p>
        </w:tc>
        <w:tc>
          <w:tcPr>
            <w:tcW w:w="1572" w:type="dxa"/>
            <w:shd w:val="clear" w:color="auto" w:fill="FFFFFF"/>
          </w:tcPr>
          <w:p w14:paraId="7F31EEF2" w14:textId="4645F32F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68.0</w:t>
            </w:r>
          </w:p>
        </w:tc>
      </w:tr>
      <w:tr w:rsidR="00530B24" w:rsidRPr="00B57B36" w14:paraId="63A3926D" w14:textId="77777777" w:rsidTr="00530B24">
        <w:tc>
          <w:tcPr>
            <w:tcW w:w="1560" w:type="dxa"/>
            <w:shd w:val="clear" w:color="auto" w:fill="FFFFFF"/>
          </w:tcPr>
          <w:p w14:paraId="68412EC2" w14:textId="5FA9699D" w:rsidR="00530B24" w:rsidRDefault="00530B24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Density, kg/m</w:t>
            </w:r>
            <w:r w:rsidRPr="00530B24"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1263" w:type="dxa"/>
            <w:shd w:val="clear" w:color="auto" w:fill="FFFFFF"/>
          </w:tcPr>
          <w:p w14:paraId="27ABA9E3" w14:textId="5B963D14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650</w:t>
            </w:r>
          </w:p>
        </w:tc>
        <w:tc>
          <w:tcPr>
            <w:tcW w:w="1572" w:type="dxa"/>
            <w:shd w:val="clear" w:color="auto" w:fill="FFFFFF"/>
          </w:tcPr>
          <w:p w14:paraId="7FA12208" w14:textId="7355AFFD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50.0</w:t>
            </w:r>
          </w:p>
        </w:tc>
      </w:tr>
      <w:tr w:rsidR="00530B24" w:rsidRPr="00B57B36" w14:paraId="5B59AA92" w14:textId="77777777" w:rsidTr="00530B24">
        <w:tc>
          <w:tcPr>
            <w:tcW w:w="1560" w:type="dxa"/>
            <w:shd w:val="clear" w:color="auto" w:fill="FFFFFF"/>
          </w:tcPr>
          <w:p w14:paraId="4F9CDEAB" w14:textId="066D37D3" w:rsidR="00530B24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Viscosity, cp</w:t>
            </w:r>
          </w:p>
        </w:tc>
        <w:tc>
          <w:tcPr>
            <w:tcW w:w="1263" w:type="dxa"/>
            <w:shd w:val="clear" w:color="auto" w:fill="FFFFFF"/>
          </w:tcPr>
          <w:p w14:paraId="50172461" w14:textId="7E906128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0.5</w:t>
            </w:r>
          </w:p>
        </w:tc>
        <w:tc>
          <w:tcPr>
            <w:tcW w:w="1572" w:type="dxa"/>
            <w:shd w:val="clear" w:color="auto" w:fill="FFFFFF"/>
          </w:tcPr>
          <w:p w14:paraId="22DB8A69" w14:textId="485A680C" w:rsidR="00530B24" w:rsidRPr="00B57B36" w:rsidRDefault="006E2EA1" w:rsidP="00217ABD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0.015</w:t>
            </w:r>
          </w:p>
        </w:tc>
      </w:tr>
    </w:tbl>
    <w:p w14:paraId="49AFAA86" w14:textId="77777777" w:rsidR="00E00F87" w:rsidRPr="00E00F87" w:rsidRDefault="00B76426" w:rsidP="008B6E03">
      <w:pPr>
        <w:pStyle w:val="CETHeading1"/>
        <w:tabs>
          <w:tab w:val="num" w:pos="360"/>
        </w:tabs>
      </w:pPr>
      <w:r w:rsidRPr="00B76426">
        <w:rPr>
          <w:lang w:val="en-GB"/>
        </w:rPr>
        <w:t>Compositional simulation</w:t>
      </w:r>
    </w:p>
    <w:p w14:paraId="5E9F1ED8" w14:textId="3BB097D1" w:rsidR="002A1CDC" w:rsidRDefault="0081676E" w:rsidP="0091496F">
      <w:r>
        <w:t>In a recent study (Raimondi, 2022) t</w:t>
      </w:r>
      <w:r w:rsidRPr="00E00F87">
        <w:t xml:space="preserve">he published TD map was considered </w:t>
      </w:r>
      <w:r w:rsidR="003F45BD" w:rsidRPr="00E00F87">
        <w:t xml:space="preserve">in the analysis of slug flow. </w:t>
      </w:r>
      <w:r w:rsidR="002A1CDC" w:rsidRPr="00E00F87">
        <w:t xml:space="preserve">The map shows that </w:t>
      </w:r>
      <w:r w:rsidR="003F45BD" w:rsidRPr="00E00F87">
        <w:t xml:space="preserve">the point characterized by </w:t>
      </w:r>
      <w:r w:rsidR="002A1CDC" w:rsidRPr="00E00F87">
        <w:t xml:space="preserve">liquid </w:t>
      </w:r>
      <w:r w:rsidR="003F45BD" w:rsidRPr="00E00F87">
        <w:t xml:space="preserve">and gas </w:t>
      </w:r>
      <w:r w:rsidR="002A1CDC" w:rsidRPr="00E00F87">
        <w:t>flow</w:t>
      </w:r>
      <w:r w:rsidR="003F45BD" w:rsidRPr="00E00F87">
        <w:t>s</w:t>
      </w:r>
      <w:r w:rsidR="002A1CDC" w:rsidRPr="00E00F87">
        <w:t xml:space="preserve"> </w:t>
      </w:r>
      <w:r w:rsidR="009C7517">
        <w:t>at</w:t>
      </w:r>
      <w:r w:rsidR="002A1CDC" w:rsidRPr="00E00F87">
        <w:t xml:space="preserve"> </w:t>
      </w:r>
      <w:r w:rsidR="009C7517">
        <w:t xml:space="preserve">the </w:t>
      </w:r>
      <w:r w:rsidR="002A1CDC" w:rsidRPr="00E00F87">
        <w:t xml:space="preserve">superficial velocity of 1 m/s should belong to the </w:t>
      </w:r>
      <w:r w:rsidR="003F45BD" w:rsidRPr="00E00F87">
        <w:t>slug</w:t>
      </w:r>
      <w:r w:rsidR="002A1CDC" w:rsidRPr="00E00F87">
        <w:t xml:space="preserve"> flow region. So, </w:t>
      </w:r>
      <w:r w:rsidR="00513205">
        <w:t xml:space="preserve">an </w:t>
      </w:r>
      <w:r w:rsidR="002A1CDC" w:rsidRPr="00E00F87">
        <w:t>analysis of the TD map has been initially performed using this value of the liquid flow rate</w:t>
      </w:r>
      <w:r w:rsidR="002A1CDC" w:rsidRPr="0091496F">
        <w:t>.</w:t>
      </w:r>
      <w:r w:rsidR="009C7517">
        <w:t xml:space="preserve"> </w:t>
      </w:r>
      <w:r w:rsidR="0075628B">
        <w:t>For a compositional</w:t>
      </w:r>
      <w:r w:rsidR="00B76426">
        <w:t xml:space="preserve"> simulation</w:t>
      </w:r>
      <w:r w:rsidR="0075628B">
        <w:t>,</w:t>
      </w:r>
      <w:r w:rsidR="002A1CDC" w:rsidRPr="0091496F">
        <w:t xml:space="preserve"> </w:t>
      </w:r>
      <w:r w:rsidR="0075628B">
        <w:t>n</w:t>
      </w:r>
      <w:r w:rsidR="002A1CDC" w:rsidRPr="0091496F">
        <w:t>atural gas is assumed to be methane</w:t>
      </w:r>
      <w:r w:rsidR="0075628B">
        <w:t>,</w:t>
      </w:r>
      <w:r w:rsidR="002A1CDC" w:rsidRPr="0091496F">
        <w:t xml:space="preserve"> and the crude oil</w:t>
      </w:r>
      <w:r w:rsidR="008D158C">
        <w:t>,</w:t>
      </w:r>
      <w:r w:rsidR="0075628B">
        <w:t xml:space="preserve"> whose</w:t>
      </w:r>
      <w:r w:rsidR="002A1CDC" w:rsidRPr="0091496F">
        <w:t xml:space="preserve"> density </w:t>
      </w:r>
      <w:r w:rsidR="0075628B">
        <w:t>should be</w:t>
      </w:r>
      <w:r w:rsidR="002A1CDC" w:rsidRPr="0091496F">
        <w:t xml:space="preserve"> 650 kg/m</w:t>
      </w:r>
      <w:r w:rsidR="002A1CDC" w:rsidRPr="0075628B">
        <w:rPr>
          <w:vertAlign w:val="superscript"/>
        </w:rPr>
        <w:t>3</w:t>
      </w:r>
      <w:r w:rsidR="002A1CDC" w:rsidRPr="0091496F">
        <w:t>, is defined as a mixture of n-heptane, n-octane</w:t>
      </w:r>
      <w:r w:rsidR="006E2EA1">
        <w:t>,</w:t>
      </w:r>
      <w:r w:rsidR="002A1CDC" w:rsidRPr="0091496F">
        <w:t xml:space="preserve"> and n-nonane with molar composition</w:t>
      </w:r>
      <w:r w:rsidR="005F3482">
        <w:t>:</w:t>
      </w:r>
      <w:r w:rsidR="003F45BD">
        <w:t xml:space="preserve"> </w:t>
      </w:r>
      <w:r w:rsidR="002A1CDC" w:rsidRPr="0091496F">
        <w:t>nC7 0.25, nC8 0.50, nC9 0.25. Vapor-liquid equilibrium is calculated using the Peng-Robinson (1976) equation of state while enthalpy, entropy</w:t>
      </w:r>
      <w:r w:rsidR="009C7517">
        <w:t>,</w:t>
      </w:r>
      <w:r w:rsidR="002A1CDC" w:rsidRPr="0091496F">
        <w:t xml:space="preserve"> and density are calculated with the Lee-Kesler equation. The properties </w:t>
      </w:r>
      <w:r w:rsidR="005F3482">
        <w:t xml:space="preserve">of crude oil and natural gas are </w:t>
      </w:r>
      <w:r w:rsidR="002A1CDC" w:rsidRPr="0091496F">
        <w:t>calculated a</w:t>
      </w:r>
      <w:r w:rsidR="005F3482">
        <w:t>s</w:t>
      </w:r>
      <w:r w:rsidR="002A1CDC" w:rsidRPr="0091496F">
        <w:t xml:space="preserve"> </w:t>
      </w:r>
      <w:r w:rsidR="009C7517">
        <w:t>shown</w:t>
      </w:r>
      <w:r w:rsidR="002A1CDC" w:rsidRPr="0091496F">
        <w:t xml:space="preserve"> in Table </w:t>
      </w:r>
      <w:r w:rsidR="000E5930">
        <w:t>2</w:t>
      </w:r>
      <w:r w:rsidR="002A1CDC" w:rsidRPr="0091496F">
        <w:t>.</w:t>
      </w:r>
    </w:p>
    <w:p w14:paraId="196F1C96" w14:textId="37A3827C" w:rsidR="002A1CDC" w:rsidRPr="000E5930" w:rsidRDefault="002A1CDC" w:rsidP="000E5930">
      <w:pPr>
        <w:pStyle w:val="CETTabletitle"/>
      </w:pPr>
      <w:r w:rsidRPr="000E5930">
        <w:t xml:space="preserve">Table </w:t>
      </w:r>
      <w:r w:rsidR="000E6C86">
        <w:t>2</w:t>
      </w:r>
      <w:r w:rsidRPr="000E5930">
        <w:t xml:space="preserve"> – Compositional simulation fluid properties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701"/>
      </w:tblGrid>
      <w:tr w:rsidR="000E5930" w:rsidRPr="00B57B36" w14:paraId="541A17A9" w14:textId="77777777" w:rsidTr="000E5930"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38342C" w14:textId="4AF3E4F2" w:rsidR="000E5930" w:rsidRPr="00B57B36" w:rsidRDefault="000E5930" w:rsidP="00EF4BEA">
            <w:pPr>
              <w:pStyle w:val="CETBodytext"/>
              <w:rPr>
                <w:lang w:val="en-GB"/>
              </w:rPr>
            </w:pPr>
            <w:bookmarkStart w:id="1" w:name="_Hlk183639295"/>
            <w:r>
              <w:rPr>
                <w:lang w:val="en-GB"/>
              </w:rPr>
              <w:t>Fluid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B363BD3" w14:textId="5284BF1C" w:rsidR="000E5930" w:rsidRPr="00B57B36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Crude oil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AA1DE32" w14:textId="4D02BE47" w:rsidR="000E5930" w:rsidRPr="00B57B36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Natural Gas (CH</w:t>
            </w:r>
            <w:r w:rsidRPr="00DC6DB6">
              <w:rPr>
                <w:vertAlign w:val="subscript"/>
                <w:lang w:val="en-GB"/>
              </w:rPr>
              <w:t>4</w:t>
            </w:r>
            <w:r>
              <w:rPr>
                <w:lang w:val="en-GB"/>
              </w:rPr>
              <w:t>)</w:t>
            </w:r>
          </w:p>
        </w:tc>
      </w:tr>
      <w:tr w:rsidR="000E5930" w:rsidRPr="00B57B36" w14:paraId="07317C1A" w14:textId="77777777" w:rsidTr="000E5930">
        <w:tc>
          <w:tcPr>
            <w:tcW w:w="1701" w:type="dxa"/>
            <w:shd w:val="clear" w:color="auto" w:fill="FFFFFF"/>
          </w:tcPr>
          <w:p w14:paraId="080A8098" w14:textId="6B2674B9" w:rsidR="000E5930" w:rsidRPr="00B57B36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Temperature, °C</w:t>
            </w:r>
          </w:p>
        </w:tc>
        <w:tc>
          <w:tcPr>
            <w:tcW w:w="1418" w:type="dxa"/>
            <w:shd w:val="clear" w:color="auto" w:fill="FFFFFF"/>
          </w:tcPr>
          <w:p w14:paraId="15F404AA" w14:textId="457395FB" w:rsidR="000E5930" w:rsidRPr="00B57B36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701" w:type="dxa"/>
            <w:shd w:val="clear" w:color="auto" w:fill="FFFFFF"/>
          </w:tcPr>
          <w:p w14:paraId="4D639F23" w14:textId="032F7FF3" w:rsidR="000E5930" w:rsidRPr="00B57B36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0E5930" w:rsidRPr="00B57B36" w14:paraId="0BCBDFC5" w14:textId="77777777" w:rsidTr="000E5930">
        <w:tc>
          <w:tcPr>
            <w:tcW w:w="1701" w:type="dxa"/>
            <w:shd w:val="clear" w:color="auto" w:fill="FFFFFF"/>
          </w:tcPr>
          <w:p w14:paraId="70CB088C" w14:textId="32FE0F92" w:rsidR="000E5930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Pressure, </w:t>
            </w:r>
            <w:proofErr w:type="spellStart"/>
            <w:r>
              <w:rPr>
                <w:lang w:val="en-GB"/>
              </w:rPr>
              <w:t>atm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3813E7A2" w14:textId="5590A273" w:rsidR="000E5930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68.0</w:t>
            </w:r>
          </w:p>
        </w:tc>
        <w:tc>
          <w:tcPr>
            <w:tcW w:w="1701" w:type="dxa"/>
            <w:shd w:val="clear" w:color="auto" w:fill="FFFFFF"/>
          </w:tcPr>
          <w:p w14:paraId="6EAA0698" w14:textId="0AEBAB8D" w:rsidR="000E5930" w:rsidRDefault="000E5930" w:rsidP="00EF4BEA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68.0</w:t>
            </w:r>
          </w:p>
        </w:tc>
      </w:tr>
      <w:tr w:rsidR="000E5930" w:rsidRPr="00B57B36" w14:paraId="3CAB8DF0" w14:textId="77777777" w:rsidTr="000E5930">
        <w:tc>
          <w:tcPr>
            <w:tcW w:w="1701" w:type="dxa"/>
            <w:shd w:val="clear" w:color="auto" w:fill="FFFFFF"/>
          </w:tcPr>
          <w:p w14:paraId="10729D5B" w14:textId="48B6872D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Density, kg/m</w:t>
            </w:r>
            <w:r w:rsidRPr="00DC6DB6"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14:paraId="180B7079" w14:textId="1216FA09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684.0</w:t>
            </w:r>
          </w:p>
        </w:tc>
        <w:tc>
          <w:tcPr>
            <w:tcW w:w="1701" w:type="dxa"/>
            <w:shd w:val="clear" w:color="auto" w:fill="FFFFFF"/>
          </w:tcPr>
          <w:p w14:paraId="09E67F38" w14:textId="27E436A9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46.9</w:t>
            </w:r>
          </w:p>
        </w:tc>
      </w:tr>
      <w:tr w:rsidR="000E5930" w:rsidRPr="00B57B36" w14:paraId="6A7A876F" w14:textId="77777777" w:rsidTr="000E5930">
        <w:tc>
          <w:tcPr>
            <w:tcW w:w="1701" w:type="dxa"/>
            <w:shd w:val="clear" w:color="auto" w:fill="FFFFFF"/>
          </w:tcPr>
          <w:p w14:paraId="58797B72" w14:textId="27C6BF0E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Viscosity, cp</w:t>
            </w:r>
          </w:p>
        </w:tc>
        <w:tc>
          <w:tcPr>
            <w:tcW w:w="1418" w:type="dxa"/>
            <w:shd w:val="clear" w:color="auto" w:fill="FFFFFF"/>
          </w:tcPr>
          <w:p w14:paraId="47819869" w14:textId="1AFE004E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0.444</w:t>
            </w:r>
          </w:p>
        </w:tc>
        <w:tc>
          <w:tcPr>
            <w:tcW w:w="1701" w:type="dxa"/>
            <w:shd w:val="clear" w:color="auto" w:fill="FFFFFF"/>
          </w:tcPr>
          <w:p w14:paraId="51C0BF5F" w14:textId="6EBD36F4" w:rsidR="000E5930" w:rsidRPr="00B57B36" w:rsidRDefault="000E5930" w:rsidP="00EF4BEA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0.013</w:t>
            </w:r>
          </w:p>
        </w:tc>
      </w:tr>
      <w:bookmarkEnd w:id="1"/>
    </w:tbl>
    <w:p w14:paraId="1F4C0782" w14:textId="77777777" w:rsidR="000E5930" w:rsidRPr="00820B6D" w:rsidRDefault="000E5930" w:rsidP="002A1CDC">
      <w:pPr>
        <w:rPr>
          <w:rFonts w:cs="Arial"/>
          <w:lang w:val="it-IT"/>
        </w:rPr>
      </w:pPr>
    </w:p>
    <w:p w14:paraId="081EB915" w14:textId="5B74C074" w:rsidR="002A1CDC" w:rsidRDefault="002A1CDC" w:rsidP="0091496F">
      <w:r w:rsidRPr="0091496F">
        <w:t>When a compositional calculation is applied for this case, vapor</w:t>
      </w:r>
      <w:r w:rsidR="005F3482">
        <w:t>-</w:t>
      </w:r>
      <w:r w:rsidRPr="0091496F">
        <w:t xml:space="preserve">liquid equilibrium must be calculated to define the fluid inlet conditions into the pipe: the first finding to be remarked is the high solubility of methane in the liquid crude oil. </w:t>
      </w:r>
      <w:r w:rsidR="008D158C">
        <w:t>The m</w:t>
      </w:r>
      <w:r w:rsidRPr="0091496F">
        <w:t>ethane molar fraction in the liquid is about 2</w:t>
      </w:r>
      <w:r w:rsidR="009866F8">
        <w:t>7</w:t>
      </w:r>
      <w:r w:rsidRPr="0091496F">
        <w:t>%</w:t>
      </w:r>
      <w:r w:rsidR="005F3482">
        <w:t>,</w:t>
      </w:r>
      <w:r w:rsidRPr="0091496F">
        <w:t xml:space="preserve"> correspond</w:t>
      </w:r>
      <w:r w:rsidR="008D158C">
        <w:t>ing</w:t>
      </w:r>
      <w:r w:rsidRPr="0091496F">
        <w:t xml:space="preserve"> to a weight fraction </w:t>
      </w:r>
      <w:r w:rsidR="005F3482">
        <w:t xml:space="preserve">of </w:t>
      </w:r>
      <w:r w:rsidRPr="0091496F">
        <w:t>around 5%. So, when the methane flow</w:t>
      </w:r>
      <w:r w:rsidR="008D158C">
        <w:t xml:space="preserve"> </w:t>
      </w:r>
      <w:r w:rsidRPr="0091496F">
        <w:t xml:space="preserve">rate, </w:t>
      </w:r>
      <w:r w:rsidR="005F3482">
        <w:t xml:space="preserve">as </w:t>
      </w:r>
      <w:r w:rsidRPr="0091496F">
        <w:t>measured by its superficial velocity, is below a certain amount it completely dissolves into the liquid and a single liquid phase is obtained</w:t>
      </w:r>
      <w:r w:rsidR="005F3482">
        <w:t xml:space="preserve">. </w:t>
      </w:r>
      <w:r w:rsidR="003F45BD">
        <w:t>F</w:t>
      </w:r>
      <w:r w:rsidR="005F3482">
        <w:t>or such condition</w:t>
      </w:r>
      <w:r w:rsidR="008D158C">
        <w:t>s,</w:t>
      </w:r>
      <w:r w:rsidRPr="0091496F">
        <w:t xml:space="preserve"> </w:t>
      </w:r>
      <w:r w:rsidR="009C7517">
        <w:t xml:space="preserve">a </w:t>
      </w:r>
      <w:r w:rsidRPr="0091496F">
        <w:t xml:space="preserve">two-phase flow </w:t>
      </w:r>
      <w:r w:rsidR="005F3482">
        <w:t xml:space="preserve">cannot </w:t>
      </w:r>
      <w:r w:rsidRPr="0091496F">
        <w:t>exist. For each 1000 kg of crude oil</w:t>
      </w:r>
      <w:r w:rsidR="003F45BD">
        <w:t>,</w:t>
      </w:r>
      <w:r w:rsidRPr="0091496F">
        <w:t xml:space="preserve"> 50 kg of methane </w:t>
      </w:r>
      <w:r w:rsidR="009C7517">
        <w:t>is</w:t>
      </w:r>
      <w:r w:rsidRPr="0091496F">
        <w:t xml:space="preserve"> dissolved into the liquid lowering its density and viscosity. Vice versa the fraction of liquid dissolved into the gas is less than 1% molar and</w:t>
      </w:r>
      <w:r w:rsidR="005F3482">
        <w:t xml:space="preserve"> </w:t>
      </w:r>
      <w:r w:rsidRPr="0091496F">
        <w:t>ha</w:t>
      </w:r>
      <w:r w:rsidR="005F3482">
        <w:t>s</w:t>
      </w:r>
      <w:r w:rsidRPr="0091496F">
        <w:t xml:space="preserve"> small effects on the gas properties </w:t>
      </w:r>
      <w:r w:rsidR="00513205">
        <w:t xml:space="preserve">as illustrated in </w:t>
      </w:r>
      <w:r w:rsidRPr="0091496F">
        <w:t xml:space="preserve">Table </w:t>
      </w:r>
      <w:r w:rsidR="005A1AC0">
        <w:t>3</w:t>
      </w:r>
      <w:r w:rsidRPr="0091496F">
        <w:t>.</w:t>
      </w:r>
    </w:p>
    <w:p w14:paraId="1DAF14A0" w14:textId="02F2B51C" w:rsidR="002A1CDC" w:rsidRPr="00784E9C" w:rsidRDefault="002A1CDC" w:rsidP="00D96D4F">
      <w:pPr>
        <w:pStyle w:val="CETTabletitle"/>
      </w:pPr>
      <w:bookmarkStart w:id="2" w:name="_Hlk184416853"/>
      <w:r w:rsidRPr="00784E9C">
        <w:t xml:space="preserve">Table </w:t>
      </w:r>
      <w:r w:rsidR="00D96D4F">
        <w:t>3</w:t>
      </w:r>
      <w:r w:rsidRPr="00784E9C">
        <w:t xml:space="preserve"> – Fluid </w:t>
      </w:r>
      <w:r w:rsidRPr="004273B9">
        <w:t>properties</w:t>
      </w:r>
      <w:r w:rsidRPr="00784E9C">
        <w:t xml:space="preserve"> from vapor-liquid equilibrium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843"/>
        <w:gridCol w:w="1843"/>
      </w:tblGrid>
      <w:tr w:rsidR="004273B9" w:rsidRPr="00B57B36" w14:paraId="156D65B5" w14:textId="77777777" w:rsidTr="00DC6DB6"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bookmarkEnd w:id="2"/>
          <w:p w14:paraId="16C6AC78" w14:textId="77777777" w:rsidR="004273B9" w:rsidRPr="00B57B36" w:rsidRDefault="004273B9" w:rsidP="00FF0EEF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Fluid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ED3230D" w14:textId="67DCDE69" w:rsidR="004273B9" w:rsidRPr="00B57B36" w:rsidRDefault="004273B9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Saturated Crude oil</w:t>
            </w:r>
          </w:p>
        </w:tc>
        <w:tc>
          <w:tcPr>
            <w:tcW w:w="1843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4F4910C" w14:textId="67EDAF42" w:rsidR="004273B9" w:rsidRPr="00B57B36" w:rsidRDefault="00DC6DB6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Saturated natural gas</w:t>
            </w:r>
          </w:p>
        </w:tc>
      </w:tr>
      <w:tr w:rsidR="004273B9" w:rsidRPr="00B57B36" w14:paraId="481E8C7A" w14:textId="77777777" w:rsidTr="00DC6DB6">
        <w:tc>
          <w:tcPr>
            <w:tcW w:w="1701" w:type="dxa"/>
            <w:shd w:val="clear" w:color="auto" w:fill="FFFFFF"/>
          </w:tcPr>
          <w:p w14:paraId="20E39D42" w14:textId="41625530" w:rsidR="004273B9" w:rsidRPr="00B57B36" w:rsidRDefault="00DC6DB6" w:rsidP="00FF0EEF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4273B9">
              <w:rPr>
                <w:lang w:val="en-GB"/>
              </w:rPr>
              <w:t>emperature, °C</w:t>
            </w:r>
          </w:p>
        </w:tc>
        <w:tc>
          <w:tcPr>
            <w:tcW w:w="1843" w:type="dxa"/>
            <w:shd w:val="clear" w:color="auto" w:fill="FFFFFF"/>
          </w:tcPr>
          <w:p w14:paraId="5714B1E9" w14:textId="77777777" w:rsidR="004273B9" w:rsidRPr="00B57B36" w:rsidRDefault="004273B9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1843" w:type="dxa"/>
            <w:shd w:val="clear" w:color="auto" w:fill="FFFFFF"/>
          </w:tcPr>
          <w:p w14:paraId="4FFA15AE" w14:textId="77777777" w:rsidR="004273B9" w:rsidRPr="00B57B36" w:rsidRDefault="004273B9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  <w:tr w:rsidR="004273B9" w:rsidRPr="00B57B36" w14:paraId="415BD790" w14:textId="77777777" w:rsidTr="00DC6DB6">
        <w:tc>
          <w:tcPr>
            <w:tcW w:w="1701" w:type="dxa"/>
            <w:shd w:val="clear" w:color="auto" w:fill="FFFFFF"/>
          </w:tcPr>
          <w:p w14:paraId="56FFFD1C" w14:textId="77777777" w:rsidR="004273B9" w:rsidRDefault="004273B9" w:rsidP="00FF0EEF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Pressure, </w:t>
            </w:r>
            <w:proofErr w:type="spellStart"/>
            <w:r>
              <w:rPr>
                <w:lang w:val="en-GB"/>
              </w:rPr>
              <w:t>atm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359DFE61" w14:textId="77777777" w:rsidR="004273B9" w:rsidRDefault="004273B9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68.0</w:t>
            </w:r>
          </w:p>
        </w:tc>
        <w:tc>
          <w:tcPr>
            <w:tcW w:w="1843" w:type="dxa"/>
            <w:shd w:val="clear" w:color="auto" w:fill="FFFFFF"/>
          </w:tcPr>
          <w:p w14:paraId="0934959A" w14:textId="77777777" w:rsidR="004273B9" w:rsidRDefault="004273B9" w:rsidP="00DC6DB6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68.0</w:t>
            </w:r>
          </w:p>
        </w:tc>
      </w:tr>
      <w:tr w:rsidR="004273B9" w:rsidRPr="00B57B36" w14:paraId="070338D9" w14:textId="77777777" w:rsidTr="00DC6DB6">
        <w:tc>
          <w:tcPr>
            <w:tcW w:w="1701" w:type="dxa"/>
            <w:shd w:val="clear" w:color="auto" w:fill="FFFFFF"/>
          </w:tcPr>
          <w:p w14:paraId="7B698600" w14:textId="77777777" w:rsidR="004273B9" w:rsidRPr="00B57B36" w:rsidRDefault="004273B9" w:rsidP="00FF0EE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Density, kg/m</w:t>
            </w:r>
            <w:r w:rsidRPr="00DC6DB6">
              <w:rPr>
                <w:rFonts w:cs="Arial"/>
                <w:szCs w:val="18"/>
                <w:vertAlign w:val="superscript"/>
                <w:lang w:val="en-GB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14:paraId="1A46B446" w14:textId="06DBD214" w:rsidR="004273B9" w:rsidRPr="00B57B36" w:rsidRDefault="004273B9" w:rsidP="00DC6DB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655.0</w:t>
            </w:r>
          </w:p>
        </w:tc>
        <w:tc>
          <w:tcPr>
            <w:tcW w:w="1843" w:type="dxa"/>
            <w:shd w:val="clear" w:color="auto" w:fill="FFFFFF"/>
          </w:tcPr>
          <w:p w14:paraId="257EA817" w14:textId="5FA7CA3C" w:rsidR="004273B9" w:rsidRPr="00B57B36" w:rsidRDefault="004273B9" w:rsidP="00DC6DB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4</w:t>
            </w:r>
            <w:r w:rsidR="00D96D4F">
              <w:rPr>
                <w:rFonts w:cs="Arial"/>
                <w:szCs w:val="18"/>
                <w:lang w:val="en-GB"/>
              </w:rPr>
              <w:t>8.2</w:t>
            </w:r>
          </w:p>
        </w:tc>
      </w:tr>
      <w:tr w:rsidR="004273B9" w:rsidRPr="00B57B36" w14:paraId="0CD917D7" w14:textId="77777777" w:rsidTr="00DC6DB6">
        <w:tc>
          <w:tcPr>
            <w:tcW w:w="1701" w:type="dxa"/>
            <w:shd w:val="clear" w:color="auto" w:fill="FFFFFF"/>
          </w:tcPr>
          <w:p w14:paraId="21A8A30B" w14:textId="77777777" w:rsidR="004273B9" w:rsidRPr="00B57B36" w:rsidRDefault="004273B9" w:rsidP="00FF0EEF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Viscosity, cp</w:t>
            </w:r>
          </w:p>
        </w:tc>
        <w:tc>
          <w:tcPr>
            <w:tcW w:w="1843" w:type="dxa"/>
            <w:shd w:val="clear" w:color="auto" w:fill="FFFFFF"/>
          </w:tcPr>
          <w:p w14:paraId="5D83980A" w14:textId="06DC7B51" w:rsidR="004273B9" w:rsidRPr="00B57B36" w:rsidRDefault="004273B9" w:rsidP="00DC6DB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</w:t>
            </w:r>
            <w:r w:rsidR="00D96D4F">
              <w:rPr>
                <w:rFonts w:cs="Arial"/>
                <w:szCs w:val="18"/>
                <w:lang w:val="en-GB"/>
              </w:rPr>
              <w:t>238</w:t>
            </w:r>
          </w:p>
        </w:tc>
        <w:tc>
          <w:tcPr>
            <w:tcW w:w="1843" w:type="dxa"/>
            <w:shd w:val="clear" w:color="auto" w:fill="FFFFFF"/>
          </w:tcPr>
          <w:p w14:paraId="1C6C9692" w14:textId="77777777" w:rsidR="004273B9" w:rsidRPr="00B57B36" w:rsidRDefault="004273B9" w:rsidP="00DC6DB6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0.013</w:t>
            </w:r>
          </w:p>
        </w:tc>
      </w:tr>
    </w:tbl>
    <w:p w14:paraId="2B9E534B" w14:textId="77777777" w:rsidR="002A1CDC" w:rsidRDefault="002A1CDC" w:rsidP="002A1CDC">
      <w:pPr>
        <w:rPr>
          <w:rFonts w:cs="Arial"/>
        </w:rPr>
      </w:pPr>
    </w:p>
    <w:p w14:paraId="31CAE453" w14:textId="1991696B" w:rsidR="009866F8" w:rsidRDefault="009866F8" w:rsidP="002A1CDC">
      <w:pPr>
        <w:rPr>
          <w:rFonts w:cs="Arial"/>
        </w:rPr>
      </w:pPr>
      <w:r w:rsidRPr="0091496F">
        <w:t>To obtain a liquid flow</w:t>
      </w:r>
      <w:r>
        <w:t xml:space="preserve"> </w:t>
      </w:r>
      <w:r w:rsidRPr="0091496F">
        <w:t>rate with a superficial velocity of 1 m/s, a crude oil feed of 254 m</w:t>
      </w:r>
      <w:r w:rsidRPr="00A36C88">
        <w:rPr>
          <w:vertAlign w:val="superscript"/>
        </w:rPr>
        <w:t>3</w:t>
      </w:r>
      <w:r w:rsidRPr="0091496F">
        <w:t>/h is required. With this liquid flow rate, at the inlet conditions of 38 °C and 68.9 bar, the minimum gas flow</w:t>
      </w:r>
      <w:r>
        <w:t xml:space="preserve"> </w:t>
      </w:r>
      <w:r w:rsidRPr="0091496F">
        <w:t>rate to have a separate gas phase results in 9100 kg/h of methane corresponding to a superficial gas velocity of 0.76 m/s. So, the gas-liquid flow</w:t>
      </w:r>
      <w:r>
        <w:t xml:space="preserve"> </w:t>
      </w:r>
      <w:r w:rsidRPr="0091496F">
        <w:t xml:space="preserve">patterns </w:t>
      </w:r>
      <w:r>
        <w:t>on</w:t>
      </w:r>
      <w:r w:rsidRPr="0091496F">
        <w:t xml:space="preserve"> the line defined by U</w:t>
      </w:r>
      <w:r>
        <w:rPr>
          <w:vertAlign w:val="subscript"/>
        </w:rPr>
        <w:t>SL</w:t>
      </w:r>
      <w:r w:rsidRPr="0091496F">
        <w:t xml:space="preserve"> equal 1.0 m/s do not exist for gas superficial velocities lower than 0.76 m/s.</w:t>
      </w:r>
      <w:r>
        <w:t xml:space="preserve"> Therefore, a homogenous liquid phase is found for all points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SG</m:t>
            </m:r>
          </m:sub>
        </m:sSub>
        <m:r>
          <w:rPr>
            <w:rFonts w:ascii="Cambria Math" w:hAnsi="Cambria Math"/>
          </w:rPr>
          <m:t>&lt;0.76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SL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587984">
        <w:rPr>
          <w:rFonts w:cs="Arial"/>
        </w:rPr>
        <w:t xml:space="preserve">. </w:t>
      </w:r>
      <w:r w:rsidR="003C42C5">
        <w:rPr>
          <w:rFonts w:cs="Arial"/>
        </w:rPr>
        <w:t>Table 4 shows t</w:t>
      </w:r>
      <w:r w:rsidR="00587984">
        <w:rPr>
          <w:rFonts w:cs="Arial"/>
        </w:rPr>
        <w:t>h</w:t>
      </w:r>
      <w:r>
        <w:rPr>
          <w:rFonts w:cs="Arial"/>
        </w:rPr>
        <w:t>e vapor and liquid equilibrium composition</w:t>
      </w:r>
      <w:r w:rsidR="00587984">
        <w:rPr>
          <w:rFonts w:cs="Arial"/>
        </w:rPr>
        <w:t>s</w:t>
      </w:r>
      <w:r>
        <w:rPr>
          <w:rFonts w:cs="Arial"/>
        </w:rPr>
        <w:t xml:space="preserve"> of methane and crude oil at 38 °C and 68 atm</w:t>
      </w:r>
      <w:r w:rsidR="003C42C5">
        <w:rPr>
          <w:rFonts w:cs="Arial"/>
        </w:rPr>
        <w:t>.</w:t>
      </w:r>
    </w:p>
    <w:p w14:paraId="155CCFA8" w14:textId="36C85892" w:rsidR="000E6C86" w:rsidRDefault="000E6C86" w:rsidP="000E6C86">
      <w:pPr>
        <w:pStyle w:val="CETTabletitle"/>
      </w:pPr>
      <w:r>
        <w:t>Table 4 – Gas and liquid equilibrium compositions at 38°C and 68 atm.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0E6C86" w:rsidRPr="00B57B36" w14:paraId="461840FF" w14:textId="77777777" w:rsidTr="00F85F35"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D89CEC4" w14:textId="77777777" w:rsidR="000E6C86" w:rsidRPr="00B57B36" w:rsidRDefault="000E6C86" w:rsidP="00F85F3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Component</w:t>
            </w:r>
            <w:r w:rsidRPr="00B57B36">
              <w:rPr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ACE2525" w14:textId="1A5BAA78" w:rsidR="000E6C86" w:rsidRPr="00B57B3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Liq</w:t>
            </w:r>
            <w:r w:rsidR="00587984">
              <w:rPr>
                <w:lang w:val="en-GB"/>
              </w:rPr>
              <w:t>.</w:t>
            </w:r>
            <w:r>
              <w:rPr>
                <w:lang w:val="en-GB"/>
              </w:rPr>
              <w:t xml:space="preserve"> molar </w:t>
            </w:r>
            <w:proofErr w:type="spellStart"/>
            <w:r>
              <w:rPr>
                <w:lang w:val="en-GB"/>
              </w:rPr>
              <w:t>fract</w:t>
            </w:r>
            <w:proofErr w:type="spellEnd"/>
            <w:r w:rsidR="00B66DAD">
              <w:rPr>
                <w:lang w:val="en-GB"/>
              </w:rPr>
              <w:t>.</w:t>
            </w:r>
          </w:p>
        </w:tc>
        <w:tc>
          <w:tcPr>
            <w:tcW w:w="1701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173E4AB" w14:textId="49A78440" w:rsidR="000E6C86" w:rsidRPr="00B57B3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Gas molar </w:t>
            </w:r>
            <w:proofErr w:type="spellStart"/>
            <w:r>
              <w:rPr>
                <w:lang w:val="en-GB"/>
              </w:rPr>
              <w:t>fract</w:t>
            </w:r>
            <w:proofErr w:type="spellEnd"/>
            <w:r w:rsidR="00B66DAD">
              <w:rPr>
                <w:lang w:val="en-GB"/>
              </w:rPr>
              <w:t>.</w:t>
            </w:r>
          </w:p>
        </w:tc>
      </w:tr>
      <w:tr w:rsidR="000E6C86" w:rsidRPr="00B57B36" w14:paraId="709863B2" w14:textId="77777777" w:rsidTr="00F85F35">
        <w:tc>
          <w:tcPr>
            <w:tcW w:w="1701" w:type="dxa"/>
            <w:shd w:val="clear" w:color="auto" w:fill="FFFFFF"/>
          </w:tcPr>
          <w:p w14:paraId="2B825E6A" w14:textId="77777777" w:rsidR="000E6C86" w:rsidRPr="00B57B36" w:rsidRDefault="000E6C86" w:rsidP="00F85F3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Methane</w:t>
            </w:r>
          </w:p>
        </w:tc>
        <w:tc>
          <w:tcPr>
            <w:tcW w:w="1701" w:type="dxa"/>
            <w:shd w:val="clear" w:color="auto" w:fill="FFFFFF"/>
          </w:tcPr>
          <w:p w14:paraId="436CD1F0" w14:textId="77777777" w:rsidR="000E6C86" w:rsidRPr="00B57B3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0.265577</w:t>
            </w:r>
          </w:p>
        </w:tc>
        <w:tc>
          <w:tcPr>
            <w:tcW w:w="1701" w:type="dxa"/>
            <w:shd w:val="clear" w:color="auto" w:fill="FFFFFF"/>
          </w:tcPr>
          <w:p w14:paraId="40BEBE54" w14:textId="77777777" w:rsidR="000E6C86" w:rsidRPr="00B57B3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0.996153</w:t>
            </w:r>
          </w:p>
        </w:tc>
      </w:tr>
      <w:tr w:rsidR="000E6C86" w:rsidRPr="00B57B36" w14:paraId="61207B00" w14:textId="77777777" w:rsidTr="00F85F35">
        <w:tc>
          <w:tcPr>
            <w:tcW w:w="1701" w:type="dxa"/>
            <w:shd w:val="clear" w:color="auto" w:fill="FFFFFF"/>
          </w:tcPr>
          <w:p w14:paraId="213592EF" w14:textId="77777777" w:rsidR="000E6C86" w:rsidRDefault="000E6C86" w:rsidP="00F85F3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n-Heptane</w:t>
            </w:r>
          </w:p>
        </w:tc>
        <w:tc>
          <w:tcPr>
            <w:tcW w:w="1701" w:type="dxa"/>
            <w:shd w:val="clear" w:color="auto" w:fill="FFFFFF"/>
          </w:tcPr>
          <w:p w14:paraId="1F52AAA0" w14:textId="77777777" w:rsidR="000E6C8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0.183606</w:t>
            </w:r>
          </w:p>
        </w:tc>
        <w:tc>
          <w:tcPr>
            <w:tcW w:w="1701" w:type="dxa"/>
            <w:shd w:val="clear" w:color="auto" w:fill="FFFFFF"/>
          </w:tcPr>
          <w:p w14:paraId="416880C2" w14:textId="77777777" w:rsidR="000E6C86" w:rsidRDefault="000E6C86" w:rsidP="00F85F35">
            <w:pPr>
              <w:pStyle w:val="CETBodytext"/>
              <w:jc w:val="center"/>
              <w:rPr>
                <w:lang w:val="en-GB"/>
              </w:rPr>
            </w:pPr>
            <w:r>
              <w:rPr>
                <w:lang w:val="en-GB"/>
              </w:rPr>
              <w:t>0.001868</w:t>
            </w:r>
          </w:p>
        </w:tc>
      </w:tr>
      <w:tr w:rsidR="000E6C86" w:rsidRPr="00B57B36" w14:paraId="55263826" w14:textId="77777777" w:rsidTr="00F85F35">
        <w:tc>
          <w:tcPr>
            <w:tcW w:w="1701" w:type="dxa"/>
            <w:shd w:val="clear" w:color="auto" w:fill="FFFFFF"/>
          </w:tcPr>
          <w:p w14:paraId="361B97C0" w14:textId="77777777" w:rsidR="000E6C86" w:rsidRPr="00B57B36" w:rsidRDefault="000E6C86" w:rsidP="00F85F3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n-Octane</w:t>
            </w:r>
          </w:p>
        </w:tc>
        <w:tc>
          <w:tcPr>
            <w:tcW w:w="1701" w:type="dxa"/>
            <w:shd w:val="clear" w:color="auto" w:fill="FFFFFF"/>
          </w:tcPr>
          <w:p w14:paraId="5B99780A" w14:textId="77777777" w:rsidR="000E6C86" w:rsidRPr="00B57B36" w:rsidRDefault="000E6C86" w:rsidP="00F85F3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0.367211</w:t>
            </w:r>
          </w:p>
        </w:tc>
        <w:tc>
          <w:tcPr>
            <w:tcW w:w="1701" w:type="dxa"/>
            <w:shd w:val="clear" w:color="auto" w:fill="FFFFFF"/>
          </w:tcPr>
          <w:p w14:paraId="299F08ED" w14:textId="77777777" w:rsidR="000E6C86" w:rsidRPr="00B57B36" w:rsidRDefault="000E6C86" w:rsidP="00F85F3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0.001618</w:t>
            </w:r>
          </w:p>
        </w:tc>
      </w:tr>
      <w:tr w:rsidR="000E6C86" w:rsidRPr="00B57B36" w14:paraId="7D1C2BBD" w14:textId="77777777" w:rsidTr="00F85F35">
        <w:tc>
          <w:tcPr>
            <w:tcW w:w="1701" w:type="dxa"/>
            <w:shd w:val="clear" w:color="auto" w:fill="FFFFFF"/>
          </w:tcPr>
          <w:p w14:paraId="3644F1A8" w14:textId="77777777" w:rsidR="000E6C86" w:rsidRPr="00B57B36" w:rsidRDefault="000E6C86" w:rsidP="00F85F35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n-Nonane</w:t>
            </w:r>
          </w:p>
        </w:tc>
        <w:tc>
          <w:tcPr>
            <w:tcW w:w="1701" w:type="dxa"/>
            <w:shd w:val="clear" w:color="auto" w:fill="FFFFFF"/>
          </w:tcPr>
          <w:p w14:paraId="0DF78A6F" w14:textId="77777777" w:rsidR="000E6C86" w:rsidRPr="00B57B36" w:rsidRDefault="000E6C86" w:rsidP="00F85F3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0.183606</w:t>
            </w:r>
          </w:p>
        </w:tc>
        <w:tc>
          <w:tcPr>
            <w:tcW w:w="1701" w:type="dxa"/>
            <w:shd w:val="clear" w:color="auto" w:fill="FFFFFF"/>
          </w:tcPr>
          <w:p w14:paraId="6C8673FA" w14:textId="77777777" w:rsidR="000E6C86" w:rsidRPr="00B57B36" w:rsidRDefault="000E6C86" w:rsidP="00F85F35">
            <w:pPr>
              <w:pStyle w:val="CETBodytext"/>
              <w:ind w:right="-1"/>
              <w:jc w:val="center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0.000360</w:t>
            </w:r>
          </w:p>
        </w:tc>
      </w:tr>
    </w:tbl>
    <w:p w14:paraId="2C02391A" w14:textId="760B3552" w:rsidR="00B76426" w:rsidRPr="00B76426" w:rsidRDefault="00B76426" w:rsidP="00B76426">
      <w:pPr>
        <w:pStyle w:val="CETHeading1"/>
        <w:tabs>
          <w:tab w:val="num" w:pos="360"/>
        </w:tabs>
        <w:rPr>
          <w:lang w:val="en-GB"/>
        </w:rPr>
      </w:pPr>
      <w:r w:rsidRPr="00B76426">
        <w:rPr>
          <w:lang w:val="en-GB"/>
        </w:rPr>
        <w:lastRenderedPageBreak/>
        <w:t>Dynamic simulation</w:t>
      </w:r>
    </w:p>
    <w:p w14:paraId="11A073E8" w14:textId="23CDD350" w:rsidR="002A1CDC" w:rsidRDefault="00956769" w:rsidP="0091496F">
      <w:r>
        <w:t xml:space="preserve">The fluid dynamic equations </w:t>
      </w:r>
      <w:r w:rsidR="00835B74">
        <w:t xml:space="preserve">are based on a VOF (Volume of Fluid) </w:t>
      </w:r>
      <w:r w:rsidR="006C7E69">
        <w:t>method</w:t>
      </w:r>
      <w:r w:rsidR="00835B74">
        <w:t xml:space="preserve"> and, as </w:t>
      </w:r>
      <w:r>
        <w:t xml:space="preserve">implemented in the simulation software program </w:t>
      </w:r>
      <w:r w:rsidR="006C7E69">
        <w:t>(</w:t>
      </w:r>
      <w:r>
        <w:t>XPSIM</w:t>
      </w:r>
      <w:r w:rsidR="006C7E69">
        <w:t>, 2024)</w:t>
      </w:r>
      <w:r w:rsidR="00835B74">
        <w:t>,</w:t>
      </w:r>
      <w:r>
        <w:t xml:space="preserve"> have been presented by the author i</w:t>
      </w:r>
      <w:r w:rsidR="00835B74">
        <w:t>n</w:t>
      </w:r>
      <w:r>
        <w:t xml:space="preserve"> previous studies (Raimondi, 2017 and Raimondi, 2022). </w:t>
      </w:r>
      <w:r w:rsidR="006C7E69">
        <w:t>One of t</w:t>
      </w:r>
      <w:r>
        <w:t>he interesting feature</w:t>
      </w:r>
      <w:r w:rsidR="006C7E69">
        <w:t>s</w:t>
      </w:r>
      <w:r>
        <w:t xml:space="preserve"> </w:t>
      </w:r>
      <w:r w:rsidR="006C7E69">
        <w:t>is their</w:t>
      </w:r>
      <w:r>
        <w:t xml:space="preserve"> ability to calculate pressure instabilities and oscillations </w:t>
      </w:r>
      <w:r w:rsidR="006C7E69">
        <w:t xml:space="preserve">such as those generated by the slug flow </w:t>
      </w:r>
      <w:r>
        <w:t xml:space="preserve">without </w:t>
      </w:r>
      <w:r w:rsidR="006C7E69">
        <w:t xml:space="preserve">any </w:t>
      </w:r>
      <w:r>
        <w:t xml:space="preserve">need </w:t>
      </w:r>
      <w:r w:rsidR="006C7E69">
        <w:t xml:space="preserve">for ad-hoc models and </w:t>
      </w:r>
      <w:r>
        <w:t>external initialization</w:t>
      </w:r>
      <w:r w:rsidR="006C7E69">
        <w:t>s</w:t>
      </w:r>
      <w:r>
        <w:t xml:space="preserve"> or perturbations.</w:t>
      </w:r>
      <w:r w:rsidR="009601D2">
        <w:t xml:space="preserve"> </w:t>
      </w:r>
      <w:r w:rsidR="002A1CDC" w:rsidRPr="0091496F">
        <w:t xml:space="preserve">To set a simulation case of industrial interest, the pipe is </w:t>
      </w:r>
      <w:r w:rsidR="00C72113">
        <w:t xml:space="preserve">considered </w:t>
      </w:r>
      <w:r w:rsidR="002A1CDC" w:rsidRPr="0091496F">
        <w:t>to be 1</w:t>
      </w:r>
      <w:r w:rsidR="009601D2">
        <w:t>,</w:t>
      </w:r>
      <w:r w:rsidR="002A1CDC" w:rsidRPr="0091496F">
        <w:t xml:space="preserve">000 m long. At the </w:t>
      </w:r>
      <w:r w:rsidR="00A801DC">
        <w:t xml:space="preserve">pipe </w:t>
      </w:r>
      <w:r w:rsidR="002A1CDC" w:rsidRPr="0091496F">
        <w:t>inlet</w:t>
      </w:r>
      <w:r w:rsidR="00A801DC">
        <w:t xml:space="preserve">, the </w:t>
      </w:r>
      <w:r w:rsidR="002A1CDC" w:rsidRPr="0091496F">
        <w:t>gas and liquid flow</w:t>
      </w:r>
      <w:r w:rsidR="00AC6894">
        <w:t xml:space="preserve"> </w:t>
      </w:r>
      <w:r w:rsidR="002A1CDC" w:rsidRPr="0091496F">
        <w:t xml:space="preserve">rates are fixed and </w:t>
      </w:r>
      <w:r w:rsidR="00A801DC">
        <w:t xml:space="preserve">have </w:t>
      </w:r>
      <w:r w:rsidR="002A1CDC" w:rsidRPr="0091496F">
        <w:t>the same velocity (</w:t>
      </w:r>
      <w:r w:rsidR="00C72113">
        <w:t>i.</w:t>
      </w:r>
      <w:r w:rsidR="00AC6894">
        <w:t>e</w:t>
      </w:r>
      <w:r w:rsidR="00C72113">
        <w:t xml:space="preserve">. </w:t>
      </w:r>
      <w:r w:rsidR="002A1CDC" w:rsidRPr="0091496F">
        <w:t>no-slip flow</w:t>
      </w:r>
      <w:r w:rsidR="00C72113">
        <w:t xml:space="preserve"> is assumed</w:t>
      </w:r>
      <w:r w:rsidR="002A1CDC" w:rsidRPr="0091496F">
        <w:t>)</w:t>
      </w:r>
      <w:r w:rsidR="00C72113">
        <w:t xml:space="preserve">. </w:t>
      </w:r>
      <w:r w:rsidR="00D359CD">
        <w:t xml:space="preserve">Due </w:t>
      </w:r>
      <w:r w:rsidR="002A1CDC" w:rsidRPr="0091496F">
        <w:t xml:space="preserve">to </w:t>
      </w:r>
      <w:r w:rsidR="00AC6894">
        <w:t xml:space="preserve">the </w:t>
      </w:r>
      <w:r w:rsidR="002A1CDC" w:rsidRPr="0091496F">
        <w:t>high liquid velocity</w:t>
      </w:r>
      <w:r w:rsidR="009601D2">
        <w:t>,</w:t>
      </w:r>
      <w:r w:rsidR="002A1CDC" w:rsidRPr="0091496F">
        <w:t xml:space="preserve"> an initial pipe section is required to balance the gas and liquid mechanical momentum. </w:t>
      </w:r>
      <w:r w:rsidR="00D359CD">
        <w:t>All the s</w:t>
      </w:r>
      <w:r w:rsidR="009601D2">
        <w:t xml:space="preserve">imulations </w:t>
      </w:r>
      <w:r w:rsidR="002A1CDC" w:rsidRPr="0091496F">
        <w:t xml:space="preserve">are </w:t>
      </w:r>
      <w:r w:rsidR="00D359CD">
        <w:t xml:space="preserve">calculated </w:t>
      </w:r>
      <w:r w:rsidR="009601D2">
        <w:t xml:space="preserve">by </w:t>
      </w:r>
      <w:r w:rsidR="002A1CDC" w:rsidRPr="0091496F">
        <w:t>setting the outlet pressure at 68.0 bar</w:t>
      </w:r>
      <w:r w:rsidR="00D6088B">
        <w:t>.</w:t>
      </w:r>
      <w:r w:rsidR="00D359CD">
        <w:t xml:space="preserve"> </w:t>
      </w:r>
      <w:r w:rsidR="00D6088B">
        <w:t>T</w:t>
      </w:r>
      <w:r w:rsidR="002A1CDC" w:rsidRPr="0091496F">
        <w:t>he inlet pressure is varied by the solution algorithm</w:t>
      </w:r>
      <w:r w:rsidR="00D6088B">
        <w:t xml:space="preserve"> and </w:t>
      </w:r>
      <w:r w:rsidR="002A1CDC" w:rsidRPr="0091496F">
        <w:t>the outlet gas-liquid flow</w:t>
      </w:r>
      <w:r w:rsidR="00AC6894">
        <w:t xml:space="preserve"> </w:t>
      </w:r>
      <w:r w:rsidR="002A1CDC" w:rsidRPr="0091496F">
        <w:t>rate is calculated.</w:t>
      </w:r>
      <w:r w:rsidR="00835B74" w:rsidRPr="00835B74">
        <w:t xml:space="preserve"> </w:t>
      </w:r>
      <w:r w:rsidR="00835B74" w:rsidRPr="0091496F">
        <w:t>The simulation</w:t>
      </w:r>
      <w:r w:rsidR="00D6088B">
        <w:t>,</w:t>
      </w:r>
      <w:r w:rsidR="00835B74" w:rsidRPr="0091496F">
        <w:t xml:space="preserve"> </w:t>
      </w:r>
      <w:r w:rsidR="00B66DAD">
        <w:t xml:space="preserve">which </w:t>
      </w:r>
      <w:r w:rsidR="00835B74" w:rsidRPr="0091496F">
        <w:t>us</w:t>
      </w:r>
      <w:r w:rsidR="00B66DAD">
        <w:t>es</w:t>
      </w:r>
      <w:r w:rsidR="00835B74" w:rsidRPr="0091496F">
        <w:t xml:space="preserve"> pipe segments 5 m long</w:t>
      </w:r>
      <w:r w:rsidR="00D6088B">
        <w:t>,</w:t>
      </w:r>
      <w:r w:rsidR="00835B74" w:rsidRPr="0091496F">
        <w:t xml:space="preserve"> is carried along a </w:t>
      </w:r>
      <w:r w:rsidR="00835B74">
        <w:t xml:space="preserve">minimum </w:t>
      </w:r>
      <w:r w:rsidR="00835B74" w:rsidRPr="0091496F">
        <w:t xml:space="preserve">period of 20 minutes allowing the liquid and vapor initial holdup, generated by </w:t>
      </w:r>
      <w:r w:rsidR="00835B74">
        <w:t xml:space="preserve">the </w:t>
      </w:r>
      <w:r w:rsidR="00835B74" w:rsidRPr="0091496F">
        <w:t>initialization, to reach a different steady state when existing. The integration time</w:t>
      </w:r>
      <w:r w:rsidR="00AA6322">
        <w:t xml:space="preserve"> </w:t>
      </w:r>
      <w:r w:rsidR="00835B74" w:rsidRPr="0091496F">
        <w:t>step is adjusted by the solution algorithm between a minimum of 0.001 s and a maximum value of 0.1 s.</w:t>
      </w:r>
      <w:r w:rsidR="009601D2">
        <w:t xml:space="preserve"> </w:t>
      </w:r>
      <w:r w:rsidR="002A1CDC" w:rsidRPr="0091496F">
        <w:t xml:space="preserve">Flow parameters </w:t>
      </w:r>
      <w:r w:rsidR="009455FC">
        <w:t>(</w:t>
      </w:r>
      <w:r w:rsidR="009455FC" w:rsidRPr="0091496F">
        <w:t>pressure, temperature, liquid and vapor velocities, liquid holdup</w:t>
      </w:r>
      <w:r w:rsidR="009455FC">
        <w:t xml:space="preserve">, and liquid wave height) </w:t>
      </w:r>
      <w:r w:rsidR="002A1CDC" w:rsidRPr="0091496F">
        <w:t>are obtained by virtual instruments positioned every 200 m</w:t>
      </w:r>
      <w:r w:rsidR="009455FC">
        <w:t>.</w:t>
      </w:r>
      <w:r w:rsidR="00C72113">
        <w:t xml:space="preserve"> Using these values</w:t>
      </w:r>
      <w:r w:rsidR="00E37CF7">
        <w:t>,</w:t>
      </w:r>
      <w:r w:rsidR="00C72113">
        <w:t xml:space="preserve"> the </w:t>
      </w:r>
      <w:r w:rsidR="002A1CDC" w:rsidRPr="0091496F">
        <w:t>flow</w:t>
      </w:r>
      <w:r w:rsidR="000568FC">
        <w:t xml:space="preserve"> </w:t>
      </w:r>
      <w:r w:rsidR="002A1CDC" w:rsidRPr="0091496F">
        <w:t>pattern</w:t>
      </w:r>
      <w:r w:rsidR="00C72113">
        <w:t xml:space="preserve"> </w:t>
      </w:r>
      <w:r w:rsidR="009601D2">
        <w:t xml:space="preserve">can be </w:t>
      </w:r>
      <w:r w:rsidR="00C72113">
        <w:t>easily identified</w:t>
      </w:r>
      <w:r w:rsidR="002A1CDC" w:rsidRPr="0091496F">
        <w:t>.</w:t>
      </w:r>
      <w:r w:rsidR="009601D2">
        <w:t xml:space="preserve"> </w:t>
      </w:r>
      <w:r w:rsidR="002A1CDC" w:rsidRPr="0091496F">
        <w:t xml:space="preserve">The flow </w:t>
      </w:r>
      <w:r w:rsidR="00587984">
        <w:t>pattern types</w:t>
      </w:r>
      <w:r w:rsidR="009601D2">
        <w:t>,</w:t>
      </w:r>
      <w:r w:rsidR="002A1CDC" w:rsidRPr="0091496F">
        <w:t xml:space="preserve"> to be compared with the classical </w:t>
      </w:r>
      <w:r w:rsidR="009601D2">
        <w:t xml:space="preserve">TD </w:t>
      </w:r>
      <w:r w:rsidR="002A1CDC" w:rsidRPr="0091496F">
        <w:t>flow</w:t>
      </w:r>
      <w:r w:rsidR="009601D2">
        <w:t xml:space="preserve"> </w:t>
      </w:r>
      <w:r w:rsidR="002A1CDC" w:rsidRPr="0091496F">
        <w:t>map</w:t>
      </w:r>
      <w:r w:rsidR="009601D2">
        <w:t>,</w:t>
      </w:r>
      <w:r w:rsidR="002A1CDC" w:rsidRPr="0091496F">
        <w:t xml:space="preserve"> are taken at a station located 800 m from the pipeline inlet. In the following</w:t>
      </w:r>
      <w:r w:rsidR="00D359CD">
        <w:t xml:space="preserve"> chapters</w:t>
      </w:r>
      <w:r w:rsidR="000568FC">
        <w:t>,</w:t>
      </w:r>
      <w:r w:rsidR="002A1CDC" w:rsidRPr="0091496F">
        <w:t xml:space="preserve"> two calculation sets each at </w:t>
      </w:r>
      <w:r w:rsidR="00D359CD">
        <w:t xml:space="preserve">a </w:t>
      </w:r>
      <w:r w:rsidR="002A1CDC" w:rsidRPr="0091496F">
        <w:t>constant liquid superficial velocity, are presented.</w:t>
      </w:r>
      <w:r w:rsidR="00DC6DB6">
        <w:t xml:space="preserve"> </w:t>
      </w:r>
      <w:r w:rsidR="002A1CDC" w:rsidRPr="0091496F">
        <w:t xml:space="preserve">The results obtained are quite different from what </w:t>
      </w:r>
      <w:r w:rsidR="00D359CD">
        <w:t xml:space="preserve">TD </w:t>
      </w:r>
      <w:r w:rsidR="002A1CDC" w:rsidRPr="0091496F">
        <w:t xml:space="preserve">presented </w:t>
      </w:r>
      <w:r w:rsidR="00D359CD">
        <w:t xml:space="preserve">in </w:t>
      </w:r>
      <w:r w:rsidR="000568FC">
        <w:t xml:space="preserve">their </w:t>
      </w:r>
      <w:r w:rsidR="002A1CDC" w:rsidRPr="0091496F">
        <w:t>flow map</w:t>
      </w:r>
      <w:r w:rsidR="000568FC">
        <w:t xml:space="preserve"> shown in Figure </w:t>
      </w:r>
      <w:r w:rsidR="00857A14">
        <w:t>2</w:t>
      </w:r>
      <w:r w:rsidR="002A1CDC" w:rsidRPr="0091496F">
        <w:t>.</w:t>
      </w:r>
    </w:p>
    <w:p w14:paraId="0F34EAC9" w14:textId="0EA2B081" w:rsidR="009526FC" w:rsidRPr="00FF68BC" w:rsidRDefault="009526FC" w:rsidP="0003689C">
      <w:pPr>
        <w:pStyle w:val="CETheadingx"/>
      </w:pPr>
      <w:r w:rsidRPr="00FF68BC">
        <w:t xml:space="preserve">Case </w:t>
      </w:r>
      <w:r w:rsidR="00926CC5">
        <w:t xml:space="preserve">1 - </w:t>
      </w:r>
      <w:r w:rsidRPr="00FF68BC">
        <w:t>U</w:t>
      </w:r>
      <w:r w:rsidRPr="000568FC">
        <w:rPr>
          <w:vertAlign w:val="subscript"/>
        </w:rPr>
        <w:t>SL</w:t>
      </w:r>
      <w:r w:rsidRPr="00FF68BC">
        <w:t xml:space="preserve"> 1.</w:t>
      </w:r>
      <w:r>
        <w:t>0</w:t>
      </w:r>
      <w:r w:rsidRPr="00FF68BC">
        <w:t xml:space="preserve"> m/s</w:t>
      </w:r>
    </w:p>
    <w:p w14:paraId="7C1FEA39" w14:textId="652D5617" w:rsidR="009526FC" w:rsidRPr="009526FC" w:rsidRDefault="009526FC" w:rsidP="009526FC">
      <w:r w:rsidRPr="009526FC">
        <w:t xml:space="preserve">The first case is defined by </w:t>
      </w:r>
      <w:r w:rsidR="00D00420">
        <w:t xml:space="preserve">the </w:t>
      </w:r>
      <w:r w:rsidRPr="009526FC">
        <w:t xml:space="preserve">superficial velocity </w:t>
      </w:r>
      <w:r w:rsidR="00D00420">
        <w:t xml:space="preserve">of the liquid </w:t>
      </w:r>
      <w:r w:rsidRPr="009526FC">
        <w:t>equal to 1 m/s</w:t>
      </w:r>
      <w:r w:rsidR="00176A5B">
        <w:t>,</w:t>
      </w:r>
      <w:r w:rsidRPr="009526FC">
        <w:t xml:space="preserve"> and the results obtained are listed in Table </w:t>
      </w:r>
      <w:r w:rsidR="002E661C">
        <w:t>5</w:t>
      </w:r>
      <w:r w:rsidRPr="009526FC">
        <w:t>.</w:t>
      </w:r>
    </w:p>
    <w:p w14:paraId="6F69784D" w14:textId="3010547B" w:rsidR="009526FC" w:rsidRDefault="009526FC" w:rsidP="00A35C8E">
      <w:pPr>
        <w:pStyle w:val="CETTabletitle"/>
      </w:pPr>
      <w:r w:rsidRPr="00D96D4F">
        <w:t xml:space="preserve">Table </w:t>
      </w:r>
      <w:r w:rsidR="002E661C">
        <w:t>5</w:t>
      </w:r>
      <w:r w:rsidRPr="00D96D4F">
        <w:t>. TD flow map. Liquid superficial velocity 1.0 m/s.</w:t>
      </w:r>
    </w:p>
    <w:tbl>
      <w:tblPr>
        <w:tblStyle w:val="TableGrid"/>
        <w:tblW w:w="9072" w:type="dxa"/>
        <w:tblInd w:w="-113" w:type="dxa"/>
        <w:tblBorders>
          <w:top w:val="single" w:sz="12" w:space="0" w:color="00B050"/>
          <w:bottom w:val="single" w:sz="12" w:space="0" w:color="00B050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868"/>
        <w:gridCol w:w="1067"/>
        <w:gridCol w:w="1067"/>
        <w:gridCol w:w="1067"/>
        <w:gridCol w:w="1067"/>
        <w:gridCol w:w="1067"/>
        <w:gridCol w:w="1067"/>
      </w:tblGrid>
      <w:tr w:rsidR="009526FC" w:rsidRPr="00D96D4F" w14:paraId="3B75DDD0" w14:textId="77777777" w:rsidTr="00A35C8E">
        <w:tc>
          <w:tcPr>
            <w:tcW w:w="1802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3C391BE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Case</w:t>
            </w:r>
          </w:p>
        </w:tc>
        <w:tc>
          <w:tcPr>
            <w:tcW w:w="868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75EF74F4" w14:textId="695229E5" w:rsidR="009526FC" w:rsidRPr="00D96D4F" w:rsidRDefault="006F7090" w:rsidP="00D96D4F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UoM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7E66BC4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4651277D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3264B576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3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5C923B8B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4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71032EDE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5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single" w:sz="12" w:space="0" w:color="00B050"/>
              <w:right w:val="nil"/>
            </w:tcBorders>
          </w:tcPr>
          <w:p w14:paraId="2229DFA7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6</w:t>
            </w:r>
          </w:p>
        </w:tc>
      </w:tr>
      <w:tr w:rsidR="009526FC" w:rsidRPr="00D96D4F" w14:paraId="6A98E705" w14:textId="77777777" w:rsidTr="00A35C8E">
        <w:tc>
          <w:tcPr>
            <w:tcW w:w="1802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33CB4DBA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Liquid vol. flow</w:t>
            </w:r>
          </w:p>
        </w:tc>
        <w:tc>
          <w:tcPr>
            <w:tcW w:w="868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1971B84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m3/h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3AB66DBB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039C69CA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22932F78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0390D435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66299EE9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  <w:tc>
          <w:tcPr>
            <w:tcW w:w="1067" w:type="dxa"/>
            <w:tcBorders>
              <w:top w:val="single" w:sz="12" w:space="0" w:color="00B050"/>
              <w:left w:val="nil"/>
              <w:bottom w:val="nil"/>
              <w:right w:val="nil"/>
            </w:tcBorders>
          </w:tcPr>
          <w:p w14:paraId="65C2508C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217</w:t>
            </w:r>
          </w:p>
        </w:tc>
      </w:tr>
      <w:tr w:rsidR="009526FC" w:rsidRPr="00D96D4F" w14:paraId="0F1F0AD2" w14:textId="77777777" w:rsidTr="00A35C8E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6E394B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Gas mass flow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63CC1707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kg/h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79C416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20000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30851E46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30000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DE73CD1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40000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B151284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50000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2741DB4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60000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BA474BC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80000</w:t>
            </w:r>
          </w:p>
        </w:tc>
      </w:tr>
      <w:tr w:rsidR="009526FC" w:rsidRPr="00D96D4F" w14:paraId="3FD8A86A" w14:textId="77777777" w:rsidTr="00A35C8E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4EEC872" w14:textId="5662CB90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Liq</w:t>
            </w:r>
            <w:r w:rsidR="00E9369E">
              <w:rPr>
                <w:lang w:val="en-GB"/>
              </w:rPr>
              <w:t>uid</w:t>
            </w:r>
            <w:r w:rsidRPr="00D96D4F">
              <w:rPr>
                <w:lang w:val="en-GB"/>
              </w:rPr>
              <w:t xml:space="preserve"> su</w:t>
            </w:r>
            <w:r w:rsidR="00006F28">
              <w:rPr>
                <w:lang w:val="en-GB"/>
              </w:rPr>
              <w:t>per.</w:t>
            </w:r>
            <w:r w:rsidRPr="00D96D4F">
              <w:rPr>
                <w:lang w:val="en-GB"/>
              </w:rPr>
              <w:t xml:space="preserve"> </w:t>
            </w:r>
            <w:r w:rsidR="00006F28">
              <w:rPr>
                <w:lang w:val="en-GB"/>
              </w:rPr>
              <w:t>v</w:t>
            </w:r>
            <w:r w:rsidRPr="00D96D4F">
              <w:rPr>
                <w:lang w:val="en-GB"/>
              </w:rPr>
              <w:t>el</w:t>
            </w:r>
            <w:r w:rsidR="00006F28">
              <w:rPr>
                <w:lang w:val="en-GB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478C930F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m/s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6F27186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DFA2208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0FF86C98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86AB4F9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0AD7F50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AF9E525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1.03</w:t>
            </w:r>
          </w:p>
        </w:tc>
      </w:tr>
      <w:tr w:rsidR="009526FC" w:rsidRPr="00D96D4F" w14:paraId="080E810A" w14:textId="77777777" w:rsidTr="00A35C8E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5C1BA87" w14:textId="4BAF4A6C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Gas su</w:t>
            </w:r>
            <w:r w:rsidR="00006F28">
              <w:rPr>
                <w:lang w:val="en-GB"/>
              </w:rPr>
              <w:t>per.</w:t>
            </w:r>
            <w:r w:rsidRPr="00D96D4F">
              <w:rPr>
                <w:lang w:val="en-GB"/>
              </w:rPr>
              <w:t xml:space="preserve"> </w:t>
            </w:r>
            <w:r w:rsidR="00006F28">
              <w:rPr>
                <w:lang w:val="en-GB"/>
              </w:rPr>
              <w:t>v</w:t>
            </w:r>
            <w:r w:rsidRPr="00D96D4F">
              <w:rPr>
                <w:lang w:val="en-GB"/>
              </w:rPr>
              <w:t>el</w:t>
            </w:r>
            <w:r w:rsidR="00006F28">
              <w:rPr>
                <w:lang w:val="en-GB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241DCCF3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m/s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64C3C27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5AC6EA5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1.84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31D9EE9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2.66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32662ADC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3.51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4870813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4.36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B4D85B0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6.14</w:t>
            </w:r>
          </w:p>
        </w:tc>
      </w:tr>
      <w:tr w:rsidR="009526FC" w:rsidRPr="00D96D4F" w14:paraId="64D329C8" w14:textId="77777777" w:rsidTr="00A35C8E"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7916C7" w14:textId="536844B7" w:rsidR="009526FC" w:rsidRPr="00D96D4F" w:rsidRDefault="009526FC" w:rsidP="00D96D4F">
            <w:pPr>
              <w:pStyle w:val="CETBodytext"/>
              <w:rPr>
                <w:lang w:val="en-GB"/>
              </w:rPr>
            </w:pPr>
            <w:bookmarkStart w:id="3" w:name="_Hlk58251661"/>
            <w:r w:rsidRPr="00D96D4F">
              <w:rPr>
                <w:lang w:val="en-GB"/>
              </w:rPr>
              <w:t>Total su</w:t>
            </w:r>
            <w:r w:rsidR="00006F28">
              <w:rPr>
                <w:lang w:val="en-GB"/>
              </w:rPr>
              <w:t>per.</w:t>
            </w:r>
            <w:r w:rsidRPr="00D96D4F">
              <w:rPr>
                <w:lang w:val="en-GB"/>
              </w:rPr>
              <w:t xml:space="preserve"> </w:t>
            </w:r>
            <w:r w:rsidR="00006F28">
              <w:rPr>
                <w:lang w:val="en-GB"/>
              </w:rPr>
              <w:t>v</w:t>
            </w:r>
            <w:r w:rsidRPr="00D96D4F">
              <w:rPr>
                <w:lang w:val="en-GB"/>
              </w:rPr>
              <w:t>el</w:t>
            </w:r>
            <w:r w:rsidR="00006F28">
              <w:rPr>
                <w:lang w:val="en-GB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536BA855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m/s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6425AF20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2.00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4BC4E3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2.84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17109967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3.67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72D9B199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4.52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247F28BB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5.38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3D4A4202" w14:textId="77777777" w:rsidR="009526FC" w:rsidRPr="00D96D4F" w:rsidRDefault="009526FC" w:rsidP="00D96D4F">
            <w:pPr>
              <w:pStyle w:val="CETBodytext"/>
              <w:rPr>
                <w:lang w:val="en-GB"/>
              </w:rPr>
            </w:pPr>
            <w:r w:rsidRPr="00D96D4F">
              <w:rPr>
                <w:lang w:val="en-GB"/>
              </w:rPr>
              <w:t>7.17</w:t>
            </w:r>
          </w:p>
        </w:tc>
      </w:tr>
      <w:bookmarkEnd w:id="3"/>
      <w:tr w:rsidR="009526FC" w14:paraId="1C6DEAE7" w14:textId="77777777" w:rsidTr="00A35C8E">
        <w:tc>
          <w:tcPr>
            <w:tcW w:w="1802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154367CD" w14:textId="77777777" w:rsidR="009526FC" w:rsidRDefault="009526FC" w:rsidP="00EC6113">
            <w:pPr>
              <w:rPr>
                <w:rFonts w:cs="Arial"/>
              </w:rPr>
            </w:pPr>
            <w:r>
              <w:rPr>
                <w:rFonts w:cs="Arial"/>
              </w:rPr>
              <w:t>Flow pattern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55F1F0F3" w14:textId="77777777" w:rsidR="009526FC" w:rsidRDefault="009526FC" w:rsidP="00EC6113">
            <w:pPr>
              <w:rPr>
                <w:rFonts w:cs="Aria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3DB56D13" w14:textId="77777777" w:rsidR="009526FC" w:rsidRDefault="009526FC" w:rsidP="00EC611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strat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742640B9" w14:textId="6910790A" w:rsidR="009526FC" w:rsidRDefault="009526FC" w:rsidP="00EC611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strat</w:t>
            </w:r>
            <w:proofErr w:type="spellEnd"/>
            <w:r>
              <w:rPr>
                <w:rFonts w:cs="Arial"/>
              </w:rPr>
              <w:t>- wav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7A8DFCB4" w14:textId="77777777" w:rsidR="009526FC" w:rsidRDefault="009526FC" w:rsidP="00EC6113">
            <w:pPr>
              <w:rPr>
                <w:rFonts w:cs="Arial"/>
              </w:rPr>
            </w:pPr>
            <w:r>
              <w:rPr>
                <w:rFonts w:cs="Arial"/>
              </w:rPr>
              <w:t>slug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34247D34" w14:textId="77777777" w:rsidR="009526FC" w:rsidRDefault="009526FC" w:rsidP="00EC611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strat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76E3F872" w14:textId="77777777" w:rsidR="009526FC" w:rsidRDefault="009526FC" w:rsidP="00EC611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strat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B050"/>
              <w:right w:val="nil"/>
            </w:tcBorders>
          </w:tcPr>
          <w:p w14:paraId="22BF3556" w14:textId="38005AC3" w:rsidR="009526FC" w:rsidRDefault="009526FC" w:rsidP="00EC611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strat</w:t>
            </w:r>
            <w:proofErr w:type="spellEnd"/>
            <w:r>
              <w:rPr>
                <w:rFonts w:cs="Arial"/>
              </w:rPr>
              <w:t>-wav</w:t>
            </w:r>
          </w:p>
        </w:tc>
      </w:tr>
    </w:tbl>
    <w:p w14:paraId="6FF499EB" w14:textId="77777777" w:rsidR="0002701D" w:rsidRDefault="0002701D" w:rsidP="009526FC"/>
    <w:p w14:paraId="376B6EA7" w14:textId="2A02973E" w:rsidR="00BD4B2C" w:rsidRDefault="00BD4B2C" w:rsidP="00FB7B17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0EA1A" wp14:editId="7473CE9D">
            <wp:simplePos x="0" y="0"/>
            <wp:positionH relativeFrom="column">
              <wp:posOffset>-635</wp:posOffset>
            </wp:positionH>
            <wp:positionV relativeFrom="paragraph">
              <wp:posOffset>238760</wp:posOffset>
            </wp:positionV>
            <wp:extent cx="4375150" cy="3018155"/>
            <wp:effectExtent l="0" t="0" r="6350" b="0"/>
            <wp:wrapTopAndBottom/>
            <wp:docPr id="14919176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917621" name="Picture 149191762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F77">
        <w:t>As previously discussed</w:t>
      </w:r>
      <w:r w:rsidR="008274EA">
        <w:t>,</w:t>
      </w:r>
      <w:r w:rsidR="00196F77">
        <w:t xml:space="preserve"> there is no two-phase flow </w:t>
      </w:r>
      <w:r w:rsidR="008274EA">
        <w:t xml:space="preserve">for gas flow rates </w:t>
      </w:r>
      <w:r w:rsidR="00857A14">
        <w:t xml:space="preserve">below </w:t>
      </w:r>
      <w:r w:rsidR="008274EA">
        <w:t>9100 kg/h.</w:t>
      </w:r>
    </w:p>
    <w:p w14:paraId="77A83C6F" w14:textId="77777777" w:rsidR="00BD4B2C" w:rsidRDefault="00BD4B2C" w:rsidP="00BD4B2C">
      <w:pPr>
        <w:pStyle w:val="CETCaption"/>
      </w:pPr>
      <w:r>
        <w:t>Figure 3. Case 1, U</w:t>
      </w:r>
      <w:r w:rsidRPr="00926CC5">
        <w:rPr>
          <w:vertAlign w:val="subscript"/>
        </w:rPr>
        <w:t>SL</w:t>
      </w:r>
      <w:r>
        <w:t xml:space="preserve"> 1 m/s, W</w:t>
      </w:r>
      <w:r w:rsidRPr="008A5716">
        <w:rPr>
          <w:vertAlign w:val="subscript"/>
        </w:rPr>
        <w:t>G</w:t>
      </w:r>
      <w:r>
        <w:t xml:space="preserve"> 30000 kg/h. Pressure (x), liquid holdup </w:t>
      </w:r>
      <w:r w:rsidRPr="00DC030D">
        <w:t>(</w:t>
      </w:r>
      <w:r w:rsidRPr="00DC030D">
        <w:rPr>
          <w:color w:val="FF0000"/>
        </w:rPr>
        <w:t>∆</w:t>
      </w:r>
      <w:r w:rsidRPr="00DC030D">
        <w:t>)</w:t>
      </w:r>
      <w:r>
        <w:t>, liquid velocity (</w:t>
      </w:r>
      <w:r w:rsidRPr="00DC030D">
        <w:rPr>
          <w:b/>
          <w:color w:val="00B050"/>
        </w:rPr>
        <w:t>◊</w:t>
      </w:r>
      <w:r>
        <w:t>)</w:t>
      </w:r>
    </w:p>
    <w:p w14:paraId="35C7C3B1" w14:textId="740CF065" w:rsidR="00FB7B17" w:rsidRPr="009526FC" w:rsidRDefault="009526FC" w:rsidP="00FB7B17">
      <w:r w:rsidRPr="009526FC">
        <w:lastRenderedPageBreak/>
        <w:t>The first calculation with gas flow at 20000 kg/h generates a stratified flow and no intermittent flow pattern is found. With a higher gas flow</w:t>
      </w:r>
      <w:r w:rsidR="008274EA">
        <w:t xml:space="preserve"> </w:t>
      </w:r>
      <w:r w:rsidRPr="009526FC">
        <w:t>rate of 30000 kg/h</w:t>
      </w:r>
      <w:r w:rsidR="008274EA">
        <w:t>,</w:t>
      </w:r>
      <w:r w:rsidRPr="009526FC">
        <w:t xml:space="preserve"> the stratified flow becomes wavy</w:t>
      </w:r>
      <w:r w:rsidR="00176A5B">
        <w:t>,</w:t>
      </w:r>
      <w:r w:rsidRPr="009526FC">
        <w:t xml:space="preserve"> as shown </w:t>
      </w:r>
      <w:r w:rsidR="008274EA">
        <w:t>in</w:t>
      </w:r>
      <w:r w:rsidRPr="009526FC">
        <w:t xml:space="preserve"> Figure </w:t>
      </w:r>
      <w:r w:rsidR="002076F3">
        <w:t>3</w:t>
      </w:r>
      <w:r w:rsidR="00176A5B">
        <w:t>,</w:t>
      </w:r>
      <w:r w:rsidRPr="009526FC">
        <w:t xml:space="preserve"> where the pressure, holdup</w:t>
      </w:r>
      <w:r w:rsidR="008274EA">
        <w:t>,</w:t>
      </w:r>
      <w:r w:rsidRPr="009526FC">
        <w:t xml:space="preserve"> and liquid velocity profile</w:t>
      </w:r>
      <w:r w:rsidR="008274EA">
        <w:t>s</w:t>
      </w:r>
      <w:r w:rsidRPr="009526FC">
        <w:t xml:space="preserve"> are plotted along the pipe length.</w:t>
      </w:r>
      <w:r w:rsidR="00532D13">
        <w:t xml:space="preserve"> </w:t>
      </w:r>
      <w:r w:rsidR="00FB7B17">
        <w:t>O</w:t>
      </w:r>
      <w:r w:rsidR="00FB7B17" w:rsidRPr="009526FC">
        <w:t xml:space="preserve">nly with a gas flow rate of 40000 kg/h, </w:t>
      </w:r>
      <w:r w:rsidR="00FB7B17">
        <w:t xml:space="preserve">corresponding to a gas superficial velocity of 2.66 m/s, the </w:t>
      </w:r>
      <w:r w:rsidR="00FB7B17" w:rsidRPr="009526FC">
        <w:t xml:space="preserve">intermittent flow </w:t>
      </w:r>
      <w:r w:rsidR="00FB7B17">
        <w:t>appears,</w:t>
      </w:r>
      <w:r w:rsidR="00FB7B17" w:rsidRPr="009526FC">
        <w:t xml:space="preserve"> and a slug</w:t>
      </w:r>
      <w:r w:rsidR="00FB7B17">
        <w:t>-</w:t>
      </w:r>
      <w:r w:rsidR="00FB7B17" w:rsidRPr="009526FC">
        <w:t xml:space="preserve">type structure can be identified as shown </w:t>
      </w:r>
      <w:r w:rsidR="00FB7B17">
        <w:t>in</w:t>
      </w:r>
      <w:r w:rsidR="00FB7B17" w:rsidRPr="009526FC">
        <w:t xml:space="preserve"> Figure </w:t>
      </w:r>
      <w:r w:rsidR="00FB7B17">
        <w:t>4</w:t>
      </w:r>
      <w:r w:rsidR="00FB7B17" w:rsidRPr="009526FC">
        <w:t>.</w:t>
      </w:r>
    </w:p>
    <w:p w14:paraId="3DE754EA" w14:textId="77777777" w:rsidR="000E6C86" w:rsidRDefault="009526FC" w:rsidP="000E6C86">
      <w:pPr>
        <w:pStyle w:val="CETCaption"/>
      </w:pPr>
      <w:r w:rsidRPr="000E6C86">
        <w:rPr>
          <w:noProof/>
        </w:rPr>
        <w:drawing>
          <wp:inline distT="0" distB="0" distL="0" distR="0" wp14:anchorId="613C4FDD" wp14:editId="5C9AB193">
            <wp:extent cx="4419035" cy="3048000"/>
            <wp:effectExtent l="0" t="0" r="635" b="0"/>
            <wp:docPr id="716149342" name="Picture 716149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266" cy="307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915A7" w14:textId="0130883E" w:rsidR="009526FC" w:rsidRDefault="009526FC" w:rsidP="000E6C86">
      <w:pPr>
        <w:pStyle w:val="CETCaption"/>
      </w:pPr>
      <w:r w:rsidRPr="009526FC">
        <w:t xml:space="preserve">Figure </w:t>
      </w:r>
      <w:r w:rsidR="00857A14">
        <w:t>4</w:t>
      </w:r>
      <w:r w:rsidRPr="009526FC">
        <w:t>. U</w:t>
      </w:r>
      <w:r w:rsidRPr="000E6C86">
        <w:t>SL</w:t>
      </w:r>
      <w:r w:rsidRPr="009526FC">
        <w:t xml:space="preserve"> 1 m/s, WG 40000 kg/h. Pressure (x), liquid holdup (</w:t>
      </w:r>
      <w:r w:rsidRPr="001F2FDF">
        <w:rPr>
          <w:color w:val="FF0000"/>
        </w:rPr>
        <w:t>∆</w:t>
      </w:r>
      <w:r w:rsidRPr="009526FC">
        <w:t>), liquid velocity (</w:t>
      </w:r>
      <w:r w:rsidRPr="00FC6687">
        <w:rPr>
          <w:color w:val="00B050"/>
        </w:rPr>
        <w:t>◊</w:t>
      </w:r>
      <w:r w:rsidRPr="009526FC">
        <w:t>)</w:t>
      </w:r>
    </w:p>
    <w:p w14:paraId="3B0376F8" w14:textId="3B8CDEB7" w:rsidR="00A46096" w:rsidRPr="00FF68BC" w:rsidRDefault="00A46096" w:rsidP="0003689C">
      <w:pPr>
        <w:pStyle w:val="CETheadingx"/>
      </w:pPr>
      <w:r w:rsidRPr="00FF68BC">
        <w:t xml:space="preserve">Case </w:t>
      </w:r>
      <w:r w:rsidR="00926CC5">
        <w:t xml:space="preserve">2 - </w:t>
      </w:r>
      <w:r>
        <w:t>U</w:t>
      </w:r>
      <w:r w:rsidRPr="00926CC5">
        <w:rPr>
          <w:vertAlign w:val="subscript"/>
        </w:rPr>
        <w:t>SL</w:t>
      </w:r>
      <w:r>
        <w:t xml:space="preserve"> 2 m/s</w:t>
      </w:r>
    </w:p>
    <w:p w14:paraId="0EF7CEC1" w14:textId="07EB9086" w:rsidR="00A46096" w:rsidRDefault="00A46096" w:rsidP="0003689C">
      <w:r w:rsidRPr="0003689C">
        <w:t xml:space="preserve">Calculations made with a liquid superficial velocity of 2 m/s are summarized in Table </w:t>
      </w:r>
      <w:r w:rsidR="002E661C">
        <w:t>6</w:t>
      </w:r>
      <w:r w:rsidRPr="0003689C">
        <w:t>. Up to a gas flow</w:t>
      </w:r>
      <w:r w:rsidR="006101C1">
        <w:t xml:space="preserve"> </w:t>
      </w:r>
      <w:r w:rsidRPr="0003689C">
        <w:t>rate of 40000 kg/h</w:t>
      </w:r>
      <w:r w:rsidR="006101C1">
        <w:t>,</w:t>
      </w:r>
      <w:r w:rsidRPr="0003689C">
        <w:t xml:space="preserve"> the two-phase flow shows the characteristic of a bubble flow with no formation of sections with stratified flow. It is only with a higher gas flow rate that an intermittent flow pattern begins to appear.</w:t>
      </w:r>
    </w:p>
    <w:p w14:paraId="6934295C" w14:textId="66E97171" w:rsidR="00A46096" w:rsidRDefault="00A46096" w:rsidP="00EF4A0E">
      <w:pPr>
        <w:pStyle w:val="CETTabletitle"/>
      </w:pPr>
      <w:r w:rsidRPr="00805864">
        <w:t xml:space="preserve">Table </w:t>
      </w:r>
      <w:r w:rsidR="002E661C">
        <w:t>6</w:t>
      </w:r>
      <w:r>
        <w:t>.</w:t>
      </w:r>
      <w:r w:rsidRPr="00805864">
        <w:t xml:space="preserve"> TD flow map. Liquid </w:t>
      </w:r>
      <w:r>
        <w:t xml:space="preserve">superficial </w:t>
      </w:r>
      <w:r w:rsidRPr="00805864">
        <w:t>velocity 2.0 m/s</w:t>
      </w:r>
    </w:p>
    <w:tbl>
      <w:tblPr>
        <w:tblStyle w:val="TableGrid"/>
        <w:tblW w:w="8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6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A46096" w14:paraId="7FA6E79B" w14:textId="77777777" w:rsidTr="00926CC5">
        <w:tc>
          <w:tcPr>
            <w:tcW w:w="1553" w:type="dxa"/>
            <w:tcBorders>
              <w:top w:val="single" w:sz="12" w:space="0" w:color="00B050"/>
              <w:bottom w:val="single" w:sz="12" w:space="0" w:color="00B050"/>
            </w:tcBorders>
          </w:tcPr>
          <w:p w14:paraId="11238D5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Case</w:t>
            </w:r>
          </w:p>
        </w:tc>
        <w:tc>
          <w:tcPr>
            <w:tcW w:w="680" w:type="dxa"/>
            <w:tcBorders>
              <w:top w:val="single" w:sz="12" w:space="0" w:color="00B050"/>
              <w:bottom w:val="single" w:sz="12" w:space="0" w:color="00B050"/>
            </w:tcBorders>
          </w:tcPr>
          <w:p w14:paraId="1BF2BB38" w14:textId="7B69E6E2" w:rsidR="00A46096" w:rsidRDefault="00926CC5" w:rsidP="00EC6113">
            <w:pPr>
              <w:rPr>
                <w:rFonts w:cs="Arial"/>
              </w:rPr>
            </w:pPr>
            <w:r>
              <w:rPr>
                <w:rFonts w:cs="Arial"/>
              </w:rPr>
              <w:t>UoM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4A05210B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41D18AB2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1EC2B77E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2F0614A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1753D14B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0590F6AD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255408D1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23E2F5B8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737" w:type="dxa"/>
            <w:tcBorders>
              <w:top w:val="single" w:sz="12" w:space="0" w:color="00B050"/>
              <w:bottom w:val="single" w:sz="12" w:space="0" w:color="00B050"/>
            </w:tcBorders>
          </w:tcPr>
          <w:p w14:paraId="54F96BB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A46096" w14:paraId="67E6F4F6" w14:textId="77777777" w:rsidTr="00926CC5">
        <w:tc>
          <w:tcPr>
            <w:tcW w:w="1553" w:type="dxa"/>
            <w:tcBorders>
              <w:top w:val="single" w:sz="12" w:space="0" w:color="00B050"/>
            </w:tcBorders>
          </w:tcPr>
          <w:p w14:paraId="41101D1F" w14:textId="189AC6C4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Liquid vol flow</w:t>
            </w:r>
          </w:p>
        </w:tc>
        <w:tc>
          <w:tcPr>
            <w:tcW w:w="680" w:type="dxa"/>
            <w:tcBorders>
              <w:top w:val="single" w:sz="12" w:space="0" w:color="00B050"/>
            </w:tcBorders>
          </w:tcPr>
          <w:p w14:paraId="2239F2D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F6E11"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/h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242543D9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44A8A257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1468BA86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10C87522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754253A5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0C8FC6E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02CF0775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5B5DBE10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  <w:tc>
          <w:tcPr>
            <w:tcW w:w="737" w:type="dxa"/>
            <w:tcBorders>
              <w:top w:val="single" w:sz="12" w:space="0" w:color="00B050"/>
            </w:tcBorders>
          </w:tcPr>
          <w:p w14:paraId="36514C40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434</w:t>
            </w:r>
          </w:p>
        </w:tc>
      </w:tr>
      <w:tr w:rsidR="00A46096" w14:paraId="6211B410" w14:textId="77777777" w:rsidTr="00926CC5">
        <w:tc>
          <w:tcPr>
            <w:tcW w:w="1553" w:type="dxa"/>
          </w:tcPr>
          <w:p w14:paraId="225066A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Gas mass flow</w:t>
            </w:r>
          </w:p>
        </w:tc>
        <w:tc>
          <w:tcPr>
            <w:tcW w:w="680" w:type="dxa"/>
          </w:tcPr>
          <w:p w14:paraId="017F9E25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Kg/h</w:t>
            </w:r>
          </w:p>
        </w:tc>
        <w:tc>
          <w:tcPr>
            <w:tcW w:w="737" w:type="dxa"/>
          </w:tcPr>
          <w:p w14:paraId="17E293C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20000</w:t>
            </w:r>
          </w:p>
        </w:tc>
        <w:tc>
          <w:tcPr>
            <w:tcW w:w="737" w:type="dxa"/>
          </w:tcPr>
          <w:p w14:paraId="6A4B5AA8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30000</w:t>
            </w:r>
          </w:p>
        </w:tc>
        <w:tc>
          <w:tcPr>
            <w:tcW w:w="737" w:type="dxa"/>
          </w:tcPr>
          <w:p w14:paraId="67E1DAE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40000</w:t>
            </w:r>
          </w:p>
        </w:tc>
        <w:tc>
          <w:tcPr>
            <w:tcW w:w="737" w:type="dxa"/>
          </w:tcPr>
          <w:p w14:paraId="5E9889DE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50000</w:t>
            </w:r>
          </w:p>
        </w:tc>
        <w:tc>
          <w:tcPr>
            <w:tcW w:w="737" w:type="dxa"/>
          </w:tcPr>
          <w:p w14:paraId="1CEDE656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60000</w:t>
            </w:r>
          </w:p>
        </w:tc>
        <w:tc>
          <w:tcPr>
            <w:tcW w:w="737" w:type="dxa"/>
          </w:tcPr>
          <w:p w14:paraId="6DAA3F2A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70000</w:t>
            </w:r>
          </w:p>
        </w:tc>
        <w:tc>
          <w:tcPr>
            <w:tcW w:w="737" w:type="dxa"/>
          </w:tcPr>
          <w:p w14:paraId="37462ADD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80000</w:t>
            </w:r>
          </w:p>
        </w:tc>
        <w:tc>
          <w:tcPr>
            <w:tcW w:w="737" w:type="dxa"/>
          </w:tcPr>
          <w:p w14:paraId="19E73CD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85000</w:t>
            </w:r>
          </w:p>
        </w:tc>
        <w:tc>
          <w:tcPr>
            <w:tcW w:w="737" w:type="dxa"/>
          </w:tcPr>
          <w:p w14:paraId="57152AA4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90000</w:t>
            </w:r>
          </w:p>
        </w:tc>
      </w:tr>
      <w:tr w:rsidR="00A46096" w14:paraId="24F74D58" w14:textId="77777777" w:rsidTr="00926CC5">
        <w:tc>
          <w:tcPr>
            <w:tcW w:w="1553" w:type="dxa"/>
          </w:tcPr>
          <w:p w14:paraId="5C35A586" w14:textId="10A942E1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Liquid sup</w:t>
            </w:r>
            <w:r w:rsidR="00587984">
              <w:rPr>
                <w:rFonts w:cs="Arial"/>
              </w:rPr>
              <w:t>.</w:t>
            </w:r>
            <w:r w:rsidR="00C8691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vel</w:t>
            </w:r>
            <w:r w:rsidR="00587984">
              <w:rPr>
                <w:rFonts w:cs="Arial"/>
              </w:rPr>
              <w:t>.</w:t>
            </w:r>
          </w:p>
        </w:tc>
        <w:tc>
          <w:tcPr>
            <w:tcW w:w="680" w:type="dxa"/>
          </w:tcPr>
          <w:p w14:paraId="111BEC1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m/s</w:t>
            </w:r>
          </w:p>
        </w:tc>
        <w:tc>
          <w:tcPr>
            <w:tcW w:w="737" w:type="dxa"/>
          </w:tcPr>
          <w:p w14:paraId="773DAD42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1.99</w:t>
            </w:r>
          </w:p>
        </w:tc>
        <w:tc>
          <w:tcPr>
            <w:tcW w:w="737" w:type="dxa"/>
          </w:tcPr>
          <w:p w14:paraId="142CBAEF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1.99</w:t>
            </w:r>
          </w:p>
        </w:tc>
        <w:tc>
          <w:tcPr>
            <w:tcW w:w="737" w:type="dxa"/>
          </w:tcPr>
          <w:p w14:paraId="130C2357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2.00</w:t>
            </w:r>
          </w:p>
        </w:tc>
        <w:tc>
          <w:tcPr>
            <w:tcW w:w="737" w:type="dxa"/>
          </w:tcPr>
          <w:p w14:paraId="53B48324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2.00</w:t>
            </w:r>
          </w:p>
        </w:tc>
        <w:tc>
          <w:tcPr>
            <w:tcW w:w="737" w:type="dxa"/>
          </w:tcPr>
          <w:p w14:paraId="4F17E14E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2.02</w:t>
            </w:r>
          </w:p>
        </w:tc>
        <w:tc>
          <w:tcPr>
            <w:tcW w:w="737" w:type="dxa"/>
          </w:tcPr>
          <w:p w14:paraId="622B5662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2.02</w:t>
            </w:r>
          </w:p>
        </w:tc>
        <w:tc>
          <w:tcPr>
            <w:tcW w:w="737" w:type="dxa"/>
          </w:tcPr>
          <w:p w14:paraId="339DE0C4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2.03</w:t>
            </w:r>
          </w:p>
        </w:tc>
        <w:tc>
          <w:tcPr>
            <w:tcW w:w="737" w:type="dxa"/>
          </w:tcPr>
          <w:p w14:paraId="4AC4A00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2.03</w:t>
            </w:r>
          </w:p>
        </w:tc>
        <w:tc>
          <w:tcPr>
            <w:tcW w:w="737" w:type="dxa"/>
          </w:tcPr>
          <w:p w14:paraId="743B60A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2.03</w:t>
            </w:r>
          </w:p>
        </w:tc>
      </w:tr>
      <w:tr w:rsidR="00A46096" w14:paraId="011320D2" w14:textId="77777777" w:rsidTr="00926CC5">
        <w:tc>
          <w:tcPr>
            <w:tcW w:w="1553" w:type="dxa"/>
          </w:tcPr>
          <w:p w14:paraId="3E5EF3D3" w14:textId="48776750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Gas sup</w:t>
            </w:r>
            <w:r w:rsidR="00587984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vel.</w:t>
            </w:r>
          </w:p>
        </w:tc>
        <w:tc>
          <w:tcPr>
            <w:tcW w:w="680" w:type="dxa"/>
          </w:tcPr>
          <w:p w14:paraId="5BBCAABC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m/s</w:t>
            </w:r>
          </w:p>
        </w:tc>
        <w:tc>
          <w:tcPr>
            <w:tcW w:w="737" w:type="dxa"/>
          </w:tcPr>
          <w:p w14:paraId="6FEEDA44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0.427</w:t>
            </w:r>
          </w:p>
        </w:tc>
        <w:tc>
          <w:tcPr>
            <w:tcW w:w="737" w:type="dxa"/>
          </w:tcPr>
          <w:p w14:paraId="39385917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1.3</w:t>
            </w:r>
          </w:p>
        </w:tc>
        <w:tc>
          <w:tcPr>
            <w:tcW w:w="737" w:type="dxa"/>
          </w:tcPr>
          <w:p w14:paraId="41BEA0E5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2.17</w:t>
            </w:r>
          </w:p>
        </w:tc>
        <w:tc>
          <w:tcPr>
            <w:tcW w:w="737" w:type="dxa"/>
          </w:tcPr>
          <w:p w14:paraId="492F4D5A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3.04</w:t>
            </w:r>
          </w:p>
        </w:tc>
        <w:tc>
          <w:tcPr>
            <w:tcW w:w="737" w:type="dxa"/>
          </w:tcPr>
          <w:p w14:paraId="36B75F92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3.88</w:t>
            </w:r>
          </w:p>
        </w:tc>
        <w:tc>
          <w:tcPr>
            <w:tcW w:w="737" w:type="dxa"/>
          </w:tcPr>
          <w:p w14:paraId="33DA30C4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4.71</w:t>
            </w:r>
          </w:p>
        </w:tc>
        <w:tc>
          <w:tcPr>
            <w:tcW w:w="737" w:type="dxa"/>
          </w:tcPr>
          <w:p w14:paraId="548DA90B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5.59</w:t>
            </w:r>
          </w:p>
        </w:tc>
        <w:tc>
          <w:tcPr>
            <w:tcW w:w="737" w:type="dxa"/>
          </w:tcPr>
          <w:p w14:paraId="599ADCAB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6.02</w:t>
            </w:r>
          </w:p>
        </w:tc>
        <w:tc>
          <w:tcPr>
            <w:tcW w:w="737" w:type="dxa"/>
          </w:tcPr>
          <w:p w14:paraId="25106583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6.51</w:t>
            </w:r>
          </w:p>
        </w:tc>
      </w:tr>
      <w:tr w:rsidR="00A46096" w14:paraId="07000FC6" w14:textId="77777777" w:rsidTr="00926CC5">
        <w:tc>
          <w:tcPr>
            <w:tcW w:w="1553" w:type="dxa"/>
            <w:tcBorders>
              <w:bottom w:val="single" w:sz="12" w:space="0" w:color="00B050"/>
            </w:tcBorders>
          </w:tcPr>
          <w:p w14:paraId="55DEBDAD" w14:textId="77777777" w:rsidR="00A46096" w:rsidRDefault="00A46096" w:rsidP="00EC6113">
            <w:pPr>
              <w:rPr>
                <w:rFonts w:cs="Arial"/>
              </w:rPr>
            </w:pPr>
            <w:r>
              <w:rPr>
                <w:rFonts w:cs="Arial"/>
              </w:rPr>
              <w:t>Flow pattern</w:t>
            </w:r>
          </w:p>
        </w:tc>
        <w:tc>
          <w:tcPr>
            <w:tcW w:w="680" w:type="dxa"/>
            <w:tcBorders>
              <w:bottom w:val="single" w:sz="12" w:space="0" w:color="00B050"/>
            </w:tcBorders>
          </w:tcPr>
          <w:p w14:paraId="5D1F8830" w14:textId="77777777" w:rsidR="00A46096" w:rsidRDefault="00A46096" w:rsidP="00EC6113">
            <w:pPr>
              <w:rPr>
                <w:rFonts w:cs="Arial"/>
              </w:rPr>
            </w:pP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1DB885C9" w14:textId="3CD31F9C" w:rsidR="00A46096" w:rsidRDefault="00A46096" w:rsidP="006101C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Bubbl</w:t>
            </w:r>
            <w:proofErr w:type="spellEnd"/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4AF13C85" w14:textId="6435F99C" w:rsidR="00A46096" w:rsidRDefault="00A46096" w:rsidP="006101C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Bubbl</w:t>
            </w:r>
            <w:proofErr w:type="spellEnd"/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23ABA59E" w14:textId="05B5B07D" w:rsidR="00A46096" w:rsidRDefault="00A46096" w:rsidP="006101C1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Bubbl</w:t>
            </w:r>
            <w:proofErr w:type="spellEnd"/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0AFD5613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Plug</w:t>
            </w: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33DBC8CE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Slug</w:t>
            </w: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11B35FA1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Slug</w:t>
            </w: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29686055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Slug</w:t>
            </w: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2444633D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Slug</w:t>
            </w:r>
          </w:p>
        </w:tc>
        <w:tc>
          <w:tcPr>
            <w:tcW w:w="737" w:type="dxa"/>
            <w:tcBorders>
              <w:bottom w:val="single" w:sz="12" w:space="0" w:color="00B050"/>
            </w:tcBorders>
          </w:tcPr>
          <w:p w14:paraId="6E9FE423" w14:textId="77777777" w:rsidR="00A46096" w:rsidRDefault="00A46096" w:rsidP="006101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Strat</w:t>
            </w:r>
          </w:p>
        </w:tc>
      </w:tr>
    </w:tbl>
    <w:p w14:paraId="0723FF84" w14:textId="77777777" w:rsidR="006D262E" w:rsidRDefault="006D262E" w:rsidP="001C54DF"/>
    <w:p w14:paraId="13C2A614" w14:textId="1917C974" w:rsidR="001C54DF" w:rsidRDefault="006D262E" w:rsidP="001C54DF">
      <w:r>
        <w:t>T</w:t>
      </w:r>
      <w:r w:rsidR="001C54DF">
        <w:t xml:space="preserve">he </w:t>
      </w:r>
      <w:r>
        <w:t xml:space="preserve">results obtained by the </w:t>
      </w:r>
      <w:r w:rsidR="001C54DF">
        <w:t xml:space="preserve">dynamic simulation </w:t>
      </w:r>
      <w:r>
        <w:t>are very different from the flow pattern boundaries of the original TD flow map.</w:t>
      </w:r>
    </w:p>
    <w:p w14:paraId="7D844E8F" w14:textId="42E62FC0" w:rsidR="002A1CDC" w:rsidRDefault="00926CC5" w:rsidP="00141673">
      <w:pPr>
        <w:pStyle w:val="CETHeading1"/>
      </w:pPr>
      <w:r>
        <w:t>Conclusion</w:t>
      </w:r>
    </w:p>
    <w:p w14:paraId="07A64CEA" w14:textId="1E5CCA23" w:rsidR="00141673" w:rsidRDefault="00141673" w:rsidP="00600535">
      <w:pPr>
        <w:pStyle w:val="CETBodytext"/>
        <w:rPr>
          <w:lang w:val="en-GB"/>
        </w:rPr>
      </w:pPr>
      <w:r>
        <w:rPr>
          <w:lang w:val="en-GB"/>
        </w:rPr>
        <w:t>We have shown that figures currently used to show the flow pattern of gas-liquid two-phase flow lack verification. They are too generic mainly in the limit of one phase (gas or liquid) approaching zero.</w:t>
      </w:r>
      <w:r w:rsidR="007B05CA">
        <w:rPr>
          <w:lang w:val="en-GB"/>
        </w:rPr>
        <w:t xml:space="preserve"> </w:t>
      </w:r>
      <w:r>
        <w:rPr>
          <w:lang w:val="en-GB"/>
        </w:rPr>
        <w:t>In most cases</w:t>
      </w:r>
      <w:r w:rsidR="009C4EC8">
        <w:rPr>
          <w:lang w:val="en-GB"/>
        </w:rPr>
        <w:t>,</w:t>
      </w:r>
      <w:r>
        <w:rPr>
          <w:lang w:val="en-GB"/>
        </w:rPr>
        <w:t xml:space="preserve"> the thermodynamic equilibrium between phases is not considered as well as the </w:t>
      </w:r>
      <w:r w:rsidR="006B0039">
        <w:rPr>
          <w:lang w:val="en-GB"/>
        </w:rPr>
        <w:t xml:space="preserve">extent of </w:t>
      </w:r>
      <w:r>
        <w:rPr>
          <w:lang w:val="en-GB"/>
        </w:rPr>
        <w:t xml:space="preserve">solubility of one phase into the other. The case </w:t>
      </w:r>
      <w:r w:rsidR="006B0039">
        <w:rPr>
          <w:lang w:val="en-GB"/>
        </w:rPr>
        <w:t xml:space="preserve">considered </w:t>
      </w:r>
      <w:r>
        <w:rPr>
          <w:lang w:val="en-GB"/>
        </w:rPr>
        <w:t>is taken from a fundamental study in the field of two-phase flow in pipes</w:t>
      </w:r>
      <w:r w:rsidR="00587984">
        <w:rPr>
          <w:lang w:val="en-GB"/>
        </w:rPr>
        <w:t>. It</w:t>
      </w:r>
      <w:r>
        <w:rPr>
          <w:lang w:val="en-GB"/>
        </w:rPr>
        <w:t xml:space="preserve"> show</w:t>
      </w:r>
      <w:r w:rsidR="009C4EC8">
        <w:rPr>
          <w:lang w:val="en-GB"/>
        </w:rPr>
        <w:t>s</w:t>
      </w:r>
      <w:r>
        <w:rPr>
          <w:lang w:val="en-GB"/>
        </w:rPr>
        <w:t xml:space="preserve"> </w:t>
      </w:r>
      <w:r w:rsidR="0033292D">
        <w:rPr>
          <w:lang w:val="en-GB"/>
        </w:rPr>
        <w:t>many</w:t>
      </w:r>
      <w:r>
        <w:rPr>
          <w:lang w:val="en-GB"/>
        </w:rPr>
        <w:t xml:space="preserve"> </w:t>
      </w:r>
      <w:r w:rsidR="009C4EC8">
        <w:rPr>
          <w:lang w:val="en-GB"/>
        </w:rPr>
        <w:t>incongruencies</w:t>
      </w:r>
      <w:r>
        <w:rPr>
          <w:lang w:val="en-GB"/>
        </w:rPr>
        <w:t xml:space="preserve"> when </w:t>
      </w:r>
      <w:proofErr w:type="spellStart"/>
      <w:r>
        <w:rPr>
          <w:lang w:val="en-GB"/>
        </w:rPr>
        <w:t>analyzed</w:t>
      </w:r>
      <w:proofErr w:type="spellEnd"/>
      <w:r>
        <w:rPr>
          <w:lang w:val="en-GB"/>
        </w:rPr>
        <w:t xml:space="preserve"> </w:t>
      </w:r>
      <w:r w:rsidR="009C4EC8">
        <w:rPr>
          <w:lang w:val="en-GB"/>
        </w:rPr>
        <w:t>from the chemical engineering thermodynamic point of view.</w:t>
      </w:r>
      <w:r w:rsidR="00685313">
        <w:rPr>
          <w:lang w:val="en-GB"/>
        </w:rPr>
        <w:t xml:space="preserve"> The main point is that the real case presents a large section of the graph where the gas is completely soluble in the liquid phase producing a single liquid phase flow. This fact is completely ignored. The correct map should present a large part occupied by the ‘homogeneous liquid’ left to red </w:t>
      </w:r>
      <w:r w:rsidR="001C54DF">
        <w:rPr>
          <w:lang w:val="en-GB"/>
        </w:rPr>
        <w:t xml:space="preserve">line </w:t>
      </w:r>
      <w:r w:rsidR="00685313">
        <w:rPr>
          <w:lang w:val="en-GB"/>
        </w:rPr>
        <w:t>added</w:t>
      </w:r>
      <w:r w:rsidR="001C54DF">
        <w:rPr>
          <w:lang w:val="en-GB"/>
        </w:rPr>
        <w:t>,</w:t>
      </w:r>
      <w:r w:rsidR="00685313">
        <w:rPr>
          <w:lang w:val="en-GB"/>
        </w:rPr>
        <w:t xml:space="preserve"> as presented in Figure </w:t>
      </w:r>
      <w:r w:rsidR="007B05CA">
        <w:rPr>
          <w:lang w:val="en-GB"/>
        </w:rPr>
        <w:t>6</w:t>
      </w:r>
      <w:r w:rsidR="00685313">
        <w:rPr>
          <w:lang w:val="en-GB"/>
        </w:rPr>
        <w:t xml:space="preserve"> </w:t>
      </w:r>
    </w:p>
    <w:p w14:paraId="3B4C6E25" w14:textId="076E6F00" w:rsidR="00E1200B" w:rsidRDefault="00BA0107" w:rsidP="00600535">
      <w:pPr>
        <w:pStyle w:val="CETBodytext"/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2A504C1" wp14:editId="71461C38">
            <wp:extent cx="4812149" cy="2707005"/>
            <wp:effectExtent l="0" t="0" r="7620" b="0"/>
            <wp:docPr id="1247552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52086" name="Picture 12475520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43209" cy="272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2DCC0" w14:textId="2950CF31" w:rsidR="00E1200B" w:rsidRDefault="00E1200B" w:rsidP="00E1200B">
      <w:pPr>
        <w:pStyle w:val="CETCaption"/>
      </w:pPr>
      <w:r>
        <w:t xml:space="preserve">Figure </w:t>
      </w:r>
      <w:r w:rsidR="00B53202">
        <w:t>6</w:t>
      </w:r>
      <w:r>
        <w:t xml:space="preserve">. TD flow map </w:t>
      </w:r>
      <w:r w:rsidR="00FC6687">
        <w:t xml:space="preserve">corrected </w:t>
      </w:r>
      <w:r>
        <w:t xml:space="preserve">with single </w:t>
      </w:r>
      <w:r w:rsidR="00AC51BE">
        <w:t xml:space="preserve">liquid </w:t>
      </w:r>
      <w:r>
        <w:t xml:space="preserve">phase </w:t>
      </w:r>
      <w:r w:rsidR="000E6C86">
        <w:t>boundaries</w:t>
      </w:r>
    </w:p>
    <w:p w14:paraId="74FD971B" w14:textId="1784AFA4" w:rsidR="001176D2" w:rsidRPr="00B57B36" w:rsidRDefault="001176D2" w:rsidP="001176D2">
      <w:pPr>
        <w:pStyle w:val="CETReference"/>
      </w:pPr>
      <w:r w:rsidRPr="00B57B36">
        <w:t>References</w:t>
      </w:r>
    </w:p>
    <w:p w14:paraId="4BCC956F" w14:textId="77777777" w:rsidR="0088642A" w:rsidRDefault="0088642A" w:rsidP="0088642A">
      <w:pPr>
        <w:pStyle w:val="CETReferencetext"/>
      </w:pPr>
      <w:r>
        <w:t>Al-Safran E.M., Brill J., 2017, Applied Multiphase Flow in Pipes and Flow Assurance - Oil and Gas Production”, Society of Petroleum Engineers.</w:t>
      </w:r>
    </w:p>
    <w:p w14:paraId="1A9E43FE" w14:textId="77777777" w:rsidR="004F4831" w:rsidRPr="00526AA7" w:rsidRDefault="004F4831" w:rsidP="004F4831">
      <w:pPr>
        <w:pStyle w:val="CETReferencetext"/>
        <w:rPr>
          <w:rFonts w:cs="Arial"/>
        </w:rPr>
      </w:pPr>
      <w:r w:rsidRPr="00526AA7">
        <w:rPr>
          <w:rFonts w:cs="Arial"/>
        </w:rPr>
        <w:t>Lee B.I.,</w:t>
      </w:r>
      <w:r>
        <w:rPr>
          <w:rFonts w:cs="Arial"/>
        </w:rPr>
        <w:t xml:space="preserve"> </w:t>
      </w:r>
      <w:r w:rsidRPr="00526AA7">
        <w:rPr>
          <w:rFonts w:cs="Arial"/>
        </w:rPr>
        <w:t>Kesler M.G., 1975, A generalized thermodynamic correlation based on three-parameter corresponding states, AIChE J.,21, 510-527.</w:t>
      </w:r>
    </w:p>
    <w:p w14:paraId="2C7790EF" w14:textId="77777777" w:rsidR="004F4831" w:rsidRPr="00526AA7" w:rsidRDefault="004F4831" w:rsidP="004F4831">
      <w:pPr>
        <w:pStyle w:val="CETReferencetext"/>
        <w:rPr>
          <w:rFonts w:cs="Arial"/>
        </w:rPr>
      </w:pPr>
      <w:r w:rsidRPr="00526AA7">
        <w:rPr>
          <w:rFonts w:cs="Arial"/>
        </w:rPr>
        <w:t>Peng D.Y., Robinson D.B., 1976, A new two-constant equation of state, Industrial Engineering Chemistry Fundamentals, 15, 59–64.</w:t>
      </w:r>
    </w:p>
    <w:p w14:paraId="78E388F4" w14:textId="77777777" w:rsidR="0088642A" w:rsidRDefault="0088642A" w:rsidP="0088642A">
      <w:pPr>
        <w:pStyle w:val="CETReferencetext"/>
      </w:pPr>
      <w:r>
        <w:t>Perry R.H., Green D.W., 1998, Perry’s Chemical Engineers’ Handbook, 7</w:t>
      </w:r>
      <w:r w:rsidRPr="00E728C1">
        <w:t>th</w:t>
      </w:r>
      <w:r>
        <w:t xml:space="preserve"> Edition, McGraw – Hill International Editions.</w:t>
      </w:r>
    </w:p>
    <w:p w14:paraId="350EFA1F" w14:textId="46A1EF86" w:rsidR="004F4831" w:rsidRPr="004F4831" w:rsidRDefault="004F4831" w:rsidP="004F4831">
      <w:pPr>
        <w:pStyle w:val="CETReferencetext"/>
        <w:rPr>
          <w:rFonts w:cs="Arial"/>
        </w:rPr>
      </w:pPr>
      <w:r w:rsidRPr="004F4831">
        <w:rPr>
          <w:rFonts w:cs="Arial"/>
        </w:rPr>
        <w:t>Raimondi, L.</w:t>
      </w:r>
      <w:r w:rsidR="00492CC9">
        <w:rPr>
          <w:rFonts w:cs="Arial"/>
        </w:rPr>
        <w:t>,</w:t>
      </w:r>
      <w:r w:rsidRPr="004F4831">
        <w:rPr>
          <w:rFonts w:cs="Arial"/>
        </w:rPr>
        <w:t xml:space="preserve"> 2017</w:t>
      </w:r>
      <w:r w:rsidR="00AC51BE">
        <w:rPr>
          <w:rFonts w:cs="Arial"/>
        </w:rPr>
        <w:t>,</w:t>
      </w:r>
      <w:r w:rsidRPr="004F4831">
        <w:rPr>
          <w:rFonts w:cs="Arial"/>
        </w:rPr>
        <w:t xml:space="preserve"> Compositional Simulation of Two-Phase Flows for Pipeline Depressurization. SPE J</w:t>
      </w:r>
      <w:r w:rsidR="00AC51BE">
        <w:rPr>
          <w:rFonts w:cs="Arial"/>
        </w:rPr>
        <w:t>.</w:t>
      </w:r>
      <w:r w:rsidR="007B05CA">
        <w:rPr>
          <w:rFonts w:cs="Arial"/>
        </w:rPr>
        <w:t>,</w:t>
      </w:r>
      <w:r w:rsidR="00AC51BE">
        <w:rPr>
          <w:rFonts w:cs="Arial"/>
        </w:rPr>
        <w:t xml:space="preserve"> </w:t>
      </w:r>
      <w:r w:rsidRPr="004F4831">
        <w:rPr>
          <w:rFonts w:cs="Arial"/>
        </w:rPr>
        <w:t>22 (4) 1242–1253.</w:t>
      </w:r>
    </w:p>
    <w:p w14:paraId="5AC2853F" w14:textId="3B01288D" w:rsidR="00492CC9" w:rsidRPr="004F4831" w:rsidRDefault="00492CC9" w:rsidP="00492CC9">
      <w:pPr>
        <w:pStyle w:val="CETReferencetext"/>
        <w:rPr>
          <w:rFonts w:cs="Arial"/>
        </w:rPr>
      </w:pPr>
      <w:r>
        <w:rPr>
          <w:rFonts w:cs="Arial"/>
        </w:rPr>
        <w:t xml:space="preserve">Raimondi L., 2022, </w:t>
      </w:r>
      <w:r w:rsidRPr="004F4831">
        <w:rPr>
          <w:rFonts w:cs="Arial"/>
        </w:rPr>
        <w:t>Gas/Liquid Two-Phase Flow in Pipes:</w:t>
      </w:r>
      <w:r>
        <w:rPr>
          <w:rFonts w:cs="Arial"/>
        </w:rPr>
        <w:t xml:space="preserve"> </w:t>
      </w:r>
      <w:r w:rsidRPr="004F4831">
        <w:rPr>
          <w:rFonts w:cs="Arial"/>
        </w:rPr>
        <w:t>Slugs, Classical Flow-Map, and 1D</w:t>
      </w:r>
      <w:r>
        <w:rPr>
          <w:rFonts w:cs="Arial"/>
        </w:rPr>
        <w:t xml:space="preserve"> </w:t>
      </w:r>
      <w:r w:rsidRPr="004F4831">
        <w:rPr>
          <w:rFonts w:cs="Arial"/>
        </w:rPr>
        <w:t>Compositional Simulation</w:t>
      </w:r>
      <w:r>
        <w:rPr>
          <w:rFonts w:cs="Arial"/>
        </w:rPr>
        <w:t>, SPE J.</w:t>
      </w:r>
      <w:r w:rsidR="007B05CA">
        <w:rPr>
          <w:rFonts w:cs="Arial"/>
        </w:rPr>
        <w:t>,</w:t>
      </w:r>
      <w:r>
        <w:rPr>
          <w:rFonts w:cs="Arial"/>
        </w:rPr>
        <w:t xml:space="preserve"> 27 (1) 532-551</w:t>
      </w:r>
    </w:p>
    <w:p w14:paraId="7705D2DE" w14:textId="3AB82CF8" w:rsidR="00031E0A" w:rsidRDefault="00031E0A" w:rsidP="00031E0A">
      <w:pPr>
        <w:pStyle w:val="CETReferencetext"/>
      </w:pPr>
      <w:proofErr w:type="spellStart"/>
      <w:r w:rsidRPr="003E72B6">
        <w:t>Taitel</w:t>
      </w:r>
      <w:proofErr w:type="spellEnd"/>
      <w:r w:rsidR="00492CC9">
        <w:t xml:space="preserve"> Y.</w:t>
      </w:r>
      <w:r w:rsidRPr="003E72B6">
        <w:t xml:space="preserve">, </w:t>
      </w:r>
      <w:proofErr w:type="spellStart"/>
      <w:r w:rsidRPr="003E72B6">
        <w:t>Dukler</w:t>
      </w:r>
      <w:proofErr w:type="spellEnd"/>
      <w:r w:rsidR="00492CC9">
        <w:t xml:space="preserve"> A.E.,</w:t>
      </w:r>
      <w:r w:rsidRPr="003E72B6">
        <w:t xml:space="preserve"> 1976, A Model for Predicting Flow Regime Transitions in Horizontal and near Horizontal Gas-Liquid Flow”. AIChE Journal, 22</w:t>
      </w:r>
      <w:r w:rsidR="000B4DF3">
        <w:t xml:space="preserve"> (1) 47-55</w:t>
      </w:r>
      <w:r w:rsidRPr="003E72B6">
        <w:t>.</w:t>
      </w:r>
    </w:p>
    <w:p w14:paraId="09172DA0" w14:textId="3336CABA" w:rsidR="00031E0A" w:rsidRDefault="00031E0A" w:rsidP="00031E0A">
      <w:pPr>
        <w:pStyle w:val="CETReferencetext"/>
      </w:pPr>
      <w:r w:rsidRPr="00526AA7">
        <w:rPr>
          <w:rFonts w:cs="Arial"/>
        </w:rPr>
        <w:t>XPSIM (</w:t>
      </w:r>
      <w:proofErr w:type="spellStart"/>
      <w:r w:rsidRPr="00526AA7">
        <w:rPr>
          <w:rFonts w:cs="Arial"/>
        </w:rPr>
        <w:t>eXtended</w:t>
      </w:r>
      <w:proofErr w:type="spellEnd"/>
      <w:r w:rsidRPr="00526AA7">
        <w:rPr>
          <w:rFonts w:cs="Arial"/>
        </w:rPr>
        <w:t xml:space="preserve"> Process </w:t>
      </w:r>
      <w:proofErr w:type="spellStart"/>
      <w:r w:rsidRPr="00526AA7">
        <w:rPr>
          <w:rFonts w:cs="Arial"/>
        </w:rPr>
        <w:t>SIMulator</w:t>
      </w:r>
      <w:proofErr w:type="spellEnd"/>
      <w:r w:rsidRPr="00526AA7">
        <w:rPr>
          <w:rFonts w:cs="Arial"/>
        </w:rPr>
        <w:t>), 20</w:t>
      </w:r>
      <w:r>
        <w:rPr>
          <w:rFonts w:cs="Arial"/>
        </w:rPr>
        <w:t>24</w:t>
      </w:r>
      <w:r w:rsidRPr="00526AA7">
        <w:rPr>
          <w:rFonts w:cs="Arial"/>
        </w:rPr>
        <w:t>, Reference Manual, Version 3.0</w:t>
      </w:r>
      <w:r>
        <w:rPr>
          <w:rFonts w:cs="Arial"/>
        </w:rPr>
        <w:t>2</w:t>
      </w:r>
      <w:r w:rsidRPr="00526AA7">
        <w:rPr>
          <w:rFonts w:cs="Arial"/>
        </w:rPr>
        <w:t xml:space="preserve">., Process Simulation Services, </w:t>
      </w:r>
      <w:hyperlink r:id="rId15" w:history="1">
        <w:r w:rsidRPr="00526AA7">
          <w:rPr>
            <w:rFonts w:cs="Arial"/>
          </w:rPr>
          <w:t>www.xpsimworld.com</w:t>
        </w:r>
      </w:hyperlink>
      <w:r w:rsidR="00337170">
        <w:rPr>
          <w:rFonts w:cs="Arial"/>
        </w:rPr>
        <w:t>.</w:t>
      </w:r>
    </w:p>
    <w:sectPr w:rsidR="00031E0A" w:rsidSect="0011741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C8B16" w14:textId="77777777" w:rsidR="00911F32" w:rsidRDefault="00911F32" w:rsidP="004F5E36">
      <w:r>
        <w:separator/>
      </w:r>
    </w:p>
  </w:endnote>
  <w:endnote w:type="continuationSeparator" w:id="0">
    <w:p w14:paraId="352D5C60" w14:textId="77777777" w:rsidR="00911F32" w:rsidRDefault="00911F3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F83A" w14:textId="77777777" w:rsidR="00911F32" w:rsidRDefault="00911F32" w:rsidP="004F5E36">
      <w:r>
        <w:separator/>
      </w:r>
    </w:p>
  </w:footnote>
  <w:footnote w:type="continuationSeparator" w:id="0">
    <w:p w14:paraId="673D7863" w14:textId="77777777" w:rsidR="00911F32" w:rsidRDefault="00911F32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606B36"/>
    <w:multiLevelType w:val="multilevel"/>
    <w:tmpl w:val="098ED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2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9"/>
  </w:num>
  <w:num w:numId="13" w16cid:durableId="695733619">
    <w:abstractNumId w:val="14"/>
  </w:num>
  <w:num w:numId="14" w16cid:durableId="145903400">
    <w:abstractNumId w:val="20"/>
  </w:num>
  <w:num w:numId="15" w16cid:durableId="19162326">
    <w:abstractNumId w:val="22"/>
  </w:num>
  <w:num w:numId="16" w16cid:durableId="1977102699">
    <w:abstractNumId w:val="21"/>
  </w:num>
  <w:num w:numId="17" w16cid:durableId="860774865">
    <w:abstractNumId w:val="13"/>
  </w:num>
  <w:num w:numId="18" w16cid:durableId="313221457">
    <w:abstractNumId w:val="14"/>
    <w:lvlOverride w:ilvl="0">
      <w:startOverride w:val="1"/>
    </w:lvlOverride>
  </w:num>
  <w:num w:numId="19" w16cid:durableId="534971577">
    <w:abstractNumId w:val="18"/>
  </w:num>
  <w:num w:numId="20" w16cid:durableId="1150947773">
    <w:abstractNumId w:val="17"/>
  </w:num>
  <w:num w:numId="21" w16cid:durableId="124660497">
    <w:abstractNumId w:val="16"/>
  </w:num>
  <w:num w:numId="22" w16cid:durableId="2099861471">
    <w:abstractNumId w:val="15"/>
  </w:num>
  <w:num w:numId="23" w16cid:durableId="84351335">
    <w:abstractNumId w:val="11"/>
  </w:num>
  <w:num w:numId="24" w16cid:durableId="1155606991">
    <w:abstractNumId w:val="10"/>
  </w:num>
  <w:num w:numId="25" w16cid:durableId="1489252894">
    <w:abstractNumId w:val="12"/>
  </w:num>
  <w:num w:numId="26" w16cid:durableId="214045781">
    <w:abstractNumId w:val="12"/>
  </w:num>
  <w:num w:numId="27" w16cid:durableId="92437185">
    <w:abstractNumId w:val="12"/>
  </w:num>
  <w:num w:numId="28" w16cid:durableId="1071125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52FB"/>
    <w:rsid w:val="00005A19"/>
    <w:rsid w:val="00006F28"/>
    <w:rsid w:val="000117CB"/>
    <w:rsid w:val="0002701D"/>
    <w:rsid w:val="0003148D"/>
    <w:rsid w:val="00031E0A"/>
    <w:rsid w:val="00031EEC"/>
    <w:rsid w:val="000321D5"/>
    <w:rsid w:val="0003689C"/>
    <w:rsid w:val="00051566"/>
    <w:rsid w:val="000562A9"/>
    <w:rsid w:val="000568FC"/>
    <w:rsid w:val="00062A9A"/>
    <w:rsid w:val="00065058"/>
    <w:rsid w:val="00086C39"/>
    <w:rsid w:val="00093278"/>
    <w:rsid w:val="000A03B2"/>
    <w:rsid w:val="000B4DF3"/>
    <w:rsid w:val="000D0268"/>
    <w:rsid w:val="000D34BE"/>
    <w:rsid w:val="000E0B3C"/>
    <w:rsid w:val="000E102F"/>
    <w:rsid w:val="000E36F1"/>
    <w:rsid w:val="000E3A73"/>
    <w:rsid w:val="000E414A"/>
    <w:rsid w:val="000E5930"/>
    <w:rsid w:val="000E6C86"/>
    <w:rsid w:val="000E75FD"/>
    <w:rsid w:val="000F093C"/>
    <w:rsid w:val="000F787B"/>
    <w:rsid w:val="001159A8"/>
    <w:rsid w:val="00117419"/>
    <w:rsid w:val="001176D2"/>
    <w:rsid w:val="0012091F"/>
    <w:rsid w:val="00125855"/>
    <w:rsid w:val="00126BC2"/>
    <w:rsid w:val="001308B6"/>
    <w:rsid w:val="0013121F"/>
    <w:rsid w:val="00131FE6"/>
    <w:rsid w:val="0013263F"/>
    <w:rsid w:val="001331DF"/>
    <w:rsid w:val="00134DE4"/>
    <w:rsid w:val="0014034D"/>
    <w:rsid w:val="0014085B"/>
    <w:rsid w:val="00140FE3"/>
    <w:rsid w:val="00141673"/>
    <w:rsid w:val="00144D16"/>
    <w:rsid w:val="00150C95"/>
    <w:rsid w:val="00150E59"/>
    <w:rsid w:val="00152DE3"/>
    <w:rsid w:val="00164CF9"/>
    <w:rsid w:val="0016668E"/>
    <w:rsid w:val="001667A6"/>
    <w:rsid w:val="00176A5B"/>
    <w:rsid w:val="0018171E"/>
    <w:rsid w:val="00184AD6"/>
    <w:rsid w:val="00196F77"/>
    <w:rsid w:val="001A4AF7"/>
    <w:rsid w:val="001B0349"/>
    <w:rsid w:val="001B1E93"/>
    <w:rsid w:val="001B65C1"/>
    <w:rsid w:val="001C176C"/>
    <w:rsid w:val="001C260F"/>
    <w:rsid w:val="001C54DF"/>
    <w:rsid w:val="001C5C3A"/>
    <w:rsid w:val="001C684B"/>
    <w:rsid w:val="001D0CFB"/>
    <w:rsid w:val="001D21AF"/>
    <w:rsid w:val="001D3D32"/>
    <w:rsid w:val="001D53FC"/>
    <w:rsid w:val="001E3192"/>
    <w:rsid w:val="001F2FDF"/>
    <w:rsid w:val="001F42A5"/>
    <w:rsid w:val="001F7B9D"/>
    <w:rsid w:val="00201C93"/>
    <w:rsid w:val="002076F3"/>
    <w:rsid w:val="002224B4"/>
    <w:rsid w:val="002447EF"/>
    <w:rsid w:val="00251550"/>
    <w:rsid w:val="00263B05"/>
    <w:rsid w:val="0027221A"/>
    <w:rsid w:val="00274186"/>
    <w:rsid w:val="00275B61"/>
    <w:rsid w:val="00280FAF"/>
    <w:rsid w:val="00282656"/>
    <w:rsid w:val="00295C44"/>
    <w:rsid w:val="00296B83"/>
    <w:rsid w:val="002A1CDC"/>
    <w:rsid w:val="002B4015"/>
    <w:rsid w:val="002B78CE"/>
    <w:rsid w:val="002C2FB6"/>
    <w:rsid w:val="002D1864"/>
    <w:rsid w:val="002D2D02"/>
    <w:rsid w:val="002E5FA7"/>
    <w:rsid w:val="002E661C"/>
    <w:rsid w:val="002F3309"/>
    <w:rsid w:val="003008CE"/>
    <w:rsid w:val="003009B7"/>
    <w:rsid w:val="00300E56"/>
    <w:rsid w:val="0030152C"/>
    <w:rsid w:val="0030469C"/>
    <w:rsid w:val="00304CE8"/>
    <w:rsid w:val="00321CA6"/>
    <w:rsid w:val="00323763"/>
    <w:rsid w:val="00323C5F"/>
    <w:rsid w:val="0033292D"/>
    <w:rsid w:val="00334C09"/>
    <w:rsid w:val="00337170"/>
    <w:rsid w:val="00360AB9"/>
    <w:rsid w:val="00364A68"/>
    <w:rsid w:val="003723D4"/>
    <w:rsid w:val="00381905"/>
    <w:rsid w:val="00384CC8"/>
    <w:rsid w:val="003871FD"/>
    <w:rsid w:val="003A1E30"/>
    <w:rsid w:val="003A2829"/>
    <w:rsid w:val="003A7D1C"/>
    <w:rsid w:val="003B304B"/>
    <w:rsid w:val="003B3146"/>
    <w:rsid w:val="003B49CD"/>
    <w:rsid w:val="003C42C5"/>
    <w:rsid w:val="003C6D2D"/>
    <w:rsid w:val="003D1E02"/>
    <w:rsid w:val="003E72B6"/>
    <w:rsid w:val="003F015E"/>
    <w:rsid w:val="003F45BD"/>
    <w:rsid w:val="00400414"/>
    <w:rsid w:val="004017CF"/>
    <w:rsid w:val="0041446B"/>
    <w:rsid w:val="004273B9"/>
    <w:rsid w:val="0044071E"/>
    <w:rsid w:val="0044329C"/>
    <w:rsid w:val="00453E24"/>
    <w:rsid w:val="00453ECD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85FF7"/>
    <w:rsid w:val="00492CC9"/>
    <w:rsid w:val="004A004E"/>
    <w:rsid w:val="004A2196"/>
    <w:rsid w:val="004A24CF"/>
    <w:rsid w:val="004C3D1D"/>
    <w:rsid w:val="004C3D84"/>
    <w:rsid w:val="004C7913"/>
    <w:rsid w:val="004E4DD6"/>
    <w:rsid w:val="004F4831"/>
    <w:rsid w:val="004F5E36"/>
    <w:rsid w:val="00507B47"/>
    <w:rsid w:val="00507BEF"/>
    <w:rsid w:val="00507CC9"/>
    <w:rsid w:val="005119A5"/>
    <w:rsid w:val="00513205"/>
    <w:rsid w:val="00513265"/>
    <w:rsid w:val="005278B7"/>
    <w:rsid w:val="00530B24"/>
    <w:rsid w:val="00532016"/>
    <w:rsid w:val="00532D13"/>
    <w:rsid w:val="005346C8"/>
    <w:rsid w:val="00540EFC"/>
    <w:rsid w:val="00543E7D"/>
    <w:rsid w:val="00547A68"/>
    <w:rsid w:val="005531C9"/>
    <w:rsid w:val="00554879"/>
    <w:rsid w:val="005626E1"/>
    <w:rsid w:val="00564AC7"/>
    <w:rsid w:val="00570C43"/>
    <w:rsid w:val="0057548E"/>
    <w:rsid w:val="00587984"/>
    <w:rsid w:val="00592274"/>
    <w:rsid w:val="005A1AC0"/>
    <w:rsid w:val="005B2110"/>
    <w:rsid w:val="005B350B"/>
    <w:rsid w:val="005B61E6"/>
    <w:rsid w:val="005C77E1"/>
    <w:rsid w:val="005D668A"/>
    <w:rsid w:val="005D6A2F"/>
    <w:rsid w:val="005E0592"/>
    <w:rsid w:val="005E1A82"/>
    <w:rsid w:val="005E794C"/>
    <w:rsid w:val="005F0A28"/>
    <w:rsid w:val="005F0E5E"/>
    <w:rsid w:val="005F3482"/>
    <w:rsid w:val="00600535"/>
    <w:rsid w:val="006101C1"/>
    <w:rsid w:val="00610CD6"/>
    <w:rsid w:val="00620DEE"/>
    <w:rsid w:val="00621F92"/>
    <w:rsid w:val="0062280A"/>
    <w:rsid w:val="006231E1"/>
    <w:rsid w:val="00625639"/>
    <w:rsid w:val="00626342"/>
    <w:rsid w:val="006265C5"/>
    <w:rsid w:val="00631B33"/>
    <w:rsid w:val="0064184D"/>
    <w:rsid w:val="006422CC"/>
    <w:rsid w:val="00651D18"/>
    <w:rsid w:val="00660E3E"/>
    <w:rsid w:val="00662E74"/>
    <w:rsid w:val="00680C23"/>
    <w:rsid w:val="00683E23"/>
    <w:rsid w:val="00685313"/>
    <w:rsid w:val="00693766"/>
    <w:rsid w:val="006A3281"/>
    <w:rsid w:val="006A6DE5"/>
    <w:rsid w:val="006B0039"/>
    <w:rsid w:val="006B4888"/>
    <w:rsid w:val="006C2E45"/>
    <w:rsid w:val="006C359C"/>
    <w:rsid w:val="006C5579"/>
    <w:rsid w:val="006C7E69"/>
    <w:rsid w:val="006D262E"/>
    <w:rsid w:val="006D6E8B"/>
    <w:rsid w:val="006D7209"/>
    <w:rsid w:val="006D7E59"/>
    <w:rsid w:val="006E2EA1"/>
    <w:rsid w:val="006E737D"/>
    <w:rsid w:val="006F626B"/>
    <w:rsid w:val="006F6E6E"/>
    <w:rsid w:val="006F7090"/>
    <w:rsid w:val="006F780E"/>
    <w:rsid w:val="00707DD1"/>
    <w:rsid w:val="00713973"/>
    <w:rsid w:val="00720A24"/>
    <w:rsid w:val="00732386"/>
    <w:rsid w:val="0073514D"/>
    <w:rsid w:val="007447F3"/>
    <w:rsid w:val="0075499F"/>
    <w:rsid w:val="0075628B"/>
    <w:rsid w:val="007661C8"/>
    <w:rsid w:val="0077098D"/>
    <w:rsid w:val="00783F8B"/>
    <w:rsid w:val="00784E9C"/>
    <w:rsid w:val="00785BF9"/>
    <w:rsid w:val="007931FA"/>
    <w:rsid w:val="0079495F"/>
    <w:rsid w:val="007A22B4"/>
    <w:rsid w:val="007A4861"/>
    <w:rsid w:val="007A7BBA"/>
    <w:rsid w:val="007B05CA"/>
    <w:rsid w:val="007B0C50"/>
    <w:rsid w:val="007B48F9"/>
    <w:rsid w:val="007C1A43"/>
    <w:rsid w:val="007D0951"/>
    <w:rsid w:val="007D2458"/>
    <w:rsid w:val="007D610D"/>
    <w:rsid w:val="0080013E"/>
    <w:rsid w:val="00801759"/>
    <w:rsid w:val="00813288"/>
    <w:rsid w:val="0081676E"/>
    <w:rsid w:val="008168FC"/>
    <w:rsid w:val="008274EA"/>
    <w:rsid w:val="00830996"/>
    <w:rsid w:val="008345F1"/>
    <w:rsid w:val="00835B74"/>
    <w:rsid w:val="00857A14"/>
    <w:rsid w:val="00865479"/>
    <w:rsid w:val="00865B07"/>
    <w:rsid w:val="008667EA"/>
    <w:rsid w:val="0087637F"/>
    <w:rsid w:val="0088642A"/>
    <w:rsid w:val="00892AD5"/>
    <w:rsid w:val="008A1512"/>
    <w:rsid w:val="008B4127"/>
    <w:rsid w:val="008D158C"/>
    <w:rsid w:val="008D32B9"/>
    <w:rsid w:val="008D433B"/>
    <w:rsid w:val="008D4A16"/>
    <w:rsid w:val="008E237D"/>
    <w:rsid w:val="008E5401"/>
    <w:rsid w:val="008E566E"/>
    <w:rsid w:val="0090161A"/>
    <w:rsid w:val="00901EB6"/>
    <w:rsid w:val="00903C75"/>
    <w:rsid w:val="009041F8"/>
    <w:rsid w:val="00904C62"/>
    <w:rsid w:val="00911F32"/>
    <w:rsid w:val="0091496F"/>
    <w:rsid w:val="00922BA8"/>
    <w:rsid w:val="00924DAC"/>
    <w:rsid w:val="00926CC5"/>
    <w:rsid w:val="00927058"/>
    <w:rsid w:val="009372E5"/>
    <w:rsid w:val="00942750"/>
    <w:rsid w:val="009450CE"/>
    <w:rsid w:val="009455FC"/>
    <w:rsid w:val="009459BB"/>
    <w:rsid w:val="00947048"/>
    <w:rsid w:val="00947179"/>
    <w:rsid w:val="0095164B"/>
    <w:rsid w:val="009526FC"/>
    <w:rsid w:val="00954090"/>
    <w:rsid w:val="00956769"/>
    <w:rsid w:val="009573E7"/>
    <w:rsid w:val="009601D2"/>
    <w:rsid w:val="009615BE"/>
    <w:rsid w:val="00963E05"/>
    <w:rsid w:val="00964A45"/>
    <w:rsid w:val="00967843"/>
    <w:rsid w:val="00967D54"/>
    <w:rsid w:val="00971028"/>
    <w:rsid w:val="00971034"/>
    <w:rsid w:val="00974B85"/>
    <w:rsid w:val="00976CF5"/>
    <w:rsid w:val="009866F8"/>
    <w:rsid w:val="00993B84"/>
    <w:rsid w:val="00994C6A"/>
    <w:rsid w:val="00996483"/>
    <w:rsid w:val="00996F5A"/>
    <w:rsid w:val="009A5F80"/>
    <w:rsid w:val="009B041A"/>
    <w:rsid w:val="009B6E57"/>
    <w:rsid w:val="009C37C3"/>
    <w:rsid w:val="009C4EC8"/>
    <w:rsid w:val="009C7517"/>
    <w:rsid w:val="009C7C86"/>
    <w:rsid w:val="009D2FF7"/>
    <w:rsid w:val="009E7884"/>
    <w:rsid w:val="009E788A"/>
    <w:rsid w:val="009F0E08"/>
    <w:rsid w:val="009F1021"/>
    <w:rsid w:val="00A079AE"/>
    <w:rsid w:val="00A1763D"/>
    <w:rsid w:val="00A17CEC"/>
    <w:rsid w:val="00A23510"/>
    <w:rsid w:val="00A27EF0"/>
    <w:rsid w:val="00A35C8E"/>
    <w:rsid w:val="00A36C88"/>
    <w:rsid w:val="00A42361"/>
    <w:rsid w:val="00A46096"/>
    <w:rsid w:val="00A50B20"/>
    <w:rsid w:val="00A51390"/>
    <w:rsid w:val="00A60D13"/>
    <w:rsid w:val="00A7223D"/>
    <w:rsid w:val="00A72745"/>
    <w:rsid w:val="00A76EFC"/>
    <w:rsid w:val="00A77F55"/>
    <w:rsid w:val="00A801DC"/>
    <w:rsid w:val="00A87D50"/>
    <w:rsid w:val="00A91010"/>
    <w:rsid w:val="00A97F29"/>
    <w:rsid w:val="00AA6322"/>
    <w:rsid w:val="00AA702E"/>
    <w:rsid w:val="00AA7D26"/>
    <w:rsid w:val="00AB0964"/>
    <w:rsid w:val="00AB5011"/>
    <w:rsid w:val="00AC51BE"/>
    <w:rsid w:val="00AC6894"/>
    <w:rsid w:val="00AC7368"/>
    <w:rsid w:val="00AC7E95"/>
    <w:rsid w:val="00AD16B9"/>
    <w:rsid w:val="00AD310F"/>
    <w:rsid w:val="00AE377D"/>
    <w:rsid w:val="00AF0EBA"/>
    <w:rsid w:val="00AF2463"/>
    <w:rsid w:val="00AF7961"/>
    <w:rsid w:val="00B02C8A"/>
    <w:rsid w:val="00B14A04"/>
    <w:rsid w:val="00B17FBD"/>
    <w:rsid w:val="00B315A6"/>
    <w:rsid w:val="00B31813"/>
    <w:rsid w:val="00B33365"/>
    <w:rsid w:val="00B53202"/>
    <w:rsid w:val="00B57B36"/>
    <w:rsid w:val="00B57E6F"/>
    <w:rsid w:val="00B66DAD"/>
    <w:rsid w:val="00B76426"/>
    <w:rsid w:val="00B8686D"/>
    <w:rsid w:val="00B93F69"/>
    <w:rsid w:val="00BA0107"/>
    <w:rsid w:val="00BA1952"/>
    <w:rsid w:val="00BA29D8"/>
    <w:rsid w:val="00BB1DDC"/>
    <w:rsid w:val="00BC2931"/>
    <w:rsid w:val="00BC30C9"/>
    <w:rsid w:val="00BD077D"/>
    <w:rsid w:val="00BD4B2C"/>
    <w:rsid w:val="00BE3E58"/>
    <w:rsid w:val="00BE5644"/>
    <w:rsid w:val="00BF13CE"/>
    <w:rsid w:val="00C01616"/>
    <w:rsid w:val="00C0162B"/>
    <w:rsid w:val="00C017B6"/>
    <w:rsid w:val="00C068ED"/>
    <w:rsid w:val="00C22E0C"/>
    <w:rsid w:val="00C345B1"/>
    <w:rsid w:val="00C40142"/>
    <w:rsid w:val="00C511E9"/>
    <w:rsid w:val="00C52C3C"/>
    <w:rsid w:val="00C57182"/>
    <w:rsid w:val="00C57863"/>
    <w:rsid w:val="00C640AF"/>
    <w:rsid w:val="00C655FD"/>
    <w:rsid w:val="00C72113"/>
    <w:rsid w:val="00C75407"/>
    <w:rsid w:val="00C83C28"/>
    <w:rsid w:val="00C841C6"/>
    <w:rsid w:val="00C86915"/>
    <w:rsid w:val="00C870A8"/>
    <w:rsid w:val="00C94434"/>
    <w:rsid w:val="00CA0D75"/>
    <w:rsid w:val="00CA1C95"/>
    <w:rsid w:val="00CA5A9C"/>
    <w:rsid w:val="00CB52D6"/>
    <w:rsid w:val="00CC4C20"/>
    <w:rsid w:val="00CC6BA1"/>
    <w:rsid w:val="00CD3517"/>
    <w:rsid w:val="00CD5FE2"/>
    <w:rsid w:val="00CE7C68"/>
    <w:rsid w:val="00D00420"/>
    <w:rsid w:val="00D02B4C"/>
    <w:rsid w:val="00D040C4"/>
    <w:rsid w:val="00D04FEC"/>
    <w:rsid w:val="00D20AD1"/>
    <w:rsid w:val="00D2582C"/>
    <w:rsid w:val="00D359CD"/>
    <w:rsid w:val="00D46B7E"/>
    <w:rsid w:val="00D57C84"/>
    <w:rsid w:val="00D6057D"/>
    <w:rsid w:val="00D6088B"/>
    <w:rsid w:val="00D71640"/>
    <w:rsid w:val="00D72E24"/>
    <w:rsid w:val="00D836C5"/>
    <w:rsid w:val="00D84576"/>
    <w:rsid w:val="00D9545C"/>
    <w:rsid w:val="00D96D4F"/>
    <w:rsid w:val="00DA1399"/>
    <w:rsid w:val="00DA24C6"/>
    <w:rsid w:val="00DA4D7B"/>
    <w:rsid w:val="00DA5961"/>
    <w:rsid w:val="00DC2840"/>
    <w:rsid w:val="00DC6DB6"/>
    <w:rsid w:val="00DC73EE"/>
    <w:rsid w:val="00DD271C"/>
    <w:rsid w:val="00DE264A"/>
    <w:rsid w:val="00DF5072"/>
    <w:rsid w:val="00E00F87"/>
    <w:rsid w:val="00E02D18"/>
    <w:rsid w:val="00E041E7"/>
    <w:rsid w:val="00E1200B"/>
    <w:rsid w:val="00E1347D"/>
    <w:rsid w:val="00E17D75"/>
    <w:rsid w:val="00E23CA1"/>
    <w:rsid w:val="00E37CF7"/>
    <w:rsid w:val="00E409A8"/>
    <w:rsid w:val="00E42205"/>
    <w:rsid w:val="00E50C12"/>
    <w:rsid w:val="00E65B91"/>
    <w:rsid w:val="00E7209D"/>
    <w:rsid w:val="00E728C1"/>
    <w:rsid w:val="00E72EAD"/>
    <w:rsid w:val="00E77223"/>
    <w:rsid w:val="00E8277E"/>
    <w:rsid w:val="00E82E1B"/>
    <w:rsid w:val="00E8528B"/>
    <w:rsid w:val="00E85B94"/>
    <w:rsid w:val="00E9369E"/>
    <w:rsid w:val="00E978D0"/>
    <w:rsid w:val="00EA4613"/>
    <w:rsid w:val="00EA7F91"/>
    <w:rsid w:val="00EB1523"/>
    <w:rsid w:val="00EC0E49"/>
    <w:rsid w:val="00EC101F"/>
    <w:rsid w:val="00EC1D9F"/>
    <w:rsid w:val="00EE0131"/>
    <w:rsid w:val="00EE17B0"/>
    <w:rsid w:val="00EE6EF3"/>
    <w:rsid w:val="00EF06D9"/>
    <w:rsid w:val="00EF1213"/>
    <w:rsid w:val="00EF4A0E"/>
    <w:rsid w:val="00F24CB5"/>
    <w:rsid w:val="00F27B90"/>
    <w:rsid w:val="00F3049E"/>
    <w:rsid w:val="00F30C64"/>
    <w:rsid w:val="00F32BA2"/>
    <w:rsid w:val="00F32CDB"/>
    <w:rsid w:val="00F33FE5"/>
    <w:rsid w:val="00F41EE4"/>
    <w:rsid w:val="00F528D2"/>
    <w:rsid w:val="00F54B51"/>
    <w:rsid w:val="00F565FE"/>
    <w:rsid w:val="00F63A70"/>
    <w:rsid w:val="00F63D8C"/>
    <w:rsid w:val="00F7140E"/>
    <w:rsid w:val="00F7534E"/>
    <w:rsid w:val="00F93EDF"/>
    <w:rsid w:val="00FA1802"/>
    <w:rsid w:val="00FA21D0"/>
    <w:rsid w:val="00FA5F5F"/>
    <w:rsid w:val="00FB730C"/>
    <w:rsid w:val="00FB7B17"/>
    <w:rsid w:val="00FC2695"/>
    <w:rsid w:val="00FC3E03"/>
    <w:rsid w:val="00FC3FC1"/>
    <w:rsid w:val="00FC6687"/>
    <w:rsid w:val="00FE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ET Top_page"/>
    <w:rsid w:val="00903C75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rsid w:val="004F5E36"/>
    <w:pPr>
      <w:tabs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77F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03148D"/>
    <w:pPr>
      <w:spacing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unhideWhenUs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DefaultParagraphFont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ListParagraph">
    <w:name w:val="List Paragraph"/>
    <w:basedOn w:val="Normal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DefaultParagraphFont"/>
    <w:rsid w:val="00005A19"/>
  </w:style>
  <w:style w:type="paragraph" w:customStyle="1" w:styleId="MFIPBodyofText">
    <w:name w:val="MFIP Body of Text"/>
    <w:basedOn w:val="Normal"/>
    <w:link w:val="MFIPBodyofTextCarattere"/>
    <w:rsid w:val="004F4831"/>
    <w:pPr>
      <w:tabs>
        <w:tab w:val="clear" w:pos="7100"/>
      </w:tabs>
      <w:spacing w:after="18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MFIPBodyofTextCarattere">
    <w:name w:val="MFIP Body of Text Carattere"/>
    <w:basedOn w:val="DefaultParagraphFont"/>
    <w:link w:val="MFIPBodyofText"/>
    <w:rsid w:val="004F4831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styleId="PlaceholderText">
    <w:name w:val="Placeholder Text"/>
    <w:basedOn w:val="DefaultParagraphFont"/>
    <w:uiPriority w:val="99"/>
    <w:semiHidden/>
    <w:rsid w:val="00BA19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www.xpsimworld.com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2489</Words>
  <Characters>12898</Characters>
  <Application>Microsoft Office Word</Application>
  <DocSecurity>0</DocSecurity>
  <Lines>358</Lines>
  <Paragraphs>279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Luigi Raimondi</cp:lastModifiedBy>
  <cp:revision>8</cp:revision>
  <cp:lastPrinted>2015-05-12T18:31:00Z</cp:lastPrinted>
  <dcterms:created xsi:type="dcterms:W3CDTF">2025-02-25T21:05:00Z</dcterms:created>
  <dcterms:modified xsi:type="dcterms:W3CDTF">2025-03-14T10:49:00Z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GrammarlyDocumentId">
    <vt:lpwstr>a706217827b8bd75aa4cb22a7b037de770b6fddd3eb89b479f34e27d044216f0</vt:lpwstr>
  </property>
</Properties>
</file>