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69D423A2" w:rsidR="00E978D0" w:rsidRPr="00B57B36" w:rsidRDefault="003C117A" w:rsidP="00E978D0">
      <w:pPr>
        <w:pStyle w:val="CETTitle"/>
      </w:pPr>
      <w:r>
        <w:t xml:space="preserve">Life Cycle Assessment (LCA) of the </w:t>
      </w:r>
      <w:r w:rsidR="00076169">
        <w:t>P</w:t>
      </w:r>
      <w:r>
        <w:t>roduction of Sustainable Aviation Fuels (SAF) in Colombia</w:t>
      </w:r>
    </w:p>
    <w:p w14:paraId="0488FED2" w14:textId="3C90BFB5" w:rsidR="00B57E6F" w:rsidRPr="00076169" w:rsidRDefault="00913687" w:rsidP="00B57E6F">
      <w:pPr>
        <w:pStyle w:val="CETAuthors"/>
        <w:rPr>
          <w:lang w:val="es-CO"/>
        </w:rPr>
      </w:pPr>
      <w:r w:rsidRPr="00076169">
        <w:rPr>
          <w:lang w:val="es-CO"/>
        </w:rPr>
        <w:t>Miguel A. Romero</w:t>
      </w:r>
      <w:r w:rsidR="00B57E6F" w:rsidRPr="00076169">
        <w:rPr>
          <w:vertAlign w:val="superscript"/>
          <w:lang w:val="es-CO"/>
        </w:rPr>
        <w:t>a</w:t>
      </w:r>
      <w:r w:rsidR="00A21088" w:rsidRPr="00076169">
        <w:rPr>
          <w:lang w:val="es-CO"/>
        </w:rPr>
        <w:t>*</w:t>
      </w:r>
      <w:r w:rsidR="00B57E6F" w:rsidRPr="00076169">
        <w:rPr>
          <w:lang w:val="es-CO"/>
        </w:rPr>
        <w:t xml:space="preserve">, </w:t>
      </w:r>
      <w:r w:rsidRPr="00076169">
        <w:rPr>
          <w:lang w:val="es-CO"/>
        </w:rPr>
        <w:t>Manuel A. Mayorga</w:t>
      </w:r>
      <w:r w:rsidR="00B57E6F" w:rsidRPr="00076169">
        <w:rPr>
          <w:vertAlign w:val="superscript"/>
          <w:lang w:val="es-CO"/>
        </w:rPr>
        <w:t>b</w:t>
      </w:r>
      <w:r w:rsidR="00B57E6F" w:rsidRPr="00076169">
        <w:rPr>
          <w:lang w:val="es-CO"/>
        </w:rPr>
        <w:t>,</w:t>
      </w:r>
      <w:r w:rsidRPr="00076169">
        <w:rPr>
          <w:lang w:val="es-CO"/>
        </w:rPr>
        <w:t xml:space="preserve"> Zully E. Gómez</w:t>
      </w:r>
      <w:r w:rsidRPr="00076169">
        <w:rPr>
          <w:vertAlign w:val="superscript"/>
          <w:lang w:val="es-CO"/>
        </w:rPr>
        <w:t>a</w:t>
      </w:r>
      <w:r w:rsidRPr="00076169">
        <w:rPr>
          <w:lang w:val="es-CO"/>
        </w:rPr>
        <w:t>, Felipe Correa-Mahecha</w:t>
      </w:r>
      <w:r w:rsidRPr="00076169">
        <w:rPr>
          <w:vertAlign w:val="superscript"/>
          <w:lang w:val="es-CO"/>
        </w:rPr>
        <w:t>c</w:t>
      </w:r>
      <w:r w:rsidRPr="00076169">
        <w:rPr>
          <w:lang w:val="es-CO"/>
        </w:rPr>
        <w:t>, Luz A. Suarez</w:t>
      </w:r>
      <w:r w:rsidRPr="00076169">
        <w:rPr>
          <w:vertAlign w:val="superscript"/>
          <w:lang w:val="es-CO"/>
        </w:rPr>
        <w:t>d</w:t>
      </w:r>
      <w:r w:rsidRPr="00076169">
        <w:rPr>
          <w:lang w:val="es-CO"/>
        </w:rPr>
        <w:t>.</w:t>
      </w:r>
    </w:p>
    <w:p w14:paraId="6B2D21B3" w14:textId="5AD4B950" w:rsidR="00B57E6F" w:rsidRPr="00076169" w:rsidRDefault="00B57E6F" w:rsidP="00B57E6F">
      <w:pPr>
        <w:pStyle w:val="CETAddress"/>
        <w:rPr>
          <w:lang w:val="es-CO"/>
        </w:rPr>
      </w:pPr>
      <w:r w:rsidRPr="00076169">
        <w:rPr>
          <w:vertAlign w:val="superscript"/>
          <w:lang w:val="es-CO"/>
        </w:rPr>
        <w:t>a</w:t>
      </w:r>
      <w:r w:rsidR="00913687" w:rsidRPr="00076169">
        <w:rPr>
          <w:lang w:val="es-CO"/>
        </w:rPr>
        <w:t>Facultad de Ciencias Ambientales</w:t>
      </w:r>
      <w:r w:rsidRPr="00076169">
        <w:rPr>
          <w:lang w:val="es-CO"/>
        </w:rPr>
        <w:t>,</w:t>
      </w:r>
      <w:r w:rsidR="00913687" w:rsidRPr="00076169">
        <w:rPr>
          <w:lang w:val="es-CO"/>
        </w:rPr>
        <w:t xml:space="preserve"> Universidad Santo Tomás. Bogotá, Colombia. Cra 9 #</w:t>
      </w:r>
      <w:r w:rsidR="00A21088" w:rsidRPr="00076169">
        <w:rPr>
          <w:lang w:val="es-CO"/>
        </w:rPr>
        <w:t xml:space="preserve"> </w:t>
      </w:r>
      <w:r w:rsidR="00913687" w:rsidRPr="00076169">
        <w:rPr>
          <w:lang w:val="es-CO"/>
        </w:rPr>
        <w:t>51-11</w:t>
      </w:r>
      <w:r w:rsidR="00A21088" w:rsidRPr="00076169">
        <w:rPr>
          <w:lang w:val="es-CO"/>
        </w:rPr>
        <w:t>.</w:t>
      </w:r>
    </w:p>
    <w:p w14:paraId="3D72B0B0" w14:textId="75E1741D" w:rsidR="00B57E6F" w:rsidRPr="00076169" w:rsidRDefault="00B57E6F" w:rsidP="00B57E6F">
      <w:pPr>
        <w:pStyle w:val="CETAddress"/>
        <w:rPr>
          <w:lang w:val="es-CO"/>
        </w:rPr>
      </w:pPr>
      <w:r w:rsidRPr="00076169">
        <w:rPr>
          <w:vertAlign w:val="superscript"/>
          <w:lang w:val="es-CO"/>
        </w:rPr>
        <w:t>b</w:t>
      </w:r>
      <w:r w:rsidR="00A21088" w:rsidRPr="00076169">
        <w:rPr>
          <w:lang w:val="es-CO"/>
        </w:rPr>
        <w:t xml:space="preserve">Grupo de Investigación GIATME, Universidad ECCI. Bogotá, Colombia. </w:t>
      </w:r>
      <w:r w:rsidRPr="00076169">
        <w:rPr>
          <w:lang w:val="es-CO"/>
        </w:rPr>
        <w:t xml:space="preserve"> </w:t>
      </w:r>
      <w:r w:rsidR="00A724C6" w:rsidRPr="00076169">
        <w:rPr>
          <w:lang w:val="es-CO"/>
        </w:rPr>
        <w:t>Cl. 51 # 19-12.</w:t>
      </w:r>
    </w:p>
    <w:p w14:paraId="0C70A845" w14:textId="2DD61D96" w:rsidR="00913687" w:rsidRPr="00076169" w:rsidRDefault="00A21088" w:rsidP="00913687">
      <w:pPr>
        <w:pStyle w:val="CETAddress"/>
        <w:rPr>
          <w:lang w:val="es-CO"/>
        </w:rPr>
      </w:pPr>
      <w:r w:rsidRPr="00076169">
        <w:rPr>
          <w:vertAlign w:val="superscript"/>
          <w:lang w:val="es-CO"/>
        </w:rPr>
        <w:t>c</w:t>
      </w:r>
      <w:r w:rsidRPr="00076169">
        <w:rPr>
          <w:lang w:val="es-CO"/>
        </w:rPr>
        <w:t>Grupo de Procesos Sostenibles GPS, Universidad de América. Bogotá, Colombia.</w:t>
      </w:r>
      <w:r w:rsidR="00913687" w:rsidRPr="00076169">
        <w:rPr>
          <w:lang w:val="es-CO"/>
        </w:rPr>
        <w:t xml:space="preserve"> </w:t>
      </w:r>
      <w:r w:rsidRPr="00076169">
        <w:rPr>
          <w:lang w:val="es-CO"/>
        </w:rPr>
        <w:t>Av. Circunvalar # 20-53.</w:t>
      </w:r>
    </w:p>
    <w:p w14:paraId="58F429D8" w14:textId="1ACE0404" w:rsidR="00913687" w:rsidRPr="00B57B36" w:rsidRDefault="00913687" w:rsidP="00913687">
      <w:pPr>
        <w:pStyle w:val="CETAddress"/>
      </w:pPr>
      <w:r w:rsidRPr="00076169">
        <w:rPr>
          <w:vertAlign w:val="superscript"/>
          <w:lang w:val="es-CO"/>
        </w:rPr>
        <w:t>b</w:t>
      </w:r>
      <w:r w:rsidR="00A21088" w:rsidRPr="00076169">
        <w:rPr>
          <w:lang w:val="es-CO"/>
        </w:rPr>
        <w:t xml:space="preserve">Facultad de Ingeniería Ambiental, Fundación Universitaria Agraria de Colombia. </w:t>
      </w:r>
      <w:r w:rsidR="00A21088">
        <w:t>Bogotá, Colombia. Cll 170 #54A-10.</w:t>
      </w:r>
    </w:p>
    <w:p w14:paraId="73F1267A" w14:textId="4BB7375A" w:rsidR="00B57E6F" w:rsidRPr="00B57B36" w:rsidRDefault="00B57E6F" w:rsidP="00B57E6F">
      <w:pPr>
        <w:pStyle w:val="CETemail"/>
      </w:pPr>
      <w:r>
        <w:t xml:space="preserve"> </w:t>
      </w:r>
      <w:hyperlink r:id="rId10" w:history="1">
        <w:r w:rsidR="00A21088" w:rsidRPr="006E366D">
          <w:rPr>
            <w:rStyle w:val="Hipervnculo"/>
          </w:rPr>
          <w:t>miguelromerom@usantotomas.edu.co</w:t>
        </w:r>
      </w:hyperlink>
    </w:p>
    <w:p w14:paraId="2729CBF0" w14:textId="1E960B9B" w:rsidR="00C91421" w:rsidRDefault="00C91421" w:rsidP="00600535">
      <w:pPr>
        <w:pStyle w:val="CETBodytext"/>
        <w:rPr>
          <w:lang w:val="en-GB"/>
        </w:rPr>
      </w:pPr>
      <w:r w:rsidRPr="00C91421">
        <w:rPr>
          <w:lang w:val="en-GB"/>
        </w:rPr>
        <w:t xml:space="preserve">Globally, aviation operations contribute significantly to greenhouse gas (GHG) emissions, primarily due to Jet A-1 fuel, creating sustainability challenges. This is highlighted by an 80% increase in GHG emissions following the economic recovery post-COVID-19. Colombia has the potential to produce approximately 250 million gallons of Sustainable Aviation Fuel (SAF) annually. A life cycle assessment (LCA) was </w:t>
      </w:r>
      <w:r w:rsidR="00984A95">
        <w:rPr>
          <w:lang w:val="en-GB"/>
        </w:rPr>
        <w:t>developed</w:t>
      </w:r>
      <w:r w:rsidRPr="00C91421">
        <w:rPr>
          <w:lang w:val="en-GB"/>
        </w:rPr>
        <w:t xml:space="preserve"> for SAF production in Colombia using SimaPro® software. Three types of residual biomass were selected via a multi-criteria analysis of energy indicators: </w:t>
      </w:r>
      <w:r w:rsidRPr="00FD6CC2">
        <w:rPr>
          <w:i/>
          <w:lang w:val="en-GB"/>
        </w:rPr>
        <w:t>Pinus Patula (</w:t>
      </w:r>
      <w:r>
        <w:rPr>
          <w:lang w:val="en-GB"/>
        </w:rPr>
        <w:t>PP)</w:t>
      </w:r>
      <w:r w:rsidRPr="00C91421">
        <w:rPr>
          <w:lang w:val="en-GB"/>
        </w:rPr>
        <w:t>, Empty Fruit Bunches of Palm</w:t>
      </w:r>
      <w:r w:rsidR="00BB763C">
        <w:rPr>
          <w:lang w:val="en-GB"/>
        </w:rPr>
        <w:t xml:space="preserve"> Oil</w:t>
      </w:r>
      <w:r w:rsidRPr="00C91421">
        <w:rPr>
          <w:lang w:val="en-GB"/>
        </w:rPr>
        <w:t xml:space="preserve"> (EFB</w:t>
      </w:r>
      <w:r w:rsidR="00BB763C">
        <w:rPr>
          <w:lang w:val="en-GB"/>
        </w:rPr>
        <w:t>PO</w:t>
      </w:r>
      <w:r w:rsidRPr="00C91421">
        <w:rPr>
          <w:lang w:val="en-GB"/>
        </w:rPr>
        <w:t>), and Used Cooking Oil (UCO), corresponding to the production routes of Alcohol to Jet (ATJ), gasification with Fischer-</w:t>
      </w:r>
      <w:proofErr w:type="spellStart"/>
      <w:r w:rsidRPr="00C91421">
        <w:rPr>
          <w:lang w:val="en-GB"/>
        </w:rPr>
        <w:t>Tropsch</w:t>
      </w:r>
      <w:proofErr w:type="spellEnd"/>
      <w:r w:rsidRPr="00C91421">
        <w:rPr>
          <w:lang w:val="en-GB"/>
        </w:rPr>
        <w:t xml:space="preserve"> synthesis (FT), and Hydro</w:t>
      </w:r>
      <w:r w:rsidR="00F34E0F">
        <w:rPr>
          <w:lang w:val="en-GB"/>
        </w:rPr>
        <w:t>-</w:t>
      </w:r>
      <w:r w:rsidRPr="00C91421">
        <w:rPr>
          <w:lang w:val="en-GB"/>
        </w:rPr>
        <w:t>processed Esters and Fatty Acids (HEFA). Life cycle inventory (LCI) data were consolidated to quantify potential environmental impacts, identifying critical points in each route using the Environmental Product Declaration (EPD) methodology. The use of hydrogen in the ATJ route accounted for 99.7% of impacts in the Global Warming</w:t>
      </w:r>
      <w:r>
        <w:rPr>
          <w:lang w:val="en-GB"/>
        </w:rPr>
        <w:t xml:space="preserve"> (GW)</w:t>
      </w:r>
      <w:r w:rsidRPr="00C91421">
        <w:rPr>
          <w:lang w:val="en-GB"/>
        </w:rPr>
        <w:t xml:space="preserve"> category, while heat requirements for HEFA contributed 77.13% to Water Scarcity</w:t>
      </w:r>
      <w:r>
        <w:rPr>
          <w:lang w:val="en-GB"/>
        </w:rPr>
        <w:t xml:space="preserve"> (WS)</w:t>
      </w:r>
      <w:r w:rsidRPr="00C91421">
        <w:rPr>
          <w:lang w:val="en-GB"/>
        </w:rPr>
        <w:t>. In the FT route, 99.97% of impacts were associated with Acidification</w:t>
      </w:r>
      <w:r>
        <w:rPr>
          <w:lang w:val="en-GB"/>
        </w:rPr>
        <w:t xml:space="preserve"> (AC)</w:t>
      </w:r>
      <w:r w:rsidRPr="00C91421">
        <w:rPr>
          <w:lang w:val="en-GB"/>
        </w:rPr>
        <w:t xml:space="preserve"> due to hydrogen supply. The LCA illustrates that despite efforts to reduce GHG emissions, strategies to enhance sustainability in SAF production processes in Colombia are </w:t>
      </w:r>
      <w:r>
        <w:rPr>
          <w:lang w:val="en-GB"/>
        </w:rPr>
        <w:t>imperative</w:t>
      </w:r>
      <w:r w:rsidRPr="00C91421">
        <w:rPr>
          <w:lang w:val="en-GB"/>
        </w:rPr>
        <w:t>.</w:t>
      </w:r>
    </w:p>
    <w:p w14:paraId="476B2F2E" w14:textId="52B36035" w:rsidR="00600535" w:rsidRPr="00B57B36" w:rsidRDefault="00600535" w:rsidP="00600535">
      <w:pPr>
        <w:pStyle w:val="CETHeading1"/>
        <w:rPr>
          <w:lang w:val="en-GB"/>
        </w:rPr>
      </w:pPr>
      <w:r w:rsidRPr="00B57B36">
        <w:rPr>
          <w:lang w:val="en-GB"/>
        </w:rPr>
        <w:t>Introduction</w:t>
      </w:r>
    </w:p>
    <w:p w14:paraId="42AA5797" w14:textId="16F4A050" w:rsidR="00A3201E" w:rsidRPr="00A3201E" w:rsidRDefault="00A3201E" w:rsidP="00A3201E">
      <w:pPr>
        <w:pStyle w:val="CETBodytext"/>
        <w:rPr>
          <w:lang w:val="en-GB"/>
        </w:rPr>
      </w:pPr>
      <w:r>
        <w:rPr>
          <w:lang w:val="en-GB"/>
        </w:rPr>
        <w:t>T</w:t>
      </w:r>
      <w:r w:rsidRPr="00A3201E">
        <w:rPr>
          <w:lang w:val="en-GB"/>
        </w:rPr>
        <w:t>he extensive operation of air fleets presents a range of negative implications, including the generation of greenhouse gases (GHG) and significant consumption of fossil fuels,</w:t>
      </w:r>
      <w:r w:rsidR="00AB55C1">
        <w:rPr>
          <w:lang w:val="en-GB"/>
        </w:rPr>
        <w:t xml:space="preserve"> (mostly Jet A-1), </w:t>
      </w:r>
      <w:r w:rsidRPr="00A3201E">
        <w:rPr>
          <w:lang w:val="en-GB"/>
        </w:rPr>
        <w:t xml:space="preserve">thereby exacerbating the detrimental effects of climate </w:t>
      </w:r>
      <w:r w:rsidRPr="00F726D8">
        <w:rPr>
          <w:lang w:val="en-GB"/>
        </w:rPr>
        <w:t>change (</w:t>
      </w:r>
      <w:proofErr w:type="spellStart"/>
      <w:r w:rsidRPr="00F726D8">
        <w:rPr>
          <w:lang w:val="en-GB"/>
        </w:rPr>
        <w:t>Okolie</w:t>
      </w:r>
      <w:proofErr w:type="spellEnd"/>
      <w:r w:rsidRPr="00F726D8">
        <w:rPr>
          <w:lang w:val="en-GB"/>
        </w:rPr>
        <w:t xml:space="preserve"> A. J et al., 2023</w:t>
      </w:r>
      <w:r w:rsidR="00615680">
        <w:rPr>
          <w:lang w:val="en-GB"/>
        </w:rPr>
        <w:t xml:space="preserve"> and</w:t>
      </w:r>
      <w:r w:rsidRPr="00F726D8">
        <w:rPr>
          <w:lang w:val="en-GB"/>
        </w:rPr>
        <w:t xml:space="preserve"> </w:t>
      </w:r>
      <w:r w:rsidR="00D63DD6" w:rsidRPr="00F726D8">
        <w:rPr>
          <w:lang w:val="en-GB"/>
        </w:rPr>
        <w:t>Z. Gao,</w:t>
      </w:r>
      <w:r w:rsidRPr="00F726D8">
        <w:rPr>
          <w:lang w:val="en-GB"/>
        </w:rPr>
        <w:t xml:space="preserve"> et al., 2022).</w:t>
      </w:r>
      <w:r w:rsidRPr="00A3201E">
        <w:rPr>
          <w:lang w:val="en-GB"/>
        </w:rPr>
        <w:t xml:space="preserve"> The recovery of the aviation sector in the aftermath of the COVID-19 pandemic resulted in an 80% increase in GHG emissions relative to previously documented levels, equating to 800 Mt of CO</w:t>
      </w:r>
      <w:r w:rsidRPr="00BE5B1B">
        <w:rPr>
          <w:vertAlign w:val="subscript"/>
          <w:lang w:val="en-GB"/>
        </w:rPr>
        <w:t>2</w:t>
      </w:r>
      <w:r w:rsidRPr="00A3201E">
        <w:rPr>
          <w:lang w:val="en-GB"/>
        </w:rPr>
        <w:t xml:space="preserve"> released into the atmosphere, according to the International Energy </w:t>
      </w:r>
      <w:r w:rsidRPr="00F160AD">
        <w:rPr>
          <w:lang w:val="en-GB"/>
        </w:rPr>
        <w:t>Agency (IEA, 2023).</w:t>
      </w:r>
      <w:r w:rsidRPr="00A3201E">
        <w:rPr>
          <w:lang w:val="en-GB"/>
        </w:rPr>
        <w:t xml:space="preserve"> In recent years, there has been an increasing focus on mitigating these emissions through the production of Sustainable Aviation Fuels (SAF), which have the potential to facilitate the decarbonization of the sector and achieve long-term sustainability targets</w:t>
      </w:r>
      <w:r w:rsidR="006B7B24">
        <w:rPr>
          <w:lang w:val="en-GB"/>
        </w:rPr>
        <w:t xml:space="preserve">; </w:t>
      </w:r>
      <w:r w:rsidRPr="00A3201E">
        <w:rPr>
          <w:lang w:val="en-GB"/>
        </w:rPr>
        <w:t xml:space="preserve">The International Air Transport Association (IATA) anticipates that by 2050, the sector will aim for net-zero carbon emissions, with 65% of the fuels utilized in aircraft derived from sustainable production </w:t>
      </w:r>
      <w:r w:rsidRPr="00F160AD">
        <w:rPr>
          <w:lang w:val="en-GB"/>
        </w:rPr>
        <w:t>processes (IATA, 2022).</w:t>
      </w:r>
    </w:p>
    <w:p w14:paraId="1BEF0D75" w14:textId="77777777" w:rsidR="00A3201E" w:rsidRPr="00A3201E" w:rsidRDefault="00A3201E" w:rsidP="00A3201E">
      <w:pPr>
        <w:pStyle w:val="CETBodytext"/>
        <w:rPr>
          <w:lang w:val="en-GB"/>
        </w:rPr>
      </w:pPr>
    </w:p>
    <w:p w14:paraId="3CE40491" w14:textId="615AF8B3" w:rsidR="00A3201E" w:rsidRPr="00A3201E" w:rsidRDefault="00A3201E" w:rsidP="00A3201E">
      <w:pPr>
        <w:pStyle w:val="CETBodytext"/>
        <w:rPr>
          <w:lang w:val="en-GB"/>
        </w:rPr>
      </w:pPr>
      <w:r w:rsidRPr="00A3201E">
        <w:rPr>
          <w:lang w:val="en-GB"/>
        </w:rPr>
        <w:t xml:space="preserve">Production pathways for SAF that utilize residual biomass as feedstock for biofuel generation are regarded as </w:t>
      </w:r>
      <w:r w:rsidR="00ED21F6">
        <w:rPr>
          <w:lang w:val="en-GB"/>
        </w:rPr>
        <w:t xml:space="preserve">one of </w:t>
      </w:r>
      <w:r w:rsidRPr="00A3201E">
        <w:rPr>
          <w:lang w:val="en-GB"/>
        </w:rPr>
        <w:t xml:space="preserve">the most promising for synthesizing these energy carriers </w:t>
      </w:r>
      <w:r w:rsidR="00031866">
        <w:rPr>
          <w:lang w:val="en-GB"/>
        </w:rPr>
        <w:t>(</w:t>
      </w:r>
      <w:r w:rsidR="00031866" w:rsidRPr="00031866">
        <w:t>Bhatt, A. H</w:t>
      </w:r>
      <w:r w:rsidR="00031866">
        <w:rPr>
          <w:lang w:val="en-GB"/>
        </w:rPr>
        <w:t xml:space="preserve"> et al., 2023). </w:t>
      </w:r>
      <w:r w:rsidRPr="00A3201E">
        <w:rPr>
          <w:lang w:val="en-GB"/>
        </w:rPr>
        <w:t xml:space="preserve">Organic matter rich in sugars, lipids, and lignocellulosic residues holds significant potential for advanced biofuel production, </w:t>
      </w:r>
      <w:r w:rsidR="00B428D9">
        <w:rPr>
          <w:lang w:val="en-GB"/>
        </w:rPr>
        <w:t>consequently promoting</w:t>
      </w:r>
      <w:r w:rsidRPr="00A3201E">
        <w:rPr>
          <w:lang w:val="en-GB"/>
        </w:rPr>
        <w:t xml:space="preserve"> the closure of organic matter generation cycles through principles of circular economy and biorefinery processes </w:t>
      </w:r>
      <w:r w:rsidR="00253109">
        <w:rPr>
          <w:lang w:val="en-GB"/>
        </w:rPr>
        <w:t>(</w:t>
      </w:r>
      <w:proofErr w:type="spellStart"/>
      <w:r w:rsidR="00253109" w:rsidRPr="00007E1D">
        <w:t>Puschnigg</w:t>
      </w:r>
      <w:proofErr w:type="spellEnd"/>
      <w:r w:rsidR="00253109" w:rsidRPr="00007E1D">
        <w:t>, S.</w:t>
      </w:r>
      <w:r w:rsidR="00253109">
        <w:t xml:space="preserve"> et al., 2023)</w:t>
      </w:r>
      <w:r w:rsidR="00207371">
        <w:t>.</w:t>
      </w:r>
      <w:r w:rsidR="00253109">
        <w:t xml:space="preserve"> </w:t>
      </w:r>
      <w:r w:rsidRPr="00A3201E">
        <w:rPr>
          <w:lang w:val="en-GB"/>
        </w:rPr>
        <w:t>However, improper disposal of this biomass can result in undesirable environmental impacts affecting various biotic and abiotic resources, as well as diverse ecosystems.</w:t>
      </w:r>
    </w:p>
    <w:p w14:paraId="38283E35" w14:textId="1676ACA5" w:rsidR="00A3201E" w:rsidRPr="00A3201E" w:rsidRDefault="00A3201E" w:rsidP="00A3201E">
      <w:pPr>
        <w:pStyle w:val="CETBodytext"/>
        <w:rPr>
          <w:lang w:val="en-GB"/>
        </w:rPr>
      </w:pPr>
      <w:r w:rsidRPr="00A3201E">
        <w:rPr>
          <w:lang w:val="en-GB"/>
        </w:rPr>
        <w:lastRenderedPageBreak/>
        <w:t xml:space="preserve">Assessing the sustainability of these energy carriers' production processes is essential, particularly in light of the </w:t>
      </w:r>
      <w:r w:rsidR="00312D6C">
        <w:rPr>
          <w:lang w:val="en-GB"/>
        </w:rPr>
        <w:t>GHG</w:t>
      </w:r>
      <w:r w:rsidRPr="00A3201E">
        <w:rPr>
          <w:lang w:val="en-GB"/>
        </w:rPr>
        <w:t xml:space="preserve"> reduction policies being advanced in the aviation sector. It is crucial that biofuels undergo certification under established standards, including those set forth by the American Society for Testing and Materials (ASTM), as the utilization of SAF is governed by a stringent regulatory framework that mandates adherence to necessary standards prior to implementation in various aviation systems </w:t>
      </w:r>
      <w:r w:rsidRPr="00617AC4">
        <w:rPr>
          <w:lang w:val="en-GB"/>
        </w:rPr>
        <w:t>(</w:t>
      </w:r>
      <w:proofErr w:type="spellStart"/>
      <w:r w:rsidRPr="00617AC4">
        <w:rPr>
          <w:lang w:val="en-GB"/>
        </w:rPr>
        <w:t>Su-ungkavatin</w:t>
      </w:r>
      <w:proofErr w:type="spellEnd"/>
      <w:r w:rsidRPr="00617AC4">
        <w:rPr>
          <w:lang w:val="en-GB"/>
        </w:rPr>
        <w:t xml:space="preserve"> </w:t>
      </w:r>
      <w:r w:rsidR="00AB5C90">
        <w:rPr>
          <w:lang w:val="en-GB"/>
        </w:rPr>
        <w:t xml:space="preserve">P. </w:t>
      </w:r>
      <w:r w:rsidRPr="00617AC4">
        <w:rPr>
          <w:lang w:val="en-GB"/>
        </w:rPr>
        <w:t>et al., 2023).</w:t>
      </w:r>
      <w:r w:rsidRPr="00A3201E">
        <w:rPr>
          <w:lang w:val="en-GB"/>
        </w:rPr>
        <w:t xml:space="preserve"> Furthermore, for SAF production to meet sustainability criteria, it is imperative to integrate life cycle assessment (LCA) principles as a tool for identifying critical points and potential environmental impacts across production routes, thereby enabling the formulation of engineering-based solutions </w:t>
      </w:r>
      <w:r w:rsidRPr="001531C5">
        <w:rPr>
          <w:lang w:val="en-GB"/>
        </w:rPr>
        <w:t>(Rojas-</w:t>
      </w:r>
      <w:proofErr w:type="spellStart"/>
      <w:r w:rsidRPr="001531C5">
        <w:rPr>
          <w:lang w:val="en-GB"/>
        </w:rPr>
        <w:t>Michaga</w:t>
      </w:r>
      <w:proofErr w:type="spellEnd"/>
      <w:r w:rsidRPr="001531C5">
        <w:rPr>
          <w:lang w:val="en-GB"/>
        </w:rPr>
        <w:t xml:space="preserve"> et al., 2023).</w:t>
      </w:r>
      <w:r w:rsidRPr="00A3201E">
        <w:rPr>
          <w:lang w:val="en-GB"/>
        </w:rPr>
        <w:t xml:space="preserve"> A widely adopted methodology in LCA for quantifying environmental impacts is the Environmental Product Declaration (EPD), which categorizes and allows for the percentage distribution of the negative environmental implications associated with the inputs and outputs of production processes </w:t>
      </w:r>
      <w:r w:rsidRPr="00475E2E">
        <w:rPr>
          <w:lang w:val="en-GB"/>
        </w:rPr>
        <w:t>(</w:t>
      </w:r>
      <w:proofErr w:type="spellStart"/>
      <w:r w:rsidR="00A143E2" w:rsidRPr="00A143E2">
        <w:t>Heidari-Maleni</w:t>
      </w:r>
      <w:proofErr w:type="spellEnd"/>
      <w:r w:rsidR="00A143E2" w:rsidRPr="00A143E2">
        <w:t>, A.</w:t>
      </w:r>
      <w:r w:rsidR="00A143E2">
        <w:t>, et al, 2024</w:t>
      </w:r>
      <w:r w:rsidRPr="00475E2E">
        <w:rPr>
          <w:lang w:val="en-GB"/>
        </w:rPr>
        <w:t>).</w:t>
      </w:r>
    </w:p>
    <w:p w14:paraId="7AE746AD" w14:textId="77777777" w:rsidR="00A3201E" w:rsidRPr="00A3201E" w:rsidRDefault="00A3201E" w:rsidP="00A3201E">
      <w:pPr>
        <w:pStyle w:val="CETBodytext"/>
        <w:rPr>
          <w:lang w:val="en-GB"/>
        </w:rPr>
      </w:pPr>
    </w:p>
    <w:p w14:paraId="7EE02A67" w14:textId="32C0ED1F" w:rsidR="005A74E2" w:rsidRDefault="00A3201E" w:rsidP="00A3201E">
      <w:pPr>
        <w:pStyle w:val="CETBodytext"/>
        <w:rPr>
          <w:lang w:val="en-GB"/>
        </w:rPr>
      </w:pPr>
      <w:r w:rsidRPr="00A3201E">
        <w:rPr>
          <w:lang w:val="en-GB"/>
        </w:rPr>
        <w:t xml:space="preserve">Colombia possesses significant potential for SAF production through diverse pathways, as the biomass generated can be processed through various biochemical and thermochemical </w:t>
      </w:r>
      <w:r w:rsidRPr="0087201C">
        <w:rPr>
          <w:lang w:val="en-GB"/>
        </w:rPr>
        <w:t>methods (</w:t>
      </w:r>
      <w:proofErr w:type="spellStart"/>
      <w:r w:rsidRPr="0087201C">
        <w:rPr>
          <w:lang w:val="en-GB"/>
        </w:rPr>
        <w:t>Sagastume</w:t>
      </w:r>
      <w:proofErr w:type="spellEnd"/>
      <w:r w:rsidRPr="0087201C">
        <w:rPr>
          <w:lang w:val="en-GB"/>
        </w:rPr>
        <w:t xml:space="preserve"> Gutiérrez, A et al., 2020).</w:t>
      </w:r>
      <w:r w:rsidR="00C30721">
        <w:rPr>
          <w:lang w:val="en-GB"/>
        </w:rPr>
        <w:t xml:space="preserve"> </w:t>
      </w:r>
      <w:r w:rsidR="00C30721" w:rsidRPr="00C30721">
        <w:rPr>
          <w:lang w:val="en-GB"/>
        </w:rPr>
        <w:t>The scenarios of residual biomass generation, which include agricultural, forestry, food, and urban waste, offer an abundant and diverse source of raw material for SAF production in Colombia</w:t>
      </w:r>
      <w:r w:rsidR="00C16D31">
        <w:rPr>
          <w:lang w:val="en-GB"/>
        </w:rPr>
        <w:t xml:space="preserve"> (</w:t>
      </w:r>
      <w:r w:rsidR="0064273E">
        <w:rPr>
          <w:lang w:val="en-GB"/>
        </w:rPr>
        <w:t>López, M. et al, 2024)</w:t>
      </w:r>
      <w:r w:rsidR="00D10731">
        <w:rPr>
          <w:lang w:val="en-GB"/>
        </w:rPr>
        <w:t>.</w:t>
      </w:r>
      <w:r w:rsidR="00C30721" w:rsidRPr="00C30721">
        <w:rPr>
          <w:lang w:val="en-GB"/>
        </w:rPr>
        <w:t xml:space="preserve"> Similarly, with the publication of the Eighth Circular Economy Report</w:t>
      </w:r>
      <w:r w:rsidR="00D10731">
        <w:rPr>
          <w:lang w:val="en-GB"/>
        </w:rPr>
        <w:t xml:space="preserve"> </w:t>
      </w:r>
      <w:r w:rsidR="00C30721" w:rsidRPr="00C30721">
        <w:rPr>
          <w:lang w:val="en-GB"/>
        </w:rPr>
        <w:t>by the National Administrative Department of Statistics</w:t>
      </w:r>
      <w:r w:rsidR="00D10731">
        <w:rPr>
          <w:lang w:val="en-GB"/>
        </w:rPr>
        <w:t xml:space="preserve"> (</w:t>
      </w:r>
      <w:r w:rsidR="00C30721" w:rsidRPr="00C30721">
        <w:rPr>
          <w:lang w:val="en-GB"/>
        </w:rPr>
        <w:t>DANE</w:t>
      </w:r>
      <w:r w:rsidR="00D10731">
        <w:rPr>
          <w:lang w:val="en-GB"/>
        </w:rPr>
        <w:t>)</w:t>
      </w:r>
      <w:r w:rsidR="00C30721" w:rsidRPr="00C30721">
        <w:rPr>
          <w:lang w:val="en-GB"/>
        </w:rPr>
        <w:t>, material and waste flows for 2023 in Colombia were reported, where the biomass category exceeds 11 million tons of</w:t>
      </w:r>
      <w:r w:rsidR="00C16D31">
        <w:rPr>
          <w:lang w:val="en-GB"/>
        </w:rPr>
        <w:t xml:space="preserve"> </w:t>
      </w:r>
      <w:r w:rsidR="00C16D31" w:rsidRPr="00476711">
        <w:rPr>
          <w:lang w:val="en-GB"/>
        </w:rPr>
        <w:t>waste</w:t>
      </w:r>
      <w:r w:rsidR="00D10731" w:rsidRPr="00476711">
        <w:rPr>
          <w:lang w:val="en-GB"/>
        </w:rPr>
        <w:t xml:space="preserve"> (DANE, 2023)</w:t>
      </w:r>
      <w:r w:rsidR="00C30721" w:rsidRPr="00476711">
        <w:rPr>
          <w:lang w:val="en-GB"/>
        </w:rPr>
        <w:t>.</w:t>
      </w:r>
      <w:r w:rsidR="00C30721" w:rsidRPr="00C30721">
        <w:rPr>
          <w:lang w:val="en-GB"/>
        </w:rPr>
        <w:t xml:space="preserve"> Regarding the generation of used cooking oil, the volume corresponds to </w:t>
      </w:r>
      <w:r w:rsidR="00D10731">
        <w:rPr>
          <w:lang w:val="en-GB"/>
        </w:rPr>
        <w:t>330.000</w:t>
      </w:r>
      <w:r w:rsidR="00C30721" w:rsidRPr="00C30721">
        <w:rPr>
          <w:lang w:val="en-GB"/>
        </w:rPr>
        <w:t xml:space="preserve"> tons/year</w:t>
      </w:r>
      <w:r w:rsidR="00D10731">
        <w:rPr>
          <w:lang w:val="en-GB"/>
        </w:rPr>
        <w:t xml:space="preserve"> (Casas L.C, et al., 2024).</w:t>
      </w:r>
      <w:r w:rsidRPr="00A3201E">
        <w:rPr>
          <w:lang w:val="en-GB"/>
        </w:rPr>
        <w:t xml:space="preserve"> This research examined three specific routes in Colombia for SAF production: Alcohol to Jet (ATJ), </w:t>
      </w:r>
      <w:r w:rsidR="00B9426A">
        <w:rPr>
          <w:lang w:val="en-GB"/>
        </w:rPr>
        <w:t xml:space="preserve">gasification with </w:t>
      </w:r>
      <w:r w:rsidRPr="00A3201E">
        <w:rPr>
          <w:lang w:val="en-GB"/>
        </w:rPr>
        <w:t>Fischer-</w:t>
      </w:r>
      <w:proofErr w:type="spellStart"/>
      <w:r w:rsidRPr="00A3201E">
        <w:rPr>
          <w:lang w:val="en-GB"/>
        </w:rPr>
        <w:t>Tropsch</w:t>
      </w:r>
      <w:proofErr w:type="spellEnd"/>
      <w:r w:rsidRPr="00A3201E">
        <w:rPr>
          <w:lang w:val="en-GB"/>
        </w:rPr>
        <w:t xml:space="preserve"> (FT), and </w:t>
      </w:r>
      <w:proofErr w:type="spellStart"/>
      <w:r w:rsidRPr="00A3201E">
        <w:rPr>
          <w:lang w:val="en-GB"/>
        </w:rPr>
        <w:t>Hydroprocessed</w:t>
      </w:r>
      <w:proofErr w:type="spellEnd"/>
      <w:r w:rsidRPr="00A3201E">
        <w:rPr>
          <w:lang w:val="en-GB"/>
        </w:rPr>
        <w:t xml:space="preserve"> Esters and Fatty Acids (HEFA). These processes have been progressively scaled up in recent years, with pilot and commercial productions </w:t>
      </w:r>
      <w:r w:rsidRPr="0037754F">
        <w:rPr>
          <w:lang w:val="en-GB"/>
        </w:rPr>
        <w:t>implemented (IRENA, 2021).</w:t>
      </w:r>
      <w:r w:rsidRPr="00A3201E">
        <w:rPr>
          <w:lang w:val="en-GB"/>
        </w:rPr>
        <w:t xml:space="preserve"> The study employed</w:t>
      </w:r>
      <w:r w:rsidR="007810AE">
        <w:rPr>
          <w:lang w:val="en-GB"/>
        </w:rPr>
        <w:t xml:space="preserve"> </w:t>
      </w:r>
      <w:r w:rsidRPr="00A3201E">
        <w:rPr>
          <w:lang w:val="en-GB"/>
        </w:rPr>
        <w:t>LCA to evaluate the sustainability of these routes, assessing the potential production of SAF alongside associated environmental impacts, thus providing critical insights for the enhancement of these processes.</w:t>
      </w:r>
    </w:p>
    <w:p w14:paraId="088D6AFD" w14:textId="716C0735" w:rsidR="00165760" w:rsidRDefault="00165760" w:rsidP="00165760">
      <w:pPr>
        <w:pStyle w:val="CETHeading1"/>
      </w:pPr>
      <w:r>
        <w:t>Methodology</w:t>
      </w:r>
    </w:p>
    <w:p w14:paraId="72065520" w14:textId="7C5CCFE2" w:rsidR="005D40B4" w:rsidRDefault="006E77E5" w:rsidP="00600535">
      <w:pPr>
        <w:pStyle w:val="CETBodytext"/>
        <w:rPr>
          <w:lang w:val="en-GB"/>
        </w:rPr>
      </w:pPr>
      <w:r w:rsidRPr="006E77E5">
        <w:rPr>
          <w:lang w:val="en-GB"/>
        </w:rPr>
        <w:t>The developed</w:t>
      </w:r>
      <w:r>
        <w:rPr>
          <w:lang w:val="en-GB"/>
        </w:rPr>
        <w:t xml:space="preserve"> </w:t>
      </w:r>
      <w:r w:rsidRPr="006E77E5">
        <w:rPr>
          <w:lang w:val="en-GB"/>
        </w:rPr>
        <w:t xml:space="preserve">LCA is a gate-to-gate analysis, meaning it focuses on the stages of the production routes for SAF, from the input of </w:t>
      </w:r>
      <w:r w:rsidR="00F7598C">
        <w:rPr>
          <w:lang w:val="en-GB"/>
        </w:rPr>
        <w:t>the biomass selected</w:t>
      </w:r>
      <w:r w:rsidRPr="006E77E5">
        <w:rPr>
          <w:lang w:val="en-GB"/>
        </w:rPr>
        <w:t xml:space="preserve"> to the synthesis of the biofuel. This assessment is oriented toward analyzing the environmental impacts specific to each process </w:t>
      </w:r>
      <w:r w:rsidRPr="00617AC4">
        <w:rPr>
          <w:lang w:val="en-GB"/>
        </w:rPr>
        <w:t>(</w:t>
      </w:r>
      <w:proofErr w:type="spellStart"/>
      <w:r w:rsidR="00617AC4" w:rsidRPr="00617AC4">
        <w:rPr>
          <w:lang w:val="en-GB"/>
        </w:rPr>
        <w:t>Gheewala</w:t>
      </w:r>
      <w:proofErr w:type="spellEnd"/>
      <w:r w:rsidR="00617AC4" w:rsidRPr="00617AC4">
        <w:rPr>
          <w:lang w:val="en-GB"/>
        </w:rPr>
        <w:t>, S. H.</w:t>
      </w:r>
      <w:r w:rsidR="00617AC4">
        <w:rPr>
          <w:lang w:val="en-GB"/>
        </w:rPr>
        <w:t xml:space="preserve">, </w:t>
      </w:r>
      <w:r w:rsidR="00617AC4" w:rsidRPr="00617AC4">
        <w:rPr>
          <w:lang w:val="en-GB"/>
        </w:rPr>
        <w:t>2023).</w:t>
      </w:r>
      <w:r w:rsidRPr="006E77E5">
        <w:rPr>
          <w:lang w:val="en-GB"/>
        </w:rPr>
        <w:t xml:space="preserve"> The functional unit, following the mass allocation in SimaPro®, corresponds to a standard of 10 tons of SAF produced per route (</w:t>
      </w:r>
      <w:r w:rsidR="00F7598C" w:rsidRPr="006E77E5">
        <w:rPr>
          <w:lang w:val="en-GB"/>
        </w:rPr>
        <w:t>ATJ</w:t>
      </w:r>
      <w:r w:rsidR="00F7598C">
        <w:rPr>
          <w:lang w:val="en-GB"/>
        </w:rPr>
        <w:t xml:space="preserve">, FT and </w:t>
      </w:r>
      <w:r w:rsidRPr="006E77E5">
        <w:rPr>
          <w:lang w:val="en-GB"/>
        </w:rPr>
        <w:t>HEFA).</w:t>
      </w:r>
      <w:r w:rsidR="00F7598C">
        <w:rPr>
          <w:lang w:val="en-GB"/>
        </w:rPr>
        <w:t xml:space="preserve"> </w:t>
      </w:r>
      <w:r w:rsidR="00F7598C" w:rsidRPr="00F7598C">
        <w:rPr>
          <w:lang w:val="en-GB"/>
        </w:rPr>
        <w:t>The selection of biomass was based on the use of the M</w:t>
      </w:r>
      <w:r w:rsidR="00C83685">
        <w:rPr>
          <w:lang w:val="en-GB"/>
        </w:rPr>
        <w:t>acbeth</w:t>
      </w:r>
      <w:r w:rsidR="00F7598C" w:rsidRPr="00F7598C">
        <w:rPr>
          <w:lang w:val="en-GB"/>
        </w:rPr>
        <w:t xml:space="preserve"> multicriteria analysis method, which facilitates decision-making through the evaluation of various scenarios or alternatives to identify the most suitable type of biomass for the research</w:t>
      </w:r>
      <w:r w:rsidR="00E56860">
        <w:rPr>
          <w:lang w:val="en-GB"/>
        </w:rPr>
        <w:t xml:space="preserve">, linked to sustainability indicators for biomass in </w:t>
      </w:r>
      <w:r w:rsidR="00E56860" w:rsidRPr="006E1C20">
        <w:rPr>
          <w:lang w:val="en-GB"/>
        </w:rPr>
        <w:t>general</w:t>
      </w:r>
      <w:r w:rsidR="006E1C20" w:rsidRPr="006E1C20">
        <w:rPr>
          <w:lang w:val="en-GB"/>
        </w:rPr>
        <w:t>, reported by</w:t>
      </w:r>
      <w:r w:rsidR="006E1C20">
        <w:rPr>
          <w:lang w:val="en-GB"/>
        </w:rPr>
        <w:t xml:space="preserve"> </w:t>
      </w:r>
      <w:r w:rsidR="00C22F29">
        <w:rPr>
          <w:lang w:val="en-GB"/>
        </w:rPr>
        <w:t>t</w:t>
      </w:r>
      <w:r w:rsidR="006E1C20">
        <w:rPr>
          <w:lang w:val="en-GB"/>
        </w:rPr>
        <w:t xml:space="preserve">he </w:t>
      </w:r>
      <w:r w:rsidR="006E1C20" w:rsidRPr="006E1C20">
        <w:rPr>
          <w:lang w:val="en-GB"/>
        </w:rPr>
        <w:t>G</w:t>
      </w:r>
      <w:r w:rsidR="00C22F29">
        <w:rPr>
          <w:lang w:val="en-GB"/>
        </w:rPr>
        <w:t xml:space="preserve">lobal </w:t>
      </w:r>
      <w:r w:rsidR="006E1C20" w:rsidRPr="006E1C20">
        <w:rPr>
          <w:lang w:val="en-GB"/>
        </w:rPr>
        <w:t>E</w:t>
      </w:r>
      <w:r w:rsidR="00C22F29">
        <w:rPr>
          <w:lang w:val="en-GB"/>
        </w:rPr>
        <w:t xml:space="preserve">nergy </w:t>
      </w:r>
      <w:r w:rsidR="006E1C20" w:rsidRPr="006E1C20">
        <w:rPr>
          <w:lang w:val="en-GB"/>
        </w:rPr>
        <w:t>P</w:t>
      </w:r>
      <w:r w:rsidR="00C22F29">
        <w:rPr>
          <w:lang w:val="en-GB"/>
        </w:rPr>
        <w:t xml:space="preserve">artnership and additional research </w:t>
      </w:r>
      <w:r w:rsidR="00C22F29" w:rsidRPr="003F0429">
        <w:rPr>
          <w:lang w:val="en-GB"/>
        </w:rPr>
        <w:t>(</w:t>
      </w:r>
      <w:r w:rsidR="003F0429" w:rsidRPr="003F0429">
        <w:rPr>
          <w:lang w:val="en-GB"/>
        </w:rPr>
        <w:t>FAO</w:t>
      </w:r>
      <w:r w:rsidR="00C22F29" w:rsidRPr="003F0429">
        <w:rPr>
          <w:lang w:val="en-GB"/>
        </w:rPr>
        <w:t>, 2011</w:t>
      </w:r>
      <w:r w:rsidR="004675C1" w:rsidRPr="003F0429">
        <w:rPr>
          <w:lang w:val="en-GB"/>
        </w:rPr>
        <w:t xml:space="preserve"> and </w:t>
      </w:r>
      <w:r w:rsidR="00C22F29" w:rsidRPr="00617AC4">
        <w:rPr>
          <w:lang w:val="en-GB"/>
        </w:rPr>
        <w:t>Martinez-Hernandez, E., et al, 2021).</w:t>
      </w:r>
      <w:r w:rsidR="00F7598C" w:rsidRPr="00617AC4">
        <w:rPr>
          <w:lang w:val="en-GB"/>
        </w:rPr>
        <w:t xml:space="preserve"> This</w:t>
      </w:r>
      <w:r w:rsidR="00F7598C" w:rsidRPr="00F7598C">
        <w:rPr>
          <w:lang w:val="en-GB"/>
        </w:rPr>
        <w:t xml:space="preserve"> tool enables the integration of numerous factors that may influence environmental, economic, technical, and other studies, ranging from the definition of specific criteria and their weighting to the classification of alternatives and the final selection of the option that aligns with the desired model</w:t>
      </w:r>
      <w:r w:rsidR="00F7598C">
        <w:rPr>
          <w:lang w:val="en-GB"/>
        </w:rPr>
        <w:t xml:space="preserve"> </w:t>
      </w:r>
      <w:r w:rsidR="00F7598C" w:rsidRPr="00F7598C">
        <w:rPr>
          <w:lang w:val="en-GB"/>
        </w:rPr>
        <w:t>(</w:t>
      </w:r>
      <w:proofErr w:type="spellStart"/>
      <w:r w:rsidR="00F7598C" w:rsidRPr="00F7598C">
        <w:rPr>
          <w:lang w:val="en-GB"/>
        </w:rPr>
        <w:t>Juanpera</w:t>
      </w:r>
      <w:proofErr w:type="spellEnd"/>
      <w:r w:rsidR="00F7598C" w:rsidRPr="00F7598C">
        <w:rPr>
          <w:lang w:val="en-GB"/>
        </w:rPr>
        <w:t>, M. et al., 2022</w:t>
      </w:r>
      <w:r w:rsidR="00D77343">
        <w:rPr>
          <w:lang w:val="en-GB"/>
        </w:rPr>
        <w:t>)</w:t>
      </w:r>
      <w:r w:rsidR="009F278D">
        <w:rPr>
          <w:lang w:val="en-GB"/>
        </w:rPr>
        <w:t xml:space="preserve">. </w:t>
      </w:r>
      <w:r w:rsidR="006F66A7" w:rsidRPr="006F66A7">
        <w:rPr>
          <w:lang w:val="en-GB"/>
        </w:rPr>
        <w:t>The M</w:t>
      </w:r>
      <w:r w:rsidR="00C83685">
        <w:rPr>
          <w:lang w:val="en-GB"/>
        </w:rPr>
        <w:t>acbeth</w:t>
      </w:r>
      <w:r w:rsidR="006F66A7" w:rsidRPr="006F66A7">
        <w:rPr>
          <w:lang w:val="en-GB"/>
        </w:rPr>
        <w:t xml:space="preserve"> method is grounded in a numerical scale derived from semantic evaluations of the perceived differences in desirability among elements within a set. This scale provides a cardinal measure that enables precise and quantitative assessment of desirability in an objective manner</w:t>
      </w:r>
      <w:r w:rsidR="005D40B4">
        <w:rPr>
          <w:lang w:val="en-GB"/>
        </w:rPr>
        <w:t xml:space="preserve"> </w:t>
      </w:r>
      <w:r w:rsidR="005D40B4" w:rsidRPr="005D40B4">
        <w:rPr>
          <w:lang w:val="en-GB"/>
        </w:rPr>
        <w:t>(Suárez Palacios, O, 2011)</w:t>
      </w:r>
      <w:r w:rsidR="006F66A7" w:rsidRPr="006F66A7">
        <w:rPr>
          <w:lang w:val="en-GB"/>
        </w:rPr>
        <w:t>, as modeled by Eq</w:t>
      </w:r>
      <w:r w:rsidR="00726803">
        <w:rPr>
          <w:lang w:val="en-GB"/>
        </w:rPr>
        <w:t>.</w:t>
      </w:r>
      <w:r w:rsidR="006F66A7" w:rsidRPr="006F66A7">
        <w:rPr>
          <w:lang w:val="en-GB"/>
        </w:rPr>
        <w:t xml:space="preserve"> </w:t>
      </w:r>
      <w:r w:rsidR="00726803">
        <w:rPr>
          <w:lang w:val="en-GB"/>
        </w:rPr>
        <w:t>(</w:t>
      </w:r>
      <w:r w:rsidR="006F66A7" w:rsidRPr="006F66A7">
        <w:rPr>
          <w:lang w:val="en-GB"/>
        </w:rPr>
        <w:t>1</w:t>
      </w:r>
      <w:r w:rsidR="00726803">
        <w:rPr>
          <w:lang w:val="en-GB"/>
        </w:rPr>
        <w:t>)</w:t>
      </w:r>
      <w:r w:rsidR="006F66A7" w:rsidRPr="006F66A7">
        <w:rPr>
          <w:lang w:val="en-GB"/>
        </w:rPr>
        <w:t>.</w:t>
      </w:r>
    </w:p>
    <w:tbl>
      <w:tblPr>
        <w:tblW w:w="5000" w:type="pct"/>
        <w:tblLook w:val="04A0" w:firstRow="1" w:lastRow="0" w:firstColumn="1" w:lastColumn="0" w:noHBand="0" w:noVBand="1"/>
      </w:tblPr>
      <w:tblGrid>
        <w:gridCol w:w="7984"/>
        <w:gridCol w:w="803"/>
      </w:tblGrid>
      <w:tr w:rsidR="005D40B4" w:rsidRPr="00B57B36" w14:paraId="3D403A06" w14:textId="77777777" w:rsidTr="001B2DDF">
        <w:tc>
          <w:tcPr>
            <w:tcW w:w="7984" w:type="dxa"/>
            <w:shd w:val="clear" w:color="auto" w:fill="auto"/>
            <w:vAlign w:val="center"/>
          </w:tcPr>
          <w:p w14:paraId="5E433C85" w14:textId="4EE4DED8" w:rsidR="005D40B4" w:rsidRPr="00B57B36" w:rsidRDefault="00C403E2" w:rsidP="00C52EF9">
            <w:pPr>
              <w:pStyle w:val="CETEquation"/>
            </w:pPr>
            <w:r w:rsidRPr="00C403E2">
              <w:rPr>
                <w:noProof/>
              </w:rPr>
              <w:drawing>
                <wp:inline distT="0" distB="0" distL="0" distR="0" wp14:anchorId="3D45EDF8" wp14:editId="61657E5D">
                  <wp:extent cx="977768" cy="4038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020986" cy="421711"/>
                          </a:xfrm>
                          <a:prstGeom prst="rect">
                            <a:avLst/>
                          </a:prstGeom>
                        </pic:spPr>
                      </pic:pic>
                    </a:graphicData>
                  </a:graphic>
                </wp:inline>
              </w:drawing>
            </w:r>
          </w:p>
        </w:tc>
        <w:tc>
          <w:tcPr>
            <w:tcW w:w="803" w:type="dxa"/>
            <w:shd w:val="clear" w:color="auto" w:fill="auto"/>
            <w:vAlign w:val="center"/>
          </w:tcPr>
          <w:p w14:paraId="547590C8" w14:textId="77777777" w:rsidR="005D40B4" w:rsidRPr="00B57B36" w:rsidRDefault="005D40B4" w:rsidP="008571D3">
            <w:pPr>
              <w:pStyle w:val="CETEquation"/>
              <w:jc w:val="right"/>
            </w:pPr>
            <w:r w:rsidRPr="00B57B36">
              <w:t>(1)</w:t>
            </w:r>
          </w:p>
        </w:tc>
      </w:tr>
    </w:tbl>
    <w:p w14:paraId="31150E7E" w14:textId="4ECAD496" w:rsidR="005D40B4" w:rsidRDefault="000476D0" w:rsidP="00600535">
      <w:pPr>
        <w:pStyle w:val="CETBodytext"/>
        <w:rPr>
          <w:lang w:val="en-GB"/>
        </w:rPr>
      </w:pPr>
      <m:oMath>
        <m:sSub>
          <m:sSubPr>
            <m:ctrlPr>
              <w:rPr>
                <w:rFonts w:ascii="Cambria Math" w:hAnsi="Cambria Math"/>
                <w:i/>
                <w:szCs w:val="24"/>
              </w:rPr>
            </m:ctrlPr>
          </m:sSubPr>
          <m:e>
            <m:r>
              <w:rPr>
                <w:rFonts w:ascii="Cambria Math" w:hAnsi="Cambria Math"/>
                <w:szCs w:val="24"/>
              </w:rPr>
              <m:t>U</m:t>
            </m:r>
          </m:e>
          <m:sub>
            <m:r>
              <w:rPr>
                <w:rFonts w:ascii="Cambria Math" w:hAnsi="Cambria Math"/>
                <w:szCs w:val="24"/>
              </w:rPr>
              <m:t>i</m:t>
            </m:r>
          </m:sub>
        </m:sSub>
      </m:oMath>
      <w:r w:rsidR="001B2DDF" w:rsidRPr="001B2DDF">
        <w:rPr>
          <w:lang w:val="en-GB"/>
        </w:rPr>
        <w:t xml:space="preserve"> corresponds to the utility value of option or alternativ</w:t>
      </w:r>
      <w:r w:rsidR="00726803">
        <w:rPr>
          <w:lang w:val="en-GB"/>
        </w:rPr>
        <w:t xml:space="preserve">e </w:t>
      </w:r>
      <w:r w:rsidR="00726803" w:rsidRPr="00726803">
        <w:rPr>
          <w:rFonts w:ascii="Cambria Math" w:hAnsi="Cambria Math" w:cs="Cambria Math"/>
          <w:szCs w:val="24"/>
        </w:rPr>
        <w:t>𝑖</w:t>
      </w:r>
      <w:r w:rsidR="001B2DDF" w:rsidRPr="001B2DDF">
        <w:rPr>
          <w:lang w:val="en-GB"/>
        </w:rPr>
        <w:t xml:space="preserve">, </w:t>
      </w:r>
      <m:oMath>
        <m:sSub>
          <m:sSubPr>
            <m:ctrlPr>
              <w:rPr>
                <w:rFonts w:ascii="Cambria Math" w:hAnsi="Cambria Math"/>
                <w:i/>
                <w:szCs w:val="24"/>
              </w:rPr>
            </m:ctrlPr>
          </m:sSubPr>
          <m:e>
            <m:r>
              <w:rPr>
                <w:rFonts w:ascii="Cambria Math" w:hAnsi="Cambria Math"/>
                <w:szCs w:val="24"/>
              </w:rPr>
              <m:t>w</m:t>
            </m:r>
          </m:e>
          <m:sub>
            <m:r>
              <w:rPr>
                <w:rFonts w:ascii="Cambria Math" w:hAnsi="Cambria Math"/>
                <w:szCs w:val="24"/>
              </w:rPr>
              <m:t>j</m:t>
            </m:r>
          </m:sub>
        </m:sSub>
      </m:oMath>
      <w:r w:rsidR="00726803">
        <w:rPr>
          <w:szCs w:val="24"/>
        </w:rPr>
        <w:t xml:space="preserve"> </w:t>
      </w:r>
      <w:r w:rsidR="001B2DDF" w:rsidRPr="001B2DDF">
        <w:rPr>
          <w:lang w:val="en-GB"/>
        </w:rPr>
        <w:t>fulfill</w:t>
      </w:r>
      <w:r w:rsidR="00726803">
        <w:rPr>
          <w:lang w:val="en-GB"/>
        </w:rPr>
        <w:t>s</w:t>
      </w:r>
      <w:r w:rsidR="001B2DDF" w:rsidRPr="001B2DDF">
        <w:rPr>
          <w:lang w:val="en-GB"/>
        </w:rPr>
        <w:t xml:space="preserve"> the weight of</w:t>
      </w:r>
      <w:r w:rsidR="00726803">
        <w:rPr>
          <w:lang w:val="en-GB"/>
        </w:rPr>
        <w:t xml:space="preserve"> </w:t>
      </w:r>
      <w:r w:rsidR="00726803" w:rsidRPr="00726803">
        <w:rPr>
          <w:rFonts w:ascii="Cambria Math" w:hAnsi="Cambria Math" w:cs="Cambria Math"/>
          <w:szCs w:val="24"/>
        </w:rPr>
        <w:t>𝑛</w:t>
      </w:r>
      <w:r w:rsidR="00726803">
        <w:rPr>
          <w:lang w:val="en-GB"/>
        </w:rPr>
        <w:t xml:space="preserve"> </w:t>
      </w:r>
      <w:r w:rsidR="001B2DDF" w:rsidRPr="001B2DDF">
        <w:rPr>
          <w:lang w:val="en-GB"/>
        </w:rPr>
        <w:t>criteria</w:t>
      </w:r>
      <w:r w:rsidR="00726803">
        <w:rPr>
          <w:lang w:val="en-GB"/>
        </w:rPr>
        <w:t xml:space="preserve"> </w:t>
      </w:r>
      <w:r w:rsidR="00726803" w:rsidRPr="00726803">
        <w:rPr>
          <w:rFonts w:ascii="Cambria Math" w:hAnsi="Cambria Math"/>
          <w:i/>
          <w:iCs/>
          <w:szCs w:val="24"/>
        </w:rPr>
        <w:t>j</w:t>
      </w:r>
      <w:r w:rsidR="001B2DDF" w:rsidRPr="001B2DDF">
        <w:rPr>
          <w:lang w:val="en-GB"/>
        </w:rPr>
        <w:t xml:space="preserve"> considered in the multicriteria analysis. The function </w:t>
      </w:r>
      <m:oMath>
        <m:sSub>
          <m:sSubPr>
            <m:ctrlPr>
              <w:rPr>
                <w:rFonts w:ascii="Cambria Math" w:hAnsi="Cambria Math"/>
                <w:i/>
                <w:szCs w:val="24"/>
              </w:rPr>
            </m:ctrlPr>
          </m:sSubPr>
          <m:e>
            <m:r>
              <w:rPr>
                <w:rFonts w:ascii="Cambria Math" w:hAnsi="Cambria Math"/>
                <w:szCs w:val="24"/>
              </w:rPr>
              <m:t>f</m:t>
            </m:r>
          </m:e>
          <m:sub>
            <m:r>
              <w:rPr>
                <w:rFonts w:ascii="Cambria Math" w:hAnsi="Cambria Math"/>
                <w:szCs w:val="24"/>
              </w:rPr>
              <m:t>j</m:t>
            </m:r>
          </m:sub>
        </m:sSub>
      </m:oMath>
      <w:r w:rsidR="00C403E2">
        <w:rPr>
          <w:lang w:val="en-GB"/>
        </w:rPr>
        <w:t>(</w:t>
      </w:r>
      <m:oMath>
        <m:sSub>
          <m:sSubPr>
            <m:ctrlPr>
              <w:rPr>
                <w:rFonts w:ascii="Cambria Math" w:hAnsi="Cambria Math"/>
                <w:i/>
                <w:szCs w:val="24"/>
              </w:rPr>
            </m:ctrlPr>
          </m:sSubPr>
          <m:e>
            <m:r>
              <w:rPr>
                <w:rFonts w:ascii="Cambria Math" w:hAnsi="Cambria Math"/>
                <w:szCs w:val="24"/>
              </w:rPr>
              <m:t>C</m:t>
            </m:r>
          </m:e>
          <m:sub>
            <m:r>
              <w:rPr>
                <w:rFonts w:ascii="Cambria Math" w:hAnsi="Cambria Math"/>
                <w:szCs w:val="24"/>
              </w:rPr>
              <m:t>j</m:t>
            </m:r>
          </m:sub>
        </m:sSub>
        <m:r>
          <w:rPr>
            <w:rFonts w:ascii="Cambria Math" w:hAnsi="Cambria Math"/>
            <w:szCs w:val="24"/>
          </w:rPr>
          <m:t>)</m:t>
        </m:r>
      </m:oMath>
      <w:r w:rsidR="001B2DDF" w:rsidRPr="001B2DDF">
        <w:rPr>
          <w:lang w:val="en-GB"/>
        </w:rPr>
        <w:t xml:space="preserve"> estimate</w:t>
      </w:r>
      <w:r w:rsidR="00D12794">
        <w:rPr>
          <w:lang w:val="en-GB"/>
        </w:rPr>
        <w:t>s</w:t>
      </w:r>
      <w:r w:rsidR="001B2DDF" w:rsidRPr="001B2DDF">
        <w:rPr>
          <w:lang w:val="en-GB"/>
        </w:rPr>
        <w:t xml:space="preserve"> the preference for each criterion </w:t>
      </w:r>
      <w:r w:rsidR="00726803" w:rsidRPr="00726803">
        <w:rPr>
          <w:rFonts w:ascii="Cambria Math" w:hAnsi="Cambria Math"/>
          <w:i/>
          <w:iCs/>
          <w:szCs w:val="24"/>
        </w:rPr>
        <w:t>j</w:t>
      </w:r>
      <w:r w:rsidR="001B2DDF" w:rsidRPr="001B2DDF">
        <w:rPr>
          <w:lang w:val="en-GB"/>
        </w:rPr>
        <w:t>.</w:t>
      </w:r>
      <w:r w:rsidR="009D4C14">
        <w:rPr>
          <w:lang w:val="en-GB"/>
        </w:rPr>
        <w:t xml:space="preserve"> </w:t>
      </w:r>
      <w:r w:rsidR="00D11F05" w:rsidRPr="00D11F05">
        <w:rPr>
          <w:lang w:val="en-GB"/>
        </w:rPr>
        <w:t>A difference scale, ranging from "insignificant" (valued at 2) to "very extreme" (valued at 20), is employed to quantify the criteria</w:t>
      </w:r>
      <w:r w:rsidR="000B077C">
        <w:rPr>
          <w:lang w:val="en-GB"/>
        </w:rPr>
        <w:t xml:space="preserve"> </w:t>
      </w:r>
      <m:oMath>
        <m:r>
          <w:rPr>
            <w:rFonts w:ascii="Cambria Math" w:hAnsi="Cambria Math"/>
            <w:lang w:val="en-GB"/>
          </w:rPr>
          <m:t>(</m:t>
        </m:r>
        <m:sSub>
          <m:sSubPr>
            <m:ctrlPr>
              <w:rPr>
                <w:rFonts w:ascii="Cambria Math" w:hAnsi="Cambria Math"/>
                <w:i/>
                <w:szCs w:val="24"/>
              </w:rPr>
            </m:ctrlPr>
          </m:sSubPr>
          <m:e>
            <m:r>
              <w:rPr>
                <w:rFonts w:ascii="Cambria Math" w:hAnsi="Cambria Math"/>
                <w:szCs w:val="24"/>
              </w:rPr>
              <m:t>w</m:t>
            </m:r>
          </m:e>
          <m:sub>
            <m:r>
              <w:rPr>
                <w:rFonts w:ascii="Cambria Math" w:hAnsi="Cambria Math"/>
                <w:szCs w:val="24"/>
              </w:rPr>
              <m:t>j</m:t>
            </m:r>
          </m:sub>
        </m:sSub>
        <m:r>
          <w:rPr>
            <w:rFonts w:ascii="Cambria Math" w:hAnsi="Cambria Math"/>
            <w:szCs w:val="24"/>
          </w:rPr>
          <m:t>)</m:t>
        </m:r>
      </m:oMath>
      <w:r w:rsidR="00D11F05" w:rsidRPr="00D11F05">
        <w:rPr>
          <w:lang w:val="en-GB"/>
        </w:rPr>
        <w:t xml:space="preserve">, as shown in </w:t>
      </w:r>
      <w:r w:rsidR="00104426">
        <w:rPr>
          <w:lang w:val="en-GB"/>
        </w:rPr>
        <w:t>Eq.</w:t>
      </w:r>
      <w:r w:rsidR="00D11F05" w:rsidRPr="00D11F05">
        <w:rPr>
          <w:lang w:val="en-GB"/>
        </w:rPr>
        <w:t xml:space="preserve"> </w:t>
      </w:r>
      <w:r w:rsidR="00104426">
        <w:rPr>
          <w:lang w:val="en-GB"/>
        </w:rPr>
        <w:t>(</w:t>
      </w:r>
      <w:r w:rsidR="00D11F05" w:rsidRPr="00D11F05">
        <w:rPr>
          <w:lang w:val="en-GB"/>
        </w:rPr>
        <w:t>2</w:t>
      </w:r>
      <w:r w:rsidR="00104426">
        <w:rPr>
          <w:lang w:val="en-GB"/>
        </w:rPr>
        <w:t>)</w:t>
      </w:r>
      <w:r w:rsidR="00D11F05" w:rsidRPr="00D11F05">
        <w:rPr>
          <w:lang w:val="en-GB"/>
        </w:rPr>
        <w:t>.</w:t>
      </w:r>
      <w:r w:rsidR="00104426">
        <w:rPr>
          <w:lang w:val="en-GB"/>
        </w:rPr>
        <w:t xml:space="preserve"> </w:t>
      </w:r>
      <w:r w:rsidR="00104426" w:rsidRPr="00104426">
        <w:rPr>
          <w:lang w:val="en-GB"/>
        </w:rPr>
        <w:t>The sustainability of the SAF production routes examined in this research was assessed using SimaPro®, following the Environmental Product Declaration (EPD) methodology. Table 1 presents the impact categories and their corresponding units.</w:t>
      </w:r>
      <w:r w:rsidR="00104426">
        <w:rPr>
          <w:lang w:val="en-GB"/>
        </w:rPr>
        <w:t xml:space="preserve"> </w:t>
      </w:r>
      <w:r w:rsidR="00104426" w:rsidRPr="00104426">
        <w:rPr>
          <w:lang w:val="en-GB"/>
        </w:rPr>
        <w:t>As a result of the SimaPro® assessment, an environmental profile was generated for each SAF production pathway, reflecting the distribution of environmental impacts by category. Consequently, a detailed analysis of the information was conducted, highlighting the diverse implications of each pathway through a comparison of the three evaluated routes. Additionally, recommendations were formulated to improve the sustainability of the production processes for this type of biofuel.</w:t>
      </w:r>
    </w:p>
    <w:tbl>
      <w:tblPr>
        <w:tblW w:w="5000" w:type="pct"/>
        <w:tblLook w:val="04A0" w:firstRow="1" w:lastRow="0" w:firstColumn="1" w:lastColumn="0" w:noHBand="0" w:noVBand="1"/>
      </w:tblPr>
      <w:tblGrid>
        <w:gridCol w:w="7984"/>
        <w:gridCol w:w="803"/>
      </w:tblGrid>
      <w:tr w:rsidR="00104426" w:rsidRPr="00B57B36" w14:paraId="72AE61EB" w14:textId="77777777" w:rsidTr="007D39E5">
        <w:tc>
          <w:tcPr>
            <w:tcW w:w="7984" w:type="dxa"/>
            <w:shd w:val="clear" w:color="auto" w:fill="auto"/>
            <w:vAlign w:val="center"/>
          </w:tcPr>
          <w:p w14:paraId="45EA2121" w14:textId="4890FDFF" w:rsidR="00104426" w:rsidRPr="00B57B36" w:rsidRDefault="00104426" w:rsidP="00C52EF9">
            <w:pPr>
              <w:pStyle w:val="CETEquation"/>
            </w:pPr>
            <w:r w:rsidRPr="00104426">
              <w:rPr>
                <w:noProof/>
              </w:rPr>
              <w:lastRenderedPageBreak/>
              <w:drawing>
                <wp:inline distT="0" distB="0" distL="0" distR="0" wp14:anchorId="7D6CE9D0" wp14:editId="02BC0E65">
                  <wp:extent cx="1431005" cy="6096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28628" cy="693786"/>
                          </a:xfrm>
                          <a:prstGeom prst="rect">
                            <a:avLst/>
                          </a:prstGeom>
                        </pic:spPr>
                      </pic:pic>
                    </a:graphicData>
                  </a:graphic>
                </wp:inline>
              </w:drawing>
            </w:r>
          </w:p>
        </w:tc>
        <w:tc>
          <w:tcPr>
            <w:tcW w:w="803" w:type="dxa"/>
            <w:shd w:val="clear" w:color="auto" w:fill="auto"/>
            <w:vAlign w:val="center"/>
          </w:tcPr>
          <w:p w14:paraId="4205C6F4" w14:textId="7E4E089B" w:rsidR="00104426" w:rsidRPr="00B57B36" w:rsidRDefault="00104426" w:rsidP="007D39E5">
            <w:pPr>
              <w:pStyle w:val="CETEquation"/>
              <w:jc w:val="right"/>
            </w:pPr>
            <w:r w:rsidRPr="00B57B36">
              <w:t>(</w:t>
            </w:r>
            <w:r>
              <w:t>2</w:t>
            </w:r>
            <w:r w:rsidRPr="00B57B36">
              <w:t>)</w:t>
            </w:r>
          </w:p>
        </w:tc>
      </w:tr>
    </w:tbl>
    <w:p w14:paraId="2484B274" w14:textId="3EB60441" w:rsidR="00F90FED" w:rsidRPr="00B57B36" w:rsidRDefault="00F90FED" w:rsidP="00F90FED">
      <w:pPr>
        <w:pStyle w:val="CETTabletitle"/>
      </w:pPr>
      <w:r w:rsidRPr="00B57B36">
        <w:t xml:space="preserve">Table 1: </w:t>
      </w:r>
      <w:r w:rsidR="0086550E" w:rsidRPr="0086550E">
        <w:t>Consolidation of environmental impact measurement categories</w:t>
      </w:r>
      <w:r w:rsidR="0086550E">
        <w:t xml:space="preserve"> (EIMC)</w:t>
      </w:r>
      <w:r w:rsidR="0086550E" w:rsidRPr="0086550E">
        <w:t xml:space="preserve"> of the EPD methodology.</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68"/>
        <w:gridCol w:w="3828"/>
      </w:tblGrid>
      <w:tr w:rsidR="00962530" w:rsidRPr="00B57B36" w14:paraId="16EFB2C3" w14:textId="77777777" w:rsidTr="00962530">
        <w:tc>
          <w:tcPr>
            <w:tcW w:w="2268" w:type="dxa"/>
            <w:tcBorders>
              <w:top w:val="single" w:sz="12" w:space="0" w:color="008000"/>
              <w:bottom w:val="single" w:sz="6" w:space="0" w:color="008000"/>
            </w:tcBorders>
            <w:shd w:val="clear" w:color="auto" w:fill="FFFFFF"/>
            <w:vAlign w:val="center"/>
          </w:tcPr>
          <w:p w14:paraId="11BED3DA" w14:textId="03708621" w:rsidR="00962530" w:rsidRPr="00B57B36" w:rsidRDefault="00962530" w:rsidP="0086550E">
            <w:pPr>
              <w:pStyle w:val="CETBodytext"/>
              <w:jc w:val="center"/>
              <w:rPr>
                <w:lang w:val="en-GB"/>
              </w:rPr>
            </w:pPr>
            <w:r>
              <w:rPr>
                <w:lang w:val="en-GB"/>
              </w:rPr>
              <w:t>EIMC</w:t>
            </w:r>
          </w:p>
        </w:tc>
        <w:tc>
          <w:tcPr>
            <w:tcW w:w="3828" w:type="dxa"/>
            <w:tcBorders>
              <w:top w:val="single" w:sz="12" w:space="0" w:color="008000"/>
              <w:bottom w:val="single" w:sz="6" w:space="0" w:color="008000"/>
            </w:tcBorders>
            <w:shd w:val="clear" w:color="auto" w:fill="FFFFFF"/>
            <w:vAlign w:val="center"/>
          </w:tcPr>
          <w:p w14:paraId="60D1FF27" w14:textId="20FF61C2" w:rsidR="00962530" w:rsidRPr="00B57B36" w:rsidRDefault="00962530" w:rsidP="0086550E">
            <w:pPr>
              <w:pStyle w:val="CETBodytext"/>
              <w:jc w:val="center"/>
              <w:rPr>
                <w:lang w:val="en-GB"/>
              </w:rPr>
            </w:pPr>
            <w:r>
              <w:rPr>
                <w:lang w:val="en-GB"/>
              </w:rPr>
              <w:t>Unit of measurement</w:t>
            </w:r>
          </w:p>
        </w:tc>
      </w:tr>
      <w:tr w:rsidR="00962530" w:rsidRPr="00B57B36" w14:paraId="0308EC67" w14:textId="77777777" w:rsidTr="00962530">
        <w:tc>
          <w:tcPr>
            <w:tcW w:w="2268" w:type="dxa"/>
            <w:shd w:val="clear" w:color="auto" w:fill="FFFFFF"/>
            <w:vAlign w:val="center"/>
          </w:tcPr>
          <w:p w14:paraId="04A99C50" w14:textId="3E484ABF" w:rsidR="00962530" w:rsidRPr="00B57B36" w:rsidRDefault="00962530" w:rsidP="0086550E">
            <w:pPr>
              <w:pStyle w:val="CETBodytext"/>
              <w:jc w:val="center"/>
              <w:rPr>
                <w:lang w:val="en-GB"/>
              </w:rPr>
            </w:pPr>
            <w:r>
              <w:rPr>
                <w:lang w:val="en-GB"/>
              </w:rPr>
              <w:t>Acidification</w:t>
            </w:r>
          </w:p>
        </w:tc>
        <w:tc>
          <w:tcPr>
            <w:tcW w:w="3828" w:type="dxa"/>
            <w:shd w:val="clear" w:color="auto" w:fill="FFFFFF"/>
            <w:vAlign w:val="center"/>
          </w:tcPr>
          <w:p w14:paraId="79DE68C0" w14:textId="2647DA28" w:rsidR="00962530" w:rsidRPr="00B57B36" w:rsidRDefault="002D1DD2" w:rsidP="0086550E">
            <w:pPr>
              <w:pStyle w:val="CETBodytext"/>
              <w:jc w:val="center"/>
              <w:rPr>
                <w:lang w:val="en-GB"/>
              </w:rPr>
            </w:pPr>
            <w:r>
              <w:rPr>
                <w:lang w:val="en-GB"/>
              </w:rPr>
              <w:t>kg SO</w:t>
            </w:r>
            <w:r w:rsidRPr="002D1DD2">
              <w:rPr>
                <w:vertAlign w:val="subscript"/>
                <w:lang w:val="en-GB"/>
              </w:rPr>
              <w:t>2</w:t>
            </w:r>
            <w:r>
              <w:rPr>
                <w:lang w:val="en-GB"/>
              </w:rPr>
              <w:t xml:space="preserve"> </w:t>
            </w:r>
            <w:proofErr w:type="spellStart"/>
            <w:r>
              <w:rPr>
                <w:lang w:val="en-GB"/>
              </w:rPr>
              <w:t>eq</w:t>
            </w:r>
            <w:proofErr w:type="spellEnd"/>
          </w:p>
        </w:tc>
      </w:tr>
      <w:tr w:rsidR="00962530" w:rsidRPr="00B57B36" w14:paraId="4291B0A2" w14:textId="77777777" w:rsidTr="00962530">
        <w:tc>
          <w:tcPr>
            <w:tcW w:w="2268" w:type="dxa"/>
            <w:shd w:val="clear" w:color="auto" w:fill="FFFFFF"/>
            <w:vAlign w:val="center"/>
          </w:tcPr>
          <w:p w14:paraId="0861E2B8" w14:textId="16DCA30F" w:rsidR="00962530" w:rsidRPr="00B57B36" w:rsidRDefault="00962530" w:rsidP="0086550E">
            <w:pPr>
              <w:pStyle w:val="CETBodytext"/>
              <w:ind w:right="-1"/>
              <w:jc w:val="center"/>
              <w:rPr>
                <w:rFonts w:cs="Arial"/>
                <w:szCs w:val="18"/>
                <w:lang w:val="en-GB"/>
              </w:rPr>
            </w:pPr>
            <w:r>
              <w:rPr>
                <w:rFonts w:cs="Arial"/>
                <w:szCs w:val="18"/>
                <w:lang w:val="en-GB"/>
              </w:rPr>
              <w:t>Abiotic depletion, fossil fuels</w:t>
            </w:r>
          </w:p>
        </w:tc>
        <w:tc>
          <w:tcPr>
            <w:tcW w:w="3828" w:type="dxa"/>
            <w:shd w:val="clear" w:color="auto" w:fill="FFFFFF"/>
            <w:vAlign w:val="center"/>
          </w:tcPr>
          <w:p w14:paraId="2E436245" w14:textId="3F21651B" w:rsidR="00962530" w:rsidRPr="00B57B36" w:rsidRDefault="002D1DD2" w:rsidP="0086550E">
            <w:pPr>
              <w:pStyle w:val="CETBodytext"/>
              <w:ind w:right="-1"/>
              <w:jc w:val="center"/>
              <w:rPr>
                <w:rFonts w:cs="Arial"/>
                <w:szCs w:val="18"/>
                <w:lang w:val="en-GB"/>
              </w:rPr>
            </w:pPr>
            <w:r>
              <w:rPr>
                <w:rFonts w:cs="Arial"/>
                <w:szCs w:val="18"/>
                <w:lang w:val="en-GB"/>
              </w:rPr>
              <w:t>MJ</w:t>
            </w:r>
          </w:p>
        </w:tc>
      </w:tr>
      <w:tr w:rsidR="00962530" w:rsidRPr="00B57B36" w14:paraId="6146DC12" w14:textId="77777777" w:rsidTr="00962530">
        <w:tc>
          <w:tcPr>
            <w:tcW w:w="2268" w:type="dxa"/>
            <w:shd w:val="clear" w:color="auto" w:fill="FFFFFF"/>
            <w:vAlign w:val="center"/>
          </w:tcPr>
          <w:p w14:paraId="450E9830" w14:textId="4F114F68" w:rsidR="00962530" w:rsidRDefault="00962530" w:rsidP="00962530">
            <w:pPr>
              <w:pStyle w:val="CETBodytext"/>
              <w:ind w:right="-1"/>
              <w:jc w:val="center"/>
              <w:rPr>
                <w:rFonts w:cs="Arial"/>
                <w:szCs w:val="18"/>
                <w:lang w:val="en-GB"/>
              </w:rPr>
            </w:pPr>
            <w:r>
              <w:rPr>
                <w:rFonts w:cs="Arial"/>
                <w:szCs w:val="18"/>
                <w:lang w:val="en-GB"/>
              </w:rPr>
              <w:t>Eutrophication</w:t>
            </w:r>
          </w:p>
        </w:tc>
        <w:tc>
          <w:tcPr>
            <w:tcW w:w="3828" w:type="dxa"/>
            <w:shd w:val="clear" w:color="auto" w:fill="FFFFFF"/>
            <w:vAlign w:val="center"/>
          </w:tcPr>
          <w:p w14:paraId="5BF143A6" w14:textId="7CCD16C7" w:rsidR="00962530" w:rsidRPr="00B57B36" w:rsidRDefault="002D1DD2" w:rsidP="00962530">
            <w:pPr>
              <w:pStyle w:val="CETBodytext"/>
              <w:ind w:right="-1"/>
              <w:jc w:val="center"/>
              <w:rPr>
                <w:rFonts w:cs="Arial"/>
                <w:szCs w:val="18"/>
                <w:lang w:val="en-GB"/>
              </w:rPr>
            </w:pPr>
            <w:r>
              <w:rPr>
                <w:rFonts w:cs="Arial"/>
                <w:szCs w:val="18"/>
                <w:lang w:val="en-GB"/>
              </w:rPr>
              <w:t>kg PO</w:t>
            </w:r>
            <w:r w:rsidRPr="002D1DD2">
              <w:rPr>
                <w:rFonts w:cs="Arial"/>
                <w:szCs w:val="18"/>
                <w:vertAlign w:val="subscript"/>
                <w:lang w:val="en-GB"/>
              </w:rPr>
              <w:t>4</w:t>
            </w:r>
          </w:p>
        </w:tc>
      </w:tr>
      <w:tr w:rsidR="00962530" w:rsidRPr="00B57B36" w14:paraId="163D044A" w14:textId="77777777" w:rsidTr="00962530">
        <w:tc>
          <w:tcPr>
            <w:tcW w:w="2268" w:type="dxa"/>
            <w:shd w:val="clear" w:color="auto" w:fill="FFFFFF"/>
            <w:vAlign w:val="center"/>
          </w:tcPr>
          <w:p w14:paraId="50D53412" w14:textId="6620265D" w:rsidR="00962530" w:rsidRDefault="00962530" w:rsidP="00962530">
            <w:pPr>
              <w:pStyle w:val="CETBodytext"/>
              <w:ind w:right="-1"/>
              <w:jc w:val="center"/>
              <w:rPr>
                <w:rFonts w:cs="Arial"/>
                <w:szCs w:val="18"/>
                <w:lang w:val="en-GB"/>
              </w:rPr>
            </w:pPr>
            <w:r>
              <w:rPr>
                <w:rFonts w:cs="Arial"/>
                <w:szCs w:val="18"/>
                <w:lang w:val="en-GB"/>
              </w:rPr>
              <w:t>Global warming</w:t>
            </w:r>
          </w:p>
        </w:tc>
        <w:tc>
          <w:tcPr>
            <w:tcW w:w="3828" w:type="dxa"/>
            <w:shd w:val="clear" w:color="auto" w:fill="FFFFFF"/>
            <w:vAlign w:val="center"/>
          </w:tcPr>
          <w:p w14:paraId="1E3B7194" w14:textId="654DD938" w:rsidR="00962530" w:rsidRPr="00B57B36" w:rsidRDefault="002D1DD2" w:rsidP="00962530">
            <w:pPr>
              <w:pStyle w:val="CETBodytext"/>
              <w:ind w:right="-1"/>
              <w:jc w:val="center"/>
              <w:rPr>
                <w:rFonts w:cs="Arial"/>
                <w:szCs w:val="18"/>
                <w:lang w:val="en-GB"/>
              </w:rPr>
            </w:pPr>
            <w:r>
              <w:rPr>
                <w:rFonts w:cs="Arial"/>
                <w:szCs w:val="18"/>
                <w:lang w:val="en-GB"/>
              </w:rPr>
              <w:t>kg CO</w:t>
            </w:r>
            <w:r w:rsidRPr="002D1DD2">
              <w:rPr>
                <w:rFonts w:cs="Arial"/>
                <w:szCs w:val="18"/>
                <w:vertAlign w:val="subscript"/>
                <w:lang w:val="en-GB"/>
              </w:rPr>
              <w:t>2</w:t>
            </w:r>
            <w:r>
              <w:rPr>
                <w:rFonts w:cs="Arial"/>
                <w:szCs w:val="18"/>
                <w:lang w:val="en-GB"/>
              </w:rPr>
              <w:t xml:space="preserve"> </w:t>
            </w:r>
            <w:proofErr w:type="spellStart"/>
            <w:r>
              <w:rPr>
                <w:rFonts w:cs="Arial"/>
                <w:szCs w:val="18"/>
                <w:lang w:val="en-GB"/>
              </w:rPr>
              <w:t>eq</w:t>
            </w:r>
            <w:proofErr w:type="spellEnd"/>
          </w:p>
        </w:tc>
      </w:tr>
      <w:tr w:rsidR="00962530" w:rsidRPr="00B57B36" w14:paraId="468538D0" w14:textId="77777777" w:rsidTr="00962530">
        <w:tc>
          <w:tcPr>
            <w:tcW w:w="2268" w:type="dxa"/>
            <w:shd w:val="clear" w:color="auto" w:fill="FFFFFF"/>
            <w:vAlign w:val="center"/>
          </w:tcPr>
          <w:p w14:paraId="702A5C56" w14:textId="4A199D6E" w:rsidR="00962530" w:rsidRDefault="00962530" w:rsidP="00962530">
            <w:pPr>
              <w:pStyle w:val="CETBodytext"/>
              <w:ind w:right="-1"/>
              <w:jc w:val="center"/>
              <w:rPr>
                <w:rFonts w:cs="Arial"/>
                <w:szCs w:val="18"/>
                <w:lang w:val="en-GB"/>
              </w:rPr>
            </w:pPr>
            <w:r>
              <w:rPr>
                <w:rFonts w:cs="Arial"/>
                <w:szCs w:val="18"/>
                <w:lang w:val="en-GB"/>
              </w:rPr>
              <w:t>Water scarcity</w:t>
            </w:r>
          </w:p>
        </w:tc>
        <w:tc>
          <w:tcPr>
            <w:tcW w:w="3828" w:type="dxa"/>
            <w:shd w:val="clear" w:color="auto" w:fill="FFFFFF"/>
            <w:vAlign w:val="center"/>
          </w:tcPr>
          <w:p w14:paraId="24255045" w14:textId="622E2A80" w:rsidR="00962530" w:rsidRPr="00B57B36" w:rsidRDefault="002D1DD2" w:rsidP="00962530">
            <w:pPr>
              <w:pStyle w:val="CETBodytext"/>
              <w:ind w:right="-1"/>
              <w:jc w:val="center"/>
              <w:rPr>
                <w:rFonts w:cs="Arial"/>
                <w:szCs w:val="18"/>
                <w:lang w:val="en-GB"/>
              </w:rPr>
            </w:pPr>
            <w:r>
              <w:rPr>
                <w:rFonts w:cs="Arial"/>
                <w:szCs w:val="18"/>
                <w:lang w:val="en-GB"/>
              </w:rPr>
              <w:t>m</w:t>
            </w:r>
            <w:r w:rsidRPr="002D1DD2">
              <w:rPr>
                <w:rFonts w:cs="Arial"/>
                <w:szCs w:val="18"/>
                <w:vertAlign w:val="superscript"/>
                <w:lang w:val="en-GB"/>
              </w:rPr>
              <w:t>3</w:t>
            </w:r>
            <w:r>
              <w:rPr>
                <w:rFonts w:cs="Arial"/>
                <w:szCs w:val="18"/>
                <w:lang w:val="en-GB"/>
              </w:rPr>
              <w:t xml:space="preserve"> </w:t>
            </w:r>
            <w:proofErr w:type="spellStart"/>
            <w:r>
              <w:rPr>
                <w:rFonts w:cs="Arial"/>
                <w:szCs w:val="18"/>
                <w:lang w:val="en-GB"/>
              </w:rPr>
              <w:t>eq</w:t>
            </w:r>
            <w:proofErr w:type="spellEnd"/>
          </w:p>
        </w:tc>
      </w:tr>
    </w:tbl>
    <w:p w14:paraId="0FFAEDF0" w14:textId="5EAC60CB" w:rsidR="00726803" w:rsidRDefault="00904460" w:rsidP="00600535">
      <w:pPr>
        <w:pStyle w:val="CETBodytext"/>
        <w:rPr>
          <w:lang w:val="en-GB"/>
        </w:rPr>
      </w:pPr>
      <w:r w:rsidRPr="00904460">
        <w:rPr>
          <w:lang w:val="en-GB"/>
        </w:rPr>
        <w:t xml:space="preserve">The </w:t>
      </w:r>
      <w:r w:rsidR="00C43881">
        <w:rPr>
          <w:lang w:val="en-GB"/>
        </w:rPr>
        <w:t>LCI</w:t>
      </w:r>
      <w:r w:rsidRPr="00904460">
        <w:rPr>
          <w:lang w:val="en-GB"/>
        </w:rPr>
        <w:t xml:space="preserve"> was calculated based on the reactions reported </w:t>
      </w:r>
      <w:r w:rsidRPr="00686B11">
        <w:rPr>
          <w:lang w:val="en-GB"/>
        </w:rPr>
        <w:t xml:space="preserve">by </w:t>
      </w:r>
      <w:r w:rsidR="004D6629" w:rsidRPr="00686B11">
        <w:rPr>
          <w:lang w:val="en-GB"/>
        </w:rPr>
        <w:t xml:space="preserve">Wyman, C.E. et al, </w:t>
      </w:r>
      <w:r w:rsidR="00686B11" w:rsidRPr="00686B11">
        <w:rPr>
          <w:lang w:val="en-GB"/>
        </w:rPr>
        <w:t>(</w:t>
      </w:r>
      <w:r w:rsidR="004D6629" w:rsidRPr="00686B11">
        <w:rPr>
          <w:lang w:val="en-GB"/>
        </w:rPr>
        <w:t>2019</w:t>
      </w:r>
      <w:r w:rsidR="00686B11" w:rsidRPr="00686B11">
        <w:rPr>
          <w:lang w:val="en-GB"/>
        </w:rPr>
        <w:t>),</w:t>
      </w:r>
      <w:r w:rsidRPr="00686B11">
        <w:rPr>
          <w:lang w:val="en-GB"/>
        </w:rPr>
        <w:t xml:space="preserve"> </w:t>
      </w:r>
      <w:r w:rsidR="0027762E" w:rsidRPr="00686B11">
        <w:rPr>
          <w:lang w:val="en-GB"/>
        </w:rPr>
        <w:t xml:space="preserve">Speight, J, </w:t>
      </w:r>
      <w:r w:rsidR="00686B11" w:rsidRPr="00686B11">
        <w:rPr>
          <w:lang w:val="en-GB"/>
        </w:rPr>
        <w:t>(</w:t>
      </w:r>
      <w:r w:rsidR="0027762E" w:rsidRPr="00686B11">
        <w:rPr>
          <w:lang w:val="en-GB"/>
        </w:rPr>
        <w:t>2020</w:t>
      </w:r>
      <w:r w:rsidR="00686B11" w:rsidRPr="00686B11">
        <w:rPr>
          <w:lang w:val="en-GB"/>
        </w:rPr>
        <w:t>),</w:t>
      </w:r>
      <w:r w:rsidR="0027762E" w:rsidRPr="00686B11">
        <w:rPr>
          <w:lang w:val="en-GB"/>
        </w:rPr>
        <w:t xml:space="preserve"> </w:t>
      </w:r>
      <w:r w:rsidRPr="00686B11">
        <w:rPr>
          <w:lang w:val="en-GB"/>
        </w:rPr>
        <w:t>Mayorga</w:t>
      </w:r>
      <w:r w:rsidR="006B74AE" w:rsidRPr="00686B11">
        <w:rPr>
          <w:lang w:val="en-GB"/>
        </w:rPr>
        <w:t xml:space="preserve"> Betancourt</w:t>
      </w:r>
      <w:r w:rsidRPr="00686B11">
        <w:rPr>
          <w:lang w:val="en-GB"/>
        </w:rPr>
        <w:t xml:space="preserve">, M., </w:t>
      </w:r>
      <w:r w:rsidR="00686B11" w:rsidRPr="00686B11">
        <w:rPr>
          <w:lang w:val="en-GB"/>
        </w:rPr>
        <w:t>(</w:t>
      </w:r>
      <w:r w:rsidRPr="00686B11">
        <w:rPr>
          <w:lang w:val="en-GB"/>
        </w:rPr>
        <w:t>202</w:t>
      </w:r>
      <w:r w:rsidR="004D6629" w:rsidRPr="00686B11">
        <w:rPr>
          <w:lang w:val="en-GB"/>
        </w:rPr>
        <w:t>3</w:t>
      </w:r>
      <w:r w:rsidR="00686B11" w:rsidRPr="00686B11">
        <w:rPr>
          <w:lang w:val="en-GB"/>
        </w:rPr>
        <w:t>) and</w:t>
      </w:r>
      <w:r w:rsidR="006B74AE" w:rsidRPr="00686B11">
        <w:rPr>
          <w:lang w:val="en-GB"/>
        </w:rPr>
        <w:t xml:space="preserve"> </w:t>
      </w:r>
      <w:proofErr w:type="spellStart"/>
      <w:r w:rsidR="006B74AE" w:rsidRPr="00686B11">
        <w:rPr>
          <w:lang w:val="en-GB"/>
        </w:rPr>
        <w:t>Su-ungkavatin</w:t>
      </w:r>
      <w:proofErr w:type="spellEnd"/>
      <w:r w:rsidR="00686B11" w:rsidRPr="00686B11">
        <w:rPr>
          <w:lang w:val="en-GB"/>
        </w:rPr>
        <w:t>, P.</w:t>
      </w:r>
      <w:r w:rsidR="006B74AE" w:rsidRPr="00686B11">
        <w:rPr>
          <w:lang w:val="en-GB"/>
        </w:rPr>
        <w:t xml:space="preserve"> et al., </w:t>
      </w:r>
      <w:r w:rsidR="00686B11" w:rsidRPr="00686B11">
        <w:rPr>
          <w:lang w:val="en-GB"/>
        </w:rPr>
        <w:t>(</w:t>
      </w:r>
      <w:r w:rsidR="006B74AE" w:rsidRPr="00686B11">
        <w:rPr>
          <w:lang w:val="en-GB"/>
        </w:rPr>
        <w:t>2023</w:t>
      </w:r>
      <w:r w:rsidRPr="00686B11">
        <w:rPr>
          <w:lang w:val="en-GB"/>
        </w:rPr>
        <w:t>)</w:t>
      </w:r>
      <w:r w:rsidR="00686B11" w:rsidRPr="00686B11">
        <w:rPr>
          <w:lang w:val="en-GB"/>
        </w:rPr>
        <w:t>,</w:t>
      </w:r>
      <w:r w:rsidRPr="00904460">
        <w:rPr>
          <w:lang w:val="en-GB"/>
        </w:rPr>
        <w:t xml:space="preserve"> for the three SAF production pathways evaluated in the Colombian context. In SAF production, specifically in the FT and HEFA routes, operations such as </w:t>
      </w:r>
      <w:proofErr w:type="spellStart"/>
      <w:r w:rsidRPr="00904460">
        <w:rPr>
          <w:lang w:val="en-GB"/>
        </w:rPr>
        <w:t>hydroprocessing</w:t>
      </w:r>
      <w:proofErr w:type="spellEnd"/>
      <w:r w:rsidRPr="00904460">
        <w:rPr>
          <w:lang w:val="en-GB"/>
        </w:rPr>
        <w:t xml:space="preserve">, hydrocracking, isomerization, and hydrogenation, and in the ATJ route, oligomerization, play crucial roles by offering various pathways to optimize the quality, yield, and compatibility of biofuels with the specifications of the aviation </w:t>
      </w:r>
      <w:r w:rsidRPr="009F6EBC">
        <w:rPr>
          <w:lang w:val="en-GB"/>
        </w:rPr>
        <w:t>industry</w:t>
      </w:r>
      <w:r w:rsidR="00DD5171" w:rsidRPr="009F6EBC">
        <w:rPr>
          <w:lang w:val="en-GB"/>
        </w:rPr>
        <w:t xml:space="preserve"> (</w:t>
      </w:r>
      <w:r w:rsidR="00FA44FB" w:rsidRPr="009F6EBC">
        <w:rPr>
          <w:lang w:val="en-GB"/>
        </w:rPr>
        <w:t>Brooks, K. P, et al 2016)</w:t>
      </w:r>
      <w:r w:rsidRPr="009F6EBC">
        <w:rPr>
          <w:lang w:val="en-GB"/>
        </w:rPr>
        <w:t>.</w:t>
      </w:r>
      <w:r w:rsidR="00C43881" w:rsidRPr="009F6EBC">
        <w:t xml:space="preserve"> </w:t>
      </w:r>
      <w:r w:rsidR="00C43881" w:rsidRPr="009F6EBC">
        <w:rPr>
          <w:lang w:val="en-GB"/>
        </w:rPr>
        <w:t>The</w:t>
      </w:r>
      <w:r w:rsidR="00C43881" w:rsidRPr="00C43881">
        <w:rPr>
          <w:lang w:val="en-GB"/>
        </w:rPr>
        <w:t xml:space="preserve"> aforementioned operations were included in the sustainability assessment of SAF production.</w:t>
      </w:r>
    </w:p>
    <w:p w14:paraId="6B9D2D77" w14:textId="7FA8A815" w:rsidR="00C43881" w:rsidRDefault="00C43881" w:rsidP="00C43881">
      <w:pPr>
        <w:pStyle w:val="CETHeading1"/>
      </w:pPr>
      <w:r>
        <w:t>Results and Discussion</w:t>
      </w:r>
    </w:p>
    <w:p w14:paraId="3781B67D" w14:textId="252E674F" w:rsidR="002E335B" w:rsidRDefault="00BE118D" w:rsidP="00600535">
      <w:pPr>
        <w:pStyle w:val="CETBodytext"/>
        <w:rPr>
          <w:lang w:val="en-GB"/>
        </w:rPr>
      </w:pPr>
      <w:r w:rsidRPr="00BE118D">
        <w:rPr>
          <w:lang w:val="en-GB"/>
        </w:rPr>
        <w:t>The multicriteria analysis using the M</w:t>
      </w:r>
      <w:r w:rsidR="00C83685">
        <w:rPr>
          <w:lang w:val="en-GB"/>
        </w:rPr>
        <w:t>acbeth</w:t>
      </w:r>
      <w:r w:rsidR="002E335B">
        <w:rPr>
          <w:lang w:val="en-GB"/>
        </w:rPr>
        <w:t xml:space="preserve"> </w:t>
      </w:r>
      <w:r w:rsidRPr="00BE118D">
        <w:rPr>
          <w:lang w:val="en-GB"/>
        </w:rPr>
        <w:t xml:space="preserve">method was developed to assess the production </w:t>
      </w:r>
      <w:r w:rsidR="002E335B">
        <w:rPr>
          <w:lang w:val="en-GB"/>
        </w:rPr>
        <w:t xml:space="preserve">of </w:t>
      </w:r>
      <w:r w:rsidRPr="00BE118D">
        <w:rPr>
          <w:lang w:val="en-GB"/>
        </w:rPr>
        <w:t>SAF in Colombia, considering various relevant criteria in this process. The factors evaluated included biomass cost and availability, productivity in the synthesis of bioenergetics</w:t>
      </w:r>
      <w:r w:rsidR="003D7378">
        <w:rPr>
          <w:lang w:val="en-GB"/>
        </w:rPr>
        <w:t xml:space="preserve"> (PSB)</w:t>
      </w:r>
      <w:r w:rsidRPr="00BE118D">
        <w:rPr>
          <w:lang w:val="en-GB"/>
        </w:rPr>
        <w:t>, greenhouse gas emissions throughout the fuel's life cycle, among other key aspects.</w:t>
      </w:r>
      <w:r w:rsidR="002E335B" w:rsidRPr="002E335B">
        <w:t xml:space="preserve"> </w:t>
      </w:r>
      <w:r w:rsidR="002E335B" w:rsidRPr="002E335B">
        <w:rPr>
          <w:lang w:val="en-GB"/>
        </w:rPr>
        <w:t>Table 2 shows the results of the method, calculating the difference between criteria, which allowed for the identification of the most important indicator for selecting residual biomass.</w:t>
      </w:r>
    </w:p>
    <w:p w14:paraId="3A021C8C" w14:textId="4B6FD16C" w:rsidR="002E335B" w:rsidRPr="00B57B36" w:rsidRDefault="002E335B" w:rsidP="002E335B">
      <w:pPr>
        <w:pStyle w:val="CETTabletitle"/>
      </w:pPr>
      <w:r w:rsidRPr="00B57B36">
        <w:t xml:space="preserve">Table </w:t>
      </w:r>
      <w:r>
        <w:t>2</w:t>
      </w:r>
      <w:r w:rsidRPr="00B57B36">
        <w:t xml:space="preserve">: </w:t>
      </w:r>
      <w:r w:rsidRPr="002E335B">
        <w:t>Estimation of the criterion differences.</w:t>
      </w:r>
    </w:p>
    <w:tbl>
      <w:tblPr>
        <w:tblW w:w="9067"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2008"/>
        <w:gridCol w:w="23"/>
        <w:gridCol w:w="529"/>
        <w:gridCol w:w="528"/>
        <w:gridCol w:w="529"/>
        <w:gridCol w:w="545"/>
        <w:gridCol w:w="529"/>
        <w:gridCol w:w="1077"/>
        <w:gridCol w:w="1234"/>
        <w:gridCol w:w="1101"/>
        <w:gridCol w:w="964"/>
      </w:tblGrid>
      <w:tr w:rsidR="00F93769" w:rsidRPr="00B57B36" w14:paraId="34024659" w14:textId="52D110B0" w:rsidTr="00A20FCD">
        <w:tc>
          <w:tcPr>
            <w:tcW w:w="2068" w:type="dxa"/>
            <w:tcBorders>
              <w:top w:val="single" w:sz="12" w:space="0" w:color="008000"/>
              <w:bottom w:val="single" w:sz="6" w:space="0" w:color="008000"/>
            </w:tcBorders>
            <w:shd w:val="clear" w:color="auto" w:fill="FFFFFF"/>
            <w:vAlign w:val="center"/>
          </w:tcPr>
          <w:p w14:paraId="7E0DF5D5" w14:textId="14A5E764" w:rsidR="00F93769" w:rsidRPr="00882B7D" w:rsidRDefault="00F93769" w:rsidP="003D7378">
            <w:pPr>
              <w:pStyle w:val="CETBodytext"/>
              <w:jc w:val="center"/>
              <w:rPr>
                <w:b/>
                <w:lang w:val="en-GB"/>
              </w:rPr>
            </w:pPr>
            <w:r w:rsidRPr="00882B7D">
              <w:rPr>
                <w:b/>
                <w:lang w:val="en-GB"/>
              </w:rPr>
              <w:t>Indicator</w:t>
            </w:r>
          </w:p>
        </w:tc>
        <w:tc>
          <w:tcPr>
            <w:tcW w:w="23" w:type="dxa"/>
            <w:tcBorders>
              <w:top w:val="single" w:sz="12" w:space="0" w:color="008000"/>
              <w:bottom w:val="single" w:sz="6" w:space="0" w:color="008000"/>
            </w:tcBorders>
            <w:shd w:val="clear" w:color="auto" w:fill="FFFFFF"/>
          </w:tcPr>
          <w:p w14:paraId="56BE2C0F" w14:textId="77777777" w:rsidR="00F93769" w:rsidRPr="00882B7D" w:rsidRDefault="00F93769" w:rsidP="007D39E5">
            <w:pPr>
              <w:pStyle w:val="CETBodytext"/>
              <w:jc w:val="center"/>
              <w:rPr>
                <w:b/>
                <w:lang w:val="en-GB"/>
              </w:rPr>
            </w:pPr>
          </w:p>
        </w:tc>
        <w:tc>
          <w:tcPr>
            <w:tcW w:w="544" w:type="dxa"/>
            <w:tcBorders>
              <w:top w:val="single" w:sz="12" w:space="0" w:color="008000"/>
              <w:bottom w:val="single" w:sz="6" w:space="0" w:color="008000"/>
            </w:tcBorders>
            <w:shd w:val="clear" w:color="auto" w:fill="FFFFFF"/>
            <w:vAlign w:val="center"/>
          </w:tcPr>
          <w:p w14:paraId="789CD773" w14:textId="0217779F" w:rsidR="00F93769" w:rsidRPr="00882B7D" w:rsidRDefault="00F93769" w:rsidP="00F93769">
            <w:pPr>
              <w:pStyle w:val="CETBodytext"/>
              <w:jc w:val="center"/>
              <w:rPr>
                <w:b/>
                <w:lang w:val="en-GB"/>
              </w:rPr>
            </w:pPr>
            <w:r w:rsidRPr="00882B7D">
              <w:rPr>
                <w:b/>
                <w:lang w:val="en-GB"/>
              </w:rPr>
              <w:t>C1</w:t>
            </w:r>
          </w:p>
        </w:tc>
        <w:tc>
          <w:tcPr>
            <w:tcW w:w="543" w:type="dxa"/>
            <w:tcBorders>
              <w:top w:val="single" w:sz="12" w:space="0" w:color="008000"/>
              <w:bottom w:val="single" w:sz="6" w:space="0" w:color="008000"/>
            </w:tcBorders>
            <w:shd w:val="clear" w:color="auto" w:fill="FFFFFF"/>
          </w:tcPr>
          <w:p w14:paraId="7C8673A9" w14:textId="21B28699" w:rsidR="00F93769" w:rsidRPr="00882B7D" w:rsidRDefault="00F93769" w:rsidP="00F93769">
            <w:pPr>
              <w:pStyle w:val="CETBodytext"/>
              <w:jc w:val="center"/>
              <w:rPr>
                <w:b/>
                <w:lang w:val="en-GB"/>
              </w:rPr>
            </w:pPr>
            <w:r w:rsidRPr="00882B7D">
              <w:rPr>
                <w:b/>
                <w:lang w:val="en-GB"/>
              </w:rPr>
              <w:t>C2</w:t>
            </w:r>
          </w:p>
        </w:tc>
        <w:tc>
          <w:tcPr>
            <w:tcW w:w="544" w:type="dxa"/>
            <w:tcBorders>
              <w:top w:val="single" w:sz="12" w:space="0" w:color="008000"/>
              <w:bottom w:val="single" w:sz="6" w:space="0" w:color="008000"/>
            </w:tcBorders>
            <w:shd w:val="clear" w:color="auto" w:fill="FFFFFF"/>
          </w:tcPr>
          <w:p w14:paraId="05C11280" w14:textId="7FD70366" w:rsidR="00F93769" w:rsidRPr="00882B7D" w:rsidRDefault="00F93769" w:rsidP="00F93769">
            <w:pPr>
              <w:pStyle w:val="CETBodytext"/>
              <w:jc w:val="center"/>
              <w:rPr>
                <w:b/>
                <w:lang w:val="en-GB"/>
              </w:rPr>
            </w:pPr>
            <w:r w:rsidRPr="00882B7D">
              <w:rPr>
                <w:b/>
                <w:lang w:val="en-GB"/>
              </w:rPr>
              <w:t>C3</w:t>
            </w:r>
          </w:p>
        </w:tc>
        <w:tc>
          <w:tcPr>
            <w:tcW w:w="561" w:type="dxa"/>
            <w:tcBorders>
              <w:top w:val="single" w:sz="12" w:space="0" w:color="008000"/>
              <w:bottom w:val="single" w:sz="6" w:space="0" w:color="008000"/>
            </w:tcBorders>
            <w:shd w:val="clear" w:color="auto" w:fill="FFFFFF"/>
          </w:tcPr>
          <w:p w14:paraId="2A9A164B" w14:textId="76508703" w:rsidR="00F93769" w:rsidRPr="00882B7D" w:rsidRDefault="00F93769" w:rsidP="00F93769">
            <w:pPr>
              <w:pStyle w:val="CETBodytext"/>
              <w:jc w:val="center"/>
              <w:rPr>
                <w:b/>
                <w:lang w:val="en-GB"/>
              </w:rPr>
            </w:pPr>
            <w:r w:rsidRPr="00882B7D">
              <w:rPr>
                <w:b/>
                <w:lang w:val="en-GB"/>
              </w:rPr>
              <w:t>C4</w:t>
            </w:r>
          </w:p>
        </w:tc>
        <w:tc>
          <w:tcPr>
            <w:tcW w:w="544" w:type="dxa"/>
            <w:tcBorders>
              <w:top w:val="single" w:sz="12" w:space="0" w:color="008000"/>
              <w:bottom w:val="single" w:sz="6" w:space="0" w:color="008000"/>
            </w:tcBorders>
            <w:shd w:val="clear" w:color="auto" w:fill="FFFFFF"/>
          </w:tcPr>
          <w:p w14:paraId="499957DC" w14:textId="3303F0C7" w:rsidR="00F93769" w:rsidRPr="00882B7D" w:rsidRDefault="00F93769" w:rsidP="00F93769">
            <w:pPr>
              <w:pStyle w:val="CETBodytext"/>
              <w:jc w:val="center"/>
              <w:rPr>
                <w:b/>
                <w:lang w:val="en-GB"/>
              </w:rPr>
            </w:pPr>
            <w:r w:rsidRPr="00882B7D">
              <w:rPr>
                <w:b/>
                <w:lang w:val="en-GB"/>
              </w:rPr>
              <w:t>C5</w:t>
            </w:r>
          </w:p>
        </w:tc>
        <w:tc>
          <w:tcPr>
            <w:tcW w:w="1109" w:type="dxa"/>
            <w:tcBorders>
              <w:top w:val="single" w:sz="12" w:space="0" w:color="008000"/>
              <w:bottom w:val="single" w:sz="6" w:space="0" w:color="008000"/>
            </w:tcBorders>
            <w:shd w:val="clear" w:color="auto" w:fill="FFFFFF"/>
          </w:tcPr>
          <w:p w14:paraId="47CF80EC" w14:textId="60E043E6" w:rsidR="00F93769" w:rsidRPr="00882B7D" w:rsidRDefault="00F93769" w:rsidP="007D39E5">
            <w:pPr>
              <w:pStyle w:val="CETBodytext"/>
              <w:jc w:val="center"/>
              <w:rPr>
                <w:b/>
                <w:lang w:val="en-GB"/>
              </w:rPr>
            </w:pPr>
            <w:r w:rsidRPr="00882B7D">
              <w:rPr>
                <w:b/>
                <w:lang w:val="en-GB"/>
              </w:rPr>
              <w:t>Total</w:t>
            </w:r>
          </w:p>
        </w:tc>
        <w:tc>
          <w:tcPr>
            <w:tcW w:w="1271" w:type="dxa"/>
            <w:tcBorders>
              <w:top w:val="single" w:sz="12" w:space="0" w:color="008000"/>
              <w:bottom w:val="single" w:sz="6" w:space="0" w:color="008000"/>
            </w:tcBorders>
            <w:shd w:val="clear" w:color="auto" w:fill="FFFFFF"/>
          </w:tcPr>
          <w:p w14:paraId="563C6EE4" w14:textId="4805F1B2" w:rsidR="00F93769" w:rsidRPr="00882B7D" w:rsidRDefault="00F93769" w:rsidP="007D39E5">
            <w:pPr>
              <w:pStyle w:val="CETBodytext"/>
              <w:jc w:val="center"/>
              <w:rPr>
                <w:b/>
                <w:lang w:val="en-GB"/>
              </w:rPr>
            </w:pPr>
            <w:r w:rsidRPr="00882B7D">
              <w:rPr>
                <w:b/>
                <w:lang w:val="en-GB"/>
              </w:rPr>
              <w:t>Difference</w:t>
            </w:r>
          </w:p>
        </w:tc>
        <w:tc>
          <w:tcPr>
            <w:tcW w:w="1134" w:type="dxa"/>
            <w:tcBorders>
              <w:top w:val="single" w:sz="12" w:space="0" w:color="008000"/>
              <w:bottom w:val="single" w:sz="6" w:space="0" w:color="008000"/>
            </w:tcBorders>
            <w:shd w:val="clear" w:color="auto" w:fill="FFFFFF"/>
          </w:tcPr>
          <w:p w14:paraId="0B1140FC" w14:textId="4A1F9C7A" w:rsidR="00F93769" w:rsidRPr="00882B7D" w:rsidRDefault="00F93769" w:rsidP="007D39E5">
            <w:pPr>
              <w:pStyle w:val="CETBodytext"/>
              <w:jc w:val="center"/>
              <w:rPr>
                <w:b/>
                <w:lang w:val="en-GB"/>
              </w:rPr>
            </w:pPr>
            <w:r w:rsidRPr="00882B7D">
              <w:rPr>
                <w:b/>
                <w:lang w:val="en-GB"/>
              </w:rPr>
              <w:t>Correlative</w:t>
            </w:r>
          </w:p>
        </w:tc>
        <w:tc>
          <w:tcPr>
            <w:tcW w:w="992" w:type="dxa"/>
            <w:tcBorders>
              <w:top w:val="single" w:sz="12" w:space="0" w:color="008000"/>
              <w:bottom w:val="single" w:sz="6" w:space="0" w:color="008000"/>
            </w:tcBorders>
            <w:shd w:val="clear" w:color="auto" w:fill="FFFFFF"/>
          </w:tcPr>
          <w:p w14:paraId="397A1877" w14:textId="484BB5C9" w:rsidR="00F93769" w:rsidRPr="00882B7D" w:rsidRDefault="00F93769" w:rsidP="007D39E5">
            <w:pPr>
              <w:pStyle w:val="CETBodytext"/>
              <w:jc w:val="center"/>
              <w:rPr>
                <w:b/>
                <w:lang w:val="en-GB"/>
              </w:rPr>
            </w:pPr>
            <w:r w:rsidRPr="00882B7D">
              <w:rPr>
                <w:b/>
                <w:lang w:val="en-GB"/>
              </w:rPr>
              <w:t xml:space="preserve">% </w:t>
            </w:r>
            <m:oMath>
              <m:sSub>
                <m:sSubPr>
                  <m:ctrlPr>
                    <w:rPr>
                      <w:rFonts w:ascii="Cambria Math" w:hAnsi="Cambria Math"/>
                      <w:b/>
                      <w:i/>
                      <w:szCs w:val="24"/>
                    </w:rPr>
                  </m:ctrlPr>
                </m:sSubPr>
                <m:e>
                  <m:r>
                    <m:rPr>
                      <m:sty m:val="bi"/>
                    </m:rPr>
                    <w:rPr>
                      <w:rFonts w:ascii="Cambria Math" w:hAnsi="Cambria Math"/>
                      <w:szCs w:val="24"/>
                    </w:rPr>
                    <m:t>w</m:t>
                  </m:r>
                </m:e>
                <m:sub>
                  <m:r>
                    <m:rPr>
                      <m:sty m:val="bi"/>
                    </m:rPr>
                    <w:rPr>
                      <w:rFonts w:ascii="Cambria Math" w:hAnsi="Cambria Math"/>
                      <w:szCs w:val="24"/>
                    </w:rPr>
                    <m:t>j</m:t>
                  </m:r>
                </m:sub>
              </m:sSub>
            </m:oMath>
          </w:p>
        </w:tc>
      </w:tr>
      <w:tr w:rsidR="00F93769" w:rsidRPr="00B57B36" w14:paraId="3526E361" w14:textId="1C094F9F" w:rsidTr="00A20FCD">
        <w:tc>
          <w:tcPr>
            <w:tcW w:w="2068" w:type="dxa"/>
            <w:shd w:val="clear" w:color="auto" w:fill="FFFFFF"/>
            <w:vAlign w:val="center"/>
          </w:tcPr>
          <w:p w14:paraId="565189A4" w14:textId="01FF83CA" w:rsidR="00F93769" w:rsidRPr="00B57B36" w:rsidRDefault="00F93769" w:rsidP="007D39E5">
            <w:pPr>
              <w:pStyle w:val="CETBodytext"/>
              <w:jc w:val="center"/>
              <w:rPr>
                <w:lang w:val="en-GB"/>
              </w:rPr>
            </w:pPr>
            <w:r>
              <w:rPr>
                <w:lang w:val="en-GB"/>
              </w:rPr>
              <w:t>C</w:t>
            </w:r>
            <w:r w:rsidR="00B010E1">
              <w:rPr>
                <w:lang w:val="en-GB"/>
              </w:rPr>
              <w:t>1</w:t>
            </w:r>
            <w:r>
              <w:rPr>
                <w:lang w:val="en-GB"/>
              </w:rPr>
              <w:t>. Biomass availability</w:t>
            </w:r>
          </w:p>
        </w:tc>
        <w:tc>
          <w:tcPr>
            <w:tcW w:w="23" w:type="dxa"/>
            <w:shd w:val="clear" w:color="auto" w:fill="FFFFFF"/>
          </w:tcPr>
          <w:p w14:paraId="06D97E3C" w14:textId="77777777" w:rsidR="00F93769" w:rsidRDefault="00F93769" w:rsidP="007D39E5">
            <w:pPr>
              <w:pStyle w:val="CETBodytext"/>
              <w:jc w:val="center"/>
              <w:rPr>
                <w:lang w:val="en-GB"/>
              </w:rPr>
            </w:pPr>
          </w:p>
        </w:tc>
        <w:tc>
          <w:tcPr>
            <w:tcW w:w="544" w:type="dxa"/>
            <w:shd w:val="clear" w:color="auto" w:fill="FFFFFF"/>
            <w:vAlign w:val="center"/>
          </w:tcPr>
          <w:p w14:paraId="111A3318" w14:textId="3BD2C017" w:rsidR="00F93769" w:rsidRPr="00B57B36" w:rsidRDefault="00E31C45" w:rsidP="00F93769">
            <w:pPr>
              <w:pStyle w:val="CETBodytext"/>
              <w:jc w:val="center"/>
              <w:rPr>
                <w:lang w:val="en-GB"/>
              </w:rPr>
            </w:pPr>
            <w:r>
              <w:rPr>
                <w:lang w:val="en-GB"/>
              </w:rPr>
              <w:t>-</w:t>
            </w:r>
          </w:p>
        </w:tc>
        <w:tc>
          <w:tcPr>
            <w:tcW w:w="543" w:type="dxa"/>
            <w:shd w:val="clear" w:color="auto" w:fill="FFFFFF"/>
          </w:tcPr>
          <w:p w14:paraId="7E2C8D80" w14:textId="2D7D74F2" w:rsidR="00F93769" w:rsidRPr="00B57B36" w:rsidRDefault="00E31C45" w:rsidP="00F93769">
            <w:pPr>
              <w:pStyle w:val="CETBodytext"/>
              <w:jc w:val="center"/>
              <w:rPr>
                <w:lang w:val="en-GB"/>
              </w:rPr>
            </w:pPr>
            <w:r>
              <w:rPr>
                <w:lang w:val="en-GB"/>
              </w:rPr>
              <w:t>14</w:t>
            </w:r>
          </w:p>
        </w:tc>
        <w:tc>
          <w:tcPr>
            <w:tcW w:w="544" w:type="dxa"/>
            <w:shd w:val="clear" w:color="auto" w:fill="FFFFFF"/>
          </w:tcPr>
          <w:p w14:paraId="302D6F0D" w14:textId="284DFC78" w:rsidR="00F93769" w:rsidRPr="00B57B36" w:rsidRDefault="00E31C45" w:rsidP="00F93769">
            <w:pPr>
              <w:pStyle w:val="CETBodytext"/>
              <w:jc w:val="center"/>
              <w:rPr>
                <w:lang w:val="en-GB"/>
              </w:rPr>
            </w:pPr>
            <w:r>
              <w:rPr>
                <w:lang w:val="en-GB"/>
              </w:rPr>
              <w:t>11</w:t>
            </w:r>
          </w:p>
        </w:tc>
        <w:tc>
          <w:tcPr>
            <w:tcW w:w="561" w:type="dxa"/>
            <w:shd w:val="clear" w:color="auto" w:fill="FFFFFF"/>
          </w:tcPr>
          <w:p w14:paraId="2379D56D" w14:textId="41AC39BC" w:rsidR="00F93769" w:rsidRPr="00B57B36" w:rsidRDefault="00E31C45" w:rsidP="00F93769">
            <w:pPr>
              <w:pStyle w:val="CETBodytext"/>
              <w:jc w:val="center"/>
              <w:rPr>
                <w:lang w:val="en-GB"/>
              </w:rPr>
            </w:pPr>
            <w:r>
              <w:rPr>
                <w:lang w:val="en-GB"/>
              </w:rPr>
              <w:t>11</w:t>
            </w:r>
          </w:p>
        </w:tc>
        <w:tc>
          <w:tcPr>
            <w:tcW w:w="544" w:type="dxa"/>
            <w:shd w:val="clear" w:color="auto" w:fill="FFFFFF"/>
          </w:tcPr>
          <w:p w14:paraId="323586D4" w14:textId="072FB479" w:rsidR="00F93769" w:rsidRPr="00B57B36" w:rsidRDefault="00E31C45" w:rsidP="00F93769">
            <w:pPr>
              <w:pStyle w:val="CETBodytext"/>
              <w:jc w:val="center"/>
              <w:rPr>
                <w:lang w:val="en-GB"/>
              </w:rPr>
            </w:pPr>
            <w:r>
              <w:rPr>
                <w:lang w:val="en-GB"/>
              </w:rPr>
              <w:t>2</w:t>
            </w:r>
          </w:p>
        </w:tc>
        <w:tc>
          <w:tcPr>
            <w:tcW w:w="1109" w:type="dxa"/>
            <w:shd w:val="clear" w:color="auto" w:fill="FFFFFF"/>
          </w:tcPr>
          <w:p w14:paraId="354DEA52" w14:textId="2F198216" w:rsidR="00F93769" w:rsidRPr="00B57B36" w:rsidRDefault="00E31C45" w:rsidP="007D39E5">
            <w:pPr>
              <w:pStyle w:val="CETBodytext"/>
              <w:jc w:val="center"/>
              <w:rPr>
                <w:lang w:val="en-GB"/>
              </w:rPr>
            </w:pPr>
            <w:r>
              <w:rPr>
                <w:lang w:val="en-GB"/>
              </w:rPr>
              <w:t>38</w:t>
            </w:r>
          </w:p>
        </w:tc>
        <w:tc>
          <w:tcPr>
            <w:tcW w:w="1271" w:type="dxa"/>
            <w:shd w:val="clear" w:color="auto" w:fill="FFFFFF"/>
          </w:tcPr>
          <w:p w14:paraId="5CE827DB" w14:textId="00A0593E" w:rsidR="00F93769" w:rsidRPr="00B57B36" w:rsidRDefault="00E31C45" w:rsidP="007D39E5">
            <w:pPr>
              <w:pStyle w:val="CETBodytext"/>
              <w:jc w:val="center"/>
              <w:rPr>
                <w:lang w:val="en-GB"/>
              </w:rPr>
            </w:pPr>
            <w:r>
              <w:rPr>
                <w:lang w:val="en-GB"/>
              </w:rPr>
              <w:t>8</w:t>
            </w:r>
          </w:p>
        </w:tc>
        <w:tc>
          <w:tcPr>
            <w:tcW w:w="1134" w:type="dxa"/>
            <w:shd w:val="clear" w:color="auto" w:fill="FFFFFF"/>
          </w:tcPr>
          <w:p w14:paraId="2842628F" w14:textId="228C4B6F" w:rsidR="00F93769" w:rsidRPr="00B57B36" w:rsidRDefault="00E31C45" w:rsidP="007D39E5">
            <w:pPr>
              <w:pStyle w:val="CETBodytext"/>
              <w:jc w:val="center"/>
              <w:rPr>
                <w:lang w:val="en-GB"/>
              </w:rPr>
            </w:pPr>
            <w:r>
              <w:rPr>
                <w:lang w:val="en-GB"/>
              </w:rPr>
              <w:t>1</w:t>
            </w:r>
          </w:p>
        </w:tc>
        <w:tc>
          <w:tcPr>
            <w:tcW w:w="992" w:type="dxa"/>
            <w:shd w:val="clear" w:color="auto" w:fill="FFFFFF"/>
          </w:tcPr>
          <w:p w14:paraId="2C4037B1" w14:textId="482508C7" w:rsidR="00F93769" w:rsidRPr="00B57B36" w:rsidRDefault="00E31C45" w:rsidP="007D39E5">
            <w:pPr>
              <w:pStyle w:val="CETBodytext"/>
              <w:jc w:val="center"/>
              <w:rPr>
                <w:lang w:val="en-GB"/>
              </w:rPr>
            </w:pPr>
            <w:r>
              <w:rPr>
                <w:lang w:val="en-GB"/>
              </w:rPr>
              <w:t>40</w:t>
            </w:r>
          </w:p>
        </w:tc>
      </w:tr>
      <w:tr w:rsidR="00F93769" w:rsidRPr="00B57B36" w14:paraId="6788175F" w14:textId="36A54C3B" w:rsidTr="00A20FCD">
        <w:tc>
          <w:tcPr>
            <w:tcW w:w="2068" w:type="dxa"/>
            <w:shd w:val="clear" w:color="auto" w:fill="FFFFFF"/>
            <w:vAlign w:val="center"/>
          </w:tcPr>
          <w:p w14:paraId="2FEDDAE7" w14:textId="426F7F00" w:rsidR="00F93769" w:rsidRPr="00B57B36" w:rsidRDefault="00F93769" w:rsidP="007D39E5">
            <w:pPr>
              <w:pStyle w:val="CETBodytext"/>
              <w:ind w:right="-1"/>
              <w:jc w:val="center"/>
              <w:rPr>
                <w:rFonts w:cs="Arial"/>
                <w:szCs w:val="18"/>
                <w:lang w:val="en-GB"/>
              </w:rPr>
            </w:pPr>
            <w:r>
              <w:rPr>
                <w:rFonts w:cs="Arial"/>
                <w:szCs w:val="18"/>
                <w:lang w:val="en-GB"/>
              </w:rPr>
              <w:t>C2.</w:t>
            </w:r>
            <w:r w:rsidR="00B010E1">
              <w:rPr>
                <w:rFonts w:cs="Arial"/>
                <w:szCs w:val="18"/>
                <w:lang w:val="en-GB"/>
              </w:rPr>
              <w:t xml:space="preserve"> </w:t>
            </w:r>
            <w:r>
              <w:rPr>
                <w:rFonts w:cs="Arial"/>
                <w:szCs w:val="18"/>
                <w:lang w:val="en-GB"/>
              </w:rPr>
              <w:t xml:space="preserve"> Biomass cost</w:t>
            </w:r>
          </w:p>
        </w:tc>
        <w:tc>
          <w:tcPr>
            <w:tcW w:w="23" w:type="dxa"/>
            <w:shd w:val="clear" w:color="auto" w:fill="FFFFFF"/>
          </w:tcPr>
          <w:p w14:paraId="1F0B69F9" w14:textId="77777777" w:rsidR="00F93769" w:rsidRDefault="00F93769" w:rsidP="007D39E5">
            <w:pPr>
              <w:pStyle w:val="CETBodytext"/>
              <w:ind w:right="-1"/>
              <w:jc w:val="center"/>
              <w:rPr>
                <w:rFonts w:cs="Arial"/>
                <w:szCs w:val="18"/>
                <w:lang w:val="en-GB"/>
              </w:rPr>
            </w:pPr>
          </w:p>
        </w:tc>
        <w:tc>
          <w:tcPr>
            <w:tcW w:w="544" w:type="dxa"/>
            <w:shd w:val="clear" w:color="auto" w:fill="FFFFFF"/>
            <w:vAlign w:val="center"/>
          </w:tcPr>
          <w:p w14:paraId="52F3A184" w14:textId="4FCE9D33" w:rsidR="00F93769" w:rsidRPr="00B57B36" w:rsidRDefault="00E31C45" w:rsidP="00F93769">
            <w:pPr>
              <w:pStyle w:val="CETBodytext"/>
              <w:ind w:right="-1"/>
              <w:jc w:val="center"/>
              <w:rPr>
                <w:rFonts w:cs="Arial"/>
                <w:szCs w:val="18"/>
                <w:lang w:val="en-GB"/>
              </w:rPr>
            </w:pPr>
            <w:r>
              <w:rPr>
                <w:rFonts w:cs="Arial"/>
                <w:szCs w:val="18"/>
                <w:lang w:val="en-GB"/>
              </w:rPr>
              <w:t>-</w:t>
            </w:r>
          </w:p>
        </w:tc>
        <w:tc>
          <w:tcPr>
            <w:tcW w:w="543" w:type="dxa"/>
            <w:shd w:val="clear" w:color="auto" w:fill="FFFFFF"/>
          </w:tcPr>
          <w:p w14:paraId="64055E9E" w14:textId="44717E60" w:rsidR="00F93769" w:rsidRPr="00B57B36" w:rsidRDefault="00E31C45" w:rsidP="00F93769">
            <w:pPr>
              <w:pStyle w:val="CETBodytext"/>
              <w:ind w:right="-1"/>
              <w:jc w:val="center"/>
              <w:rPr>
                <w:rFonts w:cs="Arial"/>
                <w:szCs w:val="18"/>
                <w:lang w:val="en-GB"/>
              </w:rPr>
            </w:pPr>
            <w:r>
              <w:rPr>
                <w:rFonts w:cs="Arial"/>
                <w:szCs w:val="18"/>
                <w:lang w:val="en-GB"/>
              </w:rPr>
              <w:t>-</w:t>
            </w:r>
          </w:p>
        </w:tc>
        <w:tc>
          <w:tcPr>
            <w:tcW w:w="544" w:type="dxa"/>
            <w:shd w:val="clear" w:color="auto" w:fill="FFFFFF"/>
          </w:tcPr>
          <w:p w14:paraId="4F9ADDCE" w14:textId="080898CD" w:rsidR="00F93769" w:rsidRPr="00B57B36" w:rsidRDefault="00E31C45" w:rsidP="00F93769">
            <w:pPr>
              <w:pStyle w:val="CETBodytext"/>
              <w:ind w:right="-1"/>
              <w:jc w:val="center"/>
              <w:rPr>
                <w:rFonts w:cs="Arial"/>
                <w:szCs w:val="18"/>
                <w:lang w:val="en-GB"/>
              </w:rPr>
            </w:pPr>
            <w:r>
              <w:rPr>
                <w:rFonts w:cs="Arial"/>
                <w:szCs w:val="18"/>
                <w:lang w:val="en-GB"/>
              </w:rPr>
              <w:t>11</w:t>
            </w:r>
          </w:p>
        </w:tc>
        <w:tc>
          <w:tcPr>
            <w:tcW w:w="561" w:type="dxa"/>
            <w:shd w:val="clear" w:color="auto" w:fill="FFFFFF"/>
          </w:tcPr>
          <w:p w14:paraId="01057117" w14:textId="7DD5B028" w:rsidR="00F93769" w:rsidRPr="00B57B36" w:rsidRDefault="00E31C45" w:rsidP="00F93769">
            <w:pPr>
              <w:pStyle w:val="CETBodytext"/>
              <w:ind w:right="-1"/>
              <w:jc w:val="center"/>
              <w:rPr>
                <w:rFonts w:cs="Arial"/>
                <w:szCs w:val="18"/>
                <w:lang w:val="en-GB"/>
              </w:rPr>
            </w:pPr>
            <w:r>
              <w:rPr>
                <w:rFonts w:cs="Arial"/>
                <w:szCs w:val="18"/>
                <w:lang w:val="en-GB"/>
              </w:rPr>
              <w:t>11</w:t>
            </w:r>
          </w:p>
        </w:tc>
        <w:tc>
          <w:tcPr>
            <w:tcW w:w="544" w:type="dxa"/>
            <w:shd w:val="clear" w:color="auto" w:fill="FFFFFF"/>
          </w:tcPr>
          <w:p w14:paraId="01E57517" w14:textId="09D3F242" w:rsidR="00F93769" w:rsidRPr="00B57B36" w:rsidRDefault="00E31C45" w:rsidP="00F93769">
            <w:pPr>
              <w:pStyle w:val="CETBodytext"/>
              <w:ind w:right="-1"/>
              <w:jc w:val="center"/>
              <w:rPr>
                <w:rFonts w:cs="Arial"/>
                <w:szCs w:val="18"/>
                <w:lang w:val="en-GB"/>
              </w:rPr>
            </w:pPr>
            <w:r>
              <w:rPr>
                <w:rFonts w:cs="Arial"/>
                <w:szCs w:val="18"/>
                <w:lang w:val="en-GB"/>
              </w:rPr>
              <w:t>8</w:t>
            </w:r>
          </w:p>
        </w:tc>
        <w:tc>
          <w:tcPr>
            <w:tcW w:w="1109" w:type="dxa"/>
            <w:shd w:val="clear" w:color="auto" w:fill="FFFFFF"/>
          </w:tcPr>
          <w:p w14:paraId="21598657" w14:textId="0DB2FB17" w:rsidR="00F93769" w:rsidRPr="00B57B36" w:rsidRDefault="00E31C45" w:rsidP="007D39E5">
            <w:pPr>
              <w:pStyle w:val="CETBodytext"/>
              <w:ind w:right="-1"/>
              <w:jc w:val="center"/>
              <w:rPr>
                <w:rFonts w:cs="Arial"/>
                <w:szCs w:val="18"/>
                <w:lang w:val="en-GB"/>
              </w:rPr>
            </w:pPr>
            <w:r>
              <w:rPr>
                <w:rFonts w:cs="Arial"/>
                <w:szCs w:val="18"/>
                <w:lang w:val="en-GB"/>
              </w:rPr>
              <w:t>30</w:t>
            </w:r>
          </w:p>
        </w:tc>
        <w:tc>
          <w:tcPr>
            <w:tcW w:w="1271" w:type="dxa"/>
            <w:shd w:val="clear" w:color="auto" w:fill="FFFFFF"/>
          </w:tcPr>
          <w:p w14:paraId="36AA64BD" w14:textId="02C1457B" w:rsidR="00F93769" w:rsidRPr="00B57B36" w:rsidRDefault="00E31C45" w:rsidP="007D39E5">
            <w:pPr>
              <w:pStyle w:val="CETBodytext"/>
              <w:ind w:right="-1"/>
              <w:jc w:val="center"/>
              <w:rPr>
                <w:rFonts w:cs="Arial"/>
                <w:szCs w:val="18"/>
                <w:lang w:val="en-GB"/>
              </w:rPr>
            </w:pPr>
            <w:r>
              <w:rPr>
                <w:rFonts w:cs="Arial"/>
                <w:szCs w:val="18"/>
                <w:lang w:val="en-GB"/>
              </w:rPr>
              <w:t>11</w:t>
            </w:r>
          </w:p>
        </w:tc>
        <w:tc>
          <w:tcPr>
            <w:tcW w:w="1134" w:type="dxa"/>
            <w:shd w:val="clear" w:color="auto" w:fill="FFFFFF"/>
          </w:tcPr>
          <w:p w14:paraId="467CF844" w14:textId="087A6325" w:rsidR="00F93769" w:rsidRPr="00B57B36" w:rsidRDefault="00E31C45" w:rsidP="007D39E5">
            <w:pPr>
              <w:pStyle w:val="CETBodytext"/>
              <w:ind w:right="-1"/>
              <w:jc w:val="center"/>
              <w:rPr>
                <w:rFonts w:cs="Arial"/>
                <w:szCs w:val="18"/>
                <w:lang w:val="en-GB"/>
              </w:rPr>
            </w:pPr>
            <w:r>
              <w:rPr>
                <w:rFonts w:cs="Arial"/>
                <w:szCs w:val="18"/>
                <w:lang w:val="en-GB"/>
              </w:rPr>
              <w:t>0.8</w:t>
            </w:r>
          </w:p>
        </w:tc>
        <w:tc>
          <w:tcPr>
            <w:tcW w:w="992" w:type="dxa"/>
            <w:shd w:val="clear" w:color="auto" w:fill="FFFFFF"/>
          </w:tcPr>
          <w:p w14:paraId="7E6A3F7B" w14:textId="786EC0BF" w:rsidR="00F93769" w:rsidRPr="00B57B36" w:rsidRDefault="00E31C45" w:rsidP="007D39E5">
            <w:pPr>
              <w:pStyle w:val="CETBodytext"/>
              <w:ind w:right="-1"/>
              <w:jc w:val="center"/>
              <w:rPr>
                <w:rFonts w:cs="Arial"/>
                <w:szCs w:val="18"/>
                <w:lang w:val="en-GB"/>
              </w:rPr>
            </w:pPr>
            <w:r>
              <w:rPr>
                <w:rFonts w:cs="Arial"/>
                <w:szCs w:val="18"/>
                <w:lang w:val="en-GB"/>
              </w:rPr>
              <w:t>31.6</w:t>
            </w:r>
          </w:p>
        </w:tc>
      </w:tr>
      <w:tr w:rsidR="00F93769" w:rsidRPr="00B57B36" w14:paraId="52B269A4" w14:textId="4D125FE6" w:rsidTr="00A20FCD">
        <w:tc>
          <w:tcPr>
            <w:tcW w:w="2068" w:type="dxa"/>
            <w:shd w:val="clear" w:color="auto" w:fill="FFFFFF"/>
            <w:vAlign w:val="center"/>
          </w:tcPr>
          <w:p w14:paraId="6AF59038" w14:textId="4A67F9B2" w:rsidR="00F93769" w:rsidRDefault="00F93769" w:rsidP="007D39E5">
            <w:pPr>
              <w:pStyle w:val="CETBodytext"/>
              <w:ind w:right="-1"/>
              <w:jc w:val="center"/>
              <w:rPr>
                <w:rFonts w:cs="Arial"/>
                <w:szCs w:val="18"/>
                <w:lang w:val="en-GB"/>
              </w:rPr>
            </w:pPr>
            <w:r>
              <w:rPr>
                <w:rFonts w:cs="Arial"/>
                <w:szCs w:val="18"/>
                <w:lang w:val="en-GB"/>
              </w:rPr>
              <w:t xml:space="preserve">C3. </w:t>
            </w:r>
            <w:r w:rsidR="00B010E1">
              <w:rPr>
                <w:rFonts w:cs="Arial"/>
                <w:szCs w:val="18"/>
                <w:lang w:val="en-GB"/>
              </w:rPr>
              <w:t xml:space="preserve"> </w:t>
            </w:r>
            <w:r>
              <w:rPr>
                <w:rFonts w:cs="Arial"/>
                <w:szCs w:val="18"/>
                <w:lang w:val="en-GB"/>
              </w:rPr>
              <w:t>GHG emissions</w:t>
            </w:r>
          </w:p>
        </w:tc>
        <w:tc>
          <w:tcPr>
            <w:tcW w:w="23" w:type="dxa"/>
            <w:shd w:val="clear" w:color="auto" w:fill="FFFFFF"/>
          </w:tcPr>
          <w:p w14:paraId="1158902C" w14:textId="35A8A29C" w:rsidR="00F93769" w:rsidRDefault="00F93769" w:rsidP="007D39E5">
            <w:pPr>
              <w:pStyle w:val="CETBodytext"/>
              <w:ind w:right="-1"/>
              <w:jc w:val="center"/>
              <w:rPr>
                <w:rFonts w:cs="Arial"/>
                <w:szCs w:val="18"/>
                <w:lang w:val="en-GB"/>
              </w:rPr>
            </w:pPr>
          </w:p>
        </w:tc>
        <w:tc>
          <w:tcPr>
            <w:tcW w:w="544" w:type="dxa"/>
            <w:shd w:val="clear" w:color="auto" w:fill="FFFFFF"/>
            <w:vAlign w:val="center"/>
          </w:tcPr>
          <w:p w14:paraId="69AAA615" w14:textId="2173035B" w:rsidR="00F93769" w:rsidRPr="00B57B36" w:rsidRDefault="00E31C45" w:rsidP="00F93769">
            <w:pPr>
              <w:pStyle w:val="CETBodytext"/>
              <w:ind w:right="-1"/>
              <w:jc w:val="center"/>
              <w:rPr>
                <w:rFonts w:cs="Arial"/>
                <w:szCs w:val="18"/>
                <w:lang w:val="en-GB"/>
              </w:rPr>
            </w:pPr>
            <w:r>
              <w:rPr>
                <w:rFonts w:cs="Arial"/>
                <w:szCs w:val="18"/>
                <w:lang w:val="en-GB"/>
              </w:rPr>
              <w:t>-</w:t>
            </w:r>
          </w:p>
        </w:tc>
        <w:tc>
          <w:tcPr>
            <w:tcW w:w="543" w:type="dxa"/>
            <w:shd w:val="clear" w:color="auto" w:fill="FFFFFF"/>
          </w:tcPr>
          <w:p w14:paraId="05ED58B9" w14:textId="545474E0" w:rsidR="00F93769" w:rsidRPr="00B57B36" w:rsidRDefault="00E31C45" w:rsidP="00F93769">
            <w:pPr>
              <w:pStyle w:val="CETBodytext"/>
              <w:ind w:right="-1"/>
              <w:jc w:val="center"/>
              <w:rPr>
                <w:rFonts w:cs="Arial"/>
                <w:szCs w:val="18"/>
                <w:lang w:val="en-GB"/>
              </w:rPr>
            </w:pPr>
            <w:r>
              <w:rPr>
                <w:rFonts w:cs="Arial"/>
                <w:szCs w:val="18"/>
                <w:lang w:val="en-GB"/>
              </w:rPr>
              <w:t>-</w:t>
            </w:r>
          </w:p>
        </w:tc>
        <w:tc>
          <w:tcPr>
            <w:tcW w:w="544" w:type="dxa"/>
            <w:shd w:val="clear" w:color="auto" w:fill="FFFFFF"/>
          </w:tcPr>
          <w:p w14:paraId="31B9E8C5" w14:textId="4714A5C4" w:rsidR="00F93769" w:rsidRPr="00B57B36" w:rsidRDefault="00E31C45" w:rsidP="00F93769">
            <w:pPr>
              <w:pStyle w:val="CETBodytext"/>
              <w:ind w:right="-1"/>
              <w:jc w:val="center"/>
              <w:rPr>
                <w:rFonts w:cs="Arial"/>
                <w:szCs w:val="18"/>
                <w:lang w:val="en-GB"/>
              </w:rPr>
            </w:pPr>
            <w:r>
              <w:rPr>
                <w:rFonts w:cs="Arial"/>
                <w:szCs w:val="18"/>
                <w:lang w:val="en-GB"/>
              </w:rPr>
              <w:t>-</w:t>
            </w:r>
          </w:p>
        </w:tc>
        <w:tc>
          <w:tcPr>
            <w:tcW w:w="561" w:type="dxa"/>
            <w:shd w:val="clear" w:color="auto" w:fill="FFFFFF"/>
          </w:tcPr>
          <w:p w14:paraId="73C8433E" w14:textId="68881B25" w:rsidR="00F93769" w:rsidRPr="00B57B36" w:rsidRDefault="00E31C45" w:rsidP="00F93769">
            <w:pPr>
              <w:pStyle w:val="CETBodytext"/>
              <w:ind w:right="-1"/>
              <w:jc w:val="center"/>
              <w:rPr>
                <w:rFonts w:cs="Arial"/>
                <w:szCs w:val="18"/>
                <w:lang w:val="en-GB"/>
              </w:rPr>
            </w:pPr>
            <w:r>
              <w:rPr>
                <w:rFonts w:cs="Arial"/>
                <w:szCs w:val="18"/>
                <w:lang w:val="en-GB"/>
              </w:rPr>
              <w:t>11</w:t>
            </w:r>
          </w:p>
        </w:tc>
        <w:tc>
          <w:tcPr>
            <w:tcW w:w="544" w:type="dxa"/>
            <w:shd w:val="clear" w:color="auto" w:fill="FFFFFF"/>
          </w:tcPr>
          <w:p w14:paraId="05E3E19E" w14:textId="48864CDB" w:rsidR="00F93769" w:rsidRPr="00B57B36" w:rsidRDefault="00E31C45" w:rsidP="00F93769">
            <w:pPr>
              <w:pStyle w:val="CETBodytext"/>
              <w:ind w:right="-1"/>
              <w:jc w:val="center"/>
              <w:rPr>
                <w:rFonts w:cs="Arial"/>
                <w:szCs w:val="18"/>
                <w:lang w:val="en-GB"/>
              </w:rPr>
            </w:pPr>
            <w:r>
              <w:rPr>
                <w:rFonts w:cs="Arial"/>
                <w:szCs w:val="18"/>
                <w:lang w:val="en-GB"/>
              </w:rPr>
              <w:t>8</w:t>
            </w:r>
          </w:p>
        </w:tc>
        <w:tc>
          <w:tcPr>
            <w:tcW w:w="1109" w:type="dxa"/>
            <w:shd w:val="clear" w:color="auto" w:fill="FFFFFF"/>
          </w:tcPr>
          <w:p w14:paraId="07E08899" w14:textId="0FBC6D8C" w:rsidR="00F93769" w:rsidRPr="00B57B36" w:rsidRDefault="00E31C45" w:rsidP="007D39E5">
            <w:pPr>
              <w:pStyle w:val="CETBodytext"/>
              <w:ind w:right="-1"/>
              <w:jc w:val="center"/>
              <w:rPr>
                <w:rFonts w:cs="Arial"/>
                <w:szCs w:val="18"/>
                <w:lang w:val="en-GB"/>
              </w:rPr>
            </w:pPr>
            <w:r>
              <w:rPr>
                <w:rFonts w:cs="Arial"/>
                <w:szCs w:val="18"/>
                <w:lang w:val="en-GB"/>
              </w:rPr>
              <w:t>19</w:t>
            </w:r>
          </w:p>
        </w:tc>
        <w:tc>
          <w:tcPr>
            <w:tcW w:w="1271" w:type="dxa"/>
            <w:shd w:val="clear" w:color="auto" w:fill="FFFFFF"/>
          </w:tcPr>
          <w:p w14:paraId="681A0D1A" w14:textId="7EE16EB1" w:rsidR="00F93769" w:rsidRPr="00B57B36" w:rsidRDefault="00E31C45" w:rsidP="007D39E5">
            <w:pPr>
              <w:pStyle w:val="CETBodytext"/>
              <w:ind w:right="-1"/>
              <w:jc w:val="center"/>
              <w:rPr>
                <w:rFonts w:cs="Arial"/>
                <w:szCs w:val="18"/>
                <w:lang w:val="en-GB"/>
              </w:rPr>
            </w:pPr>
            <w:r>
              <w:rPr>
                <w:rFonts w:cs="Arial"/>
                <w:szCs w:val="18"/>
                <w:lang w:val="en-GB"/>
              </w:rPr>
              <w:t>11</w:t>
            </w:r>
          </w:p>
        </w:tc>
        <w:tc>
          <w:tcPr>
            <w:tcW w:w="1134" w:type="dxa"/>
            <w:shd w:val="clear" w:color="auto" w:fill="FFFFFF"/>
          </w:tcPr>
          <w:p w14:paraId="0194BBC6" w14:textId="3878A2D9" w:rsidR="00F93769" w:rsidRPr="00B57B36" w:rsidRDefault="00E31C45" w:rsidP="007D39E5">
            <w:pPr>
              <w:pStyle w:val="CETBodytext"/>
              <w:ind w:right="-1"/>
              <w:jc w:val="center"/>
              <w:rPr>
                <w:rFonts w:cs="Arial"/>
                <w:szCs w:val="18"/>
                <w:lang w:val="en-GB"/>
              </w:rPr>
            </w:pPr>
            <w:r>
              <w:rPr>
                <w:rFonts w:cs="Arial"/>
                <w:szCs w:val="18"/>
                <w:lang w:val="en-GB"/>
              </w:rPr>
              <w:t>0.5</w:t>
            </w:r>
          </w:p>
        </w:tc>
        <w:tc>
          <w:tcPr>
            <w:tcW w:w="992" w:type="dxa"/>
            <w:shd w:val="clear" w:color="auto" w:fill="FFFFFF"/>
          </w:tcPr>
          <w:p w14:paraId="54F5CB1A" w14:textId="7B206D91" w:rsidR="00F93769" w:rsidRPr="00B57B36" w:rsidRDefault="00E31C45" w:rsidP="007D39E5">
            <w:pPr>
              <w:pStyle w:val="CETBodytext"/>
              <w:ind w:right="-1"/>
              <w:jc w:val="center"/>
              <w:rPr>
                <w:rFonts w:cs="Arial"/>
                <w:szCs w:val="18"/>
                <w:lang w:val="en-GB"/>
              </w:rPr>
            </w:pPr>
            <w:r>
              <w:rPr>
                <w:rFonts w:cs="Arial"/>
                <w:szCs w:val="18"/>
                <w:lang w:val="en-GB"/>
              </w:rPr>
              <w:t>20</w:t>
            </w:r>
          </w:p>
        </w:tc>
      </w:tr>
      <w:tr w:rsidR="00F93769" w:rsidRPr="00B57B36" w14:paraId="122C4B30" w14:textId="747D8866" w:rsidTr="00A20FCD">
        <w:tc>
          <w:tcPr>
            <w:tcW w:w="2068" w:type="dxa"/>
            <w:shd w:val="clear" w:color="auto" w:fill="FFFFFF"/>
            <w:vAlign w:val="center"/>
          </w:tcPr>
          <w:p w14:paraId="218B95A4" w14:textId="11E2F237" w:rsidR="00F93769" w:rsidRDefault="00F93769" w:rsidP="007D39E5">
            <w:pPr>
              <w:pStyle w:val="CETBodytext"/>
              <w:ind w:right="-1"/>
              <w:jc w:val="center"/>
              <w:rPr>
                <w:rFonts w:cs="Arial"/>
                <w:szCs w:val="18"/>
                <w:lang w:val="en-GB"/>
              </w:rPr>
            </w:pPr>
            <w:r>
              <w:rPr>
                <w:rFonts w:cs="Arial"/>
                <w:szCs w:val="18"/>
                <w:lang w:val="en-GB"/>
              </w:rPr>
              <w:t>C4.</w:t>
            </w:r>
            <w:r w:rsidR="00B010E1">
              <w:rPr>
                <w:rFonts w:cs="Arial"/>
                <w:szCs w:val="18"/>
                <w:lang w:val="en-GB"/>
              </w:rPr>
              <w:t xml:space="preserve"> </w:t>
            </w:r>
            <w:r>
              <w:rPr>
                <w:rFonts w:cs="Arial"/>
                <w:szCs w:val="18"/>
                <w:lang w:val="en-GB"/>
              </w:rPr>
              <w:t xml:space="preserve"> PSB</w:t>
            </w:r>
          </w:p>
        </w:tc>
        <w:tc>
          <w:tcPr>
            <w:tcW w:w="23" w:type="dxa"/>
            <w:shd w:val="clear" w:color="auto" w:fill="FFFFFF"/>
          </w:tcPr>
          <w:p w14:paraId="42380BB7" w14:textId="77777777" w:rsidR="00F93769" w:rsidRDefault="00F93769" w:rsidP="007D39E5">
            <w:pPr>
              <w:pStyle w:val="CETBodytext"/>
              <w:ind w:right="-1"/>
              <w:jc w:val="center"/>
              <w:rPr>
                <w:rFonts w:cs="Arial"/>
                <w:szCs w:val="18"/>
                <w:lang w:val="en-GB"/>
              </w:rPr>
            </w:pPr>
          </w:p>
        </w:tc>
        <w:tc>
          <w:tcPr>
            <w:tcW w:w="544" w:type="dxa"/>
            <w:shd w:val="clear" w:color="auto" w:fill="FFFFFF"/>
            <w:vAlign w:val="center"/>
          </w:tcPr>
          <w:p w14:paraId="02F87EFC" w14:textId="7BD52A6E" w:rsidR="00F93769" w:rsidRPr="00B57B36" w:rsidRDefault="002B4857" w:rsidP="00F93769">
            <w:pPr>
              <w:pStyle w:val="CETBodytext"/>
              <w:ind w:right="-1"/>
              <w:jc w:val="center"/>
              <w:rPr>
                <w:rFonts w:cs="Arial"/>
                <w:szCs w:val="18"/>
                <w:lang w:val="en-GB"/>
              </w:rPr>
            </w:pPr>
            <w:r>
              <w:rPr>
                <w:rFonts w:cs="Arial"/>
                <w:szCs w:val="18"/>
                <w:lang w:val="en-GB"/>
              </w:rPr>
              <w:t>-</w:t>
            </w:r>
          </w:p>
        </w:tc>
        <w:tc>
          <w:tcPr>
            <w:tcW w:w="543" w:type="dxa"/>
            <w:shd w:val="clear" w:color="auto" w:fill="FFFFFF"/>
          </w:tcPr>
          <w:p w14:paraId="7FFFD876" w14:textId="3BC9BB3E" w:rsidR="00F93769" w:rsidRPr="00B57B36" w:rsidRDefault="002B4857" w:rsidP="00F93769">
            <w:pPr>
              <w:pStyle w:val="CETBodytext"/>
              <w:ind w:right="-1"/>
              <w:jc w:val="center"/>
              <w:rPr>
                <w:rFonts w:cs="Arial"/>
                <w:szCs w:val="18"/>
                <w:lang w:val="en-GB"/>
              </w:rPr>
            </w:pPr>
            <w:r>
              <w:rPr>
                <w:rFonts w:cs="Arial"/>
                <w:szCs w:val="18"/>
                <w:lang w:val="en-GB"/>
              </w:rPr>
              <w:t>-</w:t>
            </w:r>
          </w:p>
        </w:tc>
        <w:tc>
          <w:tcPr>
            <w:tcW w:w="544" w:type="dxa"/>
            <w:shd w:val="clear" w:color="auto" w:fill="FFFFFF"/>
          </w:tcPr>
          <w:p w14:paraId="2378F063" w14:textId="452107F9" w:rsidR="00F93769" w:rsidRPr="00B57B36" w:rsidRDefault="002B4857" w:rsidP="00F93769">
            <w:pPr>
              <w:pStyle w:val="CETBodytext"/>
              <w:ind w:right="-1"/>
              <w:jc w:val="center"/>
              <w:rPr>
                <w:rFonts w:cs="Arial"/>
                <w:szCs w:val="18"/>
                <w:lang w:val="en-GB"/>
              </w:rPr>
            </w:pPr>
            <w:r>
              <w:rPr>
                <w:rFonts w:cs="Arial"/>
                <w:szCs w:val="18"/>
                <w:lang w:val="en-GB"/>
              </w:rPr>
              <w:t>-</w:t>
            </w:r>
          </w:p>
        </w:tc>
        <w:tc>
          <w:tcPr>
            <w:tcW w:w="561" w:type="dxa"/>
            <w:shd w:val="clear" w:color="auto" w:fill="FFFFFF"/>
          </w:tcPr>
          <w:p w14:paraId="7E3F21C4" w14:textId="1F3BBC1E" w:rsidR="00F93769" w:rsidRPr="00B57B36" w:rsidRDefault="002B4857" w:rsidP="00F93769">
            <w:pPr>
              <w:pStyle w:val="CETBodytext"/>
              <w:ind w:right="-1"/>
              <w:jc w:val="center"/>
              <w:rPr>
                <w:rFonts w:cs="Arial"/>
                <w:szCs w:val="18"/>
                <w:lang w:val="en-GB"/>
              </w:rPr>
            </w:pPr>
            <w:r>
              <w:rPr>
                <w:rFonts w:cs="Arial"/>
                <w:szCs w:val="18"/>
                <w:lang w:val="en-GB"/>
              </w:rPr>
              <w:t>-</w:t>
            </w:r>
          </w:p>
        </w:tc>
        <w:tc>
          <w:tcPr>
            <w:tcW w:w="544" w:type="dxa"/>
            <w:shd w:val="clear" w:color="auto" w:fill="FFFFFF"/>
          </w:tcPr>
          <w:p w14:paraId="18383CDD" w14:textId="51AC8A83" w:rsidR="00F93769" w:rsidRPr="00B57B36" w:rsidRDefault="002B4857" w:rsidP="00F93769">
            <w:pPr>
              <w:pStyle w:val="CETBodytext"/>
              <w:ind w:right="-1"/>
              <w:jc w:val="center"/>
              <w:rPr>
                <w:rFonts w:cs="Arial"/>
                <w:szCs w:val="18"/>
                <w:lang w:val="en-GB"/>
              </w:rPr>
            </w:pPr>
            <w:r>
              <w:rPr>
                <w:rFonts w:cs="Arial"/>
                <w:szCs w:val="18"/>
                <w:lang w:val="en-GB"/>
              </w:rPr>
              <w:t>8</w:t>
            </w:r>
          </w:p>
        </w:tc>
        <w:tc>
          <w:tcPr>
            <w:tcW w:w="1109" w:type="dxa"/>
            <w:shd w:val="clear" w:color="auto" w:fill="FFFFFF"/>
          </w:tcPr>
          <w:p w14:paraId="2A4F0780" w14:textId="634AA598" w:rsidR="00F93769" w:rsidRPr="00B57B36" w:rsidRDefault="002B4857" w:rsidP="007D39E5">
            <w:pPr>
              <w:pStyle w:val="CETBodytext"/>
              <w:ind w:right="-1"/>
              <w:jc w:val="center"/>
              <w:rPr>
                <w:rFonts w:cs="Arial"/>
                <w:szCs w:val="18"/>
                <w:lang w:val="en-GB"/>
              </w:rPr>
            </w:pPr>
            <w:r>
              <w:rPr>
                <w:rFonts w:cs="Arial"/>
                <w:szCs w:val="18"/>
                <w:lang w:val="en-GB"/>
              </w:rPr>
              <w:t>8</w:t>
            </w:r>
          </w:p>
        </w:tc>
        <w:tc>
          <w:tcPr>
            <w:tcW w:w="1271" w:type="dxa"/>
            <w:shd w:val="clear" w:color="auto" w:fill="FFFFFF"/>
          </w:tcPr>
          <w:p w14:paraId="1BC769D3" w14:textId="41BFA889" w:rsidR="00F93769" w:rsidRPr="00B57B36" w:rsidRDefault="002B4857" w:rsidP="007D39E5">
            <w:pPr>
              <w:pStyle w:val="CETBodytext"/>
              <w:ind w:right="-1"/>
              <w:jc w:val="center"/>
              <w:rPr>
                <w:rFonts w:cs="Arial"/>
                <w:szCs w:val="18"/>
                <w:lang w:val="en-GB"/>
              </w:rPr>
            </w:pPr>
            <w:r>
              <w:rPr>
                <w:rFonts w:cs="Arial"/>
                <w:szCs w:val="18"/>
                <w:lang w:val="en-GB"/>
              </w:rPr>
              <w:t>8</w:t>
            </w:r>
          </w:p>
        </w:tc>
        <w:tc>
          <w:tcPr>
            <w:tcW w:w="1134" w:type="dxa"/>
            <w:shd w:val="clear" w:color="auto" w:fill="FFFFFF"/>
          </w:tcPr>
          <w:p w14:paraId="565F2736" w14:textId="3CD1CACC" w:rsidR="00F93769" w:rsidRPr="00B57B36" w:rsidRDefault="002B4857" w:rsidP="007D39E5">
            <w:pPr>
              <w:pStyle w:val="CETBodytext"/>
              <w:ind w:right="-1"/>
              <w:jc w:val="center"/>
              <w:rPr>
                <w:rFonts w:cs="Arial"/>
                <w:szCs w:val="18"/>
                <w:lang w:val="en-GB"/>
              </w:rPr>
            </w:pPr>
            <w:r>
              <w:rPr>
                <w:rFonts w:cs="Arial"/>
                <w:szCs w:val="18"/>
                <w:lang w:val="en-GB"/>
              </w:rPr>
              <w:t>0.2</w:t>
            </w:r>
          </w:p>
        </w:tc>
        <w:tc>
          <w:tcPr>
            <w:tcW w:w="992" w:type="dxa"/>
            <w:shd w:val="clear" w:color="auto" w:fill="FFFFFF"/>
          </w:tcPr>
          <w:p w14:paraId="0EE696BC" w14:textId="4B6AA48D" w:rsidR="00F93769" w:rsidRPr="00B57B36" w:rsidRDefault="00B010E1" w:rsidP="007D39E5">
            <w:pPr>
              <w:pStyle w:val="CETBodytext"/>
              <w:ind w:right="-1"/>
              <w:jc w:val="center"/>
              <w:rPr>
                <w:rFonts w:cs="Arial"/>
                <w:szCs w:val="18"/>
                <w:lang w:val="en-GB"/>
              </w:rPr>
            </w:pPr>
            <w:r>
              <w:rPr>
                <w:rFonts w:cs="Arial"/>
                <w:szCs w:val="18"/>
                <w:lang w:val="en-GB"/>
              </w:rPr>
              <w:t>8.4</w:t>
            </w:r>
          </w:p>
        </w:tc>
      </w:tr>
      <w:tr w:rsidR="00F93769" w:rsidRPr="00B57B36" w14:paraId="4772CB56" w14:textId="3F317081" w:rsidTr="00A20FCD">
        <w:tc>
          <w:tcPr>
            <w:tcW w:w="2068" w:type="dxa"/>
            <w:shd w:val="clear" w:color="auto" w:fill="FFFFFF"/>
            <w:vAlign w:val="center"/>
          </w:tcPr>
          <w:p w14:paraId="484D2869" w14:textId="4A72E592" w:rsidR="00F93769" w:rsidRDefault="00F93769" w:rsidP="007D39E5">
            <w:pPr>
              <w:pStyle w:val="CETBodytext"/>
              <w:ind w:right="-1"/>
              <w:jc w:val="center"/>
              <w:rPr>
                <w:rFonts w:cs="Arial"/>
                <w:szCs w:val="18"/>
                <w:lang w:val="en-GB"/>
              </w:rPr>
            </w:pPr>
            <w:r>
              <w:rPr>
                <w:rFonts w:cs="Arial"/>
                <w:szCs w:val="18"/>
                <w:lang w:val="en-GB"/>
              </w:rPr>
              <w:t>C5.</w:t>
            </w:r>
            <w:r w:rsidR="00B010E1">
              <w:rPr>
                <w:rFonts w:cs="Arial"/>
                <w:szCs w:val="18"/>
                <w:lang w:val="en-GB"/>
              </w:rPr>
              <w:t xml:space="preserve"> </w:t>
            </w:r>
            <w:r>
              <w:rPr>
                <w:rFonts w:cs="Arial"/>
                <w:szCs w:val="18"/>
                <w:lang w:val="en-GB"/>
              </w:rPr>
              <w:t xml:space="preserve"> Others</w:t>
            </w:r>
          </w:p>
        </w:tc>
        <w:tc>
          <w:tcPr>
            <w:tcW w:w="23" w:type="dxa"/>
            <w:shd w:val="clear" w:color="auto" w:fill="FFFFFF"/>
          </w:tcPr>
          <w:p w14:paraId="07943D13" w14:textId="77777777" w:rsidR="00F93769" w:rsidRDefault="00F93769" w:rsidP="007D39E5">
            <w:pPr>
              <w:pStyle w:val="CETBodytext"/>
              <w:ind w:right="-1"/>
              <w:jc w:val="center"/>
              <w:rPr>
                <w:rFonts w:cs="Arial"/>
                <w:szCs w:val="18"/>
                <w:lang w:val="en-GB"/>
              </w:rPr>
            </w:pPr>
          </w:p>
        </w:tc>
        <w:tc>
          <w:tcPr>
            <w:tcW w:w="544" w:type="dxa"/>
            <w:shd w:val="clear" w:color="auto" w:fill="FFFFFF"/>
            <w:vAlign w:val="center"/>
          </w:tcPr>
          <w:p w14:paraId="531428EC" w14:textId="0D879793" w:rsidR="00F93769" w:rsidRPr="00B57B36" w:rsidRDefault="00B010E1" w:rsidP="00F93769">
            <w:pPr>
              <w:pStyle w:val="CETBodytext"/>
              <w:ind w:right="-1"/>
              <w:jc w:val="center"/>
              <w:rPr>
                <w:rFonts w:cs="Arial"/>
                <w:szCs w:val="18"/>
                <w:lang w:val="en-GB"/>
              </w:rPr>
            </w:pPr>
            <w:r>
              <w:rPr>
                <w:rFonts w:cs="Arial"/>
                <w:szCs w:val="18"/>
                <w:lang w:val="en-GB"/>
              </w:rPr>
              <w:t>-</w:t>
            </w:r>
          </w:p>
        </w:tc>
        <w:tc>
          <w:tcPr>
            <w:tcW w:w="543" w:type="dxa"/>
            <w:shd w:val="clear" w:color="auto" w:fill="FFFFFF"/>
          </w:tcPr>
          <w:p w14:paraId="0D2BB36D" w14:textId="25CEADDB" w:rsidR="00F93769" w:rsidRPr="00B57B36" w:rsidRDefault="00B010E1" w:rsidP="00F93769">
            <w:pPr>
              <w:pStyle w:val="CETBodytext"/>
              <w:ind w:right="-1"/>
              <w:jc w:val="center"/>
              <w:rPr>
                <w:rFonts w:cs="Arial"/>
                <w:szCs w:val="18"/>
                <w:lang w:val="en-GB"/>
              </w:rPr>
            </w:pPr>
            <w:r>
              <w:rPr>
                <w:rFonts w:cs="Arial"/>
                <w:szCs w:val="18"/>
                <w:lang w:val="en-GB"/>
              </w:rPr>
              <w:t>-</w:t>
            </w:r>
          </w:p>
        </w:tc>
        <w:tc>
          <w:tcPr>
            <w:tcW w:w="544" w:type="dxa"/>
            <w:shd w:val="clear" w:color="auto" w:fill="FFFFFF"/>
          </w:tcPr>
          <w:p w14:paraId="3E177008" w14:textId="04F08108" w:rsidR="00F93769" w:rsidRPr="00B57B36" w:rsidRDefault="00B010E1" w:rsidP="00F93769">
            <w:pPr>
              <w:pStyle w:val="CETBodytext"/>
              <w:ind w:right="-1"/>
              <w:jc w:val="center"/>
              <w:rPr>
                <w:rFonts w:cs="Arial"/>
                <w:szCs w:val="18"/>
                <w:lang w:val="en-GB"/>
              </w:rPr>
            </w:pPr>
            <w:r>
              <w:rPr>
                <w:rFonts w:cs="Arial"/>
                <w:szCs w:val="18"/>
                <w:lang w:val="en-GB"/>
              </w:rPr>
              <w:t>-</w:t>
            </w:r>
          </w:p>
        </w:tc>
        <w:tc>
          <w:tcPr>
            <w:tcW w:w="561" w:type="dxa"/>
            <w:shd w:val="clear" w:color="auto" w:fill="FFFFFF"/>
          </w:tcPr>
          <w:p w14:paraId="1EBC65C4" w14:textId="1992B48D" w:rsidR="00F93769" w:rsidRPr="00B57B36" w:rsidRDefault="00B010E1" w:rsidP="00F93769">
            <w:pPr>
              <w:pStyle w:val="CETBodytext"/>
              <w:ind w:right="-1"/>
              <w:jc w:val="center"/>
              <w:rPr>
                <w:rFonts w:cs="Arial"/>
                <w:szCs w:val="18"/>
                <w:lang w:val="en-GB"/>
              </w:rPr>
            </w:pPr>
            <w:r>
              <w:rPr>
                <w:rFonts w:cs="Arial"/>
                <w:szCs w:val="18"/>
                <w:lang w:val="en-GB"/>
              </w:rPr>
              <w:t>-</w:t>
            </w:r>
          </w:p>
        </w:tc>
        <w:tc>
          <w:tcPr>
            <w:tcW w:w="544" w:type="dxa"/>
            <w:shd w:val="clear" w:color="auto" w:fill="FFFFFF"/>
          </w:tcPr>
          <w:p w14:paraId="1403169E" w14:textId="2C2531E2" w:rsidR="00F93769" w:rsidRPr="00B57B36" w:rsidRDefault="00B010E1" w:rsidP="00F93769">
            <w:pPr>
              <w:pStyle w:val="CETBodytext"/>
              <w:ind w:right="-1"/>
              <w:jc w:val="center"/>
              <w:rPr>
                <w:rFonts w:cs="Arial"/>
                <w:szCs w:val="18"/>
                <w:lang w:val="en-GB"/>
              </w:rPr>
            </w:pPr>
            <w:r>
              <w:rPr>
                <w:rFonts w:cs="Arial"/>
                <w:szCs w:val="18"/>
                <w:lang w:val="en-GB"/>
              </w:rPr>
              <w:t>-</w:t>
            </w:r>
          </w:p>
        </w:tc>
        <w:tc>
          <w:tcPr>
            <w:tcW w:w="1109" w:type="dxa"/>
            <w:shd w:val="clear" w:color="auto" w:fill="FFFFFF"/>
          </w:tcPr>
          <w:p w14:paraId="7BEE52C5" w14:textId="29F76878" w:rsidR="00F93769" w:rsidRPr="00B57B36" w:rsidRDefault="00B010E1" w:rsidP="007D39E5">
            <w:pPr>
              <w:pStyle w:val="CETBodytext"/>
              <w:ind w:right="-1"/>
              <w:jc w:val="center"/>
              <w:rPr>
                <w:rFonts w:cs="Arial"/>
                <w:szCs w:val="18"/>
                <w:lang w:val="en-GB"/>
              </w:rPr>
            </w:pPr>
            <w:r>
              <w:rPr>
                <w:rFonts w:cs="Arial"/>
                <w:szCs w:val="18"/>
                <w:lang w:val="en-GB"/>
              </w:rPr>
              <w:t>-</w:t>
            </w:r>
          </w:p>
        </w:tc>
        <w:tc>
          <w:tcPr>
            <w:tcW w:w="1271" w:type="dxa"/>
            <w:shd w:val="clear" w:color="auto" w:fill="FFFFFF"/>
          </w:tcPr>
          <w:p w14:paraId="7219C8DC" w14:textId="136F945F" w:rsidR="00F93769" w:rsidRPr="00B57B36" w:rsidRDefault="00B010E1" w:rsidP="007D39E5">
            <w:pPr>
              <w:pStyle w:val="CETBodytext"/>
              <w:ind w:right="-1"/>
              <w:jc w:val="center"/>
              <w:rPr>
                <w:rFonts w:cs="Arial"/>
                <w:szCs w:val="18"/>
                <w:lang w:val="en-GB"/>
              </w:rPr>
            </w:pPr>
            <w:r>
              <w:rPr>
                <w:rFonts w:cs="Arial"/>
                <w:szCs w:val="18"/>
                <w:lang w:val="en-GB"/>
              </w:rPr>
              <w:t>-</w:t>
            </w:r>
          </w:p>
        </w:tc>
        <w:tc>
          <w:tcPr>
            <w:tcW w:w="1134" w:type="dxa"/>
            <w:shd w:val="clear" w:color="auto" w:fill="FFFFFF"/>
          </w:tcPr>
          <w:p w14:paraId="35E9B2B9" w14:textId="3A9BACA5" w:rsidR="00F93769" w:rsidRPr="00B57B36" w:rsidRDefault="00B010E1" w:rsidP="007D39E5">
            <w:pPr>
              <w:pStyle w:val="CETBodytext"/>
              <w:ind w:right="-1"/>
              <w:jc w:val="center"/>
              <w:rPr>
                <w:rFonts w:cs="Arial"/>
                <w:szCs w:val="18"/>
                <w:lang w:val="en-GB"/>
              </w:rPr>
            </w:pPr>
            <w:r>
              <w:rPr>
                <w:rFonts w:cs="Arial"/>
                <w:szCs w:val="18"/>
                <w:lang w:val="en-GB"/>
              </w:rPr>
              <w:t>-</w:t>
            </w:r>
          </w:p>
        </w:tc>
        <w:tc>
          <w:tcPr>
            <w:tcW w:w="992" w:type="dxa"/>
            <w:shd w:val="clear" w:color="auto" w:fill="FFFFFF"/>
          </w:tcPr>
          <w:p w14:paraId="66B5E645" w14:textId="013B0F43" w:rsidR="00F93769" w:rsidRPr="00B57B36" w:rsidRDefault="00B010E1" w:rsidP="007D39E5">
            <w:pPr>
              <w:pStyle w:val="CETBodytext"/>
              <w:ind w:right="-1"/>
              <w:jc w:val="center"/>
              <w:rPr>
                <w:rFonts w:cs="Arial"/>
                <w:szCs w:val="18"/>
                <w:lang w:val="en-GB"/>
              </w:rPr>
            </w:pPr>
            <w:r>
              <w:rPr>
                <w:rFonts w:cs="Arial"/>
                <w:szCs w:val="18"/>
                <w:lang w:val="en-GB"/>
              </w:rPr>
              <w:t>-</w:t>
            </w:r>
          </w:p>
        </w:tc>
      </w:tr>
      <w:tr w:rsidR="00B010E1" w:rsidRPr="00B57B36" w14:paraId="7EDE088C" w14:textId="77777777" w:rsidTr="00A20FCD">
        <w:tc>
          <w:tcPr>
            <w:tcW w:w="2068" w:type="dxa"/>
            <w:shd w:val="clear" w:color="auto" w:fill="FFFFFF"/>
            <w:vAlign w:val="center"/>
          </w:tcPr>
          <w:p w14:paraId="2EB6CF9D" w14:textId="7DB48EA7" w:rsidR="00B010E1" w:rsidRPr="00882B7D" w:rsidRDefault="00B010E1" w:rsidP="007D39E5">
            <w:pPr>
              <w:pStyle w:val="CETBodytext"/>
              <w:ind w:right="-1"/>
              <w:jc w:val="center"/>
              <w:rPr>
                <w:rFonts w:cs="Arial"/>
                <w:b/>
                <w:szCs w:val="18"/>
                <w:lang w:val="en-GB"/>
              </w:rPr>
            </w:pPr>
            <w:r w:rsidRPr="00882B7D">
              <w:rPr>
                <w:rFonts w:cs="Arial"/>
                <w:b/>
                <w:szCs w:val="18"/>
                <w:lang w:val="en-GB"/>
              </w:rPr>
              <w:t>Total</w:t>
            </w:r>
          </w:p>
        </w:tc>
        <w:tc>
          <w:tcPr>
            <w:tcW w:w="23" w:type="dxa"/>
            <w:shd w:val="clear" w:color="auto" w:fill="FFFFFF"/>
          </w:tcPr>
          <w:p w14:paraId="36477C6C" w14:textId="77777777" w:rsidR="00B010E1" w:rsidRPr="00882B7D" w:rsidRDefault="00B010E1" w:rsidP="007D39E5">
            <w:pPr>
              <w:pStyle w:val="CETBodytext"/>
              <w:ind w:right="-1"/>
              <w:jc w:val="center"/>
              <w:rPr>
                <w:rFonts w:cs="Arial"/>
                <w:b/>
                <w:szCs w:val="18"/>
                <w:lang w:val="en-GB"/>
              </w:rPr>
            </w:pPr>
          </w:p>
        </w:tc>
        <w:tc>
          <w:tcPr>
            <w:tcW w:w="544" w:type="dxa"/>
            <w:shd w:val="clear" w:color="auto" w:fill="FFFFFF"/>
            <w:vAlign w:val="center"/>
          </w:tcPr>
          <w:p w14:paraId="6F7D1286" w14:textId="12D1A155" w:rsidR="00B010E1" w:rsidRPr="00882B7D" w:rsidRDefault="00B010E1" w:rsidP="00F93769">
            <w:pPr>
              <w:pStyle w:val="CETBodytext"/>
              <w:ind w:right="-1"/>
              <w:jc w:val="center"/>
              <w:rPr>
                <w:rFonts w:cs="Arial"/>
                <w:b/>
                <w:szCs w:val="18"/>
                <w:lang w:val="en-GB"/>
              </w:rPr>
            </w:pPr>
            <w:r w:rsidRPr="00882B7D">
              <w:rPr>
                <w:rFonts w:cs="Arial"/>
                <w:b/>
                <w:szCs w:val="18"/>
                <w:lang w:val="en-GB"/>
              </w:rPr>
              <w:t>-</w:t>
            </w:r>
          </w:p>
        </w:tc>
        <w:tc>
          <w:tcPr>
            <w:tcW w:w="543" w:type="dxa"/>
            <w:shd w:val="clear" w:color="auto" w:fill="FFFFFF"/>
          </w:tcPr>
          <w:p w14:paraId="2C3C8FF9" w14:textId="0F26F11B" w:rsidR="00B010E1" w:rsidRPr="00882B7D" w:rsidRDefault="00B010E1" w:rsidP="00F93769">
            <w:pPr>
              <w:pStyle w:val="CETBodytext"/>
              <w:ind w:right="-1"/>
              <w:jc w:val="center"/>
              <w:rPr>
                <w:rFonts w:cs="Arial"/>
                <w:b/>
                <w:szCs w:val="18"/>
                <w:lang w:val="en-GB"/>
              </w:rPr>
            </w:pPr>
            <w:r w:rsidRPr="00882B7D">
              <w:rPr>
                <w:rFonts w:cs="Arial"/>
                <w:b/>
                <w:szCs w:val="18"/>
                <w:lang w:val="en-GB"/>
              </w:rPr>
              <w:t>-</w:t>
            </w:r>
          </w:p>
        </w:tc>
        <w:tc>
          <w:tcPr>
            <w:tcW w:w="544" w:type="dxa"/>
            <w:shd w:val="clear" w:color="auto" w:fill="FFFFFF"/>
          </w:tcPr>
          <w:p w14:paraId="2A6C0F83" w14:textId="63FC4743" w:rsidR="00B010E1" w:rsidRPr="00882B7D" w:rsidRDefault="00B010E1" w:rsidP="00F93769">
            <w:pPr>
              <w:pStyle w:val="CETBodytext"/>
              <w:ind w:right="-1"/>
              <w:jc w:val="center"/>
              <w:rPr>
                <w:rFonts w:cs="Arial"/>
                <w:b/>
                <w:szCs w:val="18"/>
                <w:lang w:val="en-GB"/>
              </w:rPr>
            </w:pPr>
            <w:r w:rsidRPr="00882B7D">
              <w:rPr>
                <w:rFonts w:cs="Arial"/>
                <w:b/>
                <w:szCs w:val="18"/>
                <w:lang w:val="en-GB"/>
              </w:rPr>
              <w:t>-</w:t>
            </w:r>
          </w:p>
        </w:tc>
        <w:tc>
          <w:tcPr>
            <w:tcW w:w="561" w:type="dxa"/>
            <w:shd w:val="clear" w:color="auto" w:fill="FFFFFF"/>
          </w:tcPr>
          <w:p w14:paraId="0E9BD615" w14:textId="6046C6DB" w:rsidR="00B010E1" w:rsidRPr="00882B7D" w:rsidRDefault="00B010E1" w:rsidP="00F93769">
            <w:pPr>
              <w:pStyle w:val="CETBodytext"/>
              <w:ind w:right="-1"/>
              <w:jc w:val="center"/>
              <w:rPr>
                <w:rFonts w:cs="Arial"/>
                <w:b/>
                <w:szCs w:val="18"/>
                <w:lang w:val="en-GB"/>
              </w:rPr>
            </w:pPr>
            <w:r w:rsidRPr="00882B7D">
              <w:rPr>
                <w:rFonts w:cs="Arial"/>
                <w:b/>
                <w:szCs w:val="18"/>
                <w:lang w:val="en-GB"/>
              </w:rPr>
              <w:t>-</w:t>
            </w:r>
          </w:p>
        </w:tc>
        <w:tc>
          <w:tcPr>
            <w:tcW w:w="544" w:type="dxa"/>
            <w:shd w:val="clear" w:color="auto" w:fill="FFFFFF"/>
          </w:tcPr>
          <w:p w14:paraId="0B708DAB" w14:textId="1647A085" w:rsidR="00B010E1" w:rsidRPr="00882B7D" w:rsidRDefault="00B010E1" w:rsidP="00F93769">
            <w:pPr>
              <w:pStyle w:val="CETBodytext"/>
              <w:ind w:right="-1"/>
              <w:jc w:val="center"/>
              <w:rPr>
                <w:rFonts w:cs="Arial"/>
                <w:b/>
                <w:szCs w:val="18"/>
                <w:lang w:val="en-GB"/>
              </w:rPr>
            </w:pPr>
            <w:r w:rsidRPr="00882B7D">
              <w:rPr>
                <w:rFonts w:cs="Arial"/>
                <w:b/>
                <w:szCs w:val="18"/>
                <w:lang w:val="en-GB"/>
              </w:rPr>
              <w:t>-</w:t>
            </w:r>
          </w:p>
        </w:tc>
        <w:tc>
          <w:tcPr>
            <w:tcW w:w="1109" w:type="dxa"/>
            <w:shd w:val="clear" w:color="auto" w:fill="FFFFFF"/>
          </w:tcPr>
          <w:p w14:paraId="77F788C6" w14:textId="54E5C371" w:rsidR="00B010E1" w:rsidRPr="00882B7D" w:rsidRDefault="00B010E1" w:rsidP="007D39E5">
            <w:pPr>
              <w:pStyle w:val="CETBodytext"/>
              <w:ind w:right="-1"/>
              <w:jc w:val="center"/>
              <w:rPr>
                <w:rFonts w:cs="Arial"/>
                <w:b/>
                <w:szCs w:val="18"/>
                <w:lang w:val="en-GB"/>
              </w:rPr>
            </w:pPr>
            <w:r w:rsidRPr="00882B7D">
              <w:rPr>
                <w:rFonts w:cs="Arial"/>
                <w:b/>
                <w:szCs w:val="18"/>
                <w:lang w:val="en-GB"/>
              </w:rPr>
              <w:t>-</w:t>
            </w:r>
          </w:p>
        </w:tc>
        <w:tc>
          <w:tcPr>
            <w:tcW w:w="1271" w:type="dxa"/>
            <w:shd w:val="clear" w:color="auto" w:fill="FFFFFF"/>
          </w:tcPr>
          <w:p w14:paraId="6E4701D9" w14:textId="16C4E9CF" w:rsidR="00B010E1" w:rsidRPr="00882B7D" w:rsidRDefault="00B010E1" w:rsidP="007D39E5">
            <w:pPr>
              <w:pStyle w:val="CETBodytext"/>
              <w:ind w:right="-1"/>
              <w:jc w:val="center"/>
              <w:rPr>
                <w:rFonts w:cs="Arial"/>
                <w:b/>
                <w:szCs w:val="18"/>
                <w:lang w:val="en-GB"/>
              </w:rPr>
            </w:pPr>
            <w:r w:rsidRPr="00882B7D">
              <w:rPr>
                <w:rFonts w:cs="Arial"/>
                <w:b/>
                <w:szCs w:val="18"/>
                <w:lang w:val="en-GB"/>
              </w:rPr>
              <w:t>38</w:t>
            </w:r>
          </w:p>
        </w:tc>
        <w:tc>
          <w:tcPr>
            <w:tcW w:w="1134" w:type="dxa"/>
            <w:shd w:val="clear" w:color="auto" w:fill="FFFFFF"/>
          </w:tcPr>
          <w:p w14:paraId="351ECDA8" w14:textId="7955C960" w:rsidR="00B010E1" w:rsidRPr="00882B7D" w:rsidRDefault="00B010E1" w:rsidP="007D39E5">
            <w:pPr>
              <w:pStyle w:val="CETBodytext"/>
              <w:ind w:right="-1"/>
              <w:jc w:val="center"/>
              <w:rPr>
                <w:rFonts w:cs="Arial"/>
                <w:b/>
                <w:szCs w:val="18"/>
                <w:lang w:val="en-GB"/>
              </w:rPr>
            </w:pPr>
            <w:r w:rsidRPr="00882B7D">
              <w:rPr>
                <w:rFonts w:cs="Arial"/>
                <w:b/>
                <w:szCs w:val="18"/>
                <w:lang w:val="en-GB"/>
              </w:rPr>
              <w:t>2.5</w:t>
            </w:r>
          </w:p>
        </w:tc>
        <w:tc>
          <w:tcPr>
            <w:tcW w:w="992" w:type="dxa"/>
            <w:shd w:val="clear" w:color="auto" w:fill="FFFFFF"/>
          </w:tcPr>
          <w:p w14:paraId="79C46831" w14:textId="755CC0B7" w:rsidR="00B010E1" w:rsidRPr="00882B7D" w:rsidRDefault="00B010E1" w:rsidP="007D39E5">
            <w:pPr>
              <w:pStyle w:val="CETBodytext"/>
              <w:ind w:right="-1"/>
              <w:jc w:val="center"/>
              <w:rPr>
                <w:rFonts w:cs="Arial"/>
                <w:b/>
                <w:szCs w:val="18"/>
                <w:lang w:val="en-GB"/>
              </w:rPr>
            </w:pPr>
            <w:r w:rsidRPr="00882B7D">
              <w:rPr>
                <w:rFonts w:cs="Arial"/>
                <w:b/>
                <w:szCs w:val="18"/>
                <w:lang w:val="en-GB"/>
              </w:rPr>
              <w:t>100</w:t>
            </w:r>
          </w:p>
        </w:tc>
      </w:tr>
    </w:tbl>
    <w:p w14:paraId="1D032713" w14:textId="0380EB59" w:rsidR="00BB763C" w:rsidRDefault="00BB763C" w:rsidP="00BB763C">
      <w:pPr>
        <w:pStyle w:val="CETBodytext"/>
        <w:rPr>
          <w:lang w:val="en-GB"/>
        </w:rPr>
      </w:pPr>
      <w:r w:rsidRPr="00BB763C">
        <w:rPr>
          <w:lang w:val="en-GB"/>
        </w:rPr>
        <w:t xml:space="preserve">Table 3 consolidates the information related to the calculation of the global profitability for the selection of biomass, based on the following alternatives: bioethanol from sugarcane (BSC), energy crops (EC), empty fruit bunches of palm oil (EFBPO), forest lignocellulosic biomass with the species </w:t>
      </w:r>
      <w:r w:rsidRPr="00BB763C">
        <w:rPr>
          <w:i/>
          <w:lang w:val="en-GB"/>
        </w:rPr>
        <w:t>Pinus Patula</w:t>
      </w:r>
      <w:r w:rsidRPr="00BB763C">
        <w:rPr>
          <w:lang w:val="en-GB"/>
        </w:rPr>
        <w:t xml:space="preserve"> (PP), </w:t>
      </w:r>
      <w:r w:rsidR="008057CC">
        <w:rPr>
          <w:lang w:val="en-GB"/>
        </w:rPr>
        <w:t>palm oil</w:t>
      </w:r>
      <w:r w:rsidRPr="00BB763C">
        <w:rPr>
          <w:lang w:val="en-GB"/>
        </w:rPr>
        <w:t xml:space="preserve"> (PO), organic fraction of solid waste (OFSW), and used cooking oil (UCO). The weighting of the alternatives according to the sustainability indicators in bioenergy production, calculated in the multicriteria analysis, led to the selection of</w:t>
      </w:r>
      <w:r w:rsidR="00A57A93">
        <w:rPr>
          <w:lang w:val="en-GB"/>
        </w:rPr>
        <w:t xml:space="preserve"> </w:t>
      </w:r>
      <w:r w:rsidRPr="00BB763C">
        <w:rPr>
          <w:lang w:val="en-GB"/>
        </w:rPr>
        <w:t>EFBPO,</w:t>
      </w:r>
      <w:r w:rsidR="00A57A93">
        <w:rPr>
          <w:lang w:val="en-GB"/>
        </w:rPr>
        <w:t xml:space="preserve"> PP</w:t>
      </w:r>
      <w:r w:rsidRPr="00BB763C">
        <w:rPr>
          <w:lang w:val="en-GB"/>
        </w:rPr>
        <w:t xml:space="preserve"> and UCO as the raw materials for SAF production through ATJ, FT, and HEFA, respectively.</w:t>
      </w:r>
    </w:p>
    <w:p w14:paraId="75AAEBEF" w14:textId="77777777" w:rsidR="00BB763C" w:rsidRDefault="00BB763C" w:rsidP="00BB763C">
      <w:pPr>
        <w:pStyle w:val="CETBodytext"/>
      </w:pPr>
    </w:p>
    <w:p w14:paraId="13394F55" w14:textId="6EACA7B6" w:rsidR="00164624" w:rsidRPr="00B57B36" w:rsidRDefault="00164624" w:rsidP="00BB763C">
      <w:pPr>
        <w:pStyle w:val="CETBodytext"/>
      </w:pPr>
      <w:r w:rsidRPr="00B57B36">
        <w:t xml:space="preserve">Table </w:t>
      </w:r>
      <w:r w:rsidR="004B4FD1">
        <w:t>3</w:t>
      </w:r>
      <w:r w:rsidRPr="00B57B36">
        <w:t xml:space="preserve">: </w:t>
      </w:r>
      <w:r w:rsidRPr="003A204E">
        <w:rPr>
          <w:i/>
        </w:rPr>
        <w:t>Final utility of the Macbeth method.</w:t>
      </w:r>
    </w:p>
    <w:tbl>
      <w:tblPr>
        <w:tblW w:w="7045"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2351"/>
        <w:gridCol w:w="341"/>
        <w:gridCol w:w="466"/>
        <w:gridCol w:w="545"/>
        <w:gridCol w:w="276"/>
        <w:gridCol w:w="546"/>
        <w:gridCol w:w="2520"/>
      </w:tblGrid>
      <w:tr w:rsidR="00BB763C" w:rsidRPr="00B57B36" w14:paraId="33A1BB56" w14:textId="77777777" w:rsidTr="008057CC">
        <w:tc>
          <w:tcPr>
            <w:tcW w:w="2351" w:type="dxa"/>
            <w:tcBorders>
              <w:top w:val="single" w:sz="12" w:space="0" w:color="008000"/>
              <w:bottom w:val="single" w:sz="6" w:space="0" w:color="008000"/>
            </w:tcBorders>
            <w:shd w:val="clear" w:color="auto" w:fill="FFFFFF"/>
            <w:vAlign w:val="center"/>
          </w:tcPr>
          <w:p w14:paraId="18A52621" w14:textId="027A4DD5" w:rsidR="00BB763C" w:rsidRPr="00882B7D" w:rsidRDefault="00BB763C" w:rsidP="004C0911">
            <w:pPr>
              <w:pStyle w:val="CETBodytext"/>
              <w:jc w:val="center"/>
              <w:rPr>
                <w:b/>
                <w:lang w:val="en-GB"/>
              </w:rPr>
            </w:pPr>
            <w:r w:rsidRPr="00882B7D">
              <w:rPr>
                <w:b/>
                <w:lang w:val="en-GB"/>
              </w:rPr>
              <w:t>Alternatives of biomass</w:t>
            </w:r>
            <w:r w:rsidR="00216CAE">
              <w:rPr>
                <w:b/>
                <w:lang w:val="en-GB"/>
              </w:rPr>
              <w:t xml:space="preserve"> (</w:t>
            </w:r>
            <m:oMath>
              <m:r>
                <w:rPr>
                  <w:rFonts w:ascii="Cambria Math" w:hAnsi="Cambria Math"/>
                  <w:lang w:val="en-GB"/>
                </w:rPr>
                <m:t>i</m:t>
              </m:r>
            </m:oMath>
            <w:r w:rsidR="00D66400" w:rsidRPr="00D66400">
              <w:rPr>
                <w:b/>
                <w:lang w:val="en-GB"/>
              </w:rPr>
              <w:t>)</w:t>
            </w:r>
          </w:p>
        </w:tc>
        <w:tc>
          <w:tcPr>
            <w:tcW w:w="341" w:type="dxa"/>
            <w:tcBorders>
              <w:top w:val="single" w:sz="12" w:space="0" w:color="008000"/>
              <w:bottom w:val="single" w:sz="6" w:space="0" w:color="008000"/>
            </w:tcBorders>
            <w:shd w:val="clear" w:color="auto" w:fill="FFFFFF"/>
          </w:tcPr>
          <w:p w14:paraId="12B486F3" w14:textId="77777777" w:rsidR="00BB763C" w:rsidRPr="00882B7D" w:rsidRDefault="00BB763C" w:rsidP="004C0911">
            <w:pPr>
              <w:pStyle w:val="CETBodytext"/>
              <w:jc w:val="center"/>
              <w:rPr>
                <w:b/>
                <w:lang w:val="en-GB"/>
              </w:rPr>
            </w:pPr>
          </w:p>
        </w:tc>
        <w:tc>
          <w:tcPr>
            <w:tcW w:w="466" w:type="dxa"/>
            <w:tcBorders>
              <w:top w:val="single" w:sz="12" w:space="0" w:color="008000"/>
              <w:bottom w:val="single" w:sz="6" w:space="0" w:color="008000"/>
            </w:tcBorders>
            <w:shd w:val="clear" w:color="auto" w:fill="FFFFFF"/>
            <w:vAlign w:val="center"/>
          </w:tcPr>
          <w:p w14:paraId="32A9CC47" w14:textId="77777777" w:rsidR="00BB763C" w:rsidRPr="00882B7D" w:rsidRDefault="00BB763C" w:rsidP="004C0911">
            <w:pPr>
              <w:pStyle w:val="CETBodytext"/>
              <w:jc w:val="center"/>
              <w:rPr>
                <w:b/>
                <w:lang w:val="en-GB"/>
              </w:rPr>
            </w:pPr>
            <w:r w:rsidRPr="00882B7D">
              <w:rPr>
                <w:b/>
                <w:lang w:val="en-GB"/>
              </w:rPr>
              <w:t>C1</w:t>
            </w:r>
          </w:p>
        </w:tc>
        <w:tc>
          <w:tcPr>
            <w:tcW w:w="545" w:type="dxa"/>
            <w:tcBorders>
              <w:top w:val="single" w:sz="12" w:space="0" w:color="008000"/>
              <w:bottom w:val="single" w:sz="6" w:space="0" w:color="008000"/>
            </w:tcBorders>
            <w:shd w:val="clear" w:color="auto" w:fill="FFFFFF"/>
          </w:tcPr>
          <w:p w14:paraId="370E9BE1" w14:textId="77777777" w:rsidR="00BB763C" w:rsidRPr="00882B7D" w:rsidRDefault="00BB763C" w:rsidP="004C0911">
            <w:pPr>
              <w:pStyle w:val="CETBodytext"/>
              <w:jc w:val="center"/>
              <w:rPr>
                <w:b/>
                <w:lang w:val="en-GB"/>
              </w:rPr>
            </w:pPr>
            <w:r w:rsidRPr="00882B7D">
              <w:rPr>
                <w:b/>
                <w:lang w:val="en-GB"/>
              </w:rPr>
              <w:t>C2</w:t>
            </w:r>
          </w:p>
        </w:tc>
        <w:tc>
          <w:tcPr>
            <w:tcW w:w="276" w:type="dxa"/>
            <w:tcBorders>
              <w:top w:val="single" w:sz="12" w:space="0" w:color="008000"/>
              <w:bottom w:val="single" w:sz="6" w:space="0" w:color="008000"/>
            </w:tcBorders>
            <w:shd w:val="clear" w:color="auto" w:fill="FFFFFF"/>
          </w:tcPr>
          <w:p w14:paraId="467EE9A5" w14:textId="77777777" w:rsidR="00BB763C" w:rsidRPr="00882B7D" w:rsidRDefault="00BB763C" w:rsidP="004C0911">
            <w:pPr>
              <w:pStyle w:val="CETBodytext"/>
              <w:jc w:val="center"/>
              <w:rPr>
                <w:b/>
                <w:lang w:val="en-GB"/>
              </w:rPr>
            </w:pPr>
            <w:r w:rsidRPr="00882B7D">
              <w:rPr>
                <w:b/>
                <w:lang w:val="en-GB"/>
              </w:rPr>
              <w:t>C3</w:t>
            </w:r>
          </w:p>
        </w:tc>
        <w:tc>
          <w:tcPr>
            <w:tcW w:w="546" w:type="dxa"/>
            <w:tcBorders>
              <w:top w:val="single" w:sz="12" w:space="0" w:color="008000"/>
              <w:bottom w:val="single" w:sz="6" w:space="0" w:color="008000"/>
            </w:tcBorders>
            <w:shd w:val="clear" w:color="auto" w:fill="FFFFFF"/>
          </w:tcPr>
          <w:p w14:paraId="0DD62FCB" w14:textId="77777777" w:rsidR="00BB763C" w:rsidRPr="00882B7D" w:rsidRDefault="00BB763C" w:rsidP="004C0911">
            <w:pPr>
              <w:pStyle w:val="CETBodytext"/>
              <w:jc w:val="center"/>
              <w:rPr>
                <w:b/>
                <w:lang w:val="en-GB"/>
              </w:rPr>
            </w:pPr>
            <w:r w:rsidRPr="00882B7D">
              <w:rPr>
                <w:b/>
                <w:lang w:val="en-GB"/>
              </w:rPr>
              <w:t>C4</w:t>
            </w:r>
          </w:p>
        </w:tc>
        <w:tc>
          <w:tcPr>
            <w:tcW w:w="2520" w:type="dxa"/>
            <w:tcBorders>
              <w:top w:val="single" w:sz="12" w:space="0" w:color="008000"/>
              <w:bottom w:val="single" w:sz="6" w:space="0" w:color="008000"/>
            </w:tcBorders>
            <w:shd w:val="clear" w:color="auto" w:fill="FFFFFF"/>
          </w:tcPr>
          <w:p w14:paraId="5CAB5326" w14:textId="4A992226" w:rsidR="00BB763C" w:rsidRPr="00882B7D" w:rsidRDefault="00BB763C" w:rsidP="004C0911">
            <w:pPr>
              <w:pStyle w:val="CETBodytext"/>
              <w:jc w:val="center"/>
              <w:rPr>
                <w:b/>
                <w:lang w:val="en-GB"/>
              </w:rPr>
            </w:pPr>
            <w:r w:rsidRPr="00882B7D">
              <w:rPr>
                <w:b/>
                <w:lang w:val="en-GB"/>
              </w:rPr>
              <w:t>Utility (</w:t>
            </w:r>
            <m:oMath>
              <m:sSub>
                <m:sSubPr>
                  <m:ctrlPr>
                    <w:rPr>
                      <w:rFonts w:ascii="Cambria Math" w:hAnsi="Cambria Math"/>
                      <w:b/>
                      <w:i/>
                      <w:szCs w:val="24"/>
                    </w:rPr>
                  </m:ctrlPr>
                </m:sSubPr>
                <m:e>
                  <m:r>
                    <m:rPr>
                      <m:sty m:val="bi"/>
                    </m:rPr>
                    <w:rPr>
                      <w:rFonts w:ascii="Cambria Math" w:hAnsi="Cambria Math"/>
                      <w:szCs w:val="24"/>
                    </w:rPr>
                    <m:t>U</m:t>
                  </m:r>
                </m:e>
                <m:sub>
                  <m:r>
                    <m:rPr>
                      <m:sty m:val="bi"/>
                    </m:rPr>
                    <w:rPr>
                      <w:rFonts w:ascii="Cambria Math" w:hAnsi="Cambria Math"/>
                      <w:szCs w:val="24"/>
                    </w:rPr>
                    <m:t>i</m:t>
                  </m:r>
                </m:sub>
              </m:sSub>
            </m:oMath>
            <w:r w:rsidRPr="00882B7D">
              <w:rPr>
                <w:b/>
                <w:szCs w:val="24"/>
              </w:rPr>
              <w:t>)</w:t>
            </w:r>
          </w:p>
        </w:tc>
      </w:tr>
      <w:tr w:rsidR="005A34FB" w:rsidRPr="00B57B36" w14:paraId="44615DA2" w14:textId="77777777" w:rsidTr="008057CC">
        <w:tc>
          <w:tcPr>
            <w:tcW w:w="2351" w:type="dxa"/>
            <w:shd w:val="clear" w:color="auto" w:fill="FFFFFF"/>
            <w:vAlign w:val="center"/>
          </w:tcPr>
          <w:p w14:paraId="35AC14D2" w14:textId="216A2C27" w:rsidR="005A34FB" w:rsidRDefault="005A34FB" w:rsidP="005A34FB">
            <w:pPr>
              <w:pStyle w:val="CETBodytext"/>
              <w:jc w:val="center"/>
              <w:rPr>
                <w:lang w:val="en-GB"/>
              </w:rPr>
            </w:pPr>
            <w:r>
              <w:rPr>
                <w:rFonts w:cs="Arial"/>
                <w:szCs w:val="18"/>
                <w:lang w:val="en-GB"/>
              </w:rPr>
              <w:t>UCO</w:t>
            </w:r>
          </w:p>
        </w:tc>
        <w:tc>
          <w:tcPr>
            <w:tcW w:w="341" w:type="dxa"/>
            <w:shd w:val="clear" w:color="auto" w:fill="FFFFFF"/>
          </w:tcPr>
          <w:p w14:paraId="25A79455" w14:textId="77777777" w:rsidR="005A34FB" w:rsidRDefault="005A34FB" w:rsidP="005A34FB">
            <w:pPr>
              <w:pStyle w:val="CETBodytext"/>
              <w:jc w:val="center"/>
              <w:rPr>
                <w:lang w:val="en-GB"/>
              </w:rPr>
            </w:pPr>
          </w:p>
        </w:tc>
        <w:tc>
          <w:tcPr>
            <w:tcW w:w="466" w:type="dxa"/>
            <w:shd w:val="clear" w:color="auto" w:fill="FFFFFF"/>
            <w:vAlign w:val="center"/>
          </w:tcPr>
          <w:p w14:paraId="28F244C4" w14:textId="012C88EC" w:rsidR="005A34FB" w:rsidRDefault="005A34FB" w:rsidP="005A34FB">
            <w:pPr>
              <w:pStyle w:val="CETBodytext"/>
              <w:jc w:val="center"/>
              <w:rPr>
                <w:lang w:val="en-GB"/>
              </w:rPr>
            </w:pPr>
            <w:r>
              <w:rPr>
                <w:rFonts w:cs="Arial"/>
                <w:szCs w:val="18"/>
                <w:lang w:val="en-GB"/>
              </w:rPr>
              <w:t>5</w:t>
            </w:r>
          </w:p>
        </w:tc>
        <w:tc>
          <w:tcPr>
            <w:tcW w:w="545" w:type="dxa"/>
            <w:shd w:val="clear" w:color="auto" w:fill="FFFFFF"/>
          </w:tcPr>
          <w:p w14:paraId="7144DC68" w14:textId="248D746B" w:rsidR="005A34FB" w:rsidRDefault="005A34FB" w:rsidP="005A34FB">
            <w:pPr>
              <w:pStyle w:val="CETBodytext"/>
              <w:jc w:val="center"/>
              <w:rPr>
                <w:lang w:val="en-GB"/>
              </w:rPr>
            </w:pPr>
            <w:r>
              <w:rPr>
                <w:rFonts w:cs="Arial"/>
                <w:szCs w:val="18"/>
                <w:lang w:val="en-GB"/>
              </w:rPr>
              <w:t>5</w:t>
            </w:r>
          </w:p>
        </w:tc>
        <w:tc>
          <w:tcPr>
            <w:tcW w:w="276" w:type="dxa"/>
            <w:shd w:val="clear" w:color="auto" w:fill="FFFFFF"/>
          </w:tcPr>
          <w:p w14:paraId="79C86D60" w14:textId="61B7E691" w:rsidR="005A34FB" w:rsidRDefault="005A34FB" w:rsidP="005A34FB">
            <w:pPr>
              <w:pStyle w:val="CETBodytext"/>
              <w:jc w:val="center"/>
              <w:rPr>
                <w:lang w:val="en-GB"/>
              </w:rPr>
            </w:pPr>
            <w:r>
              <w:rPr>
                <w:rFonts w:cs="Arial"/>
                <w:szCs w:val="18"/>
                <w:lang w:val="en-GB"/>
              </w:rPr>
              <w:t>3</w:t>
            </w:r>
          </w:p>
        </w:tc>
        <w:tc>
          <w:tcPr>
            <w:tcW w:w="546" w:type="dxa"/>
            <w:shd w:val="clear" w:color="auto" w:fill="FFFFFF"/>
          </w:tcPr>
          <w:p w14:paraId="1918F5C9" w14:textId="671528C5" w:rsidR="005A34FB" w:rsidRDefault="005A34FB" w:rsidP="005A34FB">
            <w:pPr>
              <w:pStyle w:val="CETBodytext"/>
              <w:jc w:val="center"/>
              <w:rPr>
                <w:lang w:val="en-GB"/>
              </w:rPr>
            </w:pPr>
            <w:r>
              <w:rPr>
                <w:rFonts w:cs="Arial"/>
                <w:szCs w:val="18"/>
                <w:lang w:val="en-GB"/>
              </w:rPr>
              <w:t>5</w:t>
            </w:r>
          </w:p>
        </w:tc>
        <w:tc>
          <w:tcPr>
            <w:tcW w:w="2520" w:type="dxa"/>
            <w:shd w:val="clear" w:color="auto" w:fill="FFFFFF"/>
          </w:tcPr>
          <w:p w14:paraId="6D99E7E0" w14:textId="34C8D33F" w:rsidR="005A34FB" w:rsidRDefault="005A34FB" w:rsidP="005A34FB">
            <w:pPr>
              <w:pStyle w:val="CETBodytext"/>
              <w:jc w:val="center"/>
              <w:rPr>
                <w:lang w:val="en-GB"/>
              </w:rPr>
            </w:pPr>
            <w:r>
              <w:rPr>
                <w:rFonts w:cs="Arial"/>
                <w:szCs w:val="18"/>
                <w:lang w:val="en-GB"/>
              </w:rPr>
              <w:t>4.600</w:t>
            </w:r>
          </w:p>
        </w:tc>
      </w:tr>
      <w:tr w:rsidR="005A34FB" w:rsidRPr="00B57B36" w14:paraId="01B9018A" w14:textId="77777777" w:rsidTr="008057CC">
        <w:tc>
          <w:tcPr>
            <w:tcW w:w="2351" w:type="dxa"/>
            <w:shd w:val="clear" w:color="auto" w:fill="FFFFFF"/>
            <w:vAlign w:val="center"/>
          </w:tcPr>
          <w:p w14:paraId="5E9CA69C" w14:textId="377F4B23" w:rsidR="005A34FB" w:rsidRPr="00B57B36" w:rsidRDefault="005A34FB" w:rsidP="005A34FB">
            <w:pPr>
              <w:pStyle w:val="CETBodytext"/>
              <w:jc w:val="center"/>
              <w:rPr>
                <w:lang w:val="en-GB"/>
              </w:rPr>
            </w:pPr>
            <w:r>
              <w:rPr>
                <w:lang w:val="en-GB"/>
              </w:rPr>
              <w:t>EFBOP</w:t>
            </w:r>
          </w:p>
        </w:tc>
        <w:tc>
          <w:tcPr>
            <w:tcW w:w="341" w:type="dxa"/>
            <w:shd w:val="clear" w:color="auto" w:fill="FFFFFF"/>
          </w:tcPr>
          <w:p w14:paraId="3AB09CBE" w14:textId="77777777" w:rsidR="005A34FB" w:rsidRDefault="005A34FB" w:rsidP="005A34FB">
            <w:pPr>
              <w:pStyle w:val="CETBodytext"/>
              <w:jc w:val="center"/>
              <w:rPr>
                <w:lang w:val="en-GB"/>
              </w:rPr>
            </w:pPr>
          </w:p>
        </w:tc>
        <w:tc>
          <w:tcPr>
            <w:tcW w:w="466" w:type="dxa"/>
            <w:shd w:val="clear" w:color="auto" w:fill="FFFFFF"/>
            <w:vAlign w:val="center"/>
          </w:tcPr>
          <w:p w14:paraId="2479F859" w14:textId="31138A9B" w:rsidR="005A34FB" w:rsidRPr="00B57B36" w:rsidRDefault="005A34FB" w:rsidP="005A34FB">
            <w:pPr>
              <w:pStyle w:val="CETBodytext"/>
              <w:jc w:val="center"/>
              <w:rPr>
                <w:lang w:val="en-GB"/>
              </w:rPr>
            </w:pPr>
            <w:r>
              <w:rPr>
                <w:lang w:val="en-GB"/>
              </w:rPr>
              <w:t>5</w:t>
            </w:r>
          </w:p>
        </w:tc>
        <w:tc>
          <w:tcPr>
            <w:tcW w:w="545" w:type="dxa"/>
            <w:shd w:val="clear" w:color="auto" w:fill="FFFFFF"/>
          </w:tcPr>
          <w:p w14:paraId="76392135" w14:textId="6AB2B29D" w:rsidR="005A34FB" w:rsidRPr="00B57B36" w:rsidRDefault="005A34FB" w:rsidP="005A34FB">
            <w:pPr>
              <w:pStyle w:val="CETBodytext"/>
              <w:jc w:val="center"/>
              <w:rPr>
                <w:lang w:val="en-GB"/>
              </w:rPr>
            </w:pPr>
            <w:r>
              <w:rPr>
                <w:lang w:val="en-GB"/>
              </w:rPr>
              <w:t>5</w:t>
            </w:r>
          </w:p>
        </w:tc>
        <w:tc>
          <w:tcPr>
            <w:tcW w:w="276" w:type="dxa"/>
            <w:shd w:val="clear" w:color="auto" w:fill="FFFFFF"/>
          </w:tcPr>
          <w:p w14:paraId="08BBD4E9" w14:textId="38D2F5DB" w:rsidR="005A34FB" w:rsidRPr="00B57B36" w:rsidRDefault="005A34FB" w:rsidP="005A34FB">
            <w:pPr>
              <w:pStyle w:val="CETBodytext"/>
              <w:jc w:val="center"/>
              <w:rPr>
                <w:lang w:val="en-GB"/>
              </w:rPr>
            </w:pPr>
            <w:r>
              <w:rPr>
                <w:lang w:val="en-GB"/>
              </w:rPr>
              <w:t>3</w:t>
            </w:r>
          </w:p>
        </w:tc>
        <w:tc>
          <w:tcPr>
            <w:tcW w:w="546" w:type="dxa"/>
            <w:shd w:val="clear" w:color="auto" w:fill="FFFFFF"/>
          </w:tcPr>
          <w:p w14:paraId="28E39C6D" w14:textId="6225E4F9" w:rsidR="005A34FB" w:rsidRPr="00B57B36" w:rsidRDefault="005A34FB" w:rsidP="005A34FB">
            <w:pPr>
              <w:pStyle w:val="CETBodytext"/>
              <w:jc w:val="center"/>
              <w:rPr>
                <w:lang w:val="en-GB"/>
              </w:rPr>
            </w:pPr>
            <w:r>
              <w:rPr>
                <w:lang w:val="en-GB"/>
              </w:rPr>
              <w:t>3</w:t>
            </w:r>
          </w:p>
        </w:tc>
        <w:tc>
          <w:tcPr>
            <w:tcW w:w="2520" w:type="dxa"/>
            <w:shd w:val="clear" w:color="auto" w:fill="FFFFFF"/>
          </w:tcPr>
          <w:p w14:paraId="74DDF2D0" w14:textId="14FF97C0" w:rsidR="005A34FB" w:rsidRPr="00B57B36" w:rsidRDefault="005A34FB" w:rsidP="005A34FB">
            <w:pPr>
              <w:pStyle w:val="CETBodytext"/>
              <w:jc w:val="center"/>
              <w:rPr>
                <w:lang w:val="en-GB"/>
              </w:rPr>
            </w:pPr>
            <w:r>
              <w:rPr>
                <w:lang w:val="en-GB"/>
              </w:rPr>
              <w:t>4.432</w:t>
            </w:r>
          </w:p>
        </w:tc>
      </w:tr>
      <w:tr w:rsidR="005A34FB" w:rsidRPr="00B57B36" w14:paraId="25489E9B" w14:textId="77777777" w:rsidTr="008057CC">
        <w:tc>
          <w:tcPr>
            <w:tcW w:w="2351" w:type="dxa"/>
            <w:shd w:val="clear" w:color="auto" w:fill="FFFFFF"/>
            <w:vAlign w:val="center"/>
          </w:tcPr>
          <w:p w14:paraId="317CB4DE" w14:textId="4CB3C376" w:rsidR="005A34FB" w:rsidRPr="00B57B36" w:rsidRDefault="005A34FB" w:rsidP="005A34FB">
            <w:pPr>
              <w:pStyle w:val="CETBodytext"/>
              <w:ind w:right="-1"/>
              <w:jc w:val="center"/>
              <w:rPr>
                <w:rFonts w:cs="Arial"/>
                <w:szCs w:val="18"/>
                <w:lang w:val="en-GB"/>
              </w:rPr>
            </w:pPr>
            <w:r>
              <w:rPr>
                <w:rFonts w:cs="Arial"/>
                <w:szCs w:val="18"/>
                <w:lang w:val="en-GB"/>
              </w:rPr>
              <w:t>PP</w:t>
            </w:r>
          </w:p>
        </w:tc>
        <w:tc>
          <w:tcPr>
            <w:tcW w:w="341" w:type="dxa"/>
            <w:shd w:val="clear" w:color="auto" w:fill="FFFFFF"/>
          </w:tcPr>
          <w:p w14:paraId="18338929" w14:textId="77777777" w:rsidR="005A34FB" w:rsidRDefault="005A34FB" w:rsidP="005A34FB">
            <w:pPr>
              <w:pStyle w:val="CETBodytext"/>
              <w:ind w:right="-1"/>
              <w:jc w:val="center"/>
              <w:rPr>
                <w:rFonts w:cs="Arial"/>
                <w:szCs w:val="18"/>
                <w:lang w:val="en-GB"/>
              </w:rPr>
            </w:pPr>
          </w:p>
        </w:tc>
        <w:tc>
          <w:tcPr>
            <w:tcW w:w="466" w:type="dxa"/>
            <w:shd w:val="clear" w:color="auto" w:fill="FFFFFF"/>
            <w:vAlign w:val="center"/>
          </w:tcPr>
          <w:p w14:paraId="0C21B294" w14:textId="66B01838" w:rsidR="005A34FB" w:rsidRPr="00B57B36" w:rsidRDefault="005A34FB" w:rsidP="005A34FB">
            <w:pPr>
              <w:pStyle w:val="CETBodytext"/>
              <w:ind w:right="-1"/>
              <w:jc w:val="center"/>
              <w:rPr>
                <w:rFonts w:cs="Arial"/>
                <w:szCs w:val="18"/>
                <w:lang w:val="en-GB"/>
              </w:rPr>
            </w:pPr>
            <w:r>
              <w:rPr>
                <w:rFonts w:cs="Arial"/>
                <w:szCs w:val="18"/>
                <w:lang w:val="en-GB"/>
              </w:rPr>
              <w:t>5</w:t>
            </w:r>
          </w:p>
        </w:tc>
        <w:tc>
          <w:tcPr>
            <w:tcW w:w="545" w:type="dxa"/>
            <w:shd w:val="clear" w:color="auto" w:fill="FFFFFF"/>
          </w:tcPr>
          <w:p w14:paraId="03CC9297" w14:textId="15A12444" w:rsidR="005A34FB" w:rsidRPr="00B57B36" w:rsidRDefault="005A34FB" w:rsidP="005A34FB">
            <w:pPr>
              <w:pStyle w:val="CETBodytext"/>
              <w:ind w:right="-1"/>
              <w:jc w:val="center"/>
              <w:rPr>
                <w:rFonts w:cs="Arial"/>
                <w:szCs w:val="18"/>
                <w:lang w:val="en-GB"/>
              </w:rPr>
            </w:pPr>
            <w:r>
              <w:rPr>
                <w:rFonts w:cs="Arial"/>
                <w:szCs w:val="18"/>
                <w:lang w:val="en-GB"/>
              </w:rPr>
              <w:t>4</w:t>
            </w:r>
          </w:p>
        </w:tc>
        <w:tc>
          <w:tcPr>
            <w:tcW w:w="276" w:type="dxa"/>
            <w:shd w:val="clear" w:color="auto" w:fill="FFFFFF"/>
          </w:tcPr>
          <w:p w14:paraId="5A204E85" w14:textId="730AC6AA" w:rsidR="005A34FB" w:rsidRPr="00B57B36" w:rsidRDefault="005A34FB" w:rsidP="005A34FB">
            <w:pPr>
              <w:pStyle w:val="CETBodytext"/>
              <w:ind w:right="-1"/>
              <w:jc w:val="center"/>
              <w:rPr>
                <w:rFonts w:cs="Arial"/>
                <w:szCs w:val="18"/>
                <w:lang w:val="en-GB"/>
              </w:rPr>
            </w:pPr>
            <w:r>
              <w:rPr>
                <w:rFonts w:cs="Arial"/>
                <w:szCs w:val="18"/>
                <w:lang w:val="en-GB"/>
              </w:rPr>
              <w:t>3</w:t>
            </w:r>
          </w:p>
        </w:tc>
        <w:tc>
          <w:tcPr>
            <w:tcW w:w="546" w:type="dxa"/>
            <w:shd w:val="clear" w:color="auto" w:fill="FFFFFF"/>
          </w:tcPr>
          <w:p w14:paraId="24712FD7" w14:textId="2692572E" w:rsidR="005A34FB" w:rsidRPr="00B57B36" w:rsidRDefault="005A34FB" w:rsidP="005A34FB">
            <w:pPr>
              <w:pStyle w:val="CETBodytext"/>
              <w:ind w:right="-1"/>
              <w:jc w:val="center"/>
              <w:rPr>
                <w:rFonts w:cs="Arial"/>
                <w:szCs w:val="18"/>
                <w:lang w:val="en-GB"/>
              </w:rPr>
            </w:pPr>
            <w:r>
              <w:rPr>
                <w:rFonts w:cs="Arial"/>
                <w:szCs w:val="18"/>
                <w:lang w:val="en-GB"/>
              </w:rPr>
              <w:t>5</w:t>
            </w:r>
          </w:p>
        </w:tc>
        <w:tc>
          <w:tcPr>
            <w:tcW w:w="2520" w:type="dxa"/>
            <w:shd w:val="clear" w:color="auto" w:fill="FFFFFF"/>
          </w:tcPr>
          <w:p w14:paraId="11AFEDF6" w14:textId="3EC539F7" w:rsidR="005A34FB" w:rsidRPr="00B57B36" w:rsidRDefault="005A34FB" w:rsidP="005A34FB">
            <w:pPr>
              <w:pStyle w:val="CETBodytext"/>
              <w:ind w:right="-1"/>
              <w:jc w:val="center"/>
              <w:rPr>
                <w:rFonts w:cs="Arial"/>
                <w:szCs w:val="18"/>
                <w:lang w:val="en-GB"/>
              </w:rPr>
            </w:pPr>
            <w:r>
              <w:rPr>
                <w:rFonts w:cs="Arial"/>
                <w:szCs w:val="18"/>
                <w:lang w:val="en-GB"/>
              </w:rPr>
              <w:t>4.284</w:t>
            </w:r>
          </w:p>
        </w:tc>
      </w:tr>
      <w:tr w:rsidR="005A34FB" w:rsidRPr="00B57B36" w14:paraId="5427617A" w14:textId="77777777" w:rsidTr="008057CC">
        <w:tc>
          <w:tcPr>
            <w:tcW w:w="2351" w:type="dxa"/>
            <w:shd w:val="clear" w:color="auto" w:fill="FFFFFF"/>
            <w:vAlign w:val="center"/>
          </w:tcPr>
          <w:p w14:paraId="44292AD8" w14:textId="03B55AE4" w:rsidR="005A34FB" w:rsidRDefault="005A34FB" w:rsidP="005A34FB">
            <w:pPr>
              <w:pStyle w:val="CETBodytext"/>
              <w:ind w:right="-1"/>
              <w:jc w:val="center"/>
              <w:rPr>
                <w:rFonts w:cs="Arial"/>
                <w:szCs w:val="18"/>
                <w:lang w:val="en-GB"/>
              </w:rPr>
            </w:pPr>
            <w:r>
              <w:rPr>
                <w:rFonts w:cs="Arial"/>
                <w:szCs w:val="18"/>
                <w:lang w:val="en-GB"/>
              </w:rPr>
              <w:t>OFSW</w:t>
            </w:r>
          </w:p>
        </w:tc>
        <w:tc>
          <w:tcPr>
            <w:tcW w:w="341" w:type="dxa"/>
            <w:shd w:val="clear" w:color="auto" w:fill="FFFFFF"/>
          </w:tcPr>
          <w:p w14:paraId="7A5D737C" w14:textId="77777777" w:rsidR="005A34FB" w:rsidRDefault="005A34FB" w:rsidP="005A34FB">
            <w:pPr>
              <w:pStyle w:val="CETBodytext"/>
              <w:ind w:right="-1"/>
              <w:jc w:val="center"/>
              <w:rPr>
                <w:rFonts w:cs="Arial"/>
                <w:szCs w:val="18"/>
                <w:lang w:val="en-GB"/>
              </w:rPr>
            </w:pPr>
          </w:p>
        </w:tc>
        <w:tc>
          <w:tcPr>
            <w:tcW w:w="466" w:type="dxa"/>
            <w:shd w:val="clear" w:color="auto" w:fill="FFFFFF"/>
            <w:vAlign w:val="center"/>
          </w:tcPr>
          <w:p w14:paraId="6E246623" w14:textId="0750A13A" w:rsidR="005A34FB" w:rsidRPr="00B57B36" w:rsidRDefault="005A34FB" w:rsidP="005A34FB">
            <w:pPr>
              <w:pStyle w:val="CETBodytext"/>
              <w:ind w:right="-1"/>
              <w:jc w:val="center"/>
              <w:rPr>
                <w:rFonts w:cs="Arial"/>
                <w:szCs w:val="18"/>
                <w:lang w:val="en-GB"/>
              </w:rPr>
            </w:pPr>
            <w:r>
              <w:rPr>
                <w:rFonts w:cs="Arial"/>
                <w:szCs w:val="18"/>
                <w:lang w:val="en-GB"/>
              </w:rPr>
              <w:t>5</w:t>
            </w:r>
          </w:p>
        </w:tc>
        <w:tc>
          <w:tcPr>
            <w:tcW w:w="545" w:type="dxa"/>
            <w:shd w:val="clear" w:color="auto" w:fill="FFFFFF"/>
          </w:tcPr>
          <w:p w14:paraId="056F43EE" w14:textId="047A178F" w:rsidR="005A34FB" w:rsidRPr="00B57B36" w:rsidRDefault="005A34FB" w:rsidP="005A34FB">
            <w:pPr>
              <w:pStyle w:val="CETBodytext"/>
              <w:ind w:right="-1"/>
              <w:jc w:val="center"/>
              <w:rPr>
                <w:rFonts w:cs="Arial"/>
                <w:szCs w:val="18"/>
                <w:lang w:val="en-GB"/>
              </w:rPr>
            </w:pPr>
            <w:r>
              <w:rPr>
                <w:rFonts w:cs="Arial"/>
                <w:szCs w:val="18"/>
                <w:lang w:val="en-GB"/>
              </w:rPr>
              <w:t>3</w:t>
            </w:r>
          </w:p>
        </w:tc>
        <w:tc>
          <w:tcPr>
            <w:tcW w:w="276" w:type="dxa"/>
            <w:shd w:val="clear" w:color="auto" w:fill="FFFFFF"/>
          </w:tcPr>
          <w:p w14:paraId="188DB4A4" w14:textId="5AE67E99" w:rsidR="005A34FB" w:rsidRPr="00B57B36" w:rsidRDefault="005A34FB" w:rsidP="005A34FB">
            <w:pPr>
              <w:pStyle w:val="CETBodytext"/>
              <w:ind w:right="-1"/>
              <w:jc w:val="center"/>
              <w:rPr>
                <w:rFonts w:cs="Arial"/>
                <w:szCs w:val="18"/>
                <w:lang w:val="en-GB"/>
              </w:rPr>
            </w:pPr>
            <w:r>
              <w:rPr>
                <w:rFonts w:cs="Arial"/>
                <w:szCs w:val="18"/>
                <w:lang w:val="en-GB"/>
              </w:rPr>
              <w:t>3</w:t>
            </w:r>
          </w:p>
        </w:tc>
        <w:tc>
          <w:tcPr>
            <w:tcW w:w="546" w:type="dxa"/>
            <w:shd w:val="clear" w:color="auto" w:fill="FFFFFF"/>
          </w:tcPr>
          <w:p w14:paraId="0F57AD61" w14:textId="57938F85" w:rsidR="005A34FB" w:rsidRPr="00B57B36" w:rsidRDefault="005A34FB" w:rsidP="005A34FB">
            <w:pPr>
              <w:pStyle w:val="CETBodytext"/>
              <w:ind w:right="-1"/>
              <w:jc w:val="center"/>
              <w:rPr>
                <w:rFonts w:cs="Arial"/>
                <w:szCs w:val="18"/>
                <w:lang w:val="en-GB"/>
              </w:rPr>
            </w:pPr>
            <w:r>
              <w:rPr>
                <w:rFonts w:cs="Arial"/>
                <w:szCs w:val="18"/>
                <w:lang w:val="en-GB"/>
              </w:rPr>
              <w:t>3</w:t>
            </w:r>
          </w:p>
        </w:tc>
        <w:tc>
          <w:tcPr>
            <w:tcW w:w="2520" w:type="dxa"/>
            <w:shd w:val="clear" w:color="auto" w:fill="FFFFFF"/>
          </w:tcPr>
          <w:p w14:paraId="0909B312" w14:textId="631CC4F7" w:rsidR="005A34FB" w:rsidRPr="00B57B36" w:rsidRDefault="005A34FB" w:rsidP="005A34FB">
            <w:pPr>
              <w:pStyle w:val="CETBodytext"/>
              <w:ind w:right="-1"/>
              <w:jc w:val="center"/>
              <w:rPr>
                <w:rFonts w:cs="Arial"/>
                <w:szCs w:val="18"/>
                <w:lang w:val="en-GB"/>
              </w:rPr>
            </w:pPr>
            <w:r>
              <w:rPr>
                <w:rFonts w:cs="Arial"/>
                <w:szCs w:val="18"/>
                <w:lang w:val="en-GB"/>
              </w:rPr>
              <w:t>3.800</w:t>
            </w:r>
          </w:p>
        </w:tc>
      </w:tr>
      <w:tr w:rsidR="005A34FB" w:rsidRPr="00B57B36" w14:paraId="5B710201" w14:textId="77777777" w:rsidTr="008057CC">
        <w:tc>
          <w:tcPr>
            <w:tcW w:w="2351" w:type="dxa"/>
            <w:shd w:val="clear" w:color="auto" w:fill="FFFFFF"/>
            <w:vAlign w:val="center"/>
          </w:tcPr>
          <w:p w14:paraId="05D3580C" w14:textId="1ED3DCC2" w:rsidR="005A34FB" w:rsidRDefault="005A34FB" w:rsidP="005A34FB">
            <w:pPr>
              <w:pStyle w:val="CETBodytext"/>
              <w:ind w:right="-1"/>
              <w:jc w:val="center"/>
              <w:rPr>
                <w:rFonts w:cs="Arial"/>
                <w:szCs w:val="18"/>
                <w:lang w:val="en-GB"/>
              </w:rPr>
            </w:pPr>
            <w:r>
              <w:rPr>
                <w:rFonts w:cs="Arial"/>
                <w:szCs w:val="18"/>
                <w:lang w:val="en-GB"/>
              </w:rPr>
              <w:t>PO</w:t>
            </w:r>
          </w:p>
        </w:tc>
        <w:tc>
          <w:tcPr>
            <w:tcW w:w="341" w:type="dxa"/>
            <w:shd w:val="clear" w:color="auto" w:fill="FFFFFF"/>
          </w:tcPr>
          <w:p w14:paraId="17E565DB" w14:textId="77777777" w:rsidR="005A34FB" w:rsidRDefault="005A34FB" w:rsidP="005A34FB">
            <w:pPr>
              <w:pStyle w:val="CETBodytext"/>
              <w:ind w:right="-1"/>
              <w:jc w:val="center"/>
              <w:rPr>
                <w:rFonts w:cs="Arial"/>
                <w:szCs w:val="18"/>
                <w:lang w:val="en-GB"/>
              </w:rPr>
            </w:pPr>
          </w:p>
        </w:tc>
        <w:tc>
          <w:tcPr>
            <w:tcW w:w="466" w:type="dxa"/>
            <w:shd w:val="clear" w:color="auto" w:fill="FFFFFF"/>
            <w:vAlign w:val="center"/>
          </w:tcPr>
          <w:p w14:paraId="56813D74" w14:textId="3B45EBF6" w:rsidR="005A34FB" w:rsidRPr="00B57B36" w:rsidRDefault="005A34FB" w:rsidP="005A34FB">
            <w:pPr>
              <w:pStyle w:val="CETBodytext"/>
              <w:ind w:right="-1"/>
              <w:jc w:val="center"/>
              <w:rPr>
                <w:rFonts w:cs="Arial"/>
                <w:szCs w:val="18"/>
                <w:lang w:val="en-GB"/>
              </w:rPr>
            </w:pPr>
            <w:r>
              <w:rPr>
                <w:rFonts w:cs="Arial"/>
                <w:szCs w:val="18"/>
                <w:lang w:val="en-GB"/>
              </w:rPr>
              <w:t>4</w:t>
            </w:r>
          </w:p>
        </w:tc>
        <w:tc>
          <w:tcPr>
            <w:tcW w:w="545" w:type="dxa"/>
            <w:shd w:val="clear" w:color="auto" w:fill="FFFFFF"/>
          </w:tcPr>
          <w:p w14:paraId="371F5C24" w14:textId="52F5B649" w:rsidR="005A34FB" w:rsidRPr="00B57B36" w:rsidRDefault="005A34FB" w:rsidP="005A34FB">
            <w:pPr>
              <w:pStyle w:val="CETBodytext"/>
              <w:ind w:right="-1"/>
              <w:jc w:val="center"/>
              <w:rPr>
                <w:rFonts w:cs="Arial"/>
                <w:szCs w:val="18"/>
                <w:lang w:val="en-GB"/>
              </w:rPr>
            </w:pPr>
            <w:r>
              <w:rPr>
                <w:rFonts w:cs="Arial"/>
                <w:szCs w:val="18"/>
                <w:lang w:val="en-GB"/>
              </w:rPr>
              <w:t>3</w:t>
            </w:r>
          </w:p>
        </w:tc>
        <w:tc>
          <w:tcPr>
            <w:tcW w:w="276" w:type="dxa"/>
            <w:shd w:val="clear" w:color="auto" w:fill="FFFFFF"/>
          </w:tcPr>
          <w:p w14:paraId="491E921E" w14:textId="375EE79C" w:rsidR="005A34FB" w:rsidRPr="00B57B36" w:rsidRDefault="005A34FB" w:rsidP="005A34FB">
            <w:pPr>
              <w:pStyle w:val="CETBodytext"/>
              <w:ind w:right="-1"/>
              <w:jc w:val="center"/>
              <w:rPr>
                <w:rFonts w:cs="Arial"/>
                <w:szCs w:val="18"/>
                <w:lang w:val="en-GB"/>
              </w:rPr>
            </w:pPr>
            <w:r>
              <w:rPr>
                <w:rFonts w:cs="Arial"/>
                <w:szCs w:val="18"/>
                <w:lang w:val="en-GB"/>
              </w:rPr>
              <w:t>3</w:t>
            </w:r>
          </w:p>
        </w:tc>
        <w:tc>
          <w:tcPr>
            <w:tcW w:w="546" w:type="dxa"/>
            <w:shd w:val="clear" w:color="auto" w:fill="FFFFFF"/>
          </w:tcPr>
          <w:p w14:paraId="34D855DA" w14:textId="4EE82463" w:rsidR="005A34FB" w:rsidRPr="00B57B36" w:rsidRDefault="005A34FB" w:rsidP="005A34FB">
            <w:pPr>
              <w:pStyle w:val="CETBodytext"/>
              <w:ind w:right="-1"/>
              <w:jc w:val="center"/>
              <w:rPr>
                <w:rFonts w:cs="Arial"/>
                <w:szCs w:val="18"/>
                <w:lang w:val="en-GB"/>
              </w:rPr>
            </w:pPr>
            <w:r>
              <w:rPr>
                <w:rFonts w:cs="Arial"/>
                <w:szCs w:val="18"/>
                <w:lang w:val="en-GB"/>
              </w:rPr>
              <w:t>3</w:t>
            </w:r>
          </w:p>
        </w:tc>
        <w:tc>
          <w:tcPr>
            <w:tcW w:w="2520" w:type="dxa"/>
            <w:shd w:val="clear" w:color="auto" w:fill="FFFFFF"/>
          </w:tcPr>
          <w:p w14:paraId="26F33625" w14:textId="30A4F9B1" w:rsidR="005A34FB" w:rsidRPr="00B57B36" w:rsidRDefault="005A34FB" w:rsidP="005A34FB">
            <w:pPr>
              <w:pStyle w:val="CETBodytext"/>
              <w:ind w:right="-1"/>
              <w:jc w:val="center"/>
              <w:rPr>
                <w:rFonts w:cs="Arial"/>
                <w:szCs w:val="18"/>
                <w:lang w:val="en-GB"/>
              </w:rPr>
            </w:pPr>
            <w:r>
              <w:rPr>
                <w:rFonts w:cs="Arial"/>
                <w:szCs w:val="18"/>
                <w:lang w:val="en-GB"/>
              </w:rPr>
              <w:t>3.400</w:t>
            </w:r>
          </w:p>
        </w:tc>
      </w:tr>
      <w:tr w:rsidR="005A34FB" w:rsidRPr="00B57B36" w14:paraId="65B744BE" w14:textId="77777777" w:rsidTr="008057CC">
        <w:tc>
          <w:tcPr>
            <w:tcW w:w="2351" w:type="dxa"/>
            <w:shd w:val="clear" w:color="auto" w:fill="FFFFFF"/>
            <w:vAlign w:val="center"/>
          </w:tcPr>
          <w:p w14:paraId="0157448D" w14:textId="38CF3894" w:rsidR="005A34FB" w:rsidRDefault="005A34FB" w:rsidP="005A34FB">
            <w:pPr>
              <w:pStyle w:val="CETBodytext"/>
              <w:ind w:right="-1"/>
              <w:jc w:val="center"/>
              <w:rPr>
                <w:rFonts w:cs="Arial"/>
                <w:szCs w:val="18"/>
                <w:lang w:val="en-GB"/>
              </w:rPr>
            </w:pPr>
            <w:r>
              <w:rPr>
                <w:rFonts w:cs="Arial"/>
                <w:szCs w:val="18"/>
                <w:lang w:val="en-GB"/>
              </w:rPr>
              <w:t>BSC</w:t>
            </w:r>
          </w:p>
        </w:tc>
        <w:tc>
          <w:tcPr>
            <w:tcW w:w="341" w:type="dxa"/>
            <w:shd w:val="clear" w:color="auto" w:fill="FFFFFF"/>
          </w:tcPr>
          <w:p w14:paraId="0BED893A" w14:textId="77777777" w:rsidR="005A34FB" w:rsidRDefault="005A34FB" w:rsidP="005A34FB">
            <w:pPr>
              <w:pStyle w:val="CETBodytext"/>
              <w:ind w:right="-1"/>
              <w:jc w:val="center"/>
              <w:rPr>
                <w:rFonts w:cs="Arial"/>
                <w:szCs w:val="18"/>
                <w:lang w:val="en-GB"/>
              </w:rPr>
            </w:pPr>
          </w:p>
        </w:tc>
        <w:tc>
          <w:tcPr>
            <w:tcW w:w="466" w:type="dxa"/>
            <w:shd w:val="clear" w:color="auto" w:fill="FFFFFF"/>
            <w:vAlign w:val="center"/>
          </w:tcPr>
          <w:p w14:paraId="32B62BCC" w14:textId="3AC8C634" w:rsidR="005A34FB" w:rsidRDefault="005A34FB" w:rsidP="005A34FB">
            <w:pPr>
              <w:pStyle w:val="CETBodytext"/>
              <w:ind w:right="-1"/>
              <w:jc w:val="center"/>
              <w:rPr>
                <w:rFonts w:cs="Arial"/>
                <w:szCs w:val="18"/>
                <w:lang w:val="en-GB"/>
              </w:rPr>
            </w:pPr>
            <w:r>
              <w:rPr>
                <w:rFonts w:cs="Arial"/>
                <w:szCs w:val="18"/>
                <w:lang w:val="en-GB"/>
              </w:rPr>
              <w:t>4</w:t>
            </w:r>
          </w:p>
        </w:tc>
        <w:tc>
          <w:tcPr>
            <w:tcW w:w="545" w:type="dxa"/>
            <w:shd w:val="clear" w:color="auto" w:fill="FFFFFF"/>
          </w:tcPr>
          <w:p w14:paraId="11BAF928" w14:textId="4368835F" w:rsidR="005A34FB" w:rsidRDefault="005A34FB" w:rsidP="005A34FB">
            <w:pPr>
              <w:pStyle w:val="CETBodytext"/>
              <w:ind w:right="-1"/>
              <w:jc w:val="center"/>
              <w:rPr>
                <w:rFonts w:cs="Arial"/>
                <w:szCs w:val="18"/>
                <w:lang w:val="en-GB"/>
              </w:rPr>
            </w:pPr>
            <w:r>
              <w:rPr>
                <w:rFonts w:cs="Arial"/>
                <w:szCs w:val="18"/>
                <w:lang w:val="en-GB"/>
              </w:rPr>
              <w:t>3</w:t>
            </w:r>
          </w:p>
        </w:tc>
        <w:tc>
          <w:tcPr>
            <w:tcW w:w="276" w:type="dxa"/>
            <w:shd w:val="clear" w:color="auto" w:fill="FFFFFF"/>
          </w:tcPr>
          <w:p w14:paraId="4CF52CAA" w14:textId="1B849C1F" w:rsidR="005A34FB" w:rsidRDefault="005A34FB" w:rsidP="005A34FB">
            <w:pPr>
              <w:pStyle w:val="CETBodytext"/>
              <w:ind w:right="-1"/>
              <w:jc w:val="center"/>
              <w:rPr>
                <w:rFonts w:cs="Arial"/>
                <w:szCs w:val="18"/>
                <w:lang w:val="en-GB"/>
              </w:rPr>
            </w:pPr>
            <w:r>
              <w:rPr>
                <w:rFonts w:cs="Arial"/>
                <w:szCs w:val="18"/>
                <w:lang w:val="en-GB"/>
              </w:rPr>
              <w:t>2</w:t>
            </w:r>
          </w:p>
        </w:tc>
        <w:tc>
          <w:tcPr>
            <w:tcW w:w="546" w:type="dxa"/>
            <w:shd w:val="clear" w:color="auto" w:fill="FFFFFF"/>
          </w:tcPr>
          <w:p w14:paraId="74BF4FA2" w14:textId="4966051D" w:rsidR="005A34FB" w:rsidRDefault="005A34FB" w:rsidP="005A34FB">
            <w:pPr>
              <w:pStyle w:val="CETBodytext"/>
              <w:ind w:right="-1"/>
              <w:jc w:val="center"/>
              <w:rPr>
                <w:rFonts w:cs="Arial"/>
                <w:szCs w:val="18"/>
                <w:lang w:val="en-GB"/>
              </w:rPr>
            </w:pPr>
            <w:r>
              <w:rPr>
                <w:rFonts w:cs="Arial"/>
                <w:szCs w:val="18"/>
                <w:lang w:val="en-GB"/>
              </w:rPr>
              <w:t>3</w:t>
            </w:r>
          </w:p>
        </w:tc>
        <w:tc>
          <w:tcPr>
            <w:tcW w:w="2520" w:type="dxa"/>
            <w:shd w:val="clear" w:color="auto" w:fill="FFFFFF"/>
          </w:tcPr>
          <w:p w14:paraId="5516C603" w14:textId="283F0CEA" w:rsidR="005A34FB" w:rsidRDefault="005A34FB" w:rsidP="005A34FB">
            <w:pPr>
              <w:pStyle w:val="CETBodytext"/>
              <w:ind w:right="-1"/>
              <w:jc w:val="center"/>
              <w:rPr>
                <w:rFonts w:cs="Arial"/>
                <w:szCs w:val="18"/>
                <w:lang w:val="en-GB"/>
              </w:rPr>
            </w:pPr>
            <w:r>
              <w:rPr>
                <w:rFonts w:cs="Arial"/>
                <w:szCs w:val="18"/>
                <w:lang w:val="en-GB"/>
              </w:rPr>
              <w:t>3.200</w:t>
            </w:r>
          </w:p>
        </w:tc>
      </w:tr>
      <w:tr w:rsidR="005A34FB" w:rsidRPr="00B57B36" w14:paraId="63E0237D" w14:textId="77777777" w:rsidTr="008057CC">
        <w:tc>
          <w:tcPr>
            <w:tcW w:w="2351" w:type="dxa"/>
            <w:shd w:val="clear" w:color="auto" w:fill="FFFFFF"/>
            <w:vAlign w:val="center"/>
          </w:tcPr>
          <w:p w14:paraId="622DB174" w14:textId="29A50C39" w:rsidR="005A34FB" w:rsidRDefault="005A34FB" w:rsidP="005A34FB">
            <w:pPr>
              <w:pStyle w:val="CETBodytext"/>
              <w:ind w:right="-1"/>
              <w:jc w:val="center"/>
              <w:rPr>
                <w:rFonts w:cs="Arial"/>
                <w:szCs w:val="18"/>
                <w:lang w:val="en-GB"/>
              </w:rPr>
            </w:pPr>
            <w:r>
              <w:rPr>
                <w:rFonts w:cs="Arial"/>
                <w:szCs w:val="18"/>
                <w:lang w:val="en-GB"/>
              </w:rPr>
              <w:t>EC</w:t>
            </w:r>
          </w:p>
        </w:tc>
        <w:tc>
          <w:tcPr>
            <w:tcW w:w="341" w:type="dxa"/>
            <w:shd w:val="clear" w:color="auto" w:fill="FFFFFF"/>
          </w:tcPr>
          <w:p w14:paraId="0DFD8E27" w14:textId="77777777" w:rsidR="005A34FB" w:rsidRDefault="005A34FB" w:rsidP="005A34FB">
            <w:pPr>
              <w:pStyle w:val="CETBodytext"/>
              <w:ind w:right="-1"/>
              <w:jc w:val="center"/>
              <w:rPr>
                <w:rFonts w:cs="Arial"/>
                <w:szCs w:val="18"/>
                <w:lang w:val="en-GB"/>
              </w:rPr>
            </w:pPr>
          </w:p>
        </w:tc>
        <w:tc>
          <w:tcPr>
            <w:tcW w:w="466" w:type="dxa"/>
            <w:shd w:val="clear" w:color="auto" w:fill="FFFFFF"/>
            <w:vAlign w:val="center"/>
          </w:tcPr>
          <w:p w14:paraId="53432DEE" w14:textId="3BD2AC3E" w:rsidR="005A34FB" w:rsidRDefault="005A34FB" w:rsidP="005A34FB">
            <w:pPr>
              <w:pStyle w:val="CETBodytext"/>
              <w:ind w:right="-1"/>
              <w:jc w:val="center"/>
              <w:rPr>
                <w:rFonts w:cs="Arial"/>
                <w:szCs w:val="18"/>
                <w:lang w:val="en-GB"/>
              </w:rPr>
            </w:pPr>
            <w:r>
              <w:rPr>
                <w:rFonts w:cs="Arial"/>
                <w:szCs w:val="18"/>
                <w:lang w:val="en-GB"/>
              </w:rPr>
              <w:t>3</w:t>
            </w:r>
          </w:p>
        </w:tc>
        <w:tc>
          <w:tcPr>
            <w:tcW w:w="545" w:type="dxa"/>
            <w:shd w:val="clear" w:color="auto" w:fill="FFFFFF"/>
          </w:tcPr>
          <w:p w14:paraId="5345F367" w14:textId="1C268F95" w:rsidR="005A34FB" w:rsidRDefault="005A34FB" w:rsidP="005A34FB">
            <w:pPr>
              <w:pStyle w:val="CETBodytext"/>
              <w:ind w:right="-1"/>
              <w:jc w:val="center"/>
              <w:rPr>
                <w:rFonts w:cs="Arial"/>
                <w:szCs w:val="18"/>
                <w:lang w:val="en-GB"/>
              </w:rPr>
            </w:pPr>
            <w:r>
              <w:rPr>
                <w:rFonts w:cs="Arial"/>
                <w:szCs w:val="18"/>
                <w:lang w:val="en-GB"/>
              </w:rPr>
              <w:t>3</w:t>
            </w:r>
          </w:p>
        </w:tc>
        <w:tc>
          <w:tcPr>
            <w:tcW w:w="276" w:type="dxa"/>
            <w:shd w:val="clear" w:color="auto" w:fill="FFFFFF"/>
          </w:tcPr>
          <w:p w14:paraId="3D979E7E" w14:textId="0E5EFE6E" w:rsidR="005A34FB" w:rsidRDefault="005A34FB" w:rsidP="005A34FB">
            <w:pPr>
              <w:pStyle w:val="CETBodytext"/>
              <w:ind w:right="-1"/>
              <w:jc w:val="center"/>
              <w:rPr>
                <w:rFonts w:cs="Arial"/>
                <w:szCs w:val="18"/>
                <w:lang w:val="en-GB"/>
              </w:rPr>
            </w:pPr>
            <w:r>
              <w:rPr>
                <w:rFonts w:cs="Arial"/>
                <w:szCs w:val="18"/>
                <w:lang w:val="en-GB"/>
              </w:rPr>
              <w:t>2</w:t>
            </w:r>
          </w:p>
        </w:tc>
        <w:tc>
          <w:tcPr>
            <w:tcW w:w="546" w:type="dxa"/>
            <w:shd w:val="clear" w:color="auto" w:fill="FFFFFF"/>
          </w:tcPr>
          <w:p w14:paraId="7CA82D13" w14:textId="6D537762" w:rsidR="005A34FB" w:rsidRDefault="005A34FB" w:rsidP="005A34FB">
            <w:pPr>
              <w:pStyle w:val="CETBodytext"/>
              <w:ind w:right="-1"/>
              <w:jc w:val="center"/>
              <w:rPr>
                <w:rFonts w:cs="Arial"/>
                <w:szCs w:val="18"/>
                <w:lang w:val="en-GB"/>
              </w:rPr>
            </w:pPr>
            <w:r>
              <w:rPr>
                <w:rFonts w:cs="Arial"/>
                <w:szCs w:val="18"/>
                <w:lang w:val="en-GB"/>
              </w:rPr>
              <w:t>3</w:t>
            </w:r>
          </w:p>
        </w:tc>
        <w:tc>
          <w:tcPr>
            <w:tcW w:w="2520" w:type="dxa"/>
            <w:shd w:val="clear" w:color="auto" w:fill="FFFFFF"/>
          </w:tcPr>
          <w:p w14:paraId="5AD621EB" w14:textId="60FBF6BA" w:rsidR="005A34FB" w:rsidRDefault="005A34FB" w:rsidP="005A34FB">
            <w:pPr>
              <w:pStyle w:val="CETBodytext"/>
              <w:ind w:right="-1"/>
              <w:jc w:val="center"/>
              <w:rPr>
                <w:rFonts w:cs="Arial"/>
                <w:szCs w:val="18"/>
                <w:lang w:val="en-GB"/>
              </w:rPr>
            </w:pPr>
            <w:r>
              <w:rPr>
                <w:rFonts w:cs="Arial"/>
                <w:szCs w:val="18"/>
                <w:lang w:val="en-GB"/>
              </w:rPr>
              <w:t>2.800</w:t>
            </w:r>
          </w:p>
        </w:tc>
      </w:tr>
    </w:tbl>
    <w:p w14:paraId="1C9BDAF0" w14:textId="4CD289E2" w:rsidR="006B32CF" w:rsidRDefault="005903F1" w:rsidP="00600535">
      <w:pPr>
        <w:pStyle w:val="CETBodytext"/>
        <w:rPr>
          <w:lang w:val="en-GB"/>
        </w:rPr>
      </w:pPr>
      <w:r w:rsidRPr="005903F1">
        <w:rPr>
          <w:lang w:val="en-GB"/>
        </w:rPr>
        <w:t>Assuming 100 tonnes of SAF as the reference for calculation</w:t>
      </w:r>
      <w:r>
        <w:rPr>
          <w:lang w:val="en-GB"/>
        </w:rPr>
        <w:t>, t</w:t>
      </w:r>
      <w:r w:rsidR="00567E62" w:rsidRPr="00567E62">
        <w:rPr>
          <w:lang w:val="en-GB"/>
        </w:rPr>
        <w:t xml:space="preserve">he synthesis heat and the obtained SAF are the critical points of the HEFA route. The former has the greatest impact on the categories of GW and WS, at 79.6% and 77.13%, respectively, while the potential impacts of the bioenergetic process are more significantly distributed across the AC (83.67%), ADFF (79.13%), and ET (72.28%) categories. Within the SAF synthesis via </w:t>
      </w:r>
      <w:r w:rsidR="00567E62" w:rsidRPr="00567E62">
        <w:rPr>
          <w:lang w:val="en-GB"/>
        </w:rPr>
        <w:lastRenderedPageBreak/>
        <w:t xml:space="preserve">ATJ, three critical points were identified, which include hydrogenation, the final product, and the synthesis heat. Hydrogenation is the stage with the largest potential distribution across the five categories evaluated in the LCA, ranging from 87.5% to 99.97%. </w:t>
      </w:r>
      <w:r w:rsidR="007552BC">
        <w:rPr>
          <w:lang w:val="en-GB"/>
        </w:rPr>
        <w:t>I</w:t>
      </w:r>
      <w:r w:rsidR="007552BC" w:rsidRPr="007552BC">
        <w:rPr>
          <w:lang w:val="en-GB"/>
        </w:rPr>
        <w:t>n contrast, in the synthesis of SAF via FT, there is a notable percentage distribution with a significant contribution from the synthesis heat and final product in the ADFF and GW categories, with values of 36.62% and 26.28%, as well as 3.98% and 18.03%.</w:t>
      </w:r>
    </w:p>
    <w:p w14:paraId="66036204" w14:textId="77777777" w:rsidR="006B32CF" w:rsidRDefault="006B32CF" w:rsidP="00600535">
      <w:pPr>
        <w:pStyle w:val="CETBodytext"/>
        <w:rPr>
          <w:lang w:val="en-GB"/>
        </w:rPr>
      </w:pPr>
    </w:p>
    <w:p w14:paraId="6582435B" w14:textId="1C164CCC" w:rsidR="00726803" w:rsidRDefault="006D6300" w:rsidP="00600535">
      <w:pPr>
        <w:pStyle w:val="CETBodytext"/>
        <w:rPr>
          <w:lang w:val="en-GB"/>
        </w:rPr>
      </w:pPr>
      <w:r w:rsidRPr="006D6300">
        <w:rPr>
          <w:noProof/>
          <w:lang w:val="en-GB"/>
        </w:rPr>
        <w:drawing>
          <wp:inline distT="0" distB="0" distL="0" distR="0" wp14:anchorId="1AD41502" wp14:editId="05789582">
            <wp:extent cx="5707805" cy="3368040"/>
            <wp:effectExtent l="0" t="0" r="762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24347" cy="3377801"/>
                    </a:xfrm>
                    <a:prstGeom prst="rect">
                      <a:avLst/>
                    </a:prstGeom>
                  </pic:spPr>
                </pic:pic>
              </a:graphicData>
            </a:graphic>
          </wp:inline>
        </w:drawing>
      </w:r>
    </w:p>
    <w:p w14:paraId="4018F787" w14:textId="77777777" w:rsidR="00726803" w:rsidRDefault="00726803" w:rsidP="00600535">
      <w:pPr>
        <w:pStyle w:val="CETBodytext"/>
        <w:rPr>
          <w:lang w:val="en-GB"/>
        </w:rPr>
      </w:pPr>
    </w:p>
    <w:p w14:paraId="166DACDD" w14:textId="634AC8F3" w:rsidR="00165760" w:rsidRDefault="005903F1" w:rsidP="00600535">
      <w:pPr>
        <w:pStyle w:val="CETBodytext"/>
        <w:rPr>
          <w:lang w:val="en-GB"/>
        </w:rPr>
      </w:pPr>
      <w:r w:rsidRPr="00BD077D">
        <w:rPr>
          <w:rStyle w:val="CETCaptionCarattere"/>
        </w:rPr>
        <w:t xml:space="preserve">Figure 1: </w:t>
      </w:r>
      <w:r>
        <w:rPr>
          <w:rStyle w:val="CETCaptionCarattere"/>
        </w:rPr>
        <w:t>SAF potential production</w:t>
      </w:r>
      <w:r w:rsidR="00371E71">
        <w:rPr>
          <w:rStyle w:val="CETCaptionCarattere"/>
        </w:rPr>
        <w:t xml:space="preserve"> and </w:t>
      </w:r>
      <w:r>
        <w:rPr>
          <w:rStyle w:val="CETCaptionCarattere"/>
        </w:rPr>
        <w:t>critic</w:t>
      </w:r>
      <w:r w:rsidR="006D6300">
        <w:rPr>
          <w:rStyle w:val="CETCaptionCarattere"/>
        </w:rPr>
        <w:t>al</w:t>
      </w:r>
      <w:r>
        <w:rPr>
          <w:rStyle w:val="CETCaptionCarattere"/>
        </w:rPr>
        <w:t xml:space="preserve"> points per route</w:t>
      </w:r>
      <w:r w:rsidR="00371E71">
        <w:rPr>
          <w:rStyle w:val="CETCaptionCarattere"/>
        </w:rPr>
        <w:t xml:space="preserve">. </w:t>
      </w:r>
    </w:p>
    <w:p w14:paraId="7F1F6BA5" w14:textId="6B2ADABE" w:rsidR="005903F1" w:rsidRDefault="005903F1" w:rsidP="00600535">
      <w:pPr>
        <w:pStyle w:val="CETBodytext"/>
        <w:rPr>
          <w:lang w:val="en-GB"/>
        </w:rPr>
      </w:pPr>
      <w:bookmarkStart w:id="1" w:name="_GoBack"/>
      <w:bookmarkEnd w:id="1"/>
    </w:p>
    <w:p w14:paraId="66169D23" w14:textId="460BC1E9" w:rsidR="005903F1" w:rsidRDefault="000C313D" w:rsidP="00600535">
      <w:pPr>
        <w:pStyle w:val="CETBodytext"/>
        <w:rPr>
          <w:lang w:val="en-GB"/>
        </w:rPr>
      </w:pPr>
      <w:r w:rsidRPr="000C313D">
        <w:rPr>
          <w:lang w:val="en-GB"/>
        </w:rPr>
        <w:t>Based on the assumed data from the calculation framework for inventory estimation, Figure 1 shows the SAF production</w:t>
      </w:r>
      <w:r w:rsidR="006F1B32">
        <w:rPr>
          <w:lang w:val="en-GB"/>
        </w:rPr>
        <w:t xml:space="preserve"> and the critical points per route,</w:t>
      </w:r>
      <w:r w:rsidRPr="000C313D">
        <w:rPr>
          <w:lang w:val="en-GB"/>
        </w:rPr>
        <w:t xml:space="preserve"> in accordance with the estimates for the LCA developed in this study. It can be observed that the HEFA route presents the highest production value among the evaluated routes. Similarly, it displays the percentage distribution of the environmental impact categories assessed for each of the SAF production routes.</w:t>
      </w:r>
      <w:r w:rsidR="00990356" w:rsidRPr="00990356">
        <w:t xml:space="preserve"> </w:t>
      </w:r>
      <w:r w:rsidR="00990356" w:rsidRPr="00990356">
        <w:rPr>
          <w:lang w:val="en-GB"/>
        </w:rPr>
        <w:t>For the development of the calculations, a target SAF was selected corresponding to the molecular structure of C</w:t>
      </w:r>
      <w:r w:rsidR="00990356" w:rsidRPr="00990356">
        <w:rPr>
          <w:vertAlign w:val="subscript"/>
          <w:lang w:val="en-GB"/>
        </w:rPr>
        <w:t>13</w:t>
      </w:r>
      <w:r w:rsidR="00990356" w:rsidRPr="00990356">
        <w:rPr>
          <w:lang w:val="en-GB"/>
        </w:rPr>
        <w:t>H</w:t>
      </w:r>
      <w:r w:rsidR="00990356" w:rsidRPr="00990356">
        <w:rPr>
          <w:vertAlign w:val="subscript"/>
          <w:lang w:val="en-GB"/>
        </w:rPr>
        <w:t>28</w:t>
      </w:r>
      <w:r w:rsidR="00990356" w:rsidRPr="00990356">
        <w:rPr>
          <w:lang w:val="en-GB"/>
        </w:rPr>
        <w:t xml:space="preserve">. However, in the HEFA production process, due to the nature of the </w:t>
      </w:r>
      <w:r w:rsidR="00990356" w:rsidRPr="007F7AE8">
        <w:rPr>
          <w:lang w:val="en-GB"/>
        </w:rPr>
        <w:t>decarboxylation reaction</w:t>
      </w:r>
      <w:r w:rsidR="00990356" w:rsidRPr="009F6EBC">
        <w:rPr>
          <w:lang w:val="en-GB"/>
        </w:rPr>
        <w:t>s</w:t>
      </w:r>
      <w:r w:rsidR="007F7AE8" w:rsidRPr="009F6EBC">
        <w:rPr>
          <w:lang w:val="en-GB"/>
        </w:rPr>
        <w:t xml:space="preserve"> (Mayorga Betancourt, M., 2023)</w:t>
      </w:r>
      <w:r w:rsidR="00990356" w:rsidRPr="009F6EBC">
        <w:rPr>
          <w:lang w:val="en-GB"/>
        </w:rPr>
        <w:t>,</w:t>
      </w:r>
      <w:r w:rsidR="00990356" w:rsidRPr="00990356">
        <w:rPr>
          <w:lang w:val="en-GB"/>
        </w:rPr>
        <w:t xml:space="preserve"> a considerable fraction of SAF with a different molecular structure, corresponding to C</w:t>
      </w:r>
      <w:r w:rsidR="00990356" w:rsidRPr="00990356">
        <w:rPr>
          <w:vertAlign w:val="subscript"/>
          <w:lang w:val="en-GB"/>
        </w:rPr>
        <w:t>15</w:t>
      </w:r>
      <w:r w:rsidR="00990356" w:rsidRPr="00990356">
        <w:rPr>
          <w:lang w:val="en-GB"/>
        </w:rPr>
        <w:t>H</w:t>
      </w:r>
      <w:r w:rsidR="00990356" w:rsidRPr="00990356">
        <w:rPr>
          <w:vertAlign w:val="subscript"/>
          <w:lang w:val="en-GB"/>
        </w:rPr>
        <w:t>32</w:t>
      </w:r>
      <w:r w:rsidR="00990356" w:rsidRPr="00990356">
        <w:rPr>
          <w:lang w:val="en-GB"/>
        </w:rPr>
        <w:t>, was obtained, which is relevant to the research.</w:t>
      </w:r>
      <w:r w:rsidR="00A17D7A">
        <w:rPr>
          <w:lang w:val="en-GB"/>
        </w:rPr>
        <w:t xml:space="preserve"> </w:t>
      </w:r>
    </w:p>
    <w:p w14:paraId="656690B5" w14:textId="2ACA5DAD" w:rsidR="005903F1" w:rsidRDefault="005903F1" w:rsidP="00600535">
      <w:pPr>
        <w:pStyle w:val="CETBodytext"/>
        <w:rPr>
          <w:lang w:val="en-GB"/>
        </w:rPr>
      </w:pPr>
    </w:p>
    <w:p w14:paraId="710BC1B9" w14:textId="546D9C13" w:rsidR="005903F1" w:rsidRDefault="00A17D7A" w:rsidP="00600535">
      <w:pPr>
        <w:pStyle w:val="CETBodytext"/>
        <w:rPr>
          <w:lang w:val="en-GB"/>
        </w:rPr>
      </w:pPr>
      <w:r w:rsidRPr="00A17D7A">
        <w:rPr>
          <w:lang w:val="en-GB"/>
        </w:rPr>
        <w:t xml:space="preserve">The heat requirement not only exerts significant pressure on natural resources, as considerable amounts of water and fuel (mainly natural gas) are needed, within the context of the LCA and the research developed, but also, as an environmental impact, it contributes to the depletion of natural and energy resources. Its release into the environment can modify microclimates and disrupt a wide variety of </w:t>
      </w:r>
      <w:r w:rsidRPr="00BF789E">
        <w:rPr>
          <w:lang w:val="en-GB"/>
        </w:rPr>
        <w:t>ecosystems (Mahmoud, M, et al., 2020).</w:t>
      </w:r>
      <w:r w:rsidRPr="00A17D7A">
        <w:rPr>
          <w:lang w:val="en-GB"/>
        </w:rPr>
        <w:t xml:space="preserve"> Hydrogenation, which is used in all three routes, is another critical point identified by the LCA. Specifically, in the ATJ and FT routes, weightings for certain categories of potential environmental impacts were found to approach 100%, and it is imperative to discuss this aspect, first, as hydrogen is essential to reduce the oxygen content in biomass and subsequently improve the SAF </w:t>
      </w:r>
      <w:r w:rsidRPr="009110E0">
        <w:rPr>
          <w:lang w:val="en-GB"/>
        </w:rPr>
        <w:t>(Sinha, A.K</w:t>
      </w:r>
      <w:r w:rsidR="001A41F1" w:rsidRPr="009110E0">
        <w:rPr>
          <w:lang w:val="en-GB"/>
        </w:rPr>
        <w:t>.</w:t>
      </w:r>
      <w:r w:rsidRPr="009110E0">
        <w:rPr>
          <w:lang w:val="en-GB"/>
        </w:rPr>
        <w:t xml:space="preserve"> et al., 2016).</w:t>
      </w:r>
      <w:r w:rsidRPr="00A17D7A">
        <w:rPr>
          <w:lang w:val="en-GB"/>
        </w:rPr>
        <w:t xml:space="preserve"> Therefore, the supply of this compound is crucial for SAF synthesis, and within the Colombian context, it could become one of the drivers for developing a hydrogen market that can be incorporated into various production </w:t>
      </w:r>
      <w:r w:rsidRPr="00DD569D">
        <w:rPr>
          <w:lang w:val="en-GB"/>
        </w:rPr>
        <w:t>processes</w:t>
      </w:r>
      <w:r w:rsidR="00D12B50" w:rsidRPr="00DD569D">
        <w:rPr>
          <w:lang w:val="en-GB"/>
        </w:rPr>
        <w:t xml:space="preserve"> (</w:t>
      </w:r>
      <w:r w:rsidR="00DD569D" w:rsidRPr="00DD569D">
        <w:rPr>
          <w:lang w:val="en-GB"/>
        </w:rPr>
        <w:t>Rodríguez-</w:t>
      </w:r>
      <w:proofErr w:type="spellStart"/>
      <w:r w:rsidR="00DD569D" w:rsidRPr="00DD569D">
        <w:rPr>
          <w:lang w:val="en-GB"/>
        </w:rPr>
        <w:t>Fontalvo</w:t>
      </w:r>
      <w:proofErr w:type="spellEnd"/>
      <w:r w:rsidR="00DD569D" w:rsidRPr="00DD569D">
        <w:rPr>
          <w:lang w:val="en-GB"/>
        </w:rPr>
        <w:t>, D.</w:t>
      </w:r>
      <w:r w:rsidR="00DD569D">
        <w:rPr>
          <w:lang w:val="en-GB"/>
        </w:rPr>
        <w:t xml:space="preserve"> et al, 2023)</w:t>
      </w:r>
      <w:r w:rsidRPr="00A17D7A">
        <w:rPr>
          <w:lang w:val="en-GB"/>
        </w:rPr>
        <w:t>.</w:t>
      </w:r>
      <w:r w:rsidR="00800AC9">
        <w:rPr>
          <w:lang w:val="en-GB"/>
        </w:rPr>
        <w:t xml:space="preserve"> </w:t>
      </w:r>
      <w:r w:rsidR="007B4D27" w:rsidRPr="007B4D27">
        <w:rPr>
          <w:lang w:val="en-GB"/>
        </w:rPr>
        <w:t xml:space="preserve">In the SimaPro® evaluation, hydrogen produced via conventional methods, specifically from fossil fuels, was considered, as the hydrogen market in Colombia remains limited and insufficient to meet the demand for SAF production, nor can it support large-scale renewable production pathways such as water electrolysis </w:t>
      </w:r>
      <w:r w:rsidR="007B4D27" w:rsidRPr="00DD569D">
        <w:rPr>
          <w:lang w:val="en-GB"/>
        </w:rPr>
        <w:t>(</w:t>
      </w:r>
      <w:proofErr w:type="spellStart"/>
      <w:r w:rsidR="00DE2184">
        <w:rPr>
          <w:lang w:val="en-GB"/>
        </w:rPr>
        <w:t>Ministerio</w:t>
      </w:r>
      <w:proofErr w:type="spellEnd"/>
      <w:r w:rsidR="00DE2184">
        <w:rPr>
          <w:lang w:val="en-GB"/>
        </w:rPr>
        <w:t xml:space="preserve"> de Minas y </w:t>
      </w:r>
      <w:proofErr w:type="spellStart"/>
      <w:r w:rsidR="00DE2184">
        <w:rPr>
          <w:lang w:val="en-GB"/>
        </w:rPr>
        <w:t>Energía</w:t>
      </w:r>
      <w:proofErr w:type="spellEnd"/>
      <w:r w:rsidR="00DE2184">
        <w:rPr>
          <w:lang w:val="en-GB"/>
        </w:rPr>
        <w:t>, 2021).</w:t>
      </w:r>
      <w:r w:rsidR="007B4D27" w:rsidRPr="007B4D27">
        <w:rPr>
          <w:lang w:val="en-GB"/>
        </w:rPr>
        <w:t xml:space="preserve"> Given its fossil fuel origin, the evaluated categories recognize this stage as critical in SAF production. Therefore, an alternative to meet hydrogen demand could involve the use of in-situ hydrogen generation catalysts, which facilitate the production of hydrocarbons in the (C</w:t>
      </w:r>
      <w:r w:rsidR="007B4D27" w:rsidRPr="0061142F">
        <w:rPr>
          <w:vertAlign w:val="subscript"/>
          <w:lang w:val="en-GB"/>
        </w:rPr>
        <w:t>9</w:t>
      </w:r>
      <w:r w:rsidR="007B4D27" w:rsidRPr="007B4D27">
        <w:rPr>
          <w:lang w:val="en-GB"/>
        </w:rPr>
        <w:t>-C</w:t>
      </w:r>
      <w:r w:rsidR="007B4D27" w:rsidRPr="0061142F">
        <w:rPr>
          <w:vertAlign w:val="subscript"/>
          <w:lang w:val="en-GB"/>
        </w:rPr>
        <w:t>15</w:t>
      </w:r>
      <w:r w:rsidR="007B4D27" w:rsidRPr="007B4D27">
        <w:rPr>
          <w:lang w:val="en-GB"/>
        </w:rPr>
        <w:t xml:space="preserve">) range, applicable not only to SAF but also to renewable </w:t>
      </w:r>
      <w:r w:rsidR="007B4D27" w:rsidRPr="00D63DD6">
        <w:rPr>
          <w:lang w:val="en-GB"/>
        </w:rPr>
        <w:t>diesel</w:t>
      </w:r>
      <w:r w:rsidR="00EC1BEF" w:rsidRPr="00D63DD6">
        <w:rPr>
          <w:lang w:val="en-GB"/>
        </w:rPr>
        <w:t xml:space="preserve"> (</w:t>
      </w:r>
      <w:proofErr w:type="spellStart"/>
      <w:r w:rsidR="00D63DD6" w:rsidRPr="00D63DD6">
        <w:rPr>
          <w:lang w:val="en-GB"/>
        </w:rPr>
        <w:t>Pipitone</w:t>
      </w:r>
      <w:proofErr w:type="spellEnd"/>
      <w:r w:rsidR="00D63DD6" w:rsidRPr="00D63DD6">
        <w:rPr>
          <w:lang w:val="en-GB"/>
        </w:rPr>
        <w:t>, G. et al, 2023</w:t>
      </w:r>
      <w:r w:rsidR="007B4D27" w:rsidRPr="00D63DD6">
        <w:rPr>
          <w:lang w:val="en-GB"/>
        </w:rPr>
        <w:t>).</w:t>
      </w:r>
      <w:r w:rsidR="007B4D27" w:rsidRPr="007B4D27">
        <w:rPr>
          <w:lang w:val="en-GB"/>
        </w:rPr>
        <w:t xml:space="preserve"> To complete the </w:t>
      </w:r>
      <w:r w:rsidR="007B4D27" w:rsidRPr="007B4D27">
        <w:rPr>
          <w:lang w:val="en-GB"/>
        </w:rPr>
        <w:lastRenderedPageBreak/>
        <w:t xml:space="preserve">discussion on the critical aspects of the routes, HEFA-derived SAF is not only associated with significant implications regarding synthesis heat, but it may also generate potential environmental impacts, particularly in the AC, ADFF, and ET categories, as wastewater is produced during the process and energy derived from </w:t>
      </w:r>
      <w:r w:rsidR="007B4D27" w:rsidRPr="009E479B">
        <w:rPr>
          <w:lang w:val="en-GB"/>
        </w:rPr>
        <w:t>fossil fuels is utilized</w:t>
      </w:r>
      <w:r w:rsidR="009E479B">
        <w:rPr>
          <w:lang w:val="en-GB"/>
        </w:rPr>
        <w:t xml:space="preserve"> (</w:t>
      </w:r>
      <w:proofErr w:type="spellStart"/>
      <w:r w:rsidR="00DE08F9" w:rsidRPr="00DE08F9">
        <w:rPr>
          <w:lang w:val="en-GB"/>
        </w:rPr>
        <w:t>Therasme</w:t>
      </w:r>
      <w:proofErr w:type="spellEnd"/>
      <w:r w:rsidR="00DE08F9" w:rsidRPr="00DE08F9">
        <w:rPr>
          <w:lang w:val="en-GB"/>
        </w:rPr>
        <w:t>, O</w:t>
      </w:r>
      <w:r w:rsidR="00DE08F9">
        <w:rPr>
          <w:lang w:val="en-GB"/>
        </w:rPr>
        <w:t>. and</w:t>
      </w:r>
      <w:r w:rsidR="00DE08F9" w:rsidRPr="00DE08F9">
        <w:rPr>
          <w:lang w:val="en-GB"/>
        </w:rPr>
        <w:t xml:space="preserve"> Kumar, D.</w:t>
      </w:r>
      <w:r w:rsidR="00DE08F9">
        <w:rPr>
          <w:lang w:val="en-GB"/>
        </w:rPr>
        <w:t xml:space="preserve">, </w:t>
      </w:r>
      <w:r w:rsidR="00DE08F9" w:rsidRPr="00DE08F9">
        <w:rPr>
          <w:lang w:val="en-GB"/>
        </w:rPr>
        <w:t>2024)</w:t>
      </w:r>
      <w:r w:rsidR="007B4D27" w:rsidRPr="007B4D27">
        <w:rPr>
          <w:lang w:val="en-GB"/>
        </w:rPr>
        <w:t>. A pivotal aspect of the ATJ route is advancing research on microbial strains capable of fermenting pentoses, as conventional yeast strains exhibit limitations in incorporating such sugars into their metabolic pathways (Wyman, C. et al., 2019).</w:t>
      </w:r>
      <w:r w:rsidR="00EA5F22">
        <w:rPr>
          <w:lang w:val="en-GB"/>
        </w:rPr>
        <w:t xml:space="preserve"> </w:t>
      </w:r>
    </w:p>
    <w:p w14:paraId="6FED904E" w14:textId="50E6F105" w:rsidR="005903F1" w:rsidRDefault="005903F1" w:rsidP="00600535">
      <w:pPr>
        <w:pStyle w:val="CETBodytext"/>
        <w:rPr>
          <w:lang w:val="en-GB"/>
        </w:rPr>
      </w:pPr>
    </w:p>
    <w:p w14:paraId="46B92D8C" w14:textId="4A2644BD" w:rsidR="00D23516" w:rsidRDefault="00D23516" w:rsidP="00600535">
      <w:pPr>
        <w:pStyle w:val="CETBodytext"/>
        <w:rPr>
          <w:lang w:val="en-GB"/>
        </w:rPr>
      </w:pPr>
      <w:r w:rsidRPr="00D23516">
        <w:rPr>
          <w:lang w:val="en-GB"/>
        </w:rPr>
        <w:t xml:space="preserve">In general, for all three processes, criteria can be considered to enhance the sustainability of a potential SAF production in the Colombian context. These include the appropriate selection of renewable-origin catalysts or those with a reduced environmental impact </w:t>
      </w:r>
      <w:r w:rsidR="00EC1BEF" w:rsidRPr="00FD259A">
        <w:rPr>
          <w:lang w:val="en-GB"/>
        </w:rPr>
        <w:t>(</w:t>
      </w:r>
      <w:proofErr w:type="spellStart"/>
      <w:r w:rsidR="00EC1BEF" w:rsidRPr="00FD259A">
        <w:rPr>
          <w:lang w:val="en-GB"/>
        </w:rPr>
        <w:t>Pipitone</w:t>
      </w:r>
      <w:proofErr w:type="spellEnd"/>
      <w:r w:rsidR="00EC1BEF" w:rsidRPr="00FD259A">
        <w:rPr>
          <w:lang w:val="en-GB"/>
        </w:rPr>
        <w:t>, G. et al, 2023),</w:t>
      </w:r>
      <w:r w:rsidR="00EC1BEF">
        <w:rPr>
          <w:lang w:val="en-GB"/>
        </w:rPr>
        <w:t xml:space="preserve"> </w:t>
      </w:r>
      <w:r w:rsidRPr="00D23516">
        <w:rPr>
          <w:lang w:val="en-GB"/>
        </w:rPr>
        <w:t>the evaluation of raw material sustainability, and the selection of geographic regions within the country where production processes can be established under a biorefinery framework (López Gómez, M. et al., 2023). Additionally, it is important to follow the recommendations from one of the first reports on SAF production potential in Colombia, developed by Washington State University, an outstanding tool that provides a comprehensive diagnosis for the decarbonization of the sector (Martinez-Valencia, L., &amp; Valderrama-Rios, C., 2024)</w:t>
      </w:r>
      <w:r w:rsidR="003979D4">
        <w:rPr>
          <w:lang w:val="en-GB"/>
        </w:rPr>
        <w:t>.</w:t>
      </w:r>
    </w:p>
    <w:p w14:paraId="370E6FBE" w14:textId="3A06D238" w:rsidR="00D23516" w:rsidRDefault="00D23516" w:rsidP="00D23516">
      <w:pPr>
        <w:pStyle w:val="CETHeading1"/>
      </w:pPr>
      <w:r>
        <w:t>Conclusions</w:t>
      </w:r>
    </w:p>
    <w:p w14:paraId="7B218854" w14:textId="589EC26A" w:rsidR="005903F1" w:rsidRDefault="001219B0" w:rsidP="00600535">
      <w:pPr>
        <w:pStyle w:val="CETBodytext"/>
        <w:rPr>
          <w:lang w:val="en-GB"/>
        </w:rPr>
      </w:pPr>
      <w:r w:rsidRPr="001219B0">
        <w:rPr>
          <w:lang w:val="en-GB"/>
        </w:rPr>
        <w:t>The LCA conducted for SAF production in Colombia facilitated the identification of the potential environmental ramifications associated with the unit operations of the three evaluated production routes. SAF production via the HEFA pathway exhibits the most extensive distribution of environmental impacts across the assessed categories within the SimaPro® software, with values that approach the total percentage distribution in certain categories. This is primarily attributable to the thermal demands and the final SAF synthesis, which are the critical points determined in the study, with a predominant association to t</w:t>
      </w:r>
      <w:r w:rsidR="00CA0C82">
        <w:rPr>
          <w:lang w:val="en-GB"/>
        </w:rPr>
        <w:t xml:space="preserve">he </w:t>
      </w:r>
      <w:r w:rsidRPr="001219B0">
        <w:rPr>
          <w:lang w:val="en-GB"/>
        </w:rPr>
        <w:t>GW and WS categories. For the ATJ and FT routes, the category with the highest weightings is ET, with calculated values of 74.1% and 70.9%, respectively, suggesting that the emissions associated with these processes may have significant impacts on water resources. A pivotal aspect of the research is ensuring that the hydrogen utilized in these processes is derived from renewable sources, thereby mitigating adverse environmental impacts. Additionally, optimizing heat recovery in the process operations is crucial, ensuring that any thermal emissions to the environment are captured and repurposed for preheating the feedwater in the processes.</w:t>
      </w:r>
    </w:p>
    <w:p w14:paraId="3EFA2507" w14:textId="5BA7092A" w:rsidR="005903F1" w:rsidRDefault="007147BE" w:rsidP="007147BE">
      <w:pPr>
        <w:pStyle w:val="CETHeading1"/>
        <w:numPr>
          <w:ilvl w:val="0"/>
          <w:numId w:val="0"/>
        </w:numPr>
      </w:pPr>
      <w:r>
        <w:t>References</w:t>
      </w:r>
    </w:p>
    <w:p w14:paraId="3CACD405" w14:textId="16B088A2" w:rsidR="00031866" w:rsidRDefault="00031866" w:rsidP="001435EF">
      <w:pPr>
        <w:pStyle w:val="CETReferencetext"/>
      </w:pPr>
      <w:r w:rsidRPr="00031866">
        <w:t xml:space="preserve">Bhatt, A. H., Zhang, Y., </w:t>
      </w:r>
      <w:proofErr w:type="spellStart"/>
      <w:r w:rsidRPr="00031866">
        <w:t>Milbrandt</w:t>
      </w:r>
      <w:proofErr w:type="spellEnd"/>
      <w:r w:rsidRPr="00031866">
        <w:t xml:space="preserve">, A., </w:t>
      </w:r>
      <w:proofErr w:type="spellStart"/>
      <w:r w:rsidRPr="00031866">
        <w:t>Newes</w:t>
      </w:r>
      <w:proofErr w:type="spellEnd"/>
      <w:r w:rsidRPr="00031866">
        <w:t>, E., Moriarty, K., Klein, B.,</w:t>
      </w:r>
      <w:r>
        <w:t xml:space="preserve"> </w:t>
      </w:r>
      <w:r w:rsidRPr="00031866">
        <w:t>Tao, L.</w:t>
      </w:r>
      <w:r>
        <w:t xml:space="preserve">, </w:t>
      </w:r>
      <w:r w:rsidRPr="00031866">
        <w:t>2023</w:t>
      </w:r>
      <w:r>
        <w:t>,</w:t>
      </w:r>
      <w:r w:rsidRPr="00031866">
        <w:t xml:space="preserve"> Evaluation of performance variables to accelerate the deployment of </w:t>
      </w:r>
      <w:r>
        <w:t>S</w:t>
      </w:r>
      <w:r w:rsidRPr="00031866">
        <w:t xml:space="preserve">ustainable </w:t>
      </w:r>
      <w:r>
        <w:t>A</w:t>
      </w:r>
      <w:r w:rsidRPr="00031866">
        <w:t xml:space="preserve">viation </w:t>
      </w:r>
      <w:r>
        <w:t>F</w:t>
      </w:r>
      <w:r w:rsidRPr="00031866">
        <w:t>uels at a regional scale. Energy Conversion and Management, 275, 116441.</w:t>
      </w:r>
      <w:r w:rsidR="004D750A">
        <w:t xml:space="preserve"> &lt;</w:t>
      </w:r>
      <w:r w:rsidR="004D750A" w:rsidRPr="004D750A">
        <w:t>doi.org/10.1016/j.enconman.2022.116441</w:t>
      </w:r>
      <w:r w:rsidR="004D750A">
        <w:t>&gt;</w:t>
      </w:r>
    </w:p>
    <w:p w14:paraId="0E262C68" w14:textId="5869766B" w:rsidR="00682797" w:rsidRDefault="00682797" w:rsidP="001435EF">
      <w:pPr>
        <w:pStyle w:val="CETReferencetext"/>
      </w:pPr>
      <w:r w:rsidRPr="00682797">
        <w:t xml:space="preserve">Brooks, K. P., Snowden-Swan, L. J., Jones, S. B., Butcher, M. G., Lee, G.-S. J., Anderson, D. M., Frye, J. G., Holladay, J. E., Owen, J., Harmon, L., Burton, F., Palou-Rivera, I., Plaza, J., Handler, R., </w:t>
      </w:r>
      <w:proofErr w:type="spellStart"/>
      <w:r w:rsidRPr="00682797">
        <w:t>Shonnard</w:t>
      </w:r>
      <w:proofErr w:type="spellEnd"/>
      <w:r w:rsidRPr="00682797">
        <w:t>, D.</w:t>
      </w:r>
      <w:r w:rsidR="003C58FB">
        <w:t>,</w:t>
      </w:r>
      <w:r w:rsidRPr="00682797">
        <w:t xml:space="preserve"> 2016</w:t>
      </w:r>
      <w:r w:rsidR="003C58FB">
        <w:t>,</w:t>
      </w:r>
      <w:r w:rsidRPr="00682797">
        <w:t xml:space="preserve"> Low-carbon aviation fuel through the alcohol to jet pathway</w:t>
      </w:r>
      <w:r w:rsidR="003C58FB">
        <w:t xml:space="preserve">, </w:t>
      </w:r>
      <w:r w:rsidRPr="00682797">
        <w:t>Biofuels for Aviation</w:t>
      </w:r>
      <w:r w:rsidR="003C58FB">
        <w:t xml:space="preserve">, </w:t>
      </w:r>
      <w:r w:rsidRPr="00682797">
        <w:t>109-150.</w:t>
      </w:r>
      <w:r w:rsidR="004D750A">
        <w:t xml:space="preserve"> &lt;</w:t>
      </w:r>
      <w:r w:rsidR="004D750A" w:rsidRPr="004D750A">
        <w:t>doi.org/10.1016/B978-0-12-804568-8.00006-8</w:t>
      </w:r>
      <w:r w:rsidR="004D750A">
        <w:t>&gt;</w:t>
      </w:r>
    </w:p>
    <w:p w14:paraId="3969A8EC" w14:textId="3204AF6F" w:rsidR="00D63DD6" w:rsidRDefault="00C64C05" w:rsidP="001435EF">
      <w:pPr>
        <w:pStyle w:val="CETReferencetext"/>
      </w:pPr>
      <w:r w:rsidRPr="00C64C05">
        <w:t xml:space="preserve">Casas, L. C., </w:t>
      </w:r>
      <w:proofErr w:type="spellStart"/>
      <w:r w:rsidRPr="00C64C05">
        <w:t>Orjuela</w:t>
      </w:r>
      <w:proofErr w:type="spellEnd"/>
      <w:r w:rsidRPr="00C64C05">
        <w:t>, A</w:t>
      </w:r>
      <w:r w:rsidR="002A31E1">
        <w:t>.,</w:t>
      </w:r>
      <w:r w:rsidRPr="00C64C05">
        <w:t xml:space="preserve"> </w:t>
      </w:r>
      <w:proofErr w:type="spellStart"/>
      <w:r w:rsidRPr="00C64C05">
        <w:t>Poganietz</w:t>
      </w:r>
      <w:proofErr w:type="spellEnd"/>
      <w:r w:rsidRPr="00C64C05">
        <w:t>, W.-R.</w:t>
      </w:r>
      <w:r w:rsidR="002A31E1">
        <w:t xml:space="preserve">, </w:t>
      </w:r>
      <w:r w:rsidRPr="00C64C05">
        <w:t>2024</w:t>
      </w:r>
      <w:r w:rsidR="002A31E1">
        <w:t xml:space="preserve">, </w:t>
      </w:r>
      <w:r w:rsidRPr="00C64C05">
        <w:t xml:space="preserve">Sustainability assessment of the </w:t>
      </w:r>
      <w:proofErr w:type="spellStart"/>
      <w:r w:rsidRPr="00C64C05">
        <w:t>valorization</w:t>
      </w:r>
      <w:proofErr w:type="spellEnd"/>
      <w:r w:rsidRPr="00C64C05">
        <w:t xml:space="preserve"> scheme of used cooking oils (U</w:t>
      </w:r>
      <w:r w:rsidR="002A31E1">
        <w:t>CO’</w:t>
      </w:r>
      <w:r w:rsidRPr="00C64C05">
        <w:t>s): The case study of Bogotá, Colombia</w:t>
      </w:r>
      <w:r w:rsidR="002A31E1">
        <w:t>,</w:t>
      </w:r>
      <w:r w:rsidRPr="00C64C05">
        <w:t xml:space="preserve"> Biomass Conversion and Biorefinery, 14, 15317-15333</w:t>
      </w:r>
      <w:r w:rsidR="002A31E1">
        <w:t>.</w:t>
      </w:r>
      <w:r w:rsidR="004D750A">
        <w:t xml:space="preserve"> &lt;</w:t>
      </w:r>
      <w:r w:rsidR="004D750A" w:rsidRPr="004D750A">
        <w:t>doi.org/10.1007/s13399-023-03800-1</w:t>
      </w:r>
      <w:r w:rsidR="004D750A">
        <w:t>&gt;</w:t>
      </w:r>
    </w:p>
    <w:p w14:paraId="03202674" w14:textId="14C698A4" w:rsidR="00476711" w:rsidRDefault="00476711" w:rsidP="001435EF">
      <w:pPr>
        <w:pStyle w:val="CETReferencetext"/>
      </w:pPr>
      <w:r>
        <w:t xml:space="preserve">DANE, 2023, </w:t>
      </w:r>
      <w:r w:rsidRPr="00476711">
        <w:t>Eighth Circular Economy Report</w:t>
      </w:r>
      <w:r>
        <w:t>. Bogotá, Colombia.</w:t>
      </w:r>
    </w:p>
    <w:p w14:paraId="1AADCD67" w14:textId="6483A8DD" w:rsidR="00DC0463" w:rsidRDefault="00DC0463" w:rsidP="00DC0463">
      <w:pPr>
        <w:pStyle w:val="CETReferencetext"/>
      </w:pPr>
      <w:r>
        <w:t>FAO, 2011, The Global Bioenergy Partnership Sustainability Indicators for Bioenergy, Rome. ISBN 978-92-5-107249-3.</w:t>
      </w:r>
    </w:p>
    <w:p w14:paraId="47CC38AF" w14:textId="51BACB6E" w:rsidR="00617AC4" w:rsidRDefault="00617AC4" w:rsidP="001435EF">
      <w:pPr>
        <w:pStyle w:val="CETReferencetext"/>
      </w:pPr>
      <w:proofErr w:type="spellStart"/>
      <w:r w:rsidRPr="00617AC4">
        <w:t>Gheewala</w:t>
      </w:r>
      <w:proofErr w:type="spellEnd"/>
      <w:r w:rsidRPr="00617AC4">
        <w:t>, S. H.</w:t>
      </w:r>
      <w:r>
        <w:t xml:space="preserve">, </w:t>
      </w:r>
      <w:r w:rsidRPr="00617AC4">
        <w:t>2023</w:t>
      </w:r>
      <w:r>
        <w:t xml:space="preserve">, </w:t>
      </w:r>
      <w:r w:rsidRPr="00617AC4">
        <w:t xml:space="preserve">Life </w:t>
      </w:r>
      <w:r>
        <w:t>C</w:t>
      </w:r>
      <w:r w:rsidRPr="00617AC4">
        <w:t xml:space="preserve">ycle </w:t>
      </w:r>
      <w:r>
        <w:t>A</w:t>
      </w:r>
      <w:r w:rsidRPr="00617AC4">
        <w:t xml:space="preserve">ssessment for </w:t>
      </w:r>
      <w:r>
        <w:t>S</w:t>
      </w:r>
      <w:r w:rsidRPr="00617AC4">
        <w:t xml:space="preserve">ustainability </w:t>
      </w:r>
      <w:r>
        <w:t>A</w:t>
      </w:r>
      <w:r w:rsidRPr="00617AC4">
        <w:t xml:space="preserve">ssessment of </w:t>
      </w:r>
      <w:r>
        <w:t>B</w:t>
      </w:r>
      <w:r w:rsidRPr="00617AC4">
        <w:t xml:space="preserve">iofuels and </w:t>
      </w:r>
      <w:r>
        <w:t>B</w:t>
      </w:r>
      <w:r w:rsidRPr="00617AC4">
        <w:t>ioproducts. Biofuel Research Journal, 10, 1810-1815.</w:t>
      </w:r>
      <w:r w:rsidR="00024071">
        <w:t xml:space="preserve"> &lt;</w:t>
      </w:r>
      <w:r w:rsidR="00024071" w:rsidRPr="00024071">
        <w:t xml:space="preserve"> doi.org/10.18331/BRJ2023.10.1.5</w:t>
      </w:r>
      <w:r w:rsidR="00024071">
        <w:t>&gt;</w:t>
      </w:r>
    </w:p>
    <w:p w14:paraId="6343B6F9" w14:textId="01B2D218" w:rsidR="00A143E2" w:rsidRDefault="00A143E2" w:rsidP="001435EF">
      <w:pPr>
        <w:pStyle w:val="CETReferencetext"/>
      </w:pPr>
      <w:proofErr w:type="spellStart"/>
      <w:r w:rsidRPr="00A143E2">
        <w:t>Heidari-Maleni</w:t>
      </w:r>
      <w:proofErr w:type="spellEnd"/>
      <w:r w:rsidRPr="00A143E2">
        <w:t xml:space="preserve">, A., </w:t>
      </w:r>
      <w:proofErr w:type="spellStart"/>
      <w:r w:rsidRPr="00A143E2">
        <w:t>Gundoshmian</w:t>
      </w:r>
      <w:proofErr w:type="spellEnd"/>
      <w:r w:rsidRPr="00A143E2">
        <w:t xml:space="preserve">, T. M., </w:t>
      </w:r>
      <w:proofErr w:type="spellStart"/>
      <w:r w:rsidRPr="00A143E2">
        <w:t>Pakravan-Charvadeh</w:t>
      </w:r>
      <w:proofErr w:type="spellEnd"/>
      <w:r w:rsidRPr="00A143E2">
        <w:t>, M. R., &amp; Flora, C. (2024). Life cycle assessment of biodiesel production from fish waste oil. Environmental Challenges, 14, 100850</w:t>
      </w:r>
      <w:r w:rsidR="00A22C89">
        <w:t>. &lt;</w:t>
      </w:r>
      <w:r w:rsidR="00A22C89" w:rsidRPr="00A22C89">
        <w:t xml:space="preserve"> doi.org/10.1016/j.envc.2024.100850</w:t>
      </w:r>
      <w:r w:rsidR="00A22C89">
        <w:t>&gt;</w:t>
      </w:r>
    </w:p>
    <w:p w14:paraId="136A88BE" w14:textId="77777777" w:rsidR="002839A2" w:rsidRDefault="002839A2" w:rsidP="002839A2">
      <w:pPr>
        <w:pStyle w:val="CETReferencetext"/>
      </w:pPr>
      <w:r>
        <w:t xml:space="preserve">IATA, 2022, </w:t>
      </w:r>
      <w:r w:rsidRPr="002647F6">
        <w:t xml:space="preserve">Developing </w:t>
      </w:r>
      <w:r>
        <w:t>S</w:t>
      </w:r>
      <w:r w:rsidRPr="002647F6">
        <w:t xml:space="preserve">ustainable </w:t>
      </w:r>
      <w:r>
        <w:t>A</w:t>
      </w:r>
      <w:r w:rsidRPr="002647F6">
        <w:t xml:space="preserve">viation </w:t>
      </w:r>
      <w:r>
        <w:t>F</w:t>
      </w:r>
      <w:r w:rsidRPr="002647F6">
        <w:t>uel (SAF).</w:t>
      </w:r>
      <w:r>
        <w:t xml:space="preserve"> &lt;</w:t>
      </w:r>
      <w:r w:rsidRPr="002647F6">
        <w:t>https://www.iata.org/en/programs/environment/sustainable-aviation-fuels/</w:t>
      </w:r>
      <w:r>
        <w:t xml:space="preserve">&gt; Accessed 30.05.2024. </w:t>
      </w:r>
    </w:p>
    <w:p w14:paraId="2C047D70" w14:textId="16F6C450" w:rsidR="002647F6" w:rsidRDefault="002647F6" w:rsidP="0037754F">
      <w:pPr>
        <w:pStyle w:val="CETReferencetext"/>
      </w:pPr>
      <w:r>
        <w:t>IEA, 202</w:t>
      </w:r>
      <w:r w:rsidR="00AD275A">
        <w:t>3, Aviation. &lt;</w:t>
      </w:r>
      <w:r w:rsidR="00AD275A" w:rsidRPr="00AD275A">
        <w:t>https://www.iea.org/energy-system/transport/aviation</w:t>
      </w:r>
      <w:r w:rsidR="00AD275A">
        <w:t>&gt; Accessed 10.08.2024.</w:t>
      </w:r>
    </w:p>
    <w:p w14:paraId="260D6904" w14:textId="6DEDFF09" w:rsidR="0037754F" w:rsidRDefault="0037754F" w:rsidP="0037754F">
      <w:pPr>
        <w:pStyle w:val="CETReferencetext"/>
      </w:pPr>
      <w:r>
        <w:t xml:space="preserve">IRENA, 2021. Reaching Zero with Renewables: </w:t>
      </w:r>
      <w:proofErr w:type="spellStart"/>
      <w:r>
        <w:t>Biojet</w:t>
      </w:r>
      <w:proofErr w:type="spellEnd"/>
      <w:r>
        <w:t xml:space="preserve"> fuels, International Renewable Energy Agency, Abu Dhabi, ISBN: 978-92-9260-350-2.</w:t>
      </w:r>
    </w:p>
    <w:p w14:paraId="1BC00E33" w14:textId="15D65CBC" w:rsidR="0064273E" w:rsidRPr="00DD506A" w:rsidRDefault="00D63DD6" w:rsidP="0064273E">
      <w:pPr>
        <w:pStyle w:val="CETReferencetext"/>
        <w:rPr>
          <w:sz w:val="16"/>
        </w:rPr>
      </w:pPr>
      <w:proofErr w:type="spellStart"/>
      <w:r w:rsidRPr="00D63DD6">
        <w:t>Juanpera</w:t>
      </w:r>
      <w:proofErr w:type="spellEnd"/>
      <w:r w:rsidRPr="00D63DD6">
        <w:t xml:space="preserve">, M., Ferrer-Martí, L., Diez-Montero, R., Ferrer, I., Castro, L., Escalante, H., &amp; </w:t>
      </w:r>
      <w:proofErr w:type="spellStart"/>
      <w:r w:rsidRPr="00D63DD6">
        <w:t>Garfí</w:t>
      </w:r>
      <w:proofErr w:type="spellEnd"/>
      <w:r w:rsidRPr="00D63DD6">
        <w:t>, M.</w:t>
      </w:r>
      <w:r>
        <w:t xml:space="preserve">, </w:t>
      </w:r>
      <w:r w:rsidRPr="00D63DD6">
        <w:t>2022</w:t>
      </w:r>
      <w:r>
        <w:t>,</w:t>
      </w:r>
      <w:r w:rsidRPr="00D63DD6">
        <w:t xml:space="preserve"> A robust multicriteria analysis for the post-treatment of digestate from low-tech digesters. Boosting the circular </w:t>
      </w:r>
      <w:proofErr w:type="spellStart"/>
      <w:r w:rsidRPr="00D63DD6">
        <w:lastRenderedPageBreak/>
        <w:t>bioeconomy</w:t>
      </w:r>
      <w:proofErr w:type="spellEnd"/>
      <w:r w:rsidRPr="00D63DD6">
        <w:t xml:space="preserve"> of small-scale farms in Colombia</w:t>
      </w:r>
      <w:r>
        <w:t xml:space="preserve">, </w:t>
      </w:r>
      <w:r w:rsidRPr="00D63DD6">
        <w:t>Renewable and Sustainable Energy Reviews, 166, 112638.</w:t>
      </w:r>
      <w:r w:rsidR="00DD506A">
        <w:t xml:space="preserve"> &lt;</w:t>
      </w:r>
      <w:r w:rsidR="00DD506A" w:rsidRPr="00DD506A">
        <w:t>doi.org/10.1016/j.rser.2022.112638</w:t>
      </w:r>
      <w:r w:rsidR="00DD506A">
        <w:rPr>
          <w:sz w:val="16"/>
        </w:rPr>
        <w:t>&gt;</w:t>
      </w:r>
    </w:p>
    <w:p w14:paraId="6F17DBB2" w14:textId="0BDDD75B" w:rsidR="0064273E" w:rsidRDefault="0064273E" w:rsidP="0064273E">
      <w:pPr>
        <w:pStyle w:val="CETReferencetext"/>
      </w:pPr>
      <w:r>
        <w:t xml:space="preserve">López M., Leon S., </w:t>
      </w:r>
      <w:proofErr w:type="spellStart"/>
      <w:r>
        <w:t>Kwakernaak</w:t>
      </w:r>
      <w:proofErr w:type="spellEnd"/>
      <w:r>
        <w:t xml:space="preserve"> S., Silva V., Posada J., Alvarez O., 2024, Sustainable Aviation Fuel Production Optimization in Colombia: An In-depth Sensitivity Analysis, Chemical Engineering Transactions, 109, 337-342</w:t>
      </w:r>
      <w:r w:rsidR="00DD506A">
        <w:t>. &lt;</w:t>
      </w:r>
      <w:r w:rsidR="00DD506A" w:rsidRPr="00DD506A">
        <w:t>doi.org/10.3303/CET24109057</w:t>
      </w:r>
      <w:r w:rsidR="00DD506A">
        <w:t>&gt;</w:t>
      </w:r>
    </w:p>
    <w:p w14:paraId="2057A538" w14:textId="2305604B" w:rsidR="004A633C" w:rsidRDefault="009155BD" w:rsidP="001435EF">
      <w:pPr>
        <w:pStyle w:val="CETReferencetext"/>
      </w:pPr>
      <w:r w:rsidRPr="009155BD">
        <w:t>López Gómez, M., Posada, J., Silva, V., Martínez, L., Mayorga, A., &amp; Álvarez, O.</w:t>
      </w:r>
      <w:r>
        <w:t xml:space="preserve">, </w:t>
      </w:r>
      <w:r w:rsidRPr="009155BD">
        <w:t>2023</w:t>
      </w:r>
      <w:r>
        <w:t>,</w:t>
      </w:r>
      <w:r w:rsidRPr="009155BD">
        <w:t xml:space="preserve"> Diagnosis of challenges and uncertainties for implementation of </w:t>
      </w:r>
      <w:r w:rsidR="00C16D31">
        <w:t>S</w:t>
      </w:r>
      <w:r w:rsidRPr="009155BD">
        <w:t xml:space="preserve">ustainable </w:t>
      </w:r>
      <w:r w:rsidR="00C16D31">
        <w:t>A</w:t>
      </w:r>
      <w:r w:rsidRPr="009155BD">
        <w:t xml:space="preserve">viation </w:t>
      </w:r>
      <w:r w:rsidR="00C16D31">
        <w:t>F</w:t>
      </w:r>
      <w:r w:rsidRPr="009155BD">
        <w:t>uel (SAF) in Colombia, and recommendations to move forward</w:t>
      </w:r>
      <w:r>
        <w:t>,</w:t>
      </w:r>
      <w:r w:rsidRPr="009155BD">
        <w:t xml:space="preserve"> Energies, 16(15), 5667</w:t>
      </w:r>
      <w:r>
        <w:t>.</w:t>
      </w:r>
      <w:r w:rsidR="00BA670E">
        <w:t xml:space="preserve"> &lt;</w:t>
      </w:r>
      <w:r w:rsidR="00BA670E" w:rsidRPr="00BA670E">
        <w:t>doi.org/10.3390/en16155667</w:t>
      </w:r>
      <w:r w:rsidR="00BA670E">
        <w:t>&gt;</w:t>
      </w:r>
    </w:p>
    <w:p w14:paraId="2900E0FE" w14:textId="3AB30E0C" w:rsidR="00BF789E" w:rsidRDefault="00BF789E" w:rsidP="001435EF">
      <w:pPr>
        <w:pStyle w:val="CETReferencetext"/>
      </w:pPr>
      <w:r w:rsidRPr="00BF789E">
        <w:t xml:space="preserve">Mahmoud, M., Ramadan, M., </w:t>
      </w:r>
      <w:proofErr w:type="spellStart"/>
      <w:r w:rsidRPr="00BF789E">
        <w:t>Naher</w:t>
      </w:r>
      <w:proofErr w:type="spellEnd"/>
      <w:r w:rsidRPr="00BF789E">
        <w:t>, S., Pullen, K.,</w:t>
      </w:r>
      <w:r>
        <w:t xml:space="preserve"> </w:t>
      </w:r>
      <w:proofErr w:type="spellStart"/>
      <w:r w:rsidRPr="00BF789E">
        <w:t>Olabi</w:t>
      </w:r>
      <w:proofErr w:type="spellEnd"/>
      <w:r w:rsidRPr="00BF789E">
        <w:t>, A.-G.</w:t>
      </w:r>
      <w:r>
        <w:t xml:space="preserve">, </w:t>
      </w:r>
      <w:r w:rsidRPr="00BF789E">
        <w:t>2021</w:t>
      </w:r>
      <w:r>
        <w:t xml:space="preserve">, </w:t>
      </w:r>
      <w:r w:rsidRPr="00BF789E">
        <w:t>The impacts of different heating systems on the environment: A review</w:t>
      </w:r>
      <w:r>
        <w:t>,</w:t>
      </w:r>
      <w:r w:rsidRPr="00BF789E">
        <w:t xml:space="preserve"> Science of The Total Environment, 766, 142625.</w:t>
      </w:r>
      <w:r w:rsidR="00BA670E">
        <w:t xml:space="preserve"> &lt;</w:t>
      </w:r>
      <w:r w:rsidR="00BA670E" w:rsidRPr="00BA670E">
        <w:t>doi.org/10.1016/j.scitotenv.2020.142625</w:t>
      </w:r>
      <w:r w:rsidR="00BA670E">
        <w:t>&gt;</w:t>
      </w:r>
    </w:p>
    <w:p w14:paraId="3EB74315" w14:textId="59700351" w:rsidR="00D77343" w:rsidRDefault="00D77343" w:rsidP="001435EF">
      <w:pPr>
        <w:pStyle w:val="CETReferencetext"/>
      </w:pPr>
      <w:r w:rsidRPr="00D77343">
        <w:t xml:space="preserve">Martinez-Hernandez, E., </w:t>
      </w:r>
      <w:proofErr w:type="spellStart"/>
      <w:r w:rsidRPr="00D77343">
        <w:t>Amezcua-Allieri</w:t>
      </w:r>
      <w:proofErr w:type="spellEnd"/>
      <w:r w:rsidRPr="00D77343">
        <w:t>, M. A.,</w:t>
      </w:r>
      <w:r>
        <w:t xml:space="preserve"> </w:t>
      </w:r>
      <w:proofErr w:type="spellStart"/>
      <w:r w:rsidRPr="00D77343">
        <w:t>Aburto</w:t>
      </w:r>
      <w:proofErr w:type="spellEnd"/>
      <w:r w:rsidRPr="00D77343">
        <w:t>, J.</w:t>
      </w:r>
      <w:r>
        <w:t xml:space="preserve">, </w:t>
      </w:r>
      <w:r w:rsidRPr="00D77343">
        <w:t>2021</w:t>
      </w:r>
      <w:r>
        <w:t xml:space="preserve">, </w:t>
      </w:r>
      <w:r w:rsidRPr="00D77343">
        <w:t xml:space="preserve">Assessing the cost of biomass and bioenergy production in </w:t>
      </w:r>
      <w:proofErr w:type="spellStart"/>
      <w:r w:rsidRPr="00D77343">
        <w:t>agroindustrial</w:t>
      </w:r>
      <w:proofErr w:type="spellEnd"/>
      <w:r w:rsidRPr="00D77343">
        <w:t xml:space="preserve"> processes</w:t>
      </w:r>
      <w:r>
        <w:t xml:space="preserve">, </w:t>
      </w:r>
      <w:r w:rsidRPr="00D77343">
        <w:t>Energies, 14, 4181.</w:t>
      </w:r>
      <w:r w:rsidR="00BA670E">
        <w:t xml:space="preserve"> &lt;</w:t>
      </w:r>
      <w:r w:rsidR="00BA670E" w:rsidRPr="00BA670E">
        <w:t>doi.org/10.3390/en14144181</w:t>
      </w:r>
      <w:r w:rsidR="00BA670E">
        <w:t>&gt;</w:t>
      </w:r>
    </w:p>
    <w:p w14:paraId="02FE36E6" w14:textId="32609816" w:rsidR="00440F93" w:rsidRDefault="00440F93" w:rsidP="001435EF">
      <w:pPr>
        <w:pStyle w:val="CETReferencetext"/>
      </w:pPr>
      <w:r w:rsidRPr="00440F93">
        <w:t>Martinez-Valencia, L., &amp; Valderrama-Rios, C.</w:t>
      </w:r>
      <w:r>
        <w:t xml:space="preserve">, </w:t>
      </w:r>
      <w:r w:rsidRPr="00440F93">
        <w:t>2024</w:t>
      </w:r>
      <w:r>
        <w:t>,</w:t>
      </w:r>
      <w:r w:rsidRPr="00440F93">
        <w:t xml:space="preserve"> Sustainable </w:t>
      </w:r>
      <w:r>
        <w:t>A</w:t>
      </w:r>
      <w:r w:rsidRPr="00440F93">
        <w:t xml:space="preserve">viation </w:t>
      </w:r>
      <w:r>
        <w:t>F</w:t>
      </w:r>
      <w:r w:rsidRPr="00440F93">
        <w:t xml:space="preserve">uel </w:t>
      </w:r>
      <w:r>
        <w:t>P</w:t>
      </w:r>
      <w:r w:rsidRPr="00440F93">
        <w:t xml:space="preserve">roduction in </w:t>
      </w:r>
      <w:r>
        <w:t>C</w:t>
      </w:r>
      <w:r w:rsidRPr="00440F93">
        <w:t>olombia: Opportunities and challenges. Washington State University.</w:t>
      </w:r>
      <w:r>
        <w:t xml:space="preserve"> Washington D.C. United States of America.</w:t>
      </w:r>
    </w:p>
    <w:p w14:paraId="7663A963" w14:textId="7F94B5E1" w:rsidR="00440F93" w:rsidRDefault="00440F93" w:rsidP="001435EF">
      <w:pPr>
        <w:pStyle w:val="CETReferencetext"/>
      </w:pPr>
      <w:r w:rsidRPr="00440F93">
        <w:t>Mayorga Betancourt, M.</w:t>
      </w:r>
      <w:r>
        <w:t xml:space="preserve">, </w:t>
      </w:r>
      <w:r w:rsidRPr="00440F93">
        <w:t>2023</w:t>
      </w:r>
      <w:r>
        <w:t xml:space="preserve">, </w:t>
      </w:r>
      <w:r w:rsidRPr="00440F93">
        <w:t>Production of non-ester biodiesel through catalytic deoxygenation of palm oil with in situ hydrogen generation</w:t>
      </w:r>
      <w:r>
        <w:t xml:space="preserve">, </w:t>
      </w:r>
      <w:r w:rsidRPr="006B4888">
        <w:t xml:space="preserve">PhD Thesis, </w:t>
      </w:r>
      <w:r>
        <w:t xml:space="preserve">National </w:t>
      </w:r>
      <w:r w:rsidRPr="00E65B91">
        <w:t>University</w:t>
      </w:r>
      <w:r>
        <w:t xml:space="preserve"> of Colombia.</w:t>
      </w:r>
    </w:p>
    <w:p w14:paraId="35207F7E" w14:textId="4BAE8C98" w:rsidR="007A2FD3" w:rsidRPr="00076169" w:rsidRDefault="007A2FD3" w:rsidP="001435EF">
      <w:pPr>
        <w:pStyle w:val="CETReferencetext"/>
        <w:rPr>
          <w:lang w:val="es-CO"/>
        </w:rPr>
      </w:pPr>
      <w:r w:rsidRPr="00076169">
        <w:rPr>
          <w:lang w:val="es-CO"/>
        </w:rPr>
        <w:t xml:space="preserve">Ministerio de Minas y Energía. 2021. </w:t>
      </w:r>
      <w:proofErr w:type="spellStart"/>
      <w:r w:rsidRPr="00076169">
        <w:rPr>
          <w:lang w:val="es-CO"/>
        </w:rPr>
        <w:t>Hydrogen</w:t>
      </w:r>
      <w:proofErr w:type="spellEnd"/>
      <w:r w:rsidRPr="00076169">
        <w:rPr>
          <w:lang w:val="es-CO"/>
        </w:rPr>
        <w:t xml:space="preserve"> </w:t>
      </w:r>
      <w:proofErr w:type="spellStart"/>
      <w:r w:rsidRPr="00076169">
        <w:rPr>
          <w:lang w:val="es-CO"/>
        </w:rPr>
        <w:t>Roadmap</w:t>
      </w:r>
      <w:proofErr w:type="spellEnd"/>
      <w:r w:rsidRPr="00076169">
        <w:rPr>
          <w:lang w:val="es-CO"/>
        </w:rPr>
        <w:t xml:space="preserve"> in Colombia.</w:t>
      </w:r>
      <w:r w:rsidR="00CC66AA" w:rsidRPr="00076169">
        <w:rPr>
          <w:lang w:val="es-CO"/>
        </w:rPr>
        <w:t xml:space="preserve"> Bogotá, Colombia. </w:t>
      </w:r>
    </w:p>
    <w:p w14:paraId="2D4C4514" w14:textId="3D1A6B9C" w:rsidR="001A41F1" w:rsidRDefault="00D32902" w:rsidP="001435EF">
      <w:pPr>
        <w:pStyle w:val="CETReferencetext"/>
      </w:pPr>
      <w:proofErr w:type="spellStart"/>
      <w:r w:rsidRPr="00D32902">
        <w:t>Okolie</w:t>
      </w:r>
      <w:proofErr w:type="spellEnd"/>
      <w:r w:rsidRPr="00D32902">
        <w:t xml:space="preserve"> A. </w:t>
      </w:r>
      <w:r w:rsidR="001E1EAF">
        <w:t>J</w:t>
      </w:r>
      <w:r w:rsidRPr="00D32902">
        <w:t xml:space="preserve">, Damilola </w:t>
      </w:r>
      <w:proofErr w:type="spellStart"/>
      <w:r w:rsidRPr="00D32902">
        <w:t>Awotoye</w:t>
      </w:r>
      <w:proofErr w:type="spellEnd"/>
      <w:r w:rsidRPr="00D32902">
        <w:t xml:space="preserve">, Meshach E. </w:t>
      </w:r>
      <w:proofErr w:type="spellStart"/>
      <w:r w:rsidRPr="00D32902">
        <w:t>Tabat</w:t>
      </w:r>
      <w:proofErr w:type="spellEnd"/>
      <w:r w:rsidRPr="00D32902">
        <w:t xml:space="preserve">, Patrick U. Okoye, Emmanuel I. </w:t>
      </w:r>
      <w:proofErr w:type="spellStart"/>
      <w:r w:rsidRPr="00D32902">
        <w:t>Epelle</w:t>
      </w:r>
      <w:proofErr w:type="spellEnd"/>
      <w:r w:rsidRPr="00D32902">
        <w:t xml:space="preserve">, Chukwuma C. </w:t>
      </w:r>
      <w:proofErr w:type="spellStart"/>
      <w:r w:rsidRPr="00D32902">
        <w:t>Ogbaga</w:t>
      </w:r>
      <w:proofErr w:type="spellEnd"/>
      <w:r w:rsidRPr="00D32902">
        <w:t xml:space="preserve">, </w:t>
      </w:r>
      <w:proofErr w:type="spellStart"/>
      <w:r w:rsidRPr="00D32902">
        <w:t>Fatih</w:t>
      </w:r>
      <w:proofErr w:type="spellEnd"/>
      <w:r w:rsidRPr="00D32902">
        <w:t xml:space="preserve"> </w:t>
      </w:r>
      <w:proofErr w:type="spellStart"/>
      <w:r w:rsidRPr="00D32902">
        <w:t>Güleç</w:t>
      </w:r>
      <w:proofErr w:type="spellEnd"/>
      <w:r w:rsidRPr="00D32902">
        <w:t xml:space="preserve">, </w:t>
      </w:r>
      <w:proofErr w:type="spellStart"/>
      <w:r w:rsidRPr="00D32902">
        <w:t>Bilainu</w:t>
      </w:r>
      <w:proofErr w:type="spellEnd"/>
      <w:r w:rsidRPr="00D32902">
        <w:t xml:space="preserve"> </w:t>
      </w:r>
      <w:proofErr w:type="spellStart"/>
      <w:r w:rsidRPr="00D32902">
        <w:t>Oboirien</w:t>
      </w:r>
      <w:proofErr w:type="spellEnd"/>
      <w:r w:rsidRPr="00D32902">
        <w:t>, 202</w:t>
      </w:r>
      <w:r w:rsidR="00D63DD6">
        <w:t>3,</w:t>
      </w:r>
      <w:r w:rsidRPr="00D32902">
        <w:t xml:space="preserve"> Multi-criteria decision analysis for the evaluation and screening of sustainable aviation fuel production pathways</w:t>
      </w:r>
      <w:r w:rsidR="00D63DD6">
        <w:t xml:space="preserve">, </w:t>
      </w:r>
      <w:proofErr w:type="spellStart"/>
      <w:r w:rsidRPr="00D32902">
        <w:t>iScience</w:t>
      </w:r>
      <w:proofErr w:type="spellEnd"/>
      <w:r w:rsidRPr="00D32902">
        <w:t>, 26</w:t>
      </w:r>
      <w:r w:rsidR="00D63DD6">
        <w:t>, 1-</w:t>
      </w:r>
      <w:r w:rsidRPr="00D32902">
        <w:t>6</w:t>
      </w:r>
      <w:r w:rsidR="00D63DD6">
        <w:t>.</w:t>
      </w:r>
      <w:r w:rsidR="00BA670E">
        <w:t xml:space="preserve"> &lt;</w:t>
      </w:r>
      <w:r w:rsidR="00BA670E" w:rsidRPr="00BA670E">
        <w:t>doi.org/10.1016/j.isci.2023.106944</w:t>
      </w:r>
      <w:r w:rsidR="00BA670E">
        <w:t>&gt;</w:t>
      </w:r>
    </w:p>
    <w:p w14:paraId="1F61C636" w14:textId="46FC6FC7" w:rsidR="00467165" w:rsidRDefault="00467165" w:rsidP="001435EF">
      <w:pPr>
        <w:pStyle w:val="CETReferencetext"/>
      </w:pPr>
      <w:proofErr w:type="spellStart"/>
      <w:r w:rsidRPr="00467165">
        <w:t>Pipitone</w:t>
      </w:r>
      <w:proofErr w:type="spellEnd"/>
      <w:r w:rsidRPr="00467165">
        <w:t xml:space="preserve">, G., </w:t>
      </w:r>
      <w:proofErr w:type="spellStart"/>
      <w:r w:rsidRPr="00467165">
        <w:t>Zoppi</w:t>
      </w:r>
      <w:proofErr w:type="spellEnd"/>
      <w:r w:rsidRPr="00467165">
        <w:t xml:space="preserve">, G., </w:t>
      </w:r>
      <w:proofErr w:type="spellStart"/>
      <w:r w:rsidRPr="00467165">
        <w:t>Pirone</w:t>
      </w:r>
      <w:proofErr w:type="spellEnd"/>
      <w:r w:rsidRPr="00467165">
        <w:t xml:space="preserve">, R., &amp; </w:t>
      </w:r>
      <w:proofErr w:type="spellStart"/>
      <w:r w:rsidRPr="00467165">
        <w:t>Bensaid</w:t>
      </w:r>
      <w:proofErr w:type="spellEnd"/>
      <w:r w:rsidRPr="00467165">
        <w:t>, S.</w:t>
      </w:r>
      <w:r>
        <w:t xml:space="preserve">, </w:t>
      </w:r>
      <w:r w:rsidRPr="00467165">
        <w:t>2023</w:t>
      </w:r>
      <w:r>
        <w:t>,</w:t>
      </w:r>
      <w:r w:rsidRPr="00467165">
        <w:t xml:space="preserve"> Sustainable </w:t>
      </w:r>
      <w:r>
        <w:t>A</w:t>
      </w:r>
      <w:r w:rsidRPr="00467165">
        <w:t xml:space="preserve">viation </w:t>
      </w:r>
      <w:r>
        <w:t>F</w:t>
      </w:r>
      <w:r w:rsidRPr="00467165">
        <w:t>uel production using in-situ hydrogen supply via aqueous phase reforming: A techno-economic and life-cycle greenhouse gas emissions assessment</w:t>
      </w:r>
      <w:r>
        <w:t>,</w:t>
      </w:r>
      <w:r w:rsidRPr="00467165">
        <w:t xml:space="preserve"> Journal of Cleaner Production, 418, 138141.</w:t>
      </w:r>
      <w:r w:rsidR="00722DD5">
        <w:t xml:space="preserve"> &lt;</w:t>
      </w:r>
      <w:r w:rsidR="00722DD5" w:rsidRPr="00722DD5">
        <w:t xml:space="preserve"> doi.org/10.1016/j.jclepro.2023.138141</w:t>
      </w:r>
      <w:r w:rsidR="00722DD5">
        <w:t>&gt;</w:t>
      </w:r>
    </w:p>
    <w:p w14:paraId="4ABAE8AF" w14:textId="0C5CE634" w:rsidR="00007E1D" w:rsidRDefault="00007E1D" w:rsidP="001435EF">
      <w:pPr>
        <w:pStyle w:val="CETReferencetext"/>
      </w:pPr>
      <w:proofErr w:type="spellStart"/>
      <w:r w:rsidRPr="00007E1D">
        <w:t>Puschnigg</w:t>
      </w:r>
      <w:proofErr w:type="spellEnd"/>
      <w:r w:rsidRPr="00007E1D">
        <w:t xml:space="preserve">, S., </w:t>
      </w:r>
      <w:proofErr w:type="spellStart"/>
      <w:r w:rsidRPr="00007E1D">
        <w:t>Fazeni-Fraisl</w:t>
      </w:r>
      <w:proofErr w:type="spellEnd"/>
      <w:r w:rsidRPr="00007E1D">
        <w:t xml:space="preserve">, K., </w:t>
      </w:r>
      <w:proofErr w:type="spellStart"/>
      <w:r w:rsidRPr="00007E1D">
        <w:t>Lindorfer</w:t>
      </w:r>
      <w:proofErr w:type="spellEnd"/>
      <w:r w:rsidRPr="00007E1D">
        <w:t>, J.</w:t>
      </w:r>
      <w:r w:rsidR="0061566D">
        <w:t xml:space="preserve">, </w:t>
      </w:r>
      <w:proofErr w:type="spellStart"/>
      <w:r w:rsidRPr="00007E1D">
        <w:t>Kienberger</w:t>
      </w:r>
      <w:proofErr w:type="spellEnd"/>
      <w:r w:rsidRPr="00007E1D">
        <w:t>, T.</w:t>
      </w:r>
      <w:r w:rsidR="0061566D">
        <w:t>, 2023,</w:t>
      </w:r>
      <w:r w:rsidRPr="00007E1D">
        <w:t xml:space="preserve"> Biorefinery development for the conversion of softwood residues into </w:t>
      </w:r>
      <w:r w:rsidR="0061566D">
        <w:t>S</w:t>
      </w:r>
      <w:r w:rsidRPr="00007E1D">
        <w:t xml:space="preserve">ustainable </w:t>
      </w:r>
      <w:r w:rsidR="0061566D">
        <w:t>A</w:t>
      </w:r>
      <w:r w:rsidRPr="00007E1D">
        <w:t xml:space="preserve">viation </w:t>
      </w:r>
      <w:r w:rsidR="0061566D">
        <w:t>F</w:t>
      </w:r>
      <w:r w:rsidRPr="00007E1D">
        <w:t>uel: Implications from life cycle assessment and energetic-</w:t>
      </w:r>
      <w:proofErr w:type="spellStart"/>
      <w:r w:rsidRPr="00007E1D">
        <w:t>exergetic</w:t>
      </w:r>
      <w:proofErr w:type="spellEnd"/>
      <w:r w:rsidRPr="00007E1D">
        <w:t xml:space="preserve"> analyses. Journal of Cleaner Production, 386, 135815.</w:t>
      </w:r>
      <w:r w:rsidR="00CB1D41">
        <w:t xml:space="preserve"> &lt;</w:t>
      </w:r>
      <w:r w:rsidR="00CB1D41" w:rsidRPr="00CB1D41">
        <w:t>doi.org/10.1016/j.jclepro.2022.135815</w:t>
      </w:r>
      <w:r w:rsidR="00CB1D41">
        <w:t>&gt;</w:t>
      </w:r>
    </w:p>
    <w:p w14:paraId="7BE76649" w14:textId="4B8CB6B1" w:rsidR="005522C5" w:rsidRDefault="005522C5" w:rsidP="001435EF">
      <w:pPr>
        <w:pStyle w:val="CETReferencetext"/>
      </w:pPr>
      <w:r w:rsidRPr="005522C5">
        <w:t>Rodríguez-</w:t>
      </w:r>
      <w:proofErr w:type="spellStart"/>
      <w:r w:rsidRPr="005522C5">
        <w:t>Fontalvo</w:t>
      </w:r>
      <w:proofErr w:type="spellEnd"/>
      <w:r w:rsidRPr="005522C5">
        <w:t xml:space="preserve">, D., Quiroga, E., </w:t>
      </w:r>
      <w:proofErr w:type="spellStart"/>
      <w:r w:rsidRPr="005522C5">
        <w:t>Cantillo</w:t>
      </w:r>
      <w:proofErr w:type="spellEnd"/>
      <w:r w:rsidRPr="005522C5">
        <w:t>, N. M., Sánchez, N., Figueredo, M.,</w:t>
      </w:r>
      <w:r>
        <w:t xml:space="preserve"> </w:t>
      </w:r>
      <w:proofErr w:type="spellStart"/>
      <w:r w:rsidRPr="005522C5">
        <w:t>Cobo</w:t>
      </w:r>
      <w:proofErr w:type="spellEnd"/>
      <w:r w:rsidRPr="005522C5">
        <w:t>, M.</w:t>
      </w:r>
      <w:r>
        <w:t xml:space="preserve">, </w:t>
      </w:r>
      <w:r w:rsidRPr="005522C5">
        <w:t>2024</w:t>
      </w:r>
      <w:r>
        <w:t>,</w:t>
      </w:r>
      <w:r w:rsidRPr="005522C5">
        <w:t xml:space="preserve"> Green hydrogen potential in tropical countries: The </w:t>
      </w:r>
      <w:r>
        <w:t>C</w:t>
      </w:r>
      <w:r w:rsidRPr="005522C5">
        <w:t>olombian case. International Journal of Hydrogen Energy, 54, 344-360.</w:t>
      </w:r>
      <w:r w:rsidR="00CB1D41">
        <w:t xml:space="preserve"> &lt;</w:t>
      </w:r>
      <w:r w:rsidR="00CB1D41" w:rsidRPr="00CB1D41">
        <w:t>doi.org/10.1016/j.ijhydene.2023.03.320</w:t>
      </w:r>
      <w:r w:rsidR="00CB1D41">
        <w:t>&gt;</w:t>
      </w:r>
    </w:p>
    <w:p w14:paraId="569745BD" w14:textId="629B6088" w:rsidR="001531C5" w:rsidRDefault="001531C5" w:rsidP="001435EF">
      <w:pPr>
        <w:pStyle w:val="CETReferencetext"/>
      </w:pPr>
      <w:r w:rsidRPr="001531C5">
        <w:t>Rojas-</w:t>
      </w:r>
      <w:proofErr w:type="spellStart"/>
      <w:r w:rsidRPr="001531C5">
        <w:t>Michaga</w:t>
      </w:r>
      <w:proofErr w:type="spellEnd"/>
      <w:r w:rsidRPr="001531C5">
        <w:t xml:space="preserve">, M. F., </w:t>
      </w:r>
      <w:proofErr w:type="spellStart"/>
      <w:r w:rsidRPr="001531C5">
        <w:t>Michailos</w:t>
      </w:r>
      <w:proofErr w:type="spellEnd"/>
      <w:r w:rsidRPr="001531C5">
        <w:t xml:space="preserve">, S., Cardozo, E., </w:t>
      </w:r>
      <w:proofErr w:type="spellStart"/>
      <w:r w:rsidRPr="001531C5">
        <w:t>Akram</w:t>
      </w:r>
      <w:proofErr w:type="spellEnd"/>
      <w:r w:rsidRPr="001531C5">
        <w:t xml:space="preserve">, M., Hughes, K. J., </w:t>
      </w:r>
      <w:proofErr w:type="spellStart"/>
      <w:r w:rsidRPr="001531C5">
        <w:t>Ingham</w:t>
      </w:r>
      <w:proofErr w:type="spellEnd"/>
      <w:r w:rsidRPr="001531C5">
        <w:t>, D.,</w:t>
      </w:r>
      <w:r>
        <w:t xml:space="preserve"> </w:t>
      </w:r>
      <w:proofErr w:type="spellStart"/>
      <w:r w:rsidRPr="001531C5">
        <w:t>Pourkashanian</w:t>
      </w:r>
      <w:proofErr w:type="spellEnd"/>
      <w:r w:rsidRPr="001531C5">
        <w:t>, M.</w:t>
      </w:r>
      <w:r>
        <w:t xml:space="preserve">, </w:t>
      </w:r>
      <w:r w:rsidRPr="001531C5">
        <w:t>2023</w:t>
      </w:r>
      <w:r>
        <w:t xml:space="preserve">, </w:t>
      </w:r>
      <w:r w:rsidRPr="001531C5">
        <w:t xml:space="preserve">Sustainable </w:t>
      </w:r>
      <w:r>
        <w:t>A</w:t>
      </w:r>
      <w:r w:rsidRPr="001531C5">
        <w:t xml:space="preserve">viation </w:t>
      </w:r>
      <w:r>
        <w:t>F</w:t>
      </w:r>
      <w:r w:rsidRPr="001531C5">
        <w:t xml:space="preserve">uel (SAF) production through </w:t>
      </w:r>
      <w:r>
        <w:t>P</w:t>
      </w:r>
      <w:r w:rsidRPr="001531C5">
        <w:t>ower-to-</w:t>
      </w:r>
      <w:r>
        <w:t>L</w:t>
      </w:r>
      <w:r w:rsidRPr="001531C5">
        <w:t>iquid (</w:t>
      </w:r>
      <w:proofErr w:type="spellStart"/>
      <w:r w:rsidRPr="001531C5">
        <w:t>Ptl</w:t>
      </w:r>
      <w:proofErr w:type="spellEnd"/>
      <w:r w:rsidRPr="001531C5">
        <w:t xml:space="preserve">): A combined techno-economic and </w:t>
      </w:r>
      <w:r>
        <w:t>L</w:t>
      </w:r>
      <w:r w:rsidRPr="001531C5">
        <w:t xml:space="preserve">ife </w:t>
      </w:r>
      <w:r>
        <w:t>C</w:t>
      </w:r>
      <w:r w:rsidRPr="001531C5">
        <w:t xml:space="preserve">ycle </w:t>
      </w:r>
      <w:r>
        <w:t>A</w:t>
      </w:r>
      <w:r w:rsidRPr="001531C5">
        <w:t>ssessment</w:t>
      </w:r>
      <w:r>
        <w:t>,</w:t>
      </w:r>
      <w:r w:rsidRPr="001531C5">
        <w:t xml:space="preserve"> Energy Conversion and Management, 292, 117427</w:t>
      </w:r>
      <w:r w:rsidR="00DF5482">
        <w:t>.</w:t>
      </w:r>
      <w:r w:rsidR="009531EE">
        <w:t xml:space="preserve"> </w:t>
      </w:r>
      <w:r w:rsidR="00DF5482">
        <w:t>&lt;</w:t>
      </w:r>
      <w:r w:rsidR="00DF5482" w:rsidRPr="00DF5482">
        <w:t xml:space="preserve"> doi.org/10.1016/j.enconman.2023.117427</w:t>
      </w:r>
      <w:r w:rsidR="00DF5482">
        <w:t>&gt;</w:t>
      </w:r>
    </w:p>
    <w:p w14:paraId="222066A4" w14:textId="6D8F97E2" w:rsidR="001E1EAF" w:rsidRDefault="001E1EAF" w:rsidP="001435EF">
      <w:pPr>
        <w:pStyle w:val="CETReferencetext"/>
      </w:pPr>
      <w:proofErr w:type="spellStart"/>
      <w:r w:rsidRPr="001E1EAF">
        <w:t>Sagastume</w:t>
      </w:r>
      <w:proofErr w:type="spellEnd"/>
      <w:r w:rsidRPr="001E1EAF">
        <w:t xml:space="preserve"> Gutiérrez, A., Cabello Eras, J. J., Hens, L.,</w:t>
      </w:r>
      <w:r>
        <w:t xml:space="preserve"> </w:t>
      </w:r>
      <w:proofErr w:type="spellStart"/>
      <w:r w:rsidRPr="001E1EAF">
        <w:t>Vandecasteele</w:t>
      </w:r>
      <w:proofErr w:type="spellEnd"/>
      <w:r w:rsidRPr="001E1EAF">
        <w:t>, C.</w:t>
      </w:r>
      <w:r>
        <w:t xml:space="preserve">, </w:t>
      </w:r>
      <w:r w:rsidRPr="001E1EAF">
        <w:t>2020</w:t>
      </w:r>
      <w:r>
        <w:t>,</w:t>
      </w:r>
      <w:r w:rsidRPr="001E1EAF">
        <w:t xml:space="preserve"> The energy potential of agriculture, </w:t>
      </w:r>
      <w:proofErr w:type="spellStart"/>
      <w:r w:rsidRPr="001E1EAF">
        <w:t>agroindustrial</w:t>
      </w:r>
      <w:proofErr w:type="spellEnd"/>
      <w:r w:rsidRPr="001E1EAF">
        <w:t>, livestock, and slaughterhouse biomass wastes through direct combustion and anaerobic digestion</w:t>
      </w:r>
      <w:r>
        <w:t>,</w:t>
      </w:r>
      <w:r w:rsidRPr="001E1EAF">
        <w:t xml:space="preserve"> The case of Colombia</w:t>
      </w:r>
      <w:r>
        <w:t xml:space="preserve">, </w:t>
      </w:r>
      <w:r w:rsidRPr="001E1EAF">
        <w:t>Journal of Cleaner Production, 269, 122317.</w:t>
      </w:r>
      <w:r w:rsidR="00DF5482">
        <w:t xml:space="preserve"> &lt;</w:t>
      </w:r>
      <w:r w:rsidR="00DF5482" w:rsidRPr="00DF5482">
        <w:t xml:space="preserve"> doi.org/10.1016/j.jclepro.2020.122317</w:t>
      </w:r>
      <w:r w:rsidR="00DF5482">
        <w:t>&gt;</w:t>
      </w:r>
    </w:p>
    <w:p w14:paraId="40A786B7" w14:textId="506700CE" w:rsidR="009110E0" w:rsidRDefault="009110E0" w:rsidP="001435EF">
      <w:pPr>
        <w:pStyle w:val="CETReferencetext"/>
      </w:pPr>
      <w:r w:rsidRPr="009110E0">
        <w:t>Sinha, A. K., Anand, M.,</w:t>
      </w:r>
      <w:r>
        <w:t xml:space="preserve"> </w:t>
      </w:r>
      <w:r w:rsidRPr="009110E0">
        <w:t>Farooqui, S. A.</w:t>
      </w:r>
      <w:r>
        <w:t xml:space="preserve">, </w:t>
      </w:r>
      <w:r w:rsidRPr="009110E0">
        <w:t>2016</w:t>
      </w:r>
      <w:r>
        <w:t>,</w:t>
      </w:r>
      <w:r w:rsidRPr="009110E0">
        <w:t xml:space="preserve"> Aviation biofuels through lipid </w:t>
      </w:r>
      <w:proofErr w:type="spellStart"/>
      <w:r w:rsidRPr="009110E0">
        <w:t>hydroprocessing</w:t>
      </w:r>
      <w:proofErr w:type="spellEnd"/>
      <w:r>
        <w:t>, Biofuels</w:t>
      </w:r>
      <w:r w:rsidRPr="009110E0">
        <w:t xml:space="preserve"> for Aviation</w:t>
      </w:r>
      <w:r>
        <w:t xml:space="preserve">, </w:t>
      </w:r>
      <w:r w:rsidRPr="009110E0">
        <w:t>85-108</w:t>
      </w:r>
      <w:r>
        <w:t>.</w:t>
      </w:r>
      <w:r w:rsidR="00DF5482">
        <w:t xml:space="preserve"> &lt;</w:t>
      </w:r>
      <w:r w:rsidR="00DF5482" w:rsidRPr="00DF5482">
        <w:t>doi.org/10.1016/B978-0-12-804568-8.00005-6</w:t>
      </w:r>
      <w:r w:rsidR="00DF5482">
        <w:t>&gt;</w:t>
      </w:r>
    </w:p>
    <w:p w14:paraId="20EBEA73" w14:textId="41E31B9F" w:rsidR="00F25757" w:rsidRDefault="00F25757" w:rsidP="001435EF">
      <w:pPr>
        <w:pStyle w:val="CETReferencetext"/>
      </w:pPr>
      <w:r w:rsidRPr="00F25757">
        <w:t>Speight, J. G.</w:t>
      </w:r>
      <w:r w:rsidR="00F65AE6">
        <w:t xml:space="preserve">, </w:t>
      </w:r>
      <w:r w:rsidRPr="00F25757">
        <w:t>2020</w:t>
      </w:r>
      <w:r w:rsidR="00F65AE6">
        <w:t>,</w:t>
      </w:r>
      <w:r w:rsidRPr="00F25757">
        <w:t xml:space="preserve"> Handbook of </w:t>
      </w:r>
      <w:r w:rsidR="00F65AE6">
        <w:t>G</w:t>
      </w:r>
      <w:r w:rsidRPr="00F25757">
        <w:t xml:space="preserve">asification </w:t>
      </w:r>
      <w:r w:rsidR="00F65AE6">
        <w:t>T</w:t>
      </w:r>
      <w:r w:rsidRPr="00F25757">
        <w:t xml:space="preserve">echnology: Science, </w:t>
      </w:r>
      <w:r w:rsidR="00F65AE6">
        <w:t>P</w:t>
      </w:r>
      <w:r w:rsidRPr="00F25757">
        <w:t xml:space="preserve">rocesses, and </w:t>
      </w:r>
      <w:r w:rsidR="00F65AE6">
        <w:t>A</w:t>
      </w:r>
      <w:r w:rsidRPr="00F25757">
        <w:t>pplications</w:t>
      </w:r>
      <w:r w:rsidR="00F65AE6">
        <w:t xml:space="preserve">. </w:t>
      </w:r>
      <w:r w:rsidRPr="00F25757">
        <w:t>Wiley.</w:t>
      </w:r>
    </w:p>
    <w:p w14:paraId="5B6B3BAB" w14:textId="386373A8" w:rsidR="00800AC9" w:rsidRDefault="00800AC9" w:rsidP="001435EF">
      <w:pPr>
        <w:pStyle w:val="CETReferencetext"/>
      </w:pPr>
      <w:r>
        <w:t xml:space="preserve">Suárez Palacios, O. </w:t>
      </w:r>
      <w:r w:rsidRPr="00800AC9">
        <w:t xml:space="preserve">The production and </w:t>
      </w:r>
      <w:proofErr w:type="spellStart"/>
      <w:r w:rsidRPr="00800AC9">
        <w:t>modeling</w:t>
      </w:r>
      <w:proofErr w:type="spellEnd"/>
      <w:r w:rsidRPr="00800AC9">
        <w:t xml:space="preserve"> of glycerol esters as plasticizers for PVC</w:t>
      </w:r>
      <w:r>
        <w:t xml:space="preserve">, </w:t>
      </w:r>
      <w:r w:rsidRPr="006B4888">
        <w:t xml:space="preserve">PhD Thesis, </w:t>
      </w:r>
      <w:r>
        <w:t xml:space="preserve">National </w:t>
      </w:r>
      <w:r w:rsidRPr="00E65B91">
        <w:t>University</w:t>
      </w:r>
      <w:r>
        <w:t xml:space="preserve"> of Colombia. </w:t>
      </w:r>
    </w:p>
    <w:p w14:paraId="6CD98DA6" w14:textId="1355BE1E" w:rsidR="00DB1A6D" w:rsidRDefault="00DB1A6D" w:rsidP="001435EF">
      <w:pPr>
        <w:pStyle w:val="CETReferencetext"/>
      </w:pPr>
      <w:proofErr w:type="spellStart"/>
      <w:r w:rsidRPr="00DB1A6D">
        <w:t>Su-ungkavatin</w:t>
      </w:r>
      <w:proofErr w:type="spellEnd"/>
      <w:r w:rsidRPr="00DB1A6D">
        <w:t xml:space="preserve">, P., </w:t>
      </w:r>
      <w:proofErr w:type="spellStart"/>
      <w:r w:rsidRPr="00DB1A6D">
        <w:t>Tiruta-Barna</w:t>
      </w:r>
      <w:proofErr w:type="spellEnd"/>
      <w:r w:rsidRPr="00DB1A6D">
        <w:t>, L., Hamelin, L.</w:t>
      </w:r>
      <w:r>
        <w:t xml:space="preserve">, </w:t>
      </w:r>
      <w:r w:rsidRPr="00DB1A6D">
        <w:t>2023</w:t>
      </w:r>
      <w:r>
        <w:t>,</w:t>
      </w:r>
      <w:r w:rsidRPr="00DB1A6D">
        <w:t xml:space="preserve"> Biofuels, </w:t>
      </w:r>
      <w:proofErr w:type="spellStart"/>
      <w:r w:rsidRPr="00DB1A6D">
        <w:t>electrofuels</w:t>
      </w:r>
      <w:proofErr w:type="spellEnd"/>
      <w:r w:rsidRPr="00DB1A6D">
        <w:t xml:space="preserve">, electric or </w:t>
      </w:r>
      <w:proofErr w:type="gramStart"/>
      <w:r w:rsidRPr="00DB1A6D">
        <w:t>hydrogen?:</w:t>
      </w:r>
      <w:proofErr w:type="gramEnd"/>
      <w:r w:rsidRPr="00DB1A6D">
        <w:t xml:space="preserve"> A review of current and emerging sustainable aviation systems. Progress in Energy and Combustion Science, 96, 101073</w:t>
      </w:r>
      <w:r w:rsidR="00DF5482">
        <w:t>. &lt;</w:t>
      </w:r>
      <w:r w:rsidR="00DF5482" w:rsidRPr="00DF5482">
        <w:t>doi.org/10.1016/j.pecs.2023.101073</w:t>
      </w:r>
      <w:r w:rsidR="00DF5482">
        <w:t>&gt;</w:t>
      </w:r>
    </w:p>
    <w:p w14:paraId="51A66A7F" w14:textId="0EC2E417" w:rsidR="00CA3E20" w:rsidRDefault="00CA3E20" w:rsidP="001435EF">
      <w:pPr>
        <w:pStyle w:val="CETReferencetext"/>
      </w:pPr>
      <w:proofErr w:type="spellStart"/>
      <w:r w:rsidRPr="00CA3E20">
        <w:t>Therasme</w:t>
      </w:r>
      <w:proofErr w:type="spellEnd"/>
      <w:r w:rsidRPr="00CA3E20">
        <w:t>, O., Kumar, D.</w:t>
      </w:r>
      <w:r>
        <w:t xml:space="preserve">, </w:t>
      </w:r>
      <w:r w:rsidRPr="00CA3E20">
        <w:t>2024</w:t>
      </w:r>
      <w:r>
        <w:t>,</w:t>
      </w:r>
      <w:r w:rsidRPr="00CA3E20">
        <w:t xml:space="preserve"> Environmental life cycle assessment of aviation fuel production from woody biomass resources</w:t>
      </w:r>
      <w:r>
        <w:t xml:space="preserve">, </w:t>
      </w:r>
      <w:r w:rsidRPr="00CA3E20">
        <w:t>Sustainable Biorefining of Woody Biomass to Biofuels and Biochemicals</w:t>
      </w:r>
      <w:r>
        <w:t>,</w:t>
      </w:r>
      <w:r w:rsidRPr="00CA3E20">
        <w:t xml:space="preserve"> 337-349</w:t>
      </w:r>
      <w:r>
        <w:t>.</w:t>
      </w:r>
      <w:r w:rsidR="00EA5F22">
        <w:t xml:space="preserve"> &lt;</w:t>
      </w:r>
      <w:r w:rsidR="00EA5F22" w:rsidRPr="00EA5F22">
        <w:t xml:space="preserve"> doi.org/10.1016/B978-0-323-91187-0.00010-2</w:t>
      </w:r>
      <w:r w:rsidR="00EA5F22">
        <w:t>&gt;</w:t>
      </w:r>
    </w:p>
    <w:p w14:paraId="374F4876" w14:textId="0ABC1A1B" w:rsidR="002528DD" w:rsidRDefault="002528DD" w:rsidP="00D63DD6">
      <w:pPr>
        <w:pStyle w:val="CETReferencetext"/>
      </w:pPr>
      <w:r w:rsidRPr="002528DD">
        <w:t>Wyman, C. E., Cai, C. M., &amp; Kumar, R</w:t>
      </w:r>
      <w:r>
        <w:t>.,</w:t>
      </w:r>
      <w:r w:rsidRPr="002528DD">
        <w:t xml:space="preserve"> 2019</w:t>
      </w:r>
      <w:r>
        <w:t>,</w:t>
      </w:r>
      <w:r w:rsidRPr="002528DD">
        <w:t xml:space="preserve"> Bioethanol from lignocellulosic biomass</w:t>
      </w:r>
      <w:r>
        <w:t>,</w:t>
      </w:r>
      <w:r w:rsidR="00F65AE6">
        <w:t xml:space="preserve"> </w:t>
      </w:r>
      <w:r w:rsidRPr="002528DD">
        <w:t>Energy from Organic Materials (Biomass)</w:t>
      </w:r>
      <w:r w:rsidR="000D0BBC">
        <w:t xml:space="preserve">, </w:t>
      </w:r>
      <w:r w:rsidRPr="002528DD">
        <w:t>997-1022</w:t>
      </w:r>
      <w:r w:rsidR="000D0BBC">
        <w:t>,</w:t>
      </w:r>
      <w:r w:rsidRPr="002528DD">
        <w:t xml:space="preserve"> Springer</w:t>
      </w:r>
      <w:r w:rsidR="000D0BBC">
        <w:t>,</w:t>
      </w:r>
      <w:r w:rsidRPr="002528DD">
        <w:t xml:space="preserve"> New York.</w:t>
      </w:r>
    </w:p>
    <w:p w14:paraId="06538CDB" w14:textId="061C52A8" w:rsidR="00D63DD6" w:rsidRDefault="00D63DD6" w:rsidP="00D63DD6">
      <w:pPr>
        <w:pStyle w:val="CETReferencetext"/>
      </w:pPr>
      <w:proofErr w:type="spellStart"/>
      <w:proofErr w:type="gramStart"/>
      <w:r>
        <w:t>Z</w:t>
      </w:r>
      <w:r w:rsidRPr="00D63DD6">
        <w:t>.</w:t>
      </w:r>
      <w:r>
        <w:t>Gao</w:t>
      </w:r>
      <w:proofErr w:type="spellEnd"/>
      <w:proofErr w:type="gramEnd"/>
      <w:r w:rsidRPr="00D63DD6">
        <w:t xml:space="preserve">, </w:t>
      </w:r>
      <w:proofErr w:type="spellStart"/>
      <w:r w:rsidRPr="00D63DD6">
        <w:t>Kampezidou</w:t>
      </w:r>
      <w:proofErr w:type="spellEnd"/>
      <w:r w:rsidRPr="00D63DD6">
        <w:t xml:space="preserve">, S. I., </w:t>
      </w:r>
      <w:proofErr w:type="spellStart"/>
      <w:r w:rsidRPr="00D63DD6">
        <w:t>Behere</w:t>
      </w:r>
      <w:proofErr w:type="spellEnd"/>
      <w:r w:rsidRPr="00D63DD6">
        <w:t xml:space="preserve">, A., </w:t>
      </w:r>
      <w:proofErr w:type="spellStart"/>
      <w:r w:rsidRPr="00D63DD6">
        <w:t>Puranik</w:t>
      </w:r>
      <w:proofErr w:type="spellEnd"/>
      <w:r w:rsidRPr="00D63DD6">
        <w:t xml:space="preserve">, T. G., Rajaram, D., &amp; </w:t>
      </w:r>
      <w:proofErr w:type="spellStart"/>
      <w:r w:rsidRPr="00D63DD6">
        <w:t>Mavris</w:t>
      </w:r>
      <w:proofErr w:type="spellEnd"/>
      <w:r w:rsidRPr="00D63DD6">
        <w:t>, D. N</w:t>
      </w:r>
      <w:r>
        <w:t xml:space="preserve">, </w:t>
      </w:r>
      <w:r w:rsidRPr="00D63DD6">
        <w:t>2022</w:t>
      </w:r>
      <w:r>
        <w:t>,</w:t>
      </w:r>
      <w:r w:rsidRPr="00D63DD6">
        <w:t xml:space="preserve"> Multi-level aircraft feature representation and selection for aviation environmental impact analysis. Transportation Research Part C: Emerging Technologies, 143, 103824.</w:t>
      </w:r>
      <w:r w:rsidR="00DF5482">
        <w:t xml:space="preserve"> &lt;</w:t>
      </w:r>
      <w:r w:rsidR="00DF5482" w:rsidRPr="00DF5482">
        <w:t>doi.org/10.1016/j.trc.2022.103824</w:t>
      </w:r>
      <w:r w:rsidR="00DF5482">
        <w:t>&gt;</w:t>
      </w:r>
    </w:p>
    <w:sectPr w:rsidR="00D63DD6"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F53ED" w14:textId="77777777" w:rsidR="000476D0" w:rsidRDefault="000476D0" w:rsidP="004F5E36">
      <w:r>
        <w:separator/>
      </w:r>
    </w:p>
  </w:endnote>
  <w:endnote w:type="continuationSeparator" w:id="0">
    <w:p w14:paraId="421C5635" w14:textId="77777777" w:rsidR="000476D0" w:rsidRDefault="000476D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00"/>
    <w:family w:val="auto"/>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8BC7DB" w14:textId="77777777" w:rsidR="000476D0" w:rsidRDefault="000476D0" w:rsidP="004F5E36">
      <w:r>
        <w:separator/>
      </w:r>
    </w:p>
  </w:footnote>
  <w:footnote w:type="continuationSeparator" w:id="0">
    <w:p w14:paraId="16186936" w14:textId="77777777" w:rsidR="000476D0" w:rsidRDefault="000476D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07E1D"/>
    <w:rsid w:val="000117CB"/>
    <w:rsid w:val="0002018C"/>
    <w:rsid w:val="00022DD8"/>
    <w:rsid w:val="00024071"/>
    <w:rsid w:val="0003148D"/>
    <w:rsid w:val="00031866"/>
    <w:rsid w:val="00031EEC"/>
    <w:rsid w:val="00043D0C"/>
    <w:rsid w:val="000476D0"/>
    <w:rsid w:val="00051566"/>
    <w:rsid w:val="000562A9"/>
    <w:rsid w:val="00062A9A"/>
    <w:rsid w:val="000648B4"/>
    <w:rsid w:val="00065058"/>
    <w:rsid w:val="00076169"/>
    <w:rsid w:val="00086C39"/>
    <w:rsid w:val="000A03B2"/>
    <w:rsid w:val="000B077C"/>
    <w:rsid w:val="000C313D"/>
    <w:rsid w:val="000D0268"/>
    <w:rsid w:val="000D0BBC"/>
    <w:rsid w:val="000D34BE"/>
    <w:rsid w:val="000E0B3C"/>
    <w:rsid w:val="000E102F"/>
    <w:rsid w:val="000E36F1"/>
    <w:rsid w:val="000E3A73"/>
    <w:rsid w:val="000E414A"/>
    <w:rsid w:val="000E75FD"/>
    <w:rsid w:val="000F093C"/>
    <w:rsid w:val="000F787B"/>
    <w:rsid w:val="00104426"/>
    <w:rsid w:val="0012091F"/>
    <w:rsid w:val="001219B0"/>
    <w:rsid w:val="00122A70"/>
    <w:rsid w:val="00126BC2"/>
    <w:rsid w:val="001308B6"/>
    <w:rsid w:val="0013121F"/>
    <w:rsid w:val="00131FE6"/>
    <w:rsid w:val="0013263F"/>
    <w:rsid w:val="001331DF"/>
    <w:rsid w:val="00134DE4"/>
    <w:rsid w:val="00136E05"/>
    <w:rsid w:val="001370B0"/>
    <w:rsid w:val="0014034D"/>
    <w:rsid w:val="00140FE3"/>
    <w:rsid w:val="001435EF"/>
    <w:rsid w:val="00144D16"/>
    <w:rsid w:val="00150E59"/>
    <w:rsid w:val="00152DE3"/>
    <w:rsid w:val="001531C5"/>
    <w:rsid w:val="00164624"/>
    <w:rsid w:val="00164CF9"/>
    <w:rsid w:val="00165760"/>
    <w:rsid w:val="0016668E"/>
    <w:rsid w:val="001667A6"/>
    <w:rsid w:val="00176228"/>
    <w:rsid w:val="0018171E"/>
    <w:rsid w:val="00184AD6"/>
    <w:rsid w:val="001A1CD2"/>
    <w:rsid w:val="001A41F1"/>
    <w:rsid w:val="001A4AF7"/>
    <w:rsid w:val="001B0349"/>
    <w:rsid w:val="001B1E93"/>
    <w:rsid w:val="001B2DDF"/>
    <w:rsid w:val="001B65C1"/>
    <w:rsid w:val="001C1B59"/>
    <w:rsid w:val="001C260F"/>
    <w:rsid w:val="001C5C3A"/>
    <w:rsid w:val="001C684B"/>
    <w:rsid w:val="001D0CFB"/>
    <w:rsid w:val="001D21AF"/>
    <w:rsid w:val="001D3D32"/>
    <w:rsid w:val="001D53FC"/>
    <w:rsid w:val="001E0BCF"/>
    <w:rsid w:val="001E1EAF"/>
    <w:rsid w:val="001F42A5"/>
    <w:rsid w:val="001F7B9D"/>
    <w:rsid w:val="00201C93"/>
    <w:rsid w:val="00207371"/>
    <w:rsid w:val="00216CAE"/>
    <w:rsid w:val="002224B4"/>
    <w:rsid w:val="002447EF"/>
    <w:rsid w:val="00251550"/>
    <w:rsid w:val="002528DD"/>
    <w:rsid w:val="00253109"/>
    <w:rsid w:val="00263B05"/>
    <w:rsid w:val="002647F6"/>
    <w:rsid w:val="0027221A"/>
    <w:rsid w:val="00275B61"/>
    <w:rsid w:val="0027762E"/>
    <w:rsid w:val="00280FAF"/>
    <w:rsid w:val="00282656"/>
    <w:rsid w:val="002839A2"/>
    <w:rsid w:val="00296B83"/>
    <w:rsid w:val="002A31E1"/>
    <w:rsid w:val="002A3A36"/>
    <w:rsid w:val="002B4015"/>
    <w:rsid w:val="002B4857"/>
    <w:rsid w:val="002B78CE"/>
    <w:rsid w:val="002C2FB6"/>
    <w:rsid w:val="002D1DD2"/>
    <w:rsid w:val="002D5E2A"/>
    <w:rsid w:val="002E013C"/>
    <w:rsid w:val="002E335B"/>
    <w:rsid w:val="002E5FA7"/>
    <w:rsid w:val="002F3309"/>
    <w:rsid w:val="003008CE"/>
    <w:rsid w:val="003009B7"/>
    <w:rsid w:val="00300E56"/>
    <w:rsid w:val="0030152C"/>
    <w:rsid w:val="0030469C"/>
    <w:rsid w:val="00304CE8"/>
    <w:rsid w:val="0031183D"/>
    <w:rsid w:val="00312D6C"/>
    <w:rsid w:val="00315256"/>
    <w:rsid w:val="00321CA6"/>
    <w:rsid w:val="00323763"/>
    <w:rsid w:val="00323C5F"/>
    <w:rsid w:val="00334C09"/>
    <w:rsid w:val="00371E71"/>
    <w:rsid w:val="003723D4"/>
    <w:rsid w:val="0037754F"/>
    <w:rsid w:val="00381905"/>
    <w:rsid w:val="00384CC8"/>
    <w:rsid w:val="003871FD"/>
    <w:rsid w:val="003979D4"/>
    <w:rsid w:val="003A1E30"/>
    <w:rsid w:val="003A204E"/>
    <w:rsid w:val="003A2829"/>
    <w:rsid w:val="003A7D1C"/>
    <w:rsid w:val="003B304B"/>
    <w:rsid w:val="003B3146"/>
    <w:rsid w:val="003B49CD"/>
    <w:rsid w:val="003C117A"/>
    <w:rsid w:val="003C1327"/>
    <w:rsid w:val="003C58FB"/>
    <w:rsid w:val="003C7613"/>
    <w:rsid w:val="003D1E02"/>
    <w:rsid w:val="003D7378"/>
    <w:rsid w:val="003F015E"/>
    <w:rsid w:val="003F0429"/>
    <w:rsid w:val="003F0BB0"/>
    <w:rsid w:val="00400414"/>
    <w:rsid w:val="0041446B"/>
    <w:rsid w:val="0043543B"/>
    <w:rsid w:val="004355A1"/>
    <w:rsid w:val="0044071E"/>
    <w:rsid w:val="00440F93"/>
    <w:rsid w:val="0044329C"/>
    <w:rsid w:val="00453E24"/>
    <w:rsid w:val="00457456"/>
    <w:rsid w:val="004577FE"/>
    <w:rsid w:val="00457B9C"/>
    <w:rsid w:val="0046164A"/>
    <w:rsid w:val="004628D2"/>
    <w:rsid w:val="00462DCD"/>
    <w:rsid w:val="004648AD"/>
    <w:rsid w:val="00467165"/>
    <w:rsid w:val="004675C1"/>
    <w:rsid w:val="004703A9"/>
    <w:rsid w:val="0047168E"/>
    <w:rsid w:val="00475E2E"/>
    <w:rsid w:val="004760DE"/>
    <w:rsid w:val="004763D7"/>
    <w:rsid w:val="00476711"/>
    <w:rsid w:val="00491FD6"/>
    <w:rsid w:val="004A004E"/>
    <w:rsid w:val="004A24CF"/>
    <w:rsid w:val="004A633C"/>
    <w:rsid w:val="004B4FD1"/>
    <w:rsid w:val="004C3D1D"/>
    <w:rsid w:val="004C3D84"/>
    <w:rsid w:val="004C7913"/>
    <w:rsid w:val="004D6629"/>
    <w:rsid w:val="004D750A"/>
    <w:rsid w:val="004E4DD6"/>
    <w:rsid w:val="004E6A90"/>
    <w:rsid w:val="004F5E36"/>
    <w:rsid w:val="00507B47"/>
    <w:rsid w:val="00507BEF"/>
    <w:rsid w:val="00507CC9"/>
    <w:rsid w:val="005119A5"/>
    <w:rsid w:val="00511B8B"/>
    <w:rsid w:val="00522AA3"/>
    <w:rsid w:val="005278B7"/>
    <w:rsid w:val="00532016"/>
    <w:rsid w:val="005346C8"/>
    <w:rsid w:val="00543E7D"/>
    <w:rsid w:val="00547A68"/>
    <w:rsid w:val="005522C5"/>
    <w:rsid w:val="005531C9"/>
    <w:rsid w:val="00554879"/>
    <w:rsid w:val="00566AC4"/>
    <w:rsid w:val="00567E62"/>
    <w:rsid w:val="00570C43"/>
    <w:rsid w:val="0058623D"/>
    <w:rsid w:val="005903F1"/>
    <w:rsid w:val="00592274"/>
    <w:rsid w:val="005A34FB"/>
    <w:rsid w:val="005A74E2"/>
    <w:rsid w:val="005B2110"/>
    <w:rsid w:val="005B350B"/>
    <w:rsid w:val="005B36FE"/>
    <w:rsid w:val="005B61E6"/>
    <w:rsid w:val="005C77E1"/>
    <w:rsid w:val="005D40B4"/>
    <w:rsid w:val="005D668A"/>
    <w:rsid w:val="005D6A2F"/>
    <w:rsid w:val="005E0592"/>
    <w:rsid w:val="005E1A82"/>
    <w:rsid w:val="005E794C"/>
    <w:rsid w:val="005F0A28"/>
    <w:rsid w:val="005F0E5E"/>
    <w:rsid w:val="005F57AA"/>
    <w:rsid w:val="00600535"/>
    <w:rsid w:val="006021AF"/>
    <w:rsid w:val="00602A08"/>
    <w:rsid w:val="00610CD6"/>
    <w:rsid w:val="0061142F"/>
    <w:rsid w:val="00611A91"/>
    <w:rsid w:val="0061223C"/>
    <w:rsid w:val="00612763"/>
    <w:rsid w:val="0061566D"/>
    <w:rsid w:val="00615680"/>
    <w:rsid w:val="00616009"/>
    <w:rsid w:val="00617AC4"/>
    <w:rsid w:val="00620DEE"/>
    <w:rsid w:val="00621F92"/>
    <w:rsid w:val="0062280A"/>
    <w:rsid w:val="006231E1"/>
    <w:rsid w:val="00625639"/>
    <w:rsid w:val="00626342"/>
    <w:rsid w:val="00631B33"/>
    <w:rsid w:val="0064184D"/>
    <w:rsid w:val="006422CC"/>
    <w:rsid w:val="0064273E"/>
    <w:rsid w:val="00651D18"/>
    <w:rsid w:val="00660E3E"/>
    <w:rsid w:val="00662E74"/>
    <w:rsid w:val="00680C23"/>
    <w:rsid w:val="00682797"/>
    <w:rsid w:val="00683E23"/>
    <w:rsid w:val="00686B11"/>
    <w:rsid w:val="00693766"/>
    <w:rsid w:val="006A3281"/>
    <w:rsid w:val="006A6DE5"/>
    <w:rsid w:val="006B32CF"/>
    <w:rsid w:val="006B4888"/>
    <w:rsid w:val="006B74AE"/>
    <w:rsid w:val="006B7B24"/>
    <w:rsid w:val="006C2E45"/>
    <w:rsid w:val="006C359C"/>
    <w:rsid w:val="006C5579"/>
    <w:rsid w:val="006D6300"/>
    <w:rsid w:val="006D6E8B"/>
    <w:rsid w:val="006D7209"/>
    <w:rsid w:val="006D79A8"/>
    <w:rsid w:val="006E1C20"/>
    <w:rsid w:val="006E737D"/>
    <w:rsid w:val="006E77E5"/>
    <w:rsid w:val="006F1B32"/>
    <w:rsid w:val="006F66A7"/>
    <w:rsid w:val="00707DD1"/>
    <w:rsid w:val="00713973"/>
    <w:rsid w:val="007147BE"/>
    <w:rsid w:val="00720A24"/>
    <w:rsid w:val="00722DD5"/>
    <w:rsid w:val="00723903"/>
    <w:rsid w:val="00726803"/>
    <w:rsid w:val="00726E8F"/>
    <w:rsid w:val="00732386"/>
    <w:rsid w:val="0073514D"/>
    <w:rsid w:val="007447F3"/>
    <w:rsid w:val="007540EF"/>
    <w:rsid w:val="0075499F"/>
    <w:rsid w:val="007552BC"/>
    <w:rsid w:val="007661C8"/>
    <w:rsid w:val="0077098D"/>
    <w:rsid w:val="007810AE"/>
    <w:rsid w:val="00785BF9"/>
    <w:rsid w:val="007931FA"/>
    <w:rsid w:val="007A2FD3"/>
    <w:rsid w:val="007A4861"/>
    <w:rsid w:val="007A7BBA"/>
    <w:rsid w:val="007B0C50"/>
    <w:rsid w:val="007B48F9"/>
    <w:rsid w:val="007B4D27"/>
    <w:rsid w:val="007B76C8"/>
    <w:rsid w:val="007C1A43"/>
    <w:rsid w:val="007D0951"/>
    <w:rsid w:val="007D610D"/>
    <w:rsid w:val="007F7AE8"/>
    <w:rsid w:val="0080013E"/>
    <w:rsid w:val="00800AC9"/>
    <w:rsid w:val="00801759"/>
    <w:rsid w:val="00803DD5"/>
    <w:rsid w:val="008057CC"/>
    <w:rsid w:val="00813288"/>
    <w:rsid w:val="008168FC"/>
    <w:rsid w:val="00830996"/>
    <w:rsid w:val="008345F1"/>
    <w:rsid w:val="0086550E"/>
    <w:rsid w:val="00865B07"/>
    <w:rsid w:val="008667EA"/>
    <w:rsid w:val="0087201C"/>
    <w:rsid w:val="0087637F"/>
    <w:rsid w:val="00882B7D"/>
    <w:rsid w:val="00892AD5"/>
    <w:rsid w:val="0089712E"/>
    <w:rsid w:val="008A1512"/>
    <w:rsid w:val="008D32B9"/>
    <w:rsid w:val="008D433B"/>
    <w:rsid w:val="008D4A16"/>
    <w:rsid w:val="008E5401"/>
    <w:rsid w:val="008E566E"/>
    <w:rsid w:val="0090161A"/>
    <w:rsid w:val="00901EB6"/>
    <w:rsid w:val="009041F8"/>
    <w:rsid w:val="00904460"/>
    <w:rsid w:val="00904C62"/>
    <w:rsid w:val="009110E0"/>
    <w:rsid w:val="009120A1"/>
    <w:rsid w:val="00913687"/>
    <w:rsid w:val="009155BD"/>
    <w:rsid w:val="00922BA8"/>
    <w:rsid w:val="00924DAC"/>
    <w:rsid w:val="00927058"/>
    <w:rsid w:val="00942750"/>
    <w:rsid w:val="009450CE"/>
    <w:rsid w:val="009459BB"/>
    <w:rsid w:val="00947179"/>
    <w:rsid w:val="0095164B"/>
    <w:rsid w:val="009531EE"/>
    <w:rsid w:val="00954090"/>
    <w:rsid w:val="009573E7"/>
    <w:rsid w:val="00962530"/>
    <w:rsid w:val="00963E05"/>
    <w:rsid w:val="00964A45"/>
    <w:rsid w:val="00967843"/>
    <w:rsid w:val="00967D54"/>
    <w:rsid w:val="00971028"/>
    <w:rsid w:val="00984A95"/>
    <w:rsid w:val="00990356"/>
    <w:rsid w:val="00993B84"/>
    <w:rsid w:val="00994C6A"/>
    <w:rsid w:val="00996483"/>
    <w:rsid w:val="00996F5A"/>
    <w:rsid w:val="00997DD5"/>
    <w:rsid w:val="009B041A"/>
    <w:rsid w:val="009B16C4"/>
    <w:rsid w:val="009B6E57"/>
    <w:rsid w:val="009C37C3"/>
    <w:rsid w:val="009C7C86"/>
    <w:rsid w:val="009D2FF7"/>
    <w:rsid w:val="009D4C14"/>
    <w:rsid w:val="009E479B"/>
    <w:rsid w:val="009E7884"/>
    <w:rsid w:val="009E788A"/>
    <w:rsid w:val="009F0E08"/>
    <w:rsid w:val="009F2582"/>
    <w:rsid w:val="009F278D"/>
    <w:rsid w:val="009F6EBC"/>
    <w:rsid w:val="00A079AE"/>
    <w:rsid w:val="00A143E2"/>
    <w:rsid w:val="00A1763D"/>
    <w:rsid w:val="00A17CEC"/>
    <w:rsid w:val="00A17D7A"/>
    <w:rsid w:val="00A20FCD"/>
    <w:rsid w:val="00A21088"/>
    <w:rsid w:val="00A22C89"/>
    <w:rsid w:val="00A27EF0"/>
    <w:rsid w:val="00A3201E"/>
    <w:rsid w:val="00A42361"/>
    <w:rsid w:val="00A50B20"/>
    <w:rsid w:val="00A51390"/>
    <w:rsid w:val="00A57A93"/>
    <w:rsid w:val="00A60D13"/>
    <w:rsid w:val="00A7223D"/>
    <w:rsid w:val="00A724C6"/>
    <w:rsid w:val="00A72745"/>
    <w:rsid w:val="00A76EFC"/>
    <w:rsid w:val="00A820E4"/>
    <w:rsid w:val="00A87D50"/>
    <w:rsid w:val="00A91010"/>
    <w:rsid w:val="00A97F29"/>
    <w:rsid w:val="00AA702E"/>
    <w:rsid w:val="00AA7D26"/>
    <w:rsid w:val="00AB0964"/>
    <w:rsid w:val="00AB5011"/>
    <w:rsid w:val="00AB55C1"/>
    <w:rsid w:val="00AB5C90"/>
    <w:rsid w:val="00AC7368"/>
    <w:rsid w:val="00AD16B9"/>
    <w:rsid w:val="00AD275A"/>
    <w:rsid w:val="00AE377D"/>
    <w:rsid w:val="00AF0EBA"/>
    <w:rsid w:val="00AF2463"/>
    <w:rsid w:val="00AF77B4"/>
    <w:rsid w:val="00B010E1"/>
    <w:rsid w:val="00B02C8A"/>
    <w:rsid w:val="00B148D7"/>
    <w:rsid w:val="00B17AA7"/>
    <w:rsid w:val="00B17FBD"/>
    <w:rsid w:val="00B2563B"/>
    <w:rsid w:val="00B315A6"/>
    <w:rsid w:val="00B31813"/>
    <w:rsid w:val="00B33365"/>
    <w:rsid w:val="00B428D9"/>
    <w:rsid w:val="00B57B36"/>
    <w:rsid w:val="00B57E6F"/>
    <w:rsid w:val="00B76F22"/>
    <w:rsid w:val="00B81B3B"/>
    <w:rsid w:val="00B8686D"/>
    <w:rsid w:val="00B93F69"/>
    <w:rsid w:val="00B9426A"/>
    <w:rsid w:val="00BA670E"/>
    <w:rsid w:val="00BB1DDC"/>
    <w:rsid w:val="00BB763C"/>
    <w:rsid w:val="00BC30C9"/>
    <w:rsid w:val="00BD077D"/>
    <w:rsid w:val="00BE118D"/>
    <w:rsid w:val="00BE3E58"/>
    <w:rsid w:val="00BE5B1B"/>
    <w:rsid w:val="00BF13CE"/>
    <w:rsid w:val="00BF789E"/>
    <w:rsid w:val="00C01616"/>
    <w:rsid w:val="00C0162B"/>
    <w:rsid w:val="00C02549"/>
    <w:rsid w:val="00C068ED"/>
    <w:rsid w:val="00C14193"/>
    <w:rsid w:val="00C16D31"/>
    <w:rsid w:val="00C22E0C"/>
    <w:rsid w:val="00C22F29"/>
    <w:rsid w:val="00C30721"/>
    <w:rsid w:val="00C345B1"/>
    <w:rsid w:val="00C369DF"/>
    <w:rsid w:val="00C40142"/>
    <w:rsid w:val="00C403E2"/>
    <w:rsid w:val="00C43881"/>
    <w:rsid w:val="00C52C3C"/>
    <w:rsid w:val="00C52EF9"/>
    <w:rsid w:val="00C57182"/>
    <w:rsid w:val="00C57863"/>
    <w:rsid w:val="00C640AF"/>
    <w:rsid w:val="00C64C05"/>
    <w:rsid w:val="00C655FD"/>
    <w:rsid w:val="00C75407"/>
    <w:rsid w:val="00C83685"/>
    <w:rsid w:val="00C841C6"/>
    <w:rsid w:val="00C870A8"/>
    <w:rsid w:val="00C91421"/>
    <w:rsid w:val="00C94434"/>
    <w:rsid w:val="00CA0C82"/>
    <w:rsid w:val="00CA0D75"/>
    <w:rsid w:val="00CA1C95"/>
    <w:rsid w:val="00CA3E20"/>
    <w:rsid w:val="00CA5A9C"/>
    <w:rsid w:val="00CB1D41"/>
    <w:rsid w:val="00CC4C20"/>
    <w:rsid w:val="00CC66AA"/>
    <w:rsid w:val="00CD3517"/>
    <w:rsid w:val="00CD5FE2"/>
    <w:rsid w:val="00CE7C68"/>
    <w:rsid w:val="00CF1F59"/>
    <w:rsid w:val="00D02B4C"/>
    <w:rsid w:val="00D040C4"/>
    <w:rsid w:val="00D10731"/>
    <w:rsid w:val="00D11F05"/>
    <w:rsid w:val="00D12794"/>
    <w:rsid w:val="00D12B50"/>
    <w:rsid w:val="00D20AD1"/>
    <w:rsid w:val="00D23516"/>
    <w:rsid w:val="00D2582C"/>
    <w:rsid w:val="00D317C2"/>
    <w:rsid w:val="00D32902"/>
    <w:rsid w:val="00D43D6D"/>
    <w:rsid w:val="00D44871"/>
    <w:rsid w:val="00D46B7E"/>
    <w:rsid w:val="00D52948"/>
    <w:rsid w:val="00D57C84"/>
    <w:rsid w:val="00D6057D"/>
    <w:rsid w:val="00D63DD6"/>
    <w:rsid w:val="00D66400"/>
    <w:rsid w:val="00D708F1"/>
    <w:rsid w:val="00D71640"/>
    <w:rsid w:val="00D77343"/>
    <w:rsid w:val="00D836C5"/>
    <w:rsid w:val="00D84576"/>
    <w:rsid w:val="00DA1399"/>
    <w:rsid w:val="00DA24C6"/>
    <w:rsid w:val="00DA4D7B"/>
    <w:rsid w:val="00DB1A6D"/>
    <w:rsid w:val="00DC0463"/>
    <w:rsid w:val="00DC2840"/>
    <w:rsid w:val="00DC73EE"/>
    <w:rsid w:val="00DD271C"/>
    <w:rsid w:val="00DD506A"/>
    <w:rsid w:val="00DD5171"/>
    <w:rsid w:val="00DD569D"/>
    <w:rsid w:val="00DE08F9"/>
    <w:rsid w:val="00DE2184"/>
    <w:rsid w:val="00DE264A"/>
    <w:rsid w:val="00DE7917"/>
    <w:rsid w:val="00DF5072"/>
    <w:rsid w:val="00DF5482"/>
    <w:rsid w:val="00E02D18"/>
    <w:rsid w:val="00E041E7"/>
    <w:rsid w:val="00E150FD"/>
    <w:rsid w:val="00E23CA1"/>
    <w:rsid w:val="00E26D28"/>
    <w:rsid w:val="00E31C45"/>
    <w:rsid w:val="00E409A8"/>
    <w:rsid w:val="00E50C12"/>
    <w:rsid w:val="00E56860"/>
    <w:rsid w:val="00E65B91"/>
    <w:rsid w:val="00E7209D"/>
    <w:rsid w:val="00E72EAD"/>
    <w:rsid w:val="00E7567A"/>
    <w:rsid w:val="00E77223"/>
    <w:rsid w:val="00E8528B"/>
    <w:rsid w:val="00E85B94"/>
    <w:rsid w:val="00E978D0"/>
    <w:rsid w:val="00EA4613"/>
    <w:rsid w:val="00EA5F22"/>
    <w:rsid w:val="00EA7F91"/>
    <w:rsid w:val="00EB1523"/>
    <w:rsid w:val="00EB1EA9"/>
    <w:rsid w:val="00EB36C6"/>
    <w:rsid w:val="00EC0E49"/>
    <w:rsid w:val="00EC101F"/>
    <w:rsid w:val="00EC1BEF"/>
    <w:rsid w:val="00EC1D9F"/>
    <w:rsid w:val="00ED21F6"/>
    <w:rsid w:val="00EE0131"/>
    <w:rsid w:val="00EE17B0"/>
    <w:rsid w:val="00EE48D7"/>
    <w:rsid w:val="00EF06D9"/>
    <w:rsid w:val="00F160AD"/>
    <w:rsid w:val="00F25757"/>
    <w:rsid w:val="00F3049E"/>
    <w:rsid w:val="00F30C64"/>
    <w:rsid w:val="00F321E3"/>
    <w:rsid w:val="00F32BA2"/>
    <w:rsid w:val="00F32CDB"/>
    <w:rsid w:val="00F3364C"/>
    <w:rsid w:val="00F34E0F"/>
    <w:rsid w:val="00F41EE4"/>
    <w:rsid w:val="00F565FE"/>
    <w:rsid w:val="00F63A70"/>
    <w:rsid w:val="00F63D8C"/>
    <w:rsid w:val="00F65AE6"/>
    <w:rsid w:val="00F6703C"/>
    <w:rsid w:val="00F726D8"/>
    <w:rsid w:val="00F7534E"/>
    <w:rsid w:val="00F7598C"/>
    <w:rsid w:val="00F90FED"/>
    <w:rsid w:val="00F93769"/>
    <w:rsid w:val="00F93EDF"/>
    <w:rsid w:val="00FA1802"/>
    <w:rsid w:val="00FA21D0"/>
    <w:rsid w:val="00FA44FB"/>
    <w:rsid w:val="00FA5F5F"/>
    <w:rsid w:val="00FB730C"/>
    <w:rsid w:val="00FC2695"/>
    <w:rsid w:val="00FC3E03"/>
    <w:rsid w:val="00FC3FC1"/>
    <w:rsid w:val="00FD259A"/>
    <w:rsid w:val="00FD6CC2"/>
    <w:rsid w:val="00FE562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customStyle="1" w:styleId="gmail-apple-converted-space">
    <w:name w:val="gmail-apple-converted-space"/>
    <w:basedOn w:val="Fuentedeprrafopredeter"/>
    <w:rsid w:val="00005A19"/>
  </w:style>
  <w:style w:type="character" w:styleId="Mencinsinresolver">
    <w:name w:val="Unresolved Mention"/>
    <w:basedOn w:val="Fuentedeprrafopredeter"/>
    <w:uiPriority w:val="99"/>
    <w:semiHidden/>
    <w:unhideWhenUsed/>
    <w:rsid w:val="00A21088"/>
    <w:rPr>
      <w:color w:val="605E5C"/>
      <w:shd w:val="clear" w:color="auto" w:fill="E1DFDD"/>
    </w:rPr>
  </w:style>
  <w:style w:type="character" w:styleId="Textodelmarcadordeposicin">
    <w:name w:val="Placeholder Text"/>
    <w:basedOn w:val="Fuentedeprrafopredeter"/>
    <w:uiPriority w:val="99"/>
    <w:semiHidden/>
    <w:rsid w:val="00216C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iguelromerom@usantotomas.edu.c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DB6C0-28AF-4771-BA20-1C1998501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2272</TotalTime>
  <Pages>6</Pages>
  <Words>3966</Words>
  <Characters>21817</Characters>
  <Application>Microsoft Office Word</Application>
  <DocSecurity>0</DocSecurity>
  <Lines>181</Lines>
  <Paragraphs>51</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Miguel Romero Mora</cp:lastModifiedBy>
  <cp:revision>181</cp:revision>
  <cp:lastPrinted>2015-05-12T18:31:00Z</cp:lastPrinted>
  <dcterms:created xsi:type="dcterms:W3CDTF">2024-02-20T10:29:00Z</dcterms:created>
  <dcterms:modified xsi:type="dcterms:W3CDTF">2025-02-17T20:40:00Z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