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F06B15">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F06B15">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F06B15">
        <w:trPr>
          <w:trHeight w:val="68"/>
          <w:jc w:val="center"/>
        </w:trPr>
        <w:tc>
          <w:tcPr>
            <w:tcW w:w="8782"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0A3F3EB6" w:rsidR="00E978D0" w:rsidRPr="00B57B36" w:rsidRDefault="00F06B15" w:rsidP="00E978D0">
      <w:pPr>
        <w:pStyle w:val="CETTitle"/>
      </w:pPr>
      <w:r w:rsidRPr="00F06B15">
        <w:t>Energy Efficiency Increase by Improved Heat Storage in Wood Stoves</w:t>
      </w:r>
    </w:p>
    <w:p w14:paraId="3E410EB7" w14:textId="77777777" w:rsidR="00F06B15" w:rsidRPr="00B57B36" w:rsidRDefault="00F06B15" w:rsidP="00F06B15">
      <w:pPr>
        <w:pStyle w:val="CETAuthors"/>
      </w:pPr>
      <w:r>
        <w:t>Øyvind Skreiberg</w:t>
      </w:r>
      <w:r w:rsidRPr="00B57B36">
        <w:t xml:space="preserve">*, </w:t>
      </w:r>
      <w:r>
        <w:t>Morten Seljeskog</w:t>
      </w:r>
    </w:p>
    <w:p w14:paraId="60DE66A8" w14:textId="77777777" w:rsidR="00F06B15" w:rsidRPr="00B57B36" w:rsidRDefault="00F06B15" w:rsidP="00F06B15">
      <w:pPr>
        <w:pStyle w:val="CETAddress"/>
      </w:pPr>
      <w:r w:rsidRPr="00100E03">
        <w:t>Thermal Energy Department, SINTEF Energy Research, Trondheim, Norway</w:t>
      </w:r>
      <w:r w:rsidRPr="00B57B36">
        <w:t xml:space="preserve"> </w:t>
      </w:r>
    </w:p>
    <w:p w14:paraId="4F15359D" w14:textId="77777777" w:rsidR="00F06B15" w:rsidRPr="00B57B36" w:rsidRDefault="00F06B15" w:rsidP="00F06B15">
      <w:pPr>
        <w:pStyle w:val="CETemail"/>
      </w:pPr>
      <w:r>
        <w:t>oyvind.skreiberg</w:t>
      </w:r>
      <w:r w:rsidRPr="00B57B36">
        <w:t>@</w:t>
      </w:r>
      <w:r>
        <w:t>sintef.no</w:t>
      </w:r>
    </w:p>
    <w:p w14:paraId="6DFC3037" w14:textId="4DB57BCC" w:rsidR="00F06B15" w:rsidRPr="00415A41" w:rsidRDefault="00F06B15" w:rsidP="00F06B15">
      <w:pPr>
        <w:pStyle w:val="CETBodytext"/>
        <w:rPr>
          <w:color w:val="0D0D0D" w:themeColor="text1" w:themeTint="F2"/>
          <w:lang w:val="en-GB"/>
        </w:rPr>
      </w:pPr>
      <w:r w:rsidRPr="00415A41">
        <w:rPr>
          <w:color w:val="0D0D0D" w:themeColor="text1" w:themeTint="F2"/>
          <w:lang w:val="en-GB"/>
        </w:rPr>
        <w:t>Wood stoves are widely used for space heating in cold climates and provides energy security and relieves the pressure on the electricity grid, especially on cold winter days. In this work the influence of heat storage capacity on the stove thermal efficiency is investigated to explain the experimentally observed influence of heat storage capacity on stove thermal efficiency. A high heat storage capacity as for soapstone stoves typically gives several percentage points increase in stove thermal efficiency compared to cast iron or plate steel</w:t>
      </w:r>
      <w:r w:rsidR="003B3F76">
        <w:rPr>
          <w:color w:val="0D0D0D" w:themeColor="text1" w:themeTint="F2"/>
          <w:lang w:val="en-GB"/>
        </w:rPr>
        <w:t xml:space="preserve"> stoves</w:t>
      </w:r>
      <w:r w:rsidRPr="00415A41">
        <w:rPr>
          <w:color w:val="0D0D0D" w:themeColor="text1" w:themeTint="F2"/>
          <w:lang w:val="en-GB"/>
        </w:rPr>
        <w:t>. The heat storage provides a possibility for the heat to be temporarily stored instead of being transported out of the stove with the flue gas, and counteracts the main heat transfer resistance, the transfer of heat to the room from the outer stove surface.</w:t>
      </w:r>
      <w:bookmarkStart w:id="1" w:name="_Hlk495475023"/>
      <w:r w:rsidRPr="00415A41">
        <w:rPr>
          <w:color w:val="0D0D0D" w:themeColor="text1" w:themeTint="F2"/>
          <w:lang w:val="en-GB"/>
        </w:rPr>
        <w:t xml:space="preserve"> However, as the heat storage capacity increases, so do the amount of heat that could be lost to air leaking through the stove after the firing ends. </w:t>
      </w:r>
      <w:r w:rsidR="00041DE1">
        <w:rPr>
          <w:color w:val="0D0D0D" w:themeColor="text1" w:themeTint="F2"/>
          <w:lang w:val="en-GB"/>
        </w:rPr>
        <w:t>For</w:t>
      </w:r>
      <w:r w:rsidRPr="00415A41">
        <w:rPr>
          <w:color w:val="0D0D0D" w:themeColor="text1" w:themeTint="F2"/>
          <w:lang w:val="en-GB"/>
        </w:rPr>
        <w:t xml:space="preserve"> stove materials, their thermal inertia</w:t>
      </w:r>
      <w:r w:rsidR="005D1298">
        <w:rPr>
          <w:color w:val="0D0D0D" w:themeColor="text1" w:themeTint="F2"/>
          <w:lang w:val="en-GB"/>
        </w:rPr>
        <w:t xml:space="preserve"> and mass</w:t>
      </w:r>
      <w:r w:rsidRPr="00415A41">
        <w:rPr>
          <w:color w:val="0D0D0D" w:themeColor="text1" w:themeTint="F2"/>
          <w:lang w:val="en-GB"/>
        </w:rPr>
        <w:t xml:space="preserve"> </w:t>
      </w:r>
      <w:r w:rsidR="005D1298">
        <w:rPr>
          <w:color w:val="0D0D0D" w:themeColor="text1" w:themeTint="F2"/>
          <w:lang w:val="en-GB"/>
        </w:rPr>
        <w:t>are</w:t>
      </w:r>
      <w:r w:rsidRPr="00415A41">
        <w:rPr>
          <w:color w:val="0D0D0D" w:themeColor="text1" w:themeTint="F2"/>
          <w:lang w:val="en-GB"/>
        </w:rPr>
        <w:t xml:space="preserve"> crucial for the heat storage capacity, while the transfer of the heat is also controlled by the heat transfer through the material. As a result, soapstone has a benefit with respect to thermal comfort, while cast iron for thermal efficiency, for an equal </w:t>
      </w:r>
      <w:r>
        <w:rPr>
          <w:color w:val="0D0D0D" w:themeColor="text1" w:themeTint="F2"/>
          <w:lang w:val="en-GB"/>
        </w:rPr>
        <w:t>heat storage capacity</w:t>
      </w:r>
      <w:r w:rsidRPr="00415A41">
        <w:rPr>
          <w:color w:val="0D0D0D" w:themeColor="text1" w:themeTint="F2"/>
          <w:lang w:val="en-GB"/>
        </w:rPr>
        <w:t xml:space="preserve">. However, soapstone stoves </w:t>
      </w:r>
      <w:r w:rsidR="006819BB">
        <w:rPr>
          <w:color w:val="0D0D0D" w:themeColor="text1" w:themeTint="F2"/>
          <w:lang w:val="en-GB"/>
        </w:rPr>
        <w:t>have</w:t>
      </w:r>
      <w:r w:rsidR="006819BB" w:rsidRPr="00415A41">
        <w:rPr>
          <w:color w:val="0D0D0D" w:themeColor="text1" w:themeTint="F2"/>
          <w:lang w:val="en-GB"/>
        </w:rPr>
        <w:t xml:space="preserve"> </w:t>
      </w:r>
      <w:r w:rsidRPr="00415A41">
        <w:rPr>
          <w:color w:val="0D0D0D" w:themeColor="text1" w:themeTint="F2"/>
          <w:lang w:val="en-GB"/>
        </w:rPr>
        <w:t xml:space="preserve">much </w:t>
      </w:r>
      <w:r w:rsidR="003F353F">
        <w:rPr>
          <w:color w:val="0D0D0D" w:themeColor="text1" w:themeTint="F2"/>
          <w:lang w:val="en-GB"/>
        </w:rPr>
        <w:t>higher</w:t>
      </w:r>
      <w:r w:rsidR="00297BBE">
        <w:rPr>
          <w:color w:val="0D0D0D" w:themeColor="text1" w:themeTint="F2"/>
          <w:lang w:val="en-GB"/>
        </w:rPr>
        <w:t xml:space="preserve"> heat storage capacity</w:t>
      </w:r>
      <w:r w:rsidR="00297BBE" w:rsidRPr="00415A41">
        <w:rPr>
          <w:color w:val="0D0D0D" w:themeColor="text1" w:themeTint="F2"/>
          <w:lang w:val="en-GB"/>
        </w:rPr>
        <w:t xml:space="preserve"> </w:t>
      </w:r>
      <w:r w:rsidRPr="00415A41">
        <w:rPr>
          <w:color w:val="0D0D0D" w:themeColor="text1" w:themeTint="F2"/>
          <w:lang w:val="en-GB"/>
        </w:rPr>
        <w:t>than cast iron stoves, and therefore</w:t>
      </w:r>
      <w:r w:rsidR="00AE09B5">
        <w:rPr>
          <w:color w:val="0D0D0D" w:themeColor="text1" w:themeTint="F2"/>
          <w:lang w:val="en-GB"/>
        </w:rPr>
        <w:t xml:space="preserve"> also</w:t>
      </w:r>
      <w:r w:rsidRPr="00415A41">
        <w:rPr>
          <w:color w:val="0D0D0D" w:themeColor="text1" w:themeTint="F2"/>
          <w:lang w:val="en-GB"/>
        </w:rPr>
        <w:t xml:space="preserve"> achieve the highest thermal efficiencies in type approval tests.</w:t>
      </w:r>
    </w:p>
    <w:bookmarkEnd w:id="1"/>
    <w:p w14:paraId="7ED290A8" w14:textId="77777777" w:rsidR="00F06B15" w:rsidRPr="00B57B36" w:rsidRDefault="00F06B15" w:rsidP="00F06B15">
      <w:pPr>
        <w:pStyle w:val="CETHeading1"/>
        <w:rPr>
          <w:lang w:val="en-GB"/>
        </w:rPr>
      </w:pPr>
      <w:r w:rsidRPr="00B57B36">
        <w:rPr>
          <w:lang w:val="en-GB"/>
        </w:rPr>
        <w:t>Introduction</w:t>
      </w:r>
    </w:p>
    <w:p w14:paraId="6F0485C6" w14:textId="3FD0A5F2" w:rsidR="00F06B15" w:rsidRPr="00B57B36" w:rsidRDefault="00F06B15" w:rsidP="00F06B15">
      <w:pPr>
        <w:pStyle w:val="CETBodytext"/>
      </w:pPr>
      <w:r w:rsidRPr="54CB4DF0">
        <w:rPr>
          <w:lang w:val="en-GB"/>
        </w:rPr>
        <w:t xml:space="preserve">Wood stoves contribute </w:t>
      </w:r>
      <w:r w:rsidR="00B47FD4">
        <w:rPr>
          <w:lang w:val="en-GB"/>
        </w:rPr>
        <w:t>significantly</w:t>
      </w:r>
      <w:r w:rsidRPr="54CB4DF0">
        <w:rPr>
          <w:lang w:val="en-GB"/>
        </w:rPr>
        <w:t xml:space="preserve"> to domestic heating in many countries, and they exist in different sizes and shapes and with different material configurations</w:t>
      </w:r>
      <w:r w:rsidR="005730A6">
        <w:rPr>
          <w:lang w:val="en-GB"/>
        </w:rPr>
        <w:t xml:space="preserve"> and heat outputs</w:t>
      </w:r>
      <w:r w:rsidRPr="54CB4DF0">
        <w:rPr>
          <w:lang w:val="en-GB"/>
        </w:rPr>
        <w:t xml:space="preserve">. Their energy efficiency varies widely, depending on the stove technology and its operation. Due to their batch operating principle, heat comfort becomes an issue due to the typical transient heat release profile from the stoves to the room, via radiation through the stove window or from the outer stove surfaces or by convection from the outer stove surfaces. The </w:t>
      </w:r>
      <w:r w:rsidR="00DE701F">
        <w:rPr>
          <w:lang w:val="en-GB"/>
        </w:rPr>
        <w:t xml:space="preserve">stove </w:t>
      </w:r>
      <w:r w:rsidRPr="54CB4DF0">
        <w:rPr>
          <w:lang w:val="en-GB"/>
        </w:rPr>
        <w:t>heat storage capacity and the rate at which it releases its stored heat helps to dampen the heat release peak. In principle, the higher the heat storage capacity, the more stable heat release can be achieved. However, the heating power (W) will be both lowered and delayed. So-called heat storage stoves are stoves made of heat storing materials, i.e. not metal (cast iron or plate steel), but stone, e.g. soapstone or chamotte. The stone materials have a somewhat lower thermal inertia (J/m</w:t>
      </w:r>
      <w:r w:rsidRPr="54CB4DF0">
        <w:rPr>
          <w:vertAlign w:val="superscript"/>
          <w:lang w:val="en-GB"/>
        </w:rPr>
        <w:t>3</w:t>
      </w:r>
      <w:r w:rsidRPr="54CB4DF0">
        <w:rPr>
          <w:lang w:val="en-GB"/>
        </w:rPr>
        <w:t xml:space="preserve">K) than the metals, and they also have lower thermal conductivity, and hence have higher heat transfer resistance. When testing </w:t>
      </w:r>
      <w:r>
        <w:rPr>
          <w:lang w:val="en-GB"/>
        </w:rPr>
        <w:t xml:space="preserve">light </w:t>
      </w:r>
      <w:r w:rsidRPr="54CB4DF0">
        <w:rPr>
          <w:lang w:val="en-GB"/>
        </w:rPr>
        <w:t>heat storage</w:t>
      </w:r>
      <w:r>
        <w:rPr>
          <w:lang w:val="en-GB"/>
        </w:rPr>
        <w:t xml:space="preserve"> (&lt; 500 kg)</w:t>
      </w:r>
      <w:r w:rsidRPr="54CB4DF0">
        <w:rPr>
          <w:lang w:val="en-GB"/>
        </w:rPr>
        <w:t xml:space="preserve"> stoves according to test standards also used for metal stoves</w:t>
      </w:r>
      <w:r>
        <w:rPr>
          <w:lang w:val="en-GB"/>
        </w:rPr>
        <w:t xml:space="preserve"> (typically &lt; 150 kg)</w:t>
      </w:r>
      <w:r w:rsidRPr="54CB4DF0">
        <w:rPr>
          <w:lang w:val="en-GB"/>
        </w:rPr>
        <w:t>, they typically still achieve higher thermal efficiency by a few percentage points.</w:t>
      </w:r>
      <w:r w:rsidRPr="00BA63E7">
        <w:rPr>
          <w:color w:val="0D0D0D" w:themeColor="text1" w:themeTint="F2"/>
          <w:lang w:val="en-GB"/>
        </w:rPr>
        <w:t xml:space="preserve"> The reason for this can be that they are several times heavier than the metal stoves and </w:t>
      </w:r>
      <w:r w:rsidR="000A7A81">
        <w:rPr>
          <w:color w:val="0D0D0D" w:themeColor="text1" w:themeTint="F2"/>
          <w:lang w:val="en-GB"/>
        </w:rPr>
        <w:t xml:space="preserve">also </w:t>
      </w:r>
      <w:r w:rsidR="007D6C52">
        <w:rPr>
          <w:color w:val="0D0D0D" w:themeColor="text1" w:themeTint="F2"/>
          <w:lang w:val="en-GB"/>
        </w:rPr>
        <w:t xml:space="preserve">have twice the specific heat capacity and </w:t>
      </w:r>
      <w:r w:rsidRPr="00BA63E7">
        <w:rPr>
          <w:color w:val="0D0D0D" w:themeColor="text1" w:themeTint="F2"/>
          <w:lang w:val="en-GB"/>
        </w:rPr>
        <w:t xml:space="preserve">they therefore have </w:t>
      </w:r>
      <w:r w:rsidR="00257A49">
        <w:rPr>
          <w:color w:val="0D0D0D" w:themeColor="text1" w:themeTint="F2"/>
          <w:lang w:val="en-GB"/>
        </w:rPr>
        <w:t xml:space="preserve">much </w:t>
      </w:r>
      <w:r w:rsidR="001518C1">
        <w:rPr>
          <w:color w:val="0D0D0D" w:themeColor="text1" w:themeTint="F2"/>
          <w:lang w:val="en-GB"/>
        </w:rPr>
        <w:t>higher heat storage capacity</w:t>
      </w:r>
      <w:r w:rsidRPr="00BA63E7">
        <w:rPr>
          <w:color w:val="0D0D0D" w:themeColor="text1" w:themeTint="F2"/>
          <w:lang w:val="en-GB"/>
        </w:rPr>
        <w:t xml:space="preserve">, but they can also have </w:t>
      </w:r>
      <w:r w:rsidR="00A05409">
        <w:rPr>
          <w:color w:val="0D0D0D" w:themeColor="text1" w:themeTint="F2"/>
          <w:lang w:val="en-GB"/>
        </w:rPr>
        <w:t>larger</w:t>
      </w:r>
      <w:r w:rsidRPr="00BA63E7">
        <w:rPr>
          <w:color w:val="0D0D0D" w:themeColor="text1" w:themeTint="F2"/>
          <w:lang w:val="en-GB"/>
        </w:rPr>
        <w:t xml:space="preserve"> heat transfer area that helps reducing the flue gas temperature before it enters the chimney. However, the real efficiency of heat storage stoves is more sensitive than the metal stoves</w:t>
      </w:r>
      <w:r w:rsidRPr="54CB4DF0">
        <w:rPr>
          <w:lang w:val="en-GB"/>
        </w:rPr>
        <w:t xml:space="preserve"> to a draft through the stove and up the </w:t>
      </w:r>
      <w:r w:rsidRPr="00B878DB">
        <w:rPr>
          <w:lang w:val="en-GB"/>
        </w:rPr>
        <w:t xml:space="preserve">chimney </w:t>
      </w:r>
      <w:r w:rsidRPr="54CB4DF0">
        <w:rPr>
          <w:lang w:val="en-GB"/>
        </w:rPr>
        <w:t xml:space="preserve">when the firing has ended. Such an air leakage due to an air supply valve left open can </w:t>
      </w:r>
      <w:r w:rsidR="00D2771D">
        <w:rPr>
          <w:lang w:val="en-GB"/>
        </w:rPr>
        <w:t>significantly</w:t>
      </w:r>
      <w:r w:rsidRPr="54CB4DF0">
        <w:rPr>
          <w:lang w:val="en-GB"/>
        </w:rPr>
        <w:t xml:space="preserve"> reduce the thermal efficiency, as heat will be transferred from the hot inner walls of the stove to the leakage air. Ideally the air supply should be stopped at once the combustion has ended, but often there are glowing embers for some time, and then the air supply valve should not be completely closed. And sometimes the air </w:t>
      </w:r>
      <w:r w:rsidR="005730A6">
        <w:rPr>
          <w:lang w:val="en-GB"/>
        </w:rPr>
        <w:t xml:space="preserve">valve </w:t>
      </w:r>
      <w:r w:rsidRPr="54CB4DF0">
        <w:rPr>
          <w:lang w:val="en-GB"/>
        </w:rPr>
        <w:t>is regulated maybe once or twice during the combustion cycle and is then forgotten and left open for a long period</w:t>
      </w:r>
      <w:r w:rsidR="009E7DC0">
        <w:rPr>
          <w:lang w:val="en-GB"/>
        </w:rPr>
        <w:t xml:space="preserve"> after the firing has ended</w:t>
      </w:r>
      <w:r w:rsidRPr="54CB4DF0">
        <w:rPr>
          <w:lang w:val="en-GB"/>
        </w:rPr>
        <w:t xml:space="preserve">. It is therefore of interest to investigate how this will affect the real efficiency of the stove. From this work guidelines can be provided </w:t>
      </w:r>
      <w:r w:rsidR="001D2254">
        <w:rPr>
          <w:lang w:val="en-GB"/>
        </w:rPr>
        <w:lastRenderedPageBreak/>
        <w:t>regarding</w:t>
      </w:r>
      <w:r w:rsidRPr="54CB4DF0">
        <w:rPr>
          <w:lang w:val="en-GB"/>
        </w:rPr>
        <w:t xml:space="preserve"> the effect of different material configurations and heat storage capacities on the heat release profile from wood stoves during and after the firing has ended, and the negative effects of not closing the air supply valve will be show</w:t>
      </w:r>
      <w:r w:rsidR="001E1197">
        <w:rPr>
          <w:lang w:val="en-GB"/>
        </w:rPr>
        <w:t>n</w:t>
      </w:r>
      <w:r w:rsidRPr="54CB4DF0">
        <w:rPr>
          <w:lang w:val="en-GB"/>
        </w:rPr>
        <w:t>.</w:t>
      </w:r>
    </w:p>
    <w:p w14:paraId="1B8CE9CE" w14:textId="77777777" w:rsidR="00F06B15" w:rsidRPr="00B57B36" w:rsidRDefault="00F06B15" w:rsidP="00DE1465">
      <w:pPr>
        <w:pStyle w:val="CETHeading1"/>
      </w:pPr>
      <w:r>
        <w:t>Theoretical background</w:t>
      </w:r>
    </w:p>
    <w:p w14:paraId="4A5925E3" w14:textId="7A676C29" w:rsidR="00A266A4" w:rsidRPr="00A266A4" w:rsidRDefault="00F06B15" w:rsidP="00474D76">
      <w:pPr>
        <w:pStyle w:val="CETBodytext"/>
        <w:rPr>
          <w:sz w:val="8"/>
          <w:szCs w:val="8"/>
          <w:lang w:val="en-GB"/>
        </w:rPr>
      </w:pPr>
      <w:r w:rsidRPr="00073582">
        <w:rPr>
          <w:lang w:val="en-GB"/>
        </w:rPr>
        <w:t>Typical materials in wood stoves are metal (cast iron, plate steel), stone (soapstone), insulation (e.g. Skamol) and glass, with different properties (density, specific heat capacity, thermal conductivity, radiative properties). The ideal combination of materials would be the one that provides the best overall heat comfort and energy efficiency, while providing good combustion conditions. That means a balance between convective and radiative (from outer surfaces and through the glass) heat transfer, from batch ignition to well after the firing has ended. When the firing ends, no air should leak through the stove and end up in the chimney. Such a negative effect would especially penalise heat storage stoves, releasing heat for a long time after the firing ends. Table 1 shows material properties for typical wood stove materials.</w:t>
      </w:r>
      <w:r w:rsidR="00474D76" w:rsidRPr="00474D76">
        <w:rPr>
          <w:lang w:val="en-GB"/>
        </w:rPr>
        <w:t xml:space="preserve"> </w:t>
      </w:r>
      <w:r w:rsidR="00474D76" w:rsidRPr="00073582">
        <w:rPr>
          <w:lang w:val="en-GB"/>
        </w:rPr>
        <w:t xml:space="preserve">Low thermal conductivity, for insulating materials (e.g. Skamol), results in a high temperature difference across a wall (increasing with the wall thickness), i.e. high inner surface temperature (→increased combustion temperature) and low outer surface temperature. Hence, heat transfer to the room from the outer surface is low (but as the combustion temperature is increased, also the heat transfer potential into and through the wall is increasing) and more heat needs to be taken out in a non-insulated heat </w:t>
      </w:r>
      <w:r w:rsidR="00B81030">
        <w:rPr>
          <w:lang w:val="en-GB"/>
        </w:rPr>
        <w:t>exchange</w:t>
      </w:r>
      <w:r w:rsidR="00474D76" w:rsidRPr="00073582">
        <w:rPr>
          <w:lang w:val="en-GB"/>
        </w:rPr>
        <w:t xml:space="preserve"> section, or during a longer timespan if stored in the material. High thermal conductivity, for metals, results in a low temperature difference across a wall, i.e. reduced inner surface temperature (→reduced combustion temperature) and increased outer surface temperature compared to an insulating material. The effect of an increasing heat storage capacity is that more heat is stored in the wall, reducing the heat transfer to the outer surface, and hence delaying the heat release (W/m</w:t>
      </w:r>
      <w:r w:rsidR="00474D76" w:rsidRPr="00073582">
        <w:rPr>
          <w:vertAlign w:val="superscript"/>
          <w:lang w:val="en-GB"/>
        </w:rPr>
        <w:t>2</w:t>
      </w:r>
      <w:r w:rsidR="00474D76" w:rsidRPr="00073582">
        <w:rPr>
          <w:lang w:val="en-GB"/>
        </w:rPr>
        <w:t>) to the room. The effect of the glass is direct radiation through the glass, enabling early heat transfer to the room (→improved thermal comfort). However, this also penalise the combustion conditions, especially in the ignition period, but also in the char burnout period, where the heat is needed to maintain a sufficient combustion temperature.</w:t>
      </w:r>
    </w:p>
    <w:p w14:paraId="71D38EA5" w14:textId="77777777" w:rsidR="00F06B15" w:rsidRPr="00B57B36" w:rsidRDefault="00F06B15" w:rsidP="00A2791B">
      <w:pPr>
        <w:pStyle w:val="CETTabletitle"/>
      </w:pPr>
      <w:r w:rsidRPr="00B57B36">
        <w:t xml:space="preserve">Table </w:t>
      </w:r>
      <w:r>
        <w:t>1</w:t>
      </w:r>
      <w:r w:rsidRPr="00B57B36">
        <w:t xml:space="preserve">: </w:t>
      </w:r>
      <w:r>
        <w:t>Properties of materials typically used in wood stoves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1276"/>
        <w:gridCol w:w="1275"/>
        <w:gridCol w:w="1276"/>
        <w:gridCol w:w="1276"/>
        <w:gridCol w:w="1276"/>
      </w:tblGrid>
      <w:tr w:rsidR="00F06B15" w:rsidRPr="00B57B36" w14:paraId="61773466" w14:textId="77777777" w:rsidTr="00804B4F">
        <w:tc>
          <w:tcPr>
            <w:tcW w:w="1985" w:type="dxa"/>
            <w:tcBorders>
              <w:top w:val="single" w:sz="12" w:space="0" w:color="008000"/>
              <w:bottom w:val="single" w:sz="6" w:space="0" w:color="008000"/>
            </w:tcBorders>
            <w:shd w:val="clear" w:color="auto" w:fill="FFFFFF"/>
          </w:tcPr>
          <w:p w14:paraId="5C1452D7" w14:textId="77777777" w:rsidR="00F06B15" w:rsidRPr="00B57B36" w:rsidRDefault="00F06B15" w:rsidP="00804B4F">
            <w:pPr>
              <w:pStyle w:val="CETBodytext"/>
              <w:rPr>
                <w:lang w:val="en-GB"/>
              </w:rPr>
            </w:pPr>
            <w:r>
              <w:rPr>
                <w:lang w:val="en-GB"/>
              </w:rPr>
              <w:t>Property</w:t>
            </w:r>
            <w:r w:rsidRPr="00B57B36">
              <w:rPr>
                <w:lang w:val="en-GB"/>
              </w:rPr>
              <w:t xml:space="preserve"> </w:t>
            </w:r>
          </w:p>
        </w:tc>
        <w:tc>
          <w:tcPr>
            <w:tcW w:w="1276" w:type="dxa"/>
            <w:tcBorders>
              <w:top w:val="single" w:sz="12" w:space="0" w:color="008000"/>
              <w:bottom w:val="single" w:sz="6" w:space="0" w:color="008000"/>
            </w:tcBorders>
            <w:shd w:val="clear" w:color="auto" w:fill="FFFFFF"/>
          </w:tcPr>
          <w:p w14:paraId="12BAE889" w14:textId="77777777" w:rsidR="00F06B15" w:rsidRPr="00B57B36" w:rsidRDefault="00F06B15" w:rsidP="00804B4F">
            <w:pPr>
              <w:pStyle w:val="CETBodytext"/>
              <w:rPr>
                <w:lang w:val="en-GB"/>
              </w:rPr>
            </w:pPr>
            <w:r>
              <w:rPr>
                <w:lang w:val="en-GB"/>
              </w:rPr>
              <w:t>Cast iron</w:t>
            </w:r>
          </w:p>
        </w:tc>
        <w:tc>
          <w:tcPr>
            <w:tcW w:w="1275" w:type="dxa"/>
            <w:tcBorders>
              <w:top w:val="single" w:sz="12" w:space="0" w:color="008000"/>
              <w:bottom w:val="single" w:sz="6" w:space="0" w:color="008000"/>
            </w:tcBorders>
            <w:shd w:val="clear" w:color="auto" w:fill="FFFFFF"/>
          </w:tcPr>
          <w:p w14:paraId="27778EDC" w14:textId="77777777" w:rsidR="00F06B15" w:rsidRPr="00B57B36" w:rsidRDefault="00F06B15" w:rsidP="00804B4F">
            <w:pPr>
              <w:pStyle w:val="CETBodytext"/>
              <w:rPr>
                <w:lang w:val="en-GB"/>
              </w:rPr>
            </w:pPr>
            <w:r>
              <w:rPr>
                <w:lang w:val="en-GB"/>
              </w:rPr>
              <w:t>Plate steel</w:t>
            </w:r>
          </w:p>
        </w:tc>
        <w:tc>
          <w:tcPr>
            <w:tcW w:w="1276" w:type="dxa"/>
            <w:tcBorders>
              <w:top w:val="single" w:sz="12" w:space="0" w:color="008000"/>
              <w:bottom w:val="single" w:sz="6" w:space="0" w:color="008000"/>
            </w:tcBorders>
            <w:shd w:val="clear" w:color="auto" w:fill="FFFFFF"/>
          </w:tcPr>
          <w:p w14:paraId="30B06584" w14:textId="77777777" w:rsidR="00F06B15" w:rsidRPr="00B57B36" w:rsidRDefault="00F06B15" w:rsidP="00804B4F">
            <w:pPr>
              <w:pStyle w:val="CETBodytext"/>
              <w:ind w:right="-1"/>
              <w:rPr>
                <w:rFonts w:cs="Arial"/>
                <w:szCs w:val="18"/>
                <w:lang w:val="en-GB"/>
              </w:rPr>
            </w:pPr>
            <w:r>
              <w:rPr>
                <w:rFonts w:cs="Arial"/>
                <w:szCs w:val="18"/>
                <w:lang w:val="en-GB"/>
              </w:rPr>
              <w:t>Soapstone</w:t>
            </w:r>
          </w:p>
        </w:tc>
        <w:tc>
          <w:tcPr>
            <w:tcW w:w="1276" w:type="dxa"/>
            <w:tcBorders>
              <w:top w:val="single" w:sz="12" w:space="0" w:color="008000"/>
              <w:bottom w:val="single" w:sz="6" w:space="0" w:color="008000"/>
            </w:tcBorders>
            <w:shd w:val="clear" w:color="auto" w:fill="FFFFFF"/>
          </w:tcPr>
          <w:p w14:paraId="7A333963" w14:textId="77777777" w:rsidR="00F06B15" w:rsidRDefault="00F06B15" w:rsidP="00804B4F">
            <w:pPr>
              <w:pStyle w:val="CETBodytext"/>
              <w:ind w:right="-1"/>
              <w:rPr>
                <w:rFonts w:cs="Arial"/>
                <w:szCs w:val="18"/>
                <w:lang w:val="en-GB"/>
              </w:rPr>
            </w:pPr>
            <w:r>
              <w:rPr>
                <w:rFonts w:cs="Arial"/>
                <w:szCs w:val="18"/>
                <w:lang w:val="en-GB"/>
              </w:rPr>
              <w:t>Skamol</w:t>
            </w:r>
          </w:p>
        </w:tc>
        <w:tc>
          <w:tcPr>
            <w:tcW w:w="1276" w:type="dxa"/>
            <w:tcBorders>
              <w:top w:val="single" w:sz="12" w:space="0" w:color="008000"/>
              <w:bottom w:val="single" w:sz="6" w:space="0" w:color="008000"/>
            </w:tcBorders>
            <w:shd w:val="clear" w:color="auto" w:fill="FFFFFF"/>
          </w:tcPr>
          <w:p w14:paraId="1A2D9343" w14:textId="77777777" w:rsidR="00F06B15" w:rsidRPr="00B57B36" w:rsidRDefault="00F06B15" w:rsidP="00804B4F">
            <w:pPr>
              <w:pStyle w:val="CETBodytext"/>
              <w:ind w:right="-1"/>
              <w:rPr>
                <w:rFonts w:cs="Arial"/>
                <w:szCs w:val="18"/>
                <w:lang w:val="en-GB"/>
              </w:rPr>
            </w:pPr>
            <w:r>
              <w:rPr>
                <w:rFonts w:cs="Arial"/>
                <w:szCs w:val="18"/>
                <w:lang w:val="en-GB"/>
              </w:rPr>
              <w:t>Denomination</w:t>
            </w:r>
          </w:p>
        </w:tc>
      </w:tr>
      <w:tr w:rsidR="00F06B15" w:rsidRPr="00B57B36" w14:paraId="7B4F318E" w14:textId="77777777" w:rsidTr="00804B4F">
        <w:tc>
          <w:tcPr>
            <w:tcW w:w="1985" w:type="dxa"/>
            <w:shd w:val="clear" w:color="auto" w:fill="FFFFFF"/>
          </w:tcPr>
          <w:p w14:paraId="35221CB3" w14:textId="77777777" w:rsidR="00F06B15" w:rsidRPr="00B57B36" w:rsidRDefault="00F06B15" w:rsidP="00804B4F">
            <w:pPr>
              <w:pStyle w:val="CETBodytext"/>
              <w:rPr>
                <w:lang w:val="en-GB"/>
              </w:rPr>
            </w:pPr>
            <w:r>
              <w:rPr>
                <w:lang w:val="en-GB"/>
              </w:rPr>
              <w:t>Density</w:t>
            </w:r>
          </w:p>
        </w:tc>
        <w:tc>
          <w:tcPr>
            <w:tcW w:w="1276" w:type="dxa"/>
            <w:shd w:val="clear" w:color="auto" w:fill="FFFFFF"/>
          </w:tcPr>
          <w:p w14:paraId="78B3CB3A" w14:textId="77777777" w:rsidR="00F06B15" w:rsidRPr="00B57B36" w:rsidRDefault="00F06B15" w:rsidP="00804B4F">
            <w:pPr>
              <w:pStyle w:val="CETBodytext"/>
              <w:rPr>
                <w:lang w:val="en-GB"/>
              </w:rPr>
            </w:pPr>
            <w:r>
              <w:rPr>
                <w:lang w:val="en-GB"/>
              </w:rPr>
              <w:t>7190</w:t>
            </w:r>
          </w:p>
        </w:tc>
        <w:tc>
          <w:tcPr>
            <w:tcW w:w="1275" w:type="dxa"/>
            <w:shd w:val="clear" w:color="auto" w:fill="FFFFFF"/>
          </w:tcPr>
          <w:p w14:paraId="248865DC" w14:textId="77777777" w:rsidR="00F06B15" w:rsidRPr="00B57B36" w:rsidRDefault="00F06B15" w:rsidP="00804B4F">
            <w:pPr>
              <w:pStyle w:val="CETBodytext"/>
              <w:rPr>
                <w:lang w:val="en-GB"/>
              </w:rPr>
            </w:pPr>
            <w:r>
              <w:rPr>
                <w:lang w:val="en-GB"/>
              </w:rPr>
              <w:t>7870</w:t>
            </w:r>
          </w:p>
        </w:tc>
        <w:tc>
          <w:tcPr>
            <w:tcW w:w="1276" w:type="dxa"/>
            <w:shd w:val="clear" w:color="auto" w:fill="FFFFFF"/>
          </w:tcPr>
          <w:p w14:paraId="1FB87115" w14:textId="77777777" w:rsidR="00F06B15" w:rsidRPr="00B57B36" w:rsidRDefault="00F06B15" w:rsidP="00804B4F">
            <w:pPr>
              <w:pStyle w:val="CETBodytext"/>
              <w:ind w:right="-1"/>
              <w:rPr>
                <w:rFonts w:cs="Arial"/>
                <w:szCs w:val="18"/>
                <w:lang w:val="en-GB"/>
              </w:rPr>
            </w:pPr>
            <w:r>
              <w:rPr>
                <w:rFonts w:cs="Arial"/>
                <w:szCs w:val="18"/>
                <w:lang w:val="en-GB"/>
              </w:rPr>
              <w:t>2980</w:t>
            </w:r>
          </w:p>
        </w:tc>
        <w:tc>
          <w:tcPr>
            <w:tcW w:w="1276" w:type="dxa"/>
            <w:shd w:val="clear" w:color="auto" w:fill="FFFFFF"/>
          </w:tcPr>
          <w:p w14:paraId="01D6E309" w14:textId="77777777" w:rsidR="00F06B15" w:rsidRDefault="00F06B15" w:rsidP="00804B4F">
            <w:pPr>
              <w:pStyle w:val="CETBodytext"/>
              <w:ind w:right="-1"/>
              <w:rPr>
                <w:rFonts w:cs="Arial"/>
                <w:szCs w:val="18"/>
                <w:lang w:val="en-GB"/>
              </w:rPr>
            </w:pPr>
            <w:r>
              <w:rPr>
                <w:rFonts w:cs="Arial"/>
                <w:szCs w:val="18"/>
                <w:lang w:val="en-GB"/>
              </w:rPr>
              <w:t>600</w:t>
            </w:r>
          </w:p>
        </w:tc>
        <w:tc>
          <w:tcPr>
            <w:tcW w:w="1276" w:type="dxa"/>
            <w:shd w:val="clear" w:color="auto" w:fill="FFFFFF"/>
          </w:tcPr>
          <w:p w14:paraId="2BD090C9" w14:textId="77777777" w:rsidR="00F06B15" w:rsidRPr="00B57B36" w:rsidRDefault="00F06B15" w:rsidP="00804B4F">
            <w:pPr>
              <w:pStyle w:val="CETBodytext"/>
              <w:ind w:right="-1"/>
              <w:rPr>
                <w:rFonts w:cs="Arial"/>
                <w:szCs w:val="18"/>
                <w:lang w:val="en-GB"/>
              </w:rPr>
            </w:pPr>
            <w:r>
              <w:rPr>
                <w:rFonts w:cs="Arial"/>
                <w:szCs w:val="18"/>
                <w:lang w:val="en-GB"/>
              </w:rPr>
              <w:t>kg/m</w:t>
            </w:r>
            <w:r w:rsidRPr="0039507B">
              <w:rPr>
                <w:rFonts w:cs="Arial"/>
                <w:szCs w:val="18"/>
                <w:vertAlign w:val="superscript"/>
                <w:lang w:val="en-GB"/>
              </w:rPr>
              <w:t>3</w:t>
            </w:r>
          </w:p>
        </w:tc>
      </w:tr>
      <w:tr w:rsidR="00F06B15" w:rsidRPr="00B57B36" w14:paraId="1390ED9A" w14:textId="77777777" w:rsidTr="00804B4F">
        <w:tc>
          <w:tcPr>
            <w:tcW w:w="1985" w:type="dxa"/>
            <w:shd w:val="clear" w:color="auto" w:fill="FFFFFF"/>
          </w:tcPr>
          <w:p w14:paraId="282D10D2" w14:textId="77777777" w:rsidR="00F06B15" w:rsidRPr="00B57B36" w:rsidRDefault="00F06B15" w:rsidP="00804B4F">
            <w:pPr>
              <w:pStyle w:val="CETBodytext"/>
              <w:ind w:right="-1"/>
              <w:rPr>
                <w:rFonts w:cs="Arial"/>
                <w:szCs w:val="18"/>
                <w:lang w:val="en-GB"/>
              </w:rPr>
            </w:pPr>
            <w:r>
              <w:rPr>
                <w:rFonts w:cs="Arial"/>
                <w:szCs w:val="18"/>
                <w:lang w:val="en-GB"/>
              </w:rPr>
              <w:t>Specific heat capacity</w:t>
            </w:r>
          </w:p>
        </w:tc>
        <w:tc>
          <w:tcPr>
            <w:tcW w:w="1276" w:type="dxa"/>
            <w:shd w:val="clear" w:color="auto" w:fill="FFFFFF"/>
          </w:tcPr>
          <w:p w14:paraId="63EB020F" w14:textId="77777777" w:rsidR="00F06B15" w:rsidRPr="00B57B36" w:rsidRDefault="00F06B15" w:rsidP="00804B4F">
            <w:pPr>
              <w:pStyle w:val="CETBodytext"/>
              <w:ind w:right="-1"/>
              <w:rPr>
                <w:rFonts w:cs="Arial"/>
                <w:szCs w:val="18"/>
                <w:lang w:val="en-GB"/>
              </w:rPr>
            </w:pPr>
            <w:r>
              <w:rPr>
                <w:rFonts w:cs="Arial"/>
                <w:szCs w:val="18"/>
                <w:lang w:val="en-GB"/>
              </w:rPr>
              <w:t>0.460</w:t>
            </w:r>
          </w:p>
        </w:tc>
        <w:tc>
          <w:tcPr>
            <w:tcW w:w="1275" w:type="dxa"/>
            <w:shd w:val="clear" w:color="auto" w:fill="FFFFFF"/>
          </w:tcPr>
          <w:p w14:paraId="49BAD503" w14:textId="77777777" w:rsidR="00F06B15" w:rsidRPr="00B57B36" w:rsidRDefault="00F06B15" w:rsidP="00804B4F">
            <w:pPr>
              <w:pStyle w:val="CETBodytext"/>
              <w:ind w:right="-1"/>
              <w:rPr>
                <w:rFonts w:cs="Arial"/>
                <w:szCs w:val="18"/>
                <w:lang w:val="en-GB"/>
              </w:rPr>
            </w:pPr>
            <w:r>
              <w:rPr>
                <w:rFonts w:cs="Arial"/>
                <w:szCs w:val="18"/>
                <w:lang w:val="en-GB"/>
              </w:rPr>
              <w:t>0.448</w:t>
            </w:r>
          </w:p>
        </w:tc>
        <w:tc>
          <w:tcPr>
            <w:tcW w:w="1276" w:type="dxa"/>
            <w:shd w:val="clear" w:color="auto" w:fill="FFFFFF"/>
          </w:tcPr>
          <w:p w14:paraId="1F8AAC95" w14:textId="77777777" w:rsidR="00F06B15" w:rsidRPr="00B57B36" w:rsidRDefault="00F06B15" w:rsidP="00804B4F">
            <w:pPr>
              <w:pStyle w:val="CETBodytext"/>
              <w:ind w:right="-1"/>
              <w:rPr>
                <w:rFonts w:cs="Arial"/>
                <w:szCs w:val="18"/>
                <w:lang w:val="en-GB"/>
              </w:rPr>
            </w:pPr>
            <w:r>
              <w:rPr>
                <w:rFonts w:cs="Arial"/>
                <w:szCs w:val="18"/>
                <w:lang w:val="en-GB"/>
              </w:rPr>
              <w:t>0.980</w:t>
            </w:r>
          </w:p>
        </w:tc>
        <w:tc>
          <w:tcPr>
            <w:tcW w:w="1276" w:type="dxa"/>
            <w:shd w:val="clear" w:color="auto" w:fill="FFFFFF"/>
          </w:tcPr>
          <w:p w14:paraId="260B9776" w14:textId="77777777" w:rsidR="00F06B15" w:rsidRDefault="00F06B15" w:rsidP="00804B4F">
            <w:pPr>
              <w:pStyle w:val="CETBodytext"/>
              <w:ind w:right="-1"/>
              <w:rPr>
                <w:rFonts w:cs="Arial"/>
                <w:szCs w:val="18"/>
                <w:lang w:val="en-GB"/>
              </w:rPr>
            </w:pPr>
            <w:r>
              <w:rPr>
                <w:rFonts w:cs="Arial"/>
                <w:szCs w:val="18"/>
                <w:lang w:val="en-GB"/>
              </w:rPr>
              <w:t>0.940</w:t>
            </w:r>
          </w:p>
        </w:tc>
        <w:tc>
          <w:tcPr>
            <w:tcW w:w="1276" w:type="dxa"/>
            <w:shd w:val="clear" w:color="auto" w:fill="FFFFFF"/>
          </w:tcPr>
          <w:p w14:paraId="25BE60B6" w14:textId="77777777" w:rsidR="00F06B15" w:rsidRPr="00B57B36" w:rsidRDefault="00F06B15" w:rsidP="00804B4F">
            <w:pPr>
              <w:pStyle w:val="CETBodytext"/>
              <w:ind w:right="-1"/>
              <w:rPr>
                <w:rFonts w:cs="Arial"/>
                <w:szCs w:val="18"/>
                <w:lang w:val="en-GB"/>
              </w:rPr>
            </w:pPr>
            <w:r>
              <w:rPr>
                <w:rFonts w:cs="Arial"/>
                <w:szCs w:val="18"/>
                <w:lang w:val="en-GB"/>
              </w:rPr>
              <w:t>kJ/kgK</w:t>
            </w:r>
          </w:p>
        </w:tc>
      </w:tr>
      <w:tr w:rsidR="00F06B15" w:rsidRPr="00B57B36" w14:paraId="189D998C" w14:textId="77777777" w:rsidTr="00804B4F">
        <w:tc>
          <w:tcPr>
            <w:tcW w:w="1985" w:type="dxa"/>
            <w:shd w:val="clear" w:color="auto" w:fill="FFFFFF"/>
          </w:tcPr>
          <w:p w14:paraId="39F7EB5C" w14:textId="77777777" w:rsidR="00F06B15" w:rsidRPr="00B57B36" w:rsidRDefault="00F06B15" w:rsidP="00804B4F">
            <w:pPr>
              <w:pStyle w:val="CETBodytext"/>
              <w:ind w:right="-1"/>
              <w:rPr>
                <w:rFonts w:cs="Arial"/>
                <w:szCs w:val="18"/>
                <w:lang w:val="en-GB"/>
              </w:rPr>
            </w:pPr>
            <w:r>
              <w:rPr>
                <w:rFonts w:cs="Arial"/>
                <w:szCs w:val="18"/>
                <w:lang w:val="en-GB"/>
              </w:rPr>
              <w:t>Thermal inertia</w:t>
            </w:r>
          </w:p>
        </w:tc>
        <w:tc>
          <w:tcPr>
            <w:tcW w:w="1276" w:type="dxa"/>
            <w:shd w:val="clear" w:color="auto" w:fill="FFFFFF"/>
          </w:tcPr>
          <w:p w14:paraId="770D0E06" w14:textId="77777777" w:rsidR="00F06B15" w:rsidRPr="00B57B36" w:rsidRDefault="00F06B15" w:rsidP="00804B4F">
            <w:pPr>
              <w:pStyle w:val="CETBodytext"/>
              <w:ind w:right="-1"/>
              <w:rPr>
                <w:rFonts w:cs="Arial"/>
                <w:szCs w:val="18"/>
                <w:lang w:val="en-GB"/>
              </w:rPr>
            </w:pPr>
            <w:r>
              <w:rPr>
                <w:rFonts w:cs="Arial"/>
                <w:szCs w:val="18"/>
                <w:lang w:val="en-GB"/>
              </w:rPr>
              <w:t>3307</w:t>
            </w:r>
          </w:p>
        </w:tc>
        <w:tc>
          <w:tcPr>
            <w:tcW w:w="1275" w:type="dxa"/>
            <w:shd w:val="clear" w:color="auto" w:fill="FFFFFF"/>
          </w:tcPr>
          <w:p w14:paraId="4ADFE1B5" w14:textId="77777777" w:rsidR="00F06B15" w:rsidRPr="00B57B36" w:rsidRDefault="00F06B15" w:rsidP="00804B4F">
            <w:pPr>
              <w:pStyle w:val="CETBodytext"/>
              <w:ind w:right="-1"/>
              <w:rPr>
                <w:rFonts w:cs="Arial"/>
                <w:szCs w:val="18"/>
                <w:lang w:val="en-GB"/>
              </w:rPr>
            </w:pPr>
            <w:r>
              <w:rPr>
                <w:rFonts w:cs="Arial"/>
                <w:szCs w:val="18"/>
                <w:lang w:val="en-GB"/>
              </w:rPr>
              <w:t>3526</w:t>
            </w:r>
          </w:p>
        </w:tc>
        <w:tc>
          <w:tcPr>
            <w:tcW w:w="1276" w:type="dxa"/>
            <w:shd w:val="clear" w:color="auto" w:fill="FFFFFF"/>
          </w:tcPr>
          <w:p w14:paraId="09E2BB64" w14:textId="77777777" w:rsidR="00F06B15" w:rsidRPr="00B57B36" w:rsidRDefault="00F06B15" w:rsidP="00804B4F">
            <w:pPr>
              <w:pStyle w:val="CETBodytext"/>
              <w:ind w:right="-1"/>
              <w:rPr>
                <w:rFonts w:cs="Arial"/>
                <w:szCs w:val="18"/>
                <w:lang w:val="en-GB"/>
              </w:rPr>
            </w:pPr>
            <w:r>
              <w:rPr>
                <w:rFonts w:cs="Arial"/>
                <w:szCs w:val="18"/>
                <w:lang w:val="en-GB"/>
              </w:rPr>
              <w:t>2920</w:t>
            </w:r>
          </w:p>
        </w:tc>
        <w:tc>
          <w:tcPr>
            <w:tcW w:w="1276" w:type="dxa"/>
            <w:shd w:val="clear" w:color="auto" w:fill="FFFFFF"/>
          </w:tcPr>
          <w:p w14:paraId="5A3BAE9D" w14:textId="77777777" w:rsidR="00F06B15" w:rsidRDefault="00F06B15" w:rsidP="00804B4F">
            <w:pPr>
              <w:pStyle w:val="CETBodytext"/>
              <w:ind w:right="-1"/>
              <w:rPr>
                <w:rFonts w:cs="Arial"/>
                <w:szCs w:val="18"/>
                <w:lang w:val="en-GB"/>
              </w:rPr>
            </w:pPr>
            <w:r>
              <w:rPr>
                <w:rFonts w:cs="Arial"/>
                <w:szCs w:val="18"/>
                <w:lang w:val="en-GB"/>
              </w:rPr>
              <w:t>564</w:t>
            </w:r>
          </w:p>
        </w:tc>
        <w:tc>
          <w:tcPr>
            <w:tcW w:w="1276" w:type="dxa"/>
            <w:shd w:val="clear" w:color="auto" w:fill="FFFFFF"/>
          </w:tcPr>
          <w:p w14:paraId="3EA69B38" w14:textId="77777777" w:rsidR="00F06B15" w:rsidRPr="00B57B36" w:rsidRDefault="00F06B15" w:rsidP="00804B4F">
            <w:pPr>
              <w:pStyle w:val="CETBodytext"/>
              <w:ind w:right="-1"/>
              <w:rPr>
                <w:rFonts w:cs="Arial"/>
                <w:szCs w:val="18"/>
                <w:lang w:val="en-GB"/>
              </w:rPr>
            </w:pPr>
            <w:r>
              <w:rPr>
                <w:rFonts w:cs="Arial"/>
                <w:szCs w:val="18"/>
                <w:lang w:val="en-GB"/>
              </w:rPr>
              <w:t>kJ/m</w:t>
            </w:r>
            <w:r w:rsidRPr="0039507B">
              <w:rPr>
                <w:rFonts w:cs="Arial"/>
                <w:szCs w:val="18"/>
                <w:vertAlign w:val="superscript"/>
                <w:lang w:val="en-GB"/>
              </w:rPr>
              <w:t>3</w:t>
            </w:r>
            <w:r>
              <w:rPr>
                <w:rFonts w:cs="Arial"/>
                <w:szCs w:val="18"/>
                <w:lang w:val="en-GB"/>
              </w:rPr>
              <w:t>K</w:t>
            </w:r>
          </w:p>
        </w:tc>
      </w:tr>
      <w:tr w:rsidR="00F06B15" w:rsidRPr="00B57B36" w14:paraId="0A4A6651" w14:textId="77777777" w:rsidTr="00804B4F">
        <w:tc>
          <w:tcPr>
            <w:tcW w:w="1985" w:type="dxa"/>
            <w:shd w:val="clear" w:color="auto" w:fill="FFFFFF"/>
          </w:tcPr>
          <w:p w14:paraId="71186068" w14:textId="77777777" w:rsidR="00F06B15" w:rsidRPr="00B57B36" w:rsidRDefault="00F06B15" w:rsidP="00804B4F">
            <w:pPr>
              <w:pStyle w:val="CETBodytext"/>
              <w:ind w:right="-1"/>
              <w:rPr>
                <w:rFonts w:cs="Arial"/>
                <w:szCs w:val="18"/>
                <w:lang w:val="en-GB"/>
              </w:rPr>
            </w:pPr>
            <w:r>
              <w:rPr>
                <w:rFonts w:cs="Arial"/>
                <w:szCs w:val="18"/>
                <w:lang w:val="en-GB"/>
              </w:rPr>
              <w:t>Thermal conductivity</w:t>
            </w:r>
          </w:p>
        </w:tc>
        <w:tc>
          <w:tcPr>
            <w:tcW w:w="1276" w:type="dxa"/>
            <w:shd w:val="clear" w:color="auto" w:fill="FFFFFF"/>
          </w:tcPr>
          <w:p w14:paraId="4F3759BC" w14:textId="77777777" w:rsidR="00F06B15" w:rsidRPr="00B57B36" w:rsidRDefault="00F06B15" w:rsidP="00804B4F">
            <w:pPr>
              <w:pStyle w:val="CETBodytext"/>
              <w:ind w:right="-1"/>
              <w:rPr>
                <w:rFonts w:cs="Arial"/>
                <w:szCs w:val="18"/>
                <w:lang w:val="en-GB"/>
              </w:rPr>
            </w:pPr>
            <w:r>
              <w:rPr>
                <w:rFonts w:cs="Arial"/>
                <w:szCs w:val="18"/>
                <w:lang w:val="en-GB"/>
              </w:rPr>
              <w:t>60</w:t>
            </w:r>
          </w:p>
        </w:tc>
        <w:tc>
          <w:tcPr>
            <w:tcW w:w="1275" w:type="dxa"/>
            <w:shd w:val="clear" w:color="auto" w:fill="FFFFFF"/>
          </w:tcPr>
          <w:p w14:paraId="197A6721" w14:textId="77777777" w:rsidR="00F06B15" w:rsidRPr="00B57B36" w:rsidRDefault="00F06B15" w:rsidP="00804B4F">
            <w:pPr>
              <w:pStyle w:val="CETBodytext"/>
              <w:ind w:right="-1"/>
              <w:rPr>
                <w:rFonts w:cs="Arial"/>
                <w:szCs w:val="18"/>
                <w:lang w:val="en-GB"/>
              </w:rPr>
            </w:pPr>
            <w:r>
              <w:rPr>
                <w:rFonts w:cs="Arial"/>
                <w:szCs w:val="18"/>
                <w:lang w:val="en-GB"/>
              </w:rPr>
              <w:t>72</w:t>
            </w:r>
          </w:p>
        </w:tc>
        <w:tc>
          <w:tcPr>
            <w:tcW w:w="1276" w:type="dxa"/>
            <w:shd w:val="clear" w:color="auto" w:fill="FFFFFF"/>
          </w:tcPr>
          <w:p w14:paraId="07D30AB3" w14:textId="77777777" w:rsidR="00F06B15" w:rsidRPr="00B57B36" w:rsidRDefault="00F06B15" w:rsidP="00804B4F">
            <w:pPr>
              <w:pStyle w:val="CETBodytext"/>
              <w:ind w:right="-1"/>
              <w:rPr>
                <w:rFonts w:cs="Arial"/>
                <w:szCs w:val="18"/>
                <w:lang w:val="en-GB"/>
              </w:rPr>
            </w:pPr>
            <w:r>
              <w:rPr>
                <w:rFonts w:cs="Arial"/>
                <w:szCs w:val="18"/>
                <w:lang w:val="en-GB"/>
              </w:rPr>
              <w:t>6.4</w:t>
            </w:r>
          </w:p>
        </w:tc>
        <w:tc>
          <w:tcPr>
            <w:tcW w:w="1276" w:type="dxa"/>
            <w:shd w:val="clear" w:color="auto" w:fill="FFFFFF"/>
          </w:tcPr>
          <w:p w14:paraId="464E20DC" w14:textId="77777777" w:rsidR="00F06B15" w:rsidRDefault="00F06B15" w:rsidP="00804B4F">
            <w:pPr>
              <w:pStyle w:val="CETBodytext"/>
              <w:ind w:right="-1"/>
              <w:rPr>
                <w:rFonts w:cs="Arial"/>
                <w:szCs w:val="18"/>
                <w:lang w:val="en-GB"/>
              </w:rPr>
            </w:pPr>
            <w:r>
              <w:rPr>
                <w:rFonts w:cs="Arial"/>
                <w:szCs w:val="18"/>
                <w:lang w:val="en-GB"/>
              </w:rPr>
              <w:t>0.181</w:t>
            </w:r>
          </w:p>
        </w:tc>
        <w:tc>
          <w:tcPr>
            <w:tcW w:w="1276" w:type="dxa"/>
            <w:shd w:val="clear" w:color="auto" w:fill="FFFFFF"/>
          </w:tcPr>
          <w:p w14:paraId="3E4F7BBA" w14:textId="77777777" w:rsidR="00F06B15" w:rsidRPr="00B57B36" w:rsidRDefault="00F06B15" w:rsidP="00804B4F">
            <w:pPr>
              <w:pStyle w:val="CETBodytext"/>
              <w:ind w:right="-1"/>
              <w:rPr>
                <w:rFonts w:cs="Arial"/>
                <w:szCs w:val="18"/>
                <w:lang w:val="en-GB"/>
              </w:rPr>
            </w:pPr>
            <w:r>
              <w:rPr>
                <w:rFonts w:cs="Arial"/>
                <w:szCs w:val="18"/>
                <w:lang w:val="en-GB"/>
              </w:rPr>
              <w:t>W/mK</w:t>
            </w:r>
          </w:p>
        </w:tc>
      </w:tr>
    </w:tbl>
    <w:p w14:paraId="6343D970" w14:textId="77777777" w:rsidR="00F06B15" w:rsidRDefault="00F06B15" w:rsidP="00F06B15">
      <w:pPr>
        <w:pStyle w:val="CETBodytext"/>
        <w:rPr>
          <w:lang w:val="en-GB"/>
        </w:rPr>
      </w:pPr>
    </w:p>
    <w:p w14:paraId="496587F9" w14:textId="77777777" w:rsidR="00F06B15" w:rsidRPr="00B57B36" w:rsidRDefault="00F06B15" w:rsidP="00F06B15">
      <w:pPr>
        <w:pStyle w:val="CETheadingx"/>
      </w:pPr>
      <w:r>
        <w:t>Earlier work</w:t>
      </w:r>
    </w:p>
    <w:p w14:paraId="571E3D16" w14:textId="194CDFC0" w:rsidR="00F06B15" w:rsidRDefault="00F06B15" w:rsidP="00F06B15">
      <w:pPr>
        <w:pStyle w:val="CETBodytext"/>
        <w:rPr>
          <w:lang w:val="en-GB"/>
        </w:rPr>
      </w:pPr>
      <w:r w:rsidRPr="00073582">
        <w:rPr>
          <w:lang w:val="en-GB"/>
        </w:rPr>
        <w:t>A predefined heat flux was forced through a vertical 1D wall in a work by Skreiberg and Georges (2017) to investigate the resulting heat release and storage profiles for stoves with different material configurations. The results showed the influence of the different material configurations on the thermal behaviour of the stove materials. Skreiberg and Georges (2018) carried out further studies on the effect of different predefined heat fluxes on the resulting heat release and storage profiles, showing that the heat production profile significantly influences the thermal behaviour of the stove. Bugge et al. (2019) calculated heat production profiles and their effect on the resulting heat release and storage profiles in transient 2D CFD simulations of a cast iron and a soapstone stove. The results showed that the soapstone flattened the heat release profile compared to cast iron. More heat was stored, and the heat was released for a longer time. Also, a significantly lower chimney inlet temperature resulted for the soapstone stove, contributing to a higher thermal efficiency.</w:t>
      </w:r>
    </w:p>
    <w:p w14:paraId="3E1A68D5" w14:textId="77777777" w:rsidR="00F06B15" w:rsidRPr="00B57B36" w:rsidRDefault="00F06B15" w:rsidP="00F06B15">
      <w:pPr>
        <w:pStyle w:val="CETheadingx"/>
      </w:pPr>
      <w:bookmarkStart w:id="2" w:name="_Hlk157422008"/>
      <w:r>
        <w:t>The influence of material properties on transient thermal behavior during combustion</w:t>
      </w:r>
      <w:bookmarkEnd w:id="2"/>
    </w:p>
    <w:p w14:paraId="22AA4AB6" w14:textId="5FF95DCE" w:rsidR="00F06B15" w:rsidRPr="00C971FF" w:rsidRDefault="00F06B15" w:rsidP="00A2791B">
      <w:pPr>
        <w:pStyle w:val="CETBodytext"/>
        <w:spacing w:after="240"/>
        <w:rPr>
          <w:sz w:val="8"/>
          <w:szCs w:val="8"/>
          <w:lang w:val="en-GB"/>
        </w:rPr>
      </w:pPr>
      <w:r>
        <w:rPr>
          <w:lang w:val="en-GB"/>
        </w:rPr>
        <w:t xml:space="preserve">To show the influence of wall properties (thermal conductivity, density, specific heat capacity, thickness, composition) </w:t>
      </w:r>
      <w:r w:rsidRPr="002E531A">
        <w:rPr>
          <w:lang w:val="en-GB"/>
        </w:rPr>
        <w:t>on transient temperature and heat storage evolution the heat transfer through a multilayer 1D wall was calculated for a, for simplicity, continuous radiation heat source of 200</w:t>
      </w:r>
      <w:r w:rsidRPr="002E531A">
        <w:rPr>
          <w:rFonts w:cs="Arial"/>
          <w:lang w:val="en-GB"/>
        </w:rPr>
        <w:t>°</w:t>
      </w:r>
      <w:r w:rsidRPr="002E531A">
        <w:rPr>
          <w:lang w:val="en-GB"/>
        </w:rPr>
        <w:t xml:space="preserve">C imposed with a view factor of 1 on a 3 cm thick soapstone wall and a 6 mm cast iron wall (as in the stove heat </w:t>
      </w:r>
      <w:r w:rsidR="00B81030">
        <w:rPr>
          <w:lang w:val="en-GB"/>
        </w:rPr>
        <w:t>exchange</w:t>
      </w:r>
      <w:r w:rsidRPr="002E531A">
        <w:rPr>
          <w:lang w:val="en-GB"/>
        </w:rPr>
        <w:t xml:space="preserve"> section), and as well both of these with a</w:t>
      </w:r>
      <w:r w:rsidR="00BC3177">
        <w:rPr>
          <w:lang w:val="en-GB"/>
        </w:rPr>
        <w:t>n inner</w:t>
      </w:r>
      <w:r w:rsidRPr="002E531A">
        <w:rPr>
          <w:lang w:val="en-GB"/>
        </w:rPr>
        <w:t xml:space="preserve"> 2.5 cm Skamol insulation layer (as in the stove combustion chamber section). The emissivity of the walls was set to 0.9 for all </w:t>
      </w:r>
      <w:r w:rsidR="001D2254">
        <w:rPr>
          <w:lang w:val="en-GB"/>
        </w:rPr>
        <w:t>three</w:t>
      </w:r>
      <w:r w:rsidRPr="002E531A">
        <w:rPr>
          <w:lang w:val="en-GB"/>
        </w:rPr>
        <w:t xml:space="preserve"> materials. Since heat is </w:t>
      </w:r>
      <w:r w:rsidR="003129C0" w:rsidRPr="002E531A">
        <w:rPr>
          <w:lang w:val="en-GB"/>
        </w:rPr>
        <w:t xml:space="preserve">here </w:t>
      </w:r>
      <w:r w:rsidRPr="002E531A">
        <w:rPr>
          <w:lang w:val="en-GB"/>
        </w:rPr>
        <w:t xml:space="preserve">only transferred by radiation to the inner wall surface, only radiation heat transfer was </w:t>
      </w:r>
      <w:r w:rsidR="00A61F22" w:rsidRPr="002E531A">
        <w:rPr>
          <w:lang w:val="en-GB"/>
        </w:rPr>
        <w:t xml:space="preserve">initially </w:t>
      </w:r>
      <w:r w:rsidRPr="002E531A">
        <w:rPr>
          <w:lang w:val="en-GB"/>
        </w:rPr>
        <w:t>included for the outer wall surface, to the surroundings with a temperature of 20</w:t>
      </w:r>
      <w:r w:rsidRPr="002E531A">
        <w:rPr>
          <w:rFonts w:cs="Arial"/>
          <w:lang w:val="en-GB"/>
        </w:rPr>
        <w:t>°</w:t>
      </w:r>
      <w:r w:rsidRPr="002E531A">
        <w:rPr>
          <w:lang w:val="en-GB"/>
        </w:rPr>
        <w:t xml:space="preserve">C. As can be seen in Figure 1, even though an increased conductivity (as for cast iron, Figure 1B) allows faster heat transfer through the material, the heat also results in material </w:t>
      </w:r>
      <w:r>
        <w:rPr>
          <w:lang w:val="en-GB"/>
        </w:rPr>
        <w:t xml:space="preserve">temperature increase as it is temporarily stored in the 6 mm wall, and the resulting higher outer surface </w:t>
      </w:r>
      <w:r>
        <w:rPr>
          <w:lang w:val="en-GB"/>
        </w:rPr>
        <w:lastRenderedPageBreak/>
        <w:t>temperature results in more heat being released to the room</w:t>
      </w:r>
      <w:r w:rsidR="008A79AA">
        <w:rPr>
          <w:lang w:val="en-GB"/>
        </w:rPr>
        <w:t>,</w:t>
      </w:r>
      <w:r>
        <w:rPr>
          <w:lang w:val="en-GB"/>
        </w:rPr>
        <w:t xml:space="preserve"> limited by the radiative (and</w:t>
      </w:r>
      <w:r w:rsidR="00A65F1F">
        <w:rPr>
          <w:lang w:val="en-GB"/>
        </w:rPr>
        <w:t xml:space="preserve"> in practise also</w:t>
      </w:r>
      <w:r>
        <w:rPr>
          <w:lang w:val="en-GB"/>
        </w:rPr>
        <w:t xml:space="preserve"> </w:t>
      </w:r>
      <w:r w:rsidRPr="002E531A">
        <w:rPr>
          <w:lang w:val="en-GB"/>
        </w:rPr>
        <w:t>convective</w:t>
      </w:r>
      <w:r>
        <w:rPr>
          <w:lang w:val="en-GB"/>
        </w:rPr>
        <w:t xml:space="preserve">) heat transfer </w:t>
      </w:r>
      <w:r w:rsidRPr="005B479C">
        <w:rPr>
          <w:color w:val="0D0D0D" w:themeColor="text1" w:themeTint="F2"/>
          <w:lang w:val="en-GB"/>
        </w:rPr>
        <w:t>resistance</w:t>
      </w:r>
      <w:r>
        <w:rPr>
          <w:lang w:val="en-GB"/>
        </w:rPr>
        <w:t xml:space="preserve">. The high thermal conductivity results in a low temperature gradient through the cast iron wall. However, as the inner wall surface temperature increases, the heat flux into the wall decreases, i.e. the heat transfer efficiency decreases. The soapstone </w:t>
      </w:r>
      <w:r w:rsidRPr="009874FA">
        <w:rPr>
          <w:lang w:val="en-GB"/>
        </w:rPr>
        <w:t>(Figure 1A)</w:t>
      </w:r>
      <w:r>
        <w:rPr>
          <w:lang w:val="en-GB"/>
        </w:rPr>
        <w:t xml:space="preserve"> wall behaves differently, due to its lower conductivity (but far from being an insulation material) and higher heat storage capacity (due to its 3 cm thickness</w:t>
      </w:r>
      <w:r w:rsidR="00913B0C">
        <w:rPr>
          <w:lang w:val="en-GB"/>
        </w:rPr>
        <w:t xml:space="preserve"> and twice the specific heat capacity</w:t>
      </w:r>
      <w:r>
        <w:rPr>
          <w:lang w:val="en-GB"/>
        </w:rPr>
        <w:t xml:space="preserve">). Its inner wall surface temperature increases slower, more heat is stored in the wall and less heat is released to the room. However, more heat will be transferred from the flue gas to the wall as the inner wall surface temperature increases slower than for the cast iron wall, i.e. achieving </w:t>
      </w:r>
      <w:r w:rsidRPr="002E531A">
        <w:rPr>
          <w:lang w:val="en-GB"/>
        </w:rPr>
        <w:t>higher heat transfer</w:t>
      </w:r>
      <w:r w:rsidR="002E531A" w:rsidRPr="002E531A">
        <w:rPr>
          <w:lang w:val="en-GB"/>
        </w:rPr>
        <w:t xml:space="preserve"> rate into the wall</w:t>
      </w:r>
      <w:r w:rsidRPr="002E531A">
        <w:rPr>
          <w:lang w:val="en-GB"/>
        </w:rPr>
        <w:t xml:space="preserve"> than</w:t>
      </w:r>
      <w:r>
        <w:rPr>
          <w:lang w:val="en-GB"/>
        </w:rPr>
        <w:t xml:space="preserve"> the cast iron wall. If changing the wall thickness to achieve the same heat storage capacity for the cast iron wall and the soapstone wall, i.e. a cast iron wall equalling the 3 cm soapstone wall or a soapstone wall equalling the 6 mm cast iron wall, their behaviour becomes very similar, as it is the heat storage capacity that controls the heat transfer, and not the thermal conductivity, since the controlling heat transfer resistance is for the heat transfer from the outer wall to the room. If adding heat transfer by </w:t>
      </w:r>
      <w:r w:rsidRPr="00C971FF">
        <w:rPr>
          <w:lang w:val="en-GB"/>
        </w:rPr>
        <w:t>convection</w:t>
      </w:r>
      <w:r w:rsidR="00E855E7" w:rsidRPr="00C971FF">
        <w:rPr>
          <w:lang w:val="en-GB"/>
        </w:rPr>
        <w:t xml:space="preserve"> (</w:t>
      </w:r>
      <w:r w:rsidR="00CF2B51" w:rsidRPr="00C971FF">
        <w:rPr>
          <w:lang w:val="en-GB"/>
        </w:rPr>
        <w:t xml:space="preserve">h = </w:t>
      </w:r>
      <w:r w:rsidR="00C971FF" w:rsidRPr="00C971FF">
        <w:rPr>
          <w:lang w:val="en-GB"/>
        </w:rPr>
        <w:t>10 W</w:t>
      </w:r>
      <w:r w:rsidR="00C971FF">
        <w:rPr>
          <w:lang w:val="en-GB"/>
        </w:rPr>
        <w:t>/m</w:t>
      </w:r>
      <w:r w:rsidR="00C971FF" w:rsidRPr="00C971FF">
        <w:rPr>
          <w:vertAlign w:val="superscript"/>
          <w:lang w:val="en-GB"/>
        </w:rPr>
        <w:t>2</w:t>
      </w:r>
      <w:r w:rsidR="00CF2B51">
        <w:rPr>
          <w:lang w:val="en-GB"/>
        </w:rPr>
        <w:t>)</w:t>
      </w:r>
      <w:r>
        <w:rPr>
          <w:lang w:val="en-GB"/>
        </w:rPr>
        <w:t xml:space="preserve"> to the room (Figures 1</w:t>
      </w:r>
      <w:r w:rsidR="00646EC5">
        <w:rPr>
          <w:lang w:val="en-GB"/>
        </w:rPr>
        <w:t>C</w:t>
      </w:r>
      <w:r>
        <w:rPr>
          <w:lang w:val="en-GB"/>
        </w:rPr>
        <w:t xml:space="preserve"> and </w:t>
      </w:r>
      <w:r w:rsidRPr="00C81EC4">
        <w:rPr>
          <w:lang w:val="en-GB"/>
        </w:rPr>
        <w:t>1</w:t>
      </w:r>
      <w:r w:rsidR="00646EC5" w:rsidRPr="00C81EC4">
        <w:rPr>
          <w:lang w:val="en-GB"/>
        </w:rPr>
        <w:t>D</w:t>
      </w:r>
      <w:r>
        <w:rPr>
          <w:lang w:val="en-GB"/>
        </w:rPr>
        <w:t>), this improves the heat transfer to the room which results in more rapid release of the stored heat, however, still the heat transfer to the room will control the overall heat transfer resistance, and an equal heat storage capacity will still give the same behaviour.</w:t>
      </w:r>
      <w:r w:rsidRPr="003A39DC">
        <w:rPr>
          <w:lang w:val="en-GB"/>
        </w:rPr>
        <w:t xml:space="preserve"> </w:t>
      </w:r>
      <w:r w:rsidR="007D0936">
        <w:rPr>
          <w:lang w:val="en-GB"/>
        </w:rPr>
        <w:t>A</w:t>
      </w:r>
      <w:r>
        <w:rPr>
          <w:lang w:val="en-GB"/>
        </w:rPr>
        <w:t>n increased conductivity alone would contribute to increased thermal efficiency (less heat in the flue gas), while increased wall thickness/heat storage capacity would do the same</w:t>
      </w:r>
      <w:r w:rsidRPr="005B479C">
        <w:rPr>
          <w:color w:val="0D0D0D" w:themeColor="text1" w:themeTint="F2"/>
          <w:lang w:val="en-GB"/>
        </w:rPr>
        <w:t xml:space="preserve"> (as long as the heat release to the room account for the highest heat transfer resistance). However, the wall t</w:t>
      </w:r>
      <w:r>
        <w:rPr>
          <w:lang w:val="en-GB"/>
        </w:rPr>
        <w:t xml:space="preserve">emperatures will not increase indefinitely, but will at some point reach an equilibrium condition, where the wall heat storage and surface temperatures are in balance with the heat source on the hot side and the heat dissipation on the cold side, as can be seen for the cast iron case. </w:t>
      </w:r>
      <w:r w:rsidR="001D2254">
        <w:rPr>
          <w:lang w:val="en-GB"/>
        </w:rPr>
        <w:t>Regarding</w:t>
      </w:r>
      <w:r>
        <w:rPr>
          <w:lang w:val="en-GB"/>
        </w:rPr>
        <w:t xml:space="preserve"> heat transfer to the room, increased conductivity would contribute to higher and more rapid heat release from the outer stove surface, while increased wall thickness/heat storage capacity would reduce/delay the heat release to the room. The ideal material from a </w:t>
      </w:r>
      <w:r w:rsidRPr="00143F55">
        <w:rPr>
          <w:b/>
          <w:bCs/>
          <w:lang w:val="en-GB"/>
        </w:rPr>
        <w:t>thermal efficiency</w:t>
      </w:r>
      <w:r>
        <w:rPr>
          <w:lang w:val="en-GB"/>
        </w:rPr>
        <w:t xml:space="preserve"> point of view would then be one that provides both high thermal conductivity and high heat storage capacity (e.g. a thick cast iron wall), while from a </w:t>
      </w:r>
      <w:r w:rsidRPr="00143F55">
        <w:rPr>
          <w:b/>
          <w:bCs/>
          <w:lang w:val="en-GB"/>
        </w:rPr>
        <w:t>thermal comfort</w:t>
      </w:r>
      <w:r>
        <w:rPr>
          <w:lang w:val="en-GB"/>
        </w:rPr>
        <w:t xml:space="preserve"> point of view, low thermal conductivity and high heat storage capacity (e.g. soapstone) would be more beneficial.</w:t>
      </w:r>
    </w:p>
    <w:p w14:paraId="6C147976" w14:textId="0E827E2C" w:rsidR="00073582" w:rsidRDefault="00285D56" w:rsidP="00F06B15">
      <w:pPr>
        <w:pStyle w:val="CETBodytext"/>
        <w:rPr>
          <w:lang w:val="en-GB"/>
        </w:rPr>
      </w:pPr>
      <w:r w:rsidRPr="00285D56">
        <w:rPr>
          <w:noProof/>
          <w:lang w:val="en-GB"/>
        </w:rPr>
        <mc:AlternateContent>
          <mc:Choice Requires="wps">
            <w:drawing>
              <wp:anchor distT="45720" distB="45720" distL="114300" distR="114300" simplePos="0" relativeHeight="251665408" behindDoc="0" locked="1" layoutInCell="1" allowOverlap="1" wp14:anchorId="47282C63" wp14:editId="43EA63EB">
                <wp:simplePos x="0" y="0"/>
                <wp:positionH relativeFrom="column">
                  <wp:posOffset>3804920</wp:posOffset>
                </wp:positionH>
                <wp:positionV relativeFrom="paragraph">
                  <wp:posOffset>1607820</wp:posOffset>
                </wp:positionV>
                <wp:extent cx="304800" cy="240665"/>
                <wp:effectExtent l="0" t="0" r="0" b="6985"/>
                <wp:wrapNone/>
                <wp:docPr id="2136264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0665"/>
                        </a:xfrm>
                        <a:prstGeom prst="rect">
                          <a:avLst/>
                        </a:prstGeom>
                        <a:solidFill>
                          <a:srgbClr val="FFFFFF"/>
                        </a:solidFill>
                        <a:ln w="9525">
                          <a:noFill/>
                          <a:miter lim="800000"/>
                          <a:headEnd/>
                          <a:tailEnd/>
                        </a:ln>
                      </wps:spPr>
                      <wps:txbx>
                        <w:txbxContent>
                          <w:p w14:paraId="6410AF12" w14:textId="0E858395" w:rsidR="00285D56" w:rsidRDefault="00285D56" w:rsidP="00285D56">
                            <w:pPr>
                              <w:jc w:val="right"/>
                            </w:pPr>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282C63" id="_x0000_t202" coordsize="21600,21600" o:spt="202" path="m,l,21600r21600,l21600,xe">
                <v:stroke joinstyle="miter"/>
                <v:path gradientshapeok="t" o:connecttype="rect"/>
              </v:shapetype>
              <v:shape id="Text Box 2" o:spid="_x0000_s1026" type="#_x0000_t202" style="position:absolute;left:0;text-align:left;margin-left:299.6pt;margin-top:126.6pt;width:24pt;height:18.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" stroked="f">
                <v:textbox>
                  <w:txbxContent>
                    <w:p w14:paraId="6410AF12" w14:textId="0E858395" w:rsidR="00285D56" w:rsidRDefault="00285D56" w:rsidP="00285D56">
                      <w:pPr>
                        <w:jc w:val="right"/>
                      </w:pPr>
                      <w:r>
                        <w:t>D</w:t>
                      </w:r>
                    </w:p>
                  </w:txbxContent>
                </v:textbox>
                <w10:anchorlock/>
              </v:shape>
            </w:pict>
          </mc:Fallback>
        </mc:AlternateContent>
      </w:r>
      <w:r w:rsidRPr="00285D56">
        <w:rPr>
          <w:noProof/>
          <w:lang w:val="en-GB"/>
        </w:rPr>
        <mc:AlternateContent>
          <mc:Choice Requires="wps">
            <w:drawing>
              <wp:anchor distT="45720" distB="45720" distL="114300" distR="114300" simplePos="0" relativeHeight="251663360" behindDoc="0" locked="1" layoutInCell="1" allowOverlap="1" wp14:anchorId="7D70D04F" wp14:editId="635FF8EE">
                <wp:simplePos x="0" y="0"/>
                <wp:positionH relativeFrom="column">
                  <wp:posOffset>1720850</wp:posOffset>
                </wp:positionH>
                <wp:positionV relativeFrom="paragraph">
                  <wp:posOffset>1612900</wp:posOffset>
                </wp:positionV>
                <wp:extent cx="304800" cy="240665"/>
                <wp:effectExtent l="0" t="0" r="0" b="6985"/>
                <wp:wrapNone/>
                <wp:docPr id="1593356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0665"/>
                        </a:xfrm>
                        <a:prstGeom prst="rect">
                          <a:avLst/>
                        </a:prstGeom>
                        <a:solidFill>
                          <a:srgbClr val="FFFFFF"/>
                        </a:solidFill>
                        <a:ln w="9525">
                          <a:noFill/>
                          <a:miter lim="800000"/>
                          <a:headEnd/>
                          <a:tailEnd/>
                        </a:ln>
                      </wps:spPr>
                      <wps:txbx>
                        <w:txbxContent>
                          <w:p w14:paraId="0A34462F" w14:textId="29126545" w:rsidR="00285D56" w:rsidRDefault="00285D56" w:rsidP="00285D56">
                            <w:pPr>
                              <w:jc w:val="right"/>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0D04F" id="_x0000_s1027" type="#_x0000_t202" style="position:absolute;left:0;text-align:left;margin-left:135.5pt;margin-top:127pt;width:24pt;height:18.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" stroked="f">
                <v:textbox>
                  <w:txbxContent>
                    <w:p w14:paraId="0A34462F" w14:textId="29126545" w:rsidR="00285D56" w:rsidRDefault="00285D56" w:rsidP="00285D56">
                      <w:pPr>
                        <w:jc w:val="right"/>
                      </w:pPr>
                      <w:r>
                        <w:t>C</w:t>
                      </w:r>
                    </w:p>
                  </w:txbxContent>
                </v:textbox>
                <w10:anchorlock/>
              </v:shape>
            </w:pict>
          </mc:Fallback>
        </mc:AlternateContent>
      </w:r>
      <w:r w:rsidRPr="00285D56">
        <w:rPr>
          <w:noProof/>
          <w:lang w:val="en-GB"/>
        </w:rPr>
        <mc:AlternateContent>
          <mc:Choice Requires="wps">
            <w:drawing>
              <wp:anchor distT="45720" distB="45720" distL="114300" distR="114300" simplePos="0" relativeHeight="251661312" behindDoc="0" locked="1" layoutInCell="1" allowOverlap="1" wp14:anchorId="30F1B504" wp14:editId="1A36C217">
                <wp:simplePos x="0" y="0"/>
                <wp:positionH relativeFrom="column">
                  <wp:posOffset>3776345</wp:posOffset>
                </wp:positionH>
                <wp:positionV relativeFrom="paragraph">
                  <wp:posOffset>45085</wp:posOffset>
                </wp:positionV>
                <wp:extent cx="304800" cy="240665"/>
                <wp:effectExtent l="0" t="0" r="0" b="6985"/>
                <wp:wrapNone/>
                <wp:docPr id="2024668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0665"/>
                        </a:xfrm>
                        <a:prstGeom prst="rect">
                          <a:avLst/>
                        </a:prstGeom>
                        <a:solidFill>
                          <a:srgbClr val="FFFFFF"/>
                        </a:solidFill>
                        <a:ln w="9525">
                          <a:noFill/>
                          <a:miter lim="800000"/>
                          <a:headEnd/>
                          <a:tailEnd/>
                        </a:ln>
                      </wps:spPr>
                      <wps:txbx>
                        <w:txbxContent>
                          <w:p w14:paraId="0CAC2949" w14:textId="1A4229BF" w:rsidR="00285D56" w:rsidRDefault="00285D56" w:rsidP="00285D56">
                            <w:pPr>
                              <w:jc w:val="right"/>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1B504" id="_x0000_s1028" type="#_x0000_t202" style="position:absolute;left:0;text-align:left;margin-left:297.35pt;margin-top:3.55pt;width:24pt;height:18.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" stroked="f">
                <v:textbox>
                  <w:txbxContent>
                    <w:p w14:paraId="0CAC2949" w14:textId="1A4229BF" w:rsidR="00285D56" w:rsidRDefault="00285D56" w:rsidP="00285D56">
                      <w:pPr>
                        <w:jc w:val="right"/>
                      </w:pPr>
                      <w:r>
                        <w:t>B</w:t>
                      </w:r>
                    </w:p>
                  </w:txbxContent>
                </v:textbox>
                <w10:anchorlock/>
              </v:shape>
            </w:pict>
          </mc:Fallback>
        </mc:AlternateContent>
      </w:r>
      <w:r w:rsidRPr="00285D56">
        <w:rPr>
          <w:noProof/>
          <w:lang w:val="en-GB"/>
        </w:rPr>
        <mc:AlternateContent>
          <mc:Choice Requires="wps">
            <w:drawing>
              <wp:anchor distT="45720" distB="45720" distL="114300" distR="114300" simplePos="0" relativeHeight="251659264" behindDoc="0" locked="1" layoutInCell="1" allowOverlap="1" wp14:anchorId="437289AB" wp14:editId="38427D4E">
                <wp:simplePos x="0" y="0"/>
                <wp:positionH relativeFrom="column">
                  <wp:posOffset>1736090</wp:posOffset>
                </wp:positionH>
                <wp:positionV relativeFrom="paragraph">
                  <wp:posOffset>46355</wp:posOffset>
                </wp:positionV>
                <wp:extent cx="304800" cy="240665"/>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0665"/>
                        </a:xfrm>
                        <a:prstGeom prst="rect">
                          <a:avLst/>
                        </a:prstGeom>
                        <a:solidFill>
                          <a:srgbClr val="FFFFFF"/>
                        </a:solidFill>
                        <a:ln w="9525">
                          <a:noFill/>
                          <a:miter lim="800000"/>
                          <a:headEnd/>
                          <a:tailEnd/>
                        </a:ln>
                      </wps:spPr>
                      <wps:txbx>
                        <w:txbxContent>
                          <w:p w14:paraId="09B80DFF" w14:textId="5A5AC3D6" w:rsidR="00285D56" w:rsidRDefault="00285D56" w:rsidP="00285D56">
                            <w:pPr>
                              <w:jc w:val="right"/>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289AB" id="_x0000_s1029" type="#_x0000_t202" style="position:absolute;left:0;text-align:left;margin-left:136.7pt;margin-top:3.65pt;width:24pt;height:18.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" stroked="f">
                <v:textbox>
                  <w:txbxContent>
                    <w:p w14:paraId="09B80DFF" w14:textId="5A5AC3D6" w:rsidR="00285D56" w:rsidRDefault="00285D56" w:rsidP="00285D56">
                      <w:pPr>
                        <w:jc w:val="right"/>
                      </w:pPr>
                      <w:r>
                        <w:t>A</w:t>
                      </w:r>
                    </w:p>
                  </w:txbxContent>
                </v:textbox>
                <w10:anchorlock/>
              </v:shape>
            </w:pict>
          </mc:Fallback>
        </mc:AlternateContent>
      </w:r>
      <w:r w:rsidR="00CC0473">
        <w:rPr>
          <w:noProof/>
          <w:lang w:val="en-GB"/>
        </w:rPr>
        <w:drawing>
          <wp:inline distT="0" distB="0" distL="0" distR="0" wp14:anchorId="476586AD" wp14:editId="1BC933E1">
            <wp:extent cx="4208400" cy="3096000"/>
            <wp:effectExtent l="0" t="0" r="1905" b="9525"/>
            <wp:docPr id="10160179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8400" cy="3096000"/>
                    </a:xfrm>
                    <a:prstGeom prst="rect">
                      <a:avLst/>
                    </a:prstGeom>
                    <a:noFill/>
                  </pic:spPr>
                </pic:pic>
              </a:graphicData>
            </a:graphic>
          </wp:inline>
        </w:drawing>
      </w:r>
      <w:r w:rsidR="00DE1465">
        <w:rPr>
          <w:lang w:val="en-GB"/>
        </w:rPr>
        <w:t xml:space="preserve"> </w:t>
      </w:r>
    </w:p>
    <w:p w14:paraId="7A00EC99" w14:textId="286F590E" w:rsidR="00F06B15" w:rsidRPr="00CD46BF" w:rsidRDefault="00F06B15" w:rsidP="00AB62F0">
      <w:pPr>
        <w:pStyle w:val="CETCaption"/>
        <w:rPr>
          <w:i w:val="0"/>
          <w:iCs/>
        </w:rPr>
      </w:pPr>
      <w:r w:rsidRPr="00CD46BF">
        <w:rPr>
          <w:rStyle w:val="CETCaptionCarattere"/>
          <w:i/>
          <w:iCs/>
        </w:rPr>
        <w:t xml:space="preserve">Figure 1: The effect of material properties on heat transfer and storage in a wall, and heat release to the room. </w:t>
      </w:r>
      <w:r w:rsidR="00BB0849" w:rsidRPr="00CD46BF">
        <w:rPr>
          <w:rStyle w:val="CETCaptionCarattere"/>
          <w:i/>
          <w:iCs/>
        </w:rPr>
        <w:t>A</w:t>
      </w:r>
      <w:r w:rsidRPr="00CD46BF">
        <w:rPr>
          <w:rStyle w:val="CETCaptionCarattere"/>
          <w:i/>
          <w:iCs/>
        </w:rPr>
        <w:t>: 3 cm soapstone wall</w:t>
      </w:r>
      <w:r w:rsidR="00073582" w:rsidRPr="00CD46BF">
        <w:rPr>
          <w:rStyle w:val="CETCaptionCarattere"/>
          <w:i/>
          <w:iCs/>
        </w:rPr>
        <w:t xml:space="preserve"> and</w:t>
      </w:r>
      <w:r w:rsidRPr="00CD46BF">
        <w:rPr>
          <w:rStyle w:val="CETCaptionCarattere"/>
          <w:i/>
          <w:iCs/>
        </w:rPr>
        <w:t xml:space="preserve"> </w:t>
      </w:r>
      <w:r w:rsidR="00BB0849" w:rsidRPr="00CD46BF">
        <w:rPr>
          <w:rStyle w:val="CETCaptionCarattere"/>
          <w:i/>
          <w:iCs/>
        </w:rPr>
        <w:t>B</w:t>
      </w:r>
      <w:r w:rsidRPr="00CD46BF">
        <w:rPr>
          <w:rStyle w:val="CETCaptionCarattere"/>
          <w:i/>
          <w:iCs/>
        </w:rPr>
        <w:t>: 6 mm cast iron wall</w:t>
      </w:r>
      <w:r w:rsidR="00073582" w:rsidRPr="00CD46BF">
        <w:rPr>
          <w:rStyle w:val="CETCaptionCarattere"/>
          <w:i/>
          <w:iCs/>
        </w:rPr>
        <w:t>, both with radiative heat transfer from the outer surface</w:t>
      </w:r>
      <w:r w:rsidRPr="00CD46BF">
        <w:rPr>
          <w:rStyle w:val="CETCaptionCarattere"/>
          <w:i/>
          <w:iCs/>
        </w:rPr>
        <w:t xml:space="preserve">. </w:t>
      </w:r>
      <w:r w:rsidR="00BB0849" w:rsidRPr="00CD46BF">
        <w:rPr>
          <w:rStyle w:val="CETCaptionCarattere"/>
          <w:i/>
          <w:iCs/>
        </w:rPr>
        <w:t>C</w:t>
      </w:r>
      <w:r w:rsidR="00073582" w:rsidRPr="00CD46BF">
        <w:rPr>
          <w:rStyle w:val="CETCaptionCarattere"/>
          <w:i/>
          <w:iCs/>
        </w:rPr>
        <w:t>: 3 cm soapstone wall an</w:t>
      </w:r>
      <w:r w:rsidR="00073582" w:rsidRPr="00DC044E">
        <w:rPr>
          <w:rStyle w:val="CETCaptionCarattere"/>
          <w:i/>
          <w:iCs/>
        </w:rPr>
        <w:t xml:space="preserve">d </w:t>
      </w:r>
      <w:r w:rsidR="00BB0849" w:rsidRPr="00DC044E">
        <w:rPr>
          <w:rStyle w:val="CETCaptionCarattere"/>
          <w:i/>
          <w:iCs/>
        </w:rPr>
        <w:t>D</w:t>
      </w:r>
      <w:r w:rsidR="00073582" w:rsidRPr="00DC044E">
        <w:rPr>
          <w:rStyle w:val="CETCaptionCarattere"/>
          <w:i/>
          <w:iCs/>
        </w:rPr>
        <w:t xml:space="preserve">: </w:t>
      </w:r>
      <w:r w:rsidR="00073582" w:rsidRPr="00DC044E">
        <w:rPr>
          <w:iCs/>
        </w:rPr>
        <w:t>6 mm cast iron wall, both with convective and radiative heat transfer from the outer surface.</w:t>
      </w:r>
      <w:r w:rsidR="00073582" w:rsidRPr="00DC044E">
        <w:rPr>
          <w:rStyle w:val="CETCaptionCarattere"/>
          <w:i/>
          <w:iCs/>
        </w:rPr>
        <w:t xml:space="preserve"> </w:t>
      </w:r>
      <w:r w:rsidRPr="00DC044E">
        <w:rPr>
          <w:rStyle w:val="CETCaptionCarattere"/>
          <w:i/>
          <w:iCs/>
        </w:rPr>
        <w:t>Ti – Inner wall s</w:t>
      </w:r>
      <w:r w:rsidRPr="00CD46BF">
        <w:rPr>
          <w:rStyle w:val="CETCaptionCarattere"/>
          <w:i/>
          <w:iCs/>
        </w:rPr>
        <w:t>urface temperature, Tm – Wall centre temperature, To – Outer wall surface temperature, q_in</w:t>
      </w:r>
      <w:r w:rsidR="00073582" w:rsidRPr="00CD46BF">
        <w:rPr>
          <w:rStyle w:val="CETCaptionCarattere"/>
          <w:i/>
          <w:iCs/>
        </w:rPr>
        <w:t xml:space="preserve"> – Heat flux in</w:t>
      </w:r>
      <w:r w:rsidRPr="00CD46BF">
        <w:rPr>
          <w:rStyle w:val="CETCaptionCarattere"/>
          <w:i/>
          <w:iCs/>
        </w:rPr>
        <w:t>, q_out</w:t>
      </w:r>
      <w:r w:rsidR="00073582" w:rsidRPr="00CD46BF">
        <w:rPr>
          <w:rStyle w:val="CETCaptionCarattere"/>
          <w:i/>
          <w:iCs/>
        </w:rPr>
        <w:t xml:space="preserve"> – Heat flux out</w:t>
      </w:r>
      <w:r w:rsidRPr="00CD46BF">
        <w:rPr>
          <w:rStyle w:val="CETCaptionCarattere"/>
          <w:i/>
          <w:iCs/>
        </w:rPr>
        <w:t>, q_stored</w:t>
      </w:r>
      <w:r w:rsidR="00073582" w:rsidRPr="00CD46BF">
        <w:rPr>
          <w:rStyle w:val="CETCaptionCarattere"/>
          <w:i/>
          <w:iCs/>
        </w:rPr>
        <w:t xml:space="preserve"> – Heat flux stored</w:t>
      </w:r>
    </w:p>
    <w:p w14:paraId="14DD7E74" w14:textId="77777777" w:rsidR="00684284" w:rsidRDefault="00684284" w:rsidP="007F608C">
      <w:pPr>
        <w:pStyle w:val="CETBodytext"/>
        <w:spacing w:after="240"/>
        <w:rPr>
          <w:lang w:val="en-GB"/>
        </w:rPr>
      </w:pPr>
      <w:r>
        <w:rPr>
          <w:lang w:val="en-GB"/>
        </w:rPr>
        <w:t xml:space="preserve">If adding insulation as in the combustion chamber (Figure 2), and hence increasing the heat transfer resistance, then the difference in behaviour between the outer layer of soapstone and cast iron reduces, but still the outer </w:t>
      </w:r>
      <w:r>
        <w:rPr>
          <w:lang w:val="en-GB"/>
        </w:rPr>
        <w:lastRenderedPageBreak/>
        <w:t xml:space="preserve">layer temperature of the soapstone will be significantly lower than for cast iron, due to the higher heat storage capacity, and the lower conductivity. </w:t>
      </w:r>
    </w:p>
    <w:p w14:paraId="3E88DDD8" w14:textId="5DE076FB" w:rsidR="00A266A4" w:rsidRDefault="002330DC" w:rsidP="00684284">
      <w:pPr>
        <w:pStyle w:val="CETBodytext"/>
        <w:rPr>
          <w:lang w:val="en-GB"/>
        </w:rPr>
      </w:pPr>
      <w:r>
        <w:rPr>
          <w:noProof/>
          <w:lang w:val="en-GB"/>
        </w:rPr>
        <w:drawing>
          <wp:inline distT="0" distB="0" distL="0" distR="0" wp14:anchorId="73197774" wp14:editId="074150D5">
            <wp:extent cx="4280400" cy="1576800"/>
            <wp:effectExtent l="0" t="0" r="6350" b="4445"/>
            <wp:docPr id="7182647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0400" cy="1576800"/>
                    </a:xfrm>
                    <a:prstGeom prst="rect">
                      <a:avLst/>
                    </a:prstGeom>
                    <a:noFill/>
                  </pic:spPr>
                </pic:pic>
              </a:graphicData>
            </a:graphic>
          </wp:inline>
        </w:drawing>
      </w:r>
    </w:p>
    <w:p w14:paraId="3A75FEFC" w14:textId="342AE36C" w:rsidR="00F06B15" w:rsidRPr="007406F9" w:rsidRDefault="00285D56" w:rsidP="00AB62F0">
      <w:pPr>
        <w:pStyle w:val="CETCaption"/>
      </w:pPr>
      <w:r w:rsidRPr="00285D56">
        <w:rPr>
          <w:noProof/>
        </w:rPr>
        <mc:AlternateContent>
          <mc:Choice Requires="wps">
            <w:drawing>
              <wp:anchor distT="45720" distB="45720" distL="114300" distR="114300" simplePos="0" relativeHeight="251669504" behindDoc="0" locked="1" layoutInCell="1" allowOverlap="1" wp14:anchorId="5237A09A" wp14:editId="1A2372CA">
                <wp:simplePos x="0" y="0"/>
                <wp:positionH relativeFrom="column">
                  <wp:posOffset>3924935</wp:posOffset>
                </wp:positionH>
                <wp:positionV relativeFrom="paragraph">
                  <wp:posOffset>-370205</wp:posOffset>
                </wp:positionV>
                <wp:extent cx="304800" cy="240665"/>
                <wp:effectExtent l="0" t="0" r="0" b="6985"/>
                <wp:wrapNone/>
                <wp:docPr id="1464562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0665"/>
                        </a:xfrm>
                        <a:prstGeom prst="rect">
                          <a:avLst/>
                        </a:prstGeom>
                        <a:solidFill>
                          <a:srgbClr val="FFFFFF"/>
                        </a:solidFill>
                        <a:ln w="9525">
                          <a:noFill/>
                          <a:miter lim="800000"/>
                          <a:headEnd/>
                          <a:tailEnd/>
                        </a:ln>
                      </wps:spPr>
                      <wps:txbx>
                        <w:txbxContent>
                          <w:p w14:paraId="72228CE4" w14:textId="2AAB3A43" w:rsidR="00285D56" w:rsidRDefault="00285D56" w:rsidP="00285D56">
                            <w:pPr>
                              <w:jc w:val="right"/>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7A09A" id="_x0000_s1030" type="#_x0000_t202" style="position:absolute;left:0;text-align:left;margin-left:309.05pt;margin-top:-29.15pt;width:24pt;height:18.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" stroked="f">
                <v:textbox>
                  <w:txbxContent>
                    <w:p w14:paraId="72228CE4" w14:textId="2AAB3A43" w:rsidR="00285D56" w:rsidRDefault="00285D56" w:rsidP="00285D56">
                      <w:pPr>
                        <w:jc w:val="right"/>
                      </w:pPr>
                      <w:r>
                        <w:t>B</w:t>
                      </w:r>
                    </w:p>
                  </w:txbxContent>
                </v:textbox>
                <w10:anchorlock/>
              </v:shape>
            </w:pict>
          </mc:Fallback>
        </mc:AlternateContent>
      </w:r>
      <w:r w:rsidRPr="00285D56">
        <w:rPr>
          <w:noProof/>
        </w:rPr>
        <mc:AlternateContent>
          <mc:Choice Requires="wps">
            <w:drawing>
              <wp:anchor distT="45720" distB="45720" distL="114300" distR="114300" simplePos="0" relativeHeight="251667456" behindDoc="0" locked="1" layoutInCell="1" allowOverlap="1" wp14:anchorId="165CDAA2" wp14:editId="43FBBDD8">
                <wp:simplePos x="0" y="0"/>
                <wp:positionH relativeFrom="column">
                  <wp:posOffset>1757045</wp:posOffset>
                </wp:positionH>
                <wp:positionV relativeFrom="paragraph">
                  <wp:posOffset>-368935</wp:posOffset>
                </wp:positionV>
                <wp:extent cx="304800" cy="240665"/>
                <wp:effectExtent l="0" t="0" r="0" b="6985"/>
                <wp:wrapNone/>
                <wp:docPr id="1393861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0665"/>
                        </a:xfrm>
                        <a:prstGeom prst="rect">
                          <a:avLst/>
                        </a:prstGeom>
                        <a:solidFill>
                          <a:srgbClr val="FFFFFF"/>
                        </a:solidFill>
                        <a:ln w="9525">
                          <a:noFill/>
                          <a:miter lim="800000"/>
                          <a:headEnd/>
                          <a:tailEnd/>
                        </a:ln>
                      </wps:spPr>
                      <wps:txbx>
                        <w:txbxContent>
                          <w:p w14:paraId="7B66B650" w14:textId="77777777" w:rsidR="00285D56" w:rsidRDefault="00285D56" w:rsidP="00285D56">
                            <w:pPr>
                              <w:jc w:val="right"/>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CDAA2" id="_x0000_s1031" type="#_x0000_t202" style="position:absolute;left:0;text-align:left;margin-left:138.35pt;margin-top:-29.05pt;width:24pt;height:18.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" stroked="f">
                <v:textbox>
                  <w:txbxContent>
                    <w:p w14:paraId="7B66B650" w14:textId="77777777" w:rsidR="00285D56" w:rsidRDefault="00285D56" w:rsidP="00285D56">
                      <w:pPr>
                        <w:jc w:val="right"/>
                      </w:pPr>
                      <w:r>
                        <w:t>A</w:t>
                      </w:r>
                    </w:p>
                  </w:txbxContent>
                </v:textbox>
                <w10:anchorlock/>
              </v:shape>
            </w:pict>
          </mc:Fallback>
        </mc:AlternateContent>
      </w:r>
      <w:r w:rsidR="00F06B15" w:rsidRPr="00BD077D">
        <w:rPr>
          <w:rStyle w:val="CETCaptionCarattere"/>
          <w:i/>
        </w:rPr>
        <w:t xml:space="preserve">Figure </w:t>
      </w:r>
      <w:r w:rsidR="00F06B15">
        <w:rPr>
          <w:rStyle w:val="CETCaptionCarattere"/>
          <w:i/>
        </w:rPr>
        <w:t>2</w:t>
      </w:r>
      <w:r w:rsidR="00F06B15" w:rsidRPr="00BD077D">
        <w:rPr>
          <w:rStyle w:val="CETCaptionCarattere"/>
          <w:i/>
        </w:rPr>
        <w:t xml:space="preserve">: </w:t>
      </w:r>
      <w:r w:rsidR="00F06B15">
        <w:rPr>
          <w:rStyle w:val="CETCaptionCarattere"/>
          <w:i/>
        </w:rPr>
        <w:t xml:space="preserve">The effect of </w:t>
      </w:r>
      <w:r w:rsidR="007048C6">
        <w:rPr>
          <w:rStyle w:val="CETCaptionCarattere"/>
          <w:i/>
        </w:rPr>
        <w:t>adding insulation</w:t>
      </w:r>
      <w:r w:rsidR="00F06B15">
        <w:rPr>
          <w:rStyle w:val="CETCaptionCarattere"/>
          <w:i/>
        </w:rPr>
        <w:t xml:space="preserve"> on heat transfer and storage in a wall, and heat release to the room. </w:t>
      </w:r>
      <w:r w:rsidR="00BB0849">
        <w:rPr>
          <w:rStyle w:val="CETCaptionCarattere"/>
          <w:i/>
        </w:rPr>
        <w:t>A</w:t>
      </w:r>
      <w:r w:rsidR="00F06B15">
        <w:rPr>
          <w:rStyle w:val="CETCaptionCarattere"/>
          <w:i/>
        </w:rPr>
        <w:t xml:space="preserve">: 3 cm soapstone wall with 2.5 cm insulation. </w:t>
      </w:r>
      <w:r w:rsidR="00BB0849">
        <w:rPr>
          <w:rStyle w:val="CETCaptionCarattere"/>
          <w:i/>
        </w:rPr>
        <w:t>B</w:t>
      </w:r>
      <w:r w:rsidR="00F06B15">
        <w:rPr>
          <w:rStyle w:val="CETCaptionCarattere"/>
          <w:i/>
        </w:rPr>
        <w:t>: 6 mm cast iron wall with 2.5 cm insulation</w:t>
      </w:r>
      <w:r w:rsidR="00F06B15" w:rsidRPr="00684284">
        <w:rPr>
          <w:rStyle w:val="CETCaptionCarattere"/>
          <w:i/>
        </w:rPr>
        <w:t>.</w:t>
      </w:r>
      <w:r w:rsidR="00DB6640" w:rsidRPr="00684284">
        <w:rPr>
          <w:rStyle w:val="CETCaptionCarattere"/>
          <w:i/>
        </w:rPr>
        <w:t xml:space="preserve"> 1A</w:t>
      </w:r>
      <w:r w:rsidR="00684284">
        <w:rPr>
          <w:rStyle w:val="CETCaptionCarattere"/>
          <w:i/>
        </w:rPr>
        <w:t xml:space="preserve"> and 1</w:t>
      </w:r>
      <w:r w:rsidR="00684284" w:rsidRPr="00684284">
        <w:rPr>
          <w:rStyle w:val="CETCaptionCarattere"/>
          <w:i/>
        </w:rPr>
        <w:t xml:space="preserve">B </w:t>
      </w:r>
      <w:r w:rsidR="00DD5AC9" w:rsidRPr="00684284">
        <w:rPr>
          <w:rStyle w:val="CETCaptionCarattere"/>
          <w:i/>
        </w:rPr>
        <w:t>cases</w:t>
      </w:r>
    </w:p>
    <w:p w14:paraId="5BC3DE40" w14:textId="77777777" w:rsidR="00F06B15" w:rsidRPr="00B57B36" w:rsidRDefault="00F06B15" w:rsidP="00F06B15">
      <w:pPr>
        <w:pStyle w:val="CETheadingx"/>
      </w:pPr>
      <w:r w:rsidRPr="00A63FC9">
        <w:t xml:space="preserve">The influence of material properties on transient thermal behavior </w:t>
      </w:r>
      <w:r>
        <w:t>after</w:t>
      </w:r>
      <w:r w:rsidRPr="00A63FC9">
        <w:t xml:space="preserve"> combustion</w:t>
      </w:r>
    </w:p>
    <w:p w14:paraId="15E2963F" w14:textId="48324C96" w:rsidR="00207D0A" w:rsidRDefault="00F06B15" w:rsidP="00DC2E2F">
      <w:pPr>
        <w:pStyle w:val="CETBodytext"/>
        <w:spacing w:after="240"/>
        <w:rPr>
          <w:lang w:val="en-GB"/>
        </w:rPr>
      </w:pPr>
      <w:r>
        <w:rPr>
          <w:lang w:val="en-GB"/>
        </w:rPr>
        <w:t>Different material properties will also influence the thermal behaviour after the firing has ended. This is show</w:t>
      </w:r>
      <w:r w:rsidR="00B23341">
        <w:rPr>
          <w:lang w:val="en-GB"/>
        </w:rPr>
        <w:t>n</w:t>
      </w:r>
      <w:r>
        <w:rPr>
          <w:lang w:val="en-GB"/>
        </w:rPr>
        <w:t xml:space="preserve"> in Figure 3 for the soapstone wall and the cast iron wall without insulation. </w:t>
      </w:r>
      <w:r w:rsidR="007D0936">
        <w:rPr>
          <w:lang w:val="en-GB"/>
        </w:rPr>
        <w:t>A</w:t>
      </w:r>
      <w:r>
        <w:rPr>
          <w:lang w:val="en-GB"/>
        </w:rPr>
        <w:t xml:space="preserve">n increased conductivity will result in a faster stabilisation of the wall temperatures, initially giving slightly (cast iron) or somewhat (soapstone) higher </w:t>
      </w:r>
      <w:r w:rsidR="00286A4B">
        <w:rPr>
          <w:lang w:val="en-GB"/>
        </w:rPr>
        <w:t>inn</w:t>
      </w:r>
      <w:r>
        <w:rPr>
          <w:lang w:val="en-GB"/>
        </w:rPr>
        <w:t xml:space="preserve">er and lower </w:t>
      </w:r>
      <w:r w:rsidR="00286A4B">
        <w:rPr>
          <w:lang w:val="en-GB"/>
        </w:rPr>
        <w:t>out</w:t>
      </w:r>
      <w:r>
        <w:rPr>
          <w:lang w:val="en-GB"/>
        </w:rPr>
        <w:t xml:space="preserve">er surface temperatures, if the boundary conditions are equal on each side of the wall. </w:t>
      </w:r>
      <w:r w:rsidR="00684284">
        <w:rPr>
          <w:lang w:val="en-GB"/>
        </w:rPr>
        <w:t>After a while</w:t>
      </w:r>
      <w:r>
        <w:rPr>
          <w:lang w:val="en-GB"/>
        </w:rPr>
        <w:t xml:space="preserve"> this will change, towards the highest wall temperature being in the middle of the wall. However, in practise, the heat transfer from the inner and outer walls of the stove will be somewhat different, since on the outside heat is transferred by radiation and convection to the room which can be assumed to have constant properties, while on the inside heat is transferred mainly by convection to a limited amount of air going through the air inlets after the combustion has ended. The contribution of inner wall radiation through the glass will usually be relatively minor. Hence, a cast iron stove with its material characteristics (lower heat storage capacity) will transfer its stored heat much faster to the room compared to a soapstone stove, which</w:t>
      </w:r>
      <w:r w:rsidR="005D4A6F">
        <w:rPr>
          <w:lang w:val="en-GB"/>
        </w:rPr>
        <w:t xml:space="preserve"> for the latter</w:t>
      </w:r>
      <w:r>
        <w:rPr>
          <w:lang w:val="en-GB"/>
        </w:rPr>
        <w:t xml:space="preserve"> can be positive from a thermal </w:t>
      </w:r>
      <w:r w:rsidRPr="005D4A6F">
        <w:rPr>
          <w:color w:val="000000" w:themeColor="text1"/>
          <w:lang w:val="en-GB"/>
        </w:rPr>
        <w:t xml:space="preserve">comfort </w:t>
      </w:r>
      <w:r>
        <w:rPr>
          <w:lang w:val="en-GB"/>
        </w:rPr>
        <w:t>point of view, but it also means that more stored heat can be lost through the chimney in case of an air supply valve left open</w:t>
      </w:r>
      <w:r w:rsidR="008B1A44">
        <w:rPr>
          <w:lang w:val="en-GB"/>
        </w:rPr>
        <w:t>, or due to a leaky stove construction</w:t>
      </w:r>
      <w:r>
        <w:rPr>
          <w:lang w:val="en-GB"/>
        </w:rPr>
        <w:t>.</w:t>
      </w:r>
    </w:p>
    <w:p w14:paraId="4E76C397" w14:textId="30AA9B18" w:rsidR="00F06B15" w:rsidRDefault="00434F60" w:rsidP="00DC2E2F">
      <w:pPr>
        <w:pStyle w:val="CETBodytext"/>
        <w:spacing w:after="240"/>
        <w:rPr>
          <w:sz w:val="8"/>
          <w:szCs w:val="8"/>
        </w:rPr>
      </w:pPr>
      <w:r w:rsidRPr="00C971FF">
        <w:rPr>
          <w:noProof/>
          <w:sz w:val="8"/>
          <w:szCs w:val="8"/>
          <w:lang w:val="en-GB"/>
        </w:rPr>
        <mc:AlternateContent>
          <mc:Choice Requires="wps">
            <w:drawing>
              <wp:anchor distT="45720" distB="45720" distL="114300" distR="114300" simplePos="0" relativeHeight="251685888" behindDoc="0" locked="1" layoutInCell="1" allowOverlap="1" wp14:anchorId="28198003" wp14:editId="78B3B1C5">
                <wp:simplePos x="0" y="0"/>
                <wp:positionH relativeFrom="column">
                  <wp:posOffset>5035550</wp:posOffset>
                </wp:positionH>
                <wp:positionV relativeFrom="paragraph">
                  <wp:posOffset>22860</wp:posOffset>
                </wp:positionV>
                <wp:extent cx="512445" cy="346075"/>
                <wp:effectExtent l="0" t="0" r="1905" b="0"/>
                <wp:wrapNone/>
                <wp:docPr id="546770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346075"/>
                        </a:xfrm>
                        <a:prstGeom prst="rect">
                          <a:avLst/>
                        </a:prstGeom>
                        <a:solidFill>
                          <a:srgbClr val="FFFFFF"/>
                        </a:solidFill>
                        <a:ln w="9525">
                          <a:noFill/>
                          <a:miter lim="800000"/>
                          <a:headEnd/>
                          <a:tailEnd/>
                        </a:ln>
                      </wps:spPr>
                      <wps:txbx>
                        <w:txbxContent>
                          <w:p w14:paraId="7F301207" w14:textId="77777777" w:rsidR="00434F60" w:rsidRPr="00434F60" w:rsidRDefault="00434F60" w:rsidP="00285D56">
                            <w:pPr>
                              <w:jc w:val="right"/>
                              <w:rPr>
                                <w:sz w:val="16"/>
                                <w:szCs w:val="16"/>
                              </w:rPr>
                            </w:pPr>
                            <w:r w:rsidRPr="00434F60">
                              <w:rPr>
                                <w:sz w:val="16"/>
                                <w:szCs w:val="16"/>
                              </w:rPr>
                              <w:t>B</w:t>
                            </w:r>
                          </w:p>
                          <w:p w14:paraId="0F8AE2D8" w14:textId="3FFD9367" w:rsidR="00434F60" w:rsidRPr="00434F60" w:rsidRDefault="00434F60" w:rsidP="00285D56">
                            <w:pPr>
                              <w:jc w:val="right"/>
                              <w:rPr>
                                <w:sz w:val="16"/>
                                <w:szCs w:val="16"/>
                              </w:rPr>
                            </w:pPr>
                            <w:r w:rsidRPr="00434F60">
                              <w:rPr>
                                <w:sz w:val="16"/>
                                <w:szCs w:val="16"/>
                              </w:rPr>
                              <w:t>zoom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98003" id="_x0000_s1032" type="#_x0000_t202" style="position:absolute;left:0;text-align:left;margin-left:396.5pt;margin-top:1.8pt;width:40.35pt;height:27.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" stroked="f">
                <v:textbox>
                  <w:txbxContent>
                    <w:p w14:paraId="7F301207" w14:textId="77777777" w:rsidR="00434F60" w:rsidRPr="00434F60" w:rsidRDefault="00434F60" w:rsidP="00285D56">
                      <w:pPr>
                        <w:jc w:val="right"/>
                        <w:rPr>
                          <w:sz w:val="16"/>
                          <w:szCs w:val="16"/>
                        </w:rPr>
                      </w:pPr>
                      <w:r w:rsidRPr="00434F60">
                        <w:rPr>
                          <w:sz w:val="16"/>
                          <w:szCs w:val="16"/>
                        </w:rPr>
                        <w:t>B</w:t>
                      </w:r>
                    </w:p>
                    <w:p w14:paraId="0F8AE2D8" w14:textId="3FFD9367" w:rsidR="00434F60" w:rsidRPr="00434F60" w:rsidRDefault="00434F60" w:rsidP="00285D56">
                      <w:pPr>
                        <w:jc w:val="right"/>
                        <w:rPr>
                          <w:sz w:val="16"/>
                          <w:szCs w:val="16"/>
                        </w:rPr>
                      </w:pPr>
                      <w:r w:rsidRPr="00434F60">
                        <w:rPr>
                          <w:sz w:val="16"/>
                          <w:szCs w:val="16"/>
                        </w:rPr>
                        <w:t>zoom</w:t>
                      </w:r>
                    </w:p>
                  </w:txbxContent>
                </v:textbox>
                <w10:anchorlock/>
              </v:shape>
            </w:pict>
          </mc:Fallback>
        </mc:AlternateContent>
      </w:r>
      <w:r w:rsidR="00285D56" w:rsidRPr="00C971FF">
        <w:rPr>
          <w:noProof/>
          <w:sz w:val="8"/>
          <w:szCs w:val="8"/>
          <w:lang w:val="en-GB"/>
        </w:rPr>
        <mc:AlternateContent>
          <mc:Choice Requires="wps">
            <w:drawing>
              <wp:anchor distT="45720" distB="45720" distL="114300" distR="114300" simplePos="0" relativeHeight="251673600" behindDoc="0" locked="1" layoutInCell="1" allowOverlap="1" wp14:anchorId="3F978E3B" wp14:editId="65976C16">
                <wp:simplePos x="0" y="0"/>
                <wp:positionH relativeFrom="column">
                  <wp:posOffset>3355340</wp:posOffset>
                </wp:positionH>
                <wp:positionV relativeFrom="paragraph">
                  <wp:posOffset>109855</wp:posOffset>
                </wp:positionV>
                <wp:extent cx="304800" cy="240665"/>
                <wp:effectExtent l="0" t="0" r="0" b="6985"/>
                <wp:wrapNone/>
                <wp:docPr id="389118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0665"/>
                        </a:xfrm>
                        <a:prstGeom prst="rect">
                          <a:avLst/>
                        </a:prstGeom>
                        <a:solidFill>
                          <a:srgbClr val="FFFFFF"/>
                        </a:solidFill>
                        <a:ln w="9525">
                          <a:noFill/>
                          <a:miter lim="800000"/>
                          <a:headEnd/>
                          <a:tailEnd/>
                        </a:ln>
                      </wps:spPr>
                      <wps:txbx>
                        <w:txbxContent>
                          <w:p w14:paraId="2ED21571" w14:textId="45146C69" w:rsidR="00285D56" w:rsidRDefault="00285D56" w:rsidP="00285D56">
                            <w:pPr>
                              <w:jc w:val="right"/>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78E3B" id="_x0000_s1033" type="#_x0000_t202" style="position:absolute;left:0;text-align:left;margin-left:264.2pt;margin-top:8.65pt;width:24pt;height:18.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" stroked="f">
                <v:textbox>
                  <w:txbxContent>
                    <w:p w14:paraId="2ED21571" w14:textId="45146C69" w:rsidR="00285D56" w:rsidRDefault="00285D56" w:rsidP="00285D56">
                      <w:pPr>
                        <w:jc w:val="right"/>
                      </w:pPr>
                      <w:r>
                        <w:t>B</w:t>
                      </w:r>
                    </w:p>
                  </w:txbxContent>
                </v:textbox>
                <w10:anchorlock/>
              </v:shape>
            </w:pict>
          </mc:Fallback>
        </mc:AlternateContent>
      </w:r>
      <w:r w:rsidR="00285D56" w:rsidRPr="00C971FF">
        <w:rPr>
          <w:noProof/>
          <w:sz w:val="8"/>
          <w:szCs w:val="8"/>
          <w:lang w:val="en-GB"/>
        </w:rPr>
        <mc:AlternateContent>
          <mc:Choice Requires="wps">
            <w:drawing>
              <wp:anchor distT="45720" distB="45720" distL="114300" distR="114300" simplePos="0" relativeHeight="251671552" behindDoc="0" locked="1" layoutInCell="1" allowOverlap="1" wp14:anchorId="65FB62CC" wp14:editId="4F0D8E21">
                <wp:simplePos x="0" y="0"/>
                <wp:positionH relativeFrom="column">
                  <wp:posOffset>1489710</wp:posOffset>
                </wp:positionH>
                <wp:positionV relativeFrom="paragraph">
                  <wp:posOffset>139700</wp:posOffset>
                </wp:positionV>
                <wp:extent cx="304800" cy="240665"/>
                <wp:effectExtent l="0" t="0" r="0" b="6985"/>
                <wp:wrapNone/>
                <wp:docPr id="281990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0665"/>
                        </a:xfrm>
                        <a:prstGeom prst="rect">
                          <a:avLst/>
                        </a:prstGeom>
                        <a:solidFill>
                          <a:srgbClr val="FFFFFF"/>
                        </a:solidFill>
                        <a:ln w="9525">
                          <a:noFill/>
                          <a:miter lim="800000"/>
                          <a:headEnd/>
                          <a:tailEnd/>
                        </a:ln>
                      </wps:spPr>
                      <wps:txbx>
                        <w:txbxContent>
                          <w:p w14:paraId="0D672D48" w14:textId="77777777" w:rsidR="00285D56" w:rsidRDefault="00285D56" w:rsidP="00285D56">
                            <w:pPr>
                              <w:jc w:val="right"/>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B62CC" id="_x0000_s1034" type="#_x0000_t202" style="position:absolute;left:0;text-align:left;margin-left:117.3pt;margin-top:11pt;width:24pt;height:18.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" stroked="f">
                <v:textbox>
                  <w:txbxContent>
                    <w:p w14:paraId="0D672D48" w14:textId="77777777" w:rsidR="00285D56" w:rsidRDefault="00285D56" w:rsidP="00285D56">
                      <w:pPr>
                        <w:jc w:val="right"/>
                      </w:pPr>
                      <w:r>
                        <w:t>A</w:t>
                      </w:r>
                    </w:p>
                  </w:txbxContent>
                </v:textbox>
                <w10:anchorlock/>
              </v:shape>
            </w:pict>
          </mc:Fallback>
        </mc:AlternateContent>
      </w:r>
      <w:r w:rsidRPr="00434F60">
        <w:rPr>
          <w:noProof/>
        </w:rPr>
        <w:drawing>
          <wp:inline distT="0" distB="0" distL="0" distR="0" wp14:anchorId="564C332F" wp14:editId="60B51125">
            <wp:extent cx="5579745" cy="1368425"/>
            <wp:effectExtent l="0" t="0" r="1905" b="3175"/>
            <wp:docPr id="4068915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1368425"/>
                    </a:xfrm>
                    <a:prstGeom prst="rect">
                      <a:avLst/>
                    </a:prstGeom>
                    <a:noFill/>
                    <a:ln>
                      <a:noFill/>
                    </a:ln>
                  </pic:spPr>
                </pic:pic>
              </a:graphicData>
            </a:graphic>
          </wp:inline>
        </w:drawing>
      </w:r>
    </w:p>
    <w:p w14:paraId="3D3A4ED9" w14:textId="74EA6976" w:rsidR="00F06B15" w:rsidRPr="00BD077D" w:rsidRDefault="00F06B15" w:rsidP="00A266A4">
      <w:pPr>
        <w:pStyle w:val="CETCaption"/>
        <w:spacing w:before="0"/>
      </w:pPr>
      <w:r w:rsidRPr="00BD077D">
        <w:rPr>
          <w:rStyle w:val="CETCaptionCarattere"/>
          <w:i/>
        </w:rPr>
        <w:t xml:space="preserve">Figure </w:t>
      </w:r>
      <w:r>
        <w:rPr>
          <w:rStyle w:val="CETCaptionCarattere"/>
          <w:i/>
        </w:rPr>
        <w:t>3</w:t>
      </w:r>
      <w:r w:rsidRPr="00BD077D">
        <w:rPr>
          <w:rStyle w:val="CETCaptionCarattere"/>
          <w:i/>
        </w:rPr>
        <w:t xml:space="preserve">: </w:t>
      </w:r>
      <w:r>
        <w:rPr>
          <w:rStyle w:val="CETCaptionCarattere"/>
          <w:i/>
        </w:rPr>
        <w:t xml:space="preserve">The effect of </w:t>
      </w:r>
      <w:r w:rsidRPr="00BC56EE">
        <w:rPr>
          <w:rStyle w:val="CETCaptionCarattere"/>
          <w:i/>
        </w:rPr>
        <w:t>material properties on transient thermal behavio</w:t>
      </w:r>
      <w:r>
        <w:rPr>
          <w:rStyle w:val="CETCaptionCarattere"/>
          <w:i/>
        </w:rPr>
        <w:t>u</w:t>
      </w:r>
      <w:r w:rsidRPr="00BC56EE">
        <w:rPr>
          <w:rStyle w:val="CETCaptionCarattere"/>
          <w:i/>
        </w:rPr>
        <w:t>r after combustion</w:t>
      </w:r>
      <w:r>
        <w:rPr>
          <w:rStyle w:val="CETCaptionCarattere"/>
          <w:i/>
        </w:rPr>
        <w:t xml:space="preserve">. </w:t>
      </w:r>
      <w:r w:rsidR="00BB0849">
        <w:rPr>
          <w:rStyle w:val="CETCaptionCarattere"/>
          <w:i/>
        </w:rPr>
        <w:t>A</w:t>
      </w:r>
      <w:r>
        <w:rPr>
          <w:rStyle w:val="CETCaptionCarattere"/>
          <w:i/>
        </w:rPr>
        <w:t>: soapstone</w:t>
      </w:r>
      <w:r w:rsidR="00BB0849">
        <w:rPr>
          <w:rStyle w:val="CETCaptionCarattere"/>
          <w:i/>
        </w:rPr>
        <w:t xml:space="preserve"> (1A case followed by cooling).</w:t>
      </w:r>
      <w:r>
        <w:rPr>
          <w:rStyle w:val="CETCaptionCarattere"/>
          <w:i/>
        </w:rPr>
        <w:t xml:space="preserve"> </w:t>
      </w:r>
      <w:r w:rsidR="00BB0849">
        <w:rPr>
          <w:rStyle w:val="CETCaptionCarattere"/>
          <w:i/>
        </w:rPr>
        <w:t>B</w:t>
      </w:r>
      <w:r>
        <w:rPr>
          <w:rStyle w:val="CETCaptionCarattere"/>
          <w:i/>
        </w:rPr>
        <w:t>: cast iron</w:t>
      </w:r>
      <w:r w:rsidR="00BB0849">
        <w:rPr>
          <w:rStyle w:val="CETCaptionCarattere"/>
          <w:i/>
        </w:rPr>
        <w:t xml:space="preserve"> (1B case followed by cooling)</w:t>
      </w:r>
    </w:p>
    <w:p w14:paraId="00EFB041" w14:textId="77777777" w:rsidR="00F06B15" w:rsidRDefault="00F06B15" w:rsidP="00F06B15">
      <w:pPr>
        <w:pStyle w:val="CETHeading1"/>
      </w:pPr>
      <w:r>
        <w:t>Experimental</w:t>
      </w:r>
    </w:p>
    <w:p w14:paraId="064963CA" w14:textId="77777777" w:rsidR="00F06B15" w:rsidRDefault="00F06B15" w:rsidP="00F06B15">
      <w:pPr>
        <w:pStyle w:val="CETBodytext"/>
        <w:rPr>
          <w:lang w:val="en-GB"/>
        </w:rPr>
      </w:pPr>
      <w:r>
        <w:t>Three different wood stoves were tested according to the Norwegian type approval standard NS3058/59 (</w:t>
      </w:r>
      <w:r w:rsidRPr="00B53958">
        <w:t>1994</w:t>
      </w:r>
      <w:r>
        <w:t xml:space="preserve">), a cast iron stove, a plate steel stove and a soapstone stove. Extensive mapping of their emissions and energy performance was carried out and has earlier been reported in Skreiberg et al. (2023a, 2023b). The results showed that the energy efficiency of the heat storage stove (about 400 kg) was on average 3 percentage points higher than for the other two stoves (about 115 kg). However, the reason for this </w:t>
      </w:r>
      <w:r w:rsidRPr="00BC56EE">
        <w:t xml:space="preserve">was not discussed or explained. </w:t>
      </w:r>
    </w:p>
    <w:p w14:paraId="4885FC5F" w14:textId="0CE27746" w:rsidR="00F06B15" w:rsidRDefault="00F06B15" w:rsidP="00F06B15">
      <w:pPr>
        <w:pStyle w:val="CETheadingx"/>
      </w:pPr>
      <w:r w:rsidRPr="00FF2ACD">
        <w:rPr>
          <w:lang w:val="en-GB"/>
        </w:rPr>
        <w:t>Heat storage influence on stove efficiency</w:t>
      </w:r>
    </w:p>
    <w:p w14:paraId="572FB27E" w14:textId="328089FC" w:rsidR="00F06B15" w:rsidRDefault="00F06B15" w:rsidP="00F06B15">
      <w:pPr>
        <w:pStyle w:val="CETBodytext"/>
        <w:rPr>
          <w:lang w:val="en-GB"/>
        </w:rPr>
      </w:pPr>
      <w:r>
        <w:t xml:space="preserve">As can be seen in Table 2, low load experiments yield lower combustion efficiency than at nominal load, but to which degree depends also on the stove design. </w:t>
      </w:r>
      <w:r w:rsidRPr="100FFD57">
        <w:rPr>
          <w:lang w:val="en-GB"/>
        </w:rPr>
        <w:t>The thermal efficiency depends both on the chimney inlet temperature and the O</w:t>
      </w:r>
      <w:r w:rsidRPr="100FFD57">
        <w:rPr>
          <w:vertAlign w:val="subscript"/>
          <w:lang w:val="en-GB"/>
        </w:rPr>
        <w:t>2</w:t>
      </w:r>
      <w:r w:rsidRPr="100FFD57">
        <w:rPr>
          <w:lang w:val="en-GB"/>
        </w:rPr>
        <w:t xml:space="preserve"> concentration, which both depends on the stove design, and the regulation of the air </w:t>
      </w:r>
      <w:r w:rsidRPr="100FFD57">
        <w:rPr>
          <w:lang w:val="en-GB"/>
        </w:rPr>
        <w:lastRenderedPageBreak/>
        <w:t xml:space="preserve">intake valve. </w:t>
      </w:r>
      <w:r>
        <w:t>Lowering the chimney inlet temperature is key, while lowering the excess air helps further. The soapstone stove (Stove 3) operate</w:t>
      </w:r>
      <w:r w:rsidR="00224A0E">
        <w:t>s</w:t>
      </w:r>
      <w:r>
        <w:t xml:space="preserve"> at a lower chimney inlet temperature at a similar O</w:t>
      </w:r>
      <w:r w:rsidRPr="100FFD57">
        <w:rPr>
          <w:vertAlign w:val="subscript"/>
        </w:rPr>
        <w:t>2</w:t>
      </w:r>
      <w:r>
        <w:t xml:space="preserve">, as illustrated in Figure 4, i.e. more heat is transferred to the stove materials. This could </w:t>
      </w:r>
      <w:r w:rsidR="00DF2124">
        <w:t>be</w:t>
      </w:r>
      <w:r>
        <w:t xml:space="preserve"> </w:t>
      </w:r>
      <w:r w:rsidR="00DF2124">
        <w:rPr>
          <w:lang w:val="en-GB"/>
        </w:rPr>
        <w:t>because of the higher heat storage capacity</w:t>
      </w:r>
      <w:r w:rsidR="00DF2124">
        <w:t xml:space="preserve"> and partly </w:t>
      </w:r>
      <w:r>
        <w:t>due</w:t>
      </w:r>
      <w:r w:rsidRPr="100FFD57">
        <w:rPr>
          <w:lang w:val="en-GB"/>
        </w:rPr>
        <w:t xml:space="preserve"> to</w:t>
      </w:r>
      <w:r>
        <w:rPr>
          <w:lang w:val="en-GB"/>
        </w:rPr>
        <w:t xml:space="preserve"> a</w:t>
      </w:r>
      <w:r w:rsidRPr="100FFD57">
        <w:rPr>
          <w:lang w:val="en-GB"/>
        </w:rPr>
        <w:t xml:space="preserve"> larger heat transfer area</w:t>
      </w:r>
      <w:r>
        <w:rPr>
          <w:lang w:val="en-GB"/>
        </w:rPr>
        <w:t>.</w:t>
      </w:r>
    </w:p>
    <w:p w14:paraId="5BDF6E87" w14:textId="6ED804AA" w:rsidR="00F06B15" w:rsidRPr="00B57B36" w:rsidRDefault="00F06B15" w:rsidP="00F06B15">
      <w:pPr>
        <w:pStyle w:val="CETTabletitle"/>
      </w:pPr>
      <w:r w:rsidRPr="00B57B36">
        <w:t xml:space="preserve">Table </w:t>
      </w:r>
      <w:r>
        <w:t>2</w:t>
      </w:r>
      <w:r w:rsidRPr="00B57B36">
        <w:t xml:space="preserve">: </w:t>
      </w:r>
      <w:r w:rsidRPr="005042C1">
        <w:t>Weighted average values for assessing combustion process and energetic performance</w:t>
      </w:r>
      <w:r>
        <w:t xml:space="preserve"> (Skreiberg et al. (2023a)</w:t>
      </w:r>
      <w:r w:rsidR="001A215E">
        <w:t>. Stove</w:t>
      </w:r>
      <w:r w:rsidR="00B27707">
        <w:t xml:space="preserve"> 1: cast iron. Stove 2: plate steel</w:t>
      </w:r>
      <w:r w:rsidR="00281C29">
        <w:t xml:space="preserve"> with radiation shield. Stove 3: </w:t>
      </w:r>
      <w:r w:rsidR="00052F4E">
        <w:t>soapstone</w:t>
      </w:r>
    </w:p>
    <w:p w14:paraId="25A01A52" w14:textId="0EB827CE" w:rsidR="00F06B15" w:rsidRPr="00B57B36" w:rsidRDefault="00D7476B" w:rsidP="00F06B15">
      <w:pPr>
        <w:pStyle w:val="CETheadingx"/>
        <w:numPr>
          <w:ilvl w:val="2"/>
          <w:numId w:val="0"/>
        </w:numPr>
        <w:rPr>
          <w:lang w:val="en-GB"/>
        </w:rPr>
      </w:pPr>
      <w:r w:rsidRPr="00D7476B">
        <w:rPr>
          <w:noProof/>
        </w:rPr>
        <w:drawing>
          <wp:inline distT="0" distB="0" distL="0" distR="0" wp14:anchorId="76F03C64" wp14:editId="7078FD00">
            <wp:extent cx="3091925" cy="838870"/>
            <wp:effectExtent l="0" t="0" r="0" b="0"/>
            <wp:docPr id="211149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6149" cy="859008"/>
                    </a:xfrm>
                    <a:prstGeom prst="rect">
                      <a:avLst/>
                    </a:prstGeom>
                    <a:noFill/>
                    <a:ln>
                      <a:noFill/>
                    </a:ln>
                  </pic:spPr>
                </pic:pic>
              </a:graphicData>
            </a:graphic>
          </wp:inline>
        </w:drawing>
      </w:r>
      <w:r>
        <w:rPr>
          <w:lang w:val="en-GB"/>
        </w:rPr>
        <w:t xml:space="preserve">   </w:t>
      </w:r>
      <w:r>
        <w:rPr>
          <w:noProof/>
          <w:lang w:val="en-GB"/>
        </w:rPr>
        <w:drawing>
          <wp:inline distT="0" distB="0" distL="0" distR="0" wp14:anchorId="4F7809A9" wp14:editId="34D78E2F">
            <wp:extent cx="2080963" cy="833829"/>
            <wp:effectExtent l="0" t="0" r="0" b="4445"/>
            <wp:docPr id="13761100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6586" cy="844096"/>
                    </a:xfrm>
                    <a:prstGeom prst="rect">
                      <a:avLst/>
                    </a:prstGeom>
                    <a:noFill/>
                  </pic:spPr>
                </pic:pic>
              </a:graphicData>
            </a:graphic>
          </wp:inline>
        </w:drawing>
      </w:r>
    </w:p>
    <w:p w14:paraId="4DCD27CC" w14:textId="0D7EEA9B" w:rsidR="00F06B15" w:rsidRPr="00BD077D" w:rsidRDefault="00F06B15" w:rsidP="00F06B15">
      <w:pPr>
        <w:pStyle w:val="CETCaption"/>
      </w:pPr>
      <w:r w:rsidRPr="00BD077D">
        <w:rPr>
          <w:rStyle w:val="CETCaptionCarattere"/>
          <w:i/>
        </w:rPr>
        <w:t xml:space="preserve">Figure </w:t>
      </w:r>
      <w:r>
        <w:rPr>
          <w:rStyle w:val="CETCaptionCarattere"/>
          <w:i/>
        </w:rPr>
        <w:t>4</w:t>
      </w:r>
      <w:r w:rsidRPr="00BD077D">
        <w:rPr>
          <w:rStyle w:val="CETCaptionCarattere"/>
          <w:i/>
        </w:rPr>
        <w:t xml:space="preserve">: </w:t>
      </w:r>
      <w:r w:rsidRPr="001A64DD">
        <w:rPr>
          <w:rStyle w:val="CETCaptionCarattere"/>
          <w:i/>
        </w:rPr>
        <w:t xml:space="preserve">Stove </w:t>
      </w:r>
      <w:r w:rsidR="00320B3B" w:rsidRPr="001A64DD">
        <w:rPr>
          <w:rStyle w:val="CETCaptionCarattere"/>
          <w:i/>
        </w:rPr>
        <w:t xml:space="preserve">thermal </w:t>
      </w:r>
      <w:r w:rsidRPr="001A64DD">
        <w:rPr>
          <w:rStyle w:val="CETCaptionCarattere"/>
          <w:i/>
        </w:rPr>
        <w:t>efficiency</w:t>
      </w:r>
      <w:r>
        <w:rPr>
          <w:rStyle w:val="CETCaptionCarattere"/>
          <w:i/>
        </w:rPr>
        <w:t xml:space="preserve"> as a function of chimney inlet temperature and </w:t>
      </w:r>
      <w:r w:rsidRPr="00C959D7">
        <w:rPr>
          <w:rStyle w:val="CETCaptionCarattere"/>
          <w:i/>
        </w:rPr>
        <w:t>O</w:t>
      </w:r>
      <w:r w:rsidRPr="00C959D7">
        <w:rPr>
          <w:rStyle w:val="CETCaptionCarattere"/>
          <w:i/>
          <w:vertAlign w:val="subscript"/>
        </w:rPr>
        <w:t>2</w:t>
      </w:r>
      <w:r w:rsidRPr="00C959D7">
        <w:rPr>
          <w:rStyle w:val="CETCaptionCarattere"/>
          <w:i/>
        </w:rPr>
        <w:t xml:space="preserve"> concentration</w:t>
      </w:r>
      <w:r w:rsidR="00FB5054">
        <w:rPr>
          <w:rStyle w:val="CETCaptionCarattere"/>
          <w:i/>
        </w:rPr>
        <w:t xml:space="preserve"> (vol% dry)</w:t>
      </w:r>
      <w:r w:rsidRPr="00BD077D">
        <w:t xml:space="preserve"> </w:t>
      </w:r>
    </w:p>
    <w:p w14:paraId="144F0AB5" w14:textId="670677DB" w:rsidR="00C971FF" w:rsidRDefault="00F06B15" w:rsidP="00F06B15">
      <w:pPr>
        <w:pStyle w:val="CETBodytext"/>
        <w:rPr>
          <w:lang w:val="en-GB"/>
        </w:rPr>
      </w:pPr>
      <w:r>
        <w:t>To aid in the assessment the development of</w:t>
      </w:r>
      <w:r w:rsidRPr="00FF2ACD">
        <w:t xml:space="preserve"> the </w:t>
      </w:r>
      <w:r>
        <w:t xml:space="preserve">measured </w:t>
      </w:r>
      <w:r w:rsidRPr="00FF2ACD">
        <w:t>transient surface temperature</w:t>
      </w:r>
      <w:r>
        <w:t xml:space="preserve"> was studied. At some point the </w:t>
      </w:r>
      <w:r w:rsidRPr="00FF2ACD">
        <w:rPr>
          <w:lang w:val="en-GB"/>
        </w:rPr>
        <w:t xml:space="preserve">soapstone heat storage effect </w:t>
      </w:r>
      <w:r>
        <w:rPr>
          <w:lang w:val="en-GB"/>
        </w:rPr>
        <w:t xml:space="preserve">will not be beneficial any longer, i.e. when the heat storage cannot take up more heat due to the instantaneous heat release balancing the instantaneous heat storage. At that point, the soapstone will act as a more efficient insulator compared to cast iron or plate steel, decreasing the stove thermal efficiency. </w:t>
      </w:r>
      <w:r>
        <w:t>When comparing with the heat release profile from the combustion process, a</w:t>
      </w:r>
      <w:r w:rsidRPr="100FFD57">
        <w:rPr>
          <w:lang w:val="en-GB"/>
        </w:rPr>
        <w:t xml:space="preserve"> change in net heat production influences the outer surface temperature much faster for Stove 1 - Cast iron. Differences in preheating degree will influence the initial behaviour</w:t>
      </w:r>
      <w:r>
        <w:rPr>
          <w:lang w:val="en-GB"/>
        </w:rPr>
        <w:t xml:space="preserve">, which can be seen in Figure 5. In the evaluation of the thermal efficiency of a stove the preheating degree should in principle be </w:t>
      </w:r>
      <w:r w:rsidR="00D2529A">
        <w:rPr>
          <w:lang w:val="en-GB"/>
        </w:rPr>
        <w:t>considered</w:t>
      </w:r>
      <w:r>
        <w:rPr>
          <w:lang w:val="en-GB"/>
        </w:rPr>
        <w:t>. A higher initial wall temperature will reduce the stove thermal efficiency when firing at the same load. When igniting the stove, the thermal efficiency has the potential to be at its highest, as the available heat storage capacity is at its highest. When ending the firing, higher heat storage capacity and higher wall temperature means that more heat can be lost to leakage air</w:t>
      </w:r>
      <w:r w:rsidR="00C971FF">
        <w:rPr>
          <w:lang w:val="en-GB"/>
        </w:rPr>
        <w:t>.</w:t>
      </w:r>
    </w:p>
    <w:p w14:paraId="527C8BC9" w14:textId="375A7DB3" w:rsidR="00F06B15" w:rsidRPr="00C971FF" w:rsidRDefault="00F06B15" w:rsidP="00F06B15">
      <w:pPr>
        <w:pStyle w:val="CETBodytext"/>
        <w:rPr>
          <w:sz w:val="8"/>
          <w:szCs w:val="8"/>
          <w:lang w:val="en-GB"/>
        </w:rPr>
      </w:pPr>
    </w:p>
    <w:p w14:paraId="4469D6F5" w14:textId="4F092E6B" w:rsidR="00F06B15" w:rsidRDefault="00285D56" w:rsidP="00F06B15">
      <w:pPr>
        <w:pStyle w:val="CETBodytext"/>
        <w:rPr>
          <w:lang w:val="en-GB"/>
        </w:rPr>
      </w:pPr>
      <w:r w:rsidRPr="00285D56">
        <w:rPr>
          <w:noProof/>
          <w:lang w:val="en-GB"/>
        </w:rPr>
        <mc:AlternateContent>
          <mc:Choice Requires="wps">
            <w:drawing>
              <wp:anchor distT="45720" distB="45720" distL="114300" distR="114300" simplePos="0" relativeHeight="251679744" behindDoc="0" locked="1" layoutInCell="1" allowOverlap="1" wp14:anchorId="2E46AE84" wp14:editId="03D5A5E6">
                <wp:simplePos x="0" y="0"/>
                <wp:positionH relativeFrom="column">
                  <wp:posOffset>4937760</wp:posOffset>
                </wp:positionH>
                <wp:positionV relativeFrom="paragraph">
                  <wp:posOffset>690880</wp:posOffset>
                </wp:positionV>
                <wp:extent cx="304800" cy="240665"/>
                <wp:effectExtent l="0" t="0" r="0" b="6985"/>
                <wp:wrapNone/>
                <wp:docPr id="1367645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0665"/>
                        </a:xfrm>
                        <a:prstGeom prst="rect">
                          <a:avLst/>
                        </a:prstGeom>
                        <a:solidFill>
                          <a:srgbClr val="FFFFFF"/>
                        </a:solidFill>
                        <a:ln w="9525">
                          <a:noFill/>
                          <a:miter lim="800000"/>
                          <a:headEnd/>
                          <a:tailEnd/>
                        </a:ln>
                      </wps:spPr>
                      <wps:txbx>
                        <w:txbxContent>
                          <w:p w14:paraId="415AF2B0" w14:textId="15201FB1" w:rsidR="00285D56" w:rsidRDefault="00285D56" w:rsidP="00285D56">
                            <w:pPr>
                              <w:jc w:val="right"/>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6AE84" id="_x0000_s1035" type="#_x0000_t202" style="position:absolute;left:0;text-align:left;margin-left:388.8pt;margin-top:54.4pt;width:24pt;height:18.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" stroked="f">
                <v:textbox>
                  <w:txbxContent>
                    <w:p w14:paraId="415AF2B0" w14:textId="15201FB1" w:rsidR="00285D56" w:rsidRDefault="00285D56" w:rsidP="00285D56">
                      <w:pPr>
                        <w:jc w:val="right"/>
                      </w:pPr>
                      <w:r>
                        <w:t>C</w:t>
                      </w:r>
                    </w:p>
                  </w:txbxContent>
                </v:textbox>
                <w10:anchorlock/>
              </v:shape>
            </w:pict>
          </mc:Fallback>
        </mc:AlternateContent>
      </w:r>
      <w:r w:rsidRPr="00285D56">
        <w:rPr>
          <w:noProof/>
          <w:lang w:val="en-GB"/>
        </w:rPr>
        <mc:AlternateContent>
          <mc:Choice Requires="wps">
            <w:drawing>
              <wp:anchor distT="45720" distB="45720" distL="114300" distR="114300" simplePos="0" relativeHeight="251677696" behindDoc="0" locked="1" layoutInCell="1" allowOverlap="1" wp14:anchorId="462BBB00" wp14:editId="44E3AAD3">
                <wp:simplePos x="0" y="0"/>
                <wp:positionH relativeFrom="column">
                  <wp:posOffset>3126105</wp:posOffset>
                </wp:positionH>
                <wp:positionV relativeFrom="paragraph">
                  <wp:posOffset>687070</wp:posOffset>
                </wp:positionV>
                <wp:extent cx="304800" cy="240665"/>
                <wp:effectExtent l="0" t="0" r="0" b="6985"/>
                <wp:wrapNone/>
                <wp:docPr id="569429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0665"/>
                        </a:xfrm>
                        <a:prstGeom prst="rect">
                          <a:avLst/>
                        </a:prstGeom>
                        <a:solidFill>
                          <a:srgbClr val="FFFFFF"/>
                        </a:solidFill>
                        <a:ln w="9525">
                          <a:noFill/>
                          <a:miter lim="800000"/>
                          <a:headEnd/>
                          <a:tailEnd/>
                        </a:ln>
                      </wps:spPr>
                      <wps:txbx>
                        <w:txbxContent>
                          <w:p w14:paraId="6E793057" w14:textId="130C7FF6" w:rsidR="00285D56" w:rsidRDefault="00285D56" w:rsidP="00285D56">
                            <w:pPr>
                              <w:jc w:val="right"/>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BBB00" id="_x0000_s1036" type="#_x0000_t202" style="position:absolute;left:0;text-align:left;margin-left:246.15pt;margin-top:54.1pt;width:24pt;height:18.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" stroked="f">
                <v:textbox>
                  <w:txbxContent>
                    <w:p w14:paraId="6E793057" w14:textId="130C7FF6" w:rsidR="00285D56" w:rsidRDefault="00285D56" w:rsidP="00285D56">
                      <w:pPr>
                        <w:jc w:val="right"/>
                      </w:pPr>
                      <w:r>
                        <w:t>B</w:t>
                      </w:r>
                    </w:p>
                  </w:txbxContent>
                </v:textbox>
                <w10:anchorlock/>
              </v:shape>
            </w:pict>
          </mc:Fallback>
        </mc:AlternateContent>
      </w:r>
      <w:r w:rsidRPr="00285D56">
        <w:rPr>
          <w:noProof/>
          <w:lang w:val="en-GB"/>
        </w:rPr>
        <mc:AlternateContent>
          <mc:Choice Requires="wps">
            <w:drawing>
              <wp:anchor distT="45720" distB="45720" distL="114300" distR="114300" simplePos="0" relativeHeight="251675648" behindDoc="0" locked="1" layoutInCell="1" allowOverlap="1" wp14:anchorId="3590CA2A" wp14:editId="622FC0A3">
                <wp:simplePos x="0" y="0"/>
                <wp:positionH relativeFrom="column">
                  <wp:posOffset>1343660</wp:posOffset>
                </wp:positionH>
                <wp:positionV relativeFrom="paragraph">
                  <wp:posOffset>662940</wp:posOffset>
                </wp:positionV>
                <wp:extent cx="304800" cy="240665"/>
                <wp:effectExtent l="0" t="0" r="0" b="6985"/>
                <wp:wrapNone/>
                <wp:docPr id="294321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0665"/>
                        </a:xfrm>
                        <a:prstGeom prst="rect">
                          <a:avLst/>
                        </a:prstGeom>
                        <a:solidFill>
                          <a:srgbClr val="FFFFFF"/>
                        </a:solidFill>
                        <a:ln w="9525">
                          <a:noFill/>
                          <a:miter lim="800000"/>
                          <a:headEnd/>
                          <a:tailEnd/>
                        </a:ln>
                      </wps:spPr>
                      <wps:txbx>
                        <w:txbxContent>
                          <w:p w14:paraId="4555D5ED" w14:textId="77777777" w:rsidR="00285D56" w:rsidRDefault="00285D56" w:rsidP="00285D56">
                            <w:pPr>
                              <w:jc w:val="right"/>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0CA2A" id="_x0000_s1037" type="#_x0000_t202" style="position:absolute;left:0;text-align:left;margin-left:105.8pt;margin-top:52.2pt;width:24pt;height:18.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" stroked="f">
                <v:textbox>
                  <w:txbxContent>
                    <w:p w14:paraId="4555D5ED" w14:textId="77777777" w:rsidR="00285D56" w:rsidRDefault="00285D56" w:rsidP="00285D56">
                      <w:pPr>
                        <w:jc w:val="right"/>
                      </w:pPr>
                      <w:r>
                        <w:t>A</w:t>
                      </w:r>
                    </w:p>
                  </w:txbxContent>
                </v:textbox>
                <w10:anchorlock/>
              </v:shape>
            </w:pict>
          </mc:Fallback>
        </mc:AlternateContent>
      </w:r>
      <w:r w:rsidR="00F06B15">
        <w:rPr>
          <w:noProof/>
          <w:lang w:val="en-GB"/>
        </w:rPr>
        <w:drawing>
          <wp:inline distT="0" distB="0" distL="0" distR="0" wp14:anchorId="23D24C22" wp14:editId="64517DE6">
            <wp:extent cx="1769629" cy="1336827"/>
            <wp:effectExtent l="0" t="0" r="2540" b="0"/>
            <wp:docPr id="190525288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52887" name="Picture 1" descr="A graph of different colored lin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8892" cy="1351379"/>
                    </a:xfrm>
                    <a:prstGeom prst="rect">
                      <a:avLst/>
                    </a:prstGeom>
                    <a:noFill/>
                  </pic:spPr>
                </pic:pic>
              </a:graphicData>
            </a:graphic>
          </wp:inline>
        </w:drawing>
      </w:r>
      <w:r w:rsidR="00F06B15">
        <w:rPr>
          <w:lang w:val="en-GB"/>
        </w:rPr>
        <w:t xml:space="preserve"> </w:t>
      </w:r>
      <w:r w:rsidR="00F06B15">
        <w:rPr>
          <w:noProof/>
          <w:lang w:val="en-GB"/>
        </w:rPr>
        <w:drawing>
          <wp:inline distT="0" distB="0" distL="0" distR="0" wp14:anchorId="2D12C9C3" wp14:editId="2557D213">
            <wp:extent cx="1757283" cy="1327500"/>
            <wp:effectExtent l="0" t="0" r="0" b="6350"/>
            <wp:docPr id="1386069246"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69246" name="Picture 2" descr="A graph of different colored lin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580" cy="1345855"/>
                    </a:xfrm>
                    <a:prstGeom prst="rect">
                      <a:avLst/>
                    </a:prstGeom>
                    <a:noFill/>
                  </pic:spPr>
                </pic:pic>
              </a:graphicData>
            </a:graphic>
          </wp:inline>
        </w:drawing>
      </w:r>
      <w:r w:rsidR="00F06B15">
        <w:rPr>
          <w:lang w:val="en-GB"/>
        </w:rPr>
        <w:t xml:space="preserve"> </w:t>
      </w:r>
      <w:r w:rsidR="00F06B15">
        <w:rPr>
          <w:noProof/>
          <w:lang w:val="en-GB"/>
        </w:rPr>
        <w:drawing>
          <wp:inline distT="0" distB="0" distL="0" distR="0" wp14:anchorId="71E9D840" wp14:editId="3522DD7F">
            <wp:extent cx="1762391" cy="1331357"/>
            <wp:effectExtent l="0" t="0" r="0" b="2540"/>
            <wp:docPr id="1722967390"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67390" name="Picture 3" descr="A graph of different colored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7636" cy="1342873"/>
                    </a:xfrm>
                    <a:prstGeom prst="rect">
                      <a:avLst/>
                    </a:prstGeom>
                    <a:noFill/>
                  </pic:spPr>
                </pic:pic>
              </a:graphicData>
            </a:graphic>
          </wp:inline>
        </w:drawing>
      </w:r>
    </w:p>
    <w:p w14:paraId="2B685823" w14:textId="0554E8B3" w:rsidR="00F06B15" w:rsidRPr="00BD077D" w:rsidRDefault="00F06B15" w:rsidP="00B13377">
      <w:pPr>
        <w:pStyle w:val="CETCaption"/>
      </w:pPr>
      <w:r w:rsidRPr="00BD077D">
        <w:rPr>
          <w:rStyle w:val="CETCaptionCarattere"/>
          <w:i/>
        </w:rPr>
        <w:t xml:space="preserve">Figure </w:t>
      </w:r>
      <w:r>
        <w:rPr>
          <w:rStyle w:val="CETCaptionCarattere"/>
          <w:i/>
        </w:rPr>
        <w:t>5</w:t>
      </w:r>
      <w:r w:rsidRPr="00BD077D">
        <w:rPr>
          <w:rStyle w:val="CETCaptionCarattere"/>
          <w:i/>
        </w:rPr>
        <w:t xml:space="preserve">: </w:t>
      </w:r>
      <w:r>
        <w:rPr>
          <w:rStyle w:val="CETCaptionCarattere"/>
          <w:i/>
        </w:rPr>
        <w:t>Outer wall mean temperature development for the three stoves (</w:t>
      </w:r>
      <w:r w:rsidR="00285D56">
        <w:rPr>
          <w:rStyle w:val="CETCaptionCarattere"/>
          <w:i/>
        </w:rPr>
        <w:t>A</w:t>
      </w:r>
      <w:r w:rsidR="002B3876">
        <w:rPr>
          <w:rStyle w:val="CETCaptionCarattere"/>
          <w:i/>
        </w:rPr>
        <w:t xml:space="preserve">: </w:t>
      </w:r>
      <w:r>
        <w:rPr>
          <w:rStyle w:val="CETCaptionCarattere"/>
          <w:i/>
        </w:rPr>
        <w:t xml:space="preserve">cast iron, </w:t>
      </w:r>
      <w:r w:rsidR="00285D56">
        <w:rPr>
          <w:rStyle w:val="CETCaptionCarattere"/>
          <w:i/>
        </w:rPr>
        <w:t xml:space="preserve">B: </w:t>
      </w:r>
      <w:r>
        <w:rPr>
          <w:rStyle w:val="CETCaptionCarattere"/>
          <w:i/>
        </w:rPr>
        <w:t>plate steel</w:t>
      </w:r>
      <w:r w:rsidR="002B3876">
        <w:rPr>
          <w:rStyle w:val="CETCaptionCarattere"/>
          <w:i/>
        </w:rPr>
        <w:t xml:space="preserve"> with radiation shield</w:t>
      </w:r>
      <w:r>
        <w:rPr>
          <w:rStyle w:val="CETCaptionCarattere"/>
          <w:i/>
        </w:rPr>
        <w:t xml:space="preserve">, </w:t>
      </w:r>
      <w:r w:rsidR="00285D56">
        <w:rPr>
          <w:rStyle w:val="CETCaptionCarattere"/>
          <w:i/>
        </w:rPr>
        <w:t xml:space="preserve">C: </w:t>
      </w:r>
      <w:r>
        <w:rPr>
          <w:rStyle w:val="CETCaptionCarattere"/>
          <w:i/>
        </w:rPr>
        <w:t>soapstone) and comparison of load and thermal efficiency</w:t>
      </w:r>
    </w:p>
    <w:p w14:paraId="5D09F61A" w14:textId="77777777" w:rsidR="00F06B15" w:rsidRPr="00B57B36" w:rsidRDefault="00F06B15" w:rsidP="00F06B15">
      <w:pPr>
        <w:pStyle w:val="CETheadingx"/>
      </w:pPr>
      <w:r>
        <w:t>Heat storage influence on thermal comfort</w:t>
      </w:r>
    </w:p>
    <w:p w14:paraId="623336E8" w14:textId="77777777" w:rsidR="00F06B15" w:rsidRDefault="00F06B15" w:rsidP="00F06B15">
      <w:pPr>
        <w:pStyle w:val="CETBodytext"/>
        <w:rPr>
          <w:lang w:val="en-GB"/>
        </w:rPr>
      </w:pPr>
      <w:r w:rsidRPr="100FFD57">
        <w:rPr>
          <w:lang w:val="en-GB"/>
        </w:rPr>
        <w:t>When comparing surface temperatures</w:t>
      </w:r>
      <w:r>
        <w:rPr>
          <w:lang w:val="en-GB"/>
        </w:rPr>
        <w:t xml:space="preserve"> in Figure 5</w:t>
      </w:r>
      <w:r w:rsidRPr="100FFD57">
        <w:rPr>
          <w:lang w:val="en-GB"/>
        </w:rPr>
        <w:t>, much higher outer surface temperatures are seen for Stove 1 - Cast iron. Low outer surface temperatures are seen for Stove 2 - Plate steel, with radiation shield. The radiation shield enhances convective heat transfer and keeps the outer surface temperature low. Low outer surface temperatures are seen for Stove 3 - Soapstone, due to heat storage and reduced conductive heat transfer.</w:t>
      </w:r>
      <w:r>
        <w:rPr>
          <w:lang w:val="en-GB"/>
        </w:rPr>
        <w:t xml:space="preserve"> Hence, from a thermal comfort point of view the soapstone stove has beneficial properties, while from a safety point of view a radiation shield lowers the outer surface temperature, by enhancing convective heat transfer. The cast iron stove provides a higher fraction of radiant heat. The optimum distribution of radiant versus convective heat transfer to the room will depend on many factors, and personal comfort preferences as well.</w:t>
      </w:r>
    </w:p>
    <w:p w14:paraId="61CE5EF6" w14:textId="503DF964" w:rsidR="00F06B15" w:rsidRPr="00B57B36" w:rsidRDefault="00DE1465" w:rsidP="00F06B15">
      <w:pPr>
        <w:pStyle w:val="CETHeading1"/>
        <w:tabs>
          <w:tab w:val="clear" w:pos="360"/>
          <w:tab w:val="right" w:pos="7100"/>
        </w:tabs>
        <w:jc w:val="both"/>
        <w:rPr>
          <w:lang w:val="en-GB"/>
        </w:rPr>
      </w:pPr>
      <w:r>
        <w:rPr>
          <w:lang w:val="en-GB"/>
        </w:rPr>
        <w:t>The effect of air leakage</w:t>
      </w:r>
    </w:p>
    <w:p w14:paraId="451DE6CC" w14:textId="4CB0F773" w:rsidR="00F06B15" w:rsidRDefault="00F06B15" w:rsidP="00BE5B32">
      <w:pPr>
        <w:pStyle w:val="CETBodytext"/>
        <w:spacing w:after="240"/>
        <w:rPr>
          <w:lang w:val="en-GB"/>
        </w:rPr>
      </w:pPr>
      <w:r w:rsidRPr="54CB4DF0">
        <w:rPr>
          <w:lang w:val="en-GB"/>
        </w:rPr>
        <w:t xml:space="preserve">Modelling of the heat transfer through and the heat storage in a composite wall was carried out </w:t>
      </w:r>
      <w:r>
        <w:rPr>
          <w:lang w:val="en-GB"/>
        </w:rPr>
        <w:t>by</w:t>
      </w:r>
      <w:r w:rsidRPr="54CB4DF0">
        <w:rPr>
          <w:lang w:val="en-GB"/>
        </w:rPr>
        <w:t xml:space="preserve"> </w:t>
      </w:r>
      <w:r>
        <w:rPr>
          <w:lang w:val="en-GB"/>
        </w:rPr>
        <w:t>Skreiberg and Georges (2017)</w:t>
      </w:r>
      <w:r w:rsidRPr="54CB4DF0">
        <w:rPr>
          <w:lang w:val="en-GB"/>
        </w:rPr>
        <w:t xml:space="preserve">. In this work the modelling approach was extended to include </w:t>
      </w:r>
      <w:r w:rsidR="00684284">
        <w:rPr>
          <w:lang w:val="en-GB"/>
        </w:rPr>
        <w:t xml:space="preserve">convective </w:t>
      </w:r>
      <w:r w:rsidRPr="54CB4DF0">
        <w:rPr>
          <w:lang w:val="en-GB"/>
        </w:rPr>
        <w:t>heat transfer from the hot inner wall to leakage air after the combustion process has ended. This enables assessing the effect of this heat loss on the energy performance of the stove.</w:t>
      </w:r>
      <w:r>
        <w:rPr>
          <w:lang w:val="en-GB"/>
        </w:rPr>
        <w:t xml:space="preserve"> </w:t>
      </w:r>
      <w:r w:rsidRPr="000438F6">
        <w:rPr>
          <w:lang w:val="en-GB"/>
        </w:rPr>
        <w:t xml:space="preserve">Effect of air leakage on </w:t>
      </w:r>
      <w:r w:rsidR="00684284">
        <w:rPr>
          <w:lang w:val="en-GB"/>
        </w:rPr>
        <w:t xml:space="preserve">the initial </w:t>
      </w:r>
      <w:r w:rsidRPr="000438F6">
        <w:rPr>
          <w:lang w:val="en-GB"/>
        </w:rPr>
        <w:t>thermal efficiency</w:t>
      </w:r>
      <w:r w:rsidR="00684284">
        <w:rPr>
          <w:lang w:val="en-GB"/>
        </w:rPr>
        <w:t xml:space="preserve"> of </w:t>
      </w:r>
      <w:r w:rsidR="00684284">
        <w:rPr>
          <w:lang w:val="en-GB"/>
        </w:rPr>
        <w:lastRenderedPageBreak/>
        <w:t>75%</w:t>
      </w:r>
      <w:r w:rsidRPr="000438F6">
        <w:rPr>
          <w:lang w:val="en-GB"/>
        </w:rPr>
        <w:t xml:space="preserve"> for a soapstone sto</w:t>
      </w:r>
      <w:r w:rsidR="00267E08">
        <w:rPr>
          <w:lang w:val="en-GB"/>
        </w:rPr>
        <w:t>ve</w:t>
      </w:r>
      <w:r w:rsidRPr="000438F6">
        <w:rPr>
          <w:lang w:val="en-GB"/>
        </w:rPr>
        <w:t xml:space="preserve"> and a </w:t>
      </w:r>
      <w:r w:rsidR="00684284">
        <w:rPr>
          <w:lang w:val="en-GB"/>
        </w:rPr>
        <w:t xml:space="preserve">three times lighter </w:t>
      </w:r>
      <w:r w:rsidRPr="000438F6">
        <w:rPr>
          <w:lang w:val="en-GB"/>
        </w:rPr>
        <w:t>cast iron stove</w:t>
      </w:r>
      <w:r>
        <w:rPr>
          <w:lang w:val="en-GB"/>
        </w:rPr>
        <w:t xml:space="preserve"> is shown in Figure 6, showing that the stove thermal efficiency is much less influenced by an air leakage for the cast iron stove compared to a soapstone stove. Ideally, no air should leak through the air supply valve and out the chimney when the combustion process has ended or when the stove is not in operation.</w:t>
      </w:r>
    </w:p>
    <w:p w14:paraId="5D574E7E" w14:textId="2B245821" w:rsidR="00F06B15" w:rsidRDefault="00285D56" w:rsidP="00F06B15">
      <w:pPr>
        <w:pStyle w:val="CETBodytext"/>
      </w:pPr>
      <w:r w:rsidRPr="00285D56">
        <w:rPr>
          <w:noProof/>
          <w:lang w:val="en-GB"/>
        </w:rPr>
        <mc:AlternateContent>
          <mc:Choice Requires="wps">
            <w:drawing>
              <wp:anchor distT="45720" distB="45720" distL="114300" distR="114300" simplePos="0" relativeHeight="251683840" behindDoc="0" locked="1" layoutInCell="1" allowOverlap="1" wp14:anchorId="07E0C225" wp14:editId="451FC71A">
                <wp:simplePos x="0" y="0"/>
                <wp:positionH relativeFrom="column">
                  <wp:posOffset>4712970</wp:posOffset>
                </wp:positionH>
                <wp:positionV relativeFrom="paragraph">
                  <wp:posOffset>846455</wp:posOffset>
                </wp:positionV>
                <wp:extent cx="304800" cy="240665"/>
                <wp:effectExtent l="0" t="0" r="0" b="6985"/>
                <wp:wrapNone/>
                <wp:docPr id="992381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0665"/>
                        </a:xfrm>
                        <a:prstGeom prst="rect">
                          <a:avLst/>
                        </a:prstGeom>
                        <a:solidFill>
                          <a:srgbClr val="FFFFFF"/>
                        </a:solidFill>
                        <a:ln w="9525">
                          <a:noFill/>
                          <a:miter lim="800000"/>
                          <a:headEnd/>
                          <a:tailEnd/>
                        </a:ln>
                      </wps:spPr>
                      <wps:txbx>
                        <w:txbxContent>
                          <w:p w14:paraId="65E61000" w14:textId="536EF634" w:rsidR="00285D56" w:rsidRDefault="00285D56" w:rsidP="00285D56">
                            <w:pPr>
                              <w:jc w:val="right"/>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0C225" id="_x0000_s1038" type="#_x0000_t202" style="position:absolute;left:0;text-align:left;margin-left:371.1pt;margin-top:66.65pt;width:24pt;height:18.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" stroked="f">
                <v:textbox>
                  <w:txbxContent>
                    <w:p w14:paraId="65E61000" w14:textId="536EF634" w:rsidR="00285D56" w:rsidRDefault="00285D56" w:rsidP="00285D56">
                      <w:pPr>
                        <w:jc w:val="right"/>
                      </w:pPr>
                      <w:r>
                        <w:t>B</w:t>
                      </w:r>
                    </w:p>
                  </w:txbxContent>
                </v:textbox>
                <w10:anchorlock/>
              </v:shape>
            </w:pict>
          </mc:Fallback>
        </mc:AlternateContent>
      </w:r>
      <w:r w:rsidRPr="00285D56">
        <w:rPr>
          <w:noProof/>
          <w:lang w:val="en-GB"/>
        </w:rPr>
        <mc:AlternateContent>
          <mc:Choice Requires="wps">
            <w:drawing>
              <wp:anchor distT="45720" distB="45720" distL="114300" distR="114300" simplePos="0" relativeHeight="251681792" behindDoc="0" locked="1" layoutInCell="1" allowOverlap="1" wp14:anchorId="65963F32" wp14:editId="2859F6FC">
                <wp:simplePos x="0" y="0"/>
                <wp:positionH relativeFrom="column">
                  <wp:posOffset>2191385</wp:posOffset>
                </wp:positionH>
                <wp:positionV relativeFrom="paragraph">
                  <wp:posOffset>838200</wp:posOffset>
                </wp:positionV>
                <wp:extent cx="304800" cy="240665"/>
                <wp:effectExtent l="0" t="0" r="0" b="6985"/>
                <wp:wrapNone/>
                <wp:docPr id="887452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0665"/>
                        </a:xfrm>
                        <a:prstGeom prst="rect">
                          <a:avLst/>
                        </a:prstGeom>
                        <a:solidFill>
                          <a:srgbClr val="FFFFFF"/>
                        </a:solidFill>
                        <a:ln w="9525">
                          <a:noFill/>
                          <a:miter lim="800000"/>
                          <a:headEnd/>
                          <a:tailEnd/>
                        </a:ln>
                      </wps:spPr>
                      <wps:txbx>
                        <w:txbxContent>
                          <w:p w14:paraId="256FDB78" w14:textId="77777777" w:rsidR="00285D56" w:rsidRDefault="00285D56" w:rsidP="00285D56">
                            <w:pPr>
                              <w:jc w:val="right"/>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63F32" id="_x0000_s1039" type="#_x0000_t202" style="position:absolute;left:0;text-align:left;margin-left:172.55pt;margin-top:66pt;width:24pt;height:18.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" stroked="f">
                <v:textbox>
                  <w:txbxContent>
                    <w:p w14:paraId="256FDB78" w14:textId="77777777" w:rsidR="00285D56" w:rsidRDefault="00285D56" w:rsidP="00285D56">
                      <w:pPr>
                        <w:jc w:val="right"/>
                      </w:pPr>
                      <w:r>
                        <w:t>A</w:t>
                      </w:r>
                    </w:p>
                  </w:txbxContent>
                </v:textbox>
                <w10:anchorlock/>
              </v:shape>
            </w:pict>
          </mc:Fallback>
        </mc:AlternateContent>
      </w:r>
      <w:r w:rsidR="00434F60" w:rsidRPr="00434F60">
        <w:t xml:space="preserve"> </w:t>
      </w:r>
      <w:r w:rsidR="00434F60" w:rsidRPr="00434F60">
        <w:rPr>
          <w:noProof/>
        </w:rPr>
        <w:drawing>
          <wp:inline distT="0" distB="0" distL="0" distR="0" wp14:anchorId="0AF699EA" wp14:editId="03B7EBD2">
            <wp:extent cx="5077216" cy="1170065"/>
            <wp:effectExtent l="0" t="0" r="0" b="0"/>
            <wp:docPr id="19850838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9329" cy="1177465"/>
                    </a:xfrm>
                    <a:prstGeom prst="rect">
                      <a:avLst/>
                    </a:prstGeom>
                    <a:noFill/>
                    <a:ln>
                      <a:noFill/>
                    </a:ln>
                  </pic:spPr>
                </pic:pic>
              </a:graphicData>
            </a:graphic>
          </wp:inline>
        </w:drawing>
      </w:r>
    </w:p>
    <w:p w14:paraId="796B0F96" w14:textId="12B0FCBC" w:rsidR="00F06B15" w:rsidRPr="00BD077D" w:rsidRDefault="00F06B15" w:rsidP="00B13377">
      <w:pPr>
        <w:pStyle w:val="CETCaption"/>
      </w:pPr>
      <w:r w:rsidRPr="00BD077D">
        <w:rPr>
          <w:rStyle w:val="CETCaptionCarattere"/>
          <w:i/>
        </w:rPr>
        <w:t xml:space="preserve">Figure </w:t>
      </w:r>
      <w:r>
        <w:rPr>
          <w:rStyle w:val="CETCaptionCarattere"/>
          <w:i/>
        </w:rPr>
        <w:t>6</w:t>
      </w:r>
      <w:r w:rsidRPr="00BD077D">
        <w:rPr>
          <w:rStyle w:val="CETCaptionCarattere"/>
          <w:i/>
        </w:rPr>
        <w:t xml:space="preserve">: </w:t>
      </w:r>
      <w:bookmarkStart w:id="3" w:name="_Hlk157419711"/>
      <w:r>
        <w:rPr>
          <w:rStyle w:val="CETCaptionCarattere"/>
          <w:i/>
        </w:rPr>
        <w:t xml:space="preserve">Effect of air leakage on thermal efficiency for a </w:t>
      </w:r>
      <w:r w:rsidR="00FA73B2">
        <w:rPr>
          <w:rStyle w:val="CETCaptionCarattere"/>
          <w:i/>
        </w:rPr>
        <w:t xml:space="preserve">typical </w:t>
      </w:r>
      <w:r>
        <w:rPr>
          <w:rStyle w:val="CETCaptionCarattere"/>
          <w:i/>
        </w:rPr>
        <w:t>soapstone stone</w:t>
      </w:r>
      <w:r w:rsidR="00FA73B2">
        <w:rPr>
          <w:rStyle w:val="CETCaptionCarattere"/>
          <w:i/>
        </w:rPr>
        <w:t xml:space="preserve"> (</w:t>
      </w:r>
      <w:r w:rsidR="00285D56">
        <w:rPr>
          <w:rStyle w:val="CETCaptionCarattere"/>
          <w:i/>
        </w:rPr>
        <w:t>A</w:t>
      </w:r>
      <w:r w:rsidR="00FA73B2">
        <w:rPr>
          <w:rStyle w:val="CETCaptionCarattere"/>
          <w:i/>
        </w:rPr>
        <w:t>)</w:t>
      </w:r>
      <w:r>
        <w:rPr>
          <w:rStyle w:val="CETCaptionCarattere"/>
          <w:i/>
        </w:rPr>
        <w:t xml:space="preserve"> and cast iron</w:t>
      </w:r>
      <w:r w:rsidR="00FA73B2">
        <w:rPr>
          <w:rStyle w:val="CETCaptionCarattere"/>
          <w:i/>
        </w:rPr>
        <w:t xml:space="preserve"> (</w:t>
      </w:r>
      <w:r w:rsidR="00285D56">
        <w:rPr>
          <w:rStyle w:val="CETCaptionCarattere"/>
          <w:i/>
        </w:rPr>
        <w:t>B</w:t>
      </w:r>
      <w:r w:rsidR="00FA73B2">
        <w:rPr>
          <w:rStyle w:val="CETCaptionCarattere"/>
          <w:i/>
        </w:rPr>
        <w:t>)</w:t>
      </w:r>
      <w:r>
        <w:rPr>
          <w:rStyle w:val="CETCaptionCarattere"/>
          <w:i/>
        </w:rPr>
        <w:t xml:space="preserve"> stove</w:t>
      </w:r>
      <w:bookmarkEnd w:id="3"/>
    </w:p>
    <w:p w14:paraId="1B41E934" w14:textId="6AF265B4" w:rsidR="00F06B15" w:rsidRPr="00B57B36" w:rsidRDefault="001A64DD" w:rsidP="00F06B15">
      <w:pPr>
        <w:pStyle w:val="CETHeading1"/>
        <w:tabs>
          <w:tab w:val="clear" w:pos="360"/>
          <w:tab w:val="right" w:pos="7100"/>
        </w:tabs>
        <w:jc w:val="both"/>
        <w:rPr>
          <w:lang w:val="en-GB"/>
        </w:rPr>
      </w:pPr>
      <w:r>
        <w:rPr>
          <w:lang w:val="en-GB"/>
        </w:rPr>
        <w:t xml:space="preserve">Guidelines for optimum </w:t>
      </w:r>
      <w:r w:rsidR="00F13178">
        <w:rPr>
          <w:lang w:val="en-GB"/>
        </w:rPr>
        <w:t xml:space="preserve">stove </w:t>
      </w:r>
      <w:r>
        <w:rPr>
          <w:lang w:val="en-GB"/>
        </w:rPr>
        <w:t>performance</w:t>
      </w:r>
    </w:p>
    <w:p w14:paraId="6264A610" w14:textId="22EA0F9A" w:rsidR="00F06B15" w:rsidRPr="00B57B36" w:rsidRDefault="00F06B15" w:rsidP="00F06B15">
      <w:pPr>
        <w:pStyle w:val="CETBodytext"/>
        <w:rPr>
          <w:lang w:val="en-GB"/>
        </w:rPr>
      </w:pPr>
      <w:r w:rsidRPr="000E2182">
        <w:rPr>
          <w:lang w:val="en-GB"/>
        </w:rPr>
        <w:t>The best material combination is the one that 1) ensures effective ignition, enabling radiative heat transfer t</w:t>
      </w:r>
      <w:r w:rsidR="00234A77">
        <w:rPr>
          <w:lang w:val="en-GB"/>
        </w:rPr>
        <w:t>hrough</w:t>
      </w:r>
      <w:r w:rsidRPr="000E2182">
        <w:rPr>
          <w:lang w:val="en-GB"/>
        </w:rPr>
        <w:t xml:space="preserve"> the glass faster without high emissions in the ignition phase, 2) has enough heat storage capacity to avoid overheating resulting in thermal discomfort, 3) operates with reduced chimney inlet temperature and O</w:t>
      </w:r>
      <w:r w:rsidRPr="000E2182">
        <w:rPr>
          <w:vertAlign w:val="subscript"/>
          <w:lang w:val="en-GB"/>
        </w:rPr>
        <w:t>2</w:t>
      </w:r>
      <w:r w:rsidRPr="000E2182">
        <w:rPr>
          <w:lang w:val="en-GB"/>
        </w:rPr>
        <w:t xml:space="preserve"> resulting in high thermal efficiency, 4) achieves good burnout throughout the combustion cycle resulting in high combustion efficiency, 5) reduces the air leakage when the combustion has ended. Automatic combustion and air supply control would be beneficial. Heat storage stoves </w:t>
      </w:r>
      <w:r w:rsidR="00577585" w:rsidRPr="000E2182">
        <w:rPr>
          <w:lang w:val="en-GB"/>
        </w:rPr>
        <w:t>satisf</w:t>
      </w:r>
      <w:r w:rsidR="00577585">
        <w:rPr>
          <w:lang w:val="en-GB"/>
        </w:rPr>
        <w:t>y</w:t>
      </w:r>
      <w:r w:rsidRPr="000E2182">
        <w:rPr>
          <w:lang w:val="en-GB"/>
        </w:rPr>
        <w:t xml:space="preserve"> point 2 and 3 better than cast iron or plate steel stoves, however, point 5 becomes a bigger concern.</w:t>
      </w:r>
      <w:r w:rsidR="009D02C7">
        <w:rPr>
          <w:lang w:val="en-GB"/>
        </w:rPr>
        <w:t xml:space="preserve"> </w:t>
      </w:r>
      <w:r w:rsidR="00CB5166">
        <w:rPr>
          <w:lang w:val="en-GB"/>
        </w:rPr>
        <w:t xml:space="preserve">To reach an </w:t>
      </w:r>
      <w:r w:rsidR="00903765">
        <w:rPr>
          <w:lang w:val="en-GB"/>
        </w:rPr>
        <w:t>optimum stove performance</w:t>
      </w:r>
      <w:r w:rsidR="00CB5166">
        <w:rPr>
          <w:lang w:val="en-GB"/>
        </w:rPr>
        <w:t xml:space="preserve">, both stove </w:t>
      </w:r>
      <w:r w:rsidR="003C6824">
        <w:rPr>
          <w:lang w:val="en-GB"/>
        </w:rPr>
        <w:t>operation and design must be optimised</w:t>
      </w:r>
      <w:r w:rsidR="004F1676">
        <w:rPr>
          <w:lang w:val="en-GB"/>
        </w:rPr>
        <w:t xml:space="preserve">, and the stove </w:t>
      </w:r>
      <w:r w:rsidR="003D52A7">
        <w:rPr>
          <w:lang w:val="en-GB"/>
        </w:rPr>
        <w:t>heat</w:t>
      </w:r>
      <w:r w:rsidR="00412A27">
        <w:rPr>
          <w:lang w:val="en-GB"/>
        </w:rPr>
        <w:t xml:space="preserve">ing power must fit the heating </w:t>
      </w:r>
      <w:r w:rsidR="001B406A">
        <w:rPr>
          <w:lang w:val="en-GB"/>
        </w:rPr>
        <w:t>need.</w:t>
      </w:r>
    </w:p>
    <w:p w14:paraId="4A438DCD" w14:textId="77777777" w:rsidR="00F06B15" w:rsidRPr="00B57B36" w:rsidRDefault="00F06B15" w:rsidP="00F06B15">
      <w:pPr>
        <w:pStyle w:val="CETHeading1"/>
        <w:rPr>
          <w:lang w:val="en-GB"/>
        </w:rPr>
      </w:pPr>
      <w:r w:rsidRPr="00B57B36">
        <w:rPr>
          <w:lang w:val="en-GB"/>
        </w:rPr>
        <w:t>Conclusions</w:t>
      </w:r>
    </w:p>
    <w:p w14:paraId="1CA3D115" w14:textId="44A1339A" w:rsidR="00F06B15" w:rsidRDefault="00F06B15" w:rsidP="00F06B15">
      <w:pPr>
        <w:pStyle w:val="CETBodytext"/>
        <w:rPr>
          <w:lang w:val="en-GB"/>
        </w:rPr>
      </w:pPr>
      <w:r w:rsidRPr="00285E87">
        <w:rPr>
          <w:lang w:val="en-GB"/>
        </w:rPr>
        <w:t>Heat storage helps moderating the heat release to the room, beneficial for thermal comfort. The high heat storage capacity in soapstone stoves yields higher stove efficiency compared to cast iron or plate steel stoves, due to the</w:t>
      </w:r>
      <w:r>
        <w:rPr>
          <w:lang w:val="en-GB"/>
        </w:rPr>
        <w:t>ir</w:t>
      </w:r>
      <w:r w:rsidRPr="00285E87">
        <w:rPr>
          <w:lang w:val="en-GB"/>
        </w:rPr>
        <w:t xml:space="preserve"> thicker walls and higher heat storage capacity, and often a larger heat transfer area. This is resulting in that the soapstone stove operat</w:t>
      </w:r>
      <w:r w:rsidR="00224A0E">
        <w:rPr>
          <w:lang w:val="en-GB"/>
        </w:rPr>
        <w:t>es</w:t>
      </w:r>
      <w:r w:rsidRPr="00285E87">
        <w:rPr>
          <w:lang w:val="en-GB"/>
        </w:rPr>
        <w:t xml:space="preserve"> at a lower chimney inlet temperature at a similar O</w:t>
      </w:r>
      <w:r w:rsidRPr="00285E87">
        <w:rPr>
          <w:vertAlign w:val="subscript"/>
          <w:lang w:val="en-GB"/>
        </w:rPr>
        <w:t>2</w:t>
      </w:r>
      <w:r w:rsidRPr="00285E87">
        <w:rPr>
          <w:lang w:val="en-GB"/>
        </w:rPr>
        <w:t xml:space="preserve">, i.e. more heat is transferred to the stove </w:t>
      </w:r>
      <w:r w:rsidRPr="00A84A1A">
        <w:rPr>
          <w:lang w:val="en-GB"/>
        </w:rPr>
        <w:t xml:space="preserve">materials. </w:t>
      </w:r>
      <w:r w:rsidR="00A26678">
        <w:rPr>
          <w:lang w:val="en-GB"/>
        </w:rPr>
        <w:t xml:space="preserve">As the chimney inlet temperature decreases, the chimney quality and height become increasingly important to ensure sufficient draft. </w:t>
      </w:r>
      <w:r w:rsidR="00EA5CDD" w:rsidRPr="00A84A1A">
        <w:rPr>
          <w:lang w:val="en-GB"/>
        </w:rPr>
        <w:t xml:space="preserve">Air leakage after firing can significantly reduce the </w:t>
      </w:r>
      <w:r w:rsidR="006112B8" w:rsidRPr="00A84A1A">
        <w:rPr>
          <w:lang w:val="en-GB"/>
        </w:rPr>
        <w:t xml:space="preserve">stove </w:t>
      </w:r>
      <w:r w:rsidR="00EA5CDD" w:rsidRPr="00A84A1A">
        <w:rPr>
          <w:lang w:val="en-GB"/>
        </w:rPr>
        <w:t>thermal efficiency</w:t>
      </w:r>
      <w:r w:rsidR="00147938" w:rsidRPr="00A84A1A">
        <w:rPr>
          <w:lang w:val="en-GB"/>
        </w:rPr>
        <w:t xml:space="preserve">, especially </w:t>
      </w:r>
      <w:r w:rsidR="00CA3B4F" w:rsidRPr="00A84A1A">
        <w:rPr>
          <w:lang w:val="en-GB"/>
        </w:rPr>
        <w:t>for heat storage stoves</w:t>
      </w:r>
      <w:r w:rsidR="00EA5CDD" w:rsidRPr="00A84A1A">
        <w:rPr>
          <w:lang w:val="en-GB"/>
        </w:rPr>
        <w:t xml:space="preserve">, as heat from a hot wall will be transferred in both directions, but mainly by convection to the air on the inside as the inner surface temperatures will be similar and the air has no absorptive/radiative properties. On the outside, heat will be transferred by </w:t>
      </w:r>
      <w:r w:rsidR="009D475D" w:rsidRPr="00A84A1A">
        <w:rPr>
          <w:lang w:val="en-GB"/>
        </w:rPr>
        <w:t xml:space="preserve">both </w:t>
      </w:r>
      <w:r w:rsidR="00EA5CDD" w:rsidRPr="00A84A1A">
        <w:rPr>
          <w:lang w:val="en-GB"/>
        </w:rPr>
        <w:t xml:space="preserve">convection and radiation. </w:t>
      </w:r>
      <w:r w:rsidRPr="00A84A1A">
        <w:rPr>
          <w:lang w:val="en-GB"/>
        </w:rPr>
        <w:t xml:space="preserve">Simulations can aid in understanding the influence of change in design and </w:t>
      </w:r>
      <w:r w:rsidRPr="00F164CC">
        <w:rPr>
          <w:lang w:val="en-GB"/>
        </w:rPr>
        <w:t>operational parameters on the stove efficiency and provide guidelines for optimum material configurations</w:t>
      </w:r>
      <w:r w:rsidRPr="100FFD57">
        <w:rPr>
          <w:lang w:val="en-GB"/>
        </w:rPr>
        <w:t>.</w:t>
      </w:r>
    </w:p>
    <w:p w14:paraId="5398E3C6" w14:textId="77777777" w:rsidR="00F06B15" w:rsidRPr="00C44B2A" w:rsidRDefault="00F06B15" w:rsidP="00F06B15">
      <w:pPr>
        <w:pStyle w:val="CETAcknowledgementstitle"/>
      </w:pPr>
      <w:r w:rsidRPr="00C44B2A">
        <w:t>Acknowledgments</w:t>
      </w:r>
    </w:p>
    <w:p w14:paraId="2B671845" w14:textId="77777777" w:rsidR="00F06B15" w:rsidRPr="00C44B2A" w:rsidRDefault="00F06B15" w:rsidP="00F06B15">
      <w:pPr>
        <w:pStyle w:val="CETBodytext"/>
        <w:rPr>
          <w:lang w:val="en-GB"/>
        </w:rPr>
      </w:pPr>
      <w:r w:rsidRPr="00C44B2A">
        <w:rPr>
          <w:lang w:val="en-GB"/>
        </w:rPr>
        <w:t>The authors acknowledge the financial support by the knowledge building project SusWoodStoves, financed by the Research Council of Norway and industry partners.</w:t>
      </w:r>
    </w:p>
    <w:p w14:paraId="2D1AD3C7" w14:textId="77777777" w:rsidR="00F06B15" w:rsidRPr="00C44B2A" w:rsidRDefault="00F06B15" w:rsidP="00F06B15">
      <w:pPr>
        <w:pStyle w:val="CETReference"/>
      </w:pPr>
      <w:r w:rsidRPr="00C44B2A">
        <w:t>References</w:t>
      </w:r>
    </w:p>
    <w:p w14:paraId="65DD0240" w14:textId="77777777" w:rsidR="0040626D" w:rsidRDefault="0040626D" w:rsidP="0040626D">
      <w:pPr>
        <w:pStyle w:val="CETReferencetext"/>
      </w:pPr>
      <w:r>
        <w:t>Bugge M., Haugen N.E.L., Skreiberg, Ø., 2019, Transient CFD Simulations of Wood Stoves with Varying Heat Storage Capacity, Chemical Engineering Transactions 74, 85</w:t>
      </w:r>
      <w:r w:rsidRPr="00C44B2A">
        <w:t>–</w:t>
      </w:r>
      <w:r>
        <w:t>90.</w:t>
      </w:r>
    </w:p>
    <w:p w14:paraId="793B426B" w14:textId="77777777" w:rsidR="00F06B15" w:rsidRPr="00C44B2A" w:rsidRDefault="00F06B15" w:rsidP="00F06B15">
      <w:pPr>
        <w:pStyle w:val="CETReferencetext"/>
      </w:pPr>
      <w:r w:rsidRPr="00C44B2A">
        <w:t>NS 3058:1994, Enclosed wood heaters, Smoke emission; NS 3059:1994, Smoke emission - Requirements.</w:t>
      </w:r>
    </w:p>
    <w:p w14:paraId="00BB3AEF" w14:textId="77777777" w:rsidR="00E31CF1" w:rsidRPr="00C44B2A" w:rsidRDefault="00E31CF1" w:rsidP="00E31CF1">
      <w:pPr>
        <w:pStyle w:val="CETReferencetext"/>
      </w:pPr>
      <w:r>
        <w:t xml:space="preserve">Skreiberg Ø., Seljeskog M., Kausch F., Khalil R., 2023a, </w:t>
      </w:r>
      <w:r w:rsidRPr="00633A1C">
        <w:t>Emission levels and emission factors for modern wood stoves</w:t>
      </w:r>
      <w:r>
        <w:t>, Chemical Engineering Transactions, 105, 241</w:t>
      </w:r>
      <w:r w:rsidRPr="00C44B2A">
        <w:t>–</w:t>
      </w:r>
      <w:r>
        <w:t>246.</w:t>
      </w:r>
    </w:p>
    <w:p w14:paraId="258F333F" w14:textId="77777777" w:rsidR="0040626D" w:rsidRDefault="0040626D" w:rsidP="0040626D">
      <w:pPr>
        <w:pStyle w:val="CETReferencetext"/>
      </w:pPr>
      <w:r>
        <w:t>Skreiberg Ø., Seljeskog M., Kausch F., 2023b, Energy efficiency increase by improved operation and control in wood stoves, Chemical Engineering Transactions, 99, 55</w:t>
      </w:r>
      <w:r w:rsidRPr="00C44B2A">
        <w:t>–</w:t>
      </w:r>
      <w:r>
        <w:t>60.</w:t>
      </w:r>
    </w:p>
    <w:p w14:paraId="4AD76DFE" w14:textId="77777777" w:rsidR="00F06B15" w:rsidRPr="00C44B2A" w:rsidRDefault="00F06B15" w:rsidP="00F06B15">
      <w:pPr>
        <w:pStyle w:val="CETReferencetext"/>
      </w:pPr>
      <w:r>
        <w:t>Skreiberg Ø., Georges L., 2018, Transient Heat Production and Release Profiles for Wood Stoves, Chemical Engineering Transactions 65, 223</w:t>
      </w:r>
      <w:r w:rsidRPr="00C44B2A">
        <w:t>–</w:t>
      </w:r>
      <w:r>
        <w:t>228.</w:t>
      </w:r>
    </w:p>
    <w:p w14:paraId="27F71393" w14:textId="4CB6B403" w:rsidR="0085382C" w:rsidRDefault="0040626D" w:rsidP="0085382C">
      <w:pPr>
        <w:pStyle w:val="CETReferencetext"/>
      </w:pPr>
      <w:r>
        <w:t xml:space="preserve">Skreiberg Ø., Georges L., 2017, </w:t>
      </w:r>
      <w:r w:rsidRPr="00C2788C">
        <w:t>Wood stove material configurations for increased thermal comfort</w:t>
      </w:r>
      <w:r>
        <w:t>, Energy Procedia 142, 488</w:t>
      </w:r>
      <w:r w:rsidRPr="00C44B2A">
        <w:t>–</w:t>
      </w:r>
      <w:r>
        <w:t>494.</w:t>
      </w:r>
    </w:p>
    <w:sectPr w:rsidR="0085382C"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00666" w14:textId="77777777" w:rsidR="0044061A" w:rsidRDefault="0044061A" w:rsidP="004F5E36">
      <w:r>
        <w:separator/>
      </w:r>
    </w:p>
  </w:endnote>
  <w:endnote w:type="continuationSeparator" w:id="0">
    <w:p w14:paraId="2802F192" w14:textId="77777777" w:rsidR="0044061A" w:rsidRDefault="0044061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274C3" w14:textId="77777777" w:rsidR="0044061A" w:rsidRDefault="0044061A" w:rsidP="004F5E36">
      <w:r>
        <w:separator/>
      </w:r>
    </w:p>
  </w:footnote>
  <w:footnote w:type="continuationSeparator" w:id="0">
    <w:p w14:paraId="445A258B" w14:textId="77777777" w:rsidR="0044061A" w:rsidRDefault="0044061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81D"/>
    <w:rsid w:val="000027C0"/>
    <w:rsid w:val="000052FB"/>
    <w:rsid w:val="00005A19"/>
    <w:rsid w:val="000117CB"/>
    <w:rsid w:val="00030D2F"/>
    <w:rsid w:val="0003148D"/>
    <w:rsid w:val="00031EEC"/>
    <w:rsid w:val="00041DE1"/>
    <w:rsid w:val="00045D31"/>
    <w:rsid w:val="0005141A"/>
    <w:rsid w:val="00051566"/>
    <w:rsid w:val="00051AB4"/>
    <w:rsid w:val="00052F4E"/>
    <w:rsid w:val="00053F77"/>
    <w:rsid w:val="000551D3"/>
    <w:rsid w:val="000562A9"/>
    <w:rsid w:val="00062A9A"/>
    <w:rsid w:val="00065058"/>
    <w:rsid w:val="00073582"/>
    <w:rsid w:val="00080116"/>
    <w:rsid w:val="00086C39"/>
    <w:rsid w:val="000A03B2"/>
    <w:rsid w:val="000A475F"/>
    <w:rsid w:val="000A7A81"/>
    <w:rsid w:val="000C522A"/>
    <w:rsid w:val="000D0268"/>
    <w:rsid w:val="000D17A1"/>
    <w:rsid w:val="000D2514"/>
    <w:rsid w:val="000D34BE"/>
    <w:rsid w:val="000E0B3C"/>
    <w:rsid w:val="000E102F"/>
    <w:rsid w:val="000E36F1"/>
    <w:rsid w:val="000E3A73"/>
    <w:rsid w:val="000E414A"/>
    <w:rsid w:val="000E75FD"/>
    <w:rsid w:val="000F093C"/>
    <w:rsid w:val="000F240D"/>
    <w:rsid w:val="000F787B"/>
    <w:rsid w:val="001059C9"/>
    <w:rsid w:val="0012091F"/>
    <w:rsid w:val="00126BC2"/>
    <w:rsid w:val="001308B6"/>
    <w:rsid w:val="0013121F"/>
    <w:rsid w:val="00131FE6"/>
    <w:rsid w:val="0013263F"/>
    <w:rsid w:val="001331DF"/>
    <w:rsid w:val="00134DE4"/>
    <w:rsid w:val="00135A80"/>
    <w:rsid w:val="0014034D"/>
    <w:rsid w:val="00140FE3"/>
    <w:rsid w:val="00144D16"/>
    <w:rsid w:val="00147938"/>
    <w:rsid w:val="00150E59"/>
    <w:rsid w:val="001518C1"/>
    <w:rsid w:val="00152DE3"/>
    <w:rsid w:val="00164CF9"/>
    <w:rsid w:val="001655E3"/>
    <w:rsid w:val="0016668E"/>
    <w:rsid w:val="001667A6"/>
    <w:rsid w:val="0018171E"/>
    <w:rsid w:val="00184AD6"/>
    <w:rsid w:val="00186051"/>
    <w:rsid w:val="001A2037"/>
    <w:rsid w:val="001A215E"/>
    <w:rsid w:val="001A4AF7"/>
    <w:rsid w:val="001A64DD"/>
    <w:rsid w:val="001B0349"/>
    <w:rsid w:val="001B1E93"/>
    <w:rsid w:val="001B406A"/>
    <w:rsid w:val="001B65C1"/>
    <w:rsid w:val="001C260F"/>
    <w:rsid w:val="001C3265"/>
    <w:rsid w:val="001C5C3A"/>
    <w:rsid w:val="001C684B"/>
    <w:rsid w:val="001D0CFB"/>
    <w:rsid w:val="001D21AF"/>
    <w:rsid w:val="001D2254"/>
    <w:rsid w:val="001D3D32"/>
    <w:rsid w:val="001D53FC"/>
    <w:rsid w:val="001E1197"/>
    <w:rsid w:val="001E4EAF"/>
    <w:rsid w:val="001F024E"/>
    <w:rsid w:val="001F42A5"/>
    <w:rsid w:val="001F7B9D"/>
    <w:rsid w:val="00201C93"/>
    <w:rsid w:val="00207D0A"/>
    <w:rsid w:val="00217D58"/>
    <w:rsid w:val="002224B4"/>
    <w:rsid w:val="00224A0E"/>
    <w:rsid w:val="0022590A"/>
    <w:rsid w:val="002330DC"/>
    <w:rsid w:val="00234378"/>
    <w:rsid w:val="00234A77"/>
    <w:rsid w:val="00237649"/>
    <w:rsid w:val="002447EF"/>
    <w:rsid w:val="00251550"/>
    <w:rsid w:val="00257A49"/>
    <w:rsid w:val="00263B05"/>
    <w:rsid w:val="00267E08"/>
    <w:rsid w:val="0027221A"/>
    <w:rsid w:val="00274FC7"/>
    <w:rsid w:val="00275B61"/>
    <w:rsid w:val="00277E96"/>
    <w:rsid w:val="00280FAF"/>
    <w:rsid w:val="00281C29"/>
    <w:rsid w:val="00282656"/>
    <w:rsid w:val="00285D56"/>
    <w:rsid w:val="00286A4B"/>
    <w:rsid w:val="00296B83"/>
    <w:rsid w:val="00297BBE"/>
    <w:rsid w:val="002B3876"/>
    <w:rsid w:val="002B4015"/>
    <w:rsid w:val="002B78CE"/>
    <w:rsid w:val="002C2FB6"/>
    <w:rsid w:val="002C4FB7"/>
    <w:rsid w:val="002E531A"/>
    <w:rsid w:val="002E5FA7"/>
    <w:rsid w:val="002F3309"/>
    <w:rsid w:val="003008CE"/>
    <w:rsid w:val="003009B7"/>
    <w:rsid w:val="00300E56"/>
    <w:rsid w:val="0030152C"/>
    <w:rsid w:val="0030469C"/>
    <w:rsid w:val="00304CE8"/>
    <w:rsid w:val="003129C0"/>
    <w:rsid w:val="003208BE"/>
    <w:rsid w:val="00320B3B"/>
    <w:rsid w:val="00321CA6"/>
    <w:rsid w:val="00323763"/>
    <w:rsid w:val="00323C5F"/>
    <w:rsid w:val="00334C09"/>
    <w:rsid w:val="003723D4"/>
    <w:rsid w:val="003734DD"/>
    <w:rsid w:val="00381905"/>
    <w:rsid w:val="00384CC8"/>
    <w:rsid w:val="00386EE7"/>
    <w:rsid w:val="003871FD"/>
    <w:rsid w:val="003A1E30"/>
    <w:rsid w:val="003A2727"/>
    <w:rsid w:val="003A2829"/>
    <w:rsid w:val="003A7D1C"/>
    <w:rsid w:val="003B304B"/>
    <w:rsid w:val="003B3146"/>
    <w:rsid w:val="003B3F76"/>
    <w:rsid w:val="003B49CD"/>
    <w:rsid w:val="003C06CA"/>
    <w:rsid w:val="003C6824"/>
    <w:rsid w:val="003D1E02"/>
    <w:rsid w:val="003D52A7"/>
    <w:rsid w:val="003E2D4D"/>
    <w:rsid w:val="003F015E"/>
    <w:rsid w:val="003F353F"/>
    <w:rsid w:val="00400414"/>
    <w:rsid w:val="0040626D"/>
    <w:rsid w:val="00412A27"/>
    <w:rsid w:val="0041446B"/>
    <w:rsid w:val="00434F60"/>
    <w:rsid w:val="0044061A"/>
    <w:rsid w:val="0044071E"/>
    <w:rsid w:val="0044329C"/>
    <w:rsid w:val="00453E24"/>
    <w:rsid w:val="00457456"/>
    <w:rsid w:val="004577FE"/>
    <w:rsid w:val="00457B9C"/>
    <w:rsid w:val="0046164A"/>
    <w:rsid w:val="004628D2"/>
    <w:rsid w:val="00462DCD"/>
    <w:rsid w:val="004636E6"/>
    <w:rsid w:val="004648AD"/>
    <w:rsid w:val="004703A9"/>
    <w:rsid w:val="00474D76"/>
    <w:rsid w:val="004760DE"/>
    <w:rsid w:val="004763D7"/>
    <w:rsid w:val="004963B7"/>
    <w:rsid w:val="004972A0"/>
    <w:rsid w:val="004A004E"/>
    <w:rsid w:val="004A24CF"/>
    <w:rsid w:val="004B10BF"/>
    <w:rsid w:val="004C3D1D"/>
    <w:rsid w:val="004C3D84"/>
    <w:rsid w:val="004C7913"/>
    <w:rsid w:val="004E1DAA"/>
    <w:rsid w:val="004E3AC5"/>
    <w:rsid w:val="004E4DD6"/>
    <w:rsid w:val="004F1676"/>
    <w:rsid w:val="004F5E36"/>
    <w:rsid w:val="00507B47"/>
    <w:rsid w:val="00507BEF"/>
    <w:rsid w:val="00507CC9"/>
    <w:rsid w:val="005119A5"/>
    <w:rsid w:val="005230B9"/>
    <w:rsid w:val="005278B7"/>
    <w:rsid w:val="00532016"/>
    <w:rsid w:val="005346C8"/>
    <w:rsid w:val="005369F3"/>
    <w:rsid w:val="00543E7D"/>
    <w:rsid w:val="00547A68"/>
    <w:rsid w:val="005531C9"/>
    <w:rsid w:val="00554879"/>
    <w:rsid w:val="00556F87"/>
    <w:rsid w:val="00563838"/>
    <w:rsid w:val="00570C43"/>
    <w:rsid w:val="005730A6"/>
    <w:rsid w:val="00577585"/>
    <w:rsid w:val="00592274"/>
    <w:rsid w:val="005B2110"/>
    <w:rsid w:val="005B26F1"/>
    <w:rsid w:val="005B350B"/>
    <w:rsid w:val="005B61E6"/>
    <w:rsid w:val="005B7002"/>
    <w:rsid w:val="005C77E1"/>
    <w:rsid w:val="005D1298"/>
    <w:rsid w:val="005D4A6F"/>
    <w:rsid w:val="005D668A"/>
    <w:rsid w:val="005D6A2F"/>
    <w:rsid w:val="005E0592"/>
    <w:rsid w:val="005E1A82"/>
    <w:rsid w:val="005E794C"/>
    <w:rsid w:val="005F0A28"/>
    <w:rsid w:val="005F0E5E"/>
    <w:rsid w:val="005F4B83"/>
    <w:rsid w:val="00600535"/>
    <w:rsid w:val="00610CD6"/>
    <w:rsid w:val="006112B8"/>
    <w:rsid w:val="00620DEE"/>
    <w:rsid w:val="00621F92"/>
    <w:rsid w:val="0062280A"/>
    <w:rsid w:val="006231E1"/>
    <w:rsid w:val="00625639"/>
    <w:rsid w:val="00626342"/>
    <w:rsid w:val="00631B33"/>
    <w:rsid w:val="00640AB3"/>
    <w:rsid w:val="0064184D"/>
    <w:rsid w:val="006422CC"/>
    <w:rsid w:val="00642C4E"/>
    <w:rsid w:val="00643202"/>
    <w:rsid w:val="00646EC5"/>
    <w:rsid w:val="00651B86"/>
    <w:rsid w:val="00651D18"/>
    <w:rsid w:val="00654834"/>
    <w:rsid w:val="00660E3E"/>
    <w:rsid w:val="00662E74"/>
    <w:rsid w:val="0066753D"/>
    <w:rsid w:val="0067617D"/>
    <w:rsid w:val="00680C23"/>
    <w:rsid w:val="006819BB"/>
    <w:rsid w:val="00683E23"/>
    <w:rsid w:val="00684284"/>
    <w:rsid w:val="00693766"/>
    <w:rsid w:val="00696C14"/>
    <w:rsid w:val="00697EBC"/>
    <w:rsid w:val="006A2083"/>
    <w:rsid w:val="006A3281"/>
    <w:rsid w:val="006A6DE5"/>
    <w:rsid w:val="006B4888"/>
    <w:rsid w:val="006C2E45"/>
    <w:rsid w:val="006C359C"/>
    <w:rsid w:val="006C5579"/>
    <w:rsid w:val="006D6E8B"/>
    <w:rsid w:val="006D7209"/>
    <w:rsid w:val="006E737D"/>
    <w:rsid w:val="006F4729"/>
    <w:rsid w:val="006F5D07"/>
    <w:rsid w:val="007048C6"/>
    <w:rsid w:val="00707DD1"/>
    <w:rsid w:val="00713973"/>
    <w:rsid w:val="00716BDB"/>
    <w:rsid w:val="007178CC"/>
    <w:rsid w:val="00720A24"/>
    <w:rsid w:val="00732386"/>
    <w:rsid w:val="0073514D"/>
    <w:rsid w:val="007409DD"/>
    <w:rsid w:val="00743725"/>
    <w:rsid w:val="007447F3"/>
    <w:rsid w:val="0075499F"/>
    <w:rsid w:val="007661C8"/>
    <w:rsid w:val="0077098D"/>
    <w:rsid w:val="00785BF9"/>
    <w:rsid w:val="00791B16"/>
    <w:rsid w:val="007931FA"/>
    <w:rsid w:val="007A4861"/>
    <w:rsid w:val="007A4FD6"/>
    <w:rsid w:val="007A7BBA"/>
    <w:rsid w:val="007B0C50"/>
    <w:rsid w:val="007B48F9"/>
    <w:rsid w:val="007B6C65"/>
    <w:rsid w:val="007C1A43"/>
    <w:rsid w:val="007D0936"/>
    <w:rsid w:val="007D0951"/>
    <w:rsid w:val="007D610D"/>
    <w:rsid w:val="007D6C52"/>
    <w:rsid w:val="007E0528"/>
    <w:rsid w:val="007F608C"/>
    <w:rsid w:val="0080013E"/>
    <w:rsid w:val="00801759"/>
    <w:rsid w:val="00802602"/>
    <w:rsid w:val="00810EFA"/>
    <w:rsid w:val="00813288"/>
    <w:rsid w:val="008168FC"/>
    <w:rsid w:val="00830996"/>
    <w:rsid w:val="008345F1"/>
    <w:rsid w:val="0085382C"/>
    <w:rsid w:val="00865B07"/>
    <w:rsid w:val="008667EA"/>
    <w:rsid w:val="0087637F"/>
    <w:rsid w:val="00887F8F"/>
    <w:rsid w:val="00892AD5"/>
    <w:rsid w:val="008A02CD"/>
    <w:rsid w:val="008A1512"/>
    <w:rsid w:val="008A79AA"/>
    <w:rsid w:val="008B1A44"/>
    <w:rsid w:val="008C172D"/>
    <w:rsid w:val="008C1CE9"/>
    <w:rsid w:val="008D1556"/>
    <w:rsid w:val="008D32B9"/>
    <w:rsid w:val="008D433B"/>
    <w:rsid w:val="008D4A16"/>
    <w:rsid w:val="008D6D16"/>
    <w:rsid w:val="008E372D"/>
    <w:rsid w:val="008E5401"/>
    <w:rsid w:val="008E566E"/>
    <w:rsid w:val="008F7F66"/>
    <w:rsid w:val="0090161A"/>
    <w:rsid w:val="00901EB6"/>
    <w:rsid w:val="00903765"/>
    <w:rsid w:val="009041F8"/>
    <w:rsid w:val="00904C62"/>
    <w:rsid w:val="00913B0C"/>
    <w:rsid w:val="00916105"/>
    <w:rsid w:val="00922BA8"/>
    <w:rsid w:val="00924DAC"/>
    <w:rsid w:val="00927058"/>
    <w:rsid w:val="00942750"/>
    <w:rsid w:val="009450CE"/>
    <w:rsid w:val="009459BB"/>
    <w:rsid w:val="00945F58"/>
    <w:rsid w:val="00947179"/>
    <w:rsid w:val="0095164B"/>
    <w:rsid w:val="00954090"/>
    <w:rsid w:val="009573E7"/>
    <w:rsid w:val="00961C2D"/>
    <w:rsid w:val="00963E05"/>
    <w:rsid w:val="00964A45"/>
    <w:rsid w:val="00967843"/>
    <w:rsid w:val="00967D54"/>
    <w:rsid w:val="00971028"/>
    <w:rsid w:val="00993B84"/>
    <w:rsid w:val="00994C6A"/>
    <w:rsid w:val="00995ED4"/>
    <w:rsid w:val="00996483"/>
    <w:rsid w:val="00996F5A"/>
    <w:rsid w:val="009B041A"/>
    <w:rsid w:val="009B6E57"/>
    <w:rsid w:val="009C37C3"/>
    <w:rsid w:val="009C7C86"/>
    <w:rsid w:val="009D02C7"/>
    <w:rsid w:val="009D2FF7"/>
    <w:rsid w:val="009D475D"/>
    <w:rsid w:val="009E7884"/>
    <w:rsid w:val="009E788A"/>
    <w:rsid w:val="009E7DC0"/>
    <w:rsid w:val="009F0E08"/>
    <w:rsid w:val="00A009A1"/>
    <w:rsid w:val="00A05409"/>
    <w:rsid w:val="00A079AE"/>
    <w:rsid w:val="00A115AA"/>
    <w:rsid w:val="00A1763D"/>
    <w:rsid w:val="00A17CEC"/>
    <w:rsid w:val="00A26678"/>
    <w:rsid w:val="00A266A4"/>
    <w:rsid w:val="00A2791B"/>
    <w:rsid w:val="00A27EF0"/>
    <w:rsid w:val="00A42361"/>
    <w:rsid w:val="00A434AC"/>
    <w:rsid w:val="00A50B20"/>
    <w:rsid w:val="00A51390"/>
    <w:rsid w:val="00A60D13"/>
    <w:rsid w:val="00A61F22"/>
    <w:rsid w:val="00A65F1F"/>
    <w:rsid w:val="00A7223D"/>
    <w:rsid w:val="00A72745"/>
    <w:rsid w:val="00A76EFC"/>
    <w:rsid w:val="00A84A1A"/>
    <w:rsid w:val="00A87D50"/>
    <w:rsid w:val="00A91010"/>
    <w:rsid w:val="00A97F29"/>
    <w:rsid w:val="00AA702E"/>
    <w:rsid w:val="00AA7D26"/>
    <w:rsid w:val="00AB0964"/>
    <w:rsid w:val="00AB5011"/>
    <w:rsid w:val="00AB62F0"/>
    <w:rsid w:val="00AC7368"/>
    <w:rsid w:val="00AD16B9"/>
    <w:rsid w:val="00AE09B5"/>
    <w:rsid w:val="00AE377D"/>
    <w:rsid w:val="00AF0EBA"/>
    <w:rsid w:val="00AF2463"/>
    <w:rsid w:val="00B02C8A"/>
    <w:rsid w:val="00B13377"/>
    <w:rsid w:val="00B17FBD"/>
    <w:rsid w:val="00B23341"/>
    <w:rsid w:val="00B27707"/>
    <w:rsid w:val="00B315A6"/>
    <w:rsid w:val="00B31813"/>
    <w:rsid w:val="00B33365"/>
    <w:rsid w:val="00B47FD4"/>
    <w:rsid w:val="00B57B36"/>
    <w:rsid w:val="00B57E6F"/>
    <w:rsid w:val="00B6100F"/>
    <w:rsid w:val="00B81030"/>
    <w:rsid w:val="00B8686D"/>
    <w:rsid w:val="00B93F69"/>
    <w:rsid w:val="00BA6DE7"/>
    <w:rsid w:val="00BB0849"/>
    <w:rsid w:val="00BB1DDC"/>
    <w:rsid w:val="00BC30C9"/>
    <w:rsid w:val="00BC3177"/>
    <w:rsid w:val="00BD077D"/>
    <w:rsid w:val="00BE3E58"/>
    <w:rsid w:val="00BE5B32"/>
    <w:rsid w:val="00BF13CE"/>
    <w:rsid w:val="00C01616"/>
    <w:rsid w:val="00C0162B"/>
    <w:rsid w:val="00C068ED"/>
    <w:rsid w:val="00C22E0C"/>
    <w:rsid w:val="00C345B1"/>
    <w:rsid w:val="00C40142"/>
    <w:rsid w:val="00C40949"/>
    <w:rsid w:val="00C40AE0"/>
    <w:rsid w:val="00C52C3C"/>
    <w:rsid w:val="00C57182"/>
    <w:rsid w:val="00C57863"/>
    <w:rsid w:val="00C640AF"/>
    <w:rsid w:val="00C655FD"/>
    <w:rsid w:val="00C66446"/>
    <w:rsid w:val="00C752E5"/>
    <w:rsid w:val="00C75407"/>
    <w:rsid w:val="00C75F41"/>
    <w:rsid w:val="00C81EC4"/>
    <w:rsid w:val="00C841C6"/>
    <w:rsid w:val="00C870A8"/>
    <w:rsid w:val="00C94434"/>
    <w:rsid w:val="00C958F3"/>
    <w:rsid w:val="00C971FF"/>
    <w:rsid w:val="00CA0D75"/>
    <w:rsid w:val="00CA1C95"/>
    <w:rsid w:val="00CA3B4F"/>
    <w:rsid w:val="00CA5A9C"/>
    <w:rsid w:val="00CB5166"/>
    <w:rsid w:val="00CC0473"/>
    <w:rsid w:val="00CC4C20"/>
    <w:rsid w:val="00CD106D"/>
    <w:rsid w:val="00CD3517"/>
    <w:rsid w:val="00CD46BF"/>
    <w:rsid w:val="00CD5FE2"/>
    <w:rsid w:val="00CE7C68"/>
    <w:rsid w:val="00CF2674"/>
    <w:rsid w:val="00CF2736"/>
    <w:rsid w:val="00CF2B51"/>
    <w:rsid w:val="00CF7ABC"/>
    <w:rsid w:val="00D02B4C"/>
    <w:rsid w:val="00D040C4"/>
    <w:rsid w:val="00D16FB9"/>
    <w:rsid w:val="00D17767"/>
    <w:rsid w:val="00D20AD1"/>
    <w:rsid w:val="00D2529A"/>
    <w:rsid w:val="00D2582C"/>
    <w:rsid w:val="00D2771D"/>
    <w:rsid w:val="00D27868"/>
    <w:rsid w:val="00D40D0D"/>
    <w:rsid w:val="00D46B7E"/>
    <w:rsid w:val="00D5568F"/>
    <w:rsid w:val="00D57C84"/>
    <w:rsid w:val="00D6057D"/>
    <w:rsid w:val="00D67F6D"/>
    <w:rsid w:val="00D71553"/>
    <w:rsid w:val="00D71640"/>
    <w:rsid w:val="00D7476B"/>
    <w:rsid w:val="00D76298"/>
    <w:rsid w:val="00D836C5"/>
    <w:rsid w:val="00D84576"/>
    <w:rsid w:val="00DA1399"/>
    <w:rsid w:val="00DA24C6"/>
    <w:rsid w:val="00DA4BD8"/>
    <w:rsid w:val="00DA4D7B"/>
    <w:rsid w:val="00DB6640"/>
    <w:rsid w:val="00DC044E"/>
    <w:rsid w:val="00DC2840"/>
    <w:rsid w:val="00DC2E2F"/>
    <w:rsid w:val="00DC5734"/>
    <w:rsid w:val="00DC73EE"/>
    <w:rsid w:val="00DD271C"/>
    <w:rsid w:val="00DD5AC9"/>
    <w:rsid w:val="00DE1465"/>
    <w:rsid w:val="00DE264A"/>
    <w:rsid w:val="00DE701F"/>
    <w:rsid w:val="00DF2124"/>
    <w:rsid w:val="00DF5072"/>
    <w:rsid w:val="00E02D18"/>
    <w:rsid w:val="00E041E7"/>
    <w:rsid w:val="00E15111"/>
    <w:rsid w:val="00E15FF8"/>
    <w:rsid w:val="00E23CA1"/>
    <w:rsid w:val="00E31CF1"/>
    <w:rsid w:val="00E409A8"/>
    <w:rsid w:val="00E40AC4"/>
    <w:rsid w:val="00E46797"/>
    <w:rsid w:val="00E50C12"/>
    <w:rsid w:val="00E51E56"/>
    <w:rsid w:val="00E65B91"/>
    <w:rsid w:val="00E7209D"/>
    <w:rsid w:val="00E72EAD"/>
    <w:rsid w:val="00E77223"/>
    <w:rsid w:val="00E8528B"/>
    <w:rsid w:val="00E855E7"/>
    <w:rsid w:val="00E85B94"/>
    <w:rsid w:val="00E957A8"/>
    <w:rsid w:val="00E978D0"/>
    <w:rsid w:val="00EA287B"/>
    <w:rsid w:val="00EA4613"/>
    <w:rsid w:val="00EA5CDD"/>
    <w:rsid w:val="00EA7F91"/>
    <w:rsid w:val="00EB1523"/>
    <w:rsid w:val="00EC0E49"/>
    <w:rsid w:val="00EC101F"/>
    <w:rsid w:val="00EC1D9F"/>
    <w:rsid w:val="00EC280F"/>
    <w:rsid w:val="00EE0131"/>
    <w:rsid w:val="00EE17B0"/>
    <w:rsid w:val="00EF06D9"/>
    <w:rsid w:val="00F00EE4"/>
    <w:rsid w:val="00F06B15"/>
    <w:rsid w:val="00F13178"/>
    <w:rsid w:val="00F255B4"/>
    <w:rsid w:val="00F3049E"/>
    <w:rsid w:val="00F30C64"/>
    <w:rsid w:val="00F32BA2"/>
    <w:rsid w:val="00F32CDB"/>
    <w:rsid w:val="00F41EE4"/>
    <w:rsid w:val="00F553D5"/>
    <w:rsid w:val="00F565FE"/>
    <w:rsid w:val="00F61F78"/>
    <w:rsid w:val="00F63A70"/>
    <w:rsid w:val="00F63D8C"/>
    <w:rsid w:val="00F7465E"/>
    <w:rsid w:val="00F7534E"/>
    <w:rsid w:val="00F93EDF"/>
    <w:rsid w:val="00F96C37"/>
    <w:rsid w:val="00FA1802"/>
    <w:rsid w:val="00FA21D0"/>
    <w:rsid w:val="00FA5F5F"/>
    <w:rsid w:val="00FA73B2"/>
    <w:rsid w:val="00FB5054"/>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styleId="Revision">
    <w:name w:val="Revision"/>
    <w:hidden/>
    <w:uiPriority w:val="99"/>
    <w:semiHidden/>
    <w:rsid w:val="00887F8F"/>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6</Pages>
  <Words>3735</Words>
  <Characters>19799</Characters>
  <Application>Microsoft Office Word</Application>
  <DocSecurity>0</DocSecurity>
  <Lines>164</Lines>
  <Paragraphs>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Øyvind Skreiberg</cp:lastModifiedBy>
  <cp:revision>179</cp:revision>
  <cp:lastPrinted>2015-05-12T18:31:00Z</cp:lastPrinted>
  <dcterms:created xsi:type="dcterms:W3CDTF">2024-02-20T10:29:00Z</dcterms:created>
  <dcterms:modified xsi:type="dcterms:W3CDTF">2025-04-15T17:59:00Z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