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6F16FF" w:rsidRPr="00B57B36" w14:paraId="3AB58B98" w14:textId="77777777" w:rsidTr="00DE264A">
        <w:trPr>
          <w:trHeight w:val="852"/>
          <w:jc w:val="center"/>
        </w:trPr>
        <w:tc>
          <w:tcPr>
            <w:tcW w:w="6946" w:type="dxa"/>
            <w:vMerge w:val="restart"/>
            <w:tcBorders>
              <w:right w:val="single" w:sz="4" w:space="0" w:color="auto"/>
            </w:tcBorders>
          </w:tcPr>
          <w:p w14:paraId="02B4C88B" w14:textId="77777777" w:rsidR="006F16FF" w:rsidRPr="00B57B36" w:rsidRDefault="006F16FF"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26320790" wp14:editId="6858EA17">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6C7E2421" w14:textId="77777777" w:rsidR="006F16FF" w:rsidRPr="00B57B36" w:rsidRDefault="006F16FF"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Pr>
                <w:rFonts w:cs="Arial"/>
                <w:b/>
                <w:bCs/>
                <w:i/>
                <w:iCs/>
                <w:color w:val="000066"/>
                <w:sz w:val="22"/>
                <w:szCs w:val="22"/>
                <w:lang w:eastAsia="it-IT"/>
              </w:rPr>
              <w:t xml:space="preserve"> xxx, 2025</w:t>
            </w:r>
          </w:p>
        </w:tc>
        <w:tc>
          <w:tcPr>
            <w:tcW w:w="1843" w:type="dxa"/>
            <w:tcBorders>
              <w:left w:val="single" w:sz="4" w:space="0" w:color="auto"/>
              <w:bottom w:val="nil"/>
              <w:right w:val="single" w:sz="4" w:space="0" w:color="auto"/>
            </w:tcBorders>
          </w:tcPr>
          <w:p w14:paraId="3E3D0991" w14:textId="77777777" w:rsidR="006F16FF" w:rsidRPr="00B57B36" w:rsidRDefault="006F16FF" w:rsidP="00CD5FE2">
            <w:pPr>
              <w:spacing w:line="140" w:lineRule="atLeast"/>
              <w:jc w:val="right"/>
              <w:rPr>
                <w:rFonts w:cs="Arial"/>
                <w:sz w:val="14"/>
                <w:szCs w:val="14"/>
              </w:rPr>
            </w:pPr>
            <w:r w:rsidRPr="00B57B36">
              <w:rPr>
                <w:rFonts w:cs="Arial"/>
                <w:sz w:val="14"/>
                <w:szCs w:val="14"/>
              </w:rPr>
              <w:t>A publication of</w:t>
            </w:r>
          </w:p>
          <w:p w14:paraId="46A4C8BB" w14:textId="77777777" w:rsidR="006F16FF" w:rsidRPr="00B57B36" w:rsidRDefault="006F16FF" w:rsidP="00CD5FE2">
            <w:pPr>
              <w:jc w:val="right"/>
            </w:pPr>
            <w:r w:rsidRPr="00B57B36">
              <w:rPr>
                <w:noProof/>
                <w:lang w:val="it-IT" w:eastAsia="it-IT"/>
              </w:rPr>
              <w:drawing>
                <wp:inline distT="0" distB="0" distL="0" distR="0" wp14:anchorId="361958D6" wp14:editId="0571D37A">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6F16FF" w:rsidRPr="00B57B36" w14:paraId="0213638B" w14:textId="77777777" w:rsidTr="00DE264A">
        <w:trPr>
          <w:trHeight w:val="567"/>
          <w:jc w:val="center"/>
        </w:trPr>
        <w:tc>
          <w:tcPr>
            <w:tcW w:w="6946" w:type="dxa"/>
            <w:vMerge/>
            <w:tcBorders>
              <w:right w:val="single" w:sz="4" w:space="0" w:color="auto"/>
            </w:tcBorders>
          </w:tcPr>
          <w:p w14:paraId="61B92201" w14:textId="77777777" w:rsidR="006F16FF" w:rsidRPr="00B57B36" w:rsidRDefault="006F16FF" w:rsidP="00CD5FE2">
            <w:pPr>
              <w:tabs>
                <w:tab w:val="left" w:pos="-108"/>
              </w:tabs>
            </w:pPr>
          </w:p>
        </w:tc>
        <w:tc>
          <w:tcPr>
            <w:tcW w:w="1843" w:type="dxa"/>
            <w:tcBorders>
              <w:left w:val="single" w:sz="4" w:space="0" w:color="auto"/>
              <w:bottom w:val="nil"/>
              <w:right w:val="single" w:sz="4" w:space="0" w:color="auto"/>
            </w:tcBorders>
          </w:tcPr>
          <w:p w14:paraId="165A6DC3" w14:textId="77777777" w:rsidR="006F16FF" w:rsidRPr="00B57B36" w:rsidRDefault="006F16FF" w:rsidP="00CD5FE2">
            <w:pPr>
              <w:spacing w:line="140" w:lineRule="atLeast"/>
              <w:jc w:val="right"/>
              <w:rPr>
                <w:rFonts w:cs="Arial"/>
                <w:sz w:val="14"/>
                <w:szCs w:val="14"/>
              </w:rPr>
            </w:pPr>
            <w:r w:rsidRPr="00B57B36">
              <w:rPr>
                <w:rFonts w:cs="Arial"/>
                <w:sz w:val="14"/>
                <w:szCs w:val="14"/>
              </w:rPr>
              <w:t>The Italian Association</w:t>
            </w:r>
          </w:p>
          <w:p w14:paraId="26318CCF" w14:textId="77777777" w:rsidR="006F16FF" w:rsidRPr="00B57B36" w:rsidRDefault="006F16FF" w:rsidP="00CD5FE2">
            <w:pPr>
              <w:spacing w:line="140" w:lineRule="atLeast"/>
              <w:jc w:val="right"/>
              <w:rPr>
                <w:rFonts w:cs="Arial"/>
                <w:sz w:val="14"/>
                <w:szCs w:val="14"/>
              </w:rPr>
            </w:pPr>
            <w:r w:rsidRPr="00B57B36">
              <w:rPr>
                <w:rFonts w:cs="Arial"/>
                <w:sz w:val="14"/>
                <w:szCs w:val="14"/>
              </w:rPr>
              <w:t>of Chemical Engineering</w:t>
            </w:r>
          </w:p>
          <w:p w14:paraId="55F3B92A" w14:textId="77777777" w:rsidR="006F16FF" w:rsidRPr="000D0268" w:rsidRDefault="006F16FF" w:rsidP="00CD5FE2">
            <w:pPr>
              <w:spacing w:line="140" w:lineRule="atLeast"/>
              <w:jc w:val="right"/>
              <w:rPr>
                <w:rFonts w:cs="Arial"/>
                <w:sz w:val="13"/>
                <w:szCs w:val="13"/>
              </w:rPr>
            </w:pPr>
            <w:r w:rsidRPr="000D0268">
              <w:rPr>
                <w:rFonts w:cs="Arial"/>
                <w:sz w:val="13"/>
                <w:szCs w:val="13"/>
              </w:rPr>
              <w:t>Online at www.cetjournal.it</w:t>
            </w:r>
          </w:p>
        </w:tc>
      </w:tr>
      <w:tr w:rsidR="006F16FF" w:rsidRPr="00B57B36" w14:paraId="0D1C16A5" w14:textId="77777777" w:rsidTr="00DE264A">
        <w:trPr>
          <w:trHeight w:val="68"/>
          <w:jc w:val="center"/>
        </w:trPr>
        <w:tc>
          <w:tcPr>
            <w:tcW w:w="8789" w:type="dxa"/>
            <w:gridSpan w:val="2"/>
          </w:tcPr>
          <w:p w14:paraId="3CDE7276" w14:textId="77777777" w:rsidR="006F16FF" w:rsidRPr="007D610D" w:rsidRDefault="006F16FF"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Pr="007D610D">
              <w:rPr>
                <w:rFonts w:ascii="Aptos" w:eastAsiaTheme="minorHAnsi" w:hAnsi="Aptos" w:cs="Aptos"/>
                <w:sz w:val="22"/>
                <w:szCs w:val="22"/>
                <w:lang w:val="it-IT"/>
                <w14:ligatures w14:val="standardContextual"/>
              </w:rPr>
              <w:t xml:space="preserve"> </w:t>
            </w:r>
            <w:r w:rsidRPr="007D610D">
              <w:rPr>
                <w:rFonts w:ascii="Tahoma" w:hAnsi="Tahoma" w:cs="Tahoma"/>
                <w:color w:val="000000"/>
                <w:sz w:val="14"/>
                <w:szCs w:val="14"/>
                <w:shd w:val="clear" w:color="auto" w:fill="FFFFFF"/>
                <w:lang w:val="it-IT"/>
              </w:rPr>
              <w:t xml:space="preserve">Fabrizio Bezzo, </w:t>
            </w:r>
            <w:r>
              <w:rPr>
                <w:rFonts w:ascii="Tahoma" w:hAnsi="Tahoma" w:cs="Tahoma"/>
                <w:color w:val="000000"/>
                <w:sz w:val="14"/>
                <w:szCs w:val="14"/>
                <w:shd w:val="clear" w:color="auto" w:fill="FFFFFF"/>
                <w:lang w:val="it-IT"/>
              </w:rPr>
              <w:t xml:space="preserve">Flavio Manenti, </w:t>
            </w:r>
            <w:r w:rsidRPr="007D610D">
              <w:rPr>
                <w:rFonts w:ascii="Tahoma" w:hAnsi="Tahoma" w:cs="Tahoma"/>
                <w:color w:val="000000"/>
                <w:sz w:val="14"/>
                <w:szCs w:val="14"/>
                <w:shd w:val="clear" w:color="auto" w:fill="FFFFFF"/>
                <w:lang w:val="it-IT"/>
              </w:rPr>
              <w:t>Gabriele Pannocchia, Almerinda di Benedetto</w:t>
            </w:r>
          </w:p>
          <w:p w14:paraId="3CD9DDBB" w14:textId="77777777" w:rsidR="006F16FF" w:rsidRPr="00B57B36" w:rsidRDefault="006F16FF" w:rsidP="00AA7D26">
            <w:pPr>
              <w:tabs>
                <w:tab w:val="left" w:pos="-108"/>
              </w:tabs>
              <w:spacing w:line="140" w:lineRule="atLeast"/>
              <w:ind w:left="-107"/>
              <w:jc w:val="left"/>
            </w:pPr>
            <w:r>
              <w:rPr>
                <w:rFonts w:ascii="Tahoma" w:hAnsi="Tahoma" w:cs="Tahoma"/>
                <w:iCs/>
                <w:color w:val="333333"/>
                <w:sz w:val="14"/>
                <w:szCs w:val="14"/>
                <w:lang w:eastAsia="it-IT"/>
              </w:rPr>
              <w:t>Copyright © 2025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81206-17-5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099D64E7" w14:textId="77777777" w:rsidR="006F16FF" w:rsidRPr="00B57B36" w:rsidRDefault="006F16FF" w:rsidP="00E978D0">
      <w:pPr>
        <w:pStyle w:val="CETTitle"/>
      </w:pPr>
      <w:r>
        <w:t>Heat and Mass Tra</w:t>
      </w:r>
      <w:r w:rsidRPr="00B57B36">
        <w:t>ns</w:t>
      </w:r>
      <w:r>
        <w:t>f</w:t>
      </w:r>
      <w:r w:rsidRPr="00B57B36">
        <w:t xml:space="preserve">er </w:t>
      </w:r>
      <w:r>
        <w:t>Study of Top-Heat-Integrated Distillation Column (T-HIDiC) using CFD</w:t>
      </w:r>
    </w:p>
    <w:p w14:paraId="7634A4CB" w14:textId="77777777" w:rsidR="006F16FF" w:rsidRPr="002056F9" w:rsidRDefault="006F16FF" w:rsidP="00B57E6F">
      <w:pPr>
        <w:pStyle w:val="CETAuthors"/>
        <w:rPr>
          <w:lang w:val="es-MX"/>
        </w:rPr>
      </w:pPr>
      <w:r w:rsidRPr="002056F9">
        <w:rPr>
          <w:lang w:val="es-MX"/>
        </w:rPr>
        <w:t>Javier A. Mancera-Apolinar</w:t>
      </w:r>
      <w:r w:rsidRPr="002056F9">
        <w:rPr>
          <w:vertAlign w:val="superscript"/>
          <w:lang w:val="es-MX"/>
        </w:rPr>
        <w:t>a,</w:t>
      </w:r>
      <w:r w:rsidRPr="002056F9">
        <w:rPr>
          <w:lang w:val="es-MX"/>
        </w:rPr>
        <w:t>*, Diego F. Mendoza</w:t>
      </w:r>
      <w:r w:rsidRPr="002056F9">
        <w:rPr>
          <w:vertAlign w:val="superscript"/>
          <w:lang w:val="es-MX"/>
        </w:rPr>
        <w:t>b</w:t>
      </w:r>
      <w:r w:rsidRPr="002056F9">
        <w:rPr>
          <w:lang w:val="es-MX"/>
        </w:rPr>
        <w:t>, Ronnie Andersson</w:t>
      </w:r>
      <w:r w:rsidRPr="00395125">
        <w:rPr>
          <w:vertAlign w:val="superscript"/>
          <w:lang w:val="es-MX"/>
        </w:rPr>
        <w:t>c</w:t>
      </w:r>
      <w:r w:rsidRPr="002056F9">
        <w:rPr>
          <w:lang w:val="es-MX"/>
        </w:rPr>
        <w:t>, Carlos A. M. Riascos</w:t>
      </w:r>
      <w:r w:rsidRPr="00395125">
        <w:rPr>
          <w:vertAlign w:val="superscript"/>
          <w:lang w:val="es-MX"/>
        </w:rPr>
        <w:t>d</w:t>
      </w:r>
    </w:p>
    <w:p w14:paraId="5CA2E665" w14:textId="77777777" w:rsidR="006F16FF" w:rsidRPr="00056093" w:rsidRDefault="006F16FF" w:rsidP="00B57E6F">
      <w:pPr>
        <w:pStyle w:val="CETAddress"/>
        <w:rPr>
          <w:lang w:val="es-MX"/>
        </w:rPr>
      </w:pPr>
      <w:r w:rsidRPr="00D9026C">
        <w:rPr>
          <w:vertAlign w:val="superscript"/>
          <w:lang w:val="es-MX"/>
        </w:rPr>
        <w:t>a</w:t>
      </w:r>
      <w:r w:rsidRPr="00D9026C">
        <w:rPr>
          <w:lang w:val="es-MX"/>
        </w:rPr>
        <w:t xml:space="preserve">Universidad de América. Departamento de Ingeniería Química y Ambiental; tel. </w:t>
      </w:r>
      <w:r w:rsidRPr="00056093">
        <w:rPr>
          <w:lang w:val="es-MX"/>
        </w:rPr>
        <w:t xml:space="preserve">+57 3003865231, Avda Circunvalar No. 20-53. Bogotá-Colombia. </w:t>
      </w:r>
    </w:p>
    <w:p w14:paraId="706DAB32" w14:textId="77777777" w:rsidR="006F16FF" w:rsidRPr="00056093" w:rsidRDefault="006F16FF" w:rsidP="00046FC3">
      <w:pPr>
        <w:pStyle w:val="CETAddress"/>
        <w:jc w:val="both"/>
        <w:rPr>
          <w:lang w:val="en-US"/>
        </w:rPr>
      </w:pPr>
      <w:r w:rsidRPr="00046FC3">
        <w:rPr>
          <w:vertAlign w:val="superscript"/>
          <w:lang w:val="es-MX"/>
        </w:rPr>
        <w:t>b</w:t>
      </w:r>
      <w:r w:rsidRPr="00046FC3">
        <w:rPr>
          <w:lang w:val="es-MX"/>
        </w:rPr>
        <w:t xml:space="preserve">Universidad de Antioquia. Departamento de Ingeniería Química. tel. </w:t>
      </w:r>
      <w:r w:rsidRPr="00056093">
        <w:rPr>
          <w:lang w:val="en-US"/>
        </w:rPr>
        <w:t>+57 3216451100. Calle 70 # 52-21, Medellín, Antioquia.</w:t>
      </w:r>
    </w:p>
    <w:p w14:paraId="3A4D9CB1" w14:textId="77777777" w:rsidR="006F16FF" w:rsidRPr="00046FC3" w:rsidRDefault="006F16FF" w:rsidP="00046FC3">
      <w:pPr>
        <w:pStyle w:val="CETAddress"/>
        <w:jc w:val="both"/>
        <w:rPr>
          <w:lang w:val="es-MX"/>
        </w:rPr>
      </w:pPr>
      <w:r w:rsidRPr="006F4AD6">
        <w:rPr>
          <w:vertAlign w:val="superscript"/>
        </w:rPr>
        <w:t>c</w:t>
      </w:r>
      <w:r>
        <w:t xml:space="preserve">Chalmers Technology University. Department of Chemical Engineering. tel. </w:t>
      </w:r>
      <w:r w:rsidRPr="00046FC3">
        <w:rPr>
          <w:lang w:val="es-MX"/>
        </w:rPr>
        <w:t>+46 317722941</w:t>
      </w:r>
      <w:r>
        <w:rPr>
          <w:lang w:val="es-MX"/>
        </w:rPr>
        <w:t>.</w:t>
      </w:r>
      <w:r w:rsidRPr="00046FC3">
        <w:rPr>
          <w:lang w:val="es-MX"/>
        </w:rPr>
        <w:t xml:space="preserve"> Gothenburg-Sweden.</w:t>
      </w:r>
    </w:p>
    <w:p w14:paraId="4E811222" w14:textId="77777777" w:rsidR="006F16FF" w:rsidRPr="00046FC3" w:rsidRDefault="006F16FF" w:rsidP="00046FC3">
      <w:pPr>
        <w:pStyle w:val="CETAddress"/>
        <w:jc w:val="both"/>
        <w:rPr>
          <w:lang w:val="es-MX"/>
        </w:rPr>
      </w:pPr>
      <w:r w:rsidRPr="00443FF2">
        <w:rPr>
          <w:vertAlign w:val="superscript"/>
          <w:lang w:val="es-MX"/>
        </w:rPr>
        <w:t>d</w:t>
      </w:r>
      <w:r w:rsidRPr="00046FC3">
        <w:rPr>
          <w:lang w:val="es-MX"/>
        </w:rPr>
        <w:t>Universidad Nacional de Colombia; sede Bogotá. Departamento de Ingeniería Química y Ambiental-Grupo de Investigación de Bioprocesos; tel. +57 3125830176</w:t>
      </w:r>
      <w:r>
        <w:rPr>
          <w:lang w:val="es-MX"/>
        </w:rPr>
        <w:t>.</w:t>
      </w:r>
      <w:r w:rsidRPr="00046FC3">
        <w:rPr>
          <w:lang w:val="es-MX"/>
        </w:rPr>
        <w:t xml:space="preserve"> Carrera 30 # 45-03; Edificio 453. Bogotá-Colombia. </w:t>
      </w:r>
    </w:p>
    <w:p w14:paraId="48A18867" w14:textId="77777777" w:rsidR="006F16FF" w:rsidRPr="00056093" w:rsidRDefault="006F16FF" w:rsidP="00046FC3">
      <w:pPr>
        <w:pStyle w:val="CETemail"/>
        <w:jc w:val="both"/>
        <w:rPr>
          <w:lang w:val="es-MX"/>
        </w:rPr>
      </w:pPr>
      <w:r w:rsidRPr="00056093">
        <w:rPr>
          <w:lang w:val="es-MX"/>
        </w:rPr>
        <w:t>*Corresponding author: javier.mancera@profesores.uamerica.edu.co</w:t>
      </w:r>
    </w:p>
    <w:p w14:paraId="77FAC064" w14:textId="77777777" w:rsidR="006F16FF" w:rsidRDefault="006F16FF" w:rsidP="00761BEC">
      <w:pPr>
        <w:pStyle w:val="CETListbullets"/>
        <w:ind w:left="0" w:firstLine="0"/>
        <w:rPr>
          <w:b/>
        </w:rPr>
      </w:pPr>
      <w:bookmarkStart w:id="1" w:name="_Hlk495475023"/>
      <w:r>
        <w:rPr>
          <w:b/>
        </w:rPr>
        <w:t>Abstract</w:t>
      </w:r>
    </w:p>
    <w:p w14:paraId="69B3A886" w14:textId="2E93EC72" w:rsidR="006F16FF" w:rsidRPr="00761BEC" w:rsidRDefault="006F16FF" w:rsidP="003342E6">
      <w:pPr>
        <w:pStyle w:val="CETBodytext"/>
      </w:pPr>
      <w:r w:rsidRPr="00391332">
        <w:t xml:space="preserve">Distillation is one of the most widely used separation techniques in chemical processes, this </w:t>
      </w:r>
      <w:r w:rsidR="003F5092">
        <w:t>separation</w:t>
      </w:r>
      <w:r w:rsidR="004160B6">
        <w:t xml:space="preserve"> method </w:t>
      </w:r>
      <w:r w:rsidRPr="00391332">
        <w:t>accounts</w:t>
      </w:r>
      <w:r w:rsidR="004160B6">
        <w:t xml:space="preserve"> </w:t>
      </w:r>
      <w:r w:rsidR="004031B5">
        <w:t xml:space="preserve">for a significant portion of global </w:t>
      </w:r>
      <w:r w:rsidRPr="00391332">
        <w:t xml:space="preserve">energy consumption. Process intensification strategies have led to alternative technologies such as Heat Integrated Distillation Columns (HIDiC), these units can </w:t>
      </w:r>
      <w:r w:rsidR="00974558">
        <w:t>significantly</w:t>
      </w:r>
      <w:r w:rsidR="00BD29A8">
        <w:t xml:space="preserve"> </w:t>
      </w:r>
      <w:r w:rsidRPr="00391332">
        <w:t xml:space="preserve">reduce energy consumption. The goal of this study is to develop a CFD model to analyze momentum, heat and mass transfer in the separation of propylene/propane system in a Top HIDiC. The initial and boundary conditions are based on data from Aspen plus process simulations. Ranz-Marshall approaches are used for the representation of the heat transfer between phases and resistance in the gas phase. The mass transfer coefficient was calculated </w:t>
      </w:r>
      <w:r w:rsidR="00145949">
        <w:t>using</w:t>
      </w:r>
      <w:r w:rsidRPr="00391332">
        <w:t xml:space="preserve"> Higbie’s model </w:t>
      </w:r>
      <w:r w:rsidR="00145949">
        <w:t>implemented via</w:t>
      </w:r>
      <w:r w:rsidRPr="00391332">
        <w:t xml:space="preserve"> UDF. The Peng-Robinson thermodynamic equilibrium model was implemented to estimate equilibrium ratio at the interface by UDF. The developed CFD model was used to evaluate three pairs of internal rectification stage plus external stripping stage, that are thermally integrated. These stages were selected as </w:t>
      </w:r>
      <w:r w:rsidR="00A1772C">
        <w:t>representative</w:t>
      </w:r>
      <w:r w:rsidR="00334F38">
        <w:t xml:space="preserve"> </w:t>
      </w:r>
      <w:r w:rsidRPr="00391332">
        <w:t>of the column. Phases distribution, temperature</w:t>
      </w:r>
      <w:r>
        <w:t xml:space="preserve"> and</w:t>
      </w:r>
      <w:r w:rsidRPr="00391332">
        <w:t xml:space="preserve"> vapor phase</w:t>
      </w:r>
      <w:r>
        <w:t xml:space="preserve"> </w:t>
      </w:r>
      <w:r w:rsidRPr="00391332">
        <w:t xml:space="preserve">Murphree efficiency were obtained as results, showing the </w:t>
      </w:r>
      <w:r w:rsidR="003342E6" w:rsidRPr="00391332">
        <w:t>potential</w:t>
      </w:r>
      <w:r w:rsidRPr="00391332">
        <w:t xml:space="preserve"> of CFD models to analyze new and structurally complex units.</w:t>
      </w:r>
    </w:p>
    <w:bookmarkEnd w:id="1"/>
    <w:p w14:paraId="2C55019C" w14:textId="77777777" w:rsidR="006F16FF" w:rsidRPr="00B57B36" w:rsidRDefault="006F16FF" w:rsidP="00600535">
      <w:pPr>
        <w:pStyle w:val="CETHeading1"/>
        <w:rPr>
          <w:lang w:val="en-GB"/>
        </w:rPr>
      </w:pPr>
      <w:r w:rsidRPr="00B57B36">
        <w:rPr>
          <w:lang w:val="en-GB"/>
        </w:rPr>
        <w:t>Introduction</w:t>
      </w:r>
    </w:p>
    <w:p w14:paraId="542B8AD9" w14:textId="1C53864E" w:rsidR="006F16FF" w:rsidRPr="0049693F" w:rsidRDefault="006F16FF" w:rsidP="0049693F">
      <w:pPr>
        <w:pStyle w:val="CETBodytext"/>
        <w:rPr>
          <w:rFonts w:eastAsia="Calibri"/>
        </w:rPr>
      </w:pPr>
      <w:r w:rsidRPr="0049693F">
        <w:rPr>
          <w:rFonts w:eastAsia="Calibri"/>
        </w:rPr>
        <w:t xml:space="preserve">Distillation is a widely used separation technique in the chemical industry, but it is also one of the most energy-intensive processes, significantly impacting operating costs and carbon footprint. To address this issue, energy integration has been proposed as a process intensification strategy, reducing equipment and utility requirements through heat and mass integration. In this context, the Heat-Integrated Distillation Column (HIDiC) concept has been developed, achieving diabatic operation by vapor recompression at a low </w:t>
      </w:r>
      <w:r w:rsidR="00E35CF2">
        <w:rPr>
          <w:rFonts w:eastAsia="Calibri"/>
        </w:rPr>
        <w:t>compression</w:t>
      </w:r>
      <w:r w:rsidR="00A1327D">
        <w:rPr>
          <w:rFonts w:eastAsia="Calibri"/>
        </w:rPr>
        <w:t xml:space="preserve"> </w:t>
      </w:r>
      <w:r w:rsidRPr="0049693F">
        <w:rPr>
          <w:rFonts w:eastAsia="Calibri"/>
        </w:rPr>
        <w:t>ratio, enabling substantial energy savings. HIDiC is particularly effective for separating close-boiling mixtures, such as the propylene-propane system</w:t>
      </w:r>
      <w:r w:rsidR="004150B6">
        <w:rPr>
          <w:rFonts w:eastAsia="Calibri"/>
        </w:rPr>
        <w:t xml:space="preserve"> </w:t>
      </w:r>
      <w:sdt>
        <w:sdtPr>
          <w:rPr>
            <w:rFonts w:eastAsia="Calibri"/>
            <w:color w:val="000000"/>
          </w:rPr>
          <w:tag w:val="MENDELEY_CITATION_v3_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"/>
          <w:id w:val="-2053752737"/>
          <w:placeholder>
            <w:docPart w:val="DefaultPlaceholder_-1854013440"/>
          </w:placeholder>
        </w:sdtPr>
        <w:sdtContent>
          <w:r w:rsidR="0048672F" w:rsidRPr="0048672F">
            <w:rPr>
              <w:color w:val="000000"/>
            </w:rPr>
            <w:t>(</w:t>
          </w:r>
          <w:proofErr w:type="spellStart"/>
          <w:r w:rsidR="0048672F" w:rsidRPr="0048672F">
            <w:rPr>
              <w:color w:val="000000"/>
            </w:rPr>
            <w:t>Olujic</w:t>
          </w:r>
          <w:proofErr w:type="spellEnd"/>
          <w:r w:rsidR="0048672F" w:rsidRPr="0048672F">
            <w:rPr>
              <w:color w:val="000000"/>
            </w:rPr>
            <w:t xml:space="preserve"> et al., 2003)</w:t>
          </w:r>
        </w:sdtContent>
      </w:sdt>
      <w:r w:rsidRPr="0049693F">
        <w:rPr>
          <w:rFonts w:eastAsia="Calibri"/>
        </w:rPr>
        <w:t>.</w:t>
      </w:r>
      <w:r>
        <w:rPr>
          <w:rFonts w:eastAsia="Calibri"/>
        </w:rPr>
        <w:t xml:space="preserve"> </w:t>
      </w:r>
      <w:r w:rsidRPr="0049693F">
        <w:rPr>
          <w:rFonts w:eastAsia="Calibri"/>
        </w:rPr>
        <w:t xml:space="preserve">Previous studies demonstrated that the Top HIDiC (T-HIDiC) configuration, which thermally integrates the upper rectification stages with the stripping section, is more energy-efficient </w:t>
      </w:r>
      <w:sdt>
        <w:sdtPr>
          <w:rPr>
            <w:rFonts w:eastAsia="Calibri"/>
            <w:color w:val="000000"/>
          </w:rPr>
          <w:tag w:val="MENDELEY_CITATION_v3_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"/>
          <w:id w:val="145013356"/>
          <w:placeholder>
            <w:docPart w:val="DefaultPlaceholder_-1854013440"/>
          </w:placeholder>
        </w:sdtPr>
        <w:sdtContent>
          <w:r w:rsidR="0048672F" w:rsidRPr="0048672F">
            <w:rPr>
              <w:rFonts w:eastAsia="Calibri"/>
              <w:color w:val="000000"/>
            </w:rPr>
            <w:t>(Mancera et al., 2018)</w:t>
          </w:r>
        </w:sdtContent>
      </w:sdt>
      <w:r w:rsidRPr="0049693F">
        <w:rPr>
          <w:rFonts w:eastAsia="Calibri"/>
        </w:rPr>
        <w:t xml:space="preserve">. Research at institutions like the University of Delft and simulations using tools such as Aspen Plus® and Aspen </w:t>
      </w:r>
      <w:proofErr w:type="spellStart"/>
      <w:r w:rsidRPr="0049693F">
        <w:rPr>
          <w:rFonts w:eastAsia="Calibri"/>
        </w:rPr>
        <w:t>Hysys</w:t>
      </w:r>
      <w:proofErr w:type="spellEnd"/>
      <w:r w:rsidRPr="0049693F">
        <w:rPr>
          <w:rFonts w:eastAsia="Calibri"/>
        </w:rPr>
        <w:t>® have evaluated these columns, but they often overlook critical phenomena such as fluid dynamics and heat and mass transfer effects. Computational Fluid Dynamics (CFD) approaches have been used to analyze these aspects, although prior models focused primarily on heat transfer within solid structure</w:t>
      </w:r>
      <w:r w:rsidR="004150B6">
        <w:rPr>
          <w:rFonts w:eastAsia="Calibri"/>
        </w:rPr>
        <w:t xml:space="preserve"> </w:t>
      </w:r>
      <w:sdt>
        <w:sdtPr>
          <w:rPr>
            <w:rFonts w:eastAsia="Calibri"/>
            <w:color w:val="000000"/>
          </w:rPr>
          <w:tag w:val="MENDELEY_CITATION_v3_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"/>
          <w:id w:val="-609507022"/>
          <w:placeholder>
            <w:docPart w:val="DefaultPlaceholder_-1854013440"/>
          </w:placeholder>
        </w:sdtPr>
        <w:sdtContent>
          <w:r w:rsidR="0048672F" w:rsidRPr="0048672F">
            <w:rPr>
              <w:rFonts w:eastAsia="Calibri"/>
              <w:color w:val="000000"/>
            </w:rPr>
            <w:t>(Pulido et al., 2010)</w:t>
          </w:r>
        </w:sdtContent>
      </w:sdt>
      <w:r w:rsidRPr="0049693F">
        <w:rPr>
          <w:rFonts w:eastAsia="Calibri"/>
        </w:rPr>
        <w:t>.</w:t>
      </w:r>
      <w:r>
        <w:rPr>
          <w:rFonts w:eastAsia="Calibri"/>
        </w:rPr>
        <w:t xml:space="preserve"> </w:t>
      </w:r>
      <w:r w:rsidRPr="0049693F">
        <w:rPr>
          <w:rFonts w:eastAsia="Calibri"/>
        </w:rPr>
        <w:t>This study aims to develop an advanced CFD model to analyze the operation of a T-HIDiC column for propylene/propane separation, as suggested in previous work</w:t>
      </w:r>
      <w:r w:rsidR="004150B6">
        <w:rPr>
          <w:rFonts w:eastAsia="Calibri"/>
        </w:rPr>
        <w:t xml:space="preserve"> </w:t>
      </w:r>
      <w:sdt>
        <w:sdtPr>
          <w:rPr>
            <w:rFonts w:eastAsia="Calibri"/>
            <w:color w:val="000000"/>
          </w:rPr>
          <w:tag w:val="MENDELEY_CITATION_v3_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"/>
          <w:id w:val="1400257839"/>
          <w:placeholder>
            <w:docPart w:val="DefaultPlaceholder_-1854013440"/>
          </w:placeholder>
        </w:sdtPr>
        <w:sdtContent>
          <w:r w:rsidR="0048672F" w:rsidRPr="0048672F">
            <w:rPr>
              <w:rFonts w:eastAsia="Calibri"/>
              <w:color w:val="000000"/>
            </w:rPr>
            <w:t>(Mancera et al., 2018)</w:t>
          </w:r>
        </w:sdtContent>
      </w:sdt>
      <w:r w:rsidRPr="0049693F">
        <w:rPr>
          <w:rFonts w:eastAsia="Calibri"/>
        </w:rPr>
        <w:t>. Conventional process simulations provided temperature and concentration profiles, as well as vapor and liquid flow data, to define boundary and initial conditions for CFD analysis.</w:t>
      </w:r>
    </w:p>
    <w:p w14:paraId="257A841F" w14:textId="77777777" w:rsidR="006F16FF" w:rsidRDefault="006F16FF" w:rsidP="00453E24">
      <w:pPr>
        <w:pStyle w:val="CETHeading1"/>
      </w:pPr>
      <w:r>
        <w:lastRenderedPageBreak/>
        <w:t>CFD and mass transfer model</w:t>
      </w:r>
    </w:p>
    <w:p w14:paraId="682B5235" w14:textId="2F6577AC" w:rsidR="006F16FF" w:rsidRDefault="006F16FF" w:rsidP="003042B6">
      <w:pPr>
        <w:pStyle w:val="CETBodytext"/>
      </w:pPr>
      <w:r w:rsidRPr="00754B37">
        <w:rPr>
          <w:lang w:val="en-GB"/>
        </w:rPr>
        <w:t xml:space="preserve">The approach of continuous liquid phase based on the small density and small spatial scales of the dispersed gas was used for the multiphase </w:t>
      </w:r>
      <w:proofErr w:type="spellStart"/>
      <w:r w:rsidRPr="00754B37">
        <w:rPr>
          <w:lang w:val="en-GB"/>
        </w:rPr>
        <w:t>behavior</w:t>
      </w:r>
      <w:proofErr w:type="spellEnd"/>
      <w:r w:rsidRPr="00754B37">
        <w:rPr>
          <w:lang w:val="en-GB"/>
        </w:rPr>
        <w:t>. The two-</w:t>
      </w:r>
      <w:r w:rsidRPr="003042B6">
        <w:t>equation</w:t>
      </w:r>
      <w:r w:rsidRPr="00754B37">
        <w:rPr>
          <w:lang w:val="en-GB"/>
        </w:rPr>
        <w:t xml:space="preserve"> turbulence RANS (Reynolds Averaged Navier Stokes) model for the liquid and vapor phase was used</w:t>
      </w:r>
      <w:r w:rsidR="0048672F">
        <w:rPr>
          <w:lang w:val="en-GB"/>
        </w:rPr>
        <w:t xml:space="preserve"> </w:t>
      </w:r>
      <w:sdt>
        <w:sdtPr>
          <w:rPr>
            <w:color w:val="000000"/>
            <w:lang w:val="en-GB"/>
          </w:rPr>
          <w:tag w:val="MENDELEY_CITATION_v3_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"/>
          <w:id w:val="-2132772494"/>
          <w:placeholder>
            <w:docPart w:val="DefaultPlaceholder_-1854013440"/>
          </w:placeholder>
        </w:sdtPr>
        <w:sdtContent>
          <w:r w:rsidR="0048672F" w:rsidRPr="0048672F">
            <w:rPr>
              <w:color w:val="000000"/>
            </w:rPr>
            <w:t>(Colombo &amp; Fairweather, 2015)</w:t>
          </w:r>
        </w:sdtContent>
      </w:sdt>
      <w:r w:rsidR="0048672F">
        <w:rPr>
          <w:lang w:val="en-GB"/>
        </w:rPr>
        <w:t xml:space="preserve">. </w:t>
      </w:r>
      <w:r w:rsidRPr="00754B37">
        <w:rPr>
          <w:lang w:val="en-GB"/>
        </w:rPr>
        <w:t xml:space="preserve">The momentum exchange is </w:t>
      </w:r>
      <w:proofErr w:type="spellStart"/>
      <w:r w:rsidRPr="00754B37">
        <w:rPr>
          <w:lang w:val="en-GB"/>
        </w:rPr>
        <w:t>modeled</w:t>
      </w:r>
      <w:proofErr w:type="spellEnd"/>
      <w:r w:rsidRPr="00754B37">
        <w:rPr>
          <w:lang w:val="en-GB"/>
        </w:rPr>
        <w:t xml:space="preserve"> to consider drag, lift, and virtual mass.</w:t>
      </w:r>
    </w:p>
    <w:p w14:paraId="60FD96E4" w14:textId="77777777" w:rsidR="006F16FF" w:rsidRDefault="006F16FF" w:rsidP="00453E24">
      <w:pPr>
        <w:pStyle w:val="CETheadingx"/>
      </w:pPr>
      <w:r>
        <w:t>Flow equations</w:t>
      </w:r>
    </w:p>
    <w:p w14:paraId="7B928849" w14:textId="379167FF" w:rsidR="006F16FF" w:rsidRDefault="006F16FF" w:rsidP="003042B6">
      <w:pPr>
        <w:pStyle w:val="CETBodytext"/>
      </w:pPr>
      <w:r>
        <w:t xml:space="preserve">The implemented two-fluid approach considers both, vapor and liquid phases as continuous and their models are based on two sets of conservation equations which estimate mass, momentum, and energy. These equations are written for each phase in different works (Versteeg &amp; </w:t>
      </w:r>
      <w:proofErr w:type="spellStart"/>
      <w:r>
        <w:t>Malalasekera</w:t>
      </w:r>
      <w:proofErr w:type="spellEnd"/>
      <w:r>
        <w:t>, 1995)</w:t>
      </w:r>
    </w:p>
    <w:p w14:paraId="3F834218" w14:textId="77777777" w:rsidR="006F16FF" w:rsidRPr="00B57B36" w:rsidRDefault="006F16FF" w:rsidP="00453E24">
      <w:pPr>
        <w:pStyle w:val="CETheadingx"/>
      </w:pPr>
      <w:r>
        <w:t>Modified drag model</w:t>
      </w:r>
    </w:p>
    <w:p w14:paraId="298B6A03" w14:textId="4C349111" w:rsidR="006F16FF" w:rsidRDefault="006F16FF" w:rsidP="00453E24">
      <w:pPr>
        <w:pStyle w:val="CETBodytext"/>
        <w:rPr>
          <w:lang w:val="en-GB"/>
        </w:rPr>
      </w:pPr>
      <w:r w:rsidRPr="00590637">
        <w:rPr>
          <w:lang w:val="en-GB"/>
        </w:rPr>
        <w:t>In this research, we use a modified drag coefficient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D,corr</m:t>
            </m:r>
          </m:sub>
        </m:sSub>
      </m:oMath>
      <w:r w:rsidRPr="00590637">
        <w:rPr>
          <w:lang w:val="en-GB"/>
        </w:rPr>
        <w:t xml:space="preserve">), based </w:t>
      </w:r>
      <w:r w:rsidR="00F3468D">
        <w:rPr>
          <w:lang w:val="en-GB"/>
        </w:rPr>
        <w:t>o</w:t>
      </w:r>
      <w:r w:rsidRPr="00590637">
        <w:rPr>
          <w:lang w:val="en-GB"/>
        </w:rPr>
        <w:t xml:space="preserve">n the Grace model and developed by Mancera et al. </w:t>
      </w:r>
      <w:sdt>
        <w:sdtPr>
          <w:rPr>
            <w:color w:val="000000"/>
            <w:lang w:val="en-GB"/>
          </w:rPr>
          <w:tag w:val="MENDELEY_CITATION_v3_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"/>
          <w:id w:val="-1039041721"/>
          <w:placeholder>
            <w:docPart w:val="DefaultPlaceholder_-1854013440"/>
          </w:placeholder>
        </w:sdtPr>
        <w:sdtContent>
          <w:r w:rsidR="00213F62" w:rsidRPr="00213F62">
            <w:rPr>
              <w:color w:val="000000"/>
              <w:lang w:val="en-GB"/>
            </w:rPr>
            <w:t>(2023)</w:t>
          </w:r>
        </w:sdtContent>
      </w:sdt>
      <w:r w:rsidRPr="00590637">
        <w:rPr>
          <w:lang w:val="en-GB"/>
        </w:rPr>
        <w:t>. This correction on drag coefficient is supported on the idea that Grace model considers the balance forces acting on a single bubble moving into the liquid, instead of a multi-bubble system where each bubble interacts with the liquid and with other bubbles. The equation used is</w:t>
      </w:r>
      <w:r>
        <w:rPr>
          <w:lang w:val="en-GB"/>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D,corr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corr</m:t>
            </m:r>
          </m:sub>
        </m:sSub>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m:t>
            </m:r>
          </m:sub>
        </m:sSub>
      </m:oMath>
      <w:r>
        <w:rPr>
          <w:lang w:val="en-GB"/>
        </w:rPr>
        <w:t xml:space="preserve">, </w:t>
      </w:r>
      <w:r w:rsidRPr="00E42204">
        <w:rPr>
          <w:lang w:val="en-GB"/>
        </w:rPr>
        <w:t xml:space="preserve">here,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m:t>
            </m:r>
          </m:sub>
        </m:sSub>
      </m:oMath>
      <w:r w:rsidRPr="00E42204">
        <w:rPr>
          <w:lang w:val="en-GB"/>
        </w:rPr>
        <w:t xml:space="preserve"> is the drag coefficient calculated with Grace’s model (</w:t>
      </w:r>
      <w:r>
        <w:rPr>
          <w:lang w:val="en-GB"/>
        </w:rPr>
        <w:t>Grace et al., 1976</w:t>
      </w:r>
      <w:r w:rsidRPr="00E42204">
        <w:rPr>
          <w:lang w:val="en-GB"/>
        </w:rPr>
        <w:t xml:space="preserve">), and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corr</m:t>
            </m:r>
          </m:sub>
        </m:sSub>
      </m:oMath>
      <w:r w:rsidRPr="00E42204">
        <w:rPr>
          <w:lang w:val="en-GB"/>
        </w:rPr>
        <w:t xml:space="preserve"> is the correction factor.</w:t>
      </w:r>
    </w:p>
    <w:p w14:paraId="646EC004" w14:textId="77777777" w:rsidR="006F16FF" w:rsidRDefault="006F16FF" w:rsidP="005E657E">
      <w:pPr>
        <w:pStyle w:val="CETheadingx"/>
      </w:pPr>
      <w:r>
        <w:t>Heat exchange coefficient</w:t>
      </w:r>
    </w:p>
    <w:p w14:paraId="07C94BDF" w14:textId="1B33EF5E" w:rsidR="006F16FF" w:rsidRDefault="006F16FF" w:rsidP="000D64B4">
      <w:pPr>
        <w:pStyle w:val="CETBodytext"/>
        <w:rPr>
          <w:lang w:val="en-GB"/>
        </w:rPr>
      </w:pPr>
      <w:r w:rsidRPr="00D46005">
        <w:rPr>
          <w:lang w:val="en-GB"/>
        </w:rPr>
        <w:t xml:space="preserve">The rate of energy transfer between phases,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LG</m:t>
            </m:r>
          </m:sub>
        </m:sSub>
      </m:oMath>
      <w:r w:rsidRPr="00D46005">
        <w:rPr>
          <w:lang w:val="en-GB"/>
        </w:rPr>
        <w:t xml:space="preserve">, is a function of the temperature difference and the interfacial area, </w:t>
      </w:r>
      <m:oMath>
        <m:r>
          <w:rPr>
            <w:rFonts w:ascii="Cambria Math" w:hAnsi="Cambria Math"/>
            <w:lang w:val="en-GB"/>
          </w:rPr>
          <m:t>A</m:t>
        </m:r>
      </m:oMath>
      <w:r>
        <w:rPr>
          <w:lang w:val="en-GB"/>
        </w:rPr>
        <w:t xml:space="preserve">. The equation is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LG</m:t>
            </m:r>
          </m:sub>
        </m:sSub>
        <m:r>
          <w:rPr>
            <w:rFonts w:ascii="Cambria Math" w:hAnsi="Cambria Math"/>
            <w:lang w:val="en-GB"/>
          </w:rPr>
          <m:t>=</m:t>
        </m:r>
        <m:acc>
          <m:accPr>
            <m:ctrlPr>
              <w:rPr>
                <w:rFonts w:ascii="Cambria Math" w:hAnsi="Cambria Math"/>
                <w:i/>
                <w:lang w:val="en-GB"/>
              </w:rPr>
            </m:ctrlPr>
          </m:accPr>
          <m:e>
            <m:r>
              <w:rPr>
                <w:rFonts w:ascii="Cambria Math" w:hAnsi="Cambria Math"/>
                <w:lang w:val="en-GB"/>
              </w:rPr>
              <m:t>h</m:t>
            </m:r>
          </m:e>
        </m:acc>
        <m:r>
          <w:rPr>
            <w:rFonts w:ascii="Cambria Math" w:hAnsi="Cambria Math"/>
            <w:lang w:val="en-GB"/>
          </w:rPr>
          <m:t>A</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G</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L</m:t>
                </m:r>
              </m:sub>
            </m:sSub>
          </m:e>
        </m:d>
      </m:oMath>
      <w:r>
        <w:rPr>
          <w:lang w:val="en-GB"/>
        </w:rPr>
        <w:t xml:space="preserve">, </w:t>
      </w:r>
      <w:r w:rsidRPr="002C03AD">
        <w:rPr>
          <w:lang w:val="en-GB"/>
        </w:rPr>
        <w:t xml:space="preserve">where </w:t>
      </w:r>
      <m:oMath>
        <m:acc>
          <m:accPr>
            <m:ctrlPr>
              <w:rPr>
                <w:rFonts w:ascii="Cambria Math" w:hAnsi="Cambria Math"/>
                <w:i/>
                <w:lang w:val="en-GB"/>
              </w:rPr>
            </m:ctrlPr>
          </m:accPr>
          <m:e>
            <m:r>
              <w:rPr>
                <w:rFonts w:ascii="Cambria Math" w:hAnsi="Cambria Math"/>
                <w:lang w:val="en-GB"/>
              </w:rPr>
              <m:t>h</m:t>
            </m:r>
          </m:e>
        </m:acc>
      </m:oMath>
      <w:r w:rsidRPr="002C03AD">
        <w:rPr>
          <w:lang w:val="en-GB"/>
        </w:rPr>
        <w:t>, represent</w:t>
      </w:r>
      <w:r w:rsidR="00586E09">
        <w:rPr>
          <w:lang w:val="en-GB"/>
        </w:rPr>
        <w:t>s</w:t>
      </w:r>
      <w:r w:rsidRPr="002C03AD">
        <w:rPr>
          <w:lang w:val="en-GB"/>
        </w:rPr>
        <w:t xml:space="preserve"> the heat transfer coefficient between phases and is determined by Ranz-Marshall’s correlation </w:t>
      </w:r>
      <w:sdt>
        <w:sdtPr>
          <w:rPr>
            <w:color w:val="000000"/>
            <w:lang w:val="en-GB"/>
          </w:rPr>
          <w:tag w:val="MENDELEY_CITATION_v3_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"/>
          <w:id w:val="-1336069099"/>
          <w:placeholder>
            <w:docPart w:val="DefaultPlaceholder_-1854013440"/>
          </w:placeholder>
        </w:sdtPr>
        <w:sdtEndPr>
          <w:rPr>
            <w:lang w:val="en-US"/>
          </w:rPr>
        </w:sdtEndPr>
        <w:sdtContent>
          <w:r w:rsidR="00213F62" w:rsidRPr="00213F62">
            <w:rPr>
              <w:color w:val="000000"/>
            </w:rPr>
            <w:t>(Ranz &amp; Marshall, 1952)</w:t>
          </w:r>
        </w:sdtContent>
      </w:sdt>
      <w:r w:rsidRPr="002C03AD">
        <w:rPr>
          <w:lang w:val="en-GB"/>
        </w:rPr>
        <w:t xml:space="preserve">, based on Nusselt number, </w:t>
      </w:r>
      <m:oMath>
        <m:r>
          <w:rPr>
            <w:rFonts w:ascii="Cambria Math" w:hAnsi="Cambria Math"/>
            <w:lang w:val="en-GB"/>
          </w:rPr>
          <m:t>Nu</m:t>
        </m:r>
      </m:oMath>
      <w:r w:rsidRPr="002C03AD">
        <w:rPr>
          <w:lang w:val="en-GB"/>
        </w:rPr>
        <w:t>:</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39"/>
      </w:tblGrid>
      <w:tr w:rsidR="006F16FF" w:rsidRPr="00FF3F4C" w14:paraId="31C59693" w14:textId="77777777" w:rsidTr="00C1361F">
        <w:tc>
          <w:tcPr>
            <w:tcW w:w="7655" w:type="dxa"/>
          </w:tcPr>
          <w:p w14:paraId="50706B80" w14:textId="77777777" w:rsidR="006F16FF" w:rsidRPr="00FF3F4C" w:rsidRDefault="006F16FF" w:rsidP="00B6301D">
            <w:pPr>
              <w:tabs>
                <w:tab w:val="clear" w:pos="7100"/>
              </w:tabs>
              <w:spacing w:line="360" w:lineRule="auto"/>
              <w:jc w:val="center"/>
              <w:rPr>
                <w:rFonts w:cs="Arial"/>
                <w:szCs w:val="18"/>
                <w:lang w:val="en-US"/>
              </w:rPr>
            </w:pPr>
            <m:oMathPara>
              <m:oMath>
                <m:r>
                  <w:rPr>
                    <w:rFonts w:ascii="Cambria Math" w:hAnsi="Cambria Math" w:cs="Arial"/>
                    <w:szCs w:val="18"/>
                    <w:lang w:val="en-US"/>
                  </w:rPr>
                  <m:t>Nu=</m:t>
                </m:r>
                <m:f>
                  <m:fPr>
                    <m:ctrlPr>
                      <w:rPr>
                        <w:rFonts w:ascii="Cambria Math" w:hAnsi="Cambria Math" w:cs="Arial"/>
                        <w:i/>
                        <w:szCs w:val="18"/>
                        <w:lang w:val="en-US"/>
                      </w:rPr>
                    </m:ctrlPr>
                  </m:fPr>
                  <m:num>
                    <m:acc>
                      <m:accPr>
                        <m:ctrlPr>
                          <w:rPr>
                            <w:rFonts w:ascii="Cambria Math" w:hAnsi="Cambria Math" w:cs="Arial"/>
                            <w:i/>
                            <w:szCs w:val="18"/>
                            <w:lang w:val="en-US"/>
                          </w:rPr>
                        </m:ctrlPr>
                      </m:accPr>
                      <m:e>
                        <m:r>
                          <w:rPr>
                            <w:rFonts w:ascii="Cambria Math" w:hAnsi="Cambria Math" w:cs="Arial"/>
                            <w:szCs w:val="18"/>
                            <w:lang w:val="en-US"/>
                          </w:rPr>
                          <m:t>h</m:t>
                        </m:r>
                      </m:e>
                    </m:acc>
                    <m:sSub>
                      <m:sSubPr>
                        <m:ctrlPr>
                          <w:rPr>
                            <w:rFonts w:ascii="Cambria Math" w:hAnsi="Cambria Math" w:cs="Arial"/>
                            <w:i/>
                            <w:szCs w:val="18"/>
                            <w:lang w:val="en-US"/>
                          </w:rPr>
                        </m:ctrlPr>
                      </m:sSubPr>
                      <m:e>
                        <m:r>
                          <w:rPr>
                            <w:rFonts w:ascii="Cambria Math" w:hAnsi="Cambria Math" w:cs="Arial"/>
                            <w:szCs w:val="18"/>
                            <w:lang w:val="en-US"/>
                          </w:rPr>
                          <m:t>L</m:t>
                        </m:r>
                      </m:e>
                      <m:sub>
                        <m:r>
                          <w:rPr>
                            <w:rFonts w:ascii="Cambria Math" w:hAnsi="Cambria Math" w:cs="Arial"/>
                            <w:szCs w:val="18"/>
                            <w:lang w:val="en-US"/>
                          </w:rPr>
                          <m:t>G</m:t>
                        </m:r>
                      </m:sub>
                    </m:sSub>
                  </m:num>
                  <m:den>
                    <m:sSub>
                      <m:sSubPr>
                        <m:ctrlPr>
                          <w:rPr>
                            <w:rFonts w:ascii="Cambria Math"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G</m:t>
                        </m:r>
                      </m:sub>
                    </m:sSub>
                  </m:den>
                </m:f>
                <m:r>
                  <w:rPr>
                    <w:rFonts w:ascii="Cambria Math" w:hAnsi="Cambria Math" w:cs="Arial"/>
                    <w:szCs w:val="18"/>
                    <w:lang w:val="en-US"/>
                  </w:rPr>
                  <m:t>=2+0.6</m:t>
                </m:r>
                <m:sSubSup>
                  <m:sSubSupPr>
                    <m:ctrlPr>
                      <w:rPr>
                        <w:rFonts w:ascii="Cambria Math" w:hAnsi="Cambria Math" w:cs="Arial"/>
                        <w:i/>
                        <w:szCs w:val="18"/>
                        <w:lang w:val="en-US"/>
                      </w:rPr>
                    </m:ctrlPr>
                  </m:sSubSupPr>
                  <m:e>
                    <m:r>
                      <w:rPr>
                        <w:rFonts w:ascii="Cambria Math" w:hAnsi="Cambria Math" w:cs="Arial"/>
                        <w:szCs w:val="18"/>
                        <w:lang w:val="en-US"/>
                      </w:rPr>
                      <m:t>Re</m:t>
                    </m:r>
                  </m:e>
                  <m:sub>
                    <m:r>
                      <w:rPr>
                        <w:rFonts w:ascii="Cambria Math" w:hAnsi="Cambria Math" w:cs="Arial"/>
                        <w:szCs w:val="18"/>
                        <w:lang w:val="en-US"/>
                      </w:rPr>
                      <m:t>G</m:t>
                    </m:r>
                  </m:sub>
                  <m:sup>
                    <m:r>
                      <w:rPr>
                        <w:rFonts w:ascii="Cambria Math" w:hAnsi="Cambria Math" w:cs="Arial"/>
                        <w:szCs w:val="18"/>
                        <w:lang w:val="en-US"/>
                      </w:rPr>
                      <m:t>1/2</m:t>
                    </m:r>
                  </m:sup>
                </m:sSubSup>
                <m:sSup>
                  <m:sSupPr>
                    <m:ctrlPr>
                      <w:rPr>
                        <w:rFonts w:ascii="Cambria Math" w:hAnsi="Cambria Math" w:cs="Arial"/>
                        <w:i/>
                        <w:szCs w:val="18"/>
                        <w:lang w:val="en-US"/>
                      </w:rPr>
                    </m:ctrlPr>
                  </m:sSupPr>
                  <m:e>
                    <m:r>
                      <w:rPr>
                        <w:rFonts w:ascii="Cambria Math" w:hAnsi="Cambria Math" w:cs="Arial"/>
                        <w:szCs w:val="18"/>
                        <w:lang w:val="en-US"/>
                      </w:rPr>
                      <m:t>Pr</m:t>
                    </m:r>
                  </m:e>
                  <m:sup>
                    <m:r>
                      <w:rPr>
                        <w:rFonts w:ascii="Cambria Math" w:hAnsi="Cambria Math" w:cs="Arial"/>
                        <w:szCs w:val="18"/>
                        <w:lang w:val="en-US"/>
                      </w:rPr>
                      <m:t>1/3</m:t>
                    </m:r>
                  </m:sup>
                </m:sSup>
              </m:oMath>
            </m:oMathPara>
          </w:p>
        </w:tc>
        <w:tc>
          <w:tcPr>
            <w:tcW w:w="839" w:type="dxa"/>
            <w:vAlign w:val="center"/>
          </w:tcPr>
          <w:p w14:paraId="03D8DDE7" w14:textId="77777777" w:rsidR="006F16FF" w:rsidRPr="00FF3F4C" w:rsidRDefault="006F16FF" w:rsidP="00B6301D">
            <w:pPr>
              <w:tabs>
                <w:tab w:val="clear" w:pos="7100"/>
              </w:tabs>
              <w:spacing w:line="360" w:lineRule="auto"/>
              <w:jc w:val="right"/>
              <w:rPr>
                <w:rFonts w:cs="Arial"/>
                <w:szCs w:val="18"/>
                <w:lang w:val="en-US"/>
              </w:rPr>
            </w:pPr>
            <w:r>
              <w:rPr>
                <w:rFonts w:cs="Arial"/>
                <w:szCs w:val="18"/>
                <w:lang w:val="en-US"/>
              </w:rPr>
              <w:t xml:space="preserve"> </w:t>
            </w:r>
            <w:r w:rsidRPr="00FF3F4C">
              <w:rPr>
                <w:rFonts w:cs="Arial"/>
                <w:szCs w:val="18"/>
                <w:lang w:val="en-US"/>
              </w:rPr>
              <w:t>(</w:t>
            </w:r>
            <w:r>
              <w:rPr>
                <w:rFonts w:cs="Arial"/>
                <w:szCs w:val="18"/>
                <w:lang w:val="en-US"/>
              </w:rPr>
              <w:t>1</w:t>
            </w:r>
            <w:r w:rsidRPr="00FF3F4C">
              <w:rPr>
                <w:rFonts w:cs="Arial"/>
                <w:szCs w:val="18"/>
                <w:lang w:val="en-US"/>
              </w:rPr>
              <w:t>)</w:t>
            </w:r>
          </w:p>
        </w:tc>
      </w:tr>
    </w:tbl>
    <w:p w14:paraId="042E4CF6" w14:textId="77777777" w:rsidR="006F16FF" w:rsidRPr="000D64B4" w:rsidRDefault="006F16FF" w:rsidP="00726FF2">
      <w:pPr>
        <w:pStyle w:val="CETBodytext"/>
      </w:pPr>
      <w:r w:rsidRPr="006143F5">
        <w:rPr>
          <w:lang w:val="en-GB"/>
        </w:rPr>
        <w:t xml:space="preserve">here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G</m:t>
            </m:r>
          </m:sub>
        </m:sSub>
      </m:oMath>
      <w:r w:rsidRPr="006143F5">
        <w:rPr>
          <w:lang w:val="en-GB"/>
        </w:rPr>
        <w:t xml:space="preserve"> is the thermal conductivity of the gas phase,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G</m:t>
            </m:r>
          </m:sub>
        </m:sSub>
      </m:oMath>
      <w:r w:rsidRPr="006143F5">
        <w:rPr>
          <w:lang w:val="en-GB"/>
        </w:rPr>
        <w:t xml:space="preserve"> is a characteristic length (such as the bubble diameter), </w:t>
      </w:r>
      <m:oMath>
        <m:r>
          <w:rPr>
            <w:rFonts w:ascii="Cambria Math" w:hAnsi="Cambria Math"/>
            <w:lang w:val="en-GB"/>
          </w:rPr>
          <m:t>Pr</m:t>
        </m:r>
      </m:oMath>
      <w:r w:rsidRPr="006143F5">
        <w:rPr>
          <w:lang w:val="en-GB"/>
        </w:rPr>
        <w:t xml:space="preserve"> and </w:t>
      </w:r>
      <m:oMath>
        <m:sSub>
          <m:sSubPr>
            <m:ctrlPr>
              <w:rPr>
                <w:rFonts w:ascii="Cambria Math" w:hAnsi="Cambria Math"/>
                <w:i/>
                <w:lang w:val="en-GB"/>
              </w:rPr>
            </m:ctrlPr>
          </m:sSubPr>
          <m:e>
            <m:r>
              <w:rPr>
                <w:rFonts w:ascii="Cambria Math" w:hAnsi="Cambria Math"/>
                <w:lang w:val="en-GB"/>
              </w:rPr>
              <m:t>Re</m:t>
            </m:r>
          </m:e>
          <m:sub>
            <m:r>
              <w:rPr>
                <w:rFonts w:ascii="Cambria Math" w:hAnsi="Cambria Math"/>
                <w:lang w:val="en-GB"/>
              </w:rPr>
              <m:t>G</m:t>
            </m:r>
          </m:sub>
        </m:sSub>
      </m:oMath>
      <w:r w:rsidRPr="006143F5">
        <w:rPr>
          <w:lang w:val="en-GB"/>
        </w:rPr>
        <w:t xml:space="preserve"> are the Prandtl number and Reynolds number of the gas phase</w:t>
      </w:r>
    </w:p>
    <w:p w14:paraId="5211CC42" w14:textId="77777777" w:rsidR="000D12C6" w:rsidRDefault="006F16FF" w:rsidP="00726FF2">
      <w:pPr>
        <w:pStyle w:val="CETheadingx"/>
      </w:pPr>
      <w:r>
        <w:t>Species Mass Transfer</w:t>
      </w:r>
    </w:p>
    <w:p w14:paraId="43487BCC" w14:textId="61C891F7" w:rsidR="000D12C6" w:rsidRDefault="000C3DE3" w:rsidP="000C3DE3">
      <w:pPr>
        <w:pStyle w:val="CETBodytext"/>
        <w:rPr>
          <w:lang w:val="en-GB"/>
        </w:rPr>
      </w:pPr>
      <w:r w:rsidRPr="000C3DE3">
        <w:rPr>
          <w:lang w:val="en-GB"/>
        </w:rPr>
        <w:t>To model species mass transfer at the interphase, transport equations for each specie at each phase must be solved along with the mass, momentum, and energy equations. The transport equations for the mass fraction for light component (LK), are (similar equations are developed for the heavy component):</w:t>
      </w:r>
    </w:p>
    <w:p w14:paraId="65E941BD" w14:textId="529F8193" w:rsidR="000C3DE3" w:rsidRDefault="000C3DE3" w:rsidP="000C3DE3">
      <w:pPr>
        <w:pStyle w:val="CETBodytext"/>
        <w:rPr>
          <w:lang w:val="en-GB"/>
        </w:rPr>
      </w:pPr>
      <w:r>
        <w:rPr>
          <w:lang w:val="en-GB"/>
        </w:rPr>
        <w:t>Vapor Phase</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39"/>
      </w:tblGrid>
      <w:tr w:rsidR="007C634E" w:rsidRPr="007C634E" w14:paraId="4885DC59" w14:textId="77777777" w:rsidTr="00C1361F">
        <w:tc>
          <w:tcPr>
            <w:tcW w:w="7655" w:type="dxa"/>
          </w:tcPr>
          <w:p w14:paraId="45F8AA1A" w14:textId="77777777" w:rsidR="007C634E" w:rsidRPr="007C634E" w:rsidRDefault="00000000" w:rsidP="007C634E">
            <w:pPr>
              <w:tabs>
                <w:tab w:val="clear" w:pos="7100"/>
              </w:tabs>
              <w:spacing w:line="360" w:lineRule="auto"/>
              <w:jc w:val="center"/>
              <w:rPr>
                <w:rFonts w:cs="Arial"/>
                <w:szCs w:val="18"/>
                <w:lang w:val="en-US"/>
              </w:rPr>
            </w:pPr>
            <m:oMathPara>
              <m:oMath>
                <m:f>
                  <m:fPr>
                    <m:ctrlPr>
                      <w:rPr>
                        <w:rFonts w:ascii="Cambria Math" w:hAnsi="Cambria Math" w:cs="Arial"/>
                        <w:i/>
                        <w:szCs w:val="18"/>
                        <w:lang w:val="en-US"/>
                      </w:rPr>
                    </m:ctrlPr>
                  </m:fPr>
                  <m:num>
                    <m:r>
                      <w:rPr>
                        <w:rFonts w:ascii="Cambria Math" w:hAnsi="Cambria Math" w:cs="Arial"/>
                        <w:szCs w:val="18"/>
                        <w:lang w:val="en-US"/>
                      </w:rPr>
                      <m:t>∂(</m:t>
                    </m:r>
                    <m:sSub>
                      <m:sSubPr>
                        <m:ctrlPr>
                          <w:rPr>
                            <w:rFonts w:ascii="Cambria Math" w:hAnsi="Cambria Math" w:cs="Arial"/>
                            <w:i/>
                            <w:szCs w:val="18"/>
                            <w:lang w:val="en-US"/>
                          </w:rPr>
                        </m:ctrlPr>
                      </m:sSubPr>
                      <m:e>
                        <m:r>
                          <w:rPr>
                            <w:rFonts w:ascii="Cambria Math" w:hAnsi="Cambria Math" w:cs="Arial"/>
                            <w:szCs w:val="18"/>
                            <w:lang w:val="en-US"/>
                          </w:rPr>
                          <m:t>α</m:t>
                        </m:r>
                      </m:e>
                      <m:sub>
                        <m:r>
                          <w:rPr>
                            <w:rFonts w:ascii="Cambria Math" w:hAnsi="Cambria Math" w:cs="Arial"/>
                            <w:szCs w:val="18"/>
                            <w:lang w:val="en-US"/>
                          </w:rPr>
                          <m:t>G</m:t>
                        </m:r>
                      </m:sub>
                    </m:sSub>
                    <m:sSub>
                      <m:sSubPr>
                        <m:ctrlPr>
                          <w:rPr>
                            <w:rFonts w:ascii="Cambria Math" w:hAnsi="Cambria Math" w:cs="Arial"/>
                            <w:i/>
                            <w:szCs w:val="18"/>
                            <w:lang w:val="en-US"/>
                          </w:rPr>
                        </m:ctrlPr>
                      </m:sSubPr>
                      <m:e>
                        <m:r>
                          <w:rPr>
                            <w:rFonts w:ascii="Cambria Math" w:hAnsi="Cambria Math" w:cs="Arial"/>
                            <w:szCs w:val="18"/>
                            <w:lang w:val="en-US"/>
                          </w:rPr>
                          <m:t>ρ</m:t>
                        </m:r>
                      </m:e>
                      <m:sub>
                        <m:r>
                          <w:rPr>
                            <w:rFonts w:ascii="Cambria Math" w:hAnsi="Cambria Math" w:cs="Arial"/>
                            <w:szCs w:val="18"/>
                            <w:lang w:val="en-US"/>
                          </w:rPr>
                          <m:t>G</m:t>
                        </m:r>
                      </m:sub>
                    </m:sSub>
                    <m:sSub>
                      <m:sSubPr>
                        <m:ctrlPr>
                          <w:rPr>
                            <w:rFonts w:ascii="Cambria Math" w:hAnsi="Cambria Math" w:cs="Arial"/>
                            <w:i/>
                            <w:szCs w:val="18"/>
                            <w:lang w:val="en-US"/>
                          </w:rPr>
                        </m:ctrlPr>
                      </m:sSubPr>
                      <m:e>
                        <m:r>
                          <w:rPr>
                            <w:rFonts w:ascii="Cambria Math" w:hAnsi="Cambria Math" w:cs="Arial"/>
                            <w:szCs w:val="18"/>
                            <w:lang w:val="en-US"/>
                          </w:rPr>
                          <m:t>Y</m:t>
                        </m:r>
                      </m:e>
                      <m:sub>
                        <m:r>
                          <w:rPr>
                            <w:rFonts w:ascii="Cambria Math" w:hAnsi="Cambria Math" w:cs="Arial"/>
                            <w:szCs w:val="18"/>
                            <w:lang w:val="en-US"/>
                          </w:rPr>
                          <m:t>LK</m:t>
                        </m:r>
                      </m:sub>
                    </m:sSub>
                    <m:r>
                      <w:rPr>
                        <w:rFonts w:ascii="Cambria Math" w:hAnsi="Cambria Math" w:cs="Arial"/>
                        <w:szCs w:val="18"/>
                        <w:lang w:val="en-US"/>
                      </w:rPr>
                      <m:t>)</m:t>
                    </m:r>
                  </m:num>
                  <m:den>
                    <m:r>
                      <w:rPr>
                        <w:rFonts w:ascii="Cambria Math" w:hAnsi="Cambria Math" w:cs="Arial"/>
                        <w:szCs w:val="18"/>
                        <w:lang w:val="en-US"/>
                      </w:rPr>
                      <m:t>∂t</m:t>
                    </m:r>
                  </m:den>
                </m:f>
                <m:r>
                  <w:rPr>
                    <w:rFonts w:ascii="Cambria Math" w:hAnsi="Cambria Math" w:cs="Arial"/>
                    <w:szCs w:val="18"/>
                    <w:lang w:val="en-US"/>
                  </w:rPr>
                  <m:t>+</m:t>
                </m:r>
                <m:r>
                  <m:rPr>
                    <m:sty m:val="p"/>
                  </m:rPr>
                  <w:rPr>
                    <w:rFonts w:ascii="Cambria Math" w:hAnsi="Cambria Math" w:cs="Arial"/>
                    <w:szCs w:val="18"/>
                    <w:lang w:val="en-US"/>
                  </w:rPr>
                  <m:t>∇</m:t>
                </m:r>
                <m:r>
                  <w:rPr>
                    <w:rFonts w:ascii="Cambria Math" w:hAnsi="Cambria Math" w:cs="Arial"/>
                    <w:szCs w:val="18"/>
                    <w:lang w:val="en-US"/>
                  </w:rPr>
                  <m:t>∙</m:t>
                </m:r>
                <m:d>
                  <m:dPr>
                    <m:ctrlPr>
                      <w:rPr>
                        <w:rFonts w:ascii="Cambria Math" w:hAnsi="Cambria Math" w:cs="Arial"/>
                        <w:i/>
                        <w:szCs w:val="18"/>
                        <w:lang w:val="en-US"/>
                      </w:rPr>
                    </m:ctrlPr>
                  </m:dPr>
                  <m:e>
                    <m:sSub>
                      <m:sSubPr>
                        <m:ctrlPr>
                          <w:rPr>
                            <w:rFonts w:ascii="Cambria Math" w:hAnsi="Cambria Math" w:cs="Arial"/>
                            <w:i/>
                            <w:szCs w:val="18"/>
                            <w:lang w:val="en-US"/>
                          </w:rPr>
                        </m:ctrlPr>
                      </m:sSubPr>
                      <m:e>
                        <m:r>
                          <w:rPr>
                            <w:rFonts w:ascii="Cambria Math" w:hAnsi="Cambria Math" w:cs="Arial"/>
                            <w:szCs w:val="18"/>
                            <w:lang w:val="en-US"/>
                          </w:rPr>
                          <m:t>α</m:t>
                        </m:r>
                      </m:e>
                      <m:sub>
                        <m:r>
                          <w:rPr>
                            <w:rFonts w:ascii="Cambria Math" w:hAnsi="Cambria Math" w:cs="Arial"/>
                            <w:szCs w:val="18"/>
                            <w:lang w:val="en-US"/>
                          </w:rPr>
                          <m:t>G</m:t>
                        </m:r>
                      </m:sub>
                    </m:sSub>
                    <m:sSub>
                      <m:sSubPr>
                        <m:ctrlPr>
                          <w:rPr>
                            <w:rFonts w:ascii="Cambria Math" w:hAnsi="Cambria Math" w:cs="Arial"/>
                            <w:i/>
                            <w:szCs w:val="18"/>
                            <w:lang w:val="en-US"/>
                          </w:rPr>
                        </m:ctrlPr>
                      </m:sSubPr>
                      <m:e>
                        <m:r>
                          <w:rPr>
                            <w:rFonts w:ascii="Cambria Math" w:hAnsi="Cambria Math" w:cs="Arial"/>
                            <w:szCs w:val="18"/>
                            <w:lang w:val="en-US"/>
                          </w:rPr>
                          <m:t>ρ</m:t>
                        </m:r>
                      </m:e>
                      <m:sub>
                        <m:r>
                          <w:rPr>
                            <w:rFonts w:ascii="Cambria Math" w:hAnsi="Cambria Math" w:cs="Arial"/>
                            <w:szCs w:val="18"/>
                            <w:lang w:val="en-US"/>
                          </w:rPr>
                          <m:t>G</m:t>
                        </m:r>
                      </m:sub>
                    </m:sSub>
                    <m:sSub>
                      <m:sSubPr>
                        <m:ctrlPr>
                          <w:rPr>
                            <w:rFonts w:ascii="Cambria Math" w:hAnsi="Cambria Math" w:cs="Arial"/>
                            <w:i/>
                            <w:szCs w:val="18"/>
                            <w:lang w:val="en-US"/>
                          </w:rPr>
                        </m:ctrlPr>
                      </m:sSubPr>
                      <m:e>
                        <m:sSub>
                          <m:sSubPr>
                            <m:ctrlPr>
                              <w:rPr>
                                <w:rFonts w:ascii="Cambria Math" w:hAnsi="Cambria Math" w:cs="Arial"/>
                                <w:i/>
                                <w:szCs w:val="18"/>
                                <w:lang w:val="en-US"/>
                              </w:rPr>
                            </m:ctrlPr>
                          </m:sSubPr>
                          <m:e>
                            <m:r>
                              <w:rPr>
                                <w:rFonts w:ascii="Cambria Math" w:hAnsi="Cambria Math" w:cs="Arial"/>
                                <w:szCs w:val="18"/>
                                <w:lang w:val="en-US"/>
                              </w:rPr>
                              <m:t>u</m:t>
                            </m:r>
                          </m:e>
                          <m:sub>
                            <m:r>
                              <w:rPr>
                                <w:rFonts w:ascii="Cambria Math" w:hAnsi="Cambria Math" w:cs="Arial"/>
                                <w:szCs w:val="18"/>
                                <w:lang w:val="en-US"/>
                              </w:rPr>
                              <m:t>G</m:t>
                            </m:r>
                          </m:sub>
                        </m:sSub>
                        <m:r>
                          <w:rPr>
                            <w:rFonts w:ascii="Cambria Math" w:hAnsi="Cambria Math" w:cs="Arial"/>
                            <w:szCs w:val="18"/>
                            <w:lang w:val="en-US"/>
                          </w:rPr>
                          <m:t>Y</m:t>
                        </m:r>
                      </m:e>
                      <m:sub>
                        <m:r>
                          <w:rPr>
                            <w:rFonts w:ascii="Cambria Math" w:hAnsi="Cambria Math" w:cs="Arial"/>
                            <w:szCs w:val="18"/>
                            <w:lang w:val="en-US"/>
                          </w:rPr>
                          <m:t>LK</m:t>
                        </m:r>
                      </m:sub>
                    </m:sSub>
                  </m:e>
                </m:d>
                <m:r>
                  <w:rPr>
                    <w:rFonts w:ascii="Cambria Math" w:hAnsi="Cambria Math" w:cs="Arial"/>
                    <w:szCs w:val="18"/>
                    <w:lang w:val="en-US"/>
                  </w:rPr>
                  <m:t>=</m:t>
                </m:r>
                <m:r>
                  <m:rPr>
                    <m:sty m:val="p"/>
                  </m:rPr>
                  <w:rPr>
                    <w:rFonts w:ascii="Cambria Math" w:hAnsi="Cambria Math" w:cs="Arial"/>
                    <w:szCs w:val="18"/>
                    <w:lang w:val="en-US"/>
                  </w:rPr>
                  <m:t>∇</m:t>
                </m:r>
                <m:r>
                  <w:rPr>
                    <w:rFonts w:ascii="Cambria Math" w:hAnsi="Cambria Math" w:cs="Arial"/>
                    <w:szCs w:val="18"/>
                    <w:lang w:val="en-US"/>
                  </w:rPr>
                  <m:t>∙</m:t>
                </m:r>
                <m:d>
                  <m:dPr>
                    <m:begChr m:val="["/>
                    <m:endChr m:val="]"/>
                    <m:ctrlPr>
                      <w:rPr>
                        <w:rFonts w:ascii="Cambria Math" w:hAnsi="Cambria Math" w:cs="Arial"/>
                        <w:i/>
                        <w:szCs w:val="18"/>
                        <w:lang w:val="en-US"/>
                      </w:rPr>
                    </m:ctrlPr>
                  </m:dPr>
                  <m:e>
                    <m:sSub>
                      <m:sSubPr>
                        <m:ctrlPr>
                          <w:rPr>
                            <w:rFonts w:ascii="Cambria Math" w:hAnsi="Cambria Math" w:cs="Arial"/>
                            <w:i/>
                            <w:szCs w:val="18"/>
                            <w:lang w:val="en-US"/>
                          </w:rPr>
                        </m:ctrlPr>
                      </m:sSubPr>
                      <m:e>
                        <m:r>
                          <w:rPr>
                            <w:rFonts w:ascii="Cambria Math" w:hAnsi="Cambria Math" w:cs="Arial"/>
                            <w:szCs w:val="18"/>
                            <w:lang w:val="en-US"/>
                          </w:rPr>
                          <m:t>α</m:t>
                        </m:r>
                      </m:e>
                      <m:sub>
                        <m:r>
                          <w:rPr>
                            <w:rFonts w:ascii="Cambria Math" w:hAnsi="Cambria Math" w:cs="Arial"/>
                            <w:szCs w:val="18"/>
                            <w:lang w:val="en-US"/>
                          </w:rPr>
                          <m:t>G</m:t>
                        </m:r>
                      </m:sub>
                    </m:sSub>
                    <m:sSub>
                      <m:sSubPr>
                        <m:ctrlPr>
                          <w:rPr>
                            <w:rFonts w:ascii="Cambria Math" w:hAnsi="Cambria Math" w:cs="Arial"/>
                            <w:i/>
                            <w:szCs w:val="18"/>
                            <w:lang w:val="en-US"/>
                          </w:rPr>
                        </m:ctrlPr>
                      </m:sSubPr>
                      <m:e>
                        <m:r>
                          <w:rPr>
                            <w:rFonts w:ascii="Cambria Math" w:hAnsi="Cambria Math" w:cs="Arial"/>
                            <w:szCs w:val="18"/>
                            <w:lang w:val="en-US"/>
                          </w:rPr>
                          <m:t>ρ</m:t>
                        </m:r>
                      </m:e>
                      <m:sub>
                        <m:r>
                          <w:rPr>
                            <w:rFonts w:ascii="Cambria Math" w:hAnsi="Cambria Math" w:cs="Arial"/>
                            <w:szCs w:val="18"/>
                            <w:lang w:val="en-US"/>
                          </w:rPr>
                          <m:t>G</m:t>
                        </m:r>
                      </m:sub>
                    </m:sSub>
                    <m:sSub>
                      <m:sSubPr>
                        <m:ctrlPr>
                          <w:rPr>
                            <w:rFonts w:ascii="Cambria Math" w:hAnsi="Cambria Math" w:cs="Arial"/>
                            <w:i/>
                            <w:szCs w:val="18"/>
                            <w:lang w:val="en-US"/>
                          </w:rPr>
                        </m:ctrlPr>
                      </m:sSubPr>
                      <m:e>
                        <m:r>
                          <w:rPr>
                            <w:rFonts w:ascii="Cambria Math" w:hAnsi="Cambria Math" w:cs="Arial"/>
                            <w:szCs w:val="18"/>
                            <w:lang w:val="en-US"/>
                          </w:rPr>
                          <m:t>D</m:t>
                        </m:r>
                      </m:e>
                      <m:sub>
                        <m:r>
                          <w:rPr>
                            <w:rFonts w:ascii="Cambria Math" w:hAnsi="Cambria Math" w:cs="Arial"/>
                            <w:szCs w:val="18"/>
                            <w:lang w:val="en-US"/>
                          </w:rPr>
                          <m:t>LK,G</m:t>
                        </m:r>
                      </m:sub>
                    </m:sSub>
                    <m:r>
                      <m:rPr>
                        <m:sty m:val="p"/>
                      </m:rPr>
                      <w:rPr>
                        <w:rFonts w:ascii="Cambria Math" w:hAnsi="Cambria Math" w:cs="Arial"/>
                        <w:szCs w:val="18"/>
                        <w:lang w:val="en-US"/>
                      </w:rPr>
                      <m:t>∇</m:t>
                    </m:r>
                    <m:sSub>
                      <m:sSubPr>
                        <m:ctrlPr>
                          <w:rPr>
                            <w:rFonts w:ascii="Cambria Math" w:hAnsi="Cambria Math" w:cs="Arial"/>
                            <w:i/>
                            <w:szCs w:val="18"/>
                            <w:lang w:val="en-US"/>
                          </w:rPr>
                        </m:ctrlPr>
                      </m:sSubPr>
                      <m:e>
                        <m:r>
                          <w:rPr>
                            <w:rFonts w:ascii="Cambria Math" w:hAnsi="Cambria Math" w:cs="Arial"/>
                            <w:szCs w:val="18"/>
                            <w:lang w:val="en-US"/>
                          </w:rPr>
                          <m:t>Y</m:t>
                        </m:r>
                      </m:e>
                      <m:sub>
                        <m:r>
                          <w:rPr>
                            <w:rFonts w:ascii="Cambria Math" w:hAnsi="Cambria Math" w:cs="Arial"/>
                            <w:szCs w:val="18"/>
                            <w:lang w:val="en-US"/>
                          </w:rPr>
                          <m:t>LK</m:t>
                        </m:r>
                      </m:sub>
                    </m:sSub>
                  </m:e>
                </m:d>
                <m:r>
                  <w:rPr>
                    <w:rFonts w:ascii="Cambria Math" w:hAnsi="Cambria Math" w:cs="Arial"/>
                    <w:szCs w:val="18"/>
                    <w:lang w:val="en-US"/>
                  </w:rPr>
                  <m:t>-</m:t>
                </m:r>
                <m:sSub>
                  <m:sSubPr>
                    <m:ctrlPr>
                      <w:rPr>
                        <w:rFonts w:ascii="Cambria Math" w:hAnsi="Cambria Math" w:cs="Arial"/>
                        <w:i/>
                        <w:szCs w:val="18"/>
                        <w:lang w:val="en-US"/>
                      </w:rPr>
                    </m:ctrlPr>
                  </m:sSubPr>
                  <m:e>
                    <m:r>
                      <w:rPr>
                        <w:rFonts w:ascii="Cambria Math" w:hAnsi="Cambria Math" w:cs="Arial"/>
                        <w:szCs w:val="18"/>
                        <w:lang w:val="en-US"/>
                      </w:rPr>
                      <m:t>S</m:t>
                    </m:r>
                  </m:e>
                  <m:sub>
                    <m:r>
                      <w:rPr>
                        <w:rFonts w:ascii="Cambria Math" w:hAnsi="Cambria Math" w:cs="Arial"/>
                        <w:szCs w:val="18"/>
                        <w:lang w:val="en-US"/>
                      </w:rPr>
                      <m:t>LG,LK</m:t>
                    </m:r>
                  </m:sub>
                </m:sSub>
              </m:oMath>
            </m:oMathPara>
          </w:p>
        </w:tc>
        <w:tc>
          <w:tcPr>
            <w:tcW w:w="839" w:type="dxa"/>
            <w:vAlign w:val="center"/>
          </w:tcPr>
          <w:p w14:paraId="6FA282EE" w14:textId="63CE92DD" w:rsidR="007C634E" w:rsidRPr="007C634E" w:rsidRDefault="007C634E" w:rsidP="007C634E">
            <w:pPr>
              <w:tabs>
                <w:tab w:val="clear" w:pos="7100"/>
              </w:tabs>
              <w:spacing w:line="360" w:lineRule="auto"/>
              <w:jc w:val="right"/>
              <w:rPr>
                <w:rFonts w:cs="Arial"/>
                <w:szCs w:val="18"/>
                <w:lang w:val="en-US"/>
              </w:rPr>
            </w:pPr>
            <w:r w:rsidRPr="007C634E">
              <w:rPr>
                <w:rFonts w:cs="Arial"/>
                <w:szCs w:val="18"/>
                <w:lang w:val="en-US"/>
              </w:rPr>
              <w:t>(2)</w:t>
            </w:r>
          </w:p>
        </w:tc>
      </w:tr>
    </w:tbl>
    <w:p w14:paraId="09D225A1" w14:textId="77777777" w:rsidR="006F16FF" w:rsidRDefault="006F16FF" w:rsidP="005E657E">
      <w:pPr>
        <w:pStyle w:val="CETBodytext"/>
      </w:pPr>
      <w:r>
        <w:t>Liquid Phase:</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39"/>
      </w:tblGrid>
      <w:tr w:rsidR="006F16FF" w:rsidRPr="00FF3F4C" w14:paraId="64FF0CB0" w14:textId="77777777" w:rsidTr="00C1361F">
        <w:tc>
          <w:tcPr>
            <w:tcW w:w="7655" w:type="dxa"/>
          </w:tcPr>
          <w:p w14:paraId="5DFA36A7" w14:textId="77777777" w:rsidR="006F16FF" w:rsidRPr="00FF3F4C" w:rsidRDefault="00000000" w:rsidP="00FD7929">
            <w:pPr>
              <w:tabs>
                <w:tab w:val="clear" w:pos="7100"/>
              </w:tabs>
              <w:spacing w:line="360" w:lineRule="auto"/>
              <w:jc w:val="center"/>
              <w:rPr>
                <w:rFonts w:cs="Arial"/>
                <w:szCs w:val="18"/>
                <w:lang w:val="en-US"/>
              </w:rPr>
            </w:pPr>
            <m:oMathPara>
              <m:oMath>
                <m:f>
                  <m:fPr>
                    <m:ctrlPr>
                      <w:rPr>
                        <w:rFonts w:ascii="Cambria Math" w:hAnsi="Cambria Math" w:cs="Arial"/>
                        <w:i/>
                        <w:szCs w:val="18"/>
                        <w:lang w:val="en-US"/>
                      </w:rPr>
                    </m:ctrlPr>
                  </m:fPr>
                  <m:num>
                    <m:r>
                      <w:rPr>
                        <w:rFonts w:ascii="Cambria Math" w:hAnsi="Cambria Math" w:cs="Arial"/>
                        <w:szCs w:val="18"/>
                        <w:lang w:val="en-US"/>
                      </w:rPr>
                      <m:t>∂(</m:t>
                    </m:r>
                    <m:sSub>
                      <m:sSubPr>
                        <m:ctrlPr>
                          <w:rPr>
                            <w:rFonts w:ascii="Cambria Math" w:hAnsi="Cambria Math" w:cs="Arial"/>
                            <w:i/>
                            <w:szCs w:val="18"/>
                            <w:lang w:val="en-US"/>
                          </w:rPr>
                        </m:ctrlPr>
                      </m:sSubPr>
                      <m:e>
                        <m:r>
                          <w:rPr>
                            <w:rFonts w:ascii="Cambria Math" w:hAnsi="Cambria Math" w:cs="Arial"/>
                            <w:szCs w:val="18"/>
                            <w:lang w:val="en-US"/>
                          </w:rPr>
                          <m:t>α</m:t>
                        </m:r>
                      </m:e>
                      <m:sub>
                        <m:r>
                          <w:rPr>
                            <w:rFonts w:ascii="Cambria Math" w:hAnsi="Cambria Math" w:cs="Arial"/>
                            <w:szCs w:val="18"/>
                            <w:lang w:val="en-US"/>
                          </w:rPr>
                          <m:t>L</m:t>
                        </m:r>
                      </m:sub>
                    </m:sSub>
                    <m:sSub>
                      <m:sSubPr>
                        <m:ctrlPr>
                          <w:rPr>
                            <w:rFonts w:ascii="Cambria Math" w:hAnsi="Cambria Math" w:cs="Arial"/>
                            <w:i/>
                            <w:szCs w:val="18"/>
                            <w:lang w:val="en-US"/>
                          </w:rPr>
                        </m:ctrlPr>
                      </m:sSubPr>
                      <m:e>
                        <m:r>
                          <w:rPr>
                            <w:rFonts w:ascii="Cambria Math" w:hAnsi="Cambria Math" w:cs="Arial"/>
                            <w:szCs w:val="18"/>
                            <w:lang w:val="en-US"/>
                          </w:rPr>
                          <m:t>ρ</m:t>
                        </m:r>
                      </m:e>
                      <m:sub>
                        <m:r>
                          <w:rPr>
                            <w:rFonts w:ascii="Cambria Math" w:hAnsi="Cambria Math" w:cs="Arial"/>
                            <w:szCs w:val="18"/>
                            <w:lang w:val="en-US"/>
                          </w:rPr>
                          <m:t>L</m:t>
                        </m:r>
                      </m:sub>
                    </m:sSub>
                    <m:sSub>
                      <m:sSubPr>
                        <m:ctrlPr>
                          <w:rPr>
                            <w:rFonts w:ascii="Cambria Math" w:hAnsi="Cambria Math" w:cs="Arial"/>
                            <w:i/>
                            <w:szCs w:val="18"/>
                            <w:lang w:val="en-US"/>
                          </w:rPr>
                        </m:ctrlPr>
                      </m:sSubPr>
                      <m:e>
                        <m:r>
                          <w:rPr>
                            <w:rFonts w:ascii="Cambria Math" w:hAnsi="Cambria Math" w:cs="Arial"/>
                            <w:szCs w:val="18"/>
                            <w:lang w:val="en-US"/>
                          </w:rPr>
                          <m:t>X</m:t>
                        </m:r>
                      </m:e>
                      <m:sub>
                        <m:r>
                          <w:rPr>
                            <w:rFonts w:ascii="Cambria Math" w:hAnsi="Cambria Math" w:cs="Arial"/>
                            <w:szCs w:val="18"/>
                            <w:lang w:val="en-US"/>
                          </w:rPr>
                          <m:t>LK</m:t>
                        </m:r>
                      </m:sub>
                    </m:sSub>
                    <m:r>
                      <w:rPr>
                        <w:rFonts w:ascii="Cambria Math" w:hAnsi="Cambria Math" w:cs="Arial"/>
                        <w:szCs w:val="18"/>
                        <w:lang w:val="en-US"/>
                      </w:rPr>
                      <m:t>)</m:t>
                    </m:r>
                  </m:num>
                  <m:den>
                    <m:r>
                      <w:rPr>
                        <w:rFonts w:ascii="Cambria Math" w:hAnsi="Cambria Math" w:cs="Arial"/>
                        <w:szCs w:val="18"/>
                        <w:lang w:val="en-US"/>
                      </w:rPr>
                      <m:t>∂t</m:t>
                    </m:r>
                  </m:den>
                </m:f>
                <m:r>
                  <w:rPr>
                    <w:rFonts w:ascii="Cambria Math" w:hAnsi="Cambria Math" w:cs="Arial"/>
                    <w:szCs w:val="18"/>
                    <w:lang w:val="en-US"/>
                  </w:rPr>
                  <m:t>+</m:t>
                </m:r>
                <m:r>
                  <m:rPr>
                    <m:sty m:val="p"/>
                  </m:rPr>
                  <w:rPr>
                    <w:rFonts w:ascii="Cambria Math" w:hAnsi="Cambria Math" w:cs="Arial"/>
                    <w:szCs w:val="18"/>
                    <w:lang w:val="en-US"/>
                  </w:rPr>
                  <m:t>∇</m:t>
                </m:r>
                <m:r>
                  <w:rPr>
                    <w:rFonts w:ascii="Cambria Math" w:hAnsi="Cambria Math" w:cs="Arial"/>
                    <w:szCs w:val="18"/>
                    <w:lang w:val="en-US"/>
                  </w:rPr>
                  <m:t>∙</m:t>
                </m:r>
                <m:d>
                  <m:dPr>
                    <m:ctrlPr>
                      <w:rPr>
                        <w:rFonts w:ascii="Cambria Math" w:hAnsi="Cambria Math" w:cs="Arial"/>
                        <w:i/>
                        <w:szCs w:val="18"/>
                        <w:lang w:val="en-US"/>
                      </w:rPr>
                    </m:ctrlPr>
                  </m:dPr>
                  <m:e>
                    <m:sSub>
                      <m:sSubPr>
                        <m:ctrlPr>
                          <w:rPr>
                            <w:rFonts w:ascii="Cambria Math" w:hAnsi="Cambria Math" w:cs="Arial"/>
                            <w:i/>
                            <w:szCs w:val="18"/>
                            <w:lang w:val="en-US"/>
                          </w:rPr>
                        </m:ctrlPr>
                      </m:sSubPr>
                      <m:e>
                        <m:r>
                          <w:rPr>
                            <w:rFonts w:ascii="Cambria Math" w:hAnsi="Cambria Math" w:cs="Arial"/>
                            <w:szCs w:val="18"/>
                            <w:lang w:val="en-US"/>
                          </w:rPr>
                          <m:t>α</m:t>
                        </m:r>
                      </m:e>
                      <m:sub>
                        <m:r>
                          <w:rPr>
                            <w:rFonts w:ascii="Cambria Math" w:hAnsi="Cambria Math" w:cs="Arial"/>
                            <w:szCs w:val="18"/>
                            <w:lang w:val="en-US"/>
                          </w:rPr>
                          <m:t>L</m:t>
                        </m:r>
                      </m:sub>
                    </m:sSub>
                    <m:sSub>
                      <m:sSubPr>
                        <m:ctrlPr>
                          <w:rPr>
                            <w:rFonts w:ascii="Cambria Math" w:hAnsi="Cambria Math" w:cs="Arial"/>
                            <w:i/>
                            <w:szCs w:val="18"/>
                            <w:lang w:val="en-US"/>
                          </w:rPr>
                        </m:ctrlPr>
                      </m:sSubPr>
                      <m:e>
                        <m:r>
                          <w:rPr>
                            <w:rFonts w:ascii="Cambria Math" w:hAnsi="Cambria Math" w:cs="Arial"/>
                            <w:szCs w:val="18"/>
                            <w:lang w:val="en-US"/>
                          </w:rPr>
                          <m:t>ρ</m:t>
                        </m:r>
                      </m:e>
                      <m:sub>
                        <m:r>
                          <w:rPr>
                            <w:rFonts w:ascii="Cambria Math" w:hAnsi="Cambria Math" w:cs="Arial"/>
                            <w:szCs w:val="18"/>
                            <w:lang w:val="en-US"/>
                          </w:rPr>
                          <m:t>L</m:t>
                        </m:r>
                      </m:sub>
                    </m:sSub>
                    <m:sSub>
                      <m:sSubPr>
                        <m:ctrlPr>
                          <w:rPr>
                            <w:rFonts w:ascii="Cambria Math" w:hAnsi="Cambria Math" w:cs="Arial"/>
                            <w:i/>
                            <w:szCs w:val="18"/>
                            <w:lang w:val="en-US"/>
                          </w:rPr>
                        </m:ctrlPr>
                      </m:sSubPr>
                      <m:e>
                        <m:sSub>
                          <m:sSubPr>
                            <m:ctrlPr>
                              <w:rPr>
                                <w:rFonts w:ascii="Cambria Math" w:hAnsi="Cambria Math" w:cs="Arial"/>
                                <w:i/>
                                <w:szCs w:val="18"/>
                                <w:lang w:val="en-US"/>
                              </w:rPr>
                            </m:ctrlPr>
                          </m:sSubPr>
                          <m:e>
                            <m:r>
                              <w:rPr>
                                <w:rFonts w:ascii="Cambria Math" w:hAnsi="Cambria Math" w:cs="Arial"/>
                                <w:szCs w:val="18"/>
                                <w:lang w:val="en-US"/>
                              </w:rPr>
                              <m:t>u</m:t>
                            </m:r>
                          </m:e>
                          <m:sub>
                            <m:r>
                              <w:rPr>
                                <w:rFonts w:ascii="Cambria Math" w:hAnsi="Cambria Math" w:cs="Arial"/>
                                <w:szCs w:val="18"/>
                                <w:lang w:val="en-US"/>
                              </w:rPr>
                              <m:t>L</m:t>
                            </m:r>
                          </m:sub>
                        </m:sSub>
                        <m:r>
                          <w:rPr>
                            <w:rFonts w:ascii="Cambria Math" w:hAnsi="Cambria Math" w:cs="Arial"/>
                            <w:szCs w:val="18"/>
                            <w:lang w:val="en-US"/>
                          </w:rPr>
                          <m:t>X</m:t>
                        </m:r>
                      </m:e>
                      <m:sub>
                        <m:r>
                          <w:rPr>
                            <w:rFonts w:ascii="Cambria Math" w:hAnsi="Cambria Math" w:cs="Arial"/>
                            <w:szCs w:val="18"/>
                            <w:lang w:val="en-US"/>
                          </w:rPr>
                          <m:t>LK</m:t>
                        </m:r>
                      </m:sub>
                    </m:sSub>
                  </m:e>
                </m:d>
                <m:r>
                  <w:rPr>
                    <w:rFonts w:ascii="Cambria Math" w:hAnsi="Cambria Math" w:cs="Arial"/>
                    <w:szCs w:val="18"/>
                    <w:lang w:val="en-US"/>
                  </w:rPr>
                  <m:t>=</m:t>
                </m:r>
                <m:r>
                  <m:rPr>
                    <m:sty m:val="p"/>
                  </m:rPr>
                  <w:rPr>
                    <w:rFonts w:ascii="Cambria Math" w:hAnsi="Cambria Math" w:cs="Arial"/>
                    <w:szCs w:val="18"/>
                    <w:lang w:val="en-US"/>
                  </w:rPr>
                  <m:t>∇</m:t>
                </m:r>
                <m:r>
                  <w:rPr>
                    <w:rFonts w:ascii="Cambria Math" w:hAnsi="Cambria Math" w:cs="Arial"/>
                    <w:szCs w:val="18"/>
                    <w:lang w:val="en-US"/>
                  </w:rPr>
                  <m:t>∙</m:t>
                </m:r>
                <m:d>
                  <m:dPr>
                    <m:begChr m:val="["/>
                    <m:endChr m:val="]"/>
                    <m:ctrlPr>
                      <w:rPr>
                        <w:rFonts w:ascii="Cambria Math" w:hAnsi="Cambria Math" w:cs="Arial"/>
                        <w:i/>
                        <w:szCs w:val="18"/>
                        <w:lang w:val="en-US"/>
                      </w:rPr>
                    </m:ctrlPr>
                  </m:dPr>
                  <m:e>
                    <m:sSub>
                      <m:sSubPr>
                        <m:ctrlPr>
                          <w:rPr>
                            <w:rFonts w:ascii="Cambria Math" w:hAnsi="Cambria Math" w:cs="Arial"/>
                            <w:i/>
                            <w:szCs w:val="18"/>
                            <w:lang w:val="en-US"/>
                          </w:rPr>
                        </m:ctrlPr>
                      </m:sSubPr>
                      <m:e>
                        <m:r>
                          <w:rPr>
                            <w:rFonts w:ascii="Cambria Math" w:hAnsi="Cambria Math" w:cs="Arial"/>
                            <w:szCs w:val="18"/>
                            <w:lang w:val="en-US"/>
                          </w:rPr>
                          <m:t>α</m:t>
                        </m:r>
                      </m:e>
                      <m:sub>
                        <m:r>
                          <w:rPr>
                            <w:rFonts w:ascii="Cambria Math" w:hAnsi="Cambria Math" w:cs="Arial"/>
                            <w:szCs w:val="18"/>
                            <w:lang w:val="en-US"/>
                          </w:rPr>
                          <m:t>L</m:t>
                        </m:r>
                      </m:sub>
                    </m:sSub>
                    <m:sSub>
                      <m:sSubPr>
                        <m:ctrlPr>
                          <w:rPr>
                            <w:rFonts w:ascii="Cambria Math" w:hAnsi="Cambria Math" w:cs="Arial"/>
                            <w:i/>
                            <w:szCs w:val="18"/>
                            <w:lang w:val="en-US"/>
                          </w:rPr>
                        </m:ctrlPr>
                      </m:sSubPr>
                      <m:e>
                        <m:r>
                          <w:rPr>
                            <w:rFonts w:ascii="Cambria Math" w:hAnsi="Cambria Math" w:cs="Arial"/>
                            <w:szCs w:val="18"/>
                            <w:lang w:val="en-US"/>
                          </w:rPr>
                          <m:t>ρ</m:t>
                        </m:r>
                      </m:e>
                      <m:sub>
                        <m:r>
                          <w:rPr>
                            <w:rFonts w:ascii="Cambria Math" w:hAnsi="Cambria Math" w:cs="Arial"/>
                            <w:szCs w:val="18"/>
                            <w:lang w:val="en-US"/>
                          </w:rPr>
                          <m:t>L</m:t>
                        </m:r>
                      </m:sub>
                    </m:sSub>
                    <m:sSub>
                      <m:sSubPr>
                        <m:ctrlPr>
                          <w:rPr>
                            <w:rFonts w:ascii="Cambria Math" w:hAnsi="Cambria Math" w:cs="Arial"/>
                            <w:i/>
                            <w:szCs w:val="18"/>
                            <w:lang w:val="en-US"/>
                          </w:rPr>
                        </m:ctrlPr>
                      </m:sSubPr>
                      <m:e>
                        <m:r>
                          <w:rPr>
                            <w:rFonts w:ascii="Cambria Math" w:hAnsi="Cambria Math" w:cs="Arial"/>
                            <w:szCs w:val="18"/>
                            <w:lang w:val="en-US"/>
                          </w:rPr>
                          <m:t>D</m:t>
                        </m:r>
                      </m:e>
                      <m:sub>
                        <m:r>
                          <w:rPr>
                            <w:rFonts w:ascii="Cambria Math" w:hAnsi="Cambria Math" w:cs="Arial"/>
                            <w:szCs w:val="18"/>
                            <w:lang w:val="en-US"/>
                          </w:rPr>
                          <m:t>LK,L</m:t>
                        </m:r>
                      </m:sub>
                    </m:sSub>
                    <m:r>
                      <m:rPr>
                        <m:sty m:val="p"/>
                      </m:rPr>
                      <w:rPr>
                        <w:rFonts w:ascii="Cambria Math" w:hAnsi="Cambria Math" w:cs="Arial"/>
                        <w:szCs w:val="18"/>
                        <w:lang w:val="en-US"/>
                      </w:rPr>
                      <m:t>∇</m:t>
                    </m:r>
                    <m:sSub>
                      <m:sSubPr>
                        <m:ctrlPr>
                          <w:rPr>
                            <w:rFonts w:ascii="Cambria Math" w:hAnsi="Cambria Math" w:cs="Arial"/>
                            <w:i/>
                            <w:szCs w:val="18"/>
                            <w:lang w:val="en-US"/>
                          </w:rPr>
                        </m:ctrlPr>
                      </m:sSubPr>
                      <m:e>
                        <m:r>
                          <w:rPr>
                            <w:rFonts w:ascii="Cambria Math" w:hAnsi="Cambria Math" w:cs="Arial"/>
                            <w:szCs w:val="18"/>
                            <w:lang w:val="en-US"/>
                          </w:rPr>
                          <m:t>X</m:t>
                        </m:r>
                      </m:e>
                      <m:sub>
                        <m:r>
                          <w:rPr>
                            <w:rFonts w:ascii="Cambria Math" w:hAnsi="Cambria Math" w:cs="Arial"/>
                            <w:szCs w:val="18"/>
                            <w:lang w:val="en-US"/>
                          </w:rPr>
                          <m:t>LK</m:t>
                        </m:r>
                      </m:sub>
                    </m:sSub>
                  </m:e>
                </m:d>
                <m:r>
                  <w:rPr>
                    <w:rFonts w:ascii="Cambria Math" w:hAnsi="Cambria Math" w:cs="Arial"/>
                    <w:szCs w:val="18"/>
                    <w:lang w:val="en-US"/>
                  </w:rPr>
                  <m:t>+</m:t>
                </m:r>
                <m:sSub>
                  <m:sSubPr>
                    <m:ctrlPr>
                      <w:rPr>
                        <w:rFonts w:ascii="Cambria Math" w:hAnsi="Cambria Math" w:cs="Arial"/>
                        <w:i/>
                        <w:szCs w:val="18"/>
                        <w:lang w:val="en-US"/>
                      </w:rPr>
                    </m:ctrlPr>
                  </m:sSubPr>
                  <m:e>
                    <m:r>
                      <w:rPr>
                        <w:rFonts w:ascii="Cambria Math" w:hAnsi="Cambria Math" w:cs="Arial"/>
                        <w:szCs w:val="18"/>
                        <w:lang w:val="en-US"/>
                      </w:rPr>
                      <m:t>S</m:t>
                    </m:r>
                  </m:e>
                  <m:sub>
                    <m:r>
                      <w:rPr>
                        <w:rFonts w:ascii="Cambria Math" w:hAnsi="Cambria Math" w:cs="Arial"/>
                        <w:szCs w:val="18"/>
                        <w:lang w:val="en-US"/>
                      </w:rPr>
                      <m:t>LG,LK</m:t>
                    </m:r>
                  </m:sub>
                </m:sSub>
              </m:oMath>
            </m:oMathPara>
          </w:p>
        </w:tc>
        <w:tc>
          <w:tcPr>
            <w:tcW w:w="839" w:type="dxa"/>
            <w:vAlign w:val="center"/>
          </w:tcPr>
          <w:p w14:paraId="630F821A" w14:textId="77777777" w:rsidR="006F16FF" w:rsidRPr="00FF3F4C" w:rsidRDefault="006F16FF" w:rsidP="00FD7929">
            <w:pPr>
              <w:tabs>
                <w:tab w:val="clear" w:pos="7100"/>
              </w:tabs>
              <w:spacing w:line="360" w:lineRule="auto"/>
              <w:jc w:val="right"/>
              <w:rPr>
                <w:rFonts w:cs="Arial"/>
                <w:szCs w:val="18"/>
                <w:lang w:val="en-US"/>
              </w:rPr>
            </w:pPr>
            <w:r w:rsidRPr="00FF3F4C">
              <w:rPr>
                <w:rFonts w:cs="Arial"/>
                <w:szCs w:val="18"/>
                <w:lang w:val="en-US"/>
              </w:rPr>
              <w:t>(</w:t>
            </w:r>
            <w:r>
              <w:rPr>
                <w:rFonts w:cs="Arial"/>
                <w:szCs w:val="18"/>
                <w:lang w:val="en-US"/>
              </w:rPr>
              <w:t>3</w:t>
            </w:r>
            <w:r w:rsidRPr="00FF3F4C">
              <w:rPr>
                <w:rFonts w:cs="Arial"/>
                <w:szCs w:val="18"/>
                <w:lang w:val="en-US"/>
              </w:rPr>
              <w:t>)</w:t>
            </w:r>
          </w:p>
        </w:tc>
      </w:tr>
    </w:tbl>
    <w:p w14:paraId="2796B5B3" w14:textId="77777777" w:rsidR="006F16FF" w:rsidRDefault="006F16FF" w:rsidP="00911900">
      <w:pPr>
        <w:pStyle w:val="CETBodytext"/>
      </w:pPr>
      <w:r w:rsidRPr="00911900">
        <w:t xml:space="preserve">The interphase mass transfer term </w:t>
      </w: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LG</m:t>
            </m:r>
            <m:r>
              <m:rPr>
                <m:sty m:val="p"/>
              </m:rPr>
              <w:rPr>
                <w:rFonts w:ascii="Cambria Math" w:hAnsi="Cambria Math"/>
              </w:rPr>
              <m:t>,</m:t>
            </m:r>
            <m:r>
              <m:rPr>
                <m:sty m:val="bi"/>
              </m:rPr>
              <w:rPr>
                <w:rFonts w:ascii="Cambria Math" w:hAnsi="Cambria Math"/>
              </w:rPr>
              <m:t>LK</m:t>
            </m:r>
          </m:sub>
        </m:sSub>
      </m:oMath>
      <w:r w:rsidRPr="00911900">
        <w:t xml:space="preserve"> is the interphase mass transfer rate of the light component per unit volume. It is given by</w:t>
      </w:r>
      <w:r>
        <w:t xml:space="preserve"> </w:t>
      </w:r>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LG</m:t>
            </m:r>
            <m:r>
              <m:rPr>
                <m:sty m:val="p"/>
              </m:rPr>
              <w:rPr>
                <w:rFonts w:ascii="Cambria Math" w:hAnsi="Cambria Math"/>
                <w:lang w:val="en-GB"/>
              </w:rPr>
              <m:t>,</m:t>
            </m:r>
            <m:r>
              <w:rPr>
                <w:rFonts w:ascii="Cambria Math" w:hAnsi="Cambria Math"/>
                <w:lang w:val="en-GB"/>
              </w:rPr>
              <m:t>LK</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LG</m:t>
            </m:r>
          </m:sub>
        </m:sSub>
        <m:r>
          <w:rPr>
            <w:rFonts w:ascii="Cambria Math" w:hAnsi="Cambria Math"/>
            <w:lang w:val="en-GB"/>
          </w:rPr>
          <m:t>A</m:t>
        </m:r>
        <m:d>
          <m:dPr>
            <m:ctrlPr>
              <w:rPr>
                <w:rFonts w:ascii="Cambria Math" w:hAnsi="Cambria Math"/>
                <w:lang w:val="en-GB"/>
              </w:rPr>
            </m:ctrlPr>
          </m:dPr>
          <m:e>
            <m:r>
              <w:rPr>
                <w:rFonts w:ascii="Cambria Math" w:hAnsi="Cambria Math"/>
                <w:lang w:val="en-GB"/>
              </w:rPr>
              <m:t>K</m:t>
            </m:r>
            <m:sSubSup>
              <m:sSubSupPr>
                <m:ctrlPr>
                  <w:rPr>
                    <w:rFonts w:ascii="Cambria Math" w:hAnsi="Cambria Math"/>
                    <w:lang w:val="en-GB"/>
                  </w:rPr>
                </m:ctrlPr>
              </m:sSubSupPr>
              <m:e>
                <m:r>
                  <w:rPr>
                    <w:rFonts w:ascii="Cambria Math" w:hAnsi="Cambria Math"/>
                    <w:lang w:val="en-GB"/>
                  </w:rPr>
                  <m:t>ρ</m:t>
                </m:r>
              </m:e>
              <m:sub>
                <m:r>
                  <w:rPr>
                    <w:rFonts w:ascii="Cambria Math" w:hAnsi="Cambria Math"/>
                    <w:lang w:val="en-GB"/>
                  </w:rPr>
                  <m:t>L</m:t>
                </m:r>
              </m:sub>
              <m:sup>
                <m:r>
                  <w:rPr>
                    <w:rFonts w:ascii="Cambria Math" w:hAnsi="Cambria Math"/>
                    <w:lang w:val="en-GB"/>
                  </w:rPr>
                  <m:t>LK</m:t>
                </m:r>
              </m:sup>
            </m:sSub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ρ</m:t>
                </m:r>
              </m:e>
              <m:sub>
                <m:r>
                  <w:rPr>
                    <w:rFonts w:ascii="Cambria Math" w:hAnsi="Cambria Math"/>
                    <w:lang w:val="en-GB"/>
                  </w:rPr>
                  <m:t>G</m:t>
                </m:r>
              </m:sub>
              <m:sup>
                <m:r>
                  <w:rPr>
                    <w:rFonts w:ascii="Cambria Math" w:hAnsi="Cambria Math"/>
                    <w:lang w:val="en-GB"/>
                  </w:rPr>
                  <m:t>LK</m:t>
                </m:r>
              </m:sup>
            </m:sSubSup>
          </m:e>
        </m:d>
      </m:oMath>
      <w:r>
        <w:rPr>
          <w:lang w:val="en-GB"/>
        </w:rPr>
        <w:t xml:space="preserve">, where </w:t>
      </w:r>
      <m:oMath>
        <m:r>
          <w:rPr>
            <w:rFonts w:ascii="Cambria Math" w:hAnsi="Cambria Math"/>
            <w:lang w:val="en-GB"/>
          </w:rPr>
          <m:t>A</m:t>
        </m:r>
      </m:oMath>
      <w:r w:rsidRPr="00D53848">
        <w:rPr>
          <w:lang w:val="en-GB"/>
        </w:rPr>
        <w:t xml:space="preserve"> is the interfacial area per unit volume, </w:t>
      </w:r>
      <m:oMath>
        <m:r>
          <w:rPr>
            <w:rFonts w:ascii="Cambria Math" w:hAnsi="Cambria Math"/>
            <w:lang w:val="en-GB"/>
          </w:rPr>
          <m:t>K</m:t>
        </m:r>
      </m:oMath>
      <w:r w:rsidRPr="00D53848">
        <w:rPr>
          <w:lang w:val="en-GB"/>
        </w:rPr>
        <w:t xml:space="preserve"> is the mole fraction equilibrium ratio (</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e</m:t>
            </m:r>
          </m:sub>
        </m:sSub>
        <m:r>
          <w:rPr>
            <w:rFonts w:ascii="Cambria Math" w:hAnsi="Cambria Math"/>
            <w:lang w:val="en-GB"/>
          </w:rPr>
          <m:t>=K/x</m:t>
        </m:r>
      </m:oMath>
      <w:r w:rsidRPr="00D53848">
        <w:rPr>
          <w:lang w:val="en-GB"/>
        </w:rPr>
        <w:t xml:space="preserve">), </w:t>
      </w:r>
      <m:oMath>
        <m:sSubSup>
          <m:sSubSupPr>
            <m:ctrlPr>
              <w:rPr>
                <w:rFonts w:ascii="Cambria Math" w:hAnsi="Cambria Math"/>
                <w:lang w:val="en-GB"/>
              </w:rPr>
            </m:ctrlPr>
          </m:sSubSupPr>
          <m:e>
            <m:r>
              <w:rPr>
                <w:rFonts w:ascii="Cambria Math" w:hAnsi="Cambria Math"/>
                <w:lang w:val="en-GB"/>
              </w:rPr>
              <m:t>ρ</m:t>
            </m:r>
          </m:e>
          <m:sub>
            <m:r>
              <w:rPr>
                <w:rFonts w:ascii="Cambria Math" w:hAnsi="Cambria Math"/>
                <w:lang w:val="en-GB"/>
              </w:rPr>
              <m:t>p</m:t>
            </m:r>
          </m:sub>
          <m:sup>
            <m:r>
              <w:rPr>
                <w:rFonts w:ascii="Cambria Math" w:hAnsi="Cambria Math"/>
                <w:lang w:val="en-GB"/>
              </w:rPr>
              <m:t>LK</m:t>
            </m:r>
          </m:sup>
        </m:sSubSup>
      </m:oMath>
      <w:r w:rsidRPr="00D53848">
        <w:rPr>
          <w:lang w:val="en-GB"/>
        </w:rPr>
        <w:t xml:space="preserve"> is the mass/volume concentration of the light component in the phase </w:t>
      </w:r>
      <w:r w:rsidRPr="00D53848">
        <w:rPr>
          <w:i/>
          <w:iCs/>
          <w:lang w:val="en-GB"/>
        </w:rPr>
        <w:t>p</w:t>
      </w:r>
      <w:r w:rsidRPr="00D53848">
        <w:rPr>
          <w:lang w:val="en-GB"/>
        </w:rPr>
        <w:t xml:space="preserve"> (this is the nomenclature used in Fluent, and </w:t>
      </w:r>
      <m:oMath>
        <m:sSubSup>
          <m:sSubSupPr>
            <m:ctrlPr>
              <w:rPr>
                <w:rFonts w:ascii="Cambria Math" w:hAnsi="Cambria Math"/>
                <w:lang w:val="en-GB"/>
              </w:rPr>
            </m:ctrlPr>
          </m:sSubSupPr>
          <m:e>
            <m:r>
              <w:rPr>
                <w:rFonts w:ascii="Cambria Math" w:hAnsi="Cambria Math"/>
                <w:lang w:val="en-GB"/>
              </w:rPr>
              <m:t>ρ</m:t>
            </m:r>
          </m:e>
          <m:sub>
            <m:r>
              <w:rPr>
                <w:rFonts w:ascii="Cambria Math" w:hAnsi="Cambria Math"/>
                <w:lang w:val="en-GB"/>
              </w:rPr>
              <m:t>p</m:t>
            </m:r>
          </m:sub>
          <m:sup>
            <m:r>
              <w:rPr>
                <w:rFonts w:ascii="Cambria Math" w:hAnsi="Cambria Math"/>
                <w:lang w:val="en-GB"/>
              </w:rPr>
              <m:t>LK</m:t>
            </m:r>
          </m:sup>
        </m:sSub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LK</m:t>
            </m:r>
          </m:sub>
        </m:sSub>
      </m:oMath>
      <w:r w:rsidRPr="00D53848">
        <w:rPr>
          <w:lang w:val="en-GB"/>
        </w:rPr>
        <w:t>)</w:t>
      </w:r>
      <w:r>
        <w:rPr>
          <w:lang w:val="en-GB"/>
        </w:rPr>
        <w:t>, and w</w:t>
      </w:r>
      <w:r>
        <w:t>here:</w:t>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39"/>
      </w:tblGrid>
      <w:tr w:rsidR="006F16FF" w:rsidRPr="00FF3F4C" w14:paraId="052416DF" w14:textId="77777777" w:rsidTr="00C1361F">
        <w:tc>
          <w:tcPr>
            <w:tcW w:w="7655" w:type="dxa"/>
          </w:tcPr>
          <w:p w14:paraId="5BC54DDF" w14:textId="77777777" w:rsidR="006F16FF" w:rsidRPr="00FF3F4C" w:rsidRDefault="00000000" w:rsidP="00261EBD">
            <w:pPr>
              <w:tabs>
                <w:tab w:val="clear" w:pos="7100"/>
              </w:tabs>
              <w:spacing w:line="360" w:lineRule="auto"/>
              <w:jc w:val="center"/>
              <w:rPr>
                <w:rFonts w:cs="Arial"/>
                <w:szCs w:val="18"/>
                <w:lang w:val="en-US"/>
              </w:rPr>
            </w:pPr>
            <m:oMathPara>
              <m:oMath>
                <m:f>
                  <m:fPr>
                    <m:ctrlPr>
                      <w:rPr>
                        <w:rFonts w:ascii="Cambria Math" w:hAnsi="Cambria Math" w:cs="Arial"/>
                        <w:szCs w:val="18"/>
                        <w:lang w:val="en-US"/>
                      </w:rPr>
                    </m:ctrlPr>
                  </m:fPr>
                  <m:num>
                    <m:r>
                      <m:rPr>
                        <m:sty m:val="p"/>
                      </m:rPr>
                      <w:rPr>
                        <w:rFonts w:ascii="Cambria Math" w:hAnsi="Cambria Math" w:cs="Arial"/>
                        <w:szCs w:val="18"/>
                        <w:lang w:val="en-US"/>
                      </w:rPr>
                      <m:t>1</m:t>
                    </m:r>
                  </m:num>
                  <m:den>
                    <m:sSub>
                      <m:sSubPr>
                        <m:ctrlPr>
                          <w:rPr>
                            <w:rFonts w:ascii="Cambria Math" w:hAnsi="Cambria Math" w:cs="Arial"/>
                            <w:szCs w:val="18"/>
                            <w:lang w:val="en-US"/>
                          </w:rPr>
                        </m:ctrlPr>
                      </m:sSubPr>
                      <m:e>
                        <m:r>
                          <w:rPr>
                            <w:rFonts w:ascii="Cambria Math" w:hAnsi="Cambria Math" w:cs="Arial"/>
                            <w:szCs w:val="18"/>
                            <w:lang w:val="en-US"/>
                          </w:rPr>
                          <m:t>k</m:t>
                        </m:r>
                      </m:e>
                      <m:sub>
                        <m:r>
                          <w:rPr>
                            <w:rFonts w:ascii="Cambria Math" w:hAnsi="Cambria Math" w:cs="Arial"/>
                            <w:szCs w:val="18"/>
                            <w:lang w:val="en-US"/>
                          </w:rPr>
                          <m:t>LG</m:t>
                        </m:r>
                      </m:sub>
                    </m:sSub>
                  </m:den>
                </m:f>
                <m:r>
                  <m:rPr>
                    <m:sty m:val="p"/>
                  </m:rPr>
                  <w:rPr>
                    <w:rFonts w:ascii="Cambria Math" w:hAnsi="Cambria Math" w:cs="Arial"/>
                    <w:szCs w:val="18"/>
                    <w:lang w:val="en-US"/>
                  </w:rPr>
                  <m:t>=</m:t>
                </m:r>
                <m:f>
                  <m:fPr>
                    <m:ctrlPr>
                      <w:rPr>
                        <w:rFonts w:ascii="Cambria Math" w:hAnsi="Cambria Math" w:cs="Arial"/>
                        <w:szCs w:val="18"/>
                        <w:lang w:val="en-US"/>
                      </w:rPr>
                    </m:ctrlPr>
                  </m:fPr>
                  <m:num>
                    <m:r>
                      <m:rPr>
                        <m:sty m:val="p"/>
                      </m:rPr>
                      <w:rPr>
                        <w:rFonts w:ascii="Cambria Math" w:hAnsi="Cambria Math" w:cs="Arial"/>
                        <w:szCs w:val="18"/>
                        <w:lang w:val="en-US"/>
                      </w:rPr>
                      <m:t>1</m:t>
                    </m:r>
                  </m:num>
                  <m:den>
                    <m:sSub>
                      <m:sSubPr>
                        <m:ctrlPr>
                          <w:rPr>
                            <w:rFonts w:ascii="Cambria Math" w:hAnsi="Cambria Math" w:cs="Arial"/>
                            <w:szCs w:val="18"/>
                            <w:lang w:val="en-US"/>
                          </w:rPr>
                        </m:ctrlPr>
                      </m:sSubPr>
                      <m:e>
                        <m:r>
                          <w:rPr>
                            <w:rFonts w:ascii="Cambria Math" w:hAnsi="Cambria Math" w:cs="Arial"/>
                            <w:szCs w:val="18"/>
                            <w:lang w:val="en-US"/>
                          </w:rPr>
                          <m:t>k</m:t>
                        </m:r>
                      </m:e>
                      <m:sub>
                        <m:r>
                          <w:rPr>
                            <w:rFonts w:ascii="Cambria Math" w:hAnsi="Cambria Math" w:cs="Arial"/>
                            <w:szCs w:val="18"/>
                            <w:lang w:val="en-US"/>
                          </w:rPr>
                          <m:t>G</m:t>
                        </m:r>
                      </m:sub>
                    </m:sSub>
                  </m:den>
                </m:f>
                <m:r>
                  <m:rPr>
                    <m:sty m:val="p"/>
                  </m:rPr>
                  <w:rPr>
                    <w:rFonts w:ascii="Cambria Math" w:hAnsi="Cambria Math" w:cs="Arial"/>
                    <w:szCs w:val="18"/>
                    <w:lang w:val="en-US"/>
                  </w:rPr>
                  <m:t>+</m:t>
                </m:r>
                <m:f>
                  <m:fPr>
                    <m:ctrlPr>
                      <w:rPr>
                        <w:rFonts w:ascii="Cambria Math" w:hAnsi="Cambria Math" w:cs="Arial"/>
                        <w:szCs w:val="18"/>
                        <w:lang w:val="en-US"/>
                      </w:rPr>
                    </m:ctrlPr>
                  </m:fPr>
                  <m:num>
                    <m:r>
                      <w:rPr>
                        <w:rFonts w:ascii="Cambria Math" w:hAnsi="Cambria Math" w:cs="Arial"/>
                        <w:szCs w:val="18"/>
                        <w:lang w:val="en-US"/>
                      </w:rPr>
                      <m:t>K</m:t>
                    </m:r>
                  </m:num>
                  <m:den>
                    <m:sSub>
                      <m:sSubPr>
                        <m:ctrlPr>
                          <w:rPr>
                            <w:rFonts w:ascii="Cambria Math" w:hAnsi="Cambria Math" w:cs="Arial"/>
                            <w:szCs w:val="18"/>
                            <w:lang w:val="en-US"/>
                          </w:rPr>
                        </m:ctrlPr>
                      </m:sSubPr>
                      <m:e>
                        <m:r>
                          <w:rPr>
                            <w:rFonts w:ascii="Cambria Math" w:hAnsi="Cambria Math" w:cs="Arial"/>
                            <w:szCs w:val="18"/>
                            <w:lang w:val="en-US"/>
                          </w:rPr>
                          <m:t>k</m:t>
                        </m:r>
                      </m:e>
                      <m:sub>
                        <m:r>
                          <w:rPr>
                            <w:rFonts w:ascii="Cambria Math" w:hAnsi="Cambria Math" w:cs="Arial"/>
                            <w:szCs w:val="18"/>
                            <w:lang w:val="en-US"/>
                          </w:rPr>
                          <m:t>L</m:t>
                        </m:r>
                      </m:sub>
                    </m:sSub>
                  </m:den>
                </m:f>
                <m:r>
                  <m:rPr>
                    <m:sty m:val="p"/>
                  </m:rPr>
                  <w:rPr>
                    <w:rFonts w:ascii="Cambria Math" w:hAnsi="Cambria Math" w:cs="Arial"/>
                    <w:szCs w:val="18"/>
                    <w:lang w:val="en-US"/>
                  </w:rPr>
                  <m:t xml:space="preserve"> </m:t>
                </m:r>
              </m:oMath>
            </m:oMathPara>
          </w:p>
        </w:tc>
        <w:tc>
          <w:tcPr>
            <w:tcW w:w="839" w:type="dxa"/>
            <w:vAlign w:val="center"/>
          </w:tcPr>
          <w:p w14:paraId="3B49468B" w14:textId="77777777" w:rsidR="006F16FF" w:rsidRPr="00FF3F4C" w:rsidRDefault="006F16FF" w:rsidP="00261EBD">
            <w:pPr>
              <w:tabs>
                <w:tab w:val="clear" w:pos="7100"/>
              </w:tabs>
              <w:spacing w:line="360" w:lineRule="auto"/>
              <w:jc w:val="right"/>
              <w:rPr>
                <w:rFonts w:cs="Arial"/>
                <w:szCs w:val="18"/>
                <w:lang w:val="en-US"/>
              </w:rPr>
            </w:pPr>
            <w:r w:rsidRPr="00FF3F4C">
              <w:rPr>
                <w:rFonts w:cs="Arial"/>
                <w:szCs w:val="18"/>
                <w:lang w:val="en-US"/>
              </w:rPr>
              <w:t>(</w:t>
            </w:r>
            <w:r>
              <w:rPr>
                <w:rFonts w:cs="Arial"/>
                <w:szCs w:val="18"/>
                <w:lang w:val="en-US"/>
              </w:rPr>
              <w:t>4</w:t>
            </w:r>
            <w:r w:rsidRPr="00FF3F4C">
              <w:rPr>
                <w:rFonts w:cs="Arial"/>
                <w:szCs w:val="18"/>
                <w:lang w:val="en-US"/>
              </w:rPr>
              <w:t>)</w:t>
            </w:r>
          </w:p>
        </w:tc>
      </w:tr>
    </w:tbl>
    <w:p w14:paraId="548E0A5B" w14:textId="77777777" w:rsidR="006F16FF" w:rsidRDefault="006F16FF" w:rsidP="00911900">
      <w:pPr>
        <w:pStyle w:val="CETBodytext"/>
        <w:rPr>
          <w:lang w:val="en-GB"/>
        </w:rPr>
      </w:pPr>
      <w:r>
        <w:rPr>
          <w:lang w:val="en-GB"/>
        </w:rPr>
        <w:t xml:space="preserve">Here, </w:t>
      </w: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G</m:t>
            </m:r>
          </m:sub>
        </m:sSub>
      </m:oMath>
      <w:r w:rsidRPr="00E54C6A">
        <w:rPr>
          <w:lang w:val="en-GB"/>
        </w:rPr>
        <w:t xml:space="preserve"> and </w:t>
      </w: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L</m:t>
            </m:r>
          </m:sub>
        </m:sSub>
      </m:oMath>
      <w:r w:rsidRPr="00E54C6A">
        <w:rPr>
          <w:lang w:val="en-GB"/>
        </w:rPr>
        <w:t xml:space="preserve"> are the volumetric individual film mass transfer coefficients of gas and liquid, respectively</w:t>
      </w:r>
    </w:p>
    <w:p w14:paraId="68301860" w14:textId="77777777" w:rsidR="006F16FF" w:rsidRDefault="006F16FF" w:rsidP="00DF456B">
      <w:pPr>
        <w:pStyle w:val="CETheadingx"/>
      </w:pPr>
      <w:r>
        <w:t>Mass transfer model</w:t>
      </w:r>
    </w:p>
    <w:p w14:paraId="18241A7B" w14:textId="69B8969C" w:rsidR="006F16FF" w:rsidRDefault="006F16FF" w:rsidP="00DF456B">
      <w:pPr>
        <w:pStyle w:val="CETBodytext"/>
        <w:rPr>
          <w:lang w:val="en-GB"/>
        </w:rPr>
      </w:pPr>
      <w:r w:rsidRPr="00475E92">
        <w:rPr>
          <w:lang w:val="en-GB"/>
        </w:rPr>
        <w:t xml:space="preserve">Interphase species mass transfer is </w:t>
      </w:r>
      <w:proofErr w:type="spellStart"/>
      <w:r w:rsidRPr="00475E92">
        <w:rPr>
          <w:lang w:val="en-GB"/>
        </w:rPr>
        <w:t>modeled</w:t>
      </w:r>
      <w:proofErr w:type="spellEnd"/>
      <w:r w:rsidRPr="00475E92">
        <w:rPr>
          <w:lang w:val="en-GB"/>
        </w:rPr>
        <w:t xml:space="preserve"> using the two-resistance model from Ansys Fluent®. There are many theories available in the literature for the calculation of the mass transfer coefficient </w:t>
      </w: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G</m:t>
            </m:r>
          </m:sub>
        </m:sSub>
      </m:oMath>
      <w:r w:rsidRPr="00475E92">
        <w:rPr>
          <w:lang w:val="en-GB"/>
        </w:rPr>
        <w:t xml:space="preserve"> and </w:t>
      </w: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L</m:t>
            </m:r>
          </m:sub>
        </m:sSub>
      </m:oMath>
      <w:r w:rsidRPr="00475E92">
        <w:rPr>
          <w:lang w:val="en-GB"/>
        </w:rPr>
        <w:t xml:space="preserve"> </w:t>
      </w:r>
      <w:sdt>
        <w:sdtPr>
          <w:rPr>
            <w:color w:val="000000"/>
            <w:lang w:val="en-GB"/>
          </w:rPr>
          <w:tag w:val="MENDELEY_CITATION_v3_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"/>
          <w:id w:val="-1185364259"/>
          <w:placeholder>
            <w:docPart w:val="DefaultPlaceholder_-1854013440"/>
          </w:placeholder>
        </w:sdtPr>
        <w:sdtEndPr>
          <w:rPr>
            <w:lang w:val="en-US"/>
          </w:rPr>
        </w:sdtEndPr>
        <w:sdtContent>
          <w:r w:rsidR="0048672F" w:rsidRPr="0048672F">
            <w:rPr>
              <w:color w:val="000000"/>
            </w:rPr>
            <w:t>(Lamont &amp; Scott, 1970)</w:t>
          </w:r>
        </w:sdtContent>
      </w:sdt>
      <w:r w:rsidRPr="00475E92">
        <w:rPr>
          <w:lang w:val="en-GB"/>
        </w:rPr>
        <w:t>, however the most used are:</w:t>
      </w:r>
    </w:p>
    <w:p w14:paraId="3C18A0F9" w14:textId="3D0F33CF" w:rsidR="006F16FF" w:rsidRPr="004B7DF6" w:rsidRDefault="006F16FF" w:rsidP="004B7DF6">
      <w:pPr>
        <w:pStyle w:val="CETBodytext"/>
        <w:numPr>
          <w:ilvl w:val="0"/>
          <w:numId w:val="26"/>
        </w:numPr>
        <w:rPr>
          <w:lang w:val="en-GB"/>
        </w:rPr>
      </w:pPr>
      <w:r w:rsidRPr="004B7DF6">
        <w:rPr>
          <w:lang w:val="en-GB"/>
        </w:rPr>
        <w:t xml:space="preserve">Penetration theory </w:t>
      </w:r>
      <w:sdt>
        <w:sdtPr>
          <w:rPr>
            <w:color w:val="000000"/>
            <w:lang w:val="en-GB"/>
          </w:rPr>
          <w:tag w:val="MENDELEY_CITATION_v3_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"/>
          <w:id w:val="-633021509"/>
          <w:placeholder>
            <w:docPart w:val="DefaultPlaceholder_-1854013440"/>
          </w:placeholder>
        </w:sdtPr>
        <w:sdtEndPr>
          <w:rPr>
            <w:lang w:val="en-US"/>
          </w:rPr>
        </w:sdtEndPr>
        <w:sdtContent>
          <w:r w:rsidR="0048672F" w:rsidRPr="0048672F">
            <w:rPr>
              <w:color w:val="000000"/>
            </w:rPr>
            <w:t>(Higbie, 1935)</w:t>
          </w:r>
        </w:sdtContent>
      </w:sdt>
      <w:r w:rsidRPr="004B7DF6">
        <w:rPr>
          <w:lang w:val="en-GB"/>
        </w:rPr>
        <w:t>:</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39"/>
      </w:tblGrid>
      <w:tr w:rsidR="006F16FF" w:rsidRPr="00FF3F4C" w14:paraId="742CBB12" w14:textId="77777777" w:rsidTr="00C1361F">
        <w:tc>
          <w:tcPr>
            <w:tcW w:w="7655" w:type="dxa"/>
          </w:tcPr>
          <w:p w14:paraId="17E44474" w14:textId="77777777" w:rsidR="006F16FF" w:rsidRPr="00FF3F4C" w:rsidRDefault="00000000" w:rsidP="009E5917">
            <w:pPr>
              <w:tabs>
                <w:tab w:val="clear" w:pos="7100"/>
              </w:tabs>
              <w:spacing w:line="360" w:lineRule="auto"/>
              <w:jc w:val="center"/>
              <w:rPr>
                <w:rFonts w:cs="Arial"/>
                <w:szCs w:val="18"/>
                <w:lang w:val="en-US"/>
              </w:rPr>
            </w:pPr>
            <m:oMathPara>
              <m:oMath>
                <m:sSub>
                  <m:sSubPr>
                    <m:ctrlPr>
                      <w:rPr>
                        <w:rFonts w:ascii="Cambria Math"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L</m:t>
                    </m:r>
                  </m:sub>
                </m:sSub>
                <m:r>
                  <w:rPr>
                    <w:rFonts w:ascii="Cambria Math" w:hAnsi="Cambria Math" w:cs="Arial"/>
                    <w:szCs w:val="18"/>
                    <w:lang w:val="en-US"/>
                  </w:rPr>
                  <m:t>=</m:t>
                </m:r>
                <m:f>
                  <m:fPr>
                    <m:ctrlPr>
                      <w:rPr>
                        <w:rFonts w:ascii="Cambria Math" w:hAnsi="Cambria Math" w:cs="Arial"/>
                        <w:i/>
                        <w:szCs w:val="18"/>
                        <w:lang w:val="en-US"/>
                      </w:rPr>
                    </m:ctrlPr>
                  </m:fPr>
                  <m:num>
                    <m:r>
                      <w:rPr>
                        <w:rFonts w:ascii="Cambria Math" w:hAnsi="Cambria Math" w:cs="Arial"/>
                        <w:szCs w:val="18"/>
                        <w:lang w:val="en-US"/>
                      </w:rPr>
                      <m:t>2</m:t>
                    </m:r>
                  </m:num>
                  <m:den>
                    <m:rad>
                      <m:radPr>
                        <m:degHide m:val="1"/>
                        <m:ctrlPr>
                          <w:rPr>
                            <w:rFonts w:ascii="Cambria Math" w:hAnsi="Cambria Math" w:cs="Arial"/>
                            <w:i/>
                            <w:szCs w:val="18"/>
                            <w:lang w:val="en-US"/>
                          </w:rPr>
                        </m:ctrlPr>
                      </m:radPr>
                      <m:deg/>
                      <m:e>
                        <m:r>
                          <w:rPr>
                            <w:rFonts w:ascii="Cambria Math" w:hAnsi="Cambria Math" w:cs="Arial"/>
                            <w:szCs w:val="18"/>
                            <w:lang w:val="en-US"/>
                          </w:rPr>
                          <m:t>π</m:t>
                        </m:r>
                      </m:e>
                    </m:rad>
                  </m:den>
                </m:f>
                <m:rad>
                  <m:radPr>
                    <m:degHide m:val="1"/>
                    <m:ctrlPr>
                      <w:rPr>
                        <w:rFonts w:ascii="Cambria Math" w:hAnsi="Cambria Math" w:cs="Arial"/>
                        <w:i/>
                        <w:szCs w:val="18"/>
                        <w:lang w:val="en-US"/>
                      </w:rPr>
                    </m:ctrlPr>
                  </m:radPr>
                  <m:deg/>
                  <m:e>
                    <m:f>
                      <m:fPr>
                        <m:ctrlPr>
                          <w:rPr>
                            <w:rFonts w:ascii="Cambria Math" w:hAnsi="Cambria Math" w:cs="Arial"/>
                            <w:i/>
                            <w:szCs w:val="18"/>
                            <w:lang w:val="en-US"/>
                          </w:rPr>
                        </m:ctrlPr>
                      </m:fPr>
                      <m:num>
                        <m:sSub>
                          <m:sSubPr>
                            <m:ctrlPr>
                              <w:rPr>
                                <w:rFonts w:ascii="Cambria Math" w:hAnsi="Cambria Math" w:cs="Arial"/>
                                <w:i/>
                                <w:szCs w:val="18"/>
                                <w:lang w:val="en-US"/>
                              </w:rPr>
                            </m:ctrlPr>
                          </m:sSubPr>
                          <m:e>
                            <m:r>
                              <w:rPr>
                                <w:rFonts w:ascii="Cambria Math" w:hAnsi="Cambria Math" w:cs="Arial"/>
                                <w:szCs w:val="18"/>
                                <w:lang w:val="en-US"/>
                              </w:rPr>
                              <m:t>D</m:t>
                            </m:r>
                          </m:e>
                          <m:sub>
                            <m:r>
                              <w:rPr>
                                <w:rFonts w:ascii="Cambria Math" w:hAnsi="Cambria Math" w:cs="Arial"/>
                                <w:szCs w:val="18"/>
                                <w:lang w:val="en-US"/>
                              </w:rPr>
                              <m:t>L,LK</m:t>
                            </m:r>
                          </m:sub>
                        </m:sSub>
                      </m:num>
                      <m:den>
                        <m:sSub>
                          <m:sSubPr>
                            <m:ctrlPr>
                              <w:rPr>
                                <w:rFonts w:ascii="Cambria Math" w:hAnsi="Cambria Math" w:cs="Arial"/>
                                <w:i/>
                                <w:szCs w:val="18"/>
                                <w:lang w:val="en-US"/>
                              </w:rPr>
                            </m:ctrlPr>
                          </m:sSubPr>
                          <m:e>
                            <m:r>
                              <w:rPr>
                                <w:rFonts w:ascii="Cambria Math" w:hAnsi="Cambria Math" w:cs="Arial"/>
                                <w:szCs w:val="18"/>
                                <w:lang w:val="en-US"/>
                              </w:rPr>
                              <m:t>t</m:t>
                            </m:r>
                          </m:e>
                          <m:sub>
                            <m:r>
                              <w:rPr>
                                <w:rFonts w:ascii="Cambria Math" w:hAnsi="Cambria Math" w:cs="Arial"/>
                                <w:szCs w:val="18"/>
                                <w:lang w:val="en-US"/>
                              </w:rPr>
                              <m:t>e,L</m:t>
                            </m:r>
                          </m:sub>
                        </m:sSub>
                      </m:den>
                    </m:f>
                  </m:e>
                </m:rad>
                <m:r>
                  <w:rPr>
                    <w:rFonts w:ascii="Cambria Math" w:hAnsi="Cambria Math" w:cs="Arial"/>
                    <w:szCs w:val="18"/>
                    <w:lang w:val="en-US"/>
                  </w:rPr>
                  <m:t xml:space="preserve">               </m:t>
                </m:r>
                <m:sSub>
                  <m:sSubPr>
                    <m:ctrlPr>
                      <w:rPr>
                        <w:rFonts w:ascii="Cambria Math"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G</m:t>
                    </m:r>
                  </m:sub>
                </m:sSub>
                <m:r>
                  <w:rPr>
                    <w:rFonts w:ascii="Cambria Math" w:hAnsi="Cambria Math" w:cs="Arial"/>
                    <w:szCs w:val="18"/>
                    <w:lang w:val="en-US"/>
                  </w:rPr>
                  <m:t>=</m:t>
                </m:r>
                <m:f>
                  <m:fPr>
                    <m:ctrlPr>
                      <w:rPr>
                        <w:rFonts w:ascii="Cambria Math" w:hAnsi="Cambria Math" w:cs="Arial"/>
                        <w:i/>
                        <w:szCs w:val="18"/>
                        <w:lang w:val="en-US"/>
                      </w:rPr>
                    </m:ctrlPr>
                  </m:fPr>
                  <m:num>
                    <m:r>
                      <w:rPr>
                        <w:rFonts w:ascii="Cambria Math" w:hAnsi="Cambria Math" w:cs="Arial"/>
                        <w:szCs w:val="18"/>
                        <w:lang w:val="en-US"/>
                      </w:rPr>
                      <m:t>2</m:t>
                    </m:r>
                  </m:num>
                  <m:den>
                    <m:rad>
                      <m:radPr>
                        <m:degHide m:val="1"/>
                        <m:ctrlPr>
                          <w:rPr>
                            <w:rFonts w:ascii="Cambria Math" w:hAnsi="Cambria Math" w:cs="Arial"/>
                            <w:i/>
                            <w:szCs w:val="18"/>
                            <w:lang w:val="en-US"/>
                          </w:rPr>
                        </m:ctrlPr>
                      </m:radPr>
                      <m:deg/>
                      <m:e>
                        <m:r>
                          <w:rPr>
                            <w:rFonts w:ascii="Cambria Math" w:hAnsi="Cambria Math" w:cs="Arial"/>
                            <w:szCs w:val="18"/>
                            <w:lang w:val="en-US"/>
                          </w:rPr>
                          <m:t>π</m:t>
                        </m:r>
                      </m:e>
                    </m:rad>
                  </m:den>
                </m:f>
                <m:rad>
                  <m:radPr>
                    <m:degHide m:val="1"/>
                    <m:ctrlPr>
                      <w:rPr>
                        <w:rFonts w:ascii="Cambria Math" w:hAnsi="Cambria Math" w:cs="Arial"/>
                        <w:i/>
                        <w:szCs w:val="18"/>
                        <w:lang w:val="en-US"/>
                      </w:rPr>
                    </m:ctrlPr>
                  </m:radPr>
                  <m:deg/>
                  <m:e>
                    <m:f>
                      <m:fPr>
                        <m:ctrlPr>
                          <w:rPr>
                            <w:rFonts w:ascii="Cambria Math" w:hAnsi="Cambria Math" w:cs="Arial"/>
                            <w:i/>
                            <w:szCs w:val="18"/>
                            <w:lang w:val="en-US"/>
                          </w:rPr>
                        </m:ctrlPr>
                      </m:fPr>
                      <m:num>
                        <m:sSub>
                          <m:sSubPr>
                            <m:ctrlPr>
                              <w:rPr>
                                <w:rFonts w:ascii="Cambria Math" w:hAnsi="Cambria Math" w:cs="Arial"/>
                                <w:i/>
                                <w:szCs w:val="18"/>
                                <w:lang w:val="en-US"/>
                              </w:rPr>
                            </m:ctrlPr>
                          </m:sSubPr>
                          <m:e>
                            <m:r>
                              <w:rPr>
                                <w:rFonts w:ascii="Cambria Math" w:hAnsi="Cambria Math" w:cs="Arial"/>
                                <w:szCs w:val="18"/>
                                <w:lang w:val="en-US"/>
                              </w:rPr>
                              <m:t>D</m:t>
                            </m:r>
                          </m:e>
                          <m:sub>
                            <m:r>
                              <w:rPr>
                                <w:rFonts w:ascii="Cambria Math" w:hAnsi="Cambria Math" w:cs="Arial"/>
                                <w:szCs w:val="18"/>
                                <w:lang w:val="en-US"/>
                              </w:rPr>
                              <m:t>G,LK</m:t>
                            </m:r>
                          </m:sub>
                        </m:sSub>
                      </m:num>
                      <m:den>
                        <m:sSub>
                          <m:sSubPr>
                            <m:ctrlPr>
                              <w:rPr>
                                <w:rFonts w:ascii="Cambria Math" w:hAnsi="Cambria Math" w:cs="Arial"/>
                                <w:i/>
                                <w:szCs w:val="18"/>
                                <w:lang w:val="en-US"/>
                              </w:rPr>
                            </m:ctrlPr>
                          </m:sSubPr>
                          <m:e>
                            <m:r>
                              <w:rPr>
                                <w:rFonts w:ascii="Cambria Math" w:hAnsi="Cambria Math" w:cs="Arial"/>
                                <w:szCs w:val="18"/>
                                <w:lang w:val="en-US"/>
                              </w:rPr>
                              <m:t>t</m:t>
                            </m:r>
                          </m:e>
                          <m:sub>
                            <m:r>
                              <w:rPr>
                                <w:rFonts w:ascii="Cambria Math" w:hAnsi="Cambria Math" w:cs="Arial"/>
                                <w:szCs w:val="18"/>
                                <w:lang w:val="en-US"/>
                              </w:rPr>
                              <m:t>e,G</m:t>
                            </m:r>
                          </m:sub>
                        </m:sSub>
                      </m:den>
                    </m:f>
                  </m:e>
                </m:rad>
              </m:oMath>
            </m:oMathPara>
          </w:p>
        </w:tc>
        <w:tc>
          <w:tcPr>
            <w:tcW w:w="839" w:type="dxa"/>
            <w:vAlign w:val="center"/>
          </w:tcPr>
          <w:p w14:paraId="2B22E15F" w14:textId="77777777" w:rsidR="006F16FF" w:rsidRPr="00FF3F4C" w:rsidRDefault="006F16FF" w:rsidP="009E5917">
            <w:pPr>
              <w:tabs>
                <w:tab w:val="clear" w:pos="7100"/>
              </w:tabs>
              <w:spacing w:line="360" w:lineRule="auto"/>
              <w:jc w:val="right"/>
              <w:rPr>
                <w:rFonts w:cs="Arial"/>
                <w:szCs w:val="18"/>
                <w:lang w:val="en-US"/>
              </w:rPr>
            </w:pPr>
            <w:r w:rsidRPr="00FF3F4C">
              <w:rPr>
                <w:rFonts w:cs="Arial"/>
                <w:szCs w:val="18"/>
                <w:lang w:val="en-US"/>
              </w:rPr>
              <w:t>(</w:t>
            </w:r>
            <w:r>
              <w:rPr>
                <w:rFonts w:cs="Arial"/>
                <w:szCs w:val="18"/>
                <w:lang w:val="en-US"/>
              </w:rPr>
              <w:t>5</w:t>
            </w:r>
            <w:r w:rsidRPr="00FF3F4C">
              <w:rPr>
                <w:rFonts w:cs="Arial"/>
                <w:szCs w:val="18"/>
                <w:lang w:val="en-US"/>
              </w:rPr>
              <w:t>)</w:t>
            </w:r>
          </w:p>
        </w:tc>
      </w:tr>
    </w:tbl>
    <w:p w14:paraId="73119F44" w14:textId="77777777" w:rsidR="006F16FF" w:rsidRDefault="006F16FF" w:rsidP="00DF456B">
      <w:pPr>
        <w:pStyle w:val="CETBodytext"/>
        <w:rPr>
          <w:lang w:val="en-GB"/>
        </w:rPr>
      </w:pPr>
      <w:r w:rsidRPr="006D4A20">
        <w:rPr>
          <w:lang w:val="en-GB"/>
        </w:rPr>
        <w:lastRenderedPageBreak/>
        <w:t xml:space="preserve">where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e,L</m:t>
            </m:r>
          </m:sub>
        </m:sSub>
      </m:oMath>
      <w:r w:rsidRPr="006D4A20">
        <w:rPr>
          <w:lang w:val="en-GB"/>
        </w:rPr>
        <w:t xml:space="preserve"> and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e,G</m:t>
            </m:r>
          </m:sub>
        </m:sSub>
      </m:oMath>
      <w:r w:rsidRPr="006D4A20">
        <w:rPr>
          <w:lang w:val="en-GB"/>
        </w:rPr>
        <w:t xml:space="preserve"> are the exposure time in each phase, calculated as</w:t>
      </w:r>
      <w:r>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e,L</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b</m:t>
                </m:r>
              </m:sub>
            </m:sSub>
          </m:num>
          <m:den>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rise</m:t>
                </m:r>
              </m:sub>
            </m:sSub>
          </m:den>
        </m:f>
      </m:oMath>
      <w:r>
        <w:rPr>
          <w:lang w:val="en-GB"/>
        </w:rPr>
        <w:t xml:space="preserve"> and </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e,G</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b</m:t>
                </m:r>
              </m:sub>
            </m:sSub>
          </m:num>
          <m:den>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H</m:t>
                </m:r>
              </m:sub>
            </m:sSub>
          </m:den>
        </m:f>
      </m:oMath>
      <w:r>
        <w:rPr>
          <w:lang w:val="en-GB"/>
        </w:rPr>
        <w:t xml:space="preserve">, </w:t>
      </w:r>
      <w:r w:rsidRPr="00077F22">
        <w:rPr>
          <w:lang w:val="en-GB"/>
        </w:rPr>
        <w:t xml:space="preserve">where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b</m:t>
            </m:r>
          </m:sub>
        </m:sSub>
      </m:oMath>
      <w:r w:rsidRPr="00077F22">
        <w:rPr>
          <w:lang w:val="en-GB"/>
        </w:rPr>
        <w:t xml:space="preserve"> is the bubble diameter,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rise</m:t>
            </m:r>
          </m:sub>
        </m:sSub>
      </m:oMath>
      <w:r w:rsidRPr="00077F22">
        <w:rPr>
          <w:lang w:val="en-GB"/>
        </w:rPr>
        <w:t xml:space="preserve"> is the bubble slip velocity and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H</m:t>
            </m:r>
          </m:sub>
        </m:sSub>
      </m:oMath>
      <w:r w:rsidRPr="00077F22">
        <w:rPr>
          <w:lang w:val="en-GB"/>
        </w:rPr>
        <w:t xml:space="preserve"> is the vapor velocity through the tray holes. Therefore, the expression for the local mass transfer coefficient is:</w:t>
      </w: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39"/>
      </w:tblGrid>
      <w:tr w:rsidR="006F16FF" w:rsidRPr="00FF3F4C" w14:paraId="03353147" w14:textId="77777777" w:rsidTr="001B31EB">
        <w:tc>
          <w:tcPr>
            <w:tcW w:w="7655" w:type="dxa"/>
          </w:tcPr>
          <w:p w14:paraId="0617EC1E" w14:textId="77777777" w:rsidR="006F16FF" w:rsidRPr="00FF3F4C" w:rsidRDefault="00000000" w:rsidP="008E363C">
            <w:pPr>
              <w:tabs>
                <w:tab w:val="clear" w:pos="7100"/>
              </w:tabs>
              <w:spacing w:line="360" w:lineRule="auto"/>
              <w:jc w:val="center"/>
              <w:rPr>
                <w:rFonts w:cs="Arial"/>
                <w:szCs w:val="18"/>
                <w:lang w:val="en-US"/>
              </w:rPr>
            </w:pPr>
            <m:oMathPara>
              <m:oMath>
                <m:sSub>
                  <m:sSubPr>
                    <m:ctrlPr>
                      <w:rPr>
                        <w:rFonts w:ascii="Cambria Math"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L</m:t>
                    </m:r>
                  </m:sub>
                </m:sSub>
                <m:r>
                  <w:rPr>
                    <w:rFonts w:ascii="Cambria Math" w:hAnsi="Cambria Math" w:cs="Arial"/>
                    <w:szCs w:val="18"/>
                    <w:lang w:val="en-US"/>
                  </w:rPr>
                  <m:t>=2</m:t>
                </m:r>
                <m:r>
                  <m:rPr>
                    <m:sty m:val="p"/>
                  </m:rPr>
                  <w:rPr>
                    <w:rFonts w:ascii="Cambria Math" w:hAnsi="Cambria Math" w:cs="Arial"/>
                    <w:szCs w:val="18"/>
                    <w:lang w:val="en-US"/>
                  </w:rPr>
                  <m:t>Υ</m:t>
                </m:r>
                <m:rad>
                  <m:radPr>
                    <m:degHide m:val="1"/>
                    <m:ctrlPr>
                      <w:rPr>
                        <w:rFonts w:ascii="Cambria Math" w:hAnsi="Cambria Math" w:cs="Arial"/>
                        <w:i/>
                        <w:szCs w:val="18"/>
                        <w:lang w:val="en-US"/>
                      </w:rPr>
                    </m:ctrlPr>
                  </m:radPr>
                  <m:deg/>
                  <m:e>
                    <m:f>
                      <m:fPr>
                        <m:ctrlPr>
                          <w:rPr>
                            <w:rFonts w:ascii="Cambria Math" w:hAnsi="Cambria Math" w:cs="Arial"/>
                            <w:i/>
                            <w:szCs w:val="18"/>
                            <w:lang w:val="en-US"/>
                          </w:rPr>
                        </m:ctrlPr>
                      </m:fPr>
                      <m:num>
                        <m:sSub>
                          <m:sSubPr>
                            <m:ctrlPr>
                              <w:rPr>
                                <w:rFonts w:ascii="Cambria Math" w:hAnsi="Cambria Math" w:cs="Arial"/>
                                <w:i/>
                                <w:szCs w:val="18"/>
                                <w:lang w:val="en-US"/>
                              </w:rPr>
                            </m:ctrlPr>
                          </m:sSubPr>
                          <m:e>
                            <m:r>
                              <w:rPr>
                                <w:rFonts w:ascii="Cambria Math" w:hAnsi="Cambria Math" w:cs="Arial"/>
                                <w:szCs w:val="18"/>
                                <w:lang w:val="en-US"/>
                              </w:rPr>
                              <m:t>D</m:t>
                            </m:r>
                          </m:e>
                          <m:sub>
                            <m:r>
                              <w:rPr>
                                <w:rFonts w:ascii="Cambria Math" w:hAnsi="Cambria Math" w:cs="Arial"/>
                                <w:szCs w:val="18"/>
                                <w:lang w:val="en-US"/>
                              </w:rPr>
                              <m:t>L,LK</m:t>
                            </m:r>
                          </m:sub>
                        </m:sSub>
                        <m:sSub>
                          <m:sSubPr>
                            <m:ctrlPr>
                              <w:rPr>
                                <w:rFonts w:ascii="Cambria Math" w:hAnsi="Cambria Math" w:cs="Arial"/>
                                <w:i/>
                                <w:szCs w:val="18"/>
                                <w:lang w:val="en-US"/>
                              </w:rPr>
                            </m:ctrlPr>
                          </m:sSubPr>
                          <m:e>
                            <m:r>
                              <w:rPr>
                                <w:rFonts w:ascii="Cambria Math" w:hAnsi="Cambria Math" w:cs="Arial"/>
                                <w:szCs w:val="18"/>
                                <w:lang w:val="en-US"/>
                              </w:rPr>
                              <m:t>u</m:t>
                            </m:r>
                          </m:e>
                          <m:sub>
                            <m:r>
                              <w:rPr>
                                <w:rFonts w:ascii="Cambria Math" w:hAnsi="Cambria Math" w:cs="Arial"/>
                                <w:szCs w:val="18"/>
                                <w:lang w:val="en-US"/>
                              </w:rPr>
                              <m:t>rise</m:t>
                            </m:r>
                          </m:sub>
                        </m:sSub>
                      </m:num>
                      <m:den>
                        <m:r>
                          <w:rPr>
                            <w:rFonts w:ascii="Cambria Math" w:hAnsi="Cambria Math" w:cs="Arial"/>
                            <w:szCs w:val="18"/>
                            <w:lang w:val="en-US"/>
                          </w:rPr>
                          <m:t>π</m:t>
                        </m:r>
                        <m:sSub>
                          <m:sSubPr>
                            <m:ctrlPr>
                              <w:rPr>
                                <w:rFonts w:ascii="Cambria Math" w:hAnsi="Cambria Math" w:cs="Arial"/>
                                <w:i/>
                                <w:szCs w:val="18"/>
                                <w:lang w:val="en-US"/>
                              </w:rPr>
                            </m:ctrlPr>
                          </m:sSubPr>
                          <m:e>
                            <m:r>
                              <w:rPr>
                                <w:rFonts w:ascii="Cambria Math" w:hAnsi="Cambria Math" w:cs="Arial"/>
                                <w:szCs w:val="18"/>
                                <w:lang w:val="en-US"/>
                              </w:rPr>
                              <m:t>d</m:t>
                            </m:r>
                          </m:e>
                          <m:sub>
                            <m:r>
                              <w:rPr>
                                <w:rFonts w:ascii="Cambria Math" w:hAnsi="Cambria Math" w:cs="Arial"/>
                                <w:szCs w:val="18"/>
                                <w:lang w:val="en-US"/>
                              </w:rPr>
                              <m:t>b</m:t>
                            </m:r>
                          </m:sub>
                        </m:sSub>
                      </m:den>
                    </m:f>
                  </m:e>
                </m:rad>
                <m:r>
                  <w:rPr>
                    <w:rFonts w:ascii="Cambria Math" w:hAnsi="Cambria Math" w:cs="Arial"/>
                    <w:szCs w:val="18"/>
                    <w:lang w:val="en-US"/>
                  </w:rPr>
                  <m:t xml:space="preserve">                 </m:t>
                </m:r>
                <m:sSub>
                  <m:sSubPr>
                    <m:ctrlPr>
                      <w:rPr>
                        <w:rFonts w:ascii="Cambria Math"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G</m:t>
                    </m:r>
                  </m:sub>
                </m:sSub>
                <m:r>
                  <w:rPr>
                    <w:rFonts w:ascii="Cambria Math" w:hAnsi="Cambria Math" w:cs="Arial"/>
                    <w:szCs w:val="18"/>
                    <w:lang w:val="en-US"/>
                  </w:rPr>
                  <m:t>=2</m:t>
                </m:r>
                <m:r>
                  <m:rPr>
                    <m:sty m:val="p"/>
                  </m:rPr>
                  <w:rPr>
                    <w:rFonts w:ascii="Cambria Math" w:hAnsi="Cambria Math" w:cs="Arial"/>
                    <w:szCs w:val="18"/>
                    <w:lang w:val="en-US"/>
                  </w:rPr>
                  <m:t>Υ</m:t>
                </m:r>
                <m:rad>
                  <m:radPr>
                    <m:degHide m:val="1"/>
                    <m:ctrlPr>
                      <w:rPr>
                        <w:rFonts w:ascii="Cambria Math" w:hAnsi="Cambria Math" w:cs="Arial"/>
                        <w:i/>
                        <w:szCs w:val="18"/>
                        <w:lang w:val="en-US"/>
                      </w:rPr>
                    </m:ctrlPr>
                  </m:radPr>
                  <m:deg/>
                  <m:e>
                    <m:f>
                      <m:fPr>
                        <m:ctrlPr>
                          <w:rPr>
                            <w:rFonts w:ascii="Cambria Math" w:hAnsi="Cambria Math" w:cs="Arial"/>
                            <w:i/>
                            <w:szCs w:val="18"/>
                            <w:lang w:val="en-US"/>
                          </w:rPr>
                        </m:ctrlPr>
                      </m:fPr>
                      <m:num>
                        <m:sSub>
                          <m:sSubPr>
                            <m:ctrlPr>
                              <w:rPr>
                                <w:rFonts w:ascii="Cambria Math" w:hAnsi="Cambria Math" w:cs="Arial"/>
                                <w:i/>
                                <w:szCs w:val="18"/>
                                <w:lang w:val="en-US"/>
                              </w:rPr>
                            </m:ctrlPr>
                          </m:sSubPr>
                          <m:e>
                            <m:r>
                              <w:rPr>
                                <w:rFonts w:ascii="Cambria Math" w:hAnsi="Cambria Math" w:cs="Arial"/>
                                <w:szCs w:val="18"/>
                                <w:lang w:val="en-US"/>
                              </w:rPr>
                              <m:t>D</m:t>
                            </m:r>
                          </m:e>
                          <m:sub>
                            <m:r>
                              <w:rPr>
                                <w:rFonts w:ascii="Cambria Math" w:hAnsi="Cambria Math" w:cs="Arial"/>
                                <w:szCs w:val="18"/>
                                <w:lang w:val="en-US"/>
                              </w:rPr>
                              <m:t>G,LK</m:t>
                            </m:r>
                          </m:sub>
                        </m:sSub>
                        <m:sSub>
                          <m:sSubPr>
                            <m:ctrlPr>
                              <w:rPr>
                                <w:rFonts w:ascii="Cambria Math" w:hAnsi="Cambria Math" w:cs="Arial"/>
                                <w:i/>
                                <w:szCs w:val="18"/>
                                <w:lang w:val="en-US"/>
                              </w:rPr>
                            </m:ctrlPr>
                          </m:sSubPr>
                          <m:e>
                            <m:r>
                              <w:rPr>
                                <w:rFonts w:ascii="Cambria Math" w:hAnsi="Cambria Math" w:cs="Arial"/>
                                <w:szCs w:val="18"/>
                                <w:lang w:val="en-US"/>
                              </w:rPr>
                              <m:t>u</m:t>
                            </m:r>
                          </m:e>
                          <m:sub>
                            <m:r>
                              <w:rPr>
                                <w:rFonts w:ascii="Cambria Math" w:hAnsi="Cambria Math" w:cs="Arial"/>
                                <w:szCs w:val="18"/>
                                <w:lang w:val="en-US"/>
                              </w:rPr>
                              <m:t>H</m:t>
                            </m:r>
                          </m:sub>
                        </m:sSub>
                      </m:num>
                      <m:den>
                        <m:r>
                          <w:rPr>
                            <w:rFonts w:ascii="Cambria Math" w:hAnsi="Cambria Math" w:cs="Arial"/>
                            <w:szCs w:val="18"/>
                            <w:lang w:val="en-US"/>
                          </w:rPr>
                          <m:t>π</m:t>
                        </m:r>
                        <m:sSub>
                          <m:sSubPr>
                            <m:ctrlPr>
                              <w:rPr>
                                <w:rFonts w:ascii="Cambria Math" w:hAnsi="Cambria Math" w:cs="Arial"/>
                                <w:i/>
                                <w:szCs w:val="18"/>
                                <w:lang w:val="en-US"/>
                              </w:rPr>
                            </m:ctrlPr>
                          </m:sSubPr>
                          <m:e>
                            <m:r>
                              <w:rPr>
                                <w:rFonts w:ascii="Cambria Math" w:hAnsi="Cambria Math" w:cs="Arial"/>
                                <w:szCs w:val="18"/>
                                <w:lang w:val="en-US"/>
                              </w:rPr>
                              <m:t>d</m:t>
                            </m:r>
                          </m:e>
                          <m:sub>
                            <m:r>
                              <w:rPr>
                                <w:rFonts w:ascii="Cambria Math" w:hAnsi="Cambria Math" w:cs="Arial"/>
                                <w:szCs w:val="18"/>
                                <w:lang w:val="en-US"/>
                              </w:rPr>
                              <m:t>b</m:t>
                            </m:r>
                          </m:sub>
                        </m:sSub>
                      </m:den>
                    </m:f>
                  </m:e>
                </m:rad>
              </m:oMath>
            </m:oMathPara>
          </w:p>
        </w:tc>
        <w:tc>
          <w:tcPr>
            <w:tcW w:w="839" w:type="dxa"/>
            <w:vAlign w:val="center"/>
          </w:tcPr>
          <w:p w14:paraId="5EC9EA7A" w14:textId="77777777" w:rsidR="006F16FF" w:rsidRPr="00FF3F4C" w:rsidRDefault="006F16FF" w:rsidP="008E363C">
            <w:pPr>
              <w:tabs>
                <w:tab w:val="clear" w:pos="7100"/>
              </w:tabs>
              <w:spacing w:line="360" w:lineRule="auto"/>
              <w:jc w:val="right"/>
              <w:rPr>
                <w:rFonts w:cs="Arial"/>
                <w:szCs w:val="18"/>
                <w:lang w:val="en-US"/>
              </w:rPr>
            </w:pPr>
            <w:r w:rsidRPr="00FF3F4C">
              <w:rPr>
                <w:rFonts w:cs="Arial"/>
                <w:szCs w:val="18"/>
                <w:lang w:val="en-US"/>
              </w:rPr>
              <w:t>(</w:t>
            </w:r>
            <w:r>
              <w:rPr>
                <w:rFonts w:cs="Arial"/>
                <w:szCs w:val="18"/>
                <w:lang w:val="en-US"/>
              </w:rPr>
              <w:t>6</w:t>
            </w:r>
            <w:r w:rsidRPr="00FF3F4C">
              <w:rPr>
                <w:rFonts w:cs="Arial"/>
                <w:szCs w:val="18"/>
                <w:lang w:val="en-US"/>
              </w:rPr>
              <w:t>)</w:t>
            </w:r>
          </w:p>
        </w:tc>
      </w:tr>
    </w:tbl>
    <w:p w14:paraId="2AB013F0" w14:textId="77777777" w:rsidR="006F16FF" w:rsidRDefault="006F16FF" w:rsidP="00DF456B">
      <w:pPr>
        <w:pStyle w:val="CETBodytext"/>
        <w:rPr>
          <w:lang w:val="en-GB"/>
        </w:rPr>
      </w:pPr>
      <w:r w:rsidRPr="003F177C">
        <w:rPr>
          <w:lang w:val="en-GB"/>
        </w:rPr>
        <w:t xml:space="preserve">where </w:t>
      </w:r>
      <m:oMath>
        <m:r>
          <m:rPr>
            <m:sty m:val="p"/>
          </m:rPr>
          <w:rPr>
            <w:rFonts w:ascii="Cambria Math" w:hAnsi="Cambria Math"/>
            <w:lang w:val="en-GB"/>
          </w:rPr>
          <m:t>Υ</m:t>
        </m:r>
      </m:oMath>
      <w:r w:rsidRPr="003F177C">
        <w:rPr>
          <w:lang w:val="en-GB"/>
        </w:rPr>
        <w:t xml:space="preserve">  is a constant.</w:t>
      </w:r>
    </w:p>
    <w:p w14:paraId="3FF998EF" w14:textId="5546B1EF" w:rsidR="006F16FF" w:rsidRPr="004B7DF6" w:rsidRDefault="006F16FF" w:rsidP="004B7DF6">
      <w:pPr>
        <w:pStyle w:val="CETBodytext"/>
        <w:numPr>
          <w:ilvl w:val="0"/>
          <w:numId w:val="26"/>
        </w:numPr>
        <w:rPr>
          <w:lang w:val="en-GB"/>
        </w:rPr>
      </w:pPr>
      <w:r w:rsidRPr="004B7DF6">
        <w:rPr>
          <w:lang w:val="en-GB"/>
        </w:rPr>
        <w:t xml:space="preserve">Ranz-Marshall Model </w:t>
      </w:r>
      <w:sdt>
        <w:sdtPr>
          <w:rPr>
            <w:color w:val="000000"/>
            <w:lang w:val="en-GB"/>
          </w:rPr>
          <w:tag w:val="MENDELEY_CITATION_v3_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"/>
          <w:id w:val="-1489788780"/>
          <w:placeholder>
            <w:docPart w:val="DefaultPlaceholder_-1854013440"/>
          </w:placeholder>
        </w:sdtPr>
        <w:sdtEndPr>
          <w:rPr>
            <w:lang w:val="en-US"/>
          </w:rPr>
        </w:sdtEndPr>
        <w:sdtContent>
          <w:r w:rsidR="0048672F" w:rsidRPr="0048672F">
            <w:rPr>
              <w:color w:val="000000"/>
            </w:rPr>
            <w:t>(Ranz &amp; Marshall, 1952)</w:t>
          </w:r>
        </w:sdtContent>
      </w:sdt>
      <w:r w:rsidRPr="004B7DF6">
        <w:rPr>
          <w:lang w:val="en-GB"/>
        </w:rPr>
        <w:t>:</w:t>
      </w:r>
    </w:p>
    <w:p w14:paraId="656CE2E3" w14:textId="77777777" w:rsidR="006F16FF" w:rsidRDefault="006F16FF" w:rsidP="00DF456B">
      <w:pPr>
        <w:pStyle w:val="CETBodytext"/>
        <w:rPr>
          <w:lang w:val="en-GB"/>
        </w:rPr>
      </w:pPr>
      <w:r w:rsidRPr="00842474">
        <w:rPr>
          <w:lang w:val="en-GB"/>
        </w:rPr>
        <w:t>The Ranz-Marshall model uses an analogous approach to that for the Ranz-Marshall heat transfer coefficient model, and it is based on the Sherwood number:</w:t>
      </w:r>
    </w:p>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39"/>
      </w:tblGrid>
      <w:tr w:rsidR="006F16FF" w:rsidRPr="00FF3F4C" w14:paraId="36656988" w14:textId="77777777" w:rsidTr="001B31EB">
        <w:tc>
          <w:tcPr>
            <w:tcW w:w="7655" w:type="dxa"/>
          </w:tcPr>
          <w:p w14:paraId="1D49050B" w14:textId="77777777" w:rsidR="006F16FF" w:rsidRPr="00FF3F4C" w:rsidRDefault="006F16FF" w:rsidP="00B26208">
            <w:pPr>
              <w:tabs>
                <w:tab w:val="clear" w:pos="7100"/>
              </w:tabs>
              <w:spacing w:line="360" w:lineRule="auto"/>
              <w:jc w:val="center"/>
              <w:rPr>
                <w:rFonts w:cs="Arial"/>
                <w:szCs w:val="18"/>
                <w:lang w:val="en-US"/>
              </w:rPr>
            </w:pPr>
            <m:oMathPara>
              <m:oMath>
                <m:r>
                  <w:rPr>
                    <w:rFonts w:ascii="Cambria Math" w:hAnsi="Cambria Math" w:cs="Arial"/>
                    <w:szCs w:val="18"/>
                    <w:lang w:val="en-US"/>
                  </w:rPr>
                  <m:t>Sh=</m:t>
                </m:r>
                <m:f>
                  <m:fPr>
                    <m:ctrlPr>
                      <w:rPr>
                        <w:rFonts w:ascii="Cambria Math" w:hAnsi="Cambria Math" w:cs="Arial"/>
                        <w:i/>
                        <w:szCs w:val="18"/>
                        <w:lang w:val="en-US"/>
                      </w:rPr>
                    </m:ctrlPr>
                  </m:fPr>
                  <m:num>
                    <m:sSub>
                      <m:sSubPr>
                        <m:ctrlPr>
                          <w:rPr>
                            <w:rFonts w:ascii="Cambria Math"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m</m:t>
                        </m:r>
                      </m:sub>
                    </m:sSub>
                    <m:sSub>
                      <m:sSubPr>
                        <m:ctrlPr>
                          <w:rPr>
                            <w:rFonts w:ascii="Cambria Math" w:hAnsi="Cambria Math" w:cs="Arial"/>
                            <w:i/>
                            <w:szCs w:val="18"/>
                            <w:lang w:val="en-US"/>
                          </w:rPr>
                        </m:ctrlPr>
                      </m:sSubPr>
                      <m:e>
                        <m:r>
                          <w:rPr>
                            <w:rFonts w:ascii="Cambria Math" w:hAnsi="Cambria Math" w:cs="Arial"/>
                            <w:szCs w:val="18"/>
                            <w:lang w:val="en-US"/>
                          </w:rPr>
                          <m:t>L</m:t>
                        </m:r>
                      </m:e>
                      <m:sub>
                        <m:r>
                          <w:rPr>
                            <w:rFonts w:ascii="Cambria Math" w:hAnsi="Cambria Math" w:cs="Arial"/>
                            <w:szCs w:val="18"/>
                            <w:lang w:val="en-US"/>
                          </w:rPr>
                          <m:t>G</m:t>
                        </m:r>
                      </m:sub>
                    </m:sSub>
                  </m:num>
                  <m:den>
                    <m:sSub>
                      <m:sSubPr>
                        <m:ctrlPr>
                          <w:rPr>
                            <w:rFonts w:ascii="Cambria Math" w:hAnsi="Cambria Math" w:cs="Arial"/>
                            <w:i/>
                            <w:szCs w:val="18"/>
                            <w:lang w:val="en-US"/>
                          </w:rPr>
                        </m:ctrlPr>
                      </m:sSubPr>
                      <m:e>
                        <m:r>
                          <w:rPr>
                            <w:rFonts w:ascii="Cambria Math" w:hAnsi="Cambria Math" w:cs="Arial"/>
                            <w:szCs w:val="18"/>
                            <w:lang w:val="en-US"/>
                          </w:rPr>
                          <m:t>D</m:t>
                        </m:r>
                      </m:e>
                      <m:sub>
                        <m:r>
                          <w:rPr>
                            <w:rFonts w:ascii="Cambria Math" w:hAnsi="Cambria Math" w:cs="Arial"/>
                            <w:szCs w:val="18"/>
                            <w:lang w:val="en-US"/>
                          </w:rPr>
                          <m:t>G</m:t>
                        </m:r>
                      </m:sub>
                    </m:sSub>
                  </m:den>
                </m:f>
                <m:r>
                  <w:rPr>
                    <w:rFonts w:ascii="Cambria Math" w:hAnsi="Cambria Math" w:cs="Arial"/>
                    <w:szCs w:val="18"/>
                    <w:lang w:val="en-US"/>
                  </w:rPr>
                  <m:t>=2+0.6</m:t>
                </m:r>
                <m:sSubSup>
                  <m:sSubSupPr>
                    <m:ctrlPr>
                      <w:rPr>
                        <w:rFonts w:ascii="Cambria Math" w:hAnsi="Cambria Math" w:cs="Arial"/>
                        <w:i/>
                        <w:szCs w:val="18"/>
                        <w:lang w:val="en-US"/>
                      </w:rPr>
                    </m:ctrlPr>
                  </m:sSubSupPr>
                  <m:e>
                    <m:r>
                      <w:rPr>
                        <w:rFonts w:ascii="Cambria Math" w:hAnsi="Cambria Math" w:cs="Arial"/>
                        <w:szCs w:val="18"/>
                        <w:lang w:val="en-US"/>
                      </w:rPr>
                      <m:t>Re</m:t>
                    </m:r>
                  </m:e>
                  <m:sub>
                    <m:r>
                      <w:rPr>
                        <w:rFonts w:ascii="Cambria Math" w:hAnsi="Cambria Math" w:cs="Arial"/>
                        <w:szCs w:val="18"/>
                        <w:lang w:val="en-US"/>
                      </w:rPr>
                      <m:t>G</m:t>
                    </m:r>
                  </m:sub>
                  <m:sup>
                    <m:r>
                      <w:rPr>
                        <w:rFonts w:ascii="Cambria Math" w:hAnsi="Cambria Math" w:cs="Arial"/>
                        <w:szCs w:val="18"/>
                        <w:lang w:val="en-US"/>
                      </w:rPr>
                      <m:t>1/2</m:t>
                    </m:r>
                  </m:sup>
                </m:sSubSup>
                <m:sSubSup>
                  <m:sSubSupPr>
                    <m:ctrlPr>
                      <w:rPr>
                        <w:rFonts w:ascii="Cambria Math" w:hAnsi="Cambria Math" w:cs="Arial"/>
                        <w:i/>
                        <w:szCs w:val="18"/>
                        <w:lang w:val="en-US"/>
                      </w:rPr>
                    </m:ctrlPr>
                  </m:sSubSupPr>
                  <m:e>
                    <m:r>
                      <w:rPr>
                        <w:rFonts w:ascii="Cambria Math" w:hAnsi="Cambria Math" w:cs="Arial"/>
                        <w:szCs w:val="18"/>
                        <w:lang w:val="en-US"/>
                      </w:rPr>
                      <m:t>Sc</m:t>
                    </m:r>
                  </m:e>
                  <m:sub>
                    <m:r>
                      <w:rPr>
                        <w:rFonts w:ascii="Cambria Math" w:hAnsi="Cambria Math" w:cs="Arial"/>
                        <w:szCs w:val="18"/>
                        <w:lang w:val="en-US"/>
                      </w:rPr>
                      <m:t>G</m:t>
                    </m:r>
                  </m:sub>
                  <m:sup>
                    <m:r>
                      <w:rPr>
                        <w:rFonts w:ascii="Cambria Math" w:hAnsi="Cambria Math" w:cs="Arial"/>
                        <w:szCs w:val="18"/>
                        <w:lang w:val="en-US"/>
                      </w:rPr>
                      <m:t>1/3</m:t>
                    </m:r>
                  </m:sup>
                </m:sSubSup>
              </m:oMath>
            </m:oMathPara>
          </w:p>
        </w:tc>
        <w:tc>
          <w:tcPr>
            <w:tcW w:w="839" w:type="dxa"/>
            <w:vAlign w:val="center"/>
          </w:tcPr>
          <w:p w14:paraId="15534406" w14:textId="77777777" w:rsidR="006F16FF" w:rsidRPr="00FF3F4C" w:rsidRDefault="006F16FF" w:rsidP="00B26208">
            <w:pPr>
              <w:tabs>
                <w:tab w:val="clear" w:pos="7100"/>
              </w:tabs>
              <w:spacing w:line="360" w:lineRule="auto"/>
              <w:jc w:val="right"/>
              <w:rPr>
                <w:rFonts w:cs="Arial"/>
                <w:szCs w:val="18"/>
                <w:lang w:val="en-US"/>
              </w:rPr>
            </w:pPr>
            <w:r w:rsidRPr="00FF3F4C">
              <w:rPr>
                <w:rFonts w:cs="Arial"/>
                <w:szCs w:val="18"/>
                <w:lang w:val="en-US"/>
              </w:rPr>
              <w:t>(</w:t>
            </w:r>
            <w:r>
              <w:rPr>
                <w:rFonts w:cs="Arial"/>
                <w:szCs w:val="18"/>
                <w:lang w:val="en-US"/>
              </w:rPr>
              <w:t>7</w:t>
            </w:r>
            <w:r w:rsidRPr="00FF3F4C">
              <w:rPr>
                <w:rFonts w:cs="Arial"/>
                <w:szCs w:val="18"/>
                <w:lang w:val="en-US"/>
              </w:rPr>
              <w:t>)</w:t>
            </w:r>
          </w:p>
        </w:tc>
      </w:tr>
    </w:tbl>
    <w:p w14:paraId="6B8E4797" w14:textId="77777777" w:rsidR="006F16FF" w:rsidRPr="00645831" w:rsidRDefault="006F16FF" w:rsidP="00DF456B">
      <w:pPr>
        <w:pStyle w:val="CETBodytext"/>
      </w:pPr>
      <w:r w:rsidRPr="00344B4D">
        <w:rPr>
          <w:lang w:val="en-GB"/>
        </w:rPr>
        <w:t xml:space="preserve">where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m</m:t>
            </m:r>
          </m:sub>
        </m:sSub>
      </m:oMath>
      <w:r w:rsidRPr="00344B4D">
        <w:rPr>
          <w:lang w:val="en-GB"/>
        </w:rPr>
        <w:t xml:space="preserve"> is the mass transfer coefficient in the gas phase,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G</m:t>
            </m:r>
          </m:sub>
        </m:sSub>
      </m:oMath>
      <w:r w:rsidRPr="00344B4D">
        <w:rPr>
          <w:lang w:val="en-GB"/>
        </w:rPr>
        <w:t xml:space="preserve"> is the diffusivity of the gas phase,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G</m:t>
            </m:r>
          </m:sub>
        </m:sSub>
      </m:oMath>
      <w:r w:rsidRPr="00344B4D">
        <w:rPr>
          <w:lang w:val="en-GB"/>
        </w:rPr>
        <w:t xml:space="preserve"> is a characteristic length (such as a bubble diameter), </w:t>
      </w:r>
      <m:oMath>
        <m:sSub>
          <m:sSubPr>
            <m:ctrlPr>
              <w:rPr>
                <w:rFonts w:ascii="Cambria Math" w:hAnsi="Cambria Math"/>
                <w:i/>
                <w:lang w:val="en-GB"/>
              </w:rPr>
            </m:ctrlPr>
          </m:sSubPr>
          <m:e>
            <m:r>
              <w:rPr>
                <w:rFonts w:ascii="Cambria Math" w:hAnsi="Cambria Math"/>
                <w:lang w:val="en-GB"/>
              </w:rPr>
              <m:t>Sc</m:t>
            </m:r>
          </m:e>
          <m:sub>
            <m:r>
              <w:rPr>
                <w:rFonts w:ascii="Cambria Math" w:hAnsi="Cambria Math"/>
                <w:lang w:val="en-GB"/>
              </w:rPr>
              <m:t>G</m:t>
            </m:r>
          </m:sub>
        </m:sSub>
      </m:oMath>
      <w:r w:rsidRPr="00344B4D">
        <w:rPr>
          <w:lang w:val="en-GB"/>
        </w:rPr>
        <w:t xml:space="preserve"> and </w:t>
      </w:r>
      <m:oMath>
        <m:sSub>
          <m:sSubPr>
            <m:ctrlPr>
              <w:rPr>
                <w:rFonts w:ascii="Cambria Math" w:hAnsi="Cambria Math"/>
                <w:i/>
                <w:lang w:val="en-GB"/>
              </w:rPr>
            </m:ctrlPr>
          </m:sSubPr>
          <m:e>
            <m:r>
              <w:rPr>
                <w:rFonts w:ascii="Cambria Math" w:hAnsi="Cambria Math"/>
                <w:lang w:val="en-GB"/>
              </w:rPr>
              <m:t>Re</m:t>
            </m:r>
          </m:e>
          <m:sub>
            <m:r>
              <w:rPr>
                <w:rFonts w:ascii="Cambria Math" w:hAnsi="Cambria Math"/>
                <w:lang w:val="en-GB"/>
              </w:rPr>
              <m:t>G</m:t>
            </m:r>
          </m:sub>
        </m:sSub>
      </m:oMath>
      <w:r w:rsidRPr="00344B4D">
        <w:rPr>
          <w:lang w:val="en-GB"/>
        </w:rPr>
        <w:t xml:space="preserve"> are the Schmidt and Reynolds number of the gas phase.</w:t>
      </w:r>
    </w:p>
    <w:p w14:paraId="4C5D6D1B" w14:textId="77777777" w:rsidR="006F16FF" w:rsidRDefault="006F16FF" w:rsidP="00600535">
      <w:pPr>
        <w:pStyle w:val="CETHeading1"/>
        <w:tabs>
          <w:tab w:val="clear" w:pos="360"/>
          <w:tab w:val="right" w:pos="7100"/>
        </w:tabs>
        <w:jc w:val="both"/>
        <w:rPr>
          <w:lang w:val="en-GB"/>
        </w:rPr>
      </w:pPr>
      <w:r>
        <w:rPr>
          <w:lang w:val="en-GB"/>
        </w:rPr>
        <w:t>Simulation details</w:t>
      </w:r>
    </w:p>
    <w:p w14:paraId="372F8B63" w14:textId="77777777" w:rsidR="006F16FF" w:rsidRDefault="006F16FF" w:rsidP="0056296F">
      <w:pPr>
        <w:pStyle w:val="CETBodytext"/>
      </w:pPr>
      <w:r>
        <w:t>Two types of simulation were performed in this study to quantitatively analyze the operation of the T-HIDiC unit:</w:t>
      </w:r>
    </w:p>
    <w:p w14:paraId="360321FE" w14:textId="77777777" w:rsidR="006F16FF" w:rsidRDefault="006F16FF" w:rsidP="008F6563">
      <w:pPr>
        <w:pStyle w:val="CETBodytext"/>
        <w:numPr>
          <w:ilvl w:val="0"/>
          <w:numId w:val="24"/>
        </w:numPr>
      </w:pPr>
      <w:r>
        <w:t>Conventional or classic process simulation (Aspen Plus®)</w:t>
      </w:r>
    </w:p>
    <w:p w14:paraId="313BDCA0" w14:textId="77777777" w:rsidR="006F16FF" w:rsidRPr="00E843D1" w:rsidRDefault="006F16FF" w:rsidP="008F6563">
      <w:pPr>
        <w:pStyle w:val="CETBodytext"/>
        <w:numPr>
          <w:ilvl w:val="0"/>
          <w:numId w:val="24"/>
        </w:numPr>
      </w:pPr>
      <w:r>
        <w:t>CFD Simulations (Ansys Fluent®)</w:t>
      </w:r>
    </w:p>
    <w:p w14:paraId="608BA750" w14:textId="77777777" w:rsidR="006F16FF" w:rsidRPr="00B57B36" w:rsidRDefault="006F16FF" w:rsidP="00FA5F5F">
      <w:pPr>
        <w:pStyle w:val="CETheadingx"/>
      </w:pPr>
      <w:r>
        <w:t>Simulation in Aspen Plus</w:t>
      </w:r>
    </w:p>
    <w:p w14:paraId="689E82F3" w14:textId="39F9C0CA" w:rsidR="006F16FF" w:rsidRDefault="006F16FF" w:rsidP="0053163C">
      <w:pPr>
        <w:pStyle w:val="CETBodytext"/>
        <w:rPr>
          <w:lang w:val="en-GB"/>
        </w:rPr>
      </w:pPr>
      <w:r w:rsidRPr="003B0C12">
        <w:rPr>
          <w:lang w:val="en-GB"/>
        </w:rPr>
        <w:t xml:space="preserve">Conditions used for this setup of the process simulation are based on our previous work </w:t>
      </w:r>
      <w:sdt>
        <w:sdtPr>
          <w:rPr>
            <w:color w:val="000000"/>
            <w:lang w:val="en-GB"/>
          </w:rPr>
          <w:tag w:val="MENDELEY_CITATION_v3_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"/>
          <w:id w:val="1886831359"/>
          <w:placeholder>
            <w:docPart w:val="DefaultPlaceholder_-1854013440"/>
          </w:placeholder>
        </w:sdtPr>
        <w:sdtEndPr>
          <w:rPr>
            <w:lang w:val="en-US"/>
          </w:rPr>
        </w:sdtEndPr>
        <w:sdtContent>
          <w:r w:rsidR="0048672F" w:rsidRPr="0048672F">
            <w:rPr>
              <w:color w:val="000000"/>
            </w:rPr>
            <w:t>(Mancera et al., 2018b)</w:t>
          </w:r>
        </w:sdtContent>
      </w:sdt>
      <w:r w:rsidRPr="003B0C12">
        <w:rPr>
          <w:lang w:val="en-GB"/>
        </w:rPr>
        <w:t>. The T-HIDiC unit was simulated using Aspen Plus 1</w:t>
      </w:r>
      <w:r>
        <w:rPr>
          <w:lang w:val="en-GB"/>
        </w:rPr>
        <w:t>0</w:t>
      </w:r>
      <w:r w:rsidRPr="003B0C12">
        <w:rPr>
          <w:lang w:val="en-GB"/>
        </w:rPr>
        <w:t>. The Propylene-Propane system properties including vapor-liquid equilibrium data were estimated with Peng-Robinson’s model. The simulations were performed in steady state, using isentropic efficiency in the compressor, and avoiding heat flow between system and surroundings.</w:t>
      </w:r>
    </w:p>
    <w:p w14:paraId="24128AC8" w14:textId="77777777" w:rsidR="006F16FF" w:rsidRPr="00B57B36" w:rsidRDefault="006F16FF" w:rsidP="00FA5F5F">
      <w:pPr>
        <w:pStyle w:val="CETheadingx"/>
      </w:pPr>
      <w:r>
        <w:t>CFD Simulation</w:t>
      </w:r>
    </w:p>
    <w:p w14:paraId="7662E0B6" w14:textId="59EF6975" w:rsidR="006F16FF" w:rsidRDefault="006F16FF" w:rsidP="00F66395">
      <w:pPr>
        <w:pStyle w:val="ListParagraph"/>
        <w:ind w:left="0"/>
      </w:pPr>
      <w:r w:rsidRPr="00584CE3">
        <w:t xml:space="preserve">For the geometrical configuration of the tray, concepts of distillation column design and data available in the literature for calculating the diameter of holes and landfills were used </w:t>
      </w:r>
      <w:sdt>
        <w:sdtPr>
          <w:rPr>
            <w:color w:val="000000"/>
          </w:rPr>
          <w:tag w:val="MENDELEY_CITATION_v3_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"/>
          <w:id w:val="-1934819451"/>
          <w:placeholder>
            <w:docPart w:val="DefaultPlaceholder_-1854013440"/>
          </w:placeholder>
        </w:sdtPr>
        <w:sdtContent>
          <w:r w:rsidR="00213F62" w:rsidRPr="00213F62">
            <w:rPr>
              <w:color w:val="000000"/>
            </w:rPr>
            <w:t>(Lockett, 1986)</w:t>
          </w:r>
        </w:sdtContent>
      </w:sdt>
      <w:r w:rsidRPr="00584CE3">
        <w:t xml:space="preserve">. The mains details of the sieve tray used are reported in Table </w:t>
      </w:r>
      <w:r>
        <w:t>1</w:t>
      </w:r>
      <w:r w:rsidRPr="00584CE3">
        <w:t>.</w:t>
      </w:r>
    </w:p>
    <w:p w14:paraId="4A539FF3" w14:textId="77777777" w:rsidR="006F16FF" w:rsidRDefault="006F16FF" w:rsidP="003815B1">
      <w:pPr>
        <w:pStyle w:val="CETTabletitle"/>
      </w:pPr>
      <w:r>
        <w:t xml:space="preserve">Table1. </w:t>
      </w:r>
      <w:r w:rsidRPr="003815B1">
        <w:rPr>
          <w:lang w:val="en-US"/>
        </w:rPr>
        <w:t>Geometrical parameters of the T-HIDiC simulated trays</w:t>
      </w:r>
    </w:p>
    <w:tbl>
      <w:tblPr>
        <w:tblStyle w:val="TableGrid22"/>
        <w:tblW w:w="0" w:type="auto"/>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ook w:val="04A0" w:firstRow="1" w:lastRow="0" w:firstColumn="1" w:lastColumn="0" w:noHBand="0" w:noVBand="1"/>
      </w:tblPr>
      <w:tblGrid>
        <w:gridCol w:w="2449"/>
        <w:gridCol w:w="1940"/>
        <w:gridCol w:w="2341"/>
      </w:tblGrid>
      <w:tr w:rsidR="006F16FF" w:rsidRPr="003815B1" w14:paraId="6CFB33AE" w14:textId="77777777" w:rsidTr="00FF3F4C">
        <w:trPr>
          <w:trHeight w:val="227"/>
        </w:trPr>
        <w:tc>
          <w:tcPr>
            <w:tcW w:w="2449" w:type="dxa"/>
            <w:vMerge w:val="restart"/>
            <w:tcBorders>
              <w:top w:val="single" w:sz="12" w:space="0" w:color="008000"/>
              <w:bottom w:val="single" w:sz="4" w:space="0" w:color="008000"/>
            </w:tcBorders>
            <w:vAlign w:val="center"/>
          </w:tcPr>
          <w:p w14:paraId="052C149B" w14:textId="77777777" w:rsidR="006F16FF" w:rsidRPr="003815B1" w:rsidRDefault="006F16FF" w:rsidP="00C25198">
            <w:pPr>
              <w:pStyle w:val="CETBodytext"/>
              <w:spacing w:line="240" w:lineRule="auto"/>
              <w:rPr>
                <w:lang w:val="en-GB" w:eastAsia="en-US"/>
              </w:rPr>
            </w:pPr>
            <w:r w:rsidRPr="003815B1">
              <w:rPr>
                <w:lang w:val="en-GB" w:eastAsia="en-US"/>
              </w:rPr>
              <w:t>Geometry</w:t>
            </w:r>
          </w:p>
        </w:tc>
        <w:tc>
          <w:tcPr>
            <w:tcW w:w="1940" w:type="dxa"/>
            <w:tcBorders>
              <w:top w:val="single" w:sz="12" w:space="0" w:color="008000"/>
              <w:bottom w:val="nil"/>
            </w:tcBorders>
            <w:vAlign w:val="center"/>
          </w:tcPr>
          <w:p w14:paraId="071F444C" w14:textId="77777777" w:rsidR="006F16FF" w:rsidRPr="003815B1" w:rsidRDefault="006F16FF" w:rsidP="00C25198">
            <w:pPr>
              <w:pStyle w:val="CETBodytext"/>
              <w:spacing w:line="240" w:lineRule="auto"/>
              <w:rPr>
                <w:lang w:val="en-GB" w:eastAsia="en-US"/>
              </w:rPr>
            </w:pPr>
            <w:r w:rsidRPr="003815B1">
              <w:rPr>
                <w:lang w:val="en-GB" w:eastAsia="en-US"/>
              </w:rPr>
              <w:t>Stripping section</w:t>
            </w:r>
          </w:p>
        </w:tc>
        <w:tc>
          <w:tcPr>
            <w:tcW w:w="2341" w:type="dxa"/>
            <w:tcBorders>
              <w:top w:val="single" w:sz="12" w:space="0" w:color="008000"/>
              <w:bottom w:val="nil"/>
            </w:tcBorders>
            <w:vAlign w:val="center"/>
          </w:tcPr>
          <w:p w14:paraId="558BBDBF" w14:textId="77777777" w:rsidR="006F16FF" w:rsidRPr="003815B1" w:rsidRDefault="006F16FF" w:rsidP="00C25198">
            <w:pPr>
              <w:pStyle w:val="CETBodytext"/>
              <w:spacing w:line="240" w:lineRule="auto"/>
              <w:rPr>
                <w:lang w:val="en-GB" w:eastAsia="en-US"/>
              </w:rPr>
            </w:pPr>
            <w:r w:rsidRPr="003815B1">
              <w:rPr>
                <w:lang w:val="en-GB" w:eastAsia="en-US"/>
              </w:rPr>
              <w:t>Rectification section</w:t>
            </w:r>
          </w:p>
        </w:tc>
      </w:tr>
      <w:tr w:rsidR="006F16FF" w:rsidRPr="00EF3DDA" w14:paraId="6F0DE4C9" w14:textId="77777777" w:rsidTr="00FF3F4C">
        <w:trPr>
          <w:trHeight w:val="227"/>
        </w:trPr>
        <w:tc>
          <w:tcPr>
            <w:tcW w:w="2449" w:type="dxa"/>
            <w:vMerge/>
            <w:tcBorders>
              <w:top w:val="nil"/>
              <w:bottom w:val="single" w:sz="4" w:space="0" w:color="008000"/>
            </w:tcBorders>
            <w:vAlign w:val="center"/>
          </w:tcPr>
          <w:p w14:paraId="7BFA9E9B" w14:textId="77777777" w:rsidR="006F16FF" w:rsidRPr="00EF3DDA" w:rsidRDefault="006F16FF" w:rsidP="00C25198">
            <w:pPr>
              <w:tabs>
                <w:tab w:val="clear" w:pos="7100"/>
              </w:tabs>
              <w:spacing w:line="240" w:lineRule="auto"/>
              <w:jc w:val="center"/>
              <w:rPr>
                <w:b/>
                <w:bCs/>
                <w:szCs w:val="18"/>
                <w:lang w:val="en-US"/>
              </w:rPr>
            </w:pPr>
          </w:p>
        </w:tc>
        <w:tc>
          <w:tcPr>
            <w:tcW w:w="1940" w:type="dxa"/>
            <w:tcBorders>
              <w:top w:val="nil"/>
              <w:bottom w:val="single" w:sz="4" w:space="0" w:color="008000"/>
            </w:tcBorders>
            <w:vAlign w:val="center"/>
          </w:tcPr>
          <w:p w14:paraId="58A39F03" w14:textId="77777777" w:rsidR="006F16FF" w:rsidRPr="00EF3DDA" w:rsidRDefault="006F16FF" w:rsidP="00C25198">
            <w:pPr>
              <w:tabs>
                <w:tab w:val="clear" w:pos="7100"/>
              </w:tabs>
              <w:spacing w:line="240" w:lineRule="auto"/>
              <w:jc w:val="center"/>
              <w:rPr>
                <w:b/>
                <w:bCs/>
                <w:szCs w:val="18"/>
                <w:lang w:val="en-US"/>
              </w:rPr>
            </w:pPr>
            <w:r w:rsidRPr="00EF3DDA">
              <w:rPr>
                <w:b/>
                <w:bCs/>
                <w:szCs w:val="18"/>
                <w:lang w:val="en-US"/>
              </w:rPr>
              <w:t>Dimension</w:t>
            </w:r>
          </w:p>
        </w:tc>
        <w:tc>
          <w:tcPr>
            <w:tcW w:w="2341" w:type="dxa"/>
            <w:tcBorders>
              <w:top w:val="nil"/>
              <w:bottom w:val="single" w:sz="4" w:space="0" w:color="008000"/>
            </w:tcBorders>
            <w:vAlign w:val="center"/>
          </w:tcPr>
          <w:p w14:paraId="181815ED" w14:textId="77777777" w:rsidR="006F16FF" w:rsidRPr="00EF3DDA" w:rsidRDefault="006F16FF" w:rsidP="00C25198">
            <w:pPr>
              <w:tabs>
                <w:tab w:val="clear" w:pos="7100"/>
              </w:tabs>
              <w:spacing w:line="240" w:lineRule="auto"/>
              <w:jc w:val="center"/>
              <w:rPr>
                <w:b/>
                <w:bCs/>
                <w:szCs w:val="18"/>
                <w:lang w:val="en-US"/>
              </w:rPr>
            </w:pPr>
            <w:r w:rsidRPr="00EF3DDA">
              <w:rPr>
                <w:b/>
                <w:bCs/>
                <w:szCs w:val="18"/>
                <w:lang w:val="en-US"/>
              </w:rPr>
              <w:t>Dimension</w:t>
            </w:r>
          </w:p>
        </w:tc>
      </w:tr>
      <w:tr w:rsidR="006F16FF" w:rsidRPr="00EF3DDA" w14:paraId="2754E5D4" w14:textId="77777777" w:rsidTr="00FF3F4C">
        <w:trPr>
          <w:trHeight w:val="218"/>
        </w:trPr>
        <w:tc>
          <w:tcPr>
            <w:tcW w:w="2449" w:type="dxa"/>
            <w:tcBorders>
              <w:top w:val="single" w:sz="4" w:space="0" w:color="008000"/>
            </w:tcBorders>
            <w:vAlign w:val="center"/>
          </w:tcPr>
          <w:p w14:paraId="030EDC00" w14:textId="77777777" w:rsidR="006F16FF" w:rsidRPr="00EF3DDA" w:rsidRDefault="006F16FF" w:rsidP="00C25198">
            <w:pPr>
              <w:tabs>
                <w:tab w:val="clear" w:pos="7100"/>
              </w:tabs>
              <w:spacing w:line="240" w:lineRule="auto"/>
              <w:rPr>
                <w:szCs w:val="18"/>
                <w:lang w:val="en-US"/>
              </w:rPr>
            </w:pPr>
            <w:r w:rsidRPr="00EF3DDA">
              <w:rPr>
                <w:szCs w:val="18"/>
                <w:lang w:val="en-US"/>
              </w:rPr>
              <w:t>Outside tray diameter</w:t>
            </w:r>
          </w:p>
        </w:tc>
        <w:tc>
          <w:tcPr>
            <w:tcW w:w="1940" w:type="dxa"/>
            <w:tcBorders>
              <w:top w:val="single" w:sz="4" w:space="0" w:color="008000"/>
            </w:tcBorders>
            <w:vAlign w:val="center"/>
          </w:tcPr>
          <w:p w14:paraId="6C1A8B8B" w14:textId="77777777" w:rsidR="006F16FF" w:rsidRPr="00EF3DDA" w:rsidRDefault="006F16FF" w:rsidP="00C25198">
            <w:pPr>
              <w:tabs>
                <w:tab w:val="clear" w:pos="7100"/>
              </w:tabs>
              <w:spacing w:line="240" w:lineRule="auto"/>
              <w:jc w:val="center"/>
              <w:rPr>
                <w:szCs w:val="18"/>
                <w:lang w:val="en-US"/>
              </w:rPr>
            </w:pPr>
            <w:r w:rsidRPr="00EF3DDA">
              <w:rPr>
                <w:szCs w:val="18"/>
                <w:lang w:val="en-US"/>
              </w:rPr>
              <w:t>0.32 m</w:t>
            </w:r>
          </w:p>
        </w:tc>
        <w:tc>
          <w:tcPr>
            <w:tcW w:w="2341" w:type="dxa"/>
            <w:tcBorders>
              <w:top w:val="single" w:sz="4" w:space="0" w:color="008000"/>
            </w:tcBorders>
            <w:vAlign w:val="center"/>
          </w:tcPr>
          <w:p w14:paraId="51683F65" w14:textId="77777777" w:rsidR="006F16FF" w:rsidRPr="00EF3DDA" w:rsidRDefault="006F16FF" w:rsidP="00C25198">
            <w:pPr>
              <w:tabs>
                <w:tab w:val="clear" w:pos="7100"/>
              </w:tabs>
              <w:spacing w:line="240" w:lineRule="auto"/>
              <w:jc w:val="center"/>
              <w:rPr>
                <w:szCs w:val="18"/>
                <w:lang w:val="en-US"/>
              </w:rPr>
            </w:pPr>
            <w:r w:rsidRPr="00EF3DDA">
              <w:rPr>
                <w:szCs w:val="18"/>
                <w:lang w:val="en-US"/>
              </w:rPr>
              <w:t>0.2 m</w:t>
            </w:r>
          </w:p>
        </w:tc>
      </w:tr>
      <w:tr w:rsidR="006F16FF" w:rsidRPr="00EF3DDA" w14:paraId="04580FAD" w14:textId="77777777" w:rsidTr="00DB4DEC">
        <w:trPr>
          <w:trHeight w:val="284"/>
        </w:trPr>
        <w:tc>
          <w:tcPr>
            <w:tcW w:w="2449" w:type="dxa"/>
            <w:vAlign w:val="center"/>
          </w:tcPr>
          <w:p w14:paraId="7F01AB36" w14:textId="77777777" w:rsidR="006F16FF" w:rsidRPr="00EF3DDA" w:rsidRDefault="006F16FF" w:rsidP="00C25198">
            <w:pPr>
              <w:tabs>
                <w:tab w:val="clear" w:pos="7100"/>
              </w:tabs>
              <w:spacing w:line="240" w:lineRule="auto"/>
              <w:rPr>
                <w:szCs w:val="18"/>
                <w:lang w:val="en-US"/>
              </w:rPr>
            </w:pPr>
            <w:r w:rsidRPr="00EF3DDA">
              <w:rPr>
                <w:szCs w:val="18"/>
                <w:lang w:val="en-US"/>
              </w:rPr>
              <w:t>Inside Diameter tray</w:t>
            </w:r>
          </w:p>
        </w:tc>
        <w:tc>
          <w:tcPr>
            <w:tcW w:w="1940" w:type="dxa"/>
            <w:vAlign w:val="center"/>
          </w:tcPr>
          <w:p w14:paraId="7E123578" w14:textId="77777777" w:rsidR="006F16FF" w:rsidRPr="00EF3DDA" w:rsidRDefault="006F16FF" w:rsidP="00C25198">
            <w:pPr>
              <w:tabs>
                <w:tab w:val="clear" w:pos="7100"/>
              </w:tabs>
              <w:spacing w:line="240" w:lineRule="auto"/>
              <w:jc w:val="center"/>
              <w:rPr>
                <w:szCs w:val="18"/>
                <w:lang w:val="en-US"/>
              </w:rPr>
            </w:pPr>
            <w:r w:rsidRPr="00EF3DDA">
              <w:rPr>
                <w:szCs w:val="18"/>
                <w:lang w:val="en-US"/>
              </w:rPr>
              <w:t>0.22 m</w:t>
            </w:r>
          </w:p>
        </w:tc>
        <w:tc>
          <w:tcPr>
            <w:tcW w:w="2341" w:type="dxa"/>
            <w:vAlign w:val="center"/>
          </w:tcPr>
          <w:p w14:paraId="1B9A2A5E" w14:textId="77777777" w:rsidR="006F16FF" w:rsidRPr="00EF3DDA" w:rsidRDefault="006F16FF" w:rsidP="00C25198">
            <w:pPr>
              <w:tabs>
                <w:tab w:val="clear" w:pos="7100"/>
              </w:tabs>
              <w:spacing w:line="240" w:lineRule="auto"/>
              <w:jc w:val="center"/>
              <w:rPr>
                <w:szCs w:val="18"/>
                <w:lang w:val="en-US"/>
              </w:rPr>
            </w:pPr>
            <w:r w:rsidRPr="00EF3DDA">
              <w:rPr>
                <w:szCs w:val="18"/>
                <w:lang w:val="en-US"/>
              </w:rPr>
              <w:t>--</w:t>
            </w:r>
          </w:p>
        </w:tc>
      </w:tr>
      <w:tr w:rsidR="006F16FF" w:rsidRPr="00EF3DDA" w14:paraId="42D09A40" w14:textId="77777777" w:rsidTr="00FF3F4C">
        <w:trPr>
          <w:trHeight w:val="227"/>
        </w:trPr>
        <w:tc>
          <w:tcPr>
            <w:tcW w:w="2449" w:type="dxa"/>
            <w:vAlign w:val="center"/>
          </w:tcPr>
          <w:p w14:paraId="415E03D0" w14:textId="77777777" w:rsidR="006F16FF" w:rsidRPr="00EF3DDA" w:rsidRDefault="006F16FF" w:rsidP="00C25198">
            <w:pPr>
              <w:tabs>
                <w:tab w:val="clear" w:pos="7100"/>
              </w:tabs>
              <w:spacing w:line="240" w:lineRule="auto"/>
              <w:rPr>
                <w:szCs w:val="18"/>
                <w:lang w:val="en-US"/>
              </w:rPr>
            </w:pPr>
            <w:r w:rsidRPr="00EF3DDA">
              <w:rPr>
                <w:szCs w:val="18"/>
                <w:lang w:val="en-US"/>
              </w:rPr>
              <w:t>Tray spacing</w:t>
            </w:r>
          </w:p>
        </w:tc>
        <w:tc>
          <w:tcPr>
            <w:tcW w:w="1940" w:type="dxa"/>
            <w:vAlign w:val="center"/>
          </w:tcPr>
          <w:p w14:paraId="4EC52398" w14:textId="77777777" w:rsidR="006F16FF" w:rsidRPr="00EF3DDA" w:rsidRDefault="006F16FF" w:rsidP="00C25198">
            <w:pPr>
              <w:tabs>
                <w:tab w:val="clear" w:pos="7100"/>
              </w:tabs>
              <w:spacing w:line="240" w:lineRule="auto"/>
              <w:jc w:val="center"/>
              <w:rPr>
                <w:szCs w:val="18"/>
                <w:lang w:val="en-US"/>
              </w:rPr>
            </w:pPr>
            <w:r w:rsidRPr="00EF3DDA">
              <w:rPr>
                <w:szCs w:val="18"/>
                <w:lang w:val="en-US"/>
              </w:rPr>
              <w:t>0.2 m</w:t>
            </w:r>
          </w:p>
        </w:tc>
        <w:tc>
          <w:tcPr>
            <w:tcW w:w="2341" w:type="dxa"/>
            <w:vAlign w:val="center"/>
          </w:tcPr>
          <w:p w14:paraId="7BF360AC" w14:textId="77777777" w:rsidR="006F16FF" w:rsidRPr="00EF3DDA" w:rsidRDefault="006F16FF" w:rsidP="00C25198">
            <w:pPr>
              <w:tabs>
                <w:tab w:val="clear" w:pos="7100"/>
              </w:tabs>
              <w:spacing w:line="240" w:lineRule="auto"/>
              <w:jc w:val="center"/>
              <w:rPr>
                <w:szCs w:val="18"/>
                <w:lang w:val="en-US"/>
              </w:rPr>
            </w:pPr>
            <w:r w:rsidRPr="00EF3DDA">
              <w:rPr>
                <w:szCs w:val="18"/>
                <w:lang w:val="en-US"/>
              </w:rPr>
              <w:t>0.2 m</w:t>
            </w:r>
          </w:p>
        </w:tc>
      </w:tr>
      <w:tr w:rsidR="006F16FF" w:rsidRPr="00EF3DDA" w14:paraId="04BDDD57" w14:textId="77777777" w:rsidTr="00FF3F4C">
        <w:trPr>
          <w:trHeight w:val="227"/>
        </w:trPr>
        <w:tc>
          <w:tcPr>
            <w:tcW w:w="2449" w:type="dxa"/>
            <w:vAlign w:val="center"/>
          </w:tcPr>
          <w:p w14:paraId="57BA5527" w14:textId="77777777" w:rsidR="006F16FF" w:rsidRPr="00EF3DDA" w:rsidRDefault="006F16FF" w:rsidP="00C25198">
            <w:pPr>
              <w:tabs>
                <w:tab w:val="clear" w:pos="7100"/>
              </w:tabs>
              <w:spacing w:line="240" w:lineRule="auto"/>
              <w:rPr>
                <w:szCs w:val="18"/>
                <w:lang w:val="en-US"/>
              </w:rPr>
            </w:pPr>
            <w:r w:rsidRPr="00EF3DDA">
              <w:rPr>
                <w:szCs w:val="18"/>
                <w:lang w:val="en-US"/>
              </w:rPr>
              <w:t>Hole diameter</w:t>
            </w:r>
          </w:p>
        </w:tc>
        <w:tc>
          <w:tcPr>
            <w:tcW w:w="1940" w:type="dxa"/>
            <w:vAlign w:val="center"/>
          </w:tcPr>
          <w:p w14:paraId="22619316" w14:textId="77777777" w:rsidR="006F16FF" w:rsidRPr="00EF3DDA" w:rsidRDefault="006F16FF" w:rsidP="00C25198">
            <w:pPr>
              <w:tabs>
                <w:tab w:val="clear" w:pos="7100"/>
              </w:tabs>
              <w:spacing w:line="240" w:lineRule="auto"/>
              <w:jc w:val="center"/>
              <w:rPr>
                <w:szCs w:val="18"/>
                <w:lang w:val="en-US"/>
              </w:rPr>
            </w:pPr>
            <w:r w:rsidRPr="00EF3DDA">
              <w:rPr>
                <w:szCs w:val="18"/>
                <w:lang w:val="en-US"/>
              </w:rPr>
              <w:t>0.005 m</w:t>
            </w:r>
          </w:p>
        </w:tc>
        <w:tc>
          <w:tcPr>
            <w:tcW w:w="2341" w:type="dxa"/>
            <w:vAlign w:val="center"/>
          </w:tcPr>
          <w:p w14:paraId="14546546" w14:textId="77777777" w:rsidR="006F16FF" w:rsidRPr="00EF3DDA" w:rsidRDefault="006F16FF" w:rsidP="00C25198">
            <w:pPr>
              <w:tabs>
                <w:tab w:val="clear" w:pos="7100"/>
              </w:tabs>
              <w:spacing w:line="240" w:lineRule="auto"/>
              <w:jc w:val="center"/>
              <w:rPr>
                <w:szCs w:val="18"/>
                <w:lang w:val="en-US"/>
              </w:rPr>
            </w:pPr>
            <w:r w:rsidRPr="00EF3DDA">
              <w:rPr>
                <w:szCs w:val="18"/>
                <w:lang w:val="en-US"/>
              </w:rPr>
              <w:t>0.005 m</w:t>
            </w:r>
          </w:p>
        </w:tc>
      </w:tr>
      <w:tr w:rsidR="006F16FF" w:rsidRPr="00EF3DDA" w14:paraId="41EADA97" w14:textId="77777777" w:rsidTr="00FF3F4C">
        <w:trPr>
          <w:trHeight w:val="227"/>
        </w:trPr>
        <w:tc>
          <w:tcPr>
            <w:tcW w:w="2449" w:type="dxa"/>
            <w:vAlign w:val="center"/>
          </w:tcPr>
          <w:p w14:paraId="02E0FAD9" w14:textId="77777777" w:rsidR="006F16FF" w:rsidRPr="00EF3DDA" w:rsidRDefault="006F16FF" w:rsidP="00C25198">
            <w:pPr>
              <w:tabs>
                <w:tab w:val="clear" w:pos="7100"/>
              </w:tabs>
              <w:spacing w:line="240" w:lineRule="auto"/>
              <w:rPr>
                <w:szCs w:val="18"/>
                <w:lang w:val="en-US"/>
              </w:rPr>
            </w:pPr>
            <w:r w:rsidRPr="00EF3DDA">
              <w:rPr>
                <w:szCs w:val="18"/>
                <w:lang w:val="en-US"/>
              </w:rPr>
              <w:t>Weir height</w:t>
            </w:r>
          </w:p>
        </w:tc>
        <w:tc>
          <w:tcPr>
            <w:tcW w:w="1940" w:type="dxa"/>
            <w:vAlign w:val="center"/>
          </w:tcPr>
          <w:p w14:paraId="0C03F8B4" w14:textId="77777777" w:rsidR="006F16FF" w:rsidRPr="00EF3DDA" w:rsidRDefault="006F16FF" w:rsidP="00C25198">
            <w:pPr>
              <w:tabs>
                <w:tab w:val="clear" w:pos="7100"/>
              </w:tabs>
              <w:spacing w:line="240" w:lineRule="auto"/>
              <w:jc w:val="center"/>
              <w:rPr>
                <w:szCs w:val="18"/>
                <w:lang w:val="en-US"/>
              </w:rPr>
            </w:pPr>
            <w:r w:rsidRPr="00EF3DDA">
              <w:rPr>
                <w:szCs w:val="18"/>
                <w:lang w:val="en-US"/>
              </w:rPr>
              <w:t>10mm</w:t>
            </w:r>
          </w:p>
        </w:tc>
        <w:tc>
          <w:tcPr>
            <w:tcW w:w="2341" w:type="dxa"/>
            <w:vAlign w:val="center"/>
          </w:tcPr>
          <w:p w14:paraId="0F68C8C5" w14:textId="77777777" w:rsidR="006F16FF" w:rsidRPr="00EF3DDA" w:rsidRDefault="006F16FF" w:rsidP="00C25198">
            <w:pPr>
              <w:tabs>
                <w:tab w:val="clear" w:pos="7100"/>
              </w:tabs>
              <w:spacing w:line="240" w:lineRule="auto"/>
              <w:jc w:val="center"/>
              <w:rPr>
                <w:szCs w:val="18"/>
                <w:lang w:val="en-US"/>
              </w:rPr>
            </w:pPr>
            <w:r w:rsidRPr="00EF3DDA">
              <w:rPr>
                <w:szCs w:val="18"/>
                <w:lang w:val="en-US"/>
              </w:rPr>
              <w:t>10mm</w:t>
            </w:r>
          </w:p>
        </w:tc>
      </w:tr>
      <w:tr w:rsidR="006F16FF" w:rsidRPr="00EF3DDA" w14:paraId="0D31BFFF" w14:textId="77777777" w:rsidTr="00FF3F4C">
        <w:trPr>
          <w:trHeight w:val="227"/>
        </w:trPr>
        <w:tc>
          <w:tcPr>
            <w:tcW w:w="2449" w:type="dxa"/>
            <w:vAlign w:val="center"/>
          </w:tcPr>
          <w:p w14:paraId="69D0A3D0" w14:textId="77777777" w:rsidR="006F16FF" w:rsidRPr="00EF3DDA" w:rsidRDefault="006F16FF" w:rsidP="00C25198">
            <w:pPr>
              <w:tabs>
                <w:tab w:val="clear" w:pos="7100"/>
              </w:tabs>
              <w:spacing w:line="240" w:lineRule="auto"/>
              <w:rPr>
                <w:szCs w:val="18"/>
                <w:lang w:val="en-US"/>
              </w:rPr>
            </w:pPr>
            <w:r w:rsidRPr="00EF3DDA">
              <w:rPr>
                <w:szCs w:val="18"/>
                <w:lang w:val="en-US"/>
              </w:rPr>
              <w:t>% Bubbling area</w:t>
            </w:r>
          </w:p>
        </w:tc>
        <w:tc>
          <w:tcPr>
            <w:tcW w:w="1940" w:type="dxa"/>
            <w:vAlign w:val="center"/>
          </w:tcPr>
          <w:p w14:paraId="042959B4" w14:textId="77777777" w:rsidR="006F16FF" w:rsidRPr="00EF3DDA" w:rsidRDefault="006F16FF" w:rsidP="00C25198">
            <w:pPr>
              <w:tabs>
                <w:tab w:val="clear" w:pos="7100"/>
              </w:tabs>
              <w:spacing w:line="240" w:lineRule="auto"/>
              <w:jc w:val="center"/>
              <w:rPr>
                <w:szCs w:val="18"/>
                <w:lang w:val="en-US"/>
              </w:rPr>
            </w:pPr>
            <w:r w:rsidRPr="00EF3DDA">
              <w:rPr>
                <w:szCs w:val="18"/>
                <w:lang w:val="en-US"/>
              </w:rPr>
              <w:t>82.46 %</w:t>
            </w:r>
          </w:p>
        </w:tc>
        <w:tc>
          <w:tcPr>
            <w:tcW w:w="2341" w:type="dxa"/>
            <w:vAlign w:val="center"/>
          </w:tcPr>
          <w:p w14:paraId="4162FA86" w14:textId="77777777" w:rsidR="006F16FF" w:rsidRPr="00EF3DDA" w:rsidRDefault="006F16FF" w:rsidP="00C25198">
            <w:pPr>
              <w:tabs>
                <w:tab w:val="clear" w:pos="7100"/>
              </w:tabs>
              <w:spacing w:line="240" w:lineRule="auto"/>
              <w:jc w:val="center"/>
              <w:rPr>
                <w:szCs w:val="18"/>
                <w:lang w:val="en-US"/>
              </w:rPr>
            </w:pPr>
            <w:r w:rsidRPr="00EF3DDA">
              <w:rPr>
                <w:szCs w:val="18"/>
                <w:lang w:val="en-US"/>
              </w:rPr>
              <w:t>82.46 %</w:t>
            </w:r>
          </w:p>
        </w:tc>
      </w:tr>
      <w:tr w:rsidR="006F16FF" w:rsidRPr="00EF3DDA" w14:paraId="07221AB3" w14:textId="77777777" w:rsidTr="00FF3F4C">
        <w:trPr>
          <w:trHeight w:val="227"/>
        </w:trPr>
        <w:tc>
          <w:tcPr>
            <w:tcW w:w="2449" w:type="dxa"/>
            <w:vAlign w:val="center"/>
          </w:tcPr>
          <w:p w14:paraId="489F60E5" w14:textId="77777777" w:rsidR="006F16FF" w:rsidRPr="00EF3DDA" w:rsidRDefault="006F16FF" w:rsidP="00C25198">
            <w:pPr>
              <w:tabs>
                <w:tab w:val="clear" w:pos="7100"/>
              </w:tabs>
              <w:spacing w:line="240" w:lineRule="auto"/>
              <w:rPr>
                <w:szCs w:val="18"/>
                <w:lang w:val="en-US"/>
              </w:rPr>
            </w:pPr>
            <w:r w:rsidRPr="00EF3DDA">
              <w:rPr>
                <w:szCs w:val="18"/>
                <w:lang w:val="en-US"/>
              </w:rPr>
              <w:t>% hole area</w:t>
            </w:r>
          </w:p>
        </w:tc>
        <w:tc>
          <w:tcPr>
            <w:tcW w:w="1940" w:type="dxa"/>
            <w:vAlign w:val="center"/>
          </w:tcPr>
          <w:p w14:paraId="25550111" w14:textId="77777777" w:rsidR="006F16FF" w:rsidRPr="00EF3DDA" w:rsidRDefault="006F16FF" w:rsidP="00C25198">
            <w:pPr>
              <w:tabs>
                <w:tab w:val="clear" w:pos="7100"/>
              </w:tabs>
              <w:spacing w:line="240" w:lineRule="auto"/>
              <w:jc w:val="center"/>
              <w:rPr>
                <w:szCs w:val="18"/>
                <w:lang w:val="en-US"/>
              </w:rPr>
            </w:pPr>
            <w:r w:rsidRPr="00EF3DDA">
              <w:rPr>
                <w:szCs w:val="18"/>
                <w:lang w:val="en-US"/>
              </w:rPr>
              <w:t>8.33 %</w:t>
            </w:r>
          </w:p>
        </w:tc>
        <w:tc>
          <w:tcPr>
            <w:tcW w:w="2341" w:type="dxa"/>
            <w:vAlign w:val="center"/>
          </w:tcPr>
          <w:p w14:paraId="4916B4C7" w14:textId="77777777" w:rsidR="006F16FF" w:rsidRPr="00EF3DDA" w:rsidRDefault="006F16FF" w:rsidP="00C25198">
            <w:pPr>
              <w:tabs>
                <w:tab w:val="clear" w:pos="7100"/>
              </w:tabs>
              <w:spacing w:line="240" w:lineRule="auto"/>
              <w:jc w:val="center"/>
              <w:rPr>
                <w:szCs w:val="18"/>
                <w:lang w:val="en-US"/>
              </w:rPr>
            </w:pPr>
            <w:r w:rsidRPr="00EF3DDA">
              <w:rPr>
                <w:szCs w:val="18"/>
                <w:lang w:val="en-US"/>
              </w:rPr>
              <w:t>8.48 %</w:t>
            </w:r>
          </w:p>
        </w:tc>
      </w:tr>
      <w:tr w:rsidR="006F16FF" w:rsidRPr="00EF3DDA" w14:paraId="1377C77D" w14:textId="77777777" w:rsidTr="00FF3F4C">
        <w:trPr>
          <w:trHeight w:val="227"/>
        </w:trPr>
        <w:tc>
          <w:tcPr>
            <w:tcW w:w="2449" w:type="dxa"/>
            <w:vAlign w:val="center"/>
          </w:tcPr>
          <w:p w14:paraId="426707CA" w14:textId="77777777" w:rsidR="006F16FF" w:rsidRPr="00EF3DDA" w:rsidRDefault="006F16FF" w:rsidP="00C25198">
            <w:pPr>
              <w:tabs>
                <w:tab w:val="clear" w:pos="7100"/>
              </w:tabs>
              <w:spacing w:line="240" w:lineRule="auto"/>
              <w:rPr>
                <w:szCs w:val="18"/>
                <w:lang w:val="en-US"/>
              </w:rPr>
            </w:pPr>
            <w:r w:rsidRPr="00EF3DDA">
              <w:rPr>
                <w:szCs w:val="18"/>
                <w:lang w:val="en-US"/>
              </w:rPr>
              <w:t>Solid material</w:t>
            </w:r>
          </w:p>
        </w:tc>
        <w:tc>
          <w:tcPr>
            <w:tcW w:w="1940" w:type="dxa"/>
            <w:vAlign w:val="center"/>
          </w:tcPr>
          <w:p w14:paraId="05A2A428" w14:textId="77777777" w:rsidR="006F16FF" w:rsidRPr="00EF3DDA" w:rsidRDefault="006F16FF" w:rsidP="00C25198">
            <w:pPr>
              <w:tabs>
                <w:tab w:val="clear" w:pos="7100"/>
              </w:tabs>
              <w:spacing w:line="240" w:lineRule="auto"/>
              <w:jc w:val="center"/>
              <w:rPr>
                <w:szCs w:val="18"/>
                <w:lang w:val="en-US"/>
              </w:rPr>
            </w:pPr>
            <w:r w:rsidRPr="00EF3DDA">
              <w:rPr>
                <w:szCs w:val="18"/>
                <w:lang w:val="en-US"/>
              </w:rPr>
              <w:t>Steel</w:t>
            </w:r>
          </w:p>
        </w:tc>
        <w:tc>
          <w:tcPr>
            <w:tcW w:w="2341" w:type="dxa"/>
            <w:vAlign w:val="center"/>
          </w:tcPr>
          <w:p w14:paraId="4B8048DB" w14:textId="77777777" w:rsidR="006F16FF" w:rsidRPr="00EF3DDA" w:rsidRDefault="006F16FF" w:rsidP="00C25198">
            <w:pPr>
              <w:tabs>
                <w:tab w:val="clear" w:pos="7100"/>
              </w:tabs>
              <w:spacing w:line="240" w:lineRule="auto"/>
              <w:jc w:val="center"/>
              <w:rPr>
                <w:szCs w:val="18"/>
                <w:lang w:val="en-US"/>
              </w:rPr>
            </w:pPr>
            <w:r w:rsidRPr="00EF3DDA">
              <w:rPr>
                <w:szCs w:val="18"/>
                <w:lang w:val="en-US"/>
              </w:rPr>
              <w:t>Steel</w:t>
            </w:r>
          </w:p>
        </w:tc>
      </w:tr>
    </w:tbl>
    <w:p w14:paraId="752CB649" w14:textId="28DEB792" w:rsidR="006F16FF" w:rsidRPr="003852B9" w:rsidRDefault="006F16FF" w:rsidP="003852B9">
      <w:pPr>
        <w:spacing w:before="240"/>
        <w:rPr>
          <w:lang w:val="en-US"/>
        </w:rPr>
      </w:pPr>
      <w:r w:rsidRPr="003852B9">
        <w:t>The column section considered for the CFD simulation is shown in Figure 1a and 1b. For the calculation of the temperature profile of the liquid within the simulation domain, 7 equidistant points were established along a central line in each plate (annular and concentric) at a height of y = 4 mm (Figure 1c), where the flow direction is from 1 to 7.</w:t>
      </w:r>
    </w:p>
    <w:p w14:paraId="4F5A1158" w14:textId="77777777" w:rsidR="006F16FF" w:rsidRPr="003852B9" w:rsidRDefault="006F16FF" w:rsidP="003852B9">
      <w:pPr>
        <w:pStyle w:val="CETHeading1"/>
      </w:pPr>
      <w:r w:rsidRPr="003852B9">
        <w:t>Methodology</w:t>
      </w:r>
    </w:p>
    <w:p w14:paraId="4D583C80" w14:textId="77777777" w:rsidR="006F16FF" w:rsidRPr="003852B9" w:rsidRDefault="006F16FF" w:rsidP="00CD3E13">
      <w:pPr>
        <w:pStyle w:val="ListParagraph"/>
        <w:spacing w:before="240"/>
        <w:ind w:hanging="720"/>
        <w:jc w:val="left"/>
        <w:rPr>
          <w:lang w:val="en-US"/>
        </w:rPr>
      </w:pPr>
      <w:r w:rsidRPr="003852B9">
        <w:rPr>
          <w:lang w:val="en-US"/>
        </w:rPr>
        <w:t>In this research, for CFD simulations a two steps methodology was established:</w:t>
      </w:r>
    </w:p>
    <w:p w14:paraId="4D15EB0B" w14:textId="3A4E30D3" w:rsidR="006F16FF" w:rsidRPr="00FD34F7" w:rsidRDefault="006F16FF" w:rsidP="00FD34F7">
      <w:pPr>
        <w:pStyle w:val="ListParagraph"/>
        <w:numPr>
          <w:ilvl w:val="0"/>
          <w:numId w:val="25"/>
        </w:numPr>
        <w:spacing w:before="240" w:after="240"/>
        <w:rPr>
          <w:lang w:val="en-US"/>
        </w:rPr>
      </w:pPr>
      <w:r w:rsidRPr="003852B9">
        <w:rPr>
          <w:lang w:val="en-US"/>
        </w:rPr>
        <w:t xml:space="preserve">Classical process simulation of the T-HIDiC unit under thermodynamic equilibrium conditions. The objective of this stage is to obtain the macroscopic conditions for each tray (flows, temperature, </w:t>
      </w:r>
      <w:r w:rsidRPr="003852B9">
        <w:rPr>
          <w:lang w:val="en-US"/>
        </w:rPr>
        <w:lastRenderedPageBreak/>
        <w:t xml:space="preserve">concentrations, equilibrium ratio), these will be used to set up the boundary and initial conditions in CFD simulations. </w:t>
      </w:r>
      <w:r w:rsidRPr="003852B9">
        <w:t>The T-HIDiC is initially simulated using the equilibrium conditions with the classical process simulation approach on Aspen Plus®. This process simulation was implemented aiming to get the input values for the CFD model. The results of this stage were also used for the estimation of the heat transfer rate from the rectification zone to the stripping zone. The results at stages 2, 30, and 59 in the stripping section and their respective rectifying stages (stages 3, 31, and 60) are used for the setting up of the boundary and initial conditions of the CFD simulations</w:t>
      </w:r>
      <w:r w:rsidR="00521127">
        <w:t xml:space="preserve"> (Table 2),</w:t>
      </w:r>
      <w:r w:rsidRPr="003852B9">
        <w:t xml:space="preserve"> described in the following section.</w:t>
      </w:r>
    </w:p>
    <w:p w14:paraId="578F6424" w14:textId="77777777" w:rsidR="00FD34F7" w:rsidRPr="00FD34F7" w:rsidRDefault="00FD34F7" w:rsidP="00FD34F7">
      <w:pPr>
        <w:pStyle w:val="ListParagraph"/>
        <w:spacing w:before="240" w:after="240"/>
        <w:rPr>
          <w:lang w:val="en-US"/>
        </w:rPr>
      </w:pPr>
    </w:p>
    <w:p w14:paraId="5CE6D817" w14:textId="08738A65" w:rsidR="006F16FF" w:rsidRPr="003852B9" w:rsidRDefault="006F16FF" w:rsidP="003852B9">
      <w:pPr>
        <w:pStyle w:val="ListParagraph"/>
        <w:numPr>
          <w:ilvl w:val="0"/>
          <w:numId w:val="25"/>
        </w:numPr>
        <w:spacing w:before="240"/>
        <w:rPr>
          <w:lang w:val="en-US"/>
        </w:rPr>
      </w:pPr>
      <w:r w:rsidRPr="003852B9">
        <w:rPr>
          <w:lang w:val="en-US"/>
        </w:rPr>
        <w:tab/>
        <w:t>CFD simulation of the T-HIDiC unit under non-equilibrium conditions. The objective of this second step is to obtain the conditions for three characteristic trays of the HIDiC column considering non-equilibrium conditions, these results are used to estimate</w:t>
      </w:r>
      <w:r w:rsidR="00B53711">
        <w:rPr>
          <w:lang w:val="en-US"/>
        </w:rPr>
        <w:t xml:space="preserve"> phase volume fraction,</w:t>
      </w:r>
      <w:r w:rsidRPr="003852B9">
        <w:rPr>
          <w:lang w:val="en-US"/>
        </w:rPr>
        <w:t xml:space="preserve"> temperature profile, and Murphree Efficiency</w:t>
      </w:r>
      <w:r w:rsidR="00FD34F7">
        <w:rPr>
          <w:lang w:val="en-US"/>
        </w:rPr>
        <w:t>.</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5"/>
        <w:gridCol w:w="2826"/>
        <w:gridCol w:w="2966"/>
      </w:tblGrid>
      <w:tr w:rsidR="006F16FF" w:rsidRPr="0051784C" w14:paraId="5B4F1D3E" w14:textId="77777777" w:rsidTr="0057612C">
        <w:tc>
          <w:tcPr>
            <w:tcW w:w="2985" w:type="dxa"/>
          </w:tcPr>
          <w:p w14:paraId="1EFCD50E" w14:textId="77777777" w:rsidR="006F16FF" w:rsidRPr="00B42890" w:rsidRDefault="006F16FF" w:rsidP="0051784C">
            <w:pPr>
              <w:tabs>
                <w:tab w:val="clear" w:pos="7100"/>
              </w:tabs>
              <w:spacing w:line="240" w:lineRule="auto"/>
              <w:rPr>
                <w:rFonts w:cs="Arial"/>
                <w:szCs w:val="18"/>
                <w:lang w:val="en-US"/>
              </w:rPr>
            </w:pPr>
            <w:r w:rsidRPr="00B42890">
              <w:rPr>
                <w:rFonts w:cs="Arial"/>
                <w:noProof/>
                <w:szCs w:val="18"/>
                <w:lang w:val="en-US"/>
              </w:rPr>
              <w:drawing>
                <wp:anchor distT="0" distB="0" distL="114300" distR="114300" simplePos="0" relativeHeight="251659264" behindDoc="0" locked="0" layoutInCell="1" allowOverlap="1" wp14:anchorId="7ACA989A" wp14:editId="494D4F5F">
                  <wp:simplePos x="0" y="0"/>
                  <wp:positionH relativeFrom="column">
                    <wp:posOffset>-15240</wp:posOffset>
                  </wp:positionH>
                  <wp:positionV relativeFrom="paragraph">
                    <wp:posOffset>169545</wp:posOffset>
                  </wp:positionV>
                  <wp:extent cx="1758315" cy="1693545"/>
                  <wp:effectExtent l="0" t="0" r="0" b="190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31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890">
              <w:rPr>
                <w:rFonts w:cs="Arial"/>
                <w:szCs w:val="18"/>
                <w:lang w:val="en-US"/>
              </w:rPr>
              <w:t>a)</w:t>
            </w:r>
          </w:p>
        </w:tc>
        <w:tc>
          <w:tcPr>
            <w:tcW w:w="2826" w:type="dxa"/>
          </w:tcPr>
          <w:p w14:paraId="648646BC" w14:textId="77777777" w:rsidR="006F16FF" w:rsidRPr="00B42890" w:rsidRDefault="006F16FF" w:rsidP="0051784C">
            <w:pPr>
              <w:tabs>
                <w:tab w:val="clear" w:pos="7100"/>
              </w:tabs>
              <w:spacing w:line="240" w:lineRule="auto"/>
              <w:rPr>
                <w:rFonts w:cs="Arial"/>
                <w:szCs w:val="18"/>
                <w:lang w:val="en-US"/>
              </w:rPr>
            </w:pPr>
            <w:r w:rsidRPr="00B42890">
              <w:rPr>
                <w:rFonts w:cs="Arial"/>
                <w:noProof/>
                <w:szCs w:val="18"/>
                <w:lang w:val="en-US"/>
              </w:rPr>
              <w:drawing>
                <wp:anchor distT="0" distB="0" distL="114300" distR="114300" simplePos="0" relativeHeight="251660288" behindDoc="1" locked="0" layoutInCell="1" allowOverlap="1" wp14:anchorId="35EABA11" wp14:editId="08F0EDC1">
                  <wp:simplePos x="0" y="0"/>
                  <wp:positionH relativeFrom="column">
                    <wp:posOffset>226060</wp:posOffset>
                  </wp:positionH>
                  <wp:positionV relativeFrom="paragraph">
                    <wp:posOffset>185420</wp:posOffset>
                  </wp:positionV>
                  <wp:extent cx="1650365" cy="1550035"/>
                  <wp:effectExtent l="0" t="0" r="698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036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890">
              <w:rPr>
                <w:rFonts w:cs="Arial"/>
                <w:szCs w:val="18"/>
                <w:lang w:val="en-US"/>
              </w:rPr>
              <w:t>b)</w:t>
            </w:r>
          </w:p>
          <w:p w14:paraId="0E549389" w14:textId="77777777" w:rsidR="006F16FF" w:rsidRPr="00B42890" w:rsidRDefault="006F16FF" w:rsidP="0051784C">
            <w:pPr>
              <w:keepNext/>
              <w:tabs>
                <w:tab w:val="clear" w:pos="7100"/>
              </w:tabs>
              <w:spacing w:line="240" w:lineRule="auto"/>
              <w:rPr>
                <w:rFonts w:cs="Arial"/>
                <w:szCs w:val="18"/>
                <w:lang w:val="en-US"/>
              </w:rPr>
            </w:pPr>
          </w:p>
        </w:tc>
        <w:tc>
          <w:tcPr>
            <w:tcW w:w="2966" w:type="dxa"/>
          </w:tcPr>
          <w:p w14:paraId="5DAC9E33" w14:textId="77777777" w:rsidR="006F16FF" w:rsidRDefault="006F16FF" w:rsidP="0051784C">
            <w:pPr>
              <w:tabs>
                <w:tab w:val="clear" w:pos="7100"/>
              </w:tabs>
              <w:spacing w:line="240" w:lineRule="auto"/>
              <w:rPr>
                <w:noProof/>
              </w:rPr>
            </w:pPr>
            <w:r>
              <w:rPr>
                <w:noProof/>
              </w:rPr>
              <w:t>c)</w:t>
            </w:r>
          </w:p>
          <w:p w14:paraId="423DE38B" w14:textId="77777777" w:rsidR="006F16FF" w:rsidRPr="0051784C" w:rsidRDefault="006F16FF" w:rsidP="0051784C">
            <w:pPr>
              <w:tabs>
                <w:tab w:val="clear" w:pos="7100"/>
              </w:tabs>
              <w:spacing w:line="240" w:lineRule="auto"/>
              <w:rPr>
                <w:rFonts w:ascii="Times New Roman" w:hAnsi="Times New Roman"/>
                <w:noProof/>
                <w:sz w:val="20"/>
                <w:lang w:val="en-US"/>
              </w:rPr>
            </w:pPr>
            <w:r w:rsidRPr="00584CE3">
              <w:rPr>
                <w:noProof/>
              </w:rPr>
              <w:drawing>
                <wp:inline distT="0" distB="0" distL="0" distR="0" wp14:anchorId="1DDDB4D8" wp14:editId="5D6F90FE">
                  <wp:extent cx="1687085" cy="168510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9262" cy="1707251"/>
                          </a:xfrm>
                          <a:prstGeom prst="rect">
                            <a:avLst/>
                          </a:prstGeom>
                          <a:noFill/>
                          <a:ln>
                            <a:noFill/>
                          </a:ln>
                        </pic:spPr>
                      </pic:pic>
                    </a:graphicData>
                  </a:graphic>
                </wp:inline>
              </w:drawing>
            </w:r>
          </w:p>
        </w:tc>
      </w:tr>
    </w:tbl>
    <w:p w14:paraId="0521B3E3" w14:textId="3E366927" w:rsidR="006F16FF" w:rsidRDefault="006F16FF" w:rsidP="00DE6A99">
      <w:pPr>
        <w:pStyle w:val="CETCaption"/>
      </w:pPr>
      <w:r>
        <w:t xml:space="preserve">Figure 1: </w:t>
      </w:r>
      <w:r w:rsidRPr="00DE6A99">
        <w:t>Geometry of the tray used for the CDF simulation of the T-HIDiC: a) Isometric view of the stage, b) Transversal section of the stage</w:t>
      </w:r>
      <w:r>
        <w:t xml:space="preserve">, c) </w:t>
      </w:r>
      <w:r w:rsidRPr="00DE6A99">
        <w:t>Sampling points to determine temperature profile of liquid. Yellow points (rectification), red points (stripping).</w:t>
      </w:r>
    </w:p>
    <w:p w14:paraId="78FEAF34" w14:textId="77777777" w:rsidR="006F16FF" w:rsidRDefault="006F16FF" w:rsidP="00213F62">
      <w:pPr>
        <w:pStyle w:val="CETHeading1"/>
        <w:rPr>
          <w:lang w:val="en-GB"/>
        </w:rPr>
      </w:pPr>
      <w:r w:rsidRPr="00213F62">
        <w:t>Results</w:t>
      </w:r>
    </w:p>
    <w:p w14:paraId="5D945061" w14:textId="77777777" w:rsidR="006F16FF" w:rsidRDefault="006F16FF" w:rsidP="00CD6366">
      <w:pPr>
        <w:pStyle w:val="CETheadingx"/>
      </w:pPr>
      <w:r>
        <w:t>Classic process simulation</w:t>
      </w:r>
    </w:p>
    <w:p w14:paraId="1DDC880F" w14:textId="77777777" w:rsidR="006F16FF" w:rsidRDefault="006F16FF" w:rsidP="006C0213">
      <w:pPr>
        <w:pStyle w:val="CETBodytext"/>
        <w:rPr>
          <w:lang w:val="en-GB"/>
        </w:rPr>
      </w:pPr>
      <w:r w:rsidRPr="00116452">
        <w:rPr>
          <w:lang w:val="en-GB"/>
        </w:rPr>
        <w:t xml:space="preserve">Results obtained from Aspen plus to be used in the CFD simulation are shown in Table </w:t>
      </w:r>
      <w:r>
        <w:rPr>
          <w:lang w:val="en-GB"/>
        </w:rPr>
        <w:t xml:space="preserve">2 </w:t>
      </w:r>
      <w:r w:rsidRPr="00116452">
        <w:rPr>
          <w:lang w:val="en-GB"/>
        </w:rPr>
        <w:t>for trays 3, 31, 60 of the rectification column and trays 2, 30, and 59 of the stripping column. Equilibrium ratios are close to unity, resulting in very low relative volatility (</w:t>
      </w:r>
      <w:r w:rsidRPr="006C0213">
        <w:rPr>
          <w:rFonts w:ascii="Symbol" w:hAnsi="Symbol"/>
          <w:lang w:val="en-GB"/>
        </w:rPr>
        <w:t>a</w:t>
      </w:r>
      <w:r w:rsidRPr="00116452">
        <w:rPr>
          <w:lang w:val="en-GB"/>
        </w:rPr>
        <w:t>= [1.1 – 1.2]), which is a sign of the difficulty in separating this system</w:t>
      </w:r>
      <w:r>
        <w:rPr>
          <w:lang w:val="en-GB"/>
        </w:rPr>
        <w:t>.</w:t>
      </w:r>
    </w:p>
    <w:p w14:paraId="305C73BA" w14:textId="77777777" w:rsidR="006F16FF" w:rsidRDefault="006F16FF" w:rsidP="006C0213">
      <w:pPr>
        <w:pStyle w:val="CETTabletitle"/>
      </w:pPr>
      <w:r>
        <w:t xml:space="preserve">Table 2. </w:t>
      </w:r>
      <w:r w:rsidRPr="006C0213">
        <w:t>Values of boundary conditions for CFD simulation at selected HIDiC stages.</w:t>
      </w:r>
    </w:p>
    <w:tbl>
      <w:tblPr>
        <w:tblStyle w:val="TableGrid24"/>
        <w:tblW w:w="11629" w:type="dxa"/>
        <w:tblInd w:w="-1594" w:type="dxa"/>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ook w:val="04A0" w:firstRow="1" w:lastRow="0" w:firstColumn="1" w:lastColumn="0" w:noHBand="0" w:noVBand="1"/>
      </w:tblPr>
      <w:tblGrid>
        <w:gridCol w:w="787"/>
        <w:gridCol w:w="1233"/>
        <w:gridCol w:w="665"/>
        <w:gridCol w:w="1224"/>
        <w:gridCol w:w="1224"/>
        <w:gridCol w:w="846"/>
        <w:gridCol w:w="846"/>
        <w:gridCol w:w="1254"/>
        <w:gridCol w:w="1254"/>
        <w:gridCol w:w="1148"/>
        <w:gridCol w:w="1148"/>
      </w:tblGrid>
      <w:tr w:rsidR="006F16FF" w:rsidRPr="003F5092" w14:paraId="7897F0F3" w14:textId="77777777" w:rsidTr="003852B9">
        <w:trPr>
          <w:trHeight w:val="403"/>
        </w:trPr>
        <w:tc>
          <w:tcPr>
            <w:tcW w:w="787" w:type="dxa"/>
            <w:vMerge w:val="restart"/>
            <w:tcBorders>
              <w:top w:val="single" w:sz="12" w:space="0" w:color="008000"/>
              <w:bottom w:val="nil"/>
            </w:tcBorders>
            <w:vAlign w:val="center"/>
          </w:tcPr>
          <w:p w14:paraId="65D07CF6"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sz w:val="16"/>
                <w:szCs w:val="16"/>
                <w:lang w:val="en-US"/>
              </w:rPr>
              <w:t>Area</w:t>
            </w:r>
          </w:p>
        </w:tc>
        <w:tc>
          <w:tcPr>
            <w:tcW w:w="1233" w:type="dxa"/>
            <w:vMerge w:val="restart"/>
            <w:tcBorders>
              <w:top w:val="single" w:sz="12" w:space="0" w:color="008000"/>
              <w:bottom w:val="nil"/>
            </w:tcBorders>
            <w:vAlign w:val="center"/>
          </w:tcPr>
          <w:p w14:paraId="0A56D3C5"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sz w:val="16"/>
                <w:szCs w:val="16"/>
                <w:lang w:val="en-US"/>
              </w:rPr>
              <w:t>Section</w:t>
            </w:r>
          </w:p>
        </w:tc>
        <w:tc>
          <w:tcPr>
            <w:tcW w:w="665" w:type="dxa"/>
            <w:vMerge w:val="restart"/>
            <w:tcBorders>
              <w:top w:val="single" w:sz="12" w:space="0" w:color="008000"/>
              <w:bottom w:val="nil"/>
            </w:tcBorders>
            <w:vAlign w:val="center"/>
          </w:tcPr>
          <w:p w14:paraId="4006DD58"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sz w:val="16"/>
                <w:szCs w:val="16"/>
                <w:lang w:val="en-US"/>
              </w:rPr>
              <w:t>Stage</w:t>
            </w:r>
          </w:p>
        </w:tc>
        <w:tc>
          <w:tcPr>
            <w:tcW w:w="1224" w:type="dxa"/>
            <w:vMerge w:val="restart"/>
            <w:tcBorders>
              <w:top w:val="single" w:sz="12" w:space="0" w:color="008000"/>
              <w:bottom w:val="nil"/>
            </w:tcBorders>
            <w:vAlign w:val="center"/>
          </w:tcPr>
          <w:p w14:paraId="62665C52"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sz w:val="16"/>
                <w:szCs w:val="16"/>
                <w:lang w:val="en-US"/>
              </w:rPr>
              <w:t>Inlet liquid composition</w:t>
            </w:r>
          </w:p>
          <w:p w14:paraId="0BF0B073"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sz w:val="16"/>
                <w:szCs w:val="16"/>
                <w:lang w:val="en-US"/>
              </w:rPr>
              <w:t>(</w:t>
            </w:r>
            <w:r w:rsidRPr="00937D82">
              <w:rPr>
                <w:rFonts w:cs="Arial"/>
                <w:b/>
                <w:color w:val="000000"/>
                <w:sz w:val="16"/>
                <w:szCs w:val="16"/>
                <w:lang w:val="en-US"/>
              </w:rPr>
              <w:t>C3</w:t>
            </w:r>
            <w:r w:rsidRPr="00937D82">
              <w:rPr>
                <w:rFonts w:cs="Arial"/>
                <w:b/>
                <w:color w:val="000000"/>
                <w:sz w:val="16"/>
                <w:szCs w:val="16"/>
                <w:vertAlign w:val="superscript"/>
                <w:lang w:val="en-US"/>
              </w:rPr>
              <w:t>=</w:t>
            </w:r>
            <w:r w:rsidRPr="00937D82">
              <w:rPr>
                <w:rFonts w:cs="Arial"/>
                <w:b/>
                <w:sz w:val="16"/>
                <w:szCs w:val="16"/>
                <w:lang w:val="en-US"/>
              </w:rPr>
              <w:t xml:space="preserve"> molar fraction)</w:t>
            </w:r>
          </w:p>
        </w:tc>
        <w:tc>
          <w:tcPr>
            <w:tcW w:w="1224" w:type="dxa"/>
            <w:vMerge w:val="restart"/>
            <w:tcBorders>
              <w:top w:val="single" w:sz="12" w:space="0" w:color="008000"/>
              <w:bottom w:val="nil"/>
            </w:tcBorders>
            <w:vAlign w:val="center"/>
          </w:tcPr>
          <w:p w14:paraId="2BADEC84" w14:textId="77777777" w:rsidR="006F16FF" w:rsidRPr="003852B9" w:rsidRDefault="006F16FF" w:rsidP="00937D82">
            <w:pPr>
              <w:tabs>
                <w:tab w:val="clear" w:pos="7100"/>
              </w:tabs>
              <w:spacing w:line="240" w:lineRule="auto"/>
              <w:jc w:val="center"/>
              <w:rPr>
                <w:rFonts w:cs="Arial"/>
                <w:b/>
                <w:color w:val="000000"/>
                <w:sz w:val="16"/>
                <w:szCs w:val="16"/>
                <w:lang w:val="en-US"/>
              </w:rPr>
            </w:pPr>
            <w:r w:rsidRPr="003852B9">
              <w:rPr>
                <w:rFonts w:cs="Arial"/>
                <w:b/>
                <w:color w:val="000000"/>
                <w:sz w:val="16"/>
                <w:szCs w:val="16"/>
                <w:lang w:val="en-US"/>
              </w:rPr>
              <w:t>Inlet vapor composition</w:t>
            </w:r>
          </w:p>
          <w:p w14:paraId="4A575B65" w14:textId="77777777" w:rsidR="006F16FF" w:rsidRPr="00937D82" w:rsidRDefault="006F16FF" w:rsidP="00937D82">
            <w:pPr>
              <w:tabs>
                <w:tab w:val="clear" w:pos="7100"/>
              </w:tabs>
              <w:spacing w:line="240" w:lineRule="auto"/>
              <w:jc w:val="center"/>
              <w:rPr>
                <w:rFonts w:cs="Arial"/>
                <w:b/>
                <w:sz w:val="16"/>
                <w:szCs w:val="16"/>
                <w:lang w:val="fr-FR"/>
              </w:rPr>
            </w:pPr>
            <w:r w:rsidRPr="003852B9">
              <w:rPr>
                <w:rFonts w:cs="Arial"/>
                <w:b/>
                <w:color w:val="000000"/>
                <w:sz w:val="16"/>
                <w:szCs w:val="16"/>
                <w:lang w:val="en-US"/>
              </w:rPr>
              <w:t>(C3</w:t>
            </w:r>
            <w:r w:rsidRPr="003852B9">
              <w:rPr>
                <w:rFonts w:cs="Arial"/>
                <w:b/>
                <w:color w:val="000000"/>
                <w:sz w:val="16"/>
                <w:szCs w:val="16"/>
                <w:vertAlign w:val="superscript"/>
                <w:lang w:val="en-US"/>
              </w:rPr>
              <w:t>=</w:t>
            </w:r>
            <w:r w:rsidRPr="003852B9">
              <w:rPr>
                <w:rFonts w:cs="Arial"/>
                <w:b/>
                <w:color w:val="000000"/>
                <w:sz w:val="16"/>
                <w:szCs w:val="16"/>
                <w:lang w:val="en-US"/>
              </w:rPr>
              <w:t xml:space="preserve"> molar</w:t>
            </w:r>
            <w:r w:rsidRPr="00937D82">
              <w:rPr>
                <w:rFonts w:cs="Arial"/>
                <w:b/>
                <w:color w:val="000000"/>
                <w:sz w:val="16"/>
                <w:szCs w:val="16"/>
                <w:lang w:val="fr-FR"/>
              </w:rPr>
              <w:t xml:space="preserve"> fraction)</w:t>
            </w:r>
          </w:p>
        </w:tc>
        <w:tc>
          <w:tcPr>
            <w:tcW w:w="846" w:type="dxa"/>
            <w:vMerge w:val="restart"/>
            <w:tcBorders>
              <w:top w:val="single" w:sz="12" w:space="0" w:color="008000"/>
              <w:bottom w:val="nil"/>
            </w:tcBorders>
            <w:vAlign w:val="center"/>
          </w:tcPr>
          <w:p w14:paraId="145A0A8F"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sz w:val="16"/>
                <w:szCs w:val="16"/>
                <w:lang w:val="en-US"/>
              </w:rPr>
              <w:t>Inlet velocity liquid</w:t>
            </w:r>
          </w:p>
          <w:p w14:paraId="5D53D3C2"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color w:val="000000"/>
                <w:sz w:val="16"/>
                <w:szCs w:val="16"/>
                <w:lang w:val="en-US"/>
              </w:rPr>
              <w:t>(m/s)</w:t>
            </w:r>
          </w:p>
        </w:tc>
        <w:tc>
          <w:tcPr>
            <w:tcW w:w="846" w:type="dxa"/>
            <w:vMerge w:val="restart"/>
            <w:tcBorders>
              <w:top w:val="single" w:sz="12" w:space="0" w:color="008000"/>
              <w:bottom w:val="nil"/>
            </w:tcBorders>
            <w:vAlign w:val="center"/>
          </w:tcPr>
          <w:p w14:paraId="73EFA213" w14:textId="77777777" w:rsidR="006F16FF" w:rsidRPr="00937D82" w:rsidRDefault="006F16FF" w:rsidP="00937D82">
            <w:pPr>
              <w:tabs>
                <w:tab w:val="clear" w:pos="7100"/>
              </w:tabs>
              <w:spacing w:line="240" w:lineRule="auto"/>
              <w:jc w:val="center"/>
              <w:rPr>
                <w:rFonts w:cs="Arial"/>
                <w:b/>
                <w:sz w:val="16"/>
                <w:szCs w:val="16"/>
                <w:lang w:val="sv-SE"/>
              </w:rPr>
            </w:pPr>
            <w:r w:rsidRPr="00937D82">
              <w:rPr>
                <w:rFonts w:cs="Arial"/>
                <w:b/>
                <w:sz w:val="16"/>
                <w:szCs w:val="16"/>
                <w:lang w:val="sv-SE"/>
              </w:rPr>
              <w:t>Inlet velocity vapor</w:t>
            </w:r>
          </w:p>
          <w:p w14:paraId="4B29A29F" w14:textId="77777777" w:rsidR="006F16FF" w:rsidRPr="00937D82" w:rsidRDefault="006F16FF" w:rsidP="00937D82">
            <w:pPr>
              <w:tabs>
                <w:tab w:val="clear" w:pos="7100"/>
              </w:tabs>
              <w:spacing w:line="240" w:lineRule="auto"/>
              <w:jc w:val="center"/>
              <w:rPr>
                <w:rFonts w:cs="Arial"/>
                <w:b/>
                <w:sz w:val="16"/>
                <w:szCs w:val="16"/>
                <w:lang w:val="sv-SE"/>
              </w:rPr>
            </w:pPr>
            <w:r w:rsidRPr="00937D82">
              <w:rPr>
                <w:rFonts w:cs="Arial"/>
                <w:b/>
                <w:color w:val="000000"/>
                <w:sz w:val="16"/>
                <w:szCs w:val="16"/>
                <w:lang w:val="sv-SE"/>
              </w:rPr>
              <w:t>(m/s)</w:t>
            </w:r>
          </w:p>
        </w:tc>
        <w:tc>
          <w:tcPr>
            <w:tcW w:w="1254" w:type="dxa"/>
            <w:vMerge w:val="restart"/>
            <w:tcBorders>
              <w:top w:val="single" w:sz="12" w:space="0" w:color="008000"/>
              <w:bottom w:val="nil"/>
            </w:tcBorders>
            <w:vAlign w:val="center"/>
          </w:tcPr>
          <w:p w14:paraId="17508103"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sz w:val="16"/>
                <w:szCs w:val="16"/>
                <w:lang w:val="en-US"/>
              </w:rPr>
              <w:t>Inlet liquid temperature (K)</w:t>
            </w:r>
          </w:p>
        </w:tc>
        <w:tc>
          <w:tcPr>
            <w:tcW w:w="1254" w:type="dxa"/>
            <w:vMerge w:val="restart"/>
            <w:tcBorders>
              <w:top w:val="single" w:sz="12" w:space="0" w:color="008000"/>
              <w:bottom w:val="nil"/>
            </w:tcBorders>
            <w:vAlign w:val="center"/>
          </w:tcPr>
          <w:p w14:paraId="0671FC00"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sz w:val="16"/>
                <w:szCs w:val="16"/>
                <w:lang w:val="en-US"/>
              </w:rPr>
              <w:t>Inlet vapor temperature (K)</w:t>
            </w:r>
          </w:p>
        </w:tc>
        <w:tc>
          <w:tcPr>
            <w:tcW w:w="2296" w:type="dxa"/>
            <w:gridSpan w:val="2"/>
            <w:tcBorders>
              <w:top w:val="single" w:sz="12" w:space="0" w:color="008000"/>
              <w:bottom w:val="nil"/>
            </w:tcBorders>
          </w:tcPr>
          <w:p w14:paraId="5DDD5068" w14:textId="77777777" w:rsidR="006F16FF" w:rsidRPr="003F5092" w:rsidRDefault="006F16FF" w:rsidP="00937D82">
            <w:pPr>
              <w:tabs>
                <w:tab w:val="clear" w:pos="7100"/>
              </w:tabs>
              <w:spacing w:line="240" w:lineRule="auto"/>
              <w:jc w:val="center"/>
              <w:rPr>
                <w:rFonts w:cs="Arial"/>
                <w:b/>
                <w:sz w:val="16"/>
                <w:szCs w:val="16"/>
                <w:lang w:val="es-MX"/>
              </w:rPr>
            </w:pPr>
            <w:r w:rsidRPr="003F5092">
              <w:rPr>
                <w:rFonts w:cs="Arial"/>
                <w:b/>
                <w:sz w:val="16"/>
                <w:szCs w:val="16"/>
                <w:lang w:val="es-MX"/>
              </w:rPr>
              <w:t xml:space="preserve">Molar </w:t>
            </w:r>
            <w:proofErr w:type="spellStart"/>
            <w:r w:rsidRPr="003F5092">
              <w:rPr>
                <w:rFonts w:cs="Arial"/>
                <w:b/>
                <w:sz w:val="16"/>
                <w:szCs w:val="16"/>
                <w:lang w:val="es-MX"/>
              </w:rPr>
              <w:t>equilibrium</w:t>
            </w:r>
            <w:proofErr w:type="spellEnd"/>
            <w:r w:rsidRPr="003F5092">
              <w:rPr>
                <w:rFonts w:cs="Arial"/>
                <w:b/>
                <w:sz w:val="16"/>
                <w:szCs w:val="16"/>
                <w:lang w:val="es-MX"/>
              </w:rPr>
              <w:t xml:space="preserve"> ratio</w:t>
            </w:r>
          </w:p>
          <w:p w14:paraId="0E629FC5" w14:textId="77777777" w:rsidR="006F16FF" w:rsidRPr="00937D82" w:rsidRDefault="006F16FF" w:rsidP="00937D82">
            <w:pPr>
              <w:tabs>
                <w:tab w:val="clear" w:pos="7100"/>
              </w:tabs>
              <w:spacing w:line="240" w:lineRule="auto"/>
              <w:jc w:val="center"/>
              <w:rPr>
                <w:rFonts w:cs="Arial"/>
                <w:b/>
                <w:sz w:val="16"/>
                <w:szCs w:val="16"/>
                <w:lang w:val="pt-BR"/>
              </w:rPr>
            </w:pPr>
            <w:r w:rsidRPr="003F5092">
              <w:rPr>
                <w:rFonts w:cs="Arial"/>
                <w:b/>
                <w:sz w:val="16"/>
                <w:szCs w:val="16"/>
                <w:lang w:val="es-MX"/>
              </w:rPr>
              <w:t>Vapor/</w:t>
            </w:r>
            <w:proofErr w:type="spellStart"/>
            <w:r w:rsidRPr="003F5092">
              <w:rPr>
                <w:rFonts w:cs="Arial"/>
                <w:b/>
                <w:sz w:val="16"/>
                <w:szCs w:val="16"/>
                <w:lang w:val="es-MX"/>
              </w:rPr>
              <w:t>Liquid</w:t>
            </w:r>
            <w:proofErr w:type="spellEnd"/>
          </w:p>
        </w:tc>
      </w:tr>
      <w:tr w:rsidR="006F16FF" w:rsidRPr="00937D82" w14:paraId="7A2F4624" w14:textId="77777777" w:rsidTr="003852B9">
        <w:trPr>
          <w:trHeight w:val="403"/>
        </w:trPr>
        <w:tc>
          <w:tcPr>
            <w:tcW w:w="787" w:type="dxa"/>
            <w:vMerge/>
            <w:tcBorders>
              <w:top w:val="nil"/>
              <w:bottom w:val="single" w:sz="4" w:space="0" w:color="008000"/>
            </w:tcBorders>
          </w:tcPr>
          <w:p w14:paraId="780396CE" w14:textId="77777777" w:rsidR="006F16FF" w:rsidRPr="00937D82" w:rsidRDefault="006F16FF" w:rsidP="00937D82">
            <w:pPr>
              <w:tabs>
                <w:tab w:val="clear" w:pos="7100"/>
              </w:tabs>
              <w:spacing w:line="240" w:lineRule="auto"/>
              <w:rPr>
                <w:rFonts w:cs="Arial"/>
                <w:b/>
                <w:sz w:val="16"/>
                <w:szCs w:val="16"/>
                <w:lang w:val="pt-BR"/>
              </w:rPr>
            </w:pPr>
          </w:p>
        </w:tc>
        <w:tc>
          <w:tcPr>
            <w:tcW w:w="1233" w:type="dxa"/>
            <w:vMerge/>
            <w:tcBorders>
              <w:top w:val="nil"/>
              <w:bottom w:val="single" w:sz="4" w:space="0" w:color="008000"/>
            </w:tcBorders>
          </w:tcPr>
          <w:p w14:paraId="3CBD58D8" w14:textId="77777777" w:rsidR="006F16FF" w:rsidRPr="00937D82" w:rsidRDefault="006F16FF" w:rsidP="00937D82">
            <w:pPr>
              <w:tabs>
                <w:tab w:val="clear" w:pos="7100"/>
              </w:tabs>
              <w:spacing w:line="240" w:lineRule="auto"/>
              <w:rPr>
                <w:rFonts w:cs="Arial"/>
                <w:b/>
                <w:sz w:val="16"/>
                <w:szCs w:val="16"/>
                <w:lang w:val="pt-BR"/>
              </w:rPr>
            </w:pPr>
          </w:p>
        </w:tc>
        <w:tc>
          <w:tcPr>
            <w:tcW w:w="665" w:type="dxa"/>
            <w:vMerge/>
            <w:tcBorders>
              <w:top w:val="nil"/>
              <w:bottom w:val="single" w:sz="4" w:space="0" w:color="008000"/>
            </w:tcBorders>
          </w:tcPr>
          <w:p w14:paraId="4706219F" w14:textId="77777777" w:rsidR="006F16FF" w:rsidRPr="00937D82" w:rsidRDefault="006F16FF" w:rsidP="00937D82">
            <w:pPr>
              <w:tabs>
                <w:tab w:val="clear" w:pos="7100"/>
              </w:tabs>
              <w:spacing w:line="240" w:lineRule="auto"/>
              <w:rPr>
                <w:rFonts w:cs="Arial"/>
                <w:b/>
                <w:sz w:val="16"/>
                <w:szCs w:val="16"/>
                <w:lang w:val="pt-BR"/>
              </w:rPr>
            </w:pPr>
          </w:p>
        </w:tc>
        <w:tc>
          <w:tcPr>
            <w:tcW w:w="1224" w:type="dxa"/>
            <w:vMerge/>
            <w:tcBorders>
              <w:top w:val="nil"/>
              <w:bottom w:val="single" w:sz="4" w:space="0" w:color="008000"/>
            </w:tcBorders>
          </w:tcPr>
          <w:p w14:paraId="5144B1B8" w14:textId="77777777" w:rsidR="006F16FF" w:rsidRPr="00937D82" w:rsidRDefault="006F16FF" w:rsidP="00937D82">
            <w:pPr>
              <w:tabs>
                <w:tab w:val="clear" w:pos="7100"/>
              </w:tabs>
              <w:spacing w:line="240" w:lineRule="auto"/>
              <w:rPr>
                <w:rFonts w:cs="Arial"/>
                <w:b/>
                <w:sz w:val="16"/>
                <w:szCs w:val="16"/>
                <w:lang w:val="pt-BR"/>
              </w:rPr>
            </w:pPr>
          </w:p>
        </w:tc>
        <w:tc>
          <w:tcPr>
            <w:tcW w:w="1224" w:type="dxa"/>
            <w:vMerge/>
            <w:tcBorders>
              <w:top w:val="nil"/>
              <w:bottom w:val="single" w:sz="4" w:space="0" w:color="008000"/>
            </w:tcBorders>
            <w:vAlign w:val="center"/>
          </w:tcPr>
          <w:p w14:paraId="5362BB55" w14:textId="77777777" w:rsidR="006F16FF" w:rsidRPr="00937D82" w:rsidRDefault="006F16FF" w:rsidP="00937D82">
            <w:pPr>
              <w:tabs>
                <w:tab w:val="clear" w:pos="7100"/>
              </w:tabs>
              <w:spacing w:line="240" w:lineRule="auto"/>
              <w:rPr>
                <w:rFonts w:cs="Arial"/>
                <w:b/>
                <w:color w:val="000000"/>
                <w:sz w:val="16"/>
                <w:szCs w:val="16"/>
                <w:lang w:val="pt-BR"/>
              </w:rPr>
            </w:pPr>
          </w:p>
        </w:tc>
        <w:tc>
          <w:tcPr>
            <w:tcW w:w="846" w:type="dxa"/>
            <w:vMerge/>
            <w:tcBorders>
              <w:top w:val="nil"/>
              <w:bottom w:val="single" w:sz="4" w:space="0" w:color="008000"/>
            </w:tcBorders>
          </w:tcPr>
          <w:p w14:paraId="0DB97D67" w14:textId="77777777" w:rsidR="006F16FF" w:rsidRPr="00937D82" w:rsidRDefault="006F16FF" w:rsidP="00937D82">
            <w:pPr>
              <w:tabs>
                <w:tab w:val="clear" w:pos="7100"/>
              </w:tabs>
              <w:spacing w:line="240" w:lineRule="auto"/>
              <w:rPr>
                <w:rFonts w:cs="Arial"/>
                <w:b/>
                <w:sz w:val="16"/>
                <w:szCs w:val="16"/>
                <w:lang w:val="pt-BR"/>
              </w:rPr>
            </w:pPr>
          </w:p>
        </w:tc>
        <w:tc>
          <w:tcPr>
            <w:tcW w:w="846" w:type="dxa"/>
            <w:vMerge/>
            <w:tcBorders>
              <w:top w:val="nil"/>
              <w:bottom w:val="single" w:sz="4" w:space="0" w:color="008000"/>
            </w:tcBorders>
          </w:tcPr>
          <w:p w14:paraId="200CA3DF" w14:textId="77777777" w:rsidR="006F16FF" w:rsidRPr="00937D82" w:rsidRDefault="006F16FF" w:rsidP="00937D82">
            <w:pPr>
              <w:tabs>
                <w:tab w:val="clear" w:pos="7100"/>
              </w:tabs>
              <w:spacing w:line="240" w:lineRule="auto"/>
              <w:rPr>
                <w:rFonts w:cs="Arial"/>
                <w:b/>
                <w:sz w:val="16"/>
                <w:szCs w:val="16"/>
                <w:lang w:val="pt-BR"/>
              </w:rPr>
            </w:pPr>
          </w:p>
        </w:tc>
        <w:tc>
          <w:tcPr>
            <w:tcW w:w="1254" w:type="dxa"/>
            <w:vMerge/>
            <w:tcBorders>
              <w:top w:val="nil"/>
              <w:bottom w:val="single" w:sz="4" w:space="0" w:color="008000"/>
            </w:tcBorders>
          </w:tcPr>
          <w:p w14:paraId="1FF7787B" w14:textId="77777777" w:rsidR="006F16FF" w:rsidRPr="00937D82" w:rsidRDefault="006F16FF" w:rsidP="00937D82">
            <w:pPr>
              <w:tabs>
                <w:tab w:val="clear" w:pos="7100"/>
              </w:tabs>
              <w:spacing w:line="240" w:lineRule="auto"/>
              <w:rPr>
                <w:rFonts w:cs="Arial"/>
                <w:b/>
                <w:sz w:val="16"/>
                <w:szCs w:val="16"/>
                <w:lang w:val="pt-BR"/>
              </w:rPr>
            </w:pPr>
          </w:p>
        </w:tc>
        <w:tc>
          <w:tcPr>
            <w:tcW w:w="1254" w:type="dxa"/>
            <w:vMerge/>
            <w:tcBorders>
              <w:top w:val="nil"/>
              <w:bottom w:val="single" w:sz="4" w:space="0" w:color="008000"/>
            </w:tcBorders>
          </w:tcPr>
          <w:p w14:paraId="73D5D1AF" w14:textId="77777777" w:rsidR="006F16FF" w:rsidRPr="00937D82" w:rsidRDefault="006F16FF" w:rsidP="00937D82">
            <w:pPr>
              <w:tabs>
                <w:tab w:val="clear" w:pos="7100"/>
              </w:tabs>
              <w:spacing w:line="240" w:lineRule="auto"/>
              <w:rPr>
                <w:rFonts w:cs="Arial"/>
                <w:b/>
                <w:sz w:val="16"/>
                <w:szCs w:val="16"/>
                <w:lang w:val="pt-BR"/>
              </w:rPr>
            </w:pPr>
          </w:p>
        </w:tc>
        <w:tc>
          <w:tcPr>
            <w:tcW w:w="1148" w:type="dxa"/>
            <w:tcBorders>
              <w:top w:val="nil"/>
              <w:bottom w:val="single" w:sz="4" w:space="0" w:color="008000"/>
            </w:tcBorders>
            <w:vAlign w:val="center"/>
          </w:tcPr>
          <w:p w14:paraId="6CDA1FF5"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sz w:val="16"/>
                <w:szCs w:val="16"/>
                <w:lang w:val="en-US"/>
              </w:rPr>
              <w:t>Propylene (C3=)</w:t>
            </w:r>
          </w:p>
        </w:tc>
        <w:tc>
          <w:tcPr>
            <w:tcW w:w="1148" w:type="dxa"/>
            <w:tcBorders>
              <w:top w:val="nil"/>
              <w:bottom w:val="single" w:sz="4" w:space="0" w:color="008000"/>
            </w:tcBorders>
            <w:vAlign w:val="center"/>
          </w:tcPr>
          <w:p w14:paraId="0708DDBD" w14:textId="77777777" w:rsidR="006F16FF" w:rsidRPr="00937D82" w:rsidRDefault="006F16FF" w:rsidP="00937D82">
            <w:pPr>
              <w:tabs>
                <w:tab w:val="clear" w:pos="7100"/>
              </w:tabs>
              <w:spacing w:line="240" w:lineRule="auto"/>
              <w:jc w:val="center"/>
              <w:rPr>
                <w:rFonts w:cs="Arial"/>
                <w:b/>
                <w:sz w:val="16"/>
                <w:szCs w:val="16"/>
                <w:lang w:val="en-US"/>
              </w:rPr>
            </w:pPr>
            <w:r w:rsidRPr="00937D82">
              <w:rPr>
                <w:rFonts w:cs="Arial"/>
                <w:b/>
                <w:sz w:val="16"/>
                <w:szCs w:val="16"/>
                <w:lang w:val="en-US"/>
              </w:rPr>
              <w:t>Propane (C3)</w:t>
            </w:r>
          </w:p>
        </w:tc>
      </w:tr>
      <w:tr w:rsidR="006F16FF" w:rsidRPr="00937D82" w14:paraId="225C52E0" w14:textId="77777777" w:rsidTr="003852B9">
        <w:trPr>
          <w:trHeight w:val="259"/>
        </w:trPr>
        <w:tc>
          <w:tcPr>
            <w:tcW w:w="787" w:type="dxa"/>
            <w:vMerge w:val="restart"/>
            <w:tcBorders>
              <w:top w:val="single" w:sz="4" w:space="0" w:color="008000"/>
            </w:tcBorders>
          </w:tcPr>
          <w:p w14:paraId="02A2D2E9" w14:textId="77777777" w:rsidR="006F16FF" w:rsidRPr="00937D82" w:rsidRDefault="006F16FF" w:rsidP="00937D82">
            <w:pPr>
              <w:tabs>
                <w:tab w:val="clear" w:pos="7100"/>
              </w:tabs>
              <w:spacing w:line="240" w:lineRule="auto"/>
              <w:rPr>
                <w:rFonts w:cs="Arial"/>
                <w:sz w:val="16"/>
                <w:szCs w:val="16"/>
                <w:lang w:val="en-US"/>
              </w:rPr>
            </w:pPr>
            <w:r w:rsidRPr="00937D82">
              <w:rPr>
                <w:rFonts w:cs="Arial"/>
                <w:sz w:val="16"/>
                <w:szCs w:val="16"/>
                <w:lang w:val="en-US"/>
              </w:rPr>
              <w:t>upper</w:t>
            </w:r>
          </w:p>
        </w:tc>
        <w:tc>
          <w:tcPr>
            <w:tcW w:w="1233" w:type="dxa"/>
            <w:tcBorders>
              <w:top w:val="single" w:sz="4" w:space="0" w:color="008000"/>
            </w:tcBorders>
          </w:tcPr>
          <w:p w14:paraId="3B81E3A0" w14:textId="77777777" w:rsidR="006F16FF" w:rsidRPr="00937D82" w:rsidRDefault="006F16FF" w:rsidP="00937D82">
            <w:pPr>
              <w:tabs>
                <w:tab w:val="clear" w:pos="7100"/>
              </w:tabs>
              <w:spacing w:line="240" w:lineRule="auto"/>
              <w:rPr>
                <w:rFonts w:cs="Arial"/>
                <w:sz w:val="16"/>
                <w:szCs w:val="16"/>
                <w:lang w:val="en-US"/>
              </w:rPr>
            </w:pPr>
            <w:r w:rsidRPr="00937D82">
              <w:rPr>
                <w:rFonts w:cs="Arial"/>
                <w:sz w:val="16"/>
                <w:szCs w:val="16"/>
                <w:lang w:val="en-US"/>
              </w:rPr>
              <w:t>Rectification</w:t>
            </w:r>
          </w:p>
        </w:tc>
        <w:tc>
          <w:tcPr>
            <w:tcW w:w="665" w:type="dxa"/>
            <w:tcBorders>
              <w:top w:val="single" w:sz="4" w:space="0" w:color="008000"/>
            </w:tcBorders>
          </w:tcPr>
          <w:p w14:paraId="010646B3"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w:t>
            </w:r>
          </w:p>
        </w:tc>
        <w:tc>
          <w:tcPr>
            <w:tcW w:w="1224" w:type="dxa"/>
            <w:tcBorders>
              <w:top w:val="single" w:sz="4" w:space="0" w:color="008000"/>
            </w:tcBorders>
            <w:vAlign w:val="bottom"/>
          </w:tcPr>
          <w:p w14:paraId="68D2F5C6"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color w:val="000000"/>
                <w:sz w:val="16"/>
                <w:szCs w:val="16"/>
                <w:lang w:val="en-US"/>
              </w:rPr>
              <w:t>0,9956</w:t>
            </w:r>
          </w:p>
        </w:tc>
        <w:tc>
          <w:tcPr>
            <w:tcW w:w="1224" w:type="dxa"/>
            <w:tcBorders>
              <w:top w:val="single" w:sz="4" w:space="0" w:color="008000"/>
            </w:tcBorders>
            <w:vAlign w:val="center"/>
          </w:tcPr>
          <w:p w14:paraId="002BA858"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0.9954</w:t>
            </w:r>
          </w:p>
        </w:tc>
        <w:tc>
          <w:tcPr>
            <w:tcW w:w="846" w:type="dxa"/>
            <w:tcBorders>
              <w:top w:val="single" w:sz="4" w:space="0" w:color="008000"/>
            </w:tcBorders>
          </w:tcPr>
          <w:p w14:paraId="25E5D6C4"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0.4781</w:t>
            </w:r>
          </w:p>
        </w:tc>
        <w:tc>
          <w:tcPr>
            <w:tcW w:w="846" w:type="dxa"/>
            <w:tcBorders>
              <w:top w:val="single" w:sz="4" w:space="0" w:color="008000"/>
            </w:tcBorders>
          </w:tcPr>
          <w:p w14:paraId="7D6CE9C7"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1.3961</w:t>
            </w:r>
          </w:p>
        </w:tc>
        <w:tc>
          <w:tcPr>
            <w:tcW w:w="1254" w:type="dxa"/>
            <w:tcBorders>
              <w:top w:val="single" w:sz="4" w:space="0" w:color="008000"/>
            </w:tcBorders>
          </w:tcPr>
          <w:p w14:paraId="565177F2"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307.8913</w:t>
            </w:r>
          </w:p>
        </w:tc>
        <w:tc>
          <w:tcPr>
            <w:tcW w:w="1254" w:type="dxa"/>
            <w:tcBorders>
              <w:top w:val="single" w:sz="4" w:space="0" w:color="008000"/>
            </w:tcBorders>
          </w:tcPr>
          <w:p w14:paraId="0E73541C"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307.8944</w:t>
            </w:r>
          </w:p>
        </w:tc>
        <w:tc>
          <w:tcPr>
            <w:tcW w:w="1148" w:type="dxa"/>
            <w:tcBorders>
              <w:top w:val="single" w:sz="4" w:space="0" w:color="008000"/>
            </w:tcBorders>
          </w:tcPr>
          <w:p w14:paraId="796E7DCD"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1.0003</w:t>
            </w:r>
          </w:p>
        </w:tc>
        <w:tc>
          <w:tcPr>
            <w:tcW w:w="1148" w:type="dxa"/>
            <w:tcBorders>
              <w:top w:val="single" w:sz="4" w:space="0" w:color="008000"/>
            </w:tcBorders>
          </w:tcPr>
          <w:p w14:paraId="1EDD1431"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0.9168</w:t>
            </w:r>
          </w:p>
        </w:tc>
      </w:tr>
      <w:tr w:rsidR="006F16FF" w:rsidRPr="00937D82" w14:paraId="6AC1CEEF" w14:textId="77777777" w:rsidTr="003852B9">
        <w:trPr>
          <w:trHeight w:val="268"/>
        </w:trPr>
        <w:tc>
          <w:tcPr>
            <w:tcW w:w="787" w:type="dxa"/>
            <w:vMerge/>
          </w:tcPr>
          <w:p w14:paraId="4AE42242" w14:textId="77777777" w:rsidR="006F16FF" w:rsidRPr="00937D82" w:rsidRDefault="006F16FF" w:rsidP="00937D82">
            <w:pPr>
              <w:tabs>
                <w:tab w:val="clear" w:pos="7100"/>
              </w:tabs>
              <w:spacing w:line="240" w:lineRule="auto"/>
              <w:rPr>
                <w:rFonts w:cs="Arial"/>
                <w:sz w:val="16"/>
                <w:szCs w:val="16"/>
                <w:lang w:val="en-US"/>
              </w:rPr>
            </w:pPr>
          </w:p>
        </w:tc>
        <w:tc>
          <w:tcPr>
            <w:tcW w:w="1233" w:type="dxa"/>
          </w:tcPr>
          <w:p w14:paraId="2D031160" w14:textId="77777777" w:rsidR="006F16FF" w:rsidRPr="00937D82" w:rsidRDefault="006F16FF" w:rsidP="00937D82">
            <w:pPr>
              <w:tabs>
                <w:tab w:val="clear" w:pos="7100"/>
              </w:tabs>
              <w:spacing w:line="240" w:lineRule="auto"/>
              <w:rPr>
                <w:rFonts w:cs="Arial"/>
                <w:sz w:val="16"/>
                <w:szCs w:val="16"/>
                <w:lang w:val="en-US"/>
              </w:rPr>
            </w:pPr>
            <w:r w:rsidRPr="00937D82">
              <w:rPr>
                <w:rFonts w:cs="Arial"/>
                <w:sz w:val="16"/>
                <w:szCs w:val="16"/>
                <w:lang w:val="en-US"/>
              </w:rPr>
              <w:t>Stripping</w:t>
            </w:r>
          </w:p>
        </w:tc>
        <w:tc>
          <w:tcPr>
            <w:tcW w:w="665" w:type="dxa"/>
          </w:tcPr>
          <w:p w14:paraId="69BE49B8"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2</w:t>
            </w:r>
          </w:p>
        </w:tc>
        <w:tc>
          <w:tcPr>
            <w:tcW w:w="1224" w:type="dxa"/>
            <w:vAlign w:val="bottom"/>
          </w:tcPr>
          <w:p w14:paraId="441EFA60"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color w:val="000000"/>
                <w:sz w:val="16"/>
                <w:szCs w:val="16"/>
                <w:lang w:val="en-US"/>
              </w:rPr>
              <w:t>0,4406</w:t>
            </w:r>
          </w:p>
        </w:tc>
        <w:tc>
          <w:tcPr>
            <w:tcW w:w="1224" w:type="dxa"/>
            <w:vAlign w:val="center"/>
          </w:tcPr>
          <w:p w14:paraId="7378093E"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0.4544</w:t>
            </w:r>
          </w:p>
        </w:tc>
        <w:tc>
          <w:tcPr>
            <w:tcW w:w="846" w:type="dxa"/>
          </w:tcPr>
          <w:p w14:paraId="5F077D97"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0.4602</w:t>
            </w:r>
          </w:p>
        </w:tc>
        <w:tc>
          <w:tcPr>
            <w:tcW w:w="846" w:type="dxa"/>
          </w:tcPr>
          <w:p w14:paraId="3D6A039D"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3.6125</w:t>
            </w:r>
          </w:p>
        </w:tc>
        <w:tc>
          <w:tcPr>
            <w:tcW w:w="1254" w:type="dxa"/>
          </w:tcPr>
          <w:p w14:paraId="27197E3F"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300.4481</w:t>
            </w:r>
          </w:p>
        </w:tc>
        <w:tc>
          <w:tcPr>
            <w:tcW w:w="1254" w:type="dxa"/>
          </w:tcPr>
          <w:p w14:paraId="180CF30F"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300.6408</w:t>
            </w:r>
          </w:p>
        </w:tc>
        <w:tc>
          <w:tcPr>
            <w:tcW w:w="1148" w:type="dxa"/>
          </w:tcPr>
          <w:p w14:paraId="43D53475"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sz w:val="16"/>
                <w:szCs w:val="16"/>
                <w:lang w:val="en-US"/>
              </w:rPr>
              <w:t>1.0887</w:t>
            </w:r>
          </w:p>
        </w:tc>
        <w:tc>
          <w:tcPr>
            <w:tcW w:w="1148" w:type="dxa"/>
          </w:tcPr>
          <w:p w14:paraId="654A3435"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sz w:val="16"/>
                <w:szCs w:val="16"/>
                <w:lang w:val="en-US"/>
              </w:rPr>
              <w:t>0.9335</w:t>
            </w:r>
          </w:p>
        </w:tc>
      </w:tr>
      <w:tr w:rsidR="006F16FF" w:rsidRPr="00937D82" w14:paraId="59D581D3" w14:textId="77777777" w:rsidTr="003852B9">
        <w:trPr>
          <w:trHeight w:val="259"/>
        </w:trPr>
        <w:tc>
          <w:tcPr>
            <w:tcW w:w="787" w:type="dxa"/>
            <w:vMerge w:val="restart"/>
          </w:tcPr>
          <w:p w14:paraId="282CA66E" w14:textId="77777777" w:rsidR="006F16FF" w:rsidRPr="00937D82" w:rsidRDefault="006F16FF" w:rsidP="00937D82">
            <w:pPr>
              <w:tabs>
                <w:tab w:val="clear" w:pos="7100"/>
              </w:tabs>
              <w:spacing w:line="240" w:lineRule="auto"/>
              <w:rPr>
                <w:rFonts w:cs="Arial"/>
                <w:sz w:val="16"/>
                <w:szCs w:val="16"/>
                <w:lang w:val="en-US"/>
              </w:rPr>
            </w:pPr>
            <w:r w:rsidRPr="00937D82">
              <w:rPr>
                <w:rFonts w:cs="Arial"/>
                <w:sz w:val="16"/>
                <w:szCs w:val="16"/>
                <w:lang w:val="en-US"/>
              </w:rPr>
              <w:t>middle</w:t>
            </w:r>
          </w:p>
        </w:tc>
        <w:tc>
          <w:tcPr>
            <w:tcW w:w="1233" w:type="dxa"/>
          </w:tcPr>
          <w:p w14:paraId="53F98A40" w14:textId="77777777" w:rsidR="006F16FF" w:rsidRPr="00937D82" w:rsidRDefault="006F16FF" w:rsidP="00937D82">
            <w:pPr>
              <w:tabs>
                <w:tab w:val="clear" w:pos="7100"/>
              </w:tabs>
              <w:spacing w:line="240" w:lineRule="auto"/>
              <w:rPr>
                <w:rFonts w:cs="Arial"/>
                <w:sz w:val="16"/>
                <w:szCs w:val="16"/>
                <w:lang w:val="en-US"/>
              </w:rPr>
            </w:pPr>
            <w:r w:rsidRPr="00937D82">
              <w:rPr>
                <w:rFonts w:cs="Arial"/>
                <w:sz w:val="16"/>
                <w:szCs w:val="16"/>
                <w:lang w:val="en-US"/>
              </w:rPr>
              <w:t>Rectification</w:t>
            </w:r>
          </w:p>
        </w:tc>
        <w:tc>
          <w:tcPr>
            <w:tcW w:w="665" w:type="dxa"/>
          </w:tcPr>
          <w:p w14:paraId="27398D3F"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31</w:t>
            </w:r>
          </w:p>
        </w:tc>
        <w:tc>
          <w:tcPr>
            <w:tcW w:w="1224" w:type="dxa"/>
            <w:vAlign w:val="bottom"/>
          </w:tcPr>
          <w:p w14:paraId="65EC751D"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0,9878</w:t>
            </w:r>
          </w:p>
        </w:tc>
        <w:tc>
          <w:tcPr>
            <w:tcW w:w="1224" w:type="dxa"/>
            <w:vAlign w:val="center"/>
          </w:tcPr>
          <w:p w14:paraId="3B55C176"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0.9881</w:t>
            </w:r>
          </w:p>
        </w:tc>
        <w:tc>
          <w:tcPr>
            <w:tcW w:w="846" w:type="dxa"/>
          </w:tcPr>
          <w:p w14:paraId="63EBA33B"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1.2071</w:t>
            </w:r>
          </w:p>
        </w:tc>
        <w:tc>
          <w:tcPr>
            <w:tcW w:w="846" w:type="dxa"/>
          </w:tcPr>
          <w:p w14:paraId="61E206B1"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3.0453</w:t>
            </w:r>
          </w:p>
        </w:tc>
        <w:tc>
          <w:tcPr>
            <w:tcW w:w="1254" w:type="dxa"/>
          </w:tcPr>
          <w:p w14:paraId="3727A299"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307.9298</w:t>
            </w:r>
          </w:p>
        </w:tc>
        <w:tc>
          <w:tcPr>
            <w:tcW w:w="1254" w:type="dxa"/>
          </w:tcPr>
          <w:p w14:paraId="06958973"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307.9338</w:t>
            </w:r>
          </w:p>
        </w:tc>
        <w:tc>
          <w:tcPr>
            <w:tcW w:w="1148" w:type="dxa"/>
          </w:tcPr>
          <w:p w14:paraId="31C6A74B"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sz w:val="16"/>
                <w:szCs w:val="16"/>
                <w:lang w:val="en-US"/>
              </w:rPr>
              <w:t>1.0011</w:t>
            </w:r>
          </w:p>
        </w:tc>
        <w:tc>
          <w:tcPr>
            <w:tcW w:w="1148" w:type="dxa"/>
          </w:tcPr>
          <w:p w14:paraId="2D0CA9A9"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sz w:val="16"/>
                <w:szCs w:val="16"/>
                <w:lang w:val="en-US"/>
              </w:rPr>
              <w:t>0.9166</w:t>
            </w:r>
          </w:p>
        </w:tc>
      </w:tr>
      <w:tr w:rsidR="006F16FF" w:rsidRPr="00937D82" w14:paraId="65624A9D" w14:textId="77777777" w:rsidTr="003852B9">
        <w:trPr>
          <w:trHeight w:val="268"/>
        </w:trPr>
        <w:tc>
          <w:tcPr>
            <w:tcW w:w="787" w:type="dxa"/>
            <w:vMerge/>
          </w:tcPr>
          <w:p w14:paraId="6EE255CA" w14:textId="77777777" w:rsidR="006F16FF" w:rsidRPr="00937D82" w:rsidRDefault="006F16FF" w:rsidP="00937D82">
            <w:pPr>
              <w:tabs>
                <w:tab w:val="clear" w:pos="7100"/>
              </w:tabs>
              <w:spacing w:line="240" w:lineRule="auto"/>
              <w:rPr>
                <w:rFonts w:cs="Arial"/>
                <w:sz w:val="16"/>
                <w:szCs w:val="16"/>
                <w:lang w:val="en-US"/>
              </w:rPr>
            </w:pPr>
          </w:p>
        </w:tc>
        <w:tc>
          <w:tcPr>
            <w:tcW w:w="1233" w:type="dxa"/>
          </w:tcPr>
          <w:p w14:paraId="7C0213ED" w14:textId="77777777" w:rsidR="006F16FF" w:rsidRPr="00937D82" w:rsidRDefault="006F16FF" w:rsidP="00937D82">
            <w:pPr>
              <w:tabs>
                <w:tab w:val="clear" w:pos="7100"/>
              </w:tabs>
              <w:spacing w:line="240" w:lineRule="auto"/>
              <w:rPr>
                <w:rFonts w:cs="Arial"/>
                <w:sz w:val="16"/>
                <w:szCs w:val="16"/>
                <w:lang w:val="en-US"/>
              </w:rPr>
            </w:pPr>
            <w:r w:rsidRPr="00937D82">
              <w:rPr>
                <w:rFonts w:cs="Arial"/>
                <w:sz w:val="16"/>
                <w:szCs w:val="16"/>
                <w:lang w:val="en-US"/>
              </w:rPr>
              <w:t>Stripping</w:t>
            </w:r>
          </w:p>
        </w:tc>
        <w:tc>
          <w:tcPr>
            <w:tcW w:w="665" w:type="dxa"/>
          </w:tcPr>
          <w:p w14:paraId="76C35A83"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w:t>
            </w:r>
          </w:p>
        </w:tc>
        <w:tc>
          <w:tcPr>
            <w:tcW w:w="1224" w:type="dxa"/>
            <w:vAlign w:val="bottom"/>
          </w:tcPr>
          <w:p w14:paraId="3F7457B0"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0,1118</w:t>
            </w:r>
          </w:p>
        </w:tc>
        <w:tc>
          <w:tcPr>
            <w:tcW w:w="1224" w:type="dxa"/>
            <w:vAlign w:val="center"/>
          </w:tcPr>
          <w:p w14:paraId="6D54DDC4"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0.1156</w:t>
            </w:r>
          </w:p>
        </w:tc>
        <w:tc>
          <w:tcPr>
            <w:tcW w:w="846" w:type="dxa"/>
          </w:tcPr>
          <w:p w14:paraId="6BCC9872"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0.2716</w:t>
            </w:r>
          </w:p>
        </w:tc>
        <w:tc>
          <w:tcPr>
            <w:tcW w:w="846" w:type="dxa"/>
          </w:tcPr>
          <w:p w14:paraId="23012B27"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1.960</w:t>
            </w:r>
          </w:p>
        </w:tc>
        <w:tc>
          <w:tcPr>
            <w:tcW w:w="1254" w:type="dxa"/>
          </w:tcPr>
          <w:p w14:paraId="7EE133A2"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303.4091</w:t>
            </w:r>
          </w:p>
        </w:tc>
        <w:tc>
          <w:tcPr>
            <w:tcW w:w="1254" w:type="dxa"/>
          </w:tcPr>
          <w:p w14:paraId="2086BE19"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303.5473</w:t>
            </w:r>
          </w:p>
        </w:tc>
        <w:tc>
          <w:tcPr>
            <w:tcW w:w="1148" w:type="dxa"/>
          </w:tcPr>
          <w:p w14:paraId="6C377C74"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sz w:val="16"/>
                <w:szCs w:val="16"/>
                <w:lang w:val="en-US"/>
              </w:rPr>
              <w:t>1.1734</w:t>
            </w:r>
          </w:p>
        </w:tc>
        <w:tc>
          <w:tcPr>
            <w:tcW w:w="1148" w:type="dxa"/>
          </w:tcPr>
          <w:p w14:paraId="27AE50E6"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sz w:val="16"/>
                <w:szCs w:val="16"/>
                <w:lang w:val="en-US"/>
              </w:rPr>
              <w:t>0.9796</w:t>
            </w:r>
          </w:p>
        </w:tc>
      </w:tr>
      <w:tr w:rsidR="006F16FF" w:rsidRPr="00937D82" w14:paraId="4F1D7C19" w14:textId="77777777" w:rsidTr="003852B9">
        <w:trPr>
          <w:trHeight w:val="259"/>
        </w:trPr>
        <w:tc>
          <w:tcPr>
            <w:tcW w:w="787" w:type="dxa"/>
            <w:vMerge w:val="restart"/>
          </w:tcPr>
          <w:p w14:paraId="06D558AF" w14:textId="77777777" w:rsidR="006F16FF" w:rsidRPr="00937D82" w:rsidRDefault="006F16FF" w:rsidP="00937D82">
            <w:pPr>
              <w:tabs>
                <w:tab w:val="clear" w:pos="7100"/>
              </w:tabs>
              <w:spacing w:line="240" w:lineRule="auto"/>
              <w:rPr>
                <w:rFonts w:cs="Arial"/>
                <w:sz w:val="16"/>
                <w:szCs w:val="16"/>
                <w:lang w:val="en-US"/>
              </w:rPr>
            </w:pPr>
            <w:r w:rsidRPr="00937D82">
              <w:rPr>
                <w:rFonts w:cs="Arial"/>
                <w:sz w:val="16"/>
                <w:szCs w:val="16"/>
                <w:lang w:val="en-US"/>
              </w:rPr>
              <w:t>bottom</w:t>
            </w:r>
          </w:p>
        </w:tc>
        <w:tc>
          <w:tcPr>
            <w:tcW w:w="1233" w:type="dxa"/>
          </w:tcPr>
          <w:p w14:paraId="41B7D76A" w14:textId="77777777" w:rsidR="006F16FF" w:rsidRPr="00937D82" w:rsidRDefault="006F16FF" w:rsidP="00937D82">
            <w:pPr>
              <w:tabs>
                <w:tab w:val="clear" w:pos="7100"/>
              </w:tabs>
              <w:spacing w:line="240" w:lineRule="auto"/>
              <w:rPr>
                <w:rFonts w:cs="Arial"/>
                <w:sz w:val="16"/>
                <w:szCs w:val="16"/>
                <w:lang w:val="en-US"/>
              </w:rPr>
            </w:pPr>
            <w:r w:rsidRPr="00937D82">
              <w:rPr>
                <w:rFonts w:cs="Arial"/>
                <w:sz w:val="16"/>
                <w:szCs w:val="16"/>
                <w:lang w:val="en-US"/>
              </w:rPr>
              <w:t>Rectification</w:t>
            </w:r>
          </w:p>
        </w:tc>
        <w:tc>
          <w:tcPr>
            <w:tcW w:w="665" w:type="dxa"/>
          </w:tcPr>
          <w:p w14:paraId="44CFCCEF"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60</w:t>
            </w:r>
          </w:p>
        </w:tc>
        <w:tc>
          <w:tcPr>
            <w:tcW w:w="1224" w:type="dxa"/>
            <w:vAlign w:val="bottom"/>
          </w:tcPr>
          <w:p w14:paraId="72F5B4FA"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0,9666</w:t>
            </w:r>
          </w:p>
        </w:tc>
        <w:tc>
          <w:tcPr>
            <w:tcW w:w="1224" w:type="dxa"/>
            <w:vAlign w:val="center"/>
          </w:tcPr>
          <w:p w14:paraId="572CD7F3"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0.9671</w:t>
            </w:r>
          </w:p>
        </w:tc>
        <w:tc>
          <w:tcPr>
            <w:tcW w:w="846" w:type="dxa"/>
          </w:tcPr>
          <w:p w14:paraId="6E656C4D"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1.7241</w:t>
            </w:r>
          </w:p>
        </w:tc>
        <w:tc>
          <w:tcPr>
            <w:tcW w:w="846" w:type="dxa"/>
          </w:tcPr>
          <w:p w14:paraId="43F8BCCF"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4.1949</w:t>
            </w:r>
          </w:p>
        </w:tc>
        <w:tc>
          <w:tcPr>
            <w:tcW w:w="1254" w:type="dxa"/>
          </w:tcPr>
          <w:p w14:paraId="38702E56"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308.0373</w:t>
            </w:r>
          </w:p>
        </w:tc>
        <w:tc>
          <w:tcPr>
            <w:tcW w:w="1254" w:type="dxa"/>
          </w:tcPr>
          <w:p w14:paraId="42AE6A9D"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308.0499</w:t>
            </w:r>
          </w:p>
        </w:tc>
        <w:tc>
          <w:tcPr>
            <w:tcW w:w="1148" w:type="dxa"/>
          </w:tcPr>
          <w:p w14:paraId="383CECEA"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sz w:val="16"/>
                <w:szCs w:val="16"/>
                <w:lang w:val="en-US"/>
              </w:rPr>
              <w:t>1.0030</w:t>
            </w:r>
          </w:p>
        </w:tc>
        <w:tc>
          <w:tcPr>
            <w:tcW w:w="1148" w:type="dxa"/>
          </w:tcPr>
          <w:p w14:paraId="1459ABB8"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sz w:val="16"/>
                <w:szCs w:val="16"/>
                <w:lang w:val="en-US"/>
              </w:rPr>
              <w:t>0.9164</w:t>
            </w:r>
          </w:p>
        </w:tc>
      </w:tr>
      <w:tr w:rsidR="006F16FF" w:rsidRPr="00937D82" w14:paraId="79D3042F" w14:textId="77777777" w:rsidTr="003852B9">
        <w:trPr>
          <w:trHeight w:val="279"/>
        </w:trPr>
        <w:tc>
          <w:tcPr>
            <w:tcW w:w="787" w:type="dxa"/>
            <w:vMerge/>
          </w:tcPr>
          <w:p w14:paraId="392EA526" w14:textId="77777777" w:rsidR="006F16FF" w:rsidRPr="00937D82" w:rsidRDefault="006F16FF" w:rsidP="00937D82">
            <w:pPr>
              <w:tabs>
                <w:tab w:val="clear" w:pos="7100"/>
              </w:tabs>
              <w:spacing w:line="240" w:lineRule="auto"/>
              <w:rPr>
                <w:rFonts w:cs="Arial"/>
                <w:sz w:val="16"/>
                <w:szCs w:val="16"/>
                <w:lang w:val="en-US"/>
              </w:rPr>
            </w:pPr>
          </w:p>
        </w:tc>
        <w:tc>
          <w:tcPr>
            <w:tcW w:w="1233" w:type="dxa"/>
          </w:tcPr>
          <w:p w14:paraId="4D826305" w14:textId="77777777" w:rsidR="006F16FF" w:rsidRPr="00937D82" w:rsidRDefault="006F16FF" w:rsidP="00937D82">
            <w:pPr>
              <w:tabs>
                <w:tab w:val="clear" w:pos="7100"/>
              </w:tabs>
              <w:spacing w:line="240" w:lineRule="auto"/>
              <w:rPr>
                <w:rFonts w:cs="Arial"/>
                <w:sz w:val="16"/>
                <w:szCs w:val="16"/>
                <w:lang w:val="en-US"/>
              </w:rPr>
            </w:pPr>
            <w:r w:rsidRPr="00937D82">
              <w:rPr>
                <w:rFonts w:cs="Arial"/>
                <w:sz w:val="16"/>
                <w:szCs w:val="16"/>
                <w:lang w:val="en-US"/>
              </w:rPr>
              <w:t>Stripping</w:t>
            </w:r>
          </w:p>
        </w:tc>
        <w:tc>
          <w:tcPr>
            <w:tcW w:w="665" w:type="dxa"/>
          </w:tcPr>
          <w:p w14:paraId="1E1D83D8"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59</w:t>
            </w:r>
          </w:p>
        </w:tc>
        <w:tc>
          <w:tcPr>
            <w:tcW w:w="1224" w:type="dxa"/>
            <w:vAlign w:val="bottom"/>
          </w:tcPr>
          <w:p w14:paraId="6D57C4D1"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0,0161</w:t>
            </w:r>
          </w:p>
        </w:tc>
        <w:tc>
          <w:tcPr>
            <w:tcW w:w="1224" w:type="dxa"/>
            <w:vAlign w:val="center"/>
          </w:tcPr>
          <w:p w14:paraId="5B266D7A"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0.0154</w:t>
            </w:r>
          </w:p>
        </w:tc>
        <w:tc>
          <w:tcPr>
            <w:tcW w:w="846" w:type="dxa"/>
          </w:tcPr>
          <w:p w14:paraId="6C42BC5B"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0.1403</w:t>
            </w:r>
          </w:p>
        </w:tc>
        <w:tc>
          <w:tcPr>
            <w:tcW w:w="846" w:type="dxa"/>
          </w:tcPr>
          <w:p w14:paraId="5740E37F"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0.8896</w:t>
            </w:r>
          </w:p>
        </w:tc>
        <w:tc>
          <w:tcPr>
            <w:tcW w:w="1254" w:type="dxa"/>
          </w:tcPr>
          <w:p w14:paraId="6F646377"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304.4227</w:t>
            </w:r>
          </w:p>
        </w:tc>
        <w:tc>
          <w:tcPr>
            <w:tcW w:w="1254" w:type="dxa"/>
          </w:tcPr>
          <w:p w14:paraId="7948AE62" w14:textId="77777777" w:rsidR="006F16FF" w:rsidRPr="00937D82" w:rsidRDefault="006F16FF" w:rsidP="00937D82">
            <w:pPr>
              <w:tabs>
                <w:tab w:val="clear" w:pos="7100"/>
              </w:tabs>
              <w:spacing w:line="240" w:lineRule="auto"/>
              <w:jc w:val="center"/>
              <w:rPr>
                <w:rFonts w:cs="Arial"/>
                <w:color w:val="000000"/>
                <w:sz w:val="16"/>
                <w:szCs w:val="16"/>
                <w:lang w:val="en-US"/>
              </w:rPr>
            </w:pPr>
            <w:r w:rsidRPr="00937D82">
              <w:rPr>
                <w:rFonts w:cs="Arial"/>
                <w:color w:val="000000"/>
                <w:sz w:val="16"/>
                <w:szCs w:val="16"/>
                <w:lang w:val="en-US"/>
              </w:rPr>
              <w:t>304.4599</w:t>
            </w:r>
          </w:p>
        </w:tc>
        <w:tc>
          <w:tcPr>
            <w:tcW w:w="1148" w:type="dxa"/>
          </w:tcPr>
          <w:p w14:paraId="7456E401"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sz w:val="16"/>
                <w:szCs w:val="16"/>
                <w:lang w:val="en-US"/>
              </w:rPr>
              <w:t>1.2022</w:t>
            </w:r>
          </w:p>
        </w:tc>
        <w:tc>
          <w:tcPr>
            <w:tcW w:w="1148" w:type="dxa"/>
          </w:tcPr>
          <w:p w14:paraId="4475E4B0" w14:textId="77777777" w:rsidR="006F16FF" w:rsidRPr="00937D82" w:rsidRDefault="006F16FF" w:rsidP="00937D82">
            <w:pPr>
              <w:tabs>
                <w:tab w:val="clear" w:pos="7100"/>
              </w:tabs>
              <w:spacing w:line="240" w:lineRule="auto"/>
              <w:jc w:val="center"/>
              <w:rPr>
                <w:rFonts w:cs="Arial"/>
                <w:sz w:val="16"/>
                <w:szCs w:val="16"/>
                <w:lang w:val="en-US"/>
              </w:rPr>
            </w:pPr>
            <w:r w:rsidRPr="00937D82">
              <w:rPr>
                <w:rFonts w:cs="Arial"/>
                <w:sz w:val="16"/>
                <w:szCs w:val="16"/>
                <w:lang w:val="en-US"/>
              </w:rPr>
              <w:t>0.9970</w:t>
            </w:r>
          </w:p>
        </w:tc>
      </w:tr>
    </w:tbl>
    <w:p w14:paraId="2F546D85" w14:textId="77777777" w:rsidR="006F16FF" w:rsidRDefault="006F16FF" w:rsidP="003852B9">
      <w:pPr>
        <w:pStyle w:val="CETheadingx"/>
      </w:pPr>
      <w:r>
        <w:t xml:space="preserve">CFD </w:t>
      </w:r>
      <w:r w:rsidRPr="003852B9">
        <w:t>Simulation</w:t>
      </w:r>
    </w:p>
    <w:p w14:paraId="54FA5744" w14:textId="77777777" w:rsidR="006F16FF" w:rsidRDefault="006F16FF" w:rsidP="007D1DC0">
      <w:pPr>
        <w:pStyle w:val="CETBodytext"/>
        <w:rPr>
          <w:lang w:val="en-GB"/>
        </w:rPr>
      </w:pPr>
      <w:r w:rsidRPr="00961910">
        <w:rPr>
          <w:lang w:val="en-GB"/>
        </w:rPr>
        <w:t>The formulated CFD model for the simulations under non-equilibrium conditions of the HIDiC unit was used for a detailed analysis of the heat integration in near-real conditions of three representative trays of the column.</w:t>
      </w:r>
    </w:p>
    <w:p w14:paraId="22F29E47" w14:textId="77777777" w:rsidR="006F16FF" w:rsidRDefault="006F16FF" w:rsidP="00B96F9D">
      <w:pPr>
        <w:pStyle w:val="CETHeadingxx"/>
      </w:pPr>
      <w:r>
        <w:t>Phase volume fraction</w:t>
      </w:r>
    </w:p>
    <w:p w14:paraId="50AEC3B6" w14:textId="77777777" w:rsidR="006F16FF" w:rsidRDefault="006F16FF" w:rsidP="007D1DC0">
      <w:pPr>
        <w:pStyle w:val="CETBodytext"/>
        <w:rPr>
          <w:lang w:val="en-GB"/>
        </w:rPr>
      </w:pPr>
      <w:r w:rsidRPr="00B96F9D">
        <w:rPr>
          <w:lang w:val="en-GB"/>
        </w:rPr>
        <w:t>Vapor phase volume fraction is shown in Figure 2, the larger volume inside the trays is take up by the vapor phase.</w:t>
      </w:r>
    </w:p>
    <w:tbl>
      <w:tblPr>
        <w:tblStyle w:val="TableGrid"/>
        <w:tblW w:w="10032" w:type="dxa"/>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222"/>
        <w:gridCol w:w="4933"/>
      </w:tblGrid>
      <w:tr w:rsidR="006F16FF" w14:paraId="4A4BF0C3" w14:textId="77777777" w:rsidTr="00930FE3">
        <w:trPr>
          <w:trHeight w:val="278"/>
        </w:trPr>
        <w:tc>
          <w:tcPr>
            <w:tcW w:w="3405" w:type="dxa"/>
          </w:tcPr>
          <w:p w14:paraId="5B97069D" w14:textId="77777777" w:rsidR="006F16FF" w:rsidRPr="00756591" w:rsidRDefault="006F16FF" w:rsidP="00756591">
            <w:pPr>
              <w:pStyle w:val="CETBodytext"/>
              <w:jc w:val="center"/>
              <w:rPr>
                <w:b/>
                <w:bCs/>
              </w:rPr>
            </w:pPr>
            <w:r w:rsidRPr="00756591">
              <w:rPr>
                <w:b/>
                <w:bCs/>
              </w:rPr>
              <w:lastRenderedPageBreak/>
              <w:t>Phase volume fraction</w:t>
            </w:r>
          </w:p>
        </w:tc>
        <w:tc>
          <w:tcPr>
            <w:tcW w:w="164" w:type="dxa"/>
          </w:tcPr>
          <w:p w14:paraId="4BE5ABA5" w14:textId="77777777" w:rsidR="006F16FF" w:rsidRPr="00756591" w:rsidRDefault="006F16FF" w:rsidP="00756591">
            <w:pPr>
              <w:pStyle w:val="CETBodytext"/>
              <w:jc w:val="center"/>
              <w:rPr>
                <w:b/>
                <w:bCs/>
              </w:rPr>
            </w:pPr>
          </w:p>
        </w:tc>
        <w:tc>
          <w:tcPr>
            <w:tcW w:w="6463" w:type="dxa"/>
          </w:tcPr>
          <w:p w14:paraId="44F6C763" w14:textId="77777777" w:rsidR="006F16FF" w:rsidRPr="00756591" w:rsidRDefault="006F16FF" w:rsidP="00756591">
            <w:pPr>
              <w:pStyle w:val="CETBodytext"/>
              <w:jc w:val="center"/>
              <w:rPr>
                <w:b/>
                <w:bCs/>
              </w:rPr>
            </w:pPr>
            <w:r w:rsidRPr="00756591">
              <w:rPr>
                <w:b/>
                <w:bCs/>
              </w:rPr>
              <w:t>Temperature contours</w:t>
            </w:r>
          </w:p>
        </w:tc>
      </w:tr>
      <w:tr w:rsidR="006F16FF" w14:paraId="312F51AB" w14:textId="77777777" w:rsidTr="00930FE3">
        <w:trPr>
          <w:trHeight w:val="3063"/>
        </w:trPr>
        <w:tc>
          <w:tcPr>
            <w:tcW w:w="3405" w:type="dxa"/>
          </w:tcPr>
          <w:p w14:paraId="5E6053D6" w14:textId="77777777" w:rsidR="006F16FF" w:rsidRDefault="006F16FF" w:rsidP="00A75AAB">
            <w:pPr>
              <w:pStyle w:val="CETBodytext"/>
            </w:pPr>
            <w:r>
              <w:t>a)</w:t>
            </w:r>
          </w:p>
          <w:p w14:paraId="307D2145" w14:textId="77777777" w:rsidR="006F16FF" w:rsidRDefault="006F16FF" w:rsidP="00A75AAB">
            <w:pPr>
              <w:pStyle w:val="CETBodytext"/>
            </w:pPr>
            <w:r w:rsidRPr="006C0213">
              <w:rPr>
                <w:rFonts w:eastAsia="Calibri"/>
                <w:bCs/>
                <w:szCs w:val="18"/>
              </w:rPr>
              <w:object w:dxaOrig="11310" w:dyaOrig="6975" w14:anchorId="74F79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65pt;height:131.65pt" o:ole="">
                  <v:imagedata r:id="rId13" o:title=""/>
                </v:shape>
                <o:OLEObject Type="Embed" ProgID="PBrush" ShapeID="_x0000_i1025" DrawAspect="Content" ObjectID="_1806599344" r:id="rId14"/>
              </w:object>
            </w:r>
          </w:p>
        </w:tc>
        <w:tc>
          <w:tcPr>
            <w:tcW w:w="164" w:type="dxa"/>
          </w:tcPr>
          <w:p w14:paraId="4B721674" w14:textId="77777777" w:rsidR="006F16FF" w:rsidRDefault="006F16FF" w:rsidP="00A75AAB">
            <w:pPr>
              <w:pStyle w:val="CETBodytext"/>
            </w:pPr>
          </w:p>
        </w:tc>
        <w:tc>
          <w:tcPr>
            <w:tcW w:w="6463" w:type="dxa"/>
          </w:tcPr>
          <w:p w14:paraId="72D4376E" w14:textId="77777777" w:rsidR="006F16FF" w:rsidRDefault="006F16FF" w:rsidP="00A75AAB">
            <w:pPr>
              <w:pStyle w:val="CETBodytext"/>
            </w:pPr>
            <w:r>
              <w:t>a)</w:t>
            </w:r>
          </w:p>
          <w:p w14:paraId="525F6840" w14:textId="77777777" w:rsidR="006F16FF" w:rsidRDefault="006F16FF" w:rsidP="00A75AAB">
            <w:pPr>
              <w:pStyle w:val="CETBodytext"/>
            </w:pPr>
            <w:r w:rsidRPr="00A75AAB">
              <w:rPr>
                <w:noProof/>
              </w:rPr>
              <w:drawing>
                <wp:inline distT="0" distB="0" distL="0" distR="0" wp14:anchorId="1C1A47E7" wp14:editId="37452469">
                  <wp:extent cx="2752725" cy="1770932"/>
                  <wp:effectExtent l="0" t="0" r="0" b="1270"/>
                  <wp:docPr id="1047846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038" cy="1784644"/>
                          </a:xfrm>
                          <a:prstGeom prst="rect">
                            <a:avLst/>
                          </a:prstGeom>
                          <a:noFill/>
                          <a:ln>
                            <a:noFill/>
                          </a:ln>
                        </pic:spPr>
                      </pic:pic>
                    </a:graphicData>
                  </a:graphic>
                </wp:inline>
              </w:drawing>
            </w:r>
          </w:p>
        </w:tc>
      </w:tr>
      <w:tr w:rsidR="006F16FF" w14:paraId="0AA7CE5C" w14:textId="77777777" w:rsidTr="00930FE3">
        <w:trPr>
          <w:trHeight w:val="3229"/>
        </w:trPr>
        <w:tc>
          <w:tcPr>
            <w:tcW w:w="3405" w:type="dxa"/>
          </w:tcPr>
          <w:p w14:paraId="7F5CCE9B" w14:textId="77777777" w:rsidR="006F16FF" w:rsidRDefault="006F16FF" w:rsidP="00A75AAB">
            <w:pPr>
              <w:pStyle w:val="CETBodytext"/>
            </w:pPr>
            <w:r>
              <w:t>b)</w:t>
            </w:r>
          </w:p>
          <w:p w14:paraId="266F0712" w14:textId="77777777" w:rsidR="006F16FF" w:rsidRDefault="006F16FF" w:rsidP="00A75AAB">
            <w:pPr>
              <w:pStyle w:val="CETBodytext"/>
            </w:pPr>
            <w:r w:rsidRPr="006C0213">
              <w:rPr>
                <w:rFonts w:eastAsia="Calibri"/>
                <w:bCs/>
                <w:szCs w:val="18"/>
              </w:rPr>
              <w:object w:dxaOrig="12225" w:dyaOrig="7335" w14:anchorId="591642F7">
                <v:shape id="_x0000_i1026" type="#_x0000_t75" style="width:227.8pt;height:131.65pt" o:ole="">
                  <v:imagedata r:id="rId16" o:title=""/>
                </v:shape>
                <o:OLEObject Type="Embed" ProgID="PBrush" ShapeID="_x0000_i1026" DrawAspect="Content" ObjectID="_1806599345" r:id="rId17"/>
              </w:object>
            </w:r>
          </w:p>
        </w:tc>
        <w:tc>
          <w:tcPr>
            <w:tcW w:w="164" w:type="dxa"/>
          </w:tcPr>
          <w:p w14:paraId="0C6F13A3" w14:textId="77777777" w:rsidR="006F16FF" w:rsidRDefault="006F16FF" w:rsidP="00A75AAB">
            <w:pPr>
              <w:pStyle w:val="CETBodytext"/>
            </w:pPr>
          </w:p>
        </w:tc>
        <w:tc>
          <w:tcPr>
            <w:tcW w:w="6463" w:type="dxa"/>
          </w:tcPr>
          <w:p w14:paraId="1C50FC61" w14:textId="77777777" w:rsidR="006F16FF" w:rsidRDefault="006F16FF" w:rsidP="00A75AAB">
            <w:pPr>
              <w:pStyle w:val="CETBodytext"/>
            </w:pPr>
            <w:r>
              <w:t>b)</w:t>
            </w:r>
          </w:p>
          <w:p w14:paraId="69EED680" w14:textId="77777777" w:rsidR="006F16FF" w:rsidRDefault="006F16FF" w:rsidP="00A75AAB">
            <w:pPr>
              <w:pStyle w:val="CETBodytext"/>
            </w:pPr>
            <w:r w:rsidRPr="00425372">
              <w:rPr>
                <w:noProof/>
              </w:rPr>
              <w:drawing>
                <wp:inline distT="0" distB="0" distL="0" distR="0" wp14:anchorId="7292B286" wp14:editId="00D7AB7B">
                  <wp:extent cx="2813382" cy="1885950"/>
                  <wp:effectExtent l="0" t="0" r="6350" b="0"/>
                  <wp:docPr id="2122374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0093" cy="1890449"/>
                          </a:xfrm>
                          <a:prstGeom prst="rect">
                            <a:avLst/>
                          </a:prstGeom>
                          <a:noFill/>
                          <a:ln>
                            <a:noFill/>
                          </a:ln>
                        </pic:spPr>
                      </pic:pic>
                    </a:graphicData>
                  </a:graphic>
                </wp:inline>
              </w:drawing>
            </w:r>
          </w:p>
        </w:tc>
      </w:tr>
      <w:tr w:rsidR="006F16FF" w14:paraId="583B6744" w14:textId="77777777" w:rsidTr="00930FE3">
        <w:trPr>
          <w:trHeight w:val="2966"/>
        </w:trPr>
        <w:tc>
          <w:tcPr>
            <w:tcW w:w="3405" w:type="dxa"/>
          </w:tcPr>
          <w:p w14:paraId="62A45B70" w14:textId="77777777" w:rsidR="006F16FF" w:rsidRDefault="006F16FF" w:rsidP="00A75AAB">
            <w:pPr>
              <w:pStyle w:val="CETBodytext"/>
            </w:pPr>
            <w:r>
              <w:t>c)</w:t>
            </w:r>
          </w:p>
          <w:p w14:paraId="5654C47B" w14:textId="77777777" w:rsidR="006F16FF" w:rsidRDefault="006F16FF" w:rsidP="00A75AAB">
            <w:pPr>
              <w:pStyle w:val="CETBodytext"/>
            </w:pPr>
            <w:r w:rsidRPr="006C0213">
              <w:rPr>
                <w:rFonts w:eastAsia="Calibri"/>
                <w:bCs/>
                <w:szCs w:val="18"/>
              </w:rPr>
              <w:object w:dxaOrig="11535" w:dyaOrig="7050" w14:anchorId="4613DA91">
                <v:shape id="_x0000_i1027" type="#_x0000_t75" style="width:233.2pt;height:136.5pt" o:ole="">
                  <v:imagedata r:id="rId19" o:title=""/>
                </v:shape>
                <o:OLEObject Type="Embed" ProgID="PBrush" ShapeID="_x0000_i1027" DrawAspect="Content" ObjectID="_1806599346" r:id="rId20"/>
              </w:object>
            </w:r>
          </w:p>
        </w:tc>
        <w:tc>
          <w:tcPr>
            <w:tcW w:w="164" w:type="dxa"/>
          </w:tcPr>
          <w:p w14:paraId="0D029900" w14:textId="77777777" w:rsidR="006F16FF" w:rsidRDefault="006F16FF" w:rsidP="00A75AAB">
            <w:pPr>
              <w:pStyle w:val="CETBodytext"/>
            </w:pPr>
          </w:p>
        </w:tc>
        <w:tc>
          <w:tcPr>
            <w:tcW w:w="6463" w:type="dxa"/>
          </w:tcPr>
          <w:p w14:paraId="37B44135" w14:textId="77777777" w:rsidR="006F16FF" w:rsidRDefault="006F16FF" w:rsidP="00A75AAB">
            <w:pPr>
              <w:pStyle w:val="CETBodytext"/>
            </w:pPr>
            <w:r>
              <w:t>c)</w:t>
            </w:r>
          </w:p>
          <w:p w14:paraId="19366E8A" w14:textId="77777777" w:rsidR="006F16FF" w:rsidRDefault="006F16FF" w:rsidP="00A75AAB">
            <w:pPr>
              <w:pStyle w:val="CETBodytext"/>
            </w:pPr>
            <w:r w:rsidRPr="00425372">
              <w:rPr>
                <w:noProof/>
              </w:rPr>
              <w:drawing>
                <wp:inline distT="0" distB="0" distL="0" distR="0" wp14:anchorId="6CDA3744" wp14:editId="0A8724A4">
                  <wp:extent cx="2872087" cy="1685925"/>
                  <wp:effectExtent l="0" t="0" r="5080" b="0"/>
                  <wp:docPr id="1116119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5726" cy="1711541"/>
                          </a:xfrm>
                          <a:prstGeom prst="rect">
                            <a:avLst/>
                          </a:prstGeom>
                          <a:noFill/>
                          <a:ln>
                            <a:noFill/>
                          </a:ln>
                        </pic:spPr>
                      </pic:pic>
                    </a:graphicData>
                  </a:graphic>
                </wp:inline>
              </w:drawing>
            </w:r>
          </w:p>
        </w:tc>
      </w:tr>
      <w:tr w:rsidR="007D02D2" w14:paraId="2E62C770" w14:textId="77777777" w:rsidTr="00930FE3">
        <w:trPr>
          <w:trHeight w:val="754"/>
        </w:trPr>
        <w:tc>
          <w:tcPr>
            <w:tcW w:w="3405" w:type="dxa"/>
          </w:tcPr>
          <w:p w14:paraId="6AF5B1A4" w14:textId="010EDF4D" w:rsidR="007D02D2" w:rsidRDefault="007D02D2" w:rsidP="0002692D">
            <w:pPr>
              <w:pStyle w:val="CETCaption"/>
            </w:pPr>
            <w:r w:rsidRPr="0002692D">
              <w:t>Figure 2. Phase volume fraction obtained from the CFD simulations at the three sections of HIDiC: a) upper section, b) middle section and c) bottom section</w:t>
            </w:r>
            <w:r w:rsidRPr="007D02D2">
              <w:t>.</w:t>
            </w:r>
          </w:p>
        </w:tc>
        <w:tc>
          <w:tcPr>
            <w:tcW w:w="164" w:type="dxa"/>
          </w:tcPr>
          <w:p w14:paraId="6EACCF3F" w14:textId="77777777" w:rsidR="007D02D2" w:rsidRDefault="007D02D2" w:rsidP="00470005">
            <w:pPr>
              <w:pStyle w:val="CETBodytext"/>
            </w:pPr>
          </w:p>
        </w:tc>
        <w:tc>
          <w:tcPr>
            <w:tcW w:w="6463" w:type="dxa"/>
          </w:tcPr>
          <w:p w14:paraId="769788AA" w14:textId="2D582F4C" w:rsidR="007D02D2" w:rsidRDefault="007D02D2" w:rsidP="001F36D5">
            <w:pPr>
              <w:pStyle w:val="CETCaption"/>
            </w:pPr>
            <w:r w:rsidRPr="007D02D2">
              <w:t>Figure 3. Temperature contours for the tray at: a) upper section, b) middle section and c) bottom section</w:t>
            </w:r>
            <w:r>
              <w:t>.</w:t>
            </w:r>
          </w:p>
        </w:tc>
      </w:tr>
    </w:tbl>
    <w:p w14:paraId="5762D72A" w14:textId="77777777" w:rsidR="006F16FF" w:rsidRDefault="006F16FF" w:rsidP="00E260CA">
      <w:pPr>
        <w:pStyle w:val="CETHeadingxx"/>
      </w:pPr>
      <w:r>
        <w:t>Temperature</w:t>
      </w:r>
    </w:p>
    <w:p w14:paraId="05E55CE0" w14:textId="65DAAA14" w:rsidR="006F16FF" w:rsidRDefault="006F16FF" w:rsidP="00E260CA">
      <w:pPr>
        <w:pStyle w:val="CETBodytext"/>
        <w:rPr>
          <w:lang w:val="en-GB"/>
        </w:rPr>
      </w:pPr>
      <w:r w:rsidRPr="00B96F9D">
        <w:rPr>
          <w:lang w:val="en-GB"/>
        </w:rPr>
        <w:t xml:space="preserve">Using the CFD results, temperature contours for solid structure and liquid phase in the three simulated trays under non-equilibrium conditions could be </w:t>
      </w:r>
      <w:r w:rsidR="0094794A" w:rsidRPr="00B96F9D">
        <w:rPr>
          <w:lang w:val="en-GB"/>
        </w:rPr>
        <w:t>analy</w:t>
      </w:r>
      <w:r w:rsidR="0094794A">
        <w:rPr>
          <w:lang w:val="en-GB"/>
        </w:rPr>
        <w:t>s</w:t>
      </w:r>
      <w:r w:rsidR="0094794A" w:rsidRPr="00B96F9D">
        <w:rPr>
          <w:lang w:val="en-GB"/>
        </w:rPr>
        <w:t>ed</w:t>
      </w:r>
      <w:r>
        <w:rPr>
          <w:lang w:val="en-GB"/>
        </w:rPr>
        <w:t xml:space="preserve">. </w:t>
      </w:r>
      <w:r w:rsidRPr="00815D82">
        <w:rPr>
          <w:lang w:val="en-GB"/>
        </w:rPr>
        <w:t>The temperature contours of the tray surface are shown in figure 3</w:t>
      </w:r>
      <w:r>
        <w:rPr>
          <w:lang w:val="en-GB"/>
        </w:rPr>
        <w:t xml:space="preserve"> and </w:t>
      </w:r>
      <w:r w:rsidRPr="00815D82">
        <w:rPr>
          <w:lang w:val="en-GB"/>
        </w:rPr>
        <w:t>4.</w:t>
      </w:r>
    </w:p>
    <w:p w14:paraId="7F078436" w14:textId="77777777" w:rsidR="00470005" w:rsidRPr="00470005" w:rsidRDefault="00470005" w:rsidP="00470005">
      <w:pPr>
        <w:pStyle w:val="CETAcknowledgementstitle"/>
      </w:pPr>
      <w:r w:rsidRPr="00470005">
        <w:t>Murphree tray efficiency</w:t>
      </w:r>
    </w:p>
    <w:p w14:paraId="56B96145" w14:textId="7F9BCFE9" w:rsidR="00470005" w:rsidRDefault="00470005" w:rsidP="00470005">
      <w:pPr>
        <w:pStyle w:val="CETBodytext"/>
        <w:rPr>
          <w:lang w:val="en-GB"/>
        </w:rPr>
      </w:pPr>
      <w:r w:rsidRPr="00470005">
        <w:rPr>
          <w:lang w:val="en-GB"/>
        </w:rPr>
        <w:t>To compare the efficiency results given by the CFD model, a simulation of the T-HIDiC in non-equilibrium was also carried out in Aspen Plus® using the Rate-Based module with the conditions defined in Table 2. Results of this simulation and its comparison with CFD results are shown in Table 3.</w:t>
      </w:r>
    </w:p>
    <w:tbl>
      <w:tblPr>
        <w:tblStyle w:val="TableGrid"/>
        <w:tblW w:w="9672" w:type="dxa"/>
        <w:tblInd w:w="-656" w:type="dxa"/>
        <w:tblLook w:val="04A0" w:firstRow="1" w:lastRow="0" w:firstColumn="1" w:lastColumn="0" w:noHBand="0" w:noVBand="1"/>
      </w:tblPr>
      <w:tblGrid>
        <w:gridCol w:w="4762"/>
        <w:gridCol w:w="4910"/>
      </w:tblGrid>
      <w:tr w:rsidR="006F16FF" w14:paraId="062ABFCE" w14:textId="77777777" w:rsidTr="007C0469">
        <w:trPr>
          <w:trHeight w:val="2829"/>
        </w:trPr>
        <w:tc>
          <w:tcPr>
            <w:tcW w:w="4762" w:type="dxa"/>
          </w:tcPr>
          <w:p w14:paraId="706C2B84" w14:textId="77777777" w:rsidR="006F16FF" w:rsidRDefault="006F16FF" w:rsidP="00E260CA">
            <w:pPr>
              <w:pStyle w:val="CETBodytext"/>
            </w:pPr>
            <w:r w:rsidRPr="00D01673">
              <w:rPr>
                <w:noProof/>
                <w:sz w:val="20"/>
              </w:rPr>
              <w:lastRenderedPageBreak/>
              <w:drawing>
                <wp:inline distT="0" distB="0" distL="0" distR="0" wp14:anchorId="7D956D09" wp14:editId="6884DAB8">
                  <wp:extent cx="2857500" cy="1899920"/>
                  <wp:effectExtent l="0" t="0" r="0" b="5080"/>
                  <wp:docPr id="8" name="Gráfico 8">
                    <a:extLst xmlns:a="http://schemas.openxmlformats.org/drawingml/2006/main">
                      <a:ext uri="{FF2B5EF4-FFF2-40B4-BE49-F238E27FC236}">
                        <a16:creationId xmlns:a16="http://schemas.microsoft.com/office/drawing/2014/main" id="{6B7F784B-E051-492F-BF54-03AF477DE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910" w:type="dxa"/>
          </w:tcPr>
          <w:p w14:paraId="00CE51F4" w14:textId="77777777" w:rsidR="006F16FF" w:rsidRDefault="006F16FF" w:rsidP="00E260CA">
            <w:pPr>
              <w:pStyle w:val="CETBodytext"/>
            </w:pPr>
            <w:r w:rsidRPr="00D01673">
              <w:rPr>
                <w:noProof/>
                <w:sz w:val="20"/>
              </w:rPr>
              <w:drawing>
                <wp:inline distT="0" distB="0" distL="0" distR="0" wp14:anchorId="4BC7A6C6" wp14:editId="4555E347">
                  <wp:extent cx="2819400" cy="1899920"/>
                  <wp:effectExtent l="0" t="0" r="0" b="5080"/>
                  <wp:docPr id="24" name="Gráfico 24">
                    <a:extLst xmlns:a="http://schemas.openxmlformats.org/drawingml/2006/main">
                      <a:ext uri="{FF2B5EF4-FFF2-40B4-BE49-F238E27FC236}">
                        <a16:creationId xmlns:a16="http://schemas.microsoft.com/office/drawing/2014/main" id="{4B1D1561-F753-4CCD-B1A5-2E166845E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310D043A" w14:textId="77777777" w:rsidR="006F16FF" w:rsidRDefault="006F16FF" w:rsidP="00B96F9D">
      <w:pPr>
        <w:pStyle w:val="CETCaption"/>
      </w:pPr>
      <w:r>
        <w:t xml:space="preserve">Figure 4. </w:t>
      </w:r>
      <w:r w:rsidRPr="00B96F9D">
        <w:t>Temperature profiles of the liquid at 4mm on the trays (y=4mm). a) rectification trays, b) stripping trays</w:t>
      </w:r>
    </w:p>
    <w:p w14:paraId="04AA6C1A" w14:textId="77777777" w:rsidR="006F16FF" w:rsidRDefault="006F16FF" w:rsidP="006F16FF">
      <w:pPr>
        <w:pStyle w:val="CETTabletitle"/>
      </w:pPr>
      <w:r>
        <w:t xml:space="preserve">Table 3. </w:t>
      </w:r>
      <w:r w:rsidRPr="006F16FF">
        <w:t>Murphree efficiency results, comparison between CFD results and Rate-based model with process simulation</w:t>
      </w:r>
    </w:p>
    <w:tbl>
      <w:tblPr>
        <w:tblStyle w:val="TableGrid30"/>
        <w:tblW w:w="5000" w:type="pct"/>
        <w:jc w:val="center"/>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ook w:val="04A0" w:firstRow="1" w:lastRow="0" w:firstColumn="1" w:lastColumn="0" w:noHBand="0" w:noVBand="1"/>
      </w:tblPr>
      <w:tblGrid>
        <w:gridCol w:w="1024"/>
        <w:gridCol w:w="1612"/>
        <w:gridCol w:w="1028"/>
        <w:gridCol w:w="2490"/>
        <w:gridCol w:w="2633"/>
      </w:tblGrid>
      <w:tr w:rsidR="006F16FF" w:rsidRPr="00BC592C" w14:paraId="59A6050F" w14:textId="77777777" w:rsidTr="006F16FF">
        <w:trPr>
          <w:trHeight w:val="608"/>
          <w:jc w:val="center"/>
        </w:trPr>
        <w:tc>
          <w:tcPr>
            <w:tcW w:w="582" w:type="pct"/>
            <w:tcBorders>
              <w:top w:val="single" w:sz="12" w:space="0" w:color="008000"/>
              <w:bottom w:val="single" w:sz="4" w:space="0" w:color="008000"/>
            </w:tcBorders>
            <w:vAlign w:val="center"/>
          </w:tcPr>
          <w:p w14:paraId="1901DDC4" w14:textId="77777777" w:rsidR="006F16FF" w:rsidRPr="00BC592C" w:rsidRDefault="006F16FF" w:rsidP="006F16FF">
            <w:pPr>
              <w:tabs>
                <w:tab w:val="clear" w:pos="7100"/>
              </w:tabs>
              <w:spacing w:line="240" w:lineRule="auto"/>
              <w:jc w:val="center"/>
              <w:rPr>
                <w:rFonts w:cs="Arial"/>
                <w:b/>
                <w:szCs w:val="18"/>
                <w:lang w:val="en-US"/>
              </w:rPr>
            </w:pPr>
            <w:r>
              <w:rPr>
                <w:rFonts w:cs="Arial"/>
                <w:b/>
                <w:szCs w:val="18"/>
                <w:lang w:val="en-US"/>
              </w:rPr>
              <w:t>Tray</w:t>
            </w:r>
          </w:p>
        </w:tc>
        <w:tc>
          <w:tcPr>
            <w:tcW w:w="917" w:type="pct"/>
            <w:tcBorders>
              <w:top w:val="single" w:sz="12" w:space="0" w:color="008000"/>
              <w:bottom w:val="single" w:sz="4" w:space="0" w:color="008000"/>
            </w:tcBorders>
            <w:vAlign w:val="center"/>
          </w:tcPr>
          <w:p w14:paraId="77A56425" w14:textId="77777777" w:rsidR="006F16FF" w:rsidRPr="00BC592C" w:rsidRDefault="006F16FF" w:rsidP="006F16FF">
            <w:pPr>
              <w:tabs>
                <w:tab w:val="clear" w:pos="7100"/>
              </w:tabs>
              <w:spacing w:line="240" w:lineRule="auto"/>
              <w:jc w:val="center"/>
              <w:rPr>
                <w:rFonts w:cs="Arial"/>
                <w:b/>
                <w:szCs w:val="18"/>
                <w:lang w:val="en-US"/>
              </w:rPr>
            </w:pPr>
            <w:r w:rsidRPr="00BC592C">
              <w:rPr>
                <w:rFonts w:cs="Arial"/>
                <w:b/>
                <w:szCs w:val="18"/>
                <w:lang w:val="en-US"/>
              </w:rPr>
              <w:t>Section</w:t>
            </w:r>
          </w:p>
        </w:tc>
        <w:tc>
          <w:tcPr>
            <w:tcW w:w="585" w:type="pct"/>
            <w:tcBorders>
              <w:top w:val="single" w:sz="12" w:space="0" w:color="008000"/>
              <w:bottom w:val="single" w:sz="4" w:space="0" w:color="008000"/>
            </w:tcBorders>
            <w:vAlign w:val="center"/>
          </w:tcPr>
          <w:p w14:paraId="1EFFC545" w14:textId="77777777" w:rsidR="006F16FF" w:rsidRPr="00BC592C" w:rsidRDefault="006F16FF" w:rsidP="006F16FF">
            <w:pPr>
              <w:tabs>
                <w:tab w:val="clear" w:pos="7100"/>
              </w:tabs>
              <w:spacing w:line="240" w:lineRule="auto"/>
              <w:jc w:val="center"/>
              <w:rPr>
                <w:rFonts w:cs="Arial"/>
                <w:b/>
                <w:szCs w:val="18"/>
                <w:lang w:val="en-US"/>
              </w:rPr>
            </w:pPr>
            <w:r w:rsidRPr="00BC592C">
              <w:rPr>
                <w:rFonts w:cs="Arial"/>
                <w:b/>
                <w:szCs w:val="18"/>
                <w:lang w:val="en-US"/>
              </w:rPr>
              <w:t>Stage</w:t>
            </w:r>
          </w:p>
        </w:tc>
        <w:tc>
          <w:tcPr>
            <w:tcW w:w="1417" w:type="pct"/>
            <w:tcBorders>
              <w:top w:val="single" w:sz="12" w:space="0" w:color="008000"/>
              <w:bottom w:val="single" w:sz="4" w:space="0" w:color="008000"/>
            </w:tcBorders>
            <w:vAlign w:val="center"/>
          </w:tcPr>
          <w:p w14:paraId="553FBC36" w14:textId="77777777" w:rsidR="006F16FF" w:rsidRPr="00BC592C" w:rsidRDefault="006F16FF" w:rsidP="006F16FF">
            <w:pPr>
              <w:tabs>
                <w:tab w:val="clear" w:pos="7100"/>
              </w:tabs>
              <w:spacing w:line="240" w:lineRule="auto"/>
              <w:jc w:val="center"/>
              <w:rPr>
                <w:rFonts w:cs="Arial"/>
                <w:b/>
                <w:szCs w:val="18"/>
                <w:lang w:val="en-US"/>
              </w:rPr>
            </w:pPr>
            <w:r w:rsidRPr="00BC592C">
              <w:rPr>
                <w:rFonts w:cs="Arial"/>
                <w:b/>
                <w:szCs w:val="18"/>
                <w:lang w:val="en-US"/>
              </w:rPr>
              <w:t>Murphree efficiency</w:t>
            </w:r>
          </w:p>
          <w:p w14:paraId="09243CC9" w14:textId="77777777" w:rsidR="006F16FF" w:rsidRPr="00BC592C" w:rsidRDefault="006F16FF" w:rsidP="006F16FF">
            <w:pPr>
              <w:tabs>
                <w:tab w:val="clear" w:pos="7100"/>
              </w:tabs>
              <w:spacing w:line="240" w:lineRule="auto"/>
              <w:jc w:val="center"/>
              <w:rPr>
                <w:rFonts w:cs="Arial"/>
                <w:b/>
                <w:szCs w:val="18"/>
                <w:lang w:val="en-US"/>
              </w:rPr>
            </w:pPr>
            <w:r w:rsidRPr="00BC592C">
              <w:rPr>
                <w:rFonts w:cs="Arial"/>
                <w:b/>
                <w:szCs w:val="18"/>
                <w:lang w:val="en-US"/>
              </w:rPr>
              <w:t>CFD model (%)</w:t>
            </w:r>
          </w:p>
        </w:tc>
        <w:tc>
          <w:tcPr>
            <w:tcW w:w="1498" w:type="pct"/>
            <w:tcBorders>
              <w:top w:val="single" w:sz="12" w:space="0" w:color="008000"/>
              <w:bottom w:val="single" w:sz="4" w:space="0" w:color="008000"/>
            </w:tcBorders>
            <w:vAlign w:val="center"/>
          </w:tcPr>
          <w:p w14:paraId="4E3CA457" w14:textId="77777777" w:rsidR="006F16FF" w:rsidRPr="00BC592C" w:rsidRDefault="006F16FF" w:rsidP="006F16FF">
            <w:pPr>
              <w:tabs>
                <w:tab w:val="clear" w:pos="7100"/>
              </w:tabs>
              <w:spacing w:line="240" w:lineRule="auto"/>
              <w:jc w:val="center"/>
              <w:rPr>
                <w:rFonts w:cs="Arial"/>
                <w:b/>
                <w:szCs w:val="18"/>
                <w:lang w:val="en-US"/>
              </w:rPr>
            </w:pPr>
            <w:r w:rsidRPr="00BC592C">
              <w:rPr>
                <w:rFonts w:cs="Arial"/>
                <w:b/>
                <w:szCs w:val="18"/>
                <w:lang w:val="en-US"/>
              </w:rPr>
              <w:t>Murphree efficiency</w:t>
            </w:r>
          </w:p>
          <w:p w14:paraId="077975BA" w14:textId="77777777" w:rsidR="006F16FF" w:rsidRPr="00BC592C" w:rsidRDefault="006F16FF" w:rsidP="006F16FF">
            <w:pPr>
              <w:tabs>
                <w:tab w:val="clear" w:pos="7100"/>
              </w:tabs>
              <w:spacing w:line="240" w:lineRule="auto"/>
              <w:jc w:val="center"/>
              <w:rPr>
                <w:rFonts w:cs="Arial"/>
                <w:b/>
                <w:szCs w:val="18"/>
                <w:lang w:val="en-US"/>
              </w:rPr>
            </w:pPr>
            <w:r w:rsidRPr="00BC592C">
              <w:rPr>
                <w:rFonts w:cs="Arial"/>
                <w:b/>
                <w:szCs w:val="18"/>
                <w:lang w:val="en-US"/>
              </w:rPr>
              <w:t>Rate-Based model (%)</w:t>
            </w:r>
          </w:p>
        </w:tc>
      </w:tr>
      <w:tr w:rsidR="006F16FF" w:rsidRPr="00BC592C" w14:paraId="2F5A9E87" w14:textId="77777777" w:rsidTr="006F16FF">
        <w:trPr>
          <w:trHeight w:val="259"/>
          <w:jc w:val="center"/>
        </w:trPr>
        <w:tc>
          <w:tcPr>
            <w:tcW w:w="582" w:type="pct"/>
            <w:vMerge w:val="restart"/>
            <w:tcBorders>
              <w:top w:val="single" w:sz="4" w:space="0" w:color="008000"/>
            </w:tcBorders>
            <w:vAlign w:val="center"/>
          </w:tcPr>
          <w:p w14:paraId="511CFBE5"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upper</w:t>
            </w:r>
          </w:p>
        </w:tc>
        <w:tc>
          <w:tcPr>
            <w:tcW w:w="917" w:type="pct"/>
            <w:tcBorders>
              <w:top w:val="single" w:sz="4" w:space="0" w:color="008000"/>
            </w:tcBorders>
            <w:vAlign w:val="center"/>
          </w:tcPr>
          <w:p w14:paraId="5FF86C29"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Rectification</w:t>
            </w:r>
          </w:p>
        </w:tc>
        <w:tc>
          <w:tcPr>
            <w:tcW w:w="585" w:type="pct"/>
            <w:tcBorders>
              <w:top w:val="single" w:sz="4" w:space="0" w:color="008000"/>
            </w:tcBorders>
            <w:vAlign w:val="center"/>
          </w:tcPr>
          <w:p w14:paraId="585A5748"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3</w:t>
            </w:r>
          </w:p>
        </w:tc>
        <w:tc>
          <w:tcPr>
            <w:tcW w:w="1417" w:type="pct"/>
            <w:tcBorders>
              <w:top w:val="single" w:sz="4" w:space="0" w:color="008000"/>
            </w:tcBorders>
            <w:vAlign w:val="center"/>
          </w:tcPr>
          <w:p w14:paraId="1CD33EB3"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41.76</w:t>
            </w:r>
          </w:p>
        </w:tc>
        <w:tc>
          <w:tcPr>
            <w:tcW w:w="1498" w:type="pct"/>
            <w:tcBorders>
              <w:top w:val="single" w:sz="4" w:space="0" w:color="008000"/>
            </w:tcBorders>
            <w:vAlign w:val="center"/>
          </w:tcPr>
          <w:p w14:paraId="6F190ED3"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82.45</w:t>
            </w:r>
          </w:p>
        </w:tc>
      </w:tr>
      <w:tr w:rsidR="006F16FF" w:rsidRPr="00BC592C" w14:paraId="7AA63682" w14:textId="77777777" w:rsidTr="006F16FF">
        <w:trPr>
          <w:trHeight w:val="268"/>
          <w:jc w:val="center"/>
        </w:trPr>
        <w:tc>
          <w:tcPr>
            <w:tcW w:w="582" w:type="pct"/>
            <w:vMerge/>
            <w:vAlign w:val="center"/>
          </w:tcPr>
          <w:p w14:paraId="42806DD8" w14:textId="77777777" w:rsidR="006F16FF" w:rsidRPr="00BC592C" w:rsidRDefault="006F16FF" w:rsidP="006F16FF">
            <w:pPr>
              <w:tabs>
                <w:tab w:val="clear" w:pos="7100"/>
              </w:tabs>
              <w:spacing w:line="240" w:lineRule="auto"/>
              <w:jc w:val="center"/>
              <w:rPr>
                <w:rFonts w:cs="Arial"/>
                <w:szCs w:val="18"/>
                <w:lang w:val="en-US"/>
              </w:rPr>
            </w:pPr>
          </w:p>
        </w:tc>
        <w:tc>
          <w:tcPr>
            <w:tcW w:w="917" w:type="pct"/>
            <w:vAlign w:val="center"/>
          </w:tcPr>
          <w:p w14:paraId="5402D846"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Stripping</w:t>
            </w:r>
          </w:p>
        </w:tc>
        <w:tc>
          <w:tcPr>
            <w:tcW w:w="585" w:type="pct"/>
            <w:vAlign w:val="center"/>
          </w:tcPr>
          <w:p w14:paraId="0C2FE959"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2</w:t>
            </w:r>
          </w:p>
        </w:tc>
        <w:tc>
          <w:tcPr>
            <w:tcW w:w="1417" w:type="pct"/>
            <w:vAlign w:val="center"/>
          </w:tcPr>
          <w:p w14:paraId="2517AEBC"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42.66</w:t>
            </w:r>
          </w:p>
        </w:tc>
        <w:tc>
          <w:tcPr>
            <w:tcW w:w="1498" w:type="pct"/>
            <w:vAlign w:val="center"/>
          </w:tcPr>
          <w:p w14:paraId="18972D01"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72.80</w:t>
            </w:r>
          </w:p>
        </w:tc>
      </w:tr>
      <w:tr w:rsidR="006F16FF" w:rsidRPr="00BC592C" w14:paraId="02A94E2F" w14:textId="77777777" w:rsidTr="006F16FF">
        <w:trPr>
          <w:trHeight w:val="259"/>
          <w:jc w:val="center"/>
        </w:trPr>
        <w:tc>
          <w:tcPr>
            <w:tcW w:w="582" w:type="pct"/>
            <w:vMerge w:val="restart"/>
            <w:vAlign w:val="center"/>
          </w:tcPr>
          <w:p w14:paraId="55860D70"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middle</w:t>
            </w:r>
          </w:p>
        </w:tc>
        <w:tc>
          <w:tcPr>
            <w:tcW w:w="917" w:type="pct"/>
            <w:vAlign w:val="center"/>
          </w:tcPr>
          <w:p w14:paraId="12BE7767"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Rectification</w:t>
            </w:r>
          </w:p>
        </w:tc>
        <w:tc>
          <w:tcPr>
            <w:tcW w:w="585" w:type="pct"/>
            <w:vAlign w:val="center"/>
          </w:tcPr>
          <w:p w14:paraId="2FF76B9B"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31</w:t>
            </w:r>
          </w:p>
        </w:tc>
        <w:tc>
          <w:tcPr>
            <w:tcW w:w="1417" w:type="pct"/>
            <w:vAlign w:val="center"/>
          </w:tcPr>
          <w:p w14:paraId="41E7F432"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57.65</w:t>
            </w:r>
          </w:p>
        </w:tc>
        <w:tc>
          <w:tcPr>
            <w:tcW w:w="1498" w:type="pct"/>
            <w:vAlign w:val="center"/>
          </w:tcPr>
          <w:p w14:paraId="7A9008AA"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78.23</w:t>
            </w:r>
          </w:p>
        </w:tc>
      </w:tr>
      <w:tr w:rsidR="006F16FF" w:rsidRPr="00BC592C" w14:paraId="4A47C1CC" w14:textId="77777777" w:rsidTr="006F16FF">
        <w:trPr>
          <w:trHeight w:val="268"/>
          <w:jc w:val="center"/>
        </w:trPr>
        <w:tc>
          <w:tcPr>
            <w:tcW w:w="582" w:type="pct"/>
            <w:vMerge/>
            <w:vAlign w:val="center"/>
          </w:tcPr>
          <w:p w14:paraId="34290E42" w14:textId="77777777" w:rsidR="006F16FF" w:rsidRPr="00BC592C" w:rsidRDefault="006F16FF" w:rsidP="006F16FF">
            <w:pPr>
              <w:tabs>
                <w:tab w:val="clear" w:pos="7100"/>
              </w:tabs>
              <w:spacing w:line="240" w:lineRule="auto"/>
              <w:jc w:val="center"/>
              <w:rPr>
                <w:rFonts w:cs="Arial"/>
                <w:szCs w:val="18"/>
                <w:lang w:val="en-US"/>
              </w:rPr>
            </w:pPr>
          </w:p>
        </w:tc>
        <w:tc>
          <w:tcPr>
            <w:tcW w:w="917" w:type="pct"/>
            <w:vAlign w:val="center"/>
          </w:tcPr>
          <w:p w14:paraId="2614C1C3"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Stripping</w:t>
            </w:r>
          </w:p>
        </w:tc>
        <w:tc>
          <w:tcPr>
            <w:tcW w:w="585" w:type="pct"/>
            <w:vAlign w:val="center"/>
          </w:tcPr>
          <w:p w14:paraId="055A20C6"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30</w:t>
            </w:r>
          </w:p>
        </w:tc>
        <w:tc>
          <w:tcPr>
            <w:tcW w:w="1417" w:type="pct"/>
            <w:vAlign w:val="center"/>
          </w:tcPr>
          <w:p w14:paraId="6DA7F19E"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55.27</w:t>
            </w:r>
          </w:p>
        </w:tc>
        <w:tc>
          <w:tcPr>
            <w:tcW w:w="1498" w:type="pct"/>
            <w:vAlign w:val="center"/>
          </w:tcPr>
          <w:p w14:paraId="5EED223F"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72.23</w:t>
            </w:r>
          </w:p>
        </w:tc>
      </w:tr>
      <w:tr w:rsidR="006F16FF" w:rsidRPr="00BC592C" w14:paraId="7ABE7A56" w14:textId="77777777" w:rsidTr="006F16FF">
        <w:trPr>
          <w:trHeight w:val="259"/>
          <w:jc w:val="center"/>
        </w:trPr>
        <w:tc>
          <w:tcPr>
            <w:tcW w:w="582" w:type="pct"/>
            <w:vMerge w:val="restart"/>
            <w:vAlign w:val="center"/>
          </w:tcPr>
          <w:p w14:paraId="3DE29310"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bottom</w:t>
            </w:r>
          </w:p>
        </w:tc>
        <w:tc>
          <w:tcPr>
            <w:tcW w:w="917" w:type="pct"/>
            <w:vAlign w:val="center"/>
          </w:tcPr>
          <w:p w14:paraId="3830B27E"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Rectification</w:t>
            </w:r>
          </w:p>
        </w:tc>
        <w:tc>
          <w:tcPr>
            <w:tcW w:w="585" w:type="pct"/>
            <w:vAlign w:val="center"/>
          </w:tcPr>
          <w:p w14:paraId="3F3C51E8"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60</w:t>
            </w:r>
          </w:p>
        </w:tc>
        <w:tc>
          <w:tcPr>
            <w:tcW w:w="1417" w:type="pct"/>
            <w:vAlign w:val="center"/>
          </w:tcPr>
          <w:p w14:paraId="081F0BB9"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37.48</w:t>
            </w:r>
          </w:p>
        </w:tc>
        <w:tc>
          <w:tcPr>
            <w:tcW w:w="1498" w:type="pct"/>
            <w:vAlign w:val="center"/>
          </w:tcPr>
          <w:p w14:paraId="2A1174E7"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76.51</w:t>
            </w:r>
          </w:p>
        </w:tc>
      </w:tr>
      <w:tr w:rsidR="006F16FF" w:rsidRPr="00BC592C" w14:paraId="1FED6982" w14:textId="77777777" w:rsidTr="006F16FF">
        <w:trPr>
          <w:trHeight w:val="279"/>
          <w:jc w:val="center"/>
        </w:trPr>
        <w:tc>
          <w:tcPr>
            <w:tcW w:w="582" w:type="pct"/>
            <w:vMerge/>
            <w:vAlign w:val="center"/>
          </w:tcPr>
          <w:p w14:paraId="78682CD3" w14:textId="77777777" w:rsidR="006F16FF" w:rsidRPr="00BC592C" w:rsidRDefault="006F16FF" w:rsidP="006F16FF">
            <w:pPr>
              <w:tabs>
                <w:tab w:val="clear" w:pos="7100"/>
              </w:tabs>
              <w:spacing w:line="240" w:lineRule="auto"/>
              <w:jc w:val="center"/>
              <w:rPr>
                <w:rFonts w:cs="Arial"/>
                <w:szCs w:val="18"/>
                <w:lang w:val="en-US"/>
              </w:rPr>
            </w:pPr>
          </w:p>
        </w:tc>
        <w:tc>
          <w:tcPr>
            <w:tcW w:w="917" w:type="pct"/>
            <w:vAlign w:val="center"/>
          </w:tcPr>
          <w:p w14:paraId="4F8C96F5" w14:textId="77777777" w:rsidR="006F16FF" w:rsidRPr="00BC592C" w:rsidRDefault="006F16FF" w:rsidP="006F16FF">
            <w:pPr>
              <w:tabs>
                <w:tab w:val="clear" w:pos="7100"/>
              </w:tabs>
              <w:spacing w:line="240" w:lineRule="auto"/>
              <w:jc w:val="center"/>
              <w:rPr>
                <w:rFonts w:cs="Arial"/>
                <w:szCs w:val="18"/>
                <w:lang w:val="en-US"/>
              </w:rPr>
            </w:pPr>
            <w:r w:rsidRPr="00BC592C">
              <w:rPr>
                <w:rFonts w:cs="Arial"/>
                <w:szCs w:val="18"/>
                <w:lang w:val="en-US"/>
              </w:rPr>
              <w:t>Stripping</w:t>
            </w:r>
          </w:p>
        </w:tc>
        <w:tc>
          <w:tcPr>
            <w:tcW w:w="585" w:type="pct"/>
            <w:vAlign w:val="center"/>
          </w:tcPr>
          <w:p w14:paraId="5F881C07"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59</w:t>
            </w:r>
          </w:p>
        </w:tc>
        <w:tc>
          <w:tcPr>
            <w:tcW w:w="1417" w:type="pct"/>
            <w:vAlign w:val="center"/>
          </w:tcPr>
          <w:p w14:paraId="03A82F62"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40.77</w:t>
            </w:r>
          </w:p>
        </w:tc>
        <w:tc>
          <w:tcPr>
            <w:tcW w:w="1498" w:type="pct"/>
            <w:vAlign w:val="center"/>
          </w:tcPr>
          <w:p w14:paraId="662E7939" w14:textId="77777777" w:rsidR="006F16FF" w:rsidRPr="00BC592C" w:rsidRDefault="006F16FF" w:rsidP="006F16FF">
            <w:pPr>
              <w:tabs>
                <w:tab w:val="clear" w:pos="7100"/>
              </w:tabs>
              <w:spacing w:line="240" w:lineRule="auto"/>
              <w:jc w:val="center"/>
              <w:rPr>
                <w:rFonts w:cs="Arial"/>
                <w:color w:val="000000"/>
                <w:szCs w:val="18"/>
                <w:lang w:val="en-US"/>
              </w:rPr>
            </w:pPr>
            <w:r w:rsidRPr="00BC592C">
              <w:rPr>
                <w:rFonts w:cs="Arial"/>
                <w:color w:val="000000"/>
                <w:szCs w:val="18"/>
                <w:lang w:val="en-US"/>
              </w:rPr>
              <w:t>69.31</w:t>
            </w:r>
          </w:p>
        </w:tc>
      </w:tr>
    </w:tbl>
    <w:p w14:paraId="71F565FB" w14:textId="77777777" w:rsidR="006F16FF" w:rsidRPr="00B57B36" w:rsidRDefault="006F16FF" w:rsidP="00600535">
      <w:pPr>
        <w:pStyle w:val="CETHeading1"/>
        <w:rPr>
          <w:lang w:val="en-GB"/>
        </w:rPr>
      </w:pPr>
      <w:r w:rsidRPr="00B57B36">
        <w:rPr>
          <w:lang w:val="en-GB"/>
        </w:rPr>
        <w:t>Conclusions</w:t>
      </w:r>
    </w:p>
    <w:p w14:paraId="35C29FE7" w14:textId="55554668" w:rsidR="006F16FF" w:rsidRPr="00F13F21" w:rsidRDefault="006F16FF" w:rsidP="00F13F21">
      <w:pPr>
        <w:pStyle w:val="CETBodytext"/>
        <w:sectPr w:rsidR="006F16FF" w:rsidRPr="00F13F21" w:rsidSect="00F13F21">
          <w:type w:val="continuous"/>
          <w:pgSz w:w="11906" w:h="16838" w:code="9"/>
          <w:pgMar w:top="1701" w:right="1418" w:bottom="1701" w:left="1701" w:header="1701" w:footer="0" w:gutter="0"/>
          <w:cols w:space="708"/>
          <w:formProt w:val="0"/>
          <w:titlePg/>
          <w:docGrid w:linePitch="360"/>
        </w:sectPr>
      </w:pPr>
      <w:r w:rsidRPr="004F0966">
        <w:rPr>
          <w:lang w:val="en-GB"/>
        </w:rPr>
        <w:t>The results indicated that CFD is a tool capable of predicting reliably effects of column internals geometry on the multiphase flow field and can be considered as a useful aid for the design and evaluation of the performance of the T-HIDiC column</w:t>
      </w:r>
      <w:r w:rsidR="00716972">
        <w:rPr>
          <w:lang w:val="en-GB"/>
        </w:rPr>
        <w:t>.</w:t>
      </w:r>
    </w:p>
    <w:p w14:paraId="067D34C4" w14:textId="77777777" w:rsidR="006F16FF" w:rsidRPr="00B57B36" w:rsidRDefault="006F16FF" w:rsidP="00600535">
      <w:pPr>
        <w:pStyle w:val="CETAcknowledgementstitle"/>
      </w:pPr>
      <w:r w:rsidRPr="00B57B36">
        <w:t>Acknowledgments</w:t>
      </w:r>
    </w:p>
    <w:p w14:paraId="0C5E007F" w14:textId="77777777" w:rsidR="006F16FF" w:rsidRDefault="006F16FF" w:rsidP="00CF3742">
      <w:pPr>
        <w:pStyle w:val="CETBodytext"/>
        <w:rPr>
          <w:lang w:val="en-GB"/>
        </w:rPr>
      </w:pPr>
      <w:r w:rsidRPr="00CF3742">
        <w:rPr>
          <w:lang w:val="en-GB"/>
        </w:rPr>
        <w:t xml:space="preserve">The authors acknowledge the financial support of Universidad Nacional de Colombia and </w:t>
      </w:r>
      <w:proofErr w:type="spellStart"/>
      <w:r w:rsidRPr="00CF3742">
        <w:rPr>
          <w:lang w:val="en-GB"/>
        </w:rPr>
        <w:t>Colciencias</w:t>
      </w:r>
      <w:proofErr w:type="spellEnd"/>
      <w:r>
        <w:rPr>
          <w:lang w:val="en-GB"/>
        </w:rPr>
        <w:t>.</w:t>
      </w:r>
    </w:p>
    <w:p w14:paraId="0D45D1F2" w14:textId="77777777" w:rsidR="006F16FF" w:rsidRPr="00093389" w:rsidRDefault="006F16FF" w:rsidP="00463140">
      <w:pPr>
        <w:pStyle w:val="CETReference"/>
        <w:rPr>
          <w:lang w:val="en-US"/>
        </w:rPr>
      </w:pPr>
      <w:r w:rsidRPr="00093389">
        <w:rPr>
          <w:lang w:val="en-US"/>
        </w:rPr>
        <w:t>References</w:t>
      </w:r>
    </w:p>
    <w:sdt>
      <w:sdtPr>
        <w:rPr>
          <w:color w:val="000000"/>
          <w:sz w:val="16"/>
          <w:szCs w:val="16"/>
          <w:lang w:val="en-US"/>
        </w:rPr>
        <w:tag w:val="MENDELEY_BIBLIOGRAPHY"/>
        <w:id w:val="-10841504"/>
        <w:placeholder>
          <w:docPart w:val="DefaultPlaceholder_-1854013440"/>
        </w:placeholder>
      </w:sdtPr>
      <w:sdtContent>
        <w:p w14:paraId="669BFB89" w14:textId="672FC752" w:rsidR="00213F62" w:rsidRPr="003968FE" w:rsidRDefault="00213F62" w:rsidP="00213F62">
          <w:pPr>
            <w:autoSpaceDE w:val="0"/>
            <w:autoSpaceDN w:val="0"/>
            <w:ind w:hanging="480"/>
            <w:divId w:val="161359894"/>
            <w:rPr>
              <w:color w:val="000000"/>
              <w:sz w:val="16"/>
              <w:szCs w:val="16"/>
            </w:rPr>
          </w:pPr>
          <w:r w:rsidRPr="003968FE">
            <w:rPr>
              <w:color w:val="000000"/>
              <w:sz w:val="16"/>
              <w:szCs w:val="16"/>
            </w:rPr>
            <w:t xml:space="preserve">Colombo, M., &amp; Fairweather, M. (2015). Multiphase turbulence in bubbly flows: RANS simulations. </w:t>
          </w:r>
          <w:r w:rsidRPr="003968FE">
            <w:rPr>
              <w:i/>
              <w:iCs/>
              <w:color w:val="000000"/>
              <w:sz w:val="16"/>
              <w:szCs w:val="16"/>
            </w:rPr>
            <w:t>International Journal of Multiphase Flow</w:t>
          </w:r>
          <w:r w:rsidRPr="003968FE">
            <w:rPr>
              <w:color w:val="000000"/>
              <w:sz w:val="16"/>
              <w:szCs w:val="16"/>
            </w:rPr>
            <w:t xml:space="preserve">, </w:t>
          </w:r>
          <w:r w:rsidRPr="003968FE">
            <w:rPr>
              <w:i/>
              <w:iCs/>
              <w:color w:val="000000"/>
              <w:sz w:val="16"/>
              <w:szCs w:val="16"/>
            </w:rPr>
            <w:t>77</w:t>
          </w:r>
          <w:r w:rsidRPr="003968FE">
            <w:rPr>
              <w:color w:val="000000"/>
              <w:sz w:val="16"/>
              <w:szCs w:val="16"/>
            </w:rPr>
            <w:t>, 222–243. https://doi.org/10.1016/j.ijmultiphaseflow.2015.09.003</w:t>
          </w:r>
        </w:p>
        <w:p w14:paraId="090DAF42" w14:textId="77777777" w:rsidR="00213F62" w:rsidRPr="003968FE" w:rsidRDefault="00213F62">
          <w:pPr>
            <w:autoSpaceDE w:val="0"/>
            <w:autoSpaceDN w:val="0"/>
            <w:ind w:hanging="480"/>
            <w:divId w:val="1234507431"/>
            <w:rPr>
              <w:color w:val="000000"/>
              <w:sz w:val="16"/>
              <w:szCs w:val="16"/>
            </w:rPr>
          </w:pPr>
          <w:r w:rsidRPr="003968FE">
            <w:rPr>
              <w:color w:val="000000"/>
              <w:sz w:val="16"/>
              <w:szCs w:val="16"/>
            </w:rPr>
            <w:t xml:space="preserve">Higbie, R. (1935). The rate of absorption of a pure gas into a still liquid during short periods of exposure. </w:t>
          </w:r>
          <w:r w:rsidRPr="003968FE">
            <w:rPr>
              <w:i/>
              <w:iCs/>
              <w:color w:val="000000"/>
              <w:sz w:val="16"/>
              <w:szCs w:val="16"/>
            </w:rPr>
            <w:t>Transactions of the American Institute of Chemical Engineers</w:t>
          </w:r>
          <w:r w:rsidRPr="003968FE">
            <w:rPr>
              <w:color w:val="000000"/>
              <w:sz w:val="16"/>
              <w:szCs w:val="16"/>
            </w:rPr>
            <w:t xml:space="preserve">, </w:t>
          </w:r>
          <w:r w:rsidRPr="003968FE">
            <w:rPr>
              <w:i/>
              <w:iCs/>
              <w:color w:val="000000"/>
              <w:sz w:val="16"/>
              <w:szCs w:val="16"/>
            </w:rPr>
            <w:t>35</w:t>
          </w:r>
          <w:r w:rsidRPr="003968FE">
            <w:rPr>
              <w:color w:val="000000"/>
              <w:sz w:val="16"/>
              <w:szCs w:val="16"/>
            </w:rPr>
            <w:t>, 365–389.</w:t>
          </w:r>
        </w:p>
        <w:p w14:paraId="7E7CD93F" w14:textId="18BCBD93" w:rsidR="003C5A96" w:rsidRPr="003968FE" w:rsidRDefault="003C5A96">
          <w:pPr>
            <w:autoSpaceDE w:val="0"/>
            <w:autoSpaceDN w:val="0"/>
            <w:ind w:hanging="480"/>
            <w:divId w:val="213004974"/>
            <w:rPr>
              <w:color w:val="000000"/>
              <w:sz w:val="16"/>
              <w:szCs w:val="16"/>
            </w:rPr>
          </w:pPr>
          <w:r w:rsidRPr="003968FE">
            <w:rPr>
              <w:color w:val="000000"/>
              <w:sz w:val="16"/>
              <w:szCs w:val="16"/>
              <w:lang w:val="en-US"/>
            </w:rPr>
            <w:t xml:space="preserve">Grace, J. R., </w:t>
          </w:r>
          <w:proofErr w:type="spellStart"/>
          <w:r w:rsidRPr="003968FE">
            <w:rPr>
              <w:color w:val="000000"/>
              <w:sz w:val="16"/>
              <w:szCs w:val="16"/>
              <w:lang w:val="en-US"/>
            </w:rPr>
            <w:t>Wairegi</w:t>
          </w:r>
          <w:proofErr w:type="spellEnd"/>
          <w:r w:rsidRPr="003968FE">
            <w:rPr>
              <w:color w:val="000000"/>
              <w:sz w:val="16"/>
              <w:szCs w:val="16"/>
              <w:lang w:val="en-US"/>
            </w:rPr>
            <w:t xml:space="preserve">, T., &amp; Nguyen, T. H. (1976). Shapes and velocities of single drops and bubbles moving freely through immiscible liquids. In </w:t>
          </w:r>
          <w:r w:rsidRPr="003968FE">
            <w:rPr>
              <w:i/>
              <w:iCs/>
              <w:color w:val="000000"/>
              <w:sz w:val="16"/>
              <w:szCs w:val="16"/>
              <w:lang w:val="en-US"/>
            </w:rPr>
            <w:t xml:space="preserve">Trans Inst Chem Eng </w:t>
          </w:r>
          <w:r w:rsidRPr="003968FE">
            <w:rPr>
              <w:color w:val="000000"/>
              <w:sz w:val="16"/>
              <w:szCs w:val="16"/>
              <w:lang w:val="en-US"/>
            </w:rPr>
            <w:t>(Vol. 54, Issue 3)</w:t>
          </w:r>
        </w:p>
        <w:p w14:paraId="61EB11BA" w14:textId="77777777" w:rsidR="00213F62" w:rsidRPr="003968FE" w:rsidRDefault="00213F62">
          <w:pPr>
            <w:autoSpaceDE w:val="0"/>
            <w:autoSpaceDN w:val="0"/>
            <w:ind w:hanging="480"/>
            <w:divId w:val="1161770466"/>
            <w:rPr>
              <w:color w:val="000000"/>
              <w:sz w:val="16"/>
              <w:szCs w:val="16"/>
            </w:rPr>
          </w:pPr>
          <w:r w:rsidRPr="003968FE">
            <w:rPr>
              <w:color w:val="000000"/>
              <w:sz w:val="16"/>
              <w:szCs w:val="16"/>
            </w:rPr>
            <w:t xml:space="preserve">Lockett, M. J. (1986). </w:t>
          </w:r>
          <w:r w:rsidRPr="003968FE">
            <w:rPr>
              <w:i/>
              <w:iCs/>
              <w:color w:val="000000"/>
              <w:sz w:val="16"/>
              <w:szCs w:val="16"/>
            </w:rPr>
            <w:t>Distillation tray fundamentals</w:t>
          </w:r>
          <w:r w:rsidRPr="003968FE">
            <w:rPr>
              <w:color w:val="000000"/>
              <w:sz w:val="16"/>
              <w:szCs w:val="16"/>
            </w:rPr>
            <w:t>. Cambridge University Press.</w:t>
          </w:r>
        </w:p>
        <w:p w14:paraId="1213F7B9" w14:textId="2EFE7BD1" w:rsidR="00213F62" w:rsidRPr="003968FE" w:rsidRDefault="00213F62">
          <w:pPr>
            <w:autoSpaceDE w:val="0"/>
            <w:autoSpaceDN w:val="0"/>
            <w:ind w:hanging="480"/>
            <w:divId w:val="953170823"/>
            <w:rPr>
              <w:color w:val="000000"/>
              <w:sz w:val="16"/>
              <w:szCs w:val="16"/>
            </w:rPr>
          </w:pPr>
          <w:r w:rsidRPr="003968FE">
            <w:rPr>
              <w:color w:val="000000"/>
              <w:sz w:val="16"/>
              <w:szCs w:val="16"/>
              <w:lang w:val="es-MX"/>
            </w:rPr>
            <w:t xml:space="preserve">Mancera, J. A., Mendoza, D. F., &amp; Riascos, C. A. M. (2018). </w:t>
          </w:r>
          <w:r w:rsidRPr="003968FE">
            <w:rPr>
              <w:color w:val="000000"/>
              <w:sz w:val="16"/>
              <w:szCs w:val="16"/>
            </w:rPr>
            <w:t xml:space="preserve">HIDiC configuration selection based on exergetic analysis. </w:t>
          </w:r>
          <w:r w:rsidRPr="003968FE">
            <w:rPr>
              <w:i/>
              <w:iCs/>
              <w:color w:val="000000"/>
              <w:sz w:val="16"/>
              <w:szCs w:val="16"/>
            </w:rPr>
            <w:t>Chemical Engineering Transactions</w:t>
          </w:r>
          <w:r w:rsidRPr="003968FE">
            <w:rPr>
              <w:color w:val="000000"/>
              <w:sz w:val="16"/>
              <w:szCs w:val="16"/>
            </w:rPr>
            <w:t xml:space="preserve">, </w:t>
          </w:r>
          <w:r w:rsidRPr="003968FE">
            <w:rPr>
              <w:i/>
              <w:iCs/>
              <w:color w:val="000000"/>
              <w:sz w:val="16"/>
              <w:szCs w:val="16"/>
            </w:rPr>
            <w:t>69</w:t>
          </w:r>
          <w:r w:rsidRPr="003968FE">
            <w:rPr>
              <w:color w:val="000000"/>
              <w:sz w:val="16"/>
              <w:szCs w:val="16"/>
            </w:rPr>
            <w:t>, 901–906. https://doi.org/10.3303/CET1869151</w:t>
          </w:r>
        </w:p>
        <w:p w14:paraId="2F70870F" w14:textId="77777777" w:rsidR="00213F62" w:rsidRPr="003968FE" w:rsidRDefault="00213F62">
          <w:pPr>
            <w:autoSpaceDE w:val="0"/>
            <w:autoSpaceDN w:val="0"/>
            <w:ind w:hanging="480"/>
            <w:divId w:val="91821809"/>
            <w:rPr>
              <w:color w:val="000000"/>
              <w:sz w:val="16"/>
              <w:szCs w:val="16"/>
            </w:rPr>
          </w:pPr>
          <w:r w:rsidRPr="003968FE">
            <w:rPr>
              <w:color w:val="000000"/>
              <w:sz w:val="16"/>
              <w:szCs w:val="16"/>
              <w:lang w:val="en-US"/>
            </w:rPr>
            <w:t xml:space="preserve">Mancera-Apolinar, J. A., Mendoza, D. F., &amp; Riascos, C. A. M. (2023). </w:t>
          </w:r>
          <w:r w:rsidRPr="003968FE">
            <w:rPr>
              <w:color w:val="000000"/>
              <w:sz w:val="16"/>
              <w:szCs w:val="16"/>
            </w:rPr>
            <w:t xml:space="preserve">CFD Simulation and Verification of Distillation Sieve Tray Hydrodynamics by Clear Liquid Height. </w:t>
          </w:r>
          <w:r w:rsidRPr="003968FE">
            <w:rPr>
              <w:i/>
              <w:iCs/>
              <w:color w:val="000000"/>
              <w:sz w:val="16"/>
              <w:szCs w:val="16"/>
            </w:rPr>
            <w:t>Chemical Engineering Transactions</w:t>
          </w:r>
          <w:r w:rsidRPr="003968FE">
            <w:rPr>
              <w:color w:val="000000"/>
              <w:sz w:val="16"/>
              <w:szCs w:val="16"/>
            </w:rPr>
            <w:t xml:space="preserve">, </w:t>
          </w:r>
          <w:r w:rsidRPr="003968FE">
            <w:rPr>
              <w:i/>
              <w:iCs/>
              <w:color w:val="000000"/>
              <w:sz w:val="16"/>
              <w:szCs w:val="16"/>
            </w:rPr>
            <w:t>100</w:t>
          </w:r>
          <w:r w:rsidRPr="003968FE">
            <w:rPr>
              <w:color w:val="000000"/>
              <w:sz w:val="16"/>
              <w:szCs w:val="16"/>
            </w:rPr>
            <w:t>, 379–384. https://doi.org/10.3303/CET23100064</w:t>
          </w:r>
        </w:p>
        <w:p w14:paraId="0AFA227E" w14:textId="77777777" w:rsidR="00213F62" w:rsidRPr="003968FE" w:rsidRDefault="00213F62">
          <w:pPr>
            <w:autoSpaceDE w:val="0"/>
            <w:autoSpaceDN w:val="0"/>
            <w:ind w:hanging="480"/>
            <w:divId w:val="1921865862"/>
            <w:rPr>
              <w:color w:val="000000"/>
              <w:sz w:val="16"/>
              <w:szCs w:val="16"/>
            </w:rPr>
          </w:pPr>
          <w:proofErr w:type="spellStart"/>
          <w:r w:rsidRPr="003968FE">
            <w:rPr>
              <w:color w:val="000000"/>
              <w:sz w:val="16"/>
              <w:szCs w:val="16"/>
            </w:rPr>
            <w:t>Olujic</w:t>
          </w:r>
          <w:proofErr w:type="spellEnd"/>
          <w:r w:rsidRPr="003968FE">
            <w:rPr>
              <w:color w:val="000000"/>
              <w:sz w:val="16"/>
              <w:szCs w:val="16"/>
            </w:rPr>
            <w:t xml:space="preserve">, Z., Fakhri, F., De Rijke, A., De </w:t>
          </w:r>
          <w:proofErr w:type="spellStart"/>
          <w:r w:rsidRPr="003968FE">
            <w:rPr>
              <w:color w:val="000000"/>
              <w:sz w:val="16"/>
              <w:szCs w:val="16"/>
            </w:rPr>
            <w:t>Graauw</w:t>
          </w:r>
          <w:proofErr w:type="spellEnd"/>
          <w:r w:rsidRPr="003968FE">
            <w:rPr>
              <w:color w:val="000000"/>
              <w:sz w:val="16"/>
              <w:szCs w:val="16"/>
            </w:rPr>
            <w:t xml:space="preserve">, J., &amp; Jansens, P. J. (2003). Internal heat integration - The key to an energy-conserving distillation column. </w:t>
          </w:r>
          <w:r w:rsidRPr="003968FE">
            <w:rPr>
              <w:i/>
              <w:iCs/>
              <w:color w:val="000000"/>
              <w:sz w:val="16"/>
              <w:szCs w:val="16"/>
            </w:rPr>
            <w:t>Journal of Chemical Technology and Biotechnology</w:t>
          </w:r>
          <w:r w:rsidRPr="003968FE">
            <w:rPr>
              <w:color w:val="000000"/>
              <w:sz w:val="16"/>
              <w:szCs w:val="16"/>
            </w:rPr>
            <w:t xml:space="preserve">, </w:t>
          </w:r>
          <w:r w:rsidRPr="003968FE">
            <w:rPr>
              <w:i/>
              <w:iCs/>
              <w:color w:val="000000"/>
              <w:sz w:val="16"/>
              <w:szCs w:val="16"/>
            </w:rPr>
            <w:t>78</w:t>
          </w:r>
          <w:r w:rsidRPr="003968FE">
            <w:rPr>
              <w:color w:val="000000"/>
              <w:sz w:val="16"/>
              <w:szCs w:val="16"/>
            </w:rPr>
            <w:t>(2–3), 241–248. https://doi.org/10.1002/jctb.761</w:t>
          </w:r>
        </w:p>
        <w:p w14:paraId="3909FFA9" w14:textId="766FB5E0" w:rsidR="00213F62" w:rsidRPr="003968FE" w:rsidRDefault="00213F62">
          <w:pPr>
            <w:autoSpaceDE w:val="0"/>
            <w:autoSpaceDN w:val="0"/>
            <w:ind w:hanging="480"/>
            <w:divId w:val="60063583"/>
            <w:rPr>
              <w:color w:val="000000"/>
              <w:sz w:val="16"/>
              <w:szCs w:val="16"/>
            </w:rPr>
          </w:pPr>
          <w:r w:rsidRPr="003968FE">
            <w:rPr>
              <w:color w:val="000000"/>
              <w:sz w:val="16"/>
              <w:szCs w:val="16"/>
              <w:lang w:val="es-MX"/>
            </w:rPr>
            <w:t xml:space="preserve">Pulido, J. L., Maciel, ; M R Wolf, &amp; </w:t>
          </w:r>
          <w:proofErr w:type="spellStart"/>
          <w:r w:rsidRPr="003968FE">
            <w:rPr>
              <w:color w:val="000000"/>
              <w:sz w:val="16"/>
              <w:szCs w:val="16"/>
              <w:lang w:val="es-MX"/>
            </w:rPr>
            <w:t>Filho</w:t>
          </w:r>
          <w:proofErr w:type="spellEnd"/>
          <w:r w:rsidRPr="003968FE">
            <w:rPr>
              <w:color w:val="000000"/>
              <w:sz w:val="16"/>
              <w:szCs w:val="16"/>
              <w:lang w:val="es-MX"/>
            </w:rPr>
            <w:t>, ; R Maciel. (2010). Nuevas perspectivas en procesos de separación: simulación columna de destilación con integración interna de calor (</w:t>
          </w:r>
          <w:proofErr w:type="spellStart"/>
          <w:r w:rsidRPr="003968FE">
            <w:rPr>
              <w:color w:val="000000"/>
              <w:sz w:val="16"/>
              <w:szCs w:val="16"/>
              <w:lang w:val="es-MX"/>
            </w:rPr>
            <w:t>cdiic</w:t>
          </w:r>
          <w:proofErr w:type="spellEnd"/>
          <w:r w:rsidRPr="003968FE">
            <w:rPr>
              <w:color w:val="000000"/>
              <w:sz w:val="16"/>
              <w:szCs w:val="16"/>
              <w:lang w:val="es-MX"/>
            </w:rPr>
            <w:t xml:space="preserve">). </w:t>
          </w:r>
          <w:r w:rsidRPr="003968FE">
            <w:rPr>
              <w:color w:val="000000"/>
              <w:sz w:val="16"/>
              <w:szCs w:val="16"/>
            </w:rPr>
            <w:t xml:space="preserve">In </w:t>
          </w:r>
          <w:proofErr w:type="spellStart"/>
          <w:r w:rsidRPr="003968FE">
            <w:rPr>
              <w:i/>
              <w:iCs/>
              <w:color w:val="000000"/>
              <w:sz w:val="16"/>
              <w:szCs w:val="16"/>
            </w:rPr>
            <w:t>Revista</w:t>
          </w:r>
          <w:proofErr w:type="spellEnd"/>
          <w:r w:rsidRPr="003968FE">
            <w:rPr>
              <w:i/>
              <w:iCs/>
              <w:color w:val="000000"/>
              <w:sz w:val="16"/>
              <w:szCs w:val="16"/>
            </w:rPr>
            <w:t xml:space="preserve"> ION</w:t>
          </w:r>
          <w:r w:rsidRPr="003968FE">
            <w:rPr>
              <w:color w:val="000000"/>
              <w:sz w:val="16"/>
              <w:szCs w:val="16"/>
            </w:rPr>
            <w:t xml:space="preserve"> (Vol. 23).</w:t>
          </w:r>
        </w:p>
        <w:p w14:paraId="0B403C2F" w14:textId="77777777" w:rsidR="00213F62" w:rsidRPr="003968FE" w:rsidRDefault="00213F62">
          <w:pPr>
            <w:autoSpaceDE w:val="0"/>
            <w:autoSpaceDN w:val="0"/>
            <w:ind w:hanging="480"/>
            <w:divId w:val="1279488802"/>
            <w:rPr>
              <w:color w:val="000000"/>
              <w:sz w:val="16"/>
              <w:szCs w:val="16"/>
            </w:rPr>
          </w:pPr>
          <w:r w:rsidRPr="003968FE">
            <w:rPr>
              <w:color w:val="000000"/>
              <w:sz w:val="16"/>
              <w:szCs w:val="16"/>
            </w:rPr>
            <w:t xml:space="preserve">Ranz, W. E., &amp; Marshall, W. R. (1952). Evaporation from drops. </w:t>
          </w:r>
          <w:r w:rsidRPr="003F5092">
            <w:rPr>
              <w:color w:val="000000"/>
              <w:sz w:val="16"/>
              <w:szCs w:val="16"/>
              <w:lang w:val="sv-SE"/>
            </w:rPr>
            <w:t xml:space="preserve">Parts I &amp; II. </w:t>
          </w:r>
          <w:r w:rsidRPr="003F5092">
            <w:rPr>
              <w:i/>
              <w:iCs/>
              <w:color w:val="000000"/>
              <w:sz w:val="16"/>
              <w:szCs w:val="16"/>
              <w:lang w:val="sv-SE"/>
            </w:rPr>
            <w:t xml:space="preserve">Chem. Eng. </w:t>
          </w:r>
          <w:proofErr w:type="spellStart"/>
          <w:r w:rsidRPr="003968FE">
            <w:rPr>
              <w:i/>
              <w:iCs/>
              <w:color w:val="000000"/>
              <w:sz w:val="16"/>
              <w:szCs w:val="16"/>
            </w:rPr>
            <w:t>Progr</w:t>
          </w:r>
          <w:proofErr w:type="spellEnd"/>
          <w:r w:rsidRPr="003968FE">
            <w:rPr>
              <w:color w:val="000000"/>
              <w:sz w:val="16"/>
              <w:szCs w:val="16"/>
            </w:rPr>
            <w:t xml:space="preserve">, </w:t>
          </w:r>
          <w:r w:rsidRPr="003968FE">
            <w:rPr>
              <w:i/>
              <w:iCs/>
              <w:color w:val="000000"/>
              <w:sz w:val="16"/>
              <w:szCs w:val="16"/>
            </w:rPr>
            <w:t>48</w:t>
          </w:r>
          <w:r w:rsidRPr="003968FE">
            <w:rPr>
              <w:color w:val="000000"/>
              <w:sz w:val="16"/>
              <w:szCs w:val="16"/>
            </w:rPr>
            <w:t>(22).</w:t>
          </w:r>
        </w:p>
        <w:p w14:paraId="256886F9" w14:textId="78EC7ACB" w:rsidR="00093389" w:rsidRPr="003968FE" w:rsidRDefault="00093389">
          <w:pPr>
            <w:autoSpaceDE w:val="0"/>
            <w:autoSpaceDN w:val="0"/>
            <w:ind w:hanging="480"/>
            <w:divId w:val="1279488802"/>
            <w:rPr>
              <w:color w:val="000000"/>
              <w:sz w:val="16"/>
              <w:szCs w:val="16"/>
            </w:rPr>
          </w:pPr>
          <w:r w:rsidRPr="003968FE">
            <w:rPr>
              <w:color w:val="000000"/>
              <w:sz w:val="16"/>
              <w:szCs w:val="16"/>
              <w:lang w:val="en-US"/>
            </w:rPr>
            <w:t xml:space="preserve">Versteeg, H. K., &amp; </w:t>
          </w:r>
          <w:proofErr w:type="spellStart"/>
          <w:r w:rsidRPr="003968FE">
            <w:rPr>
              <w:color w:val="000000"/>
              <w:sz w:val="16"/>
              <w:szCs w:val="16"/>
              <w:lang w:val="en-US"/>
            </w:rPr>
            <w:t>Malalasekera</w:t>
          </w:r>
          <w:proofErr w:type="spellEnd"/>
          <w:r w:rsidRPr="003968FE">
            <w:rPr>
              <w:color w:val="000000"/>
              <w:sz w:val="16"/>
              <w:szCs w:val="16"/>
              <w:lang w:val="en-US"/>
            </w:rPr>
            <w:t xml:space="preserve">, W. (1995). An Introduction to Computational Fluid Dynamics The Finite Volume Method. In </w:t>
          </w:r>
          <w:r w:rsidRPr="003968FE">
            <w:rPr>
              <w:i/>
              <w:iCs/>
              <w:color w:val="000000"/>
              <w:sz w:val="16"/>
              <w:szCs w:val="16"/>
              <w:lang w:val="en-US"/>
            </w:rPr>
            <w:t>Fluid flow handbook. McGraw-Hill</w:t>
          </w:r>
          <w:r w:rsidRPr="003968FE">
            <w:rPr>
              <w:color w:val="000000"/>
              <w:sz w:val="16"/>
              <w:szCs w:val="16"/>
              <w:lang w:val="en-US"/>
            </w:rPr>
            <w:t xml:space="preserve">. Longman </w:t>
          </w:r>
          <w:proofErr w:type="spellStart"/>
          <w:r w:rsidRPr="003968FE">
            <w:rPr>
              <w:color w:val="000000"/>
              <w:sz w:val="16"/>
              <w:szCs w:val="16"/>
              <w:lang w:val="en-US"/>
            </w:rPr>
            <w:t>Scitific</w:t>
          </w:r>
          <w:proofErr w:type="spellEnd"/>
          <w:r w:rsidRPr="003968FE">
            <w:rPr>
              <w:color w:val="000000"/>
              <w:sz w:val="16"/>
              <w:szCs w:val="16"/>
              <w:lang w:val="en-US"/>
            </w:rPr>
            <w:t xml:space="preserve"> &amp; Technical. https://doi.org/10.2514/1.22547</w:t>
          </w:r>
        </w:p>
        <w:p w14:paraId="4A93E12B" w14:textId="36A14970" w:rsidR="006F16FF" w:rsidRPr="003968FE" w:rsidRDefault="00000000" w:rsidP="00463140">
          <w:pPr>
            <w:pStyle w:val="CETBodytext"/>
            <w:rPr>
              <w:sz w:val="16"/>
              <w:szCs w:val="16"/>
            </w:rPr>
          </w:pPr>
        </w:p>
      </w:sdtContent>
    </w:sdt>
    <w:sectPr w:rsidR="006F16FF" w:rsidRPr="003968FE"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2379C" w14:textId="77777777" w:rsidR="00131847" w:rsidRDefault="00131847" w:rsidP="004F5E36">
      <w:r>
        <w:separator/>
      </w:r>
    </w:p>
  </w:endnote>
  <w:endnote w:type="continuationSeparator" w:id="0">
    <w:p w14:paraId="3792D86B" w14:textId="77777777" w:rsidR="00131847" w:rsidRDefault="0013184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9165E" w14:textId="77777777" w:rsidR="00131847" w:rsidRDefault="00131847" w:rsidP="004F5E36">
      <w:r>
        <w:separator/>
      </w:r>
    </w:p>
  </w:footnote>
  <w:footnote w:type="continuationSeparator" w:id="0">
    <w:p w14:paraId="17A9730D" w14:textId="77777777" w:rsidR="00131847" w:rsidRDefault="0013184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9FA4BCB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5772356"/>
    <w:multiLevelType w:val="hybridMultilevel"/>
    <w:tmpl w:val="BE5C6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6FC6ED1"/>
    <w:multiLevelType w:val="hybridMultilevel"/>
    <w:tmpl w:val="0FF6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5C437B"/>
    <w:multiLevelType w:val="hybridMultilevel"/>
    <w:tmpl w:val="249E0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84351335">
    <w:abstractNumId w:val="10"/>
  </w:num>
  <w:num w:numId="24" w16cid:durableId="1489901113">
    <w:abstractNumId w:val="16"/>
  </w:num>
  <w:num w:numId="25" w16cid:durableId="2122410244">
    <w:abstractNumId w:val="24"/>
  </w:num>
  <w:num w:numId="26" w16cid:durableId="5061371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6D9"/>
    <w:rsid w:val="000027C0"/>
    <w:rsid w:val="000052FB"/>
    <w:rsid w:val="00005A19"/>
    <w:rsid w:val="000117CB"/>
    <w:rsid w:val="0002692D"/>
    <w:rsid w:val="0003148D"/>
    <w:rsid w:val="00031EEC"/>
    <w:rsid w:val="00046FC3"/>
    <w:rsid w:val="00051566"/>
    <w:rsid w:val="00056093"/>
    <w:rsid w:val="000562A9"/>
    <w:rsid w:val="00062A9A"/>
    <w:rsid w:val="00065058"/>
    <w:rsid w:val="0007195F"/>
    <w:rsid w:val="000747B5"/>
    <w:rsid w:val="00077F22"/>
    <w:rsid w:val="00086C39"/>
    <w:rsid w:val="000930E2"/>
    <w:rsid w:val="00093389"/>
    <w:rsid w:val="000A03B2"/>
    <w:rsid w:val="000A789E"/>
    <w:rsid w:val="000C01B0"/>
    <w:rsid w:val="000C3DE3"/>
    <w:rsid w:val="000D0268"/>
    <w:rsid w:val="000D12C6"/>
    <w:rsid w:val="000D1439"/>
    <w:rsid w:val="000D34BE"/>
    <w:rsid w:val="000D64B4"/>
    <w:rsid w:val="000E0B3C"/>
    <w:rsid w:val="000E102F"/>
    <w:rsid w:val="000E36F1"/>
    <w:rsid w:val="000E3A73"/>
    <w:rsid w:val="000E414A"/>
    <w:rsid w:val="000E75FD"/>
    <w:rsid w:val="000F093C"/>
    <w:rsid w:val="000F787B"/>
    <w:rsid w:val="00116452"/>
    <w:rsid w:val="0011666E"/>
    <w:rsid w:val="0012091F"/>
    <w:rsid w:val="00126BC2"/>
    <w:rsid w:val="001308B6"/>
    <w:rsid w:val="0013121F"/>
    <w:rsid w:val="00131847"/>
    <w:rsid w:val="00131FE6"/>
    <w:rsid w:val="0013263F"/>
    <w:rsid w:val="001331DF"/>
    <w:rsid w:val="00134DE4"/>
    <w:rsid w:val="0014034D"/>
    <w:rsid w:val="001404FC"/>
    <w:rsid w:val="00140FE3"/>
    <w:rsid w:val="001440FF"/>
    <w:rsid w:val="00144D16"/>
    <w:rsid w:val="00145949"/>
    <w:rsid w:val="00150B3E"/>
    <w:rsid w:val="00150E59"/>
    <w:rsid w:val="00152034"/>
    <w:rsid w:val="00152DE3"/>
    <w:rsid w:val="00162754"/>
    <w:rsid w:val="00162F98"/>
    <w:rsid w:val="00164CF9"/>
    <w:rsid w:val="0016668E"/>
    <w:rsid w:val="001667A6"/>
    <w:rsid w:val="00172D81"/>
    <w:rsid w:val="0018171E"/>
    <w:rsid w:val="00184AD6"/>
    <w:rsid w:val="00191EF8"/>
    <w:rsid w:val="001A4AF7"/>
    <w:rsid w:val="001B0349"/>
    <w:rsid w:val="001B1E93"/>
    <w:rsid w:val="001B31EB"/>
    <w:rsid w:val="001B65C1"/>
    <w:rsid w:val="001C260F"/>
    <w:rsid w:val="001C5C3A"/>
    <w:rsid w:val="001C684B"/>
    <w:rsid w:val="001D0CFB"/>
    <w:rsid w:val="001D21AF"/>
    <w:rsid w:val="001D3D32"/>
    <w:rsid w:val="001D53FC"/>
    <w:rsid w:val="001E3D03"/>
    <w:rsid w:val="001F2730"/>
    <w:rsid w:val="001F36D5"/>
    <w:rsid w:val="001F42A5"/>
    <w:rsid w:val="001F7B9D"/>
    <w:rsid w:val="00201C93"/>
    <w:rsid w:val="002056F9"/>
    <w:rsid w:val="00211428"/>
    <w:rsid w:val="00213F62"/>
    <w:rsid w:val="002224B4"/>
    <w:rsid w:val="002447EF"/>
    <w:rsid w:val="002467DE"/>
    <w:rsid w:val="00250D80"/>
    <w:rsid w:val="00251550"/>
    <w:rsid w:val="00261EBD"/>
    <w:rsid w:val="00263B05"/>
    <w:rsid w:val="0027221A"/>
    <w:rsid w:val="00275B61"/>
    <w:rsid w:val="00280FAF"/>
    <w:rsid w:val="00282656"/>
    <w:rsid w:val="002942CA"/>
    <w:rsid w:val="00296B83"/>
    <w:rsid w:val="002A054D"/>
    <w:rsid w:val="002A555A"/>
    <w:rsid w:val="002B4015"/>
    <w:rsid w:val="002B78CE"/>
    <w:rsid w:val="002C03AD"/>
    <w:rsid w:val="002C2FB6"/>
    <w:rsid w:val="002C6D44"/>
    <w:rsid w:val="002E5FA7"/>
    <w:rsid w:val="002F3309"/>
    <w:rsid w:val="002F673A"/>
    <w:rsid w:val="002F7473"/>
    <w:rsid w:val="003008CE"/>
    <w:rsid w:val="003009B7"/>
    <w:rsid w:val="00300E56"/>
    <w:rsid w:val="0030152C"/>
    <w:rsid w:val="003042B6"/>
    <w:rsid w:val="0030469C"/>
    <w:rsid w:val="00304CE8"/>
    <w:rsid w:val="00310086"/>
    <w:rsid w:val="00321CA6"/>
    <w:rsid w:val="00323763"/>
    <w:rsid w:val="00323C5F"/>
    <w:rsid w:val="00325837"/>
    <w:rsid w:val="00333BF5"/>
    <w:rsid w:val="003342E6"/>
    <w:rsid w:val="00334C09"/>
    <w:rsid w:val="00334F38"/>
    <w:rsid w:val="00344B4D"/>
    <w:rsid w:val="00346FAA"/>
    <w:rsid w:val="0036092B"/>
    <w:rsid w:val="00363137"/>
    <w:rsid w:val="00370EE6"/>
    <w:rsid w:val="003723D4"/>
    <w:rsid w:val="00373A5D"/>
    <w:rsid w:val="003815B1"/>
    <w:rsid w:val="00381905"/>
    <w:rsid w:val="003849A2"/>
    <w:rsid w:val="00384CC8"/>
    <w:rsid w:val="003852B9"/>
    <w:rsid w:val="003871FD"/>
    <w:rsid w:val="00391332"/>
    <w:rsid w:val="00395125"/>
    <w:rsid w:val="003968FE"/>
    <w:rsid w:val="003A1E30"/>
    <w:rsid w:val="003A2829"/>
    <w:rsid w:val="003A7D1C"/>
    <w:rsid w:val="003B0C12"/>
    <w:rsid w:val="003B304B"/>
    <w:rsid w:val="003B3146"/>
    <w:rsid w:val="003B49CD"/>
    <w:rsid w:val="003C3EB7"/>
    <w:rsid w:val="003C5A96"/>
    <w:rsid w:val="003D1E02"/>
    <w:rsid w:val="003F015E"/>
    <w:rsid w:val="003F177C"/>
    <w:rsid w:val="003F34AF"/>
    <w:rsid w:val="003F5092"/>
    <w:rsid w:val="00400414"/>
    <w:rsid w:val="00400632"/>
    <w:rsid w:val="004031B5"/>
    <w:rsid w:val="0041446B"/>
    <w:rsid w:val="004150B6"/>
    <w:rsid w:val="004160B6"/>
    <w:rsid w:val="00425372"/>
    <w:rsid w:val="00433D28"/>
    <w:rsid w:val="0044071E"/>
    <w:rsid w:val="0044329C"/>
    <w:rsid w:val="00443FF2"/>
    <w:rsid w:val="00453E24"/>
    <w:rsid w:val="00457456"/>
    <w:rsid w:val="004577FE"/>
    <w:rsid w:val="00457B9C"/>
    <w:rsid w:val="0046164A"/>
    <w:rsid w:val="004628D2"/>
    <w:rsid w:val="00462DCD"/>
    <w:rsid w:val="00463140"/>
    <w:rsid w:val="004648AD"/>
    <w:rsid w:val="00470005"/>
    <w:rsid w:val="004703A9"/>
    <w:rsid w:val="00475E92"/>
    <w:rsid w:val="004760DE"/>
    <w:rsid w:val="004763D7"/>
    <w:rsid w:val="0048672F"/>
    <w:rsid w:val="0049693F"/>
    <w:rsid w:val="004A004E"/>
    <w:rsid w:val="004A24CF"/>
    <w:rsid w:val="004B7DF6"/>
    <w:rsid w:val="004C3117"/>
    <w:rsid w:val="004C3D1D"/>
    <w:rsid w:val="004C3D84"/>
    <w:rsid w:val="004C7913"/>
    <w:rsid w:val="004E4DD6"/>
    <w:rsid w:val="004F0966"/>
    <w:rsid w:val="004F5E36"/>
    <w:rsid w:val="005039B2"/>
    <w:rsid w:val="00507B47"/>
    <w:rsid w:val="00507BEF"/>
    <w:rsid w:val="00507CC9"/>
    <w:rsid w:val="005119A5"/>
    <w:rsid w:val="00511BCF"/>
    <w:rsid w:val="0051784C"/>
    <w:rsid w:val="00521127"/>
    <w:rsid w:val="00524A17"/>
    <w:rsid w:val="005278B7"/>
    <w:rsid w:val="0053163C"/>
    <w:rsid w:val="00532016"/>
    <w:rsid w:val="005346C8"/>
    <w:rsid w:val="00543E7D"/>
    <w:rsid w:val="00547A68"/>
    <w:rsid w:val="005531C9"/>
    <w:rsid w:val="00554879"/>
    <w:rsid w:val="0056296F"/>
    <w:rsid w:val="00570C43"/>
    <w:rsid w:val="00572B2C"/>
    <w:rsid w:val="0057612C"/>
    <w:rsid w:val="00576DFF"/>
    <w:rsid w:val="00576E2A"/>
    <w:rsid w:val="0058309A"/>
    <w:rsid w:val="00586E09"/>
    <w:rsid w:val="00590637"/>
    <w:rsid w:val="00592274"/>
    <w:rsid w:val="0059759A"/>
    <w:rsid w:val="005B2110"/>
    <w:rsid w:val="005B350B"/>
    <w:rsid w:val="005B61E6"/>
    <w:rsid w:val="005C6512"/>
    <w:rsid w:val="005C77E1"/>
    <w:rsid w:val="005D668A"/>
    <w:rsid w:val="005D6A2F"/>
    <w:rsid w:val="005E0592"/>
    <w:rsid w:val="005E1A82"/>
    <w:rsid w:val="005E657E"/>
    <w:rsid w:val="005E794C"/>
    <w:rsid w:val="005F0A28"/>
    <w:rsid w:val="005F0E5E"/>
    <w:rsid w:val="005F5808"/>
    <w:rsid w:val="00600535"/>
    <w:rsid w:val="00606DA2"/>
    <w:rsid w:val="00610CD6"/>
    <w:rsid w:val="006140A3"/>
    <w:rsid w:val="006143F5"/>
    <w:rsid w:val="00620DEE"/>
    <w:rsid w:val="00621F92"/>
    <w:rsid w:val="0062236D"/>
    <w:rsid w:val="0062280A"/>
    <w:rsid w:val="00623091"/>
    <w:rsid w:val="006231E1"/>
    <w:rsid w:val="006236F4"/>
    <w:rsid w:val="00625639"/>
    <w:rsid w:val="00626342"/>
    <w:rsid w:val="00627D62"/>
    <w:rsid w:val="006313D9"/>
    <w:rsid w:val="00631544"/>
    <w:rsid w:val="00631B33"/>
    <w:rsid w:val="006375B4"/>
    <w:rsid w:val="0064184D"/>
    <w:rsid w:val="006422CC"/>
    <w:rsid w:val="00645831"/>
    <w:rsid w:val="00651D18"/>
    <w:rsid w:val="00660E3E"/>
    <w:rsid w:val="00662E74"/>
    <w:rsid w:val="006701CB"/>
    <w:rsid w:val="00672F37"/>
    <w:rsid w:val="00680C23"/>
    <w:rsid w:val="00682C8A"/>
    <w:rsid w:val="00683E23"/>
    <w:rsid w:val="00693766"/>
    <w:rsid w:val="00693B64"/>
    <w:rsid w:val="006A3281"/>
    <w:rsid w:val="006A6A5B"/>
    <w:rsid w:val="006A6DE5"/>
    <w:rsid w:val="006B4888"/>
    <w:rsid w:val="006C0213"/>
    <w:rsid w:val="006C2E45"/>
    <w:rsid w:val="006C359C"/>
    <w:rsid w:val="006C5579"/>
    <w:rsid w:val="006D4A20"/>
    <w:rsid w:val="006D6E8B"/>
    <w:rsid w:val="006D7209"/>
    <w:rsid w:val="006E737D"/>
    <w:rsid w:val="006F16FF"/>
    <w:rsid w:val="006F4AD6"/>
    <w:rsid w:val="00707DD1"/>
    <w:rsid w:val="00713973"/>
    <w:rsid w:val="00716972"/>
    <w:rsid w:val="00720A24"/>
    <w:rsid w:val="0072148B"/>
    <w:rsid w:val="00726FF2"/>
    <w:rsid w:val="00732386"/>
    <w:rsid w:val="0073514D"/>
    <w:rsid w:val="007405C0"/>
    <w:rsid w:val="007447F3"/>
    <w:rsid w:val="007473D0"/>
    <w:rsid w:val="00753272"/>
    <w:rsid w:val="0075499F"/>
    <w:rsid w:val="00754B37"/>
    <w:rsid w:val="00756591"/>
    <w:rsid w:val="00761BEC"/>
    <w:rsid w:val="0076383B"/>
    <w:rsid w:val="00765F37"/>
    <w:rsid w:val="007661C8"/>
    <w:rsid w:val="0077098D"/>
    <w:rsid w:val="00785BF9"/>
    <w:rsid w:val="00791EC0"/>
    <w:rsid w:val="007931FA"/>
    <w:rsid w:val="00797C09"/>
    <w:rsid w:val="007A4861"/>
    <w:rsid w:val="007A5641"/>
    <w:rsid w:val="007A7BBA"/>
    <w:rsid w:val="007B0C50"/>
    <w:rsid w:val="007B48F9"/>
    <w:rsid w:val="007C0469"/>
    <w:rsid w:val="007C1A43"/>
    <w:rsid w:val="007C634E"/>
    <w:rsid w:val="007D02D2"/>
    <w:rsid w:val="007D0951"/>
    <w:rsid w:val="007D1DC0"/>
    <w:rsid w:val="007D300A"/>
    <w:rsid w:val="007D610D"/>
    <w:rsid w:val="0080013E"/>
    <w:rsid w:val="00801759"/>
    <w:rsid w:val="00813288"/>
    <w:rsid w:val="00815D82"/>
    <w:rsid w:val="008168FC"/>
    <w:rsid w:val="00830996"/>
    <w:rsid w:val="008345F1"/>
    <w:rsid w:val="0084210C"/>
    <w:rsid w:val="00842474"/>
    <w:rsid w:val="00862CB5"/>
    <w:rsid w:val="00865B07"/>
    <w:rsid w:val="008667EA"/>
    <w:rsid w:val="00871AC6"/>
    <w:rsid w:val="0087637F"/>
    <w:rsid w:val="00876E7C"/>
    <w:rsid w:val="00892AD5"/>
    <w:rsid w:val="008932F1"/>
    <w:rsid w:val="008A1512"/>
    <w:rsid w:val="008B534A"/>
    <w:rsid w:val="008C6E0E"/>
    <w:rsid w:val="008D32B9"/>
    <w:rsid w:val="008D433B"/>
    <w:rsid w:val="008D4A16"/>
    <w:rsid w:val="008D7A97"/>
    <w:rsid w:val="008E363C"/>
    <w:rsid w:val="008E4EAC"/>
    <w:rsid w:val="008E5401"/>
    <w:rsid w:val="008E566E"/>
    <w:rsid w:val="0090161A"/>
    <w:rsid w:val="00901EB6"/>
    <w:rsid w:val="009041F8"/>
    <w:rsid w:val="00904441"/>
    <w:rsid w:val="00904C62"/>
    <w:rsid w:val="00911900"/>
    <w:rsid w:val="009130D8"/>
    <w:rsid w:val="00922BA8"/>
    <w:rsid w:val="00924DAC"/>
    <w:rsid w:val="00927058"/>
    <w:rsid w:val="00930FE3"/>
    <w:rsid w:val="00937D82"/>
    <w:rsid w:val="00942750"/>
    <w:rsid w:val="009450CE"/>
    <w:rsid w:val="009459BB"/>
    <w:rsid w:val="00947179"/>
    <w:rsid w:val="0094794A"/>
    <w:rsid w:val="0095164B"/>
    <w:rsid w:val="00954090"/>
    <w:rsid w:val="009573E7"/>
    <w:rsid w:val="00961910"/>
    <w:rsid w:val="00963E05"/>
    <w:rsid w:val="00964A45"/>
    <w:rsid w:val="00967843"/>
    <w:rsid w:val="00967D54"/>
    <w:rsid w:val="00971028"/>
    <w:rsid w:val="00974558"/>
    <w:rsid w:val="0097687D"/>
    <w:rsid w:val="00993B84"/>
    <w:rsid w:val="00994C6A"/>
    <w:rsid w:val="00996483"/>
    <w:rsid w:val="00996F5A"/>
    <w:rsid w:val="009A00A1"/>
    <w:rsid w:val="009A0775"/>
    <w:rsid w:val="009B041A"/>
    <w:rsid w:val="009B6E57"/>
    <w:rsid w:val="009C0063"/>
    <w:rsid w:val="009C37C3"/>
    <w:rsid w:val="009C7C86"/>
    <w:rsid w:val="009D15CA"/>
    <w:rsid w:val="009D2FF7"/>
    <w:rsid w:val="009E5917"/>
    <w:rsid w:val="009E7884"/>
    <w:rsid w:val="009E788A"/>
    <w:rsid w:val="009F0E08"/>
    <w:rsid w:val="00A079AE"/>
    <w:rsid w:val="00A1327D"/>
    <w:rsid w:val="00A16515"/>
    <w:rsid w:val="00A1763D"/>
    <w:rsid w:val="00A1772C"/>
    <w:rsid w:val="00A17CEC"/>
    <w:rsid w:val="00A206F8"/>
    <w:rsid w:val="00A27EF0"/>
    <w:rsid w:val="00A32628"/>
    <w:rsid w:val="00A3363E"/>
    <w:rsid w:val="00A42361"/>
    <w:rsid w:val="00A50B20"/>
    <w:rsid w:val="00A51390"/>
    <w:rsid w:val="00A522E5"/>
    <w:rsid w:val="00A60D13"/>
    <w:rsid w:val="00A7223D"/>
    <w:rsid w:val="00A72745"/>
    <w:rsid w:val="00A72D1C"/>
    <w:rsid w:val="00A73E3D"/>
    <w:rsid w:val="00A75AAB"/>
    <w:rsid w:val="00A76EFC"/>
    <w:rsid w:val="00A8233D"/>
    <w:rsid w:val="00A87D50"/>
    <w:rsid w:val="00A91010"/>
    <w:rsid w:val="00A97F29"/>
    <w:rsid w:val="00AA2A8F"/>
    <w:rsid w:val="00AA702E"/>
    <w:rsid w:val="00AA7D26"/>
    <w:rsid w:val="00AB0964"/>
    <w:rsid w:val="00AB5011"/>
    <w:rsid w:val="00AC7368"/>
    <w:rsid w:val="00AD16B9"/>
    <w:rsid w:val="00AD1E89"/>
    <w:rsid w:val="00AD5327"/>
    <w:rsid w:val="00AE377D"/>
    <w:rsid w:val="00AF0EBA"/>
    <w:rsid w:val="00AF2463"/>
    <w:rsid w:val="00B02C8A"/>
    <w:rsid w:val="00B17FBD"/>
    <w:rsid w:val="00B26208"/>
    <w:rsid w:val="00B315A6"/>
    <w:rsid w:val="00B31813"/>
    <w:rsid w:val="00B33365"/>
    <w:rsid w:val="00B42890"/>
    <w:rsid w:val="00B53711"/>
    <w:rsid w:val="00B57B36"/>
    <w:rsid w:val="00B57E6F"/>
    <w:rsid w:val="00B6301D"/>
    <w:rsid w:val="00B80938"/>
    <w:rsid w:val="00B8686D"/>
    <w:rsid w:val="00B93F69"/>
    <w:rsid w:val="00B96F9D"/>
    <w:rsid w:val="00BA1788"/>
    <w:rsid w:val="00BB1DDC"/>
    <w:rsid w:val="00BB30FD"/>
    <w:rsid w:val="00BC30C9"/>
    <w:rsid w:val="00BC592C"/>
    <w:rsid w:val="00BD077D"/>
    <w:rsid w:val="00BD29A8"/>
    <w:rsid w:val="00BE3E58"/>
    <w:rsid w:val="00BE7BE3"/>
    <w:rsid w:val="00BF13CE"/>
    <w:rsid w:val="00C01616"/>
    <w:rsid w:val="00C0162B"/>
    <w:rsid w:val="00C068ED"/>
    <w:rsid w:val="00C1361F"/>
    <w:rsid w:val="00C21A0C"/>
    <w:rsid w:val="00C22E0C"/>
    <w:rsid w:val="00C25198"/>
    <w:rsid w:val="00C345B1"/>
    <w:rsid w:val="00C3528A"/>
    <w:rsid w:val="00C353C3"/>
    <w:rsid w:val="00C37BD4"/>
    <w:rsid w:val="00C40142"/>
    <w:rsid w:val="00C52C3C"/>
    <w:rsid w:val="00C57182"/>
    <w:rsid w:val="00C57863"/>
    <w:rsid w:val="00C61398"/>
    <w:rsid w:val="00C640AF"/>
    <w:rsid w:val="00C655FD"/>
    <w:rsid w:val="00C75407"/>
    <w:rsid w:val="00C841C6"/>
    <w:rsid w:val="00C870A8"/>
    <w:rsid w:val="00C94434"/>
    <w:rsid w:val="00CA0D75"/>
    <w:rsid w:val="00CA1C95"/>
    <w:rsid w:val="00CA5A9C"/>
    <w:rsid w:val="00CB5147"/>
    <w:rsid w:val="00CC4452"/>
    <w:rsid w:val="00CC4C20"/>
    <w:rsid w:val="00CC66DF"/>
    <w:rsid w:val="00CD3517"/>
    <w:rsid w:val="00CD3E13"/>
    <w:rsid w:val="00CD5FE2"/>
    <w:rsid w:val="00CD6366"/>
    <w:rsid w:val="00CE7C68"/>
    <w:rsid w:val="00CF081D"/>
    <w:rsid w:val="00CF3742"/>
    <w:rsid w:val="00CF4153"/>
    <w:rsid w:val="00D01673"/>
    <w:rsid w:val="00D02B4C"/>
    <w:rsid w:val="00D040C4"/>
    <w:rsid w:val="00D20AD1"/>
    <w:rsid w:val="00D2582C"/>
    <w:rsid w:val="00D34569"/>
    <w:rsid w:val="00D46005"/>
    <w:rsid w:val="00D46B7E"/>
    <w:rsid w:val="00D53848"/>
    <w:rsid w:val="00D57C84"/>
    <w:rsid w:val="00D6057D"/>
    <w:rsid w:val="00D71640"/>
    <w:rsid w:val="00D75914"/>
    <w:rsid w:val="00D836C5"/>
    <w:rsid w:val="00D84576"/>
    <w:rsid w:val="00D9026C"/>
    <w:rsid w:val="00DA1399"/>
    <w:rsid w:val="00DA24C6"/>
    <w:rsid w:val="00DA46F9"/>
    <w:rsid w:val="00DA4D7B"/>
    <w:rsid w:val="00DB4BD6"/>
    <w:rsid w:val="00DB4DEC"/>
    <w:rsid w:val="00DC2840"/>
    <w:rsid w:val="00DC73EE"/>
    <w:rsid w:val="00DD271C"/>
    <w:rsid w:val="00DE264A"/>
    <w:rsid w:val="00DE6A99"/>
    <w:rsid w:val="00DF456B"/>
    <w:rsid w:val="00DF5072"/>
    <w:rsid w:val="00E02D18"/>
    <w:rsid w:val="00E041E7"/>
    <w:rsid w:val="00E23CA1"/>
    <w:rsid w:val="00E260CA"/>
    <w:rsid w:val="00E31A86"/>
    <w:rsid w:val="00E35CF2"/>
    <w:rsid w:val="00E409A8"/>
    <w:rsid w:val="00E42204"/>
    <w:rsid w:val="00E43B38"/>
    <w:rsid w:val="00E46F03"/>
    <w:rsid w:val="00E50C12"/>
    <w:rsid w:val="00E54C6A"/>
    <w:rsid w:val="00E649CA"/>
    <w:rsid w:val="00E65B91"/>
    <w:rsid w:val="00E7209D"/>
    <w:rsid w:val="00E72EAD"/>
    <w:rsid w:val="00E77223"/>
    <w:rsid w:val="00E843D1"/>
    <w:rsid w:val="00E8528B"/>
    <w:rsid w:val="00E85B94"/>
    <w:rsid w:val="00E978D0"/>
    <w:rsid w:val="00EA25EB"/>
    <w:rsid w:val="00EA4613"/>
    <w:rsid w:val="00EA57A8"/>
    <w:rsid w:val="00EA7F91"/>
    <w:rsid w:val="00EB1523"/>
    <w:rsid w:val="00EB61E6"/>
    <w:rsid w:val="00EC0E49"/>
    <w:rsid w:val="00EC101F"/>
    <w:rsid w:val="00EC1D9F"/>
    <w:rsid w:val="00ED001A"/>
    <w:rsid w:val="00EE0131"/>
    <w:rsid w:val="00EE17B0"/>
    <w:rsid w:val="00EF06D9"/>
    <w:rsid w:val="00EF3DDA"/>
    <w:rsid w:val="00F13F21"/>
    <w:rsid w:val="00F3049E"/>
    <w:rsid w:val="00F30C64"/>
    <w:rsid w:val="00F32BA2"/>
    <w:rsid w:val="00F32CDB"/>
    <w:rsid w:val="00F3468D"/>
    <w:rsid w:val="00F41EE4"/>
    <w:rsid w:val="00F565FE"/>
    <w:rsid w:val="00F63751"/>
    <w:rsid w:val="00F63A70"/>
    <w:rsid w:val="00F63D8C"/>
    <w:rsid w:val="00F66395"/>
    <w:rsid w:val="00F7534E"/>
    <w:rsid w:val="00F76072"/>
    <w:rsid w:val="00F833D9"/>
    <w:rsid w:val="00F83B8B"/>
    <w:rsid w:val="00F92EC0"/>
    <w:rsid w:val="00F93EDF"/>
    <w:rsid w:val="00FA1802"/>
    <w:rsid w:val="00FA21D0"/>
    <w:rsid w:val="00FA5F5F"/>
    <w:rsid w:val="00FB14D0"/>
    <w:rsid w:val="00FB730C"/>
    <w:rsid w:val="00FC2695"/>
    <w:rsid w:val="00FC3E03"/>
    <w:rsid w:val="00FC3FC1"/>
    <w:rsid w:val="00FD313A"/>
    <w:rsid w:val="00FD34F7"/>
    <w:rsid w:val="00FD7929"/>
    <w:rsid w:val="00FF3F4C"/>
    <w:rsid w:val="00FF678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3852B9"/>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3852B9"/>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table" w:customStyle="1" w:styleId="TableGrid1">
    <w:name w:val="Table Grid1"/>
    <w:basedOn w:val="TableNormal"/>
    <w:next w:val="TableGrid"/>
    <w:rsid w:val="0063154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0063"/>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72F37"/>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32628"/>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042B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72D81"/>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F673A"/>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E4EAC"/>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9D15CA"/>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375B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A0775"/>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D792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97687D"/>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261EBD"/>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791EC0"/>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B6301D"/>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9E5917"/>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2942CA"/>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8E363C"/>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B26208"/>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8B534A"/>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F3DDA"/>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51784C"/>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37D82"/>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682C8A"/>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8C6E0E"/>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7473D0"/>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191EF8"/>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D01673"/>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BC592C"/>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16FF"/>
    <w:rPr>
      <w:color w:val="666666"/>
    </w:rPr>
  </w:style>
  <w:style w:type="paragraph" w:styleId="NoSpacing">
    <w:name w:val="No Spacing"/>
    <w:uiPriority w:val="1"/>
    <w:qFormat/>
    <w:rsid w:val="00756591"/>
    <w:pPr>
      <w:tabs>
        <w:tab w:val="right" w:pos="7100"/>
      </w:tabs>
      <w:spacing w:after="0" w:line="240" w:lineRule="auto"/>
      <w:jc w:val="both"/>
    </w:pPr>
    <w:rPr>
      <w:rFonts w:ascii="Arial" w:eastAsia="Times New Roman" w:hAnsi="Arial" w:cs="Times New Roman"/>
      <w:sz w:val="18"/>
      <w:szCs w:val="20"/>
      <w:lang w:val="en-GB"/>
    </w:rPr>
  </w:style>
  <w:style w:type="table" w:customStyle="1" w:styleId="TableGrid31">
    <w:name w:val="Table Grid31"/>
    <w:basedOn w:val="TableNormal"/>
    <w:next w:val="TableGrid"/>
    <w:rsid w:val="007C634E"/>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0180">
      <w:bodyDiv w:val="1"/>
      <w:marLeft w:val="0"/>
      <w:marRight w:val="0"/>
      <w:marTop w:val="0"/>
      <w:marBottom w:val="0"/>
      <w:divBdr>
        <w:top w:val="none" w:sz="0" w:space="0" w:color="auto"/>
        <w:left w:val="none" w:sz="0" w:space="0" w:color="auto"/>
        <w:bottom w:val="none" w:sz="0" w:space="0" w:color="auto"/>
        <w:right w:val="none" w:sz="0" w:space="0" w:color="auto"/>
      </w:divBdr>
    </w:div>
    <w:div w:id="217711120">
      <w:bodyDiv w:val="1"/>
      <w:marLeft w:val="0"/>
      <w:marRight w:val="0"/>
      <w:marTop w:val="0"/>
      <w:marBottom w:val="0"/>
      <w:divBdr>
        <w:top w:val="none" w:sz="0" w:space="0" w:color="auto"/>
        <w:left w:val="none" w:sz="0" w:space="0" w:color="auto"/>
        <w:bottom w:val="none" w:sz="0" w:space="0" w:color="auto"/>
        <w:right w:val="none" w:sz="0" w:space="0" w:color="auto"/>
      </w:divBdr>
    </w:div>
    <w:div w:id="361051752">
      <w:bodyDiv w:val="1"/>
      <w:marLeft w:val="0"/>
      <w:marRight w:val="0"/>
      <w:marTop w:val="0"/>
      <w:marBottom w:val="0"/>
      <w:divBdr>
        <w:top w:val="none" w:sz="0" w:space="0" w:color="auto"/>
        <w:left w:val="none" w:sz="0" w:space="0" w:color="auto"/>
        <w:bottom w:val="none" w:sz="0" w:space="0" w:color="auto"/>
        <w:right w:val="none" w:sz="0" w:space="0" w:color="auto"/>
      </w:divBdr>
    </w:div>
    <w:div w:id="425460919">
      <w:bodyDiv w:val="1"/>
      <w:marLeft w:val="0"/>
      <w:marRight w:val="0"/>
      <w:marTop w:val="0"/>
      <w:marBottom w:val="0"/>
      <w:divBdr>
        <w:top w:val="none" w:sz="0" w:space="0" w:color="auto"/>
        <w:left w:val="none" w:sz="0" w:space="0" w:color="auto"/>
        <w:bottom w:val="none" w:sz="0" w:space="0" w:color="auto"/>
        <w:right w:val="none" w:sz="0" w:space="0" w:color="auto"/>
      </w:divBdr>
    </w:div>
    <w:div w:id="473379327">
      <w:bodyDiv w:val="1"/>
      <w:marLeft w:val="0"/>
      <w:marRight w:val="0"/>
      <w:marTop w:val="0"/>
      <w:marBottom w:val="0"/>
      <w:divBdr>
        <w:top w:val="none" w:sz="0" w:space="0" w:color="auto"/>
        <w:left w:val="none" w:sz="0" w:space="0" w:color="auto"/>
        <w:bottom w:val="none" w:sz="0" w:space="0" w:color="auto"/>
        <w:right w:val="none" w:sz="0" w:space="0" w:color="auto"/>
      </w:divBdr>
    </w:div>
    <w:div w:id="590629858">
      <w:bodyDiv w:val="1"/>
      <w:marLeft w:val="0"/>
      <w:marRight w:val="0"/>
      <w:marTop w:val="0"/>
      <w:marBottom w:val="0"/>
      <w:divBdr>
        <w:top w:val="none" w:sz="0" w:space="0" w:color="auto"/>
        <w:left w:val="none" w:sz="0" w:space="0" w:color="auto"/>
        <w:bottom w:val="none" w:sz="0" w:space="0" w:color="auto"/>
        <w:right w:val="none" w:sz="0" w:space="0" w:color="auto"/>
      </w:divBdr>
    </w:div>
    <w:div w:id="73532297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3547938">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08">
      <w:bodyDiv w:val="1"/>
      <w:marLeft w:val="0"/>
      <w:marRight w:val="0"/>
      <w:marTop w:val="0"/>
      <w:marBottom w:val="0"/>
      <w:divBdr>
        <w:top w:val="none" w:sz="0" w:space="0" w:color="auto"/>
        <w:left w:val="none" w:sz="0" w:space="0" w:color="auto"/>
        <w:bottom w:val="none" w:sz="0" w:space="0" w:color="auto"/>
        <w:right w:val="none" w:sz="0" w:space="0" w:color="auto"/>
      </w:divBdr>
    </w:div>
    <w:div w:id="1359239217">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8733438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2168960">
      <w:bodyDiv w:val="1"/>
      <w:marLeft w:val="0"/>
      <w:marRight w:val="0"/>
      <w:marTop w:val="0"/>
      <w:marBottom w:val="0"/>
      <w:divBdr>
        <w:top w:val="none" w:sz="0" w:space="0" w:color="auto"/>
        <w:left w:val="none" w:sz="0" w:space="0" w:color="auto"/>
        <w:bottom w:val="none" w:sz="0" w:space="0" w:color="auto"/>
        <w:right w:val="none" w:sz="0" w:space="0" w:color="auto"/>
      </w:divBdr>
    </w:div>
    <w:div w:id="1460033263">
      <w:bodyDiv w:val="1"/>
      <w:marLeft w:val="0"/>
      <w:marRight w:val="0"/>
      <w:marTop w:val="0"/>
      <w:marBottom w:val="0"/>
      <w:divBdr>
        <w:top w:val="none" w:sz="0" w:space="0" w:color="auto"/>
        <w:left w:val="none" w:sz="0" w:space="0" w:color="auto"/>
        <w:bottom w:val="none" w:sz="0" w:space="0" w:color="auto"/>
        <w:right w:val="none" w:sz="0" w:space="0" w:color="auto"/>
      </w:divBdr>
      <w:divsChild>
        <w:div w:id="793905359">
          <w:marLeft w:val="480"/>
          <w:marRight w:val="0"/>
          <w:marTop w:val="0"/>
          <w:marBottom w:val="0"/>
          <w:divBdr>
            <w:top w:val="none" w:sz="0" w:space="0" w:color="auto"/>
            <w:left w:val="none" w:sz="0" w:space="0" w:color="auto"/>
            <w:bottom w:val="none" w:sz="0" w:space="0" w:color="auto"/>
            <w:right w:val="none" w:sz="0" w:space="0" w:color="auto"/>
          </w:divBdr>
        </w:div>
        <w:div w:id="161359894">
          <w:marLeft w:val="480"/>
          <w:marRight w:val="0"/>
          <w:marTop w:val="0"/>
          <w:marBottom w:val="0"/>
          <w:divBdr>
            <w:top w:val="none" w:sz="0" w:space="0" w:color="auto"/>
            <w:left w:val="none" w:sz="0" w:space="0" w:color="auto"/>
            <w:bottom w:val="none" w:sz="0" w:space="0" w:color="auto"/>
            <w:right w:val="none" w:sz="0" w:space="0" w:color="auto"/>
          </w:divBdr>
        </w:div>
        <w:div w:id="1234507431">
          <w:marLeft w:val="480"/>
          <w:marRight w:val="0"/>
          <w:marTop w:val="0"/>
          <w:marBottom w:val="0"/>
          <w:divBdr>
            <w:top w:val="none" w:sz="0" w:space="0" w:color="auto"/>
            <w:left w:val="none" w:sz="0" w:space="0" w:color="auto"/>
            <w:bottom w:val="none" w:sz="0" w:space="0" w:color="auto"/>
            <w:right w:val="none" w:sz="0" w:space="0" w:color="auto"/>
          </w:divBdr>
        </w:div>
        <w:div w:id="213004974">
          <w:marLeft w:val="480"/>
          <w:marRight w:val="0"/>
          <w:marTop w:val="0"/>
          <w:marBottom w:val="0"/>
          <w:divBdr>
            <w:top w:val="none" w:sz="0" w:space="0" w:color="auto"/>
            <w:left w:val="none" w:sz="0" w:space="0" w:color="auto"/>
            <w:bottom w:val="none" w:sz="0" w:space="0" w:color="auto"/>
            <w:right w:val="none" w:sz="0" w:space="0" w:color="auto"/>
          </w:divBdr>
        </w:div>
        <w:div w:id="1896698066">
          <w:marLeft w:val="480"/>
          <w:marRight w:val="0"/>
          <w:marTop w:val="0"/>
          <w:marBottom w:val="0"/>
          <w:divBdr>
            <w:top w:val="none" w:sz="0" w:space="0" w:color="auto"/>
            <w:left w:val="none" w:sz="0" w:space="0" w:color="auto"/>
            <w:bottom w:val="none" w:sz="0" w:space="0" w:color="auto"/>
            <w:right w:val="none" w:sz="0" w:space="0" w:color="auto"/>
          </w:divBdr>
        </w:div>
        <w:div w:id="1161770466">
          <w:marLeft w:val="480"/>
          <w:marRight w:val="0"/>
          <w:marTop w:val="0"/>
          <w:marBottom w:val="0"/>
          <w:divBdr>
            <w:top w:val="none" w:sz="0" w:space="0" w:color="auto"/>
            <w:left w:val="none" w:sz="0" w:space="0" w:color="auto"/>
            <w:bottom w:val="none" w:sz="0" w:space="0" w:color="auto"/>
            <w:right w:val="none" w:sz="0" w:space="0" w:color="auto"/>
          </w:divBdr>
        </w:div>
        <w:div w:id="953170823">
          <w:marLeft w:val="480"/>
          <w:marRight w:val="0"/>
          <w:marTop w:val="0"/>
          <w:marBottom w:val="0"/>
          <w:divBdr>
            <w:top w:val="none" w:sz="0" w:space="0" w:color="auto"/>
            <w:left w:val="none" w:sz="0" w:space="0" w:color="auto"/>
            <w:bottom w:val="none" w:sz="0" w:space="0" w:color="auto"/>
            <w:right w:val="none" w:sz="0" w:space="0" w:color="auto"/>
          </w:divBdr>
        </w:div>
        <w:div w:id="1010520356">
          <w:marLeft w:val="480"/>
          <w:marRight w:val="0"/>
          <w:marTop w:val="0"/>
          <w:marBottom w:val="0"/>
          <w:divBdr>
            <w:top w:val="none" w:sz="0" w:space="0" w:color="auto"/>
            <w:left w:val="none" w:sz="0" w:space="0" w:color="auto"/>
            <w:bottom w:val="none" w:sz="0" w:space="0" w:color="auto"/>
            <w:right w:val="none" w:sz="0" w:space="0" w:color="auto"/>
          </w:divBdr>
        </w:div>
        <w:div w:id="91821809">
          <w:marLeft w:val="480"/>
          <w:marRight w:val="0"/>
          <w:marTop w:val="0"/>
          <w:marBottom w:val="0"/>
          <w:divBdr>
            <w:top w:val="none" w:sz="0" w:space="0" w:color="auto"/>
            <w:left w:val="none" w:sz="0" w:space="0" w:color="auto"/>
            <w:bottom w:val="none" w:sz="0" w:space="0" w:color="auto"/>
            <w:right w:val="none" w:sz="0" w:space="0" w:color="auto"/>
          </w:divBdr>
        </w:div>
        <w:div w:id="1921865862">
          <w:marLeft w:val="480"/>
          <w:marRight w:val="0"/>
          <w:marTop w:val="0"/>
          <w:marBottom w:val="0"/>
          <w:divBdr>
            <w:top w:val="none" w:sz="0" w:space="0" w:color="auto"/>
            <w:left w:val="none" w:sz="0" w:space="0" w:color="auto"/>
            <w:bottom w:val="none" w:sz="0" w:space="0" w:color="auto"/>
            <w:right w:val="none" w:sz="0" w:space="0" w:color="auto"/>
          </w:divBdr>
        </w:div>
        <w:div w:id="60063583">
          <w:marLeft w:val="480"/>
          <w:marRight w:val="0"/>
          <w:marTop w:val="0"/>
          <w:marBottom w:val="0"/>
          <w:divBdr>
            <w:top w:val="none" w:sz="0" w:space="0" w:color="auto"/>
            <w:left w:val="none" w:sz="0" w:space="0" w:color="auto"/>
            <w:bottom w:val="none" w:sz="0" w:space="0" w:color="auto"/>
            <w:right w:val="none" w:sz="0" w:space="0" w:color="auto"/>
          </w:divBdr>
        </w:div>
        <w:div w:id="1997295933">
          <w:marLeft w:val="480"/>
          <w:marRight w:val="0"/>
          <w:marTop w:val="0"/>
          <w:marBottom w:val="0"/>
          <w:divBdr>
            <w:top w:val="none" w:sz="0" w:space="0" w:color="auto"/>
            <w:left w:val="none" w:sz="0" w:space="0" w:color="auto"/>
            <w:bottom w:val="none" w:sz="0" w:space="0" w:color="auto"/>
            <w:right w:val="none" w:sz="0" w:space="0" w:color="auto"/>
          </w:divBdr>
        </w:div>
        <w:div w:id="1279488802">
          <w:marLeft w:val="480"/>
          <w:marRight w:val="0"/>
          <w:marTop w:val="0"/>
          <w:marBottom w:val="0"/>
          <w:divBdr>
            <w:top w:val="none" w:sz="0" w:space="0" w:color="auto"/>
            <w:left w:val="none" w:sz="0" w:space="0" w:color="auto"/>
            <w:bottom w:val="none" w:sz="0" w:space="0" w:color="auto"/>
            <w:right w:val="none" w:sz="0" w:space="0" w:color="auto"/>
          </w:divBdr>
        </w:div>
        <w:div w:id="1281257283">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6434656">
      <w:bodyDiv w:val="1"/>
      <w:marLeft w:val="0"/>
      <w:marRight w:val="0"/>
      <w:marTop w:val="0"/>
      <w:marBottom w:val="0"/>
      <w:divBdr>
        <w:top w:val="none" w:sz="0" w:space="0" w:color="auto"/>
        <w:left w:val="none" w:sz="0" w:space="0" w:color="auto"/>
        <w:bottom w:val="none" w:sz="0" w:space="0" w:color="auto"/>
        <w:right w:val="none" w:sz="0" w:space="0" w:color="auto"/>
      </w:divBdr>
    </w:div>
    <w:div w:id="155061025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1802">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903248024">
      <w:bodyDiv w:val="1"/>
      <w:marLeft w:val="0"/>
      <w:marRight w:val="0"/>
      <w:marTop w:val="0"/>
      <w:marBottom w:val="0"/>
      <w:divBdr>
        <w:top w:val="none" w:sz="0" w:space="0" w:color="auto"/>
        <w:left w:val="none" w:sz="0" w:space="0" w:color="auto"/>
        <w:bottom w:val="none" w:sz="0" w:space="0" w:color="auto"/>
        <w:right w:val="none" w:sz="0" w:space="0" w:color="auto"/>
      </w:divBdr>
    </w:div>
    <w:div w:id="192938135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fb4af5940c985b7f/Documentos/PhD/Art&#237;culos%20tesis/Objetivo%202-3/Calculos%20Tray%20-%20Mass%20Transfer%20HIDiC.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fb4af5940c985b7f/Documentos/PhD/Art&#237;culos%20tesis/Objetivo%202-3/Calculos%20Tray%20-%20Mass%20Transfer%20HID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13788276465437"/>
          <c:y val="7.0249407229893382E-2"/>
          <c:w val="0.68233700787401574"/>
          <c:h val="0.74350320793234181"/>
        </c:manualLayout>
      </c:layout>
      <c:scatterChart>
        <c:scatterStyle val="smoothMarker"/>
        <c:varyColors val="0"/>
        <c:ser>
          <c:idx val="0"/>
          <c:order val="0"/>
          <c:tx>
            <c:v>Upper Rectification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'[Calculos Tray - Mass Transfer HIDiC.xlsx]Perfil concentr y Temp'!$C$3:$I$3</c:f>
              <c:numCache>
                <c:formatCode>General</c:formatCode>
                <c:ptCount val="7"/>
                <c:pt idx="0">
                  <c:v>1</c:v>
                </c:pt>
                <c:pt idx="1">
                  <c:v>2</c:v>
                </c:pt>
                <c:pt idx="2">
                  <c:v>3</c:v>
                </c:pt>
                <c:pt idx="3">
                  <c:v>4</c:v>
                </c:pt>
                <c:pt idx="4">
                  <c:v>5</c:v>
                </c:pt>
                <c:pt idx="5">
                  <c:v>6</c:v>
                </c:pt>
                <c:pt idx="6">
                  <c:v>7</c:v>
                </c:pt>
              </c:numCache>
            </c:numRef>
          </c:xVal>
          <c:yVal>
            <c:numRef>
              <c:f>'[Calculos Tray - Mass Transfer HIDiC.xlsx]Perfil concentr y Temp'!$C$4:$I$4</c:f>
              <c:numCache>
                <c:formatCode>General</c:formatCode>
                <c:ptCount val="7"/>
                <c:pt idx="0">
                  <c:v>307.89150000000001</c:v>
                </c:pt>
                <c:pt idx="1">
                  <c:v>307.892</c:v>
                </c:pt>
                <c:pt idx="2">
                  <c:v>307.89260000000002</c:v>
                </c:pt>
                <c:pt idx="3">
                  <c:v>307.89299999999997</c:v>
                </c:pt>
                <c:pt idx="4">
                  <c:v>307.89350000000002</c:v>
                </c:pt>
                <c:pt idx="5">
                  <c:v>307.8931</c:v>
                </c:pt>
                <c:pt idx="6">
                  <c:v>307.89319999999998</c:v>
                </c:pt>
              </c:numCache>
            </c:numRef>
          </c:yVal>
          <c:smooth val="1"/>
          <c:extLst xmlns="http://schemas.openxmlformats.org/drawingml/2006/chart">
            <c:ext xmlns:c16="http://schemas.microsoft.com/office/drawing/2014/chart" uri="{C3380CC4-5D6E-409C-BE32-E72D297353CC}">
              <c16:uniqueId val="{00000000-6C83-411E-B00D-C0AC0854D22E}"/>
            </c:ext>
          </c:extLst>
        </c:ser>
        <c:ser>
          <c:idx val="1"/>
          <c:order val="1"/>
          <c:tx>
            <c:v>Middle Rectification</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'[Calculos Tray - Mass Transfer HIDiC.xlsx]Perfil concentr y Temp'!$C$3:$I$3</c:f>
              <c:numCache>
                <c:formatCode>General</c:formatCode>
                <c:ptCount val="7"/>
                <c:pt idx="0">
                  <c:v>1</c:v>
                </c:pt>
                <c:pt idx="1">
                  <c:v>2</c:v>
                </c:pt>
                <c:pt idx="2">
                  <c:v>3</c:v>
                </c:pt>
                <c:pt idx="3">
                  <c:v>4</c:v>
                </c:pt>
                <c:pt idx="4">
                  <c:v>5</c:v>
                </c:pt>
                <c:pt idx="5">
                  <c:v>6</c:v>
                </c:pt>
                <c:pt idx="6">
                  <c:v>7</c:v>
                </c:pt>
              </c:numCache>
            </c:numRef>
          </c:xVal>
          <c:yVal>
            <c:numRef>
              <c:f>'[Calculos Tray - Mass Transfer HIDiC.xlsx]Perfil concentr y Temp'!$C$6:$I$6</c:f>
              <c:numCache>
                <c:formatCode>General</c:formatCode>
                <c:ptCount val="7"/>
                <c:pt idx="0">
                  <c:v>307.92989999999998</c:v>
                </c:pt>
                <c:pt idx="1">
                  <c:v>307.92989999999998</c:v>
                </c:pt>
                <c:pt idx="2">
                  <c:v>307.92989999999998</c:v>
                </c:pt>
                <c:pt idx="3">
                  <c:v>307.93</c:v>
                </c:pt>
                <c:pt idx="4">
                  <c:v>307.93</c:v>
                </c:pt>
                <c:pt idx="5">
                  <c:v>307.93</c:v>
                </c:pt>
                <c:pt idx="6">
                  <c:v>307.93</c:v>
                </c:pt>
              </c:numCache>
            </c:numRef>
          </c:yVal>
          <c:smooth val="1"/>
          <c:extLst xmlns="http://schemas.openxmlformats.org/drawingml/2006/chart">
            <c:ext xmlns:c16="http://schemas.microsoft.com/office/drawing/2014/chart" uri="{C3380CC4-5D6E-409C-BE32-E72D297353CC}">
              <c16:uniqueId val="{00000001-6C83-411E-B00D-C0AC0854D22E}"/>
            </c:ext>
          </c:extLst>
        </c:ser>
        <c:ser>
          <c:idx val="2"/>
          <c:order val="2"/>
          <c:tx>
            <c:v>Bottom rectification</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'[Calculos Tray - Mass Transfer HIDiC.xlsx]Perfil concentr y Temp'!$C$3:$I$3</c:f>
              <c:numCache>
                <c:formatCode>General</c:formatCode>
                <c:ptCount val="7"/>
                <c:pt idx="0">
                  <c:v>1</c:v>
                </c:pt>
                <c:pt idx="1">
                  <c:v>2</c:v>
                </c:pt>
                <c:pt idx="2">
                  <c:v>3</c:v>
                </c:pt>
                <c:pt idx="3">
                  <c:v>4</c:v>
                </c:pt>
                <c:pt idx="4">
                  <c:v>5</c:v>
                </c:pt>
                <c:pt idx="5">
                  <c:v>6</c:v>
                </c:pt>
                <c:pt idx="6">
                  <c:v>7</c:v>
                </c:pt>
              </c:numCache>
            </c:numRef>
          </c:xVal>
          <c:yVal>
            <c:numRef>
              <c:f>'[Calculos Tray - Mass Transfer HIDiC.xlsx]Perfil concentr y Temp'!$C$8:$I$8</c:f>
              <c:numCache>
                <c:formatCode>General</c:formatCode>
                <c:ptCount val="7"/>
                <c:pt idx="0">
                  <c:v>308.03730000000002</c:v>
                </c:pt>
                <c:pt idx="1">
                  <c:v>308.03840000000002</c:v>
                </c:pt>
                <c:pt idx="2">
                  <c:v>308.03949999999998</c:v>
                </c:pt>
                <c:pt idx="3">
                  <c:v>308.041</c:v>
                </c:pt>
                <c:pt idx="4">
                  <c:v>308.04199999999997</c:v>
                </c:pt>
                <c:pt idx="5">
                  <c:v>308.04250000000002</c:v>
                </c:pt>
                <c:pt idx="6">
                  <c:v>308.04349999999999</c:v>
                </c:pt>
              </c:numCache>
            </c:numRef>
          </c:yVal>
          <c:smooth val="1"/>
          <c:extLst xmlns="http://schemas.openxmlformats.org/drawingml/2006/chart">
            <c:ext xmlns:c16="http://schemas.microsoft.com/office/drawing/2014/chart" uri="{C3380CC4-5D6E-409C-BE32-E72D297353CC}">
              <c16:uniqueId val="{00000002-6C83-411E-B00D-C0AC0854D22E}"/>
            </c:ext>
          </c:extLst>
        </c:ser>
        <c:dLbls>
          <c:showLegendKey val="0"/>
          <c:showVal val="0"/>
          <c:showCatName val="0"/>
          <c:showSerName val="0"/>
          <c:showPercent val="0"/>
          <c:showBubbleSize val="0"/>
        </c:dLbls>
        <c:axId val="849919448"/>
        <c:axId val="849919776"/>
      </c:scatterChart>
      <c:valAx>
        <c:axId val="849919448"/>
        <c:scaling>
          <c:orientation val="minMax"/>
          <c:max val="7"/>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ES"/>
                  <a:t>Point on the tray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49919776"/>
        <c:crosses val="autoZero"/>
        <c:crossBetween val="midCat"/>
        <c:majorUnit val="1"/>
      </c:valAx>
      <c:valAx>
        <c:axId val="8499197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ES"/>
                  <a:t>Temperature (K)</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0"/>
        <c:majorTickMark val="in"/>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49919448"/>
        <c:crosses val="autoZero"/>
        <c:crossBetween val="midCat"/>
        <c:majorUnit val="5.000000000000001E-2"/>
      </c:valAx>
      <c:spPr>
        <a:noFill/>
        <a:ln>
          <a:noFill/>
        </a:ln>
        <a:effectLst/>
      </c:spPr>
    </c:plotArea>
    <c:legend>
      <c:legendPos val="r"/>
      <c:layout>
        <c:manualLayout>
          <c:xMode val="edge"/>
          <c:yMode val="edge"/>
          <c:x val="0.35451706944936379"/>
          <c:y val="0.31618226030569713"/>
          <c:w val="0.59253830295434529"/>
          <c:h val="0.22215409069855577"/>
        </c:manualLayout>
      </c:layout>
      <c:overlay val="0"/>
      <c:spPr>
        <a:noFill/>
        <a:ln>
          <a:solidFill>
            <a:srgbClr val="4F81BD"/>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23295736681562"/>
          <c:y val="5.0926109592270299E-2"/>
          <c:w val="0.72832127402993552"/>
          <c:h val="0.74350320793234181"/>
        </c:manualLayout>
      </c:layout>
      <c:scatterChart>
        <c:scatterStyle val="smoothMarker"/>
        <c:varyColors val="0"/>
        <c:ser>
          <c:idx val="0"/>
          <c:order val="0"/>
          <c:tx>
            <c:v>Upper Stripping</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'[Calculos Tray - Mass Transfer HIDiC.xlsx]Perfil concentr y Temp'!$C$3:$I$3</c:f>
              <c:numCache>
                <c:formatCode>General</c:formatCode>
                <c:ptCount val="7"/>
                <c:pt idx="0">
                  <c:v>1</c:v>
                </c:pt>
                <c:pt idx="1">
                  <c:v>2</c:v>
                </c:pt>
                <c:pt idx="2">
                  <c:v>3</c:v>
                </c:pt>
                <c:pt idx="3">
                  <c:v>4</c:v>
                </c:pt>
                <c:pt idx="4">
                  <c:v>5</c:v>
                </c:pt>
                <c:pt idx="5">
                  <c:v>6</c:v>
                </c:pt>
                <c:pt idx="6">
                  <c:v>7</c:v>
                </c:pt>
              </c:numCache>
            </c:numRef>
          </c:xVal>
          <c:yVal>
            <c:numRef>
              <c:f>'[Calculos Tray - Mass Transfer HIDiC.xlsx]Perfil concentr y Temp'!$C$5:$I$5</c:f>
              <c:numCache>
                <c:formatCode>General</c:formatCode>
                <c:ptCount val="7"/>
                <c:pt idx="0">
                  <c:v>300.44839999999999</c:v>
                </c:pt>
                <c:pt idx="1">
                  <c:v>300.46010000000001</c:v>
                </c:pt>
                <c:pt idx="2">
                  <c:v>300.47210000000001</c:v>
                </c:pt>
                <c:pt idx="3">
                  <c:v>300.48849999999999</c:v>
                </c:pt>
                <c:pt idx="4">
                  <c:v>300.5016</c:v>
                </c:pt>
                <c:pt idx="5">
                  <c:v>300.5154</c:v>
                </c:pt>
                <c:pt idx="6">
                  <c:v>300.54000000000002</c:v>
                </c:pt>
              </c:numCache>
            </c:numRef>
          </c:yVal>
          <c:smooth val="1"/>
          <c:extLst xmlns="http://schemas.openxmlformats.org/drawingml/2006/chart">
            <c:ext xmlns:c16="http://schemas.microsoft.com/office/drawing/2014/chart" uri="{C3380CC4-5D6E-409C-BE32-E72D297353CC}">
              <c16:uniqueId val="{00000000-1650-4AF6-B26C-5C04942E9B4B}"/>
            </c:ext>
          </c:extLst>
        </c:ser>
        <c:ser>
          <c:idx val="1"/>
          <c:order val="1"/>
          <c:tx>
            <c:v>Middle Stripping</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'[Calculos Tray - Mass Transfer HIDiC.xlsx]Perfil concentr y Temp'!$C$3:$I$3</c:f>
              <c:numCache>
                <c:formatCode>General</c:formatCode>
                <c:ptCount val="7"/>
                <c:pt idx="0">
                  <c:v>1</c:v>
                </c:pt>
                <c:pt idx="1">
                  <c:v>2</c:v>
                </c:pt>
                <c:pt idx="2">
                  <c:v>3</c:v>
                </c:pt>
                <c:pt idx="3">
                  <c:v>4</c:v>
                </c:pt>
                <c:pt idx="4">
                  <c:v>5</c:v>
                </c:pt>
                <c:pt idx="5">
                  <c:v>6</c:v>
                </c:pt>
                <c:pt idx="6">
                  <c:v>7</c:v>
                </c:pt>
              </c:numCache>
            </c:numRef>
          </c:xVal>
          <c:yVal>
            <c:numRef>
              <c:f>'[Calculos Tray - Mass Transfer HIDiC.xlsx]Perfil concentr y Temp'!$C$7:$I$7</c:f>
              <c:numCache>
                <c:formatCode>General</c:formatCode>
                <c:ptCount val="7"/>
                <c:pt idx="0">
                  <c:v>303.40910000000002</c:v>
                </c:pt>
                <c:pt idx="1">
                  <c:v>303.41019999999997</c:v>
                </c:pt>
                <c:pt idx="2">
                  <c:v>303.42559999999997</c:v>
                </c:pt>
                <c:pt idx="3">
                  <c:v>303.43150000000003</c:v>
                </c:pt>
                <c:pt idx="4">
                  <c:v>303.44580000000002</c:v>
                </c:pt>
                <c:pt idx="5">
                  <c:v>303.4554</c:v>
                </c:pt>
                <c:pt idx="6">
                  <c:v>303.48020000000002</c:v>
                </c:pt>
              </c:numCache>
            </c:numRef>
          </c:yVal>
          <c:smooth val="1"/>
          <c:extLst xmlns="http://schemas.openxmlformats.org/drawingml/2006/chart">
            <c:ext xmlns:c16="http://schemas.microsoft.com/office/drawing/2014/chart" uri="{C3380CC4-5D6E-409C-BE32-E72D297353CC}">
              <c16:uniqueId val="{00000001-1650-4AF6-B26C-5C04942E9B4B}"/>
            </c:ext>
          </c:extLst>
        </c:ser>
        <c:ser>
          <c:idx val="2"/>
          <c:order val="2"/>
          <c:tx>
            <c:v>Bottom Stripping</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'[Calculos Tray - Mass Transfer HIDiC.xlsx]Perfil concentr y Temp'!$C$3:$I$3</c:f>
              <c:numCache>
                <c:formatCode>General</c:formatCode>
                <c:ptCount val="7"/>
                <c:pt idx="0">
                  <c:v>1</c:v>
                </c:pt>
                <c:pt idx="1">
                  <c:v>2</c:v>
                </c:pt>
                <c:pt idx="2">
                  <c:v>3</c:v>
                </c:pt>
                <c:pt idx="3">
                  <c:v>4</c:v>
                </c:pt>
                <c:pt idx="4">
                  <c:v>5</c:v>
                </c:pt>
                <c:pt idx="5">
                  <c:v>6</c:v>
                </c:pt>
                <c:pt idx="6">
                  <c:v>7</c:v>
                </c:pt>
              </c:numCache>
            </c:numRef>
          </c:xVal>
          <c:yVal>
            <c:numRef>
              <c:f>'[Calculos Tray - Mass Transfer HIDiC.xlsx]Perfil concentr y Temp'!$C$9:$I$9</c:f>
              <c:numCache>
                <c:formatCode>General</c:formatCode>
                <c:ptCount val="7"/>
                <c:pt idx="0">
                  <c:v>304.42270000000002</c:v>
                </c:pt>
                <c:pt idx="1">
                  <c:v>304.42570000000001</c:v>
                </c:pt>
                <c:pt idx="2">
                  <c:v>304.4289</c:v>
                </c:pt>
                <c:pt idx="3">
                  <c:v>304.43150000000003</c:v>
                </c:pt>
                <c:pt idx="4">
                  <c:v>304.4348</c:v>
                </c:pt>
                <c:pt idx="5">
                  <c:v>304.43880000000001</c:v>
                </c:pt>
                <c:pt idx="6">
                  <c:v>304.44</c:v>
                </c:pt>
              </c:numCache>
            </c:numRef>
          </c:yVal>
          <c:smooth val="1"/>
          <c:extLst xmlns="http://schemas.openxmlformats.org/drawingml/2006/chart">
            <c:ext xmlns:c16="http://schemas.microsoft.com/office/drawing/2014/chart" uri="{C3380CC4-5D6E-409C-BE32-E72D297353CC}">
              <c16:uniqueId val="{00000002-1650-4AF6-B26C-5C04942E9B4B}"/>
            </c:ext>
          </c:extLst>
        </c:ser>
        <c:dLbls>
          <c:showLegendKey val="0"/>
          <c:showVal val="0"/>
          <c:showCatName val="0"/>
          <c:showSerName val="0"/>
          <c:showPercent val="0"/>
          <c:showBubbleSize val="0"/>
        </c:dLbls>
        <c:axId val="849919448"/>
        <c:axId val="849919776"/>
      </c:scatterChart>
      <c:valAx>
        <c:axId val="849919448"/>
        <c:scaling>
          <c:orientation val="minMax"/>
          <c:max val="7"/>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ES"/>
                  <a:t>Point on the tray</a:t>
                </a:r>
              </a:p>
            </c:rich>
          </c:tx>
          <c:layout>
            <c:manualLayout>
              <c:xMode val="edge"/>
              <c:yMode val="edge"/>
              <c:x val="0.40704748771207649"/>
              <c:y val="0.8800627697532672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49919776"/>
        <c:crosses val="autoZero"/>
        <c:crossBetween val="midCat"/>
        <c:majorUnit val="1"/>
      </c:valAx>
      <c:valAx>
        <c:axId val="8499197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ES"/>
                  <a:t>Temperature (K)</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49919448"/>
        <c:crosses val="autoZero"/>
        <c:crossBetween val="midCat"/>
      </c:valAx>
      <c:spPr>
        <a:noFill/>
        <a:ln>
          <a:noFill/>
        </a:ln>
        <a:effectLst/>
      </c:spPr>
    </c:plotArea>
    <c:legend>
      <c:legendPos val="r"/>
      <c:layout>
        <c:manualLayout>
          <c:xMode val="edge"/>
          <c:yMode val="edge"/>
          <c:x val="0.39270669291338589"/>
          <c:y val="0.36892279090113733"/>
          <c:w val="0.52538376959636801"/>
          <c:h val="0.23437664041994752"/>
        </c:manualLayout>
      </c:layout>
      <c:overlay val="0"/>
      <c:spPr>
        <a:noFill/>
        <a:ln>
          <a:solidFill>
            <a:srgbClr val="4F81BD"/>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04D01BA-2CB8-431F-B014-94873898037C}"/>
      </w:docPartPr>
      <w:docPartBody>
        <w:p w:rsidR="00C06A61" w:rsidRDefault="00A92770">
          <w:r w:rsidRPr="00F26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70"/>
    <w:rsid w:val="001440FF"/>
    <w:rsid w:val="002D3469"/>
    <w:rsid w:val="007A5641"/>
    <w:rsid w:val="009B0217"/>
    <w:rsid w:val="00A72EE7"/>
    <w:rsid w:val="00A92770"/>
    <w:rsid w:val="00C06A61"/>
    <w:rsid w:val="00DA4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277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5C5F50-2C5F-4358-908B-1EF721AFF2A0}">
  <we:reference id="wa104382081" version="1.55.1.0" store="es-HN" storeType="OMEX"/>
  <we:alternateReferences>
    <we:reference id="WA104382081" version="1.55.1.0" store="" storeType="OMEX"/>
  </we:alternateReferences>
  <we:properties>
    <we:property name="MENDELEY_CITATIONS" value="[{&quot;citationID&quot;:&quot;MENDELEY_CITATION_9dd50717-287d-4314-9e38-9b1c41de5491&quot;,&quot;properties&quot;:{&quot;noteIndex&quot;:0},&quot;isEdited&quot;:false,&quot;manualOverride&quot;:{&quot;isManuallyOverridden&quot;:false,&quot;citeprocText&quot;:&quot;(Olujic et al., 2003)&quot;,&quot;manualOverrideText&quot;:&quot;&quot;},&quot;citationTag&quot;:&quot;MENDELEY_CITATION_v3_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&quot;,&quot;citationItems&quot;:[{&quot;id&quot;:&quot;2ad14f43-2a6f-3edf-877b-bf03a5b4f036&quot;,&quot;itemData&quot;:{&quot;type&quot;:&quot;paper-conference&quot;,&quot;id&quot;:&quot;2ad14f43-2a6f-3edf-877b-bf03a5b4f036&quot;,&quot;title&quot;:&quot;Internal heat integration - The key to an energy-conserving distillation column&quot;,&quot;author&quot;:[{&quot;family&quot;:&quot;Olujic&quot;,&quot;given&quot;:&quot;Z.&quot;,&quot;parse-names&quot;:false,&quot;dropping-particle&quot;:&quot;&quot;,&quot;non-dropping-particle&quot;:&quot;&quot;},{&quot;family&quot;:&quot;Fakhri&quot;,&quot;given&quot;:&quot;F.&quot;,&quot;parse-names&quot;:false,&quot;dropping-particle&quot;:&quot;&quot;,&quot;non-dropping-particle&quot;:&quot;&quot;},{&quot;family&quot;:&quot;Rijke&quot;,&quot;given&quot;:&quot;A.&quot;,&quot;parse-names&quot;:false,&quot;dropping-particle&quot;:&quot;&quot;,&quot;non-dropping-particle&quot;:&quot;De&quot;},{&quot;family&quot;:&quot;Graauw&quot;,&quot;given&quot;:&quot;J.&quot;,&quot;parse-names&quot;:false,&quot;dropping-particle&quot;:&quot;&quot;,&quot;non-dropping-particle&quot;:&quot;De&quot;},{&quot;family&quot;:&quot;Jansens&quot;,&quot;given&quot;:&quot;P. J.&quot;,&quot;parse-names&quot;:false,&quot;dropping-particle&quot;:&quot;&quot;,&quot;non-dropping-particle&quot;:&quot;&quot;}],&quot;container-title&quot;:&quot;Journal of Chemical Technology and Biotechnology&quot;,&quot;DOI&quot;:&quot;10.1002/jctb.761&quot;,&quot;ISSN&quot;:&quot;02682575&quot;,&quot;issued&quot;:{&quot;date-parts&quot;:[[2003,2]]},&quot;page&quot;:&quot;241-248&quot;,&quot;abstract&quot;:&quot;This paper illustrates the thermal energy conservation potential of the so-called heat integrated distillation column (HIDiC), which combines advantages of direct vapour recompression and diabatic operation at half of the normal column height. In a typical close boiling mixture separation, compared with a column utilising the usual vapour recompression scheme, HIDiC halved the consumption of energy at approximately the same capital cost, indicating a strikingly short pay-off time. The complexities of integrating the heat transfer equipment in the stripping section with proven gas/liquid contacting devices, which may work adversely to practical implementation of HIDiC concept, are also addressed. © 2003 Society of Chemical Industry.&quot;,&quot;issue&quot;:&quot;2-3&quot;,&quot;volume&quot;:&quot;78&quot;},&quot;isTemporary&quot;:false}]},{&quot;citationID&quot;:&quot;MENDELEY_CITATION_2b7167b1-0287-422b-84bd-f002f8716090&quot;,&quot;properties&quot;:{&quot;noteIndex&quot;:0},&quot;isEdited&quot;:false,&quot;manualOverride&quot;:{&quot;isManuallyOverridden&quot;:true,&quot;citeprocText&quot;:&quot;(Mancera et al., 2018a)&quot;,&quot;manualOverrideText&quot;:&quot;(Mancera et al., 2018)&quot;},&quot;citationTag&quot;:&quot;MENDELEY_CITATION_v3_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&quot;,&quot;citationItems&quot;:[{&quot;id&quot;:&quot;36eecbaf-381d-3841-922f-72a5faa66f7f&quot;,&quot;itemData&quot;:{&quot;type&quot;:&quot;article-journal&quot;,&quot;id&quot;:&quot;36eecbaf-381d-3841-922f-72a5faa66f7f&quot;,&quot;title&quot;:&quot;HIDiC configuration selection based on exergetic analysis&quot;,&quot;author&quot;:[{&quot;family&quot;:&quot;Mancera&quot;,&quot;given&quot;:&quot;Javier A.&quot;,&quot;parse-names&quot;:false,&quot;dropping-particle&quot;:&quot;&quot;,&quot;non-dropping-particle&quot;:&quot;&quot;},{&quot;family&quot;:&quot;Mendoza&quot;,&quot;given&quot;:&quot;Diego F.&quot;,&quot;parse-names&quot;:false,&quot;dropping-particle&quot;:&quot;&quot;,&quot;non-dropping-particle&quot;:&quot;&quot;},{&quot;family&quot;:&quot;Riascos&quot;,&quot;given&quot;:&quot;Carlos A.M.&quot;,&quot;parse-names&quot;:false,&quot;dropping-particle&quot;:&quot;&quot;,&quot;non-dropping-particle&quot;:&quot;&quot;}],&quot;container-title&quot;:&quot;Chemical Engineering Transactions&quot;,&quot;container-title-short&quot;:&quot;Chem Eng Trans&quot;,&quot;DOI&quot;:&quot;10.3303/CET1869151&quot;,&quot;ISBN&quot;:&quot;9788895608662&quot;,&quot;ISSN&quot;:&quot;22839216&quot;,&quot;issued&quot;:{&quot;date-parts&quot;:[[2018]]},&quot;page&quot;:&quot;901-906&quot;,&quot;abstract&quot;:&quot;The present study shows an exergy-based strategy for defining the type of Heat Integrated Distillation Column HIDiC, most suitable for separating the propylene-propane system. For comparing and validating the results, the analysis was performed on conventional column, vapor recompression column (VRC) and several HIDiC configurations: Top, Bottom, Basic, Optimal and Total. Uniform heat transfer area was used for the heat distribution between the internal and external column sections. As main result, it was found that Top HIDiC has the best performance among the HIDiC configurations with a 66.4% of exergy saving compared to a conventional column, followed by the Total HIDiC with a 43.4%. In fact, Top HIDiC shows better exergetic behavior than VRC (55.0% of exergy saving), which is currently used in the industry for the separation of the studied system. Additionally, results confirm that the selection of the configuration for energy integration is not an obvious task and that the presented strategy can be applied for the analysis of the separation of other mixtures.&quot;,&quot;publisher&quot;:&quot;Italian Association of Chemical Engineering - AIDIC&quot;,&quot;volume&quot;:&quot;69&quot;},&quot;isTemporary&quot;:false}]},{&quot;citationID&quot;:&quot;MENDELEY_CITATION_c1b3f940-64f3-42b6-a8af-a99425121741&quot;,&quot;properties&quot;:{&quot;noteIndex&quot;:0},&quot;isEdited&quot;:false,&quot;manualOverride&quot;:{&quot;isManuallyOverridden&quot;:false,&quot;citeprocText&quot;:&quot;(Pulido et al., 2010)&quot;,&quot;manualOverrideText&quot;:&quot;&quot;},&quot;citationTag&quot;:&quot;MENDELEY_CITATION_v3_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&quot;,&quot;citationItems&quot;:[{&quot;id&quot;:&quot;7bccb32a-ca25-353d-b1d8-9b462c1f3cc4&quot;,&quot;itemData&quot;:{&quot;type&quot;:&quot;report&quot;,&quot;id&quot;:&quot;7bccb32a-ca25-353d-b1d8-9b462c1f3cc4&quot;,&quot;title&quot;:&quot;NUEVAS PERSPECTIVAS EN PROCESOS DE SEPARACIÓN: SIMULACIÓN COLUMNA DE DESTILACIÓN CON INTEGRACIÓN INTERNA DE CALOR (CDIIC)&quot;,&quot;author&quot;:[{&quot;family&quot;:&quot;Pulido&quot;,&quot;given&quot;:&quot;J Leon&quot;,&quot;parse-names&quot;:false,&quot;dropping-particle&quot;:&quot;&quot;,&quot;non-dropping-particle&quot;:&quot;&quot;},{&quot;family&quot;:&quot;Maciel&quot;,&quot;given&quot;:&quot;; M R Wolf&quot;,&quot;parse-names&quot;:false,&quot;dropping-particle&quot;:&quot;&quot;,&quot;non-dropping-particle&quot;:&quot;&quot;},{&quot;family&quot;:&quot;Filho&quot;,&quot;given&quot;:&quot;; R Maciel&quot;,&quot;parse-names&quot;:false,&quot;dropping-particle&quot;:&quot;&quot;,&quot;non-dropping-particle&quot;:&quot;&quot;}],&quot;container-title&quot;:&quot;Revista ION&quot;,&quot;issued&quot;:{&quot;date-parts&quot;:[[2010]]},&quot;number-of-pages&quot;:&quot;7-12&quot;,&quot;abstract&quot;:&quot;RESUMEN Las columnas con integración interna de calor CDIIC se caracterizan por la diferencia de presión entre las secciones de rectificación y agotamiento ubicadase en forma concéntrica. Básicamente, la nueva configuración consta de una sección de rectificación que trabaja a mayor presión y temperatura, la cual transfiere calor a la sección de agotamiento disminuyendo el consumo energético con respecto a la destilación convencional. El presente trabajo estudia el concepto de columna con integración interna de calor para una mezcla binaria benceno-tolueno; el estudio muestra que existe un gran potencial de ahorro energético con respecto a la convencional. La columna CDIIC muestra una amplia perspectiva de trabajo como alternativa para separaciones industriales. Palabras clave: destilación, integración de calor, integración de procesos. ABSTRACT The Heat Integrated Distillation Column HIDiC is characterized by the pressure difference between the rectification and stripping sections in a concentrical system. Basically, the new configuration consists of a rectifying section that works at higher pressure and temperature, which transfers heat to the stripping section for decreasing energy consumption compared to the conventional distillation. The present study examines the concept of heat integrated column within a binary mixture benzene-toluene and presents great potential for energy savings. HIDiC column shows a broad perspective of work as an alternative for industrial separations.&quot;,&quot;volume&quot;:&quot;23&quot;,&quot;container-title-short&quot;:&quot;&quot;},&quot;isTemporary&quot;:false}]},{&quot;citationID&quot;:&quot;MENDELEY_CITATION_8dfa3f52-85b9-4837-81dc-af83dfacab09&quot;,&quot;properties&quot;:{&quot;noteIndex&quot;:0},&quot;isEdited&quot;:false,&quot;manualOverride&quot;:{&quot;isManuallyOverridden&quot;:true,&quot;citeprocText&quot;:&quot;(Mancera et al., 2018a)&quot;,&quot;manualOverrideText&quot;:&quot;(Mancera et al., 2018)&quot;},&quot;citationTag&quot;:&quot;MENDELEY_CITATION_v3_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&quot;,&quot;citationItems&quot;:[{&quot;id&quot;:&quot;36eecbaf-381d-3841-922f-72a5faa66f7f&quot;,&quot;itemData&quot;:{&quot;type&quot;:&quot;article-journal&quot;,&quot;id&quot;:&quot;36eecbaf-381d-3841-922f-72a5faa66f7f&quot;,&quot;title&quot;:&quot;HIDiC configuration selection based on exergetic analysis&quot;,&quot;author&quot;:[{&quot;family&quot;:&quot;Mancera&quot;,&quot;given&quot;:&quot;Javier A.&quot;,&quot;parse-names&quot;:false,&quot;dropping-particle&quot;:&quot;&quot;,&quot;non-dropping-particle&quot;:&quot;&quot;},{&quot;family&quot;:&quot;Mendoza&quot;,&quot;given&quot;:&quot;Diego F.&quot;,&quot;parse-names&quot;:false,&quot;dropping-particle&quot;:&quot;&quot;,&quot;non-dropping-particle&quot;:&quot;&quot;},{&quot;family&quot;:&quot;Riascos&quot;,&quot;given&quot;:&quot;Carlos A.M.&quot;,&quot;parse-names&quot;:false,&quot;dropping-particle&quot;:&quot;&quot;,&quot;non-dropping-particle&quot;:&quot;&quot;}],&quot;container-title&quot;:&quot;Chemical Engineering Transactions&quot;,&quot;container-title-short&quot;:&quot;Chem Eng Trans&quot;,&quot;DOI&quot;:&quot;10.3303/CET1869151&quot;,&quot;ISBN&quot;:&quot;9788895608662&quot;,&quot;ISSN&quot;:&quot;22839216&quot;,&quot;issued&quot;:{&quot;date-parts&quot;:[[2018]]},&quot;page&quot;:&quot;901-906&quot;,&quot;abstract&quot;:&quot;The present study shows an exergy-based strategy for defining the type of Heat Integrated Distillation Column HIDiC, most suitable for separating the propylene-propane system. For comparing and validating the results, the analysis was performed on conventional column, vapor recompression column (VRC) and several HIDiC configurations: Top, Bottom, Basic, Optimal and Total. Uniform heat transfer area was used for the heat distribution between the internal and external column sections. As main result, it was found that Top HIDiC has the best performance among the HIDiC configurations with a 66.4% of exergy saving compared to a conventional column, followed by the Total HIDiC with a 43.4%. In fact, Top HIDiC shows better exergetic behavior than VRC (55.0% of exergy saving), which is currently used in the industry for the separation of the studied system. Additionally, results confirm that the selection of the configuration for energy integration is not an obvious task and that the presented strategy can be applied for the analysis of the separation of other mixtures.&quot;,&quot;publisher&quot;:&quot;Italian Association of Chemical Engineering - AIDIC&quot;,&quot;volume&quot;:&quot;69&quot;},&quot;isTemporary&quot;:false}]},{&quot;citationID&quot;:&quot;MENDELEY_CITATION_364adede-b6cb-4cad-bb5f-6e194b2a88b8&quot;,&quot;properties&quot;:{&quot;noteIndex&quot;:0},&quot;isEdited&quot;:false,&quot;manualOverride&quot;:{&quot;isManuallyOverridden&quot;:false,&quot;citeprocText&quot;:&quot;(Colombo &amp;#38; Fairweather, 2015)&quot;,&quot;manualOverrideText&quot;:&quot;&quot;},&quot;citationTag&quot;:&quot;MENDELEY_CITATION_v3_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&quot;,&quot;citationItems&quot;:[{&quot;id&quot;:&quot;76af62f9-bcea-3404-8a0a-36bb60b69671&quot;,&quot;itemData&quot;:{&quot;type&quot;:&quot;article-journal&quot;,&quot;id&quot;:&quot;76af62f9-bcea-3404-8a0a-36bb60b69671&quot;,&quot;title&quot;:&quot;Multiphase turbulence in bubbly flows: RANS simulations&quot;,&quot;author&quot;:[{&quot;family&quot;:&quot;Colombo&quot;,&quot;given&quot;:&quot;Marco&quot;,&quot;parse-names&quot;:false,&quot;dropping-particle&quot;:&quot;&quot;,&quot;non-dropping-particle&quot;:&quot;&quot;},{&quot;family&quot;:&quot;Fairweather&quot;,&quot;given&quot;:&quot;Michael&quot;,&quot;parse-names&quot;:false,&quot;dropping-particle&quot;:&quot;&quot;,&quot;non-dropping-particle&quot;:&quot;&quot;}],&quot;container-title&quot;:&quot;International Journal of Multiphase Flow&quot;,&quot;DOI&quot;:&quot;10.1016/j.ijmultiphaseflow.2015.09.003&quot;,&quot;ISSN&quot;:&quot;03019322&quot;,&quot;issued&quot;:{&quot;date-parts&quot;:[[2015,12,1]]},&quot;page&quot;:&quot;222-243&quot;,&quot;abstract&quot;:&quot;The ability of a two-fluid Eulerian-Eulerian computational multiphase fluid dynamic model to predict bubbly air-water flows is studied. Upward and downward pipe flows are considered and a database of 19 experiments from 6 different literature sources is used to assess the accuracy of the model, with the aim of evaluating our ability to predict these kinds of flows and to contribute to ongoing efforts to develop more advanced simulation tools. The particular focus in the work described is on the prediction of multiphase turbulence due to its relevance in the modelling of bubbly flows in general, including bubble coalescence and break-up, and boiling at a wall. Overall, a satisfactory accuracy is obtained in the prediction of liquid velocities and void fraction distributions in all conditions, including upward and downward flows, and wall-peaked and core-peaked void profiles, when values of the bubble diameter are specified from experimental data. Due to its importance for the correct prediction of the turbulence level in these flows, a bubble-induced turbulence model is introduced, starting from an existing formulation. Source terms due to drag are included in the turbulence kinetic energy and the turbulence energy dissipation rate equations of the k-. ε turbulence model, and optimisation of the turbulence source gives velocity fluctuation predictions in agreement with data. After comparisons with data, improvement in the predictions of other turbulence models is also demonstrated, with a Reynolds stress formulation based on the SSG (Speziale et al., 1991) pressure-strain model and the same bubble-induced turbulence model accurately predicting the two-phase flows and the anisotropy of the turbulence field. The same database is also exploited to evaluate different drag models and the advantages of including the effect of the bubble aspect ratio. Following experimental evidence, the model of Tomiyama et al. (2002) is used which assumes that the bubble shape is closer to spherical near a wall and employs a correlation to calculate the aspect ratio. An increase in the drag coefficient due to the higher aspect ratio increases the accuracy of calculated velocity profiles in the near-wall region, even if additional validation is still required due to the possible loss of accuracy in the pipe centre.&quot;,&quot;publisher&quot;:&quot;Elsevier Ltd&quot;,&quot;volume&quot;:&quot;77&quot;,&quot;container-title-short&quot;:&quot;&quot;},&quot;isTemporary&quot;:false}]},{&quot;citationID&quot;:&quot;MENDELEY_CITATION_4cd599bd-7205-483e-be7c-da714a9e3dee&quot;,&quot;properties&quot;:{&quot;noteIndex&quot;:0},&quot;isEdited&quot;:false,&quot;manualOverride&quot;:{&quot;isManuallyOverridden&quot;:true,&quot;citeprocText&quot;:&quot;(Mancera-Apolinar et al., 2023)&quot;,&quot;manualOverrideText&quot;:&quot;(2023)&quot;},&quot;citationTag&quot;:&quot;MENDELEY_CITATION_v3_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&quot;,&quot;citationItems&quot;:[{&quot;id&quot;:&quot;59fe5b37-decf-3203-b599-b6737bda9e47&quot;,&quot;itemData&quot;:{&quot;type&quot;:&quot;article-journal&quot;,&quot;id&quot;:&quot;59fe5b37-decf-3203-b599-b6737bda9e47&quot;,&quot;title&quot;:&quot;CFD Simulation and Verification of Distillation Sieve Tray Hydrodynamics by Clear Liquid Height&quot;,&quot;author&quot;:[{&quot;family&quot;:&quot;Mancera-Apolinar&quot;,&quot;given&quot;:&quot;Javier A.&quot;,&quot;parse-names&quot;:false,&quot;dropping-particle&quot;:&quot;&quot;,&quot;non-dropping-particle&quot;:&quot;&quot;},{&quot;family&quot;:&quot;Mendoza&quot;,&quot;given&quot;:&quot;Diego F.&quot;,&quot;parse-names&quot;:false,&quot;dropping-particle&quot;:&quot;&quot;,&quot;non-dropping-particle&quot;:&quot;&quot;},{&quot;family&quot;:&quot;Riascos&quot;,&quot;given&quot;:&quot;Carlos A.M.&quot;,&quot;parse-names&quot;:false,&quot;dropping-particle&quot;:&quot;&quot;,&quot;non-dropping-particle&quot;:&quot;&quot;}],&quot;container-title&quot;:&quot;Chemical Engineering Transactions&quot;,&quot;container-title-short&quot;:&quot;Chem Eng Trans&quot;,&quot;DOI&quot;:&quot;10.3303/CET23100064&quot;,&quot;ISSN&quot;:&quot;22839216&quot;,&quot;issued&quot;:{&quot;date-parts&quot;:[[2023]]},&quot;page&quot;:&quot;379-384&quot;,&quot;abstract&quot;:&quot;The present work consists of the simulation of a sieve tray using CFD for the air-water system, comparing the results obtained of the clear liquid height (hcl), with the experimental data, adjusting and varying different characteristics. The investigation has two general steps: the first step was to modify the Grace Drag Model (GDM) based on experimental data of clear liquid height for different superficial gas velocities (Vs). Once this was achieved, in the second step were established the effects of different variables on the clear liquid height as: 1) type of geometry (2D and 3D), 2) height of the weir (hw), 3) liquid load per weir length (QL/W) and 4) superficial gas velocity; in all the cases of the second step, the modified drag coefficient obtained in step 1 is used. Verification of predicted values for clear liquid height with experimental data demonstrated the accuracy of the proposed modeling in the modified drag coefficient. Results showed that the interphase momentum exchange (drag) coefficient can be estimated by the fitted GDM, concluding that Bennet correlation is not necessary to estimate gas hold-up as it is used in most research involving CFD to simulate sieve trays. The percentage of error in the proposed CFD model was around 3.42 % compared with the 40.0 % average reported in previous studies. These results generate new guidelines toward best practices for modeling the hydrodynamics in sieve trays.&quot;,&quot;publisher&quot;:&quot;Italian Association of Chemical Engineering - AIDIC&quot;,&quot;volume&quot;:&quot;100&quot;},&quot;isTemporary&quot;:false}]},{&quot;citationID&quot;:&quot;MENDELEY_CITATION_c129bbd6-faf3-4f37-9454-d5666d421140&quot;,&quot;citationItems&quot;:[{&quot;id&quot;:&quot;8b2998c2-638f-539c-b56d-af3cfb06b3f4&quot;,&quot;itemData&quot;:{&quot;abstract&quot;:&quot;An investigation was made of the factors influencing the rate of evaporation of pure liquid drops, and the rate of evaporation of water drops containing dissolved and suspended solids. The study was restricted to a Reynolds number range of 0 to 200, the range usually encountered in - spray-drying operations. Independent correlations of heat- and masstransfer rates ~were obtained from drop temperatures measured with 0.5 mil thermocouples. Drop diameters ranged from 0.06 to 0.11 cm., and air temperatures up to 220° C. Results of studies on pure liquid drops confirmed the analogy between heat and mass transfer at low Reynolds numbers, and verified the simple expression for the Nusselt number at zero Reynolds number. A general correlation of existing data on spherical particles showed the results of this study could be extrapolated with remarkable accuracy five times beyond the experimental range of Reynolds numbers. , Studies on water drops containing dissolved and suspended solids furnished a preliminary insight into the mechanism of the formation of particles dried from drops. The results showed that when the solid was in solution the drop evaporated initially as though it were saturated throughout, even though its average concentration was less than saturation. This was shown to be true for solutions of ammonium nitrate and sodium chioride, and a ,convenient method for estimating the drop temperature and evaporation rate for this case was proposed .. For .. drops containing insoluble materials, the initial evaporation rate . was found to correspond to that for pure water. When the drop formed a solid structure and its diameter became constant, the falling-rate period ensued during :which the drop temperature rose continually. This temperature rise was due to both heat of crystallization and sensible heat transfer, in the case of solutions, and primarily to sensible heat, transfer in the cas~ of suspensions.&quot;,&quot;author&quot;:[{&quot;dropping-particle&quot;:&quot;&quot;,&quot;family&quot;:&quot;RANZ&quot;,&quot;given&quot;:&quot;W.&quot;,&quot;non-dropping-particle&quot;:&quot;&quot;,&quot;parse-names&quot;:false,&quot;suffix&quot;:&quot;&quot;}],&quot;container-title&quot;:&quot;Chem. Eng. Prog&quot;,&quot;id&quot;:&quot;8b2998c2-638f-539c-b56d-af3cfb06b3f4&quot;,&quot;issue&quot;:&quot;3&quot;,&quot;issued&quot;:{&quot;date-parts&quot;:[[&quot;1952&quot;]]},&quot;title&quot;:&quot;Evaporation from drops 1&quot;,&quot;type&quot;:&quot;article-journal&quot;,&quot;volume&quot;:&quot;48&quot;},&quot;uris&quot;:[&quot;http://www.mendeley.com/documents/?uuid=3d10a7db-c978-440d-ad1d-882ad47da4b3&quot;],&quot;isTemporary&quot;:false,&quot;legacyDesktopId&quot;:&quot;3d10a7db-c978-440d-ad1d-882ad47da4b3&quot;},{&quot;id&quot;:&quot;30c8d4ce-8961-571b-af84-873120a4fafb&quot;,&quot;itemData&quot;:{&quot;ISSN&quot;:&quot;09247963&quot;,&quot;abstract&quot;:&quot;An investigation was made of the factors influencing the rate of evaporation of pure liquid drops, and the rate of evaporation of water drops containing dissolved and suspended solids. Independent correlations of heat- and mass-transfer rates were obtained from drop temperatures measured with 0.5 mil thermocouples. Drop diameters ranged from 0.06 to 0.11 cm, and air temperatures up to 220°C.&quot;,&quot;author&quot;:[{&quot;dropping-particle&quot;:&quot;&quot;,&quot;family&quot;:&quot;Ranz&quot;,&quot;given&quot;:&quot;W E&quot;,&quot;non-dropping-particle&quot;:&quot;&quot;,&quot;parse-names&quot;:false,&quot;suffix&quot;:&quot;&quot;},{&quot;dropping-particle&quot;:&quot;&quot;,&quot;family&quot;:&quot;Marshall&quot;,&quot;given&quot;:&quot;W R&quot;,&quot;non-dropping-particle&quot;:&quot;&quot;,&quot;parse-names&quot;:false,&quot;suffix&quot;:&quot;&quot;}],&quot;container-title&quot;:&quot;Chem. Eng. Progr&quot;,&quot;id&quot;:&quot;30c8d4ce-8961-571b-af84-873120a4fafb&quot;,&quot;issue&quot;:&quot;22&quot;,&quot;issued&quot;:{&quot;date-parts&quot;:[[&quot;1952&quot;]]},&quot;title&quot;:&quot;Evaporation from drops. Parts I &amp; II.&quot;,&quot;type&quot;:&quot;article-journal&quot;,&quot;volume&quot;:&quot;48&quot;},&quot;uris&quot;:[&quot;http://www.mendeley.com/documents/?uuid=0e92a892-2fe0-4044-b150-92f8d3fb635c&quot;],&quot;isTemporary&quot;:false,&quot;legacyDesktopId&quot;:&quot;0e92a892-2fe0-4044-b150-92f8d3fb635c&quot;}],&quot;properties&quot;:{&quot;noteIndex&quot;:0},&quot;isEdited&quot;:false,&quot;manualOverride&quot;:{&quot;citeprocText&quot;:&quot;(RANZ, 1952; Ranz &amp;#38; Marshall, 1952)&quot;,&quot;isManuallyOverridden&quot;:true,&quot;manualOverrideText&quot;:&quot;(Ranz &amp; Marshall, 1952)&quot;},&quot;citationTag&quot;:&quot;MENDELEY_CITATION_v3_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&quot;},{&quot;citationID&quot;:&quot;MENDELEY_CITATION_aa8dadc7-3cac-4191-a414-06933ea31442&quot;,&quot;citationItems&quot;:[{&quot;id&quot;:&quot;f1e86e58-a21a-5878-8c92-ba30a050e139&quot;,&quot;itemData&quot;:{&quot;DOI&quot;:&quot;10.1002/aic.690160403&quot;,&quot;ISSN&quot;:&quot;15475905&quot;,&quot;abstract&quot;:&quot;Experimental gas absorption studies for bubbles transported in turbulent pipe flow of water strongly indicate that liquid phase controlled mass transfer is due to surface renewal by turbulent eddies. Predictions of transport behavior from the conditions of turbulent flow cannot be made in support of this mechanism because no satisfactory theory of turbulent transport near a gas‐liquid interface is available. This work considers a model of the hydrodynamic behavior near the surface which provides a link between the observed mass transfer behavior and the state of the turbulent field. In this model, the very small scales of turbulent motion are considered to be controlling. These motions are idealized, and their flow and mass transfer behavior are solved analytically. The overall result for eddies of various sizes is related to the turbulent energy spectrum by using only the easily accessible parameter ϵ, the energy dissipation rate. This model gives quantitative agreement to within a factor of 2 for three widely different experimental situations including gas‐liquid and liquid‐solid interfaces. However, the predicted Reynolds number dependence is somewhat higher than the experimental result. The model attempts to clearly define the basic physical process at the interface. Therefore, it indicates the direction for further experimentation needed to clarify the basic relationship between the mass transfer rates in the liquid phase and the hydrodynamic behavior of the turbulent liquid. Copyright © 1970 American Institute of Chemical Engineers&quot;,&quot;author&quot;:[{&quot;dropping-particle&quot;:&quot;&quot;,&quot;family&quot;:&quot;Lamont&quot;,&quot;given&quot;:&quot;John C.&quot;,&quot;non-dropping-particle&quot;:&quot;&quot;,&quot;parse-names&quot;:false,&quot;suffix&quot;:&quot;&quot;},{&quot;dropping-particle&quot;:&quot;&quot;,&quot;family&quot;:&quot;Scott&quot;,&quot;given&quot;:&quot;D. S.&quot;,&quot;non-dropping-particle&quot;:&quot;&quot;,&quot;parse-names&quot;:false,&quot;suffix&quot;:&quot;&quot;}],&quot;container-title&quot;:&quot;AIChE Journal&quot;,&quot;id&quot;:&quot;f1e86e58-a21a-5878-8c92-ba30a050e139&quot;,&quot;issue&quot;:&quot;4&quot;,&quot;issued&quot;:{&quot;date-parts&quot;:[[&quot;1970&quot;]]},&quot;title&quot;:&quot;An eddy cell model of mass transfer into the surface of a turbulent liquid&quot;,&quot;type&quot;:&quot;article-journal&quot;,&quot;volume&quot;:&quot;16&quot;},&quot;uris&quot;:[&quot;http://www.mendeley.com/documents/?uuid=2231b4a2-14f2-4677-94cc-96f65bbc4a4f&quot;],&quot;isTemporary&quot;:false,&quot;legacyDesktopId&quot;:&quot;2231b4a2-14f2-4677-94cc-96f65bbc4a4f&quot;}],&quot;properties&quot;:{&quot;noteIndex&quot;:0},&quot;isEdited&quot;:false,&quot;manualOverride&quot;:{&quot;citeprocText&quot;:&quot;(Lamont &amp;#38; Scott, 1970)&quot;,&quot;isManuallyOverridden&quot;:false,&quot;manualOverrideText&quot;:&quot;&quot;},&quot;citationTag&quot;:&quot;MENDELEY_CITATION_v3_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&quot;},{&quot;citationID&quot;:&quot;MENDELEY_CITATION_cfdad869-4117-4602-b06b-4ce8ee723147&quot;,&quot;citationItems&quot;:[{&quot;id&quot;:&quot;94e1347e-b827-52b2-9492-a305c1b4911e&quot;,&quot;itemData&quot;:{&quot;author&quot;:[{&quot;dropping-particle&quot;:&quot;&quot;,&quot;family&quot;:&quot;Higbie&quot;,&quot;given&quot;:&quot;R&quot;,&quot;non-dropping-particle&quot;:&quot;&quot;,&quot;parse-names&quot;:false,&quot;suffix&quot;:&quot;&quot;}],&quot;container-title&quot;:&quot;Transactions of the American Institute of Chemical Engineers&quot;,&quot;id&quot;:&quot;94e1347e-b827-52b2-9492-a305c1b4911e&quot;,&quot;issued&quot;:{&quot;date-parts&quot;:[[&quot;1935&quot;]]},&quot;page&quot;:&quot;365–389&quot;,&quot;title&quot;:&quot;The rate of absorption of a pure gas into a still liquid during short periods of exposure&quot;,&quot;type&quot;:&quot;article-journal&quot;,&quot;volume&quot;:&quot;35&quot;},&quot;uris&quot;:[&quot;http://www.mendeley.com/documents/?uuid=09503cc2-e26c-4625-9a43-6527f5f58dae&quot;],&quot;isTemporary&quot;:false,&quot;legacyDesktopId&quot;:&quot;09503cc2-e26c-4625-9a43-6527f5f58dae&quot;}],&quot;properties&quot;:{&quot;noteIndex&quot;:0},&quot;isEdited&quot;:false,&quot;manualOverride&quot;:{&quot;citeprocText&quot;:&quot;(Higbie, 1935)&quot;,&quot;isManuallyOverridden&quot;:false,&quot;manualOverrideText&quot;:&quot;&quot;},&quot;citationTag&quot;:&quot;MENDELEY_CITATION_v3_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&quot;},{&quot;citationID&quot;:&quot;MENDELEY_CITATION_3405984f-94e9-4143-bd4e-47babe243147&quot;,&quot;citationItems&quot;:[{&quot;id&quot;:&quot;30c8d4ce-8961-571b-af84-873120a4fafb&quot;,&quot;itemData&quot;:{&quot;ISSN&quot;:&quot;09247963&quot;,&quot;abstract&quot;:&quot;An investigation was made of the factors influencing the rate of evaporation of pure liquid drops, and the rate of evaporation of water drops containing dissolved and suspended solids. Independent correlations of heat- and mass-transfer rates were obtained from drop temperatures measured with 0.5 mil thermocouples. Drop diameters ranged from 0.06 to 0.11 cm, and air temperatures up to 220°C.&quot;,&quot;author&quot;:[{&quot;dropping-particle&quot;:&quot;&quot;,&quot;family&quot;:&quot;Ranz&quot;,&quot;given&quot;:&quot;W E&quot;,&quot;non-dropping-particle&quot;:&quot;&quot;,&quot;parse-names&quot;:false,&quot;suffix&quot;:&quot;&quot;},{&quot;dropping-particle&quot;:&quot;&quot;,&quot;family&quot;:&quot;Marshall&quot;,&quot;given&quot;:&quot;W R&quot;,&quot;non-dropping-particle&quot;:&quot;&quot;,&quot;parse-names&quot;:false,&quot;suffix&quot;:&quot;&quot;}],&quot;container-title&quot;:&quot;Chem. Eng. Progr&quot;,&quot;id&quot;:&quot;30c8d4ce-8961-571b-af84-873120a4fafb&quot;,&quot;issue&quot;:&quot;22&quot;,&quot;issued&quot;:{&quot;date-parts&quot;:[[&quot;1952&quot;]]},&quot;title&quot;:&quot;Evaporation from drops. Parts I &amp; II.&quot;,&quot;type&quot;:&quot;article-journal&quot;,&quot;volume&quot;:&quot;48&quot;},&quot;uris&quot;:[&quot;http://www.mendeley.com/documents/?uuid=0e92a892-2fe0-4044-b150-92f8d3fb635c&quot;],&quot;isTemporary&quot;:false,&quot;legacyDesktopId&quot;:&quot;0e92a892-2fe0-4044-b150-92f8d3fb635c&quot;}],&quot;properties&quot;:{&quot;noteIndex&quot;:0},&quot;isEdited&quot;:false,&quot;manualOverride&quot;:{&quot;citeprocText&quot;:&quot;(Ranz &amp;#38; Marshall, 1952)&quot;,&quot;isManuallyOverridden&quot;:false,&quot;manualOverrideText&quot;:&quot;&quot;},&quot;citationTag&quot;:&quot;MENDELEY_CITATION_v3_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&quot;},{&quot;citationID&quot;:&quot;MENDELEY_CITATION_e1bfbbc7-c5be-431b-b3d9-6aa195828bc4&quot;,&quot;citationItems&quot;:[{&quot;id&quot;:&quot;e66dab84-d3d2-592b-8f88-ee702e1c1811&quot;,&quot;itemData&quot;:{&quot;DOI&quot;:&quot;10.3303/CET1869151&quot;,&quot;ISBN&quot;:&quot;9788895608662&quot;,&quot;ISSN&quot;:&quot;22839216&quot;,&quot;abstract&quot;:&quot;The present study shows an exergy-based strategy for defining the type of Heat Integrated Distillation Column HIDiC, most suitable for separating the propylene-propane system. For comparing and validating the results, the analysis was performed on conventional column, vapor recompression column (VRC) and several HIDiC configurations: Top, Bottom, Basic, Optimal and Total. Uniform heat transfer area was used for the heat distribution between the internal and external column sections. As main result, it was found that Top HIDiC has the best performance among the HIDiC configurations with a 66.4% of exergy saving compared to a conventional column, followed by the Total HIDiC with a 43.4%. In fact, Top HIDiC shows better exergetic behavior than VRC (55.0% of exergy saving), which is currently used in the industry for the separation of the studied system. Additionally, results confirm that the selection of the configuration for energy integration is not an obvious task and that the presented strategy can be applied for the analysis of the separation of other mixtures.&quot;,&quot;author&quot;:[{&quot;dropping-particle&quot;:&quot;&quot;,&quot;family&quot;:&quot;Mancera&quot;,&quot;given&quot;:&quot;J.A.&quot;,&quot;non-dropping-particle&quot;:&quot;&quot;,&quot;parse-names&quot;:false,&quot;suffix&quot;:&quot;&quot;},{&quot;dropping-particle&quot;:&quot;&quot;,&quot;family&quot;:&quot;Mendoza&quot;,&quot;given&quot;:&quot;D.F.&quot;,&quot;non-dropping-particle&quot;:&quot;&quot;,&quot;parse-names&quot;:false,&quot;suffix&quot;:&quot;&quot;},{&quot;dropping-particle&quot;:&quot;&quot;,&quot;family&quot;:&quot;Riascos&quot;,&quot;given&quot;:&quot;C.A.M.&quot;,&quot;non-dropping-particle&quot;:&quot;&quot;,&quot;parse-names&quot;:false,&quot;suffix&quot;:&quot;&quot;}],&quot;container-title&quot;:&quot;Chemical Engineering Transactions&quot;,&quot;id&quot;:&quot;e66dab84-d3d2-592b-8f88-ee702e1c1811&quot;,&quot;issued&quot;:{&quot;date-parts&quot;:[[&quot;2018&quot;]]},&quot;title&quot;:&quot;HIDiC configuration selection based on exergetic analysis&quot;,&quot;type&quot;:&quot;article-journal&quot;,&quot;volume&quot;:&quot;69&quot;},&quot;uris&quot;:[&quot;http://www.mendeley.com/documents/?uuid=9235615a-f83d-3cc3-a0f6-52dcbce03e21&quot;],&quot;isTemporary&quot;:false,&quot;legacyDesktopId&quot;:&quot;9235615a-f83d-3cc3-a0f6-52dcbce03e21&quot;}],&quot;properties&quot;:{&quot;noteIndex&quot;:0},&quot;isEdited&quot;:false,&quot;manualOverride&quot;:{&quot;citeprocText&quot;:&quot;(Mancera et al., 2018b)&quot;,&quot;isManuallyOverridden&quot;:false,&quot;manualOverrideText&quot;:&quot;&quot;},&quot;citationTag&quot;:&quot;MENDELEY_CITATION_v3_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&quot;},{&quot;citationID&quot;:&quot;MENDELEY_CITATION_ed0b9175-5c78-4462-a206-f9f91b5988cf&quot;,&quot;citationItems&quot;:[{&quot;id&quot;:&quot;354a7c85-76d6-5188-9450-26ad3ef1e1fc&quot;,&quot;itemData&quot;:{&quot;author&quot;:[{&quot;dropping-particle&quot;:&quot;&quot;,&quot;family&quot;:&quot;Bernal&quot;,&quot;given&quot;:&quot;Daniel&quot;,&quot;non-dropping-particle&quot;:&quot;&quot;,&quot;parse-names&quot;:false,&quot;suffix&quot;:&quot;&quot;},{&quot;dropping-particle&quot;:&quot;&quot;,&quot;family&quot;:&quot;Castellanos&quot;,&quot;given&quot;:&quot;Orlando&quot;,&quot;non-dropping-particle&quot;:&quot;&quot;,&quot;parse-names&quot;:false,&quot;suffix&quot;:&quot;&quot;},{&quot;dropping-particle&quot;:&quot;&quot;,&quot;family&quot;:&quot;Bejarano&quot;,&quot;given&quot;:&quot;Pedro&quot;,&quot;non-dropping-particle&quot;:&quot;&quot;,&quot;parse-names&quot;:false,&quot;suffix&quot;:&quot;&quot;},{&quot;dropping-particle&quot;:&quot;&quot;,&quot;family&quot;:&quot;Rodriguez&quot;,&quot;given&quot;:&quot;Gerardo&quot;,&quot;non-dropping-particle&quot;:&quot;&quot;,&quot;parse-names&quot;:false,&quot;suffix&quot;:&quot;&quot;}],&quot;id&quot;:&quot;354a7c85-76d6-5188-9450-26ad3ef1e1fc&quot;,&quot;issued&quot;:{&quot;date-parts&quot;:[[&quot;2011&quot;]]},&quot;publisher&quot;:&quot;Universidad Nacional de Colombia&quot;,&quot;publisher-place&quot;:&quot;Bogota-Colombia&quot;,&quot;title&quot;:&quot;Analisis y diseño de platos y columnas de platos&quot;,&quot;type&quot;:&quot;book&quot;},&quot;uris&quot;:[&quot;http://www.mendeley.com/documents/?uuid=c3d27df5-a1dc-4c39-abee-248247f79fd5&quot;],&quot;isTemporary&quot;:false,&quot;legacyDesktopId&quot;:&quot;c3d27df5-a1dc-4c39-abee-248247f79fd5&quot;},{&quot;id&quot;:&quot;086e7962-6c18-5b25-a421-be268187c358&quot;,&quot;itemData&quot;:{&quot;author&quot;:[{&quot;dropping-particle&quot;:&quot;&quot;,&quot;family&quot;:&quot;Kister&quot;,&quot;given&quot;:&quot;Henry Z.&quot;,&quot;non-dropping-particle&quot;:&quot;&quot;,&quot;parse-names&quot;:false,&quot;suffix&quot;:&quot;&quot;}],&quot;container-title&quot;:&quot;McGraw-Hill Professional&quot;,&quot;id&quot;:&quot;086e7962-6c18-5b25-a421-be268187c358&quot;,&quot;issue&quot;:&quot;1&quot;,&quot;issued&quot;:{&quot;date-parts&quot;:[[&quot;1992&quot;]]},&quot;page&quot;:&quot;9-11&quot;,&quot;title&quot;:&quot;Tray Design and Operation&quot;,&quot;type&quot;:&quot;article-journal&quot;},&quot;uris&quot;:[&quot;http://www.mendeley.com/documents/?uuid=b960c1e0-d634-497e-b805-81e45d153edd&quot;],&quot;isTemporary&quot;:false,&quot;legacyDesktopId&quot;:&quot;b960c1e0-d634-497e-b805-81e45d153edd&quot;},{&quot;id&quot;:&quot;329b3847-2205-5c34-a499-c3a644efe07b&quot;,&quot;itemData&quot;:{&quot;author&quot;:[{&quot;dropping-particle&quot;:&quot;&quot;,&quot;family&quot;:&quot;Lockett&quot;,&quot;given&quot;:&quot;M.J&quot;,&quot;non-dropping-particle&quot;:&quot;&quot;,&quot;parse-names&quot;:false,&quot;suffix&quot;:&quot;&quot;}],&quot;id&quot;:&quot;329b3847-2205-5c34-a499-c3a644efe07b&quot;,&quot;issued&quot;:{&quot;date-parts&quot;:[[&quot;1986&quot;]]},&quot;publisher&quot;:&quot;Cambridge University Press&quot;,&quot;title&quot;:&quot;Distillation tray fundamentals&quot;,&quot;type&quot;:&quot;book&quot;},&quot;uris&quot;:[&quot;http://www.mendeley.com/documents/?uuid=76855110-6c9a-4d7a-85e3-592bbaa7883c&quot;],&quot;isTemporary&quot;:false,&quot;legacyDesktopId&quot;:&quot;76855110-6c9a-4d7a-85e3-592bbaa7883c&quot;},{&quot;id&quot;:&quot;9993159c-6184-535b-b316-b9feb6314dcc&quot;,&quot;itemData&quot;:{&quot;author&quot;:[{&quot;dropping-particle&quot;:&quot;V.&quot;,&quot;family&quot;:&quot;Winkle&quot;,&quot;given&quot;:&quot;M.&quot;,&quot;non-dropping-particle&quot;:&quot;&quot;,&quot;parse-names&quot;:false,&quot;suffix&quot;:&quot;&quot;}],&quot;id&quot;:&quot;9993159c-6184-535b-b316-b9feb6314dcc&quot;,&quot;issued&quot;:{&quot;date-parts&quot;:[[&quot;1967&quot;]]},&quot;publisher&quot;:&quot;McGraw-Hill&quot;,&quot;publisher-place&quot;:&quot;New York&quot;,&quot;title&quot;:&quot;Distillation&quot;,&quot;type&quot;:&quot;book&quot;},&quot;uris&quot;:[&quot;http://www.mendeley.com/documents/?uuid=f60525b0-2a45-4101-be62-3798beb7477f&quot;],&quot;isTemporary&quot;:false,&quot;legacyDesktopId&quot;:&quot;f60525b0-2a45-4101-be62-3798beb7477f&quot;}],&quot;properties&quot;:{&quot;noteIndex&quot;:0},&quot;isEdited&quot;:false,&quot;manualOverride&quot;:{&quot;citeprocText&quot;:&quot;(Bernal et al., 2011; Kister, 1992; Lockett, 1986; Winkle, 1967)&quot;,&quot;isManuallyOverridden&quot;:true,&quot;manualOverrideText&quot;:&quot;(Lockett, 1986)&quot;},&quot;citationTag&quot;:&quot;MENDELEY_CITATION_v3_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6</Pages>
  <Words>2632</Words>
  <Characters>15004</Characters>
  <Application>Microsoft Office Word</Application>
  <DocSecurity>0</DocSecurity>
  <Lines>125</Lines>
  <Paragraphs>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Javier Mancera</cp:lastModifiedBy>
  <cp:revision>211</cp:revision>
  <cp:lastPrinted>2025-04-20T01:02:00Z</cp:lastPrinted>
  <dcterms:created xsi:type="dcterms:W3CDTF">2024-02-20T10:29:00Z</dcterms:created>
  <dcterms:modified xsi:type="dcterms:W3CDTF">2025-04-20T01:22:00Z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