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F0B2623" w:rsidR="00E978D0" w:rsidRPr="009D556D" w:rsidRDefault="00D014DF" w:rsidP="00E978D0">
      <w:pPr>
        <w:pStyle w:val="CETTitle"/>
        <w:rPr>
          <w:lang w:val="en-US"/>
        </w:rPr>
      </w:pPr>
      <w:r w:rsidRPr="009D556D">
        <w:rPr>
          <w:lang w:val="en-US"/>
        </w:rPr>
        <w:t xml:space="preserve">Design of a Liquid Hydrogen Export Terminal for Green Hydrogen Transport: </w:t>
      </w:r>
      <w:proofErr w:type="gramStart"/>
      <w:r w:rsidRPr="009D556D">
        <w:rPr>
          <w:lang w:val="en-US"/>
        </w:rPr>
        <w:t>a</w:t>
      </w:r>
      <w:proofErr w:type="gramEnd"/>
      <w:r w:rsidRPr="009D556D">
        <w:rPr>
          <w:lang w:val="en-US"/>
        </w:rPr>
        <w:t xml:space="preserve"> Mediterranean Case Study</w:t>
      </w:r>
    </w:p>
    <w:p w14:paraId="0488FED2" w14:textId="77504C4C" w:rsidR="00B57E6F" w:rsidRPr="009D556D" w:rsidRDefault="00D014DF" w:rsidP="00B57E6F">
      <w:pPr>
        <w:pStyle w:val="CETAuthors"/>
        <w:rPr>
          <w:lang w:val="en-US"/>
        </w:rPr>
      </w:pPr>
      <w:r w:rsidRPr="009D556D">
        <w:rPr>
          <w:lang w:val="en-US"/>
        </w:rPr>
        <w:t>Federica Restelli</w:t>
      </w:r>
      <w:r w:rsidR="00B57E6F" w:rsidRPr="009D556D">
        <w:rPr>
          <w:vertAlign w:val="superscript"/>
          <w:lang w:val="en-US"/>
        </w:rPr>
        <w:t>a</w:t>
      </w:r>
      <w:r w:rsidR="00AD69D2" w:rsidRPr="009D556D">
        <w:rPr>
          <w:vertAlign w:val="superscript"/>
          <w:lang w:val="en-US"/>
        </w:rPr>
        <w:t>,</w:t>
      </w:r>
      <w:r w:rsidR="00AD69D2" w:rsidRPr="009D556D">
        <w:rPr>
          <w:lang w:val="en-US"/>
        </w:rPr>
        <w:t>*</w:t>
      </w:r>
      <w:r w:rsidR="00B57E6F" w:rsidRPr="009D556D">
        <w:rPr>
          <w:lang w:val="en-US"/>
        </w:rPr>
        <w:t xml:space="preserve">, </w:t>
      </w:r>
      <w:r w:rsidRPr="009D556D">
        <w:rPr>
          <w:lang w:val="en-US"/>
        </w:rPr>
        <w:t>Laura</w:t>
      </w:r>
      <w:r w:rsidR="00B57E6F" w:rsidRPr="009D556D">
        <w:rPr>
          <w:lang w:val="en-US"/>
        </w:rPr>
        <w:t xml:space="preserve"> A. </w:t>
      </w:r>
      <w:r w:rsidRPr="009D556D">
        <w:rPr>
          <w:lang w:val="en-US"/>
        </w:rPr>
        <w:t>Pellegrini</w:t>
      </w:r>
      <w:r w:rsidR="00AD69D2" w:rsidRPr="009D556D">
        <w:rPr>
          <w:vertAlign w:val="superscript"/>
          <w:lang w:val="en-US"/>
        </w:rPr>
        <w:t>a</w:t>
      </w:r>
      <w:r w:rsidR="00B57E6F" w:rsidRPr="009D556D">
        <w:rPr>
          <w:lang w:val="en-US"/>
        </w:rPr>
        <w:t xml:space="preserve">, </w:t>
      </w:r>
      <w:r w:rsidR="00C0514B" w:rsidRPr="009D556D">
        <w:rPr>
          <w:lang w:val="en-US"/>
        </w:rPr>
        <w:t>Saif Z.S. Al Ghafri</w:t>
      </w:r>
      <w:r w:rsidR="00C0514B" w:rsidRPr="009D556D">
        <w:rPr>
          <w:vertAlign w:val="superscript"/>
          <w:lang w:val="en-US"/>
        </w:rPr>
        <w:t>b</w:t>
      </w:r>
      <w:r w:rsidR="00C0514B" w:rsidRPr="009D556D">
        <w:rPr>
          <w:lang w:val="en-US"/>
        </w:rPr>
        <w:t>, Fuyu Jiao</w:t>
      </w:r>
      <w:r w:rsidR="00C0514B" w:rsidRPr="009D556D">
        <w:rPr>
          <w:vertAlign w:val="superscript"/>
          <w:lang w:val="en-US"/>
        </w:rPr>
        <w:t>b</w:t>
      </w:r>
      <w:r w:rsidR="00C0514B" w:rsidRPr="009D556D">
        <w:rPr>
          <w:lang w:val="en-US"/>
        </w:rPr>
        <w:t>, Michael Johns</w:t>
      </w:r>
      <w:r w:rsidR="00C0514B" w:rsidRPr="009D556D">
        <w:rPr>
          <w:vertAlign w:val="superscript"/>
          <w:lang w:val="en-US"/>
        </w:rPr>
        <w:t>b</w:t>
      </w:r>
      <w:r w:rsidR="00C0514B" w:rsidRPr="009D556D">
        <w:rPr>
          <w:lang w:val="en-US"/>
        </w:rPr>
        <w:t>, Eric F. May</w:t>
      </w:r>
      <w:r w:rsidR="00C0514B" w:rsidRPr="009D556D">
        <w:rPr>
          <w:vertAlign w:val="superscript"/>
          <w:lang w:val="en-US"/>
        </w:rPr>
        <w:t>b</w:t>
      </w:r>
    </w:p>
    <w:p w14:paraId="6B2D21B3" w14:textId="30605F9B" w:rsidR="00B57E6F" w:rsidRPr="009D556D" w:rsidRDefault="00B57E6F" w:rsidP="00B57E6F">
      <w:pPr>
        <w:pStyle w:val="CETAddress"/>
        <w:rPr>
          <w:lang w:val="en-US"/>
        </w:rPr>
      </w:pPr>
      <w:r w:rsidRPr="009D556D">
        <w:rPr>
          <w:vertAlign w:val="superscript"/>
          <w:lang w:val="en-US"/>
        </w:rPr>
        <w:t>a</w:t>
      </w:r>
      <w:r w:rsidR="00851126" w:rsidRPr="009D556D">
        <w:rPr>
          <w:lang w:val="en-US"/>
        </w:rPr>
        <w:t>GASP - Group on Advanced Separation Processes &amp; GAS Processing, Dipartimento di Chimica, Materiali e Ingegneria Chimica “G. Natta”, Politecnico di Milano, Piazza Leonardo da Vinci 32, 20133 Milano, Italy</w:t>
      </w:r>
      <w:r w:rsidRPr="009D556D">
        <w:rPr>
          <w:lang w:val="en-US"/>
        </w:rPr>
        <w:t xml:space="preserve"> </w:t>
      </w:r>
    </w:p>
    <w:p w14:paraId="4485407E" w14:textId="64A258EB" w:rsidR="004D203C" w:rsidRPr="009D556D" w:rsidRDefault="00B57E6F" w:rsidP="004D203C">
      <w:pPr>
        <w:pStyle w:val="CETAddress"/>
        <w:rPr>
          <w:lang w:val="en-US"/>
        </w:rPr>
      </w:pPr>
      <w:r w:rsidRPr="009D556D">
        <w:rPr>
          <w:vertAlign w:val="superscript"/>
          <w:lang w:val="en-US"/>
        </w:rPr>
        <w:t>b</w:t>
      </w:r>
      <w:r w:rsidR="004D203C" w:rsidRPr="009D556D">
        <w:rPr>
          <w:lang w:val="en-US"/>
        </w:rPr>
        <w:t>Fluid Science and Resources Division, Department of Chemical Engineering, Faculty of Engineering and Mathematical Sciences, The University of Western Australia, Crawley, WA 6009, Australia</w:t>
      </w:r>
    </w:p>
    <w:p w14:paraId="73F1267A" w14:textId="236A93E1" w:rsidR="00B57E6F" w:rsidRPr="009D556D" w:rsidRDefault="008B2E56" w:rsidP="00B57E6F">
      <w:pPr>
        <w:pStyle w:val="CETemail"/>
        <w:rPr>
          <w:lang w:val="en-US"/>
        </w:rPr>
      </w:pPr>
      <w:r w:rsidRPr="009D556D">
        <w:rPr>
          <w:lang w:val="en-US"/>
        </w:rPr>
        <w:t>federica.restelli</w:t>
      </w:r>
      <w:r w:rsidR="00B57E6F" w:rsidRPr="009D556D">
        <w:rPr>
          <w:lang w:val="en-US"/>
        </w:rPr>
        <w:t>@</w:t>
      </w:r>
      <w:r w:rsidRPr="009D556D">
        <w:rPr>
          <w:lang w:val="en-US"/>
        </w:rPr>
        <w:t>polimi.it</w:t>
      </w:r>
    </w:p>
    <w:p w14:paraId="38F76186" w14:textId="3D7314F8" w:rsidR="006A6DE5" w:rsidRPr="009D556D" w:rsidRDefault="00043281" w:rsidP="003B1107">
      <w:pPr>
        <w:pStyle w:val="CETBodytext"/>
      </w:pPr>
      <w:r w:rsidRPr="009D556D">
        <w:t>Implementing hydrogen supply chain</w:t>
      </w:r>
      <w:r w:rsidR="004B0DD7" w:rsidRPr="009D556D">
        <w:t>s</w:t>
      </w:r>
      <w:r w:rsidRPr="009D556D">
        <w:t xml:space="preserve"> using liquid hydrogen (LH</w:t>
      </w:r>
      <w:r w:rsidRPr="009D556D">
        <w:rPr>
          <w:vertAlign w:val="subscript"/>
        </w:rPr>
        <w:t>2</w:t>
      </w:r>
      <w:r w:rsidRPr="009D556D">
        <w:t xml:space="preserve">) as a carrier presents significant challenges, </w:t>
      </w:r>
      <w:r w:rsidR="00594632" w:rsidRPr="009D556D">
        <w:t>among which the</w:t>
      </w:r>
      <w:r w:rsidRPr="009D556D">
        <w:t xml:space="preserve"> design</w:t>
      </w:r>
      <w:r w:rsidR="00594632" w:rsidRPr="009D556D">
        <w:t xml:space="preserve"> of</w:t>
      </w:r>
      <w:r w:rsidRPr="009D556D">
        <w:t xml:space="preserve"> export terminals due to the boil-off gas (BOG) generat</w:t>
      </w:r>
      <w:r w:rsidR="004B0DD7" w:rsidRPr="009D556D">
        <w:t>ion</w:t>
      </w:r>
      <w:r w:rsidR="00A90045" w:rsidRPr="009D556D">
        <w:t xml:space="preserve"> </w:t>
      </w:r>
      <w:r w:rsidR="006D0D87" w:rsidRPr="009D556D">
        <w:t xml:space="preserve">associated with </w:t>
      </w:r>
      <w:r w:rsidR="0066065B" w:rsidRPr="009D556D">
        <w:t>the storage and handling</w:t>
      </w:r>
      <w:r w:rsidR="00C165C3" w:rsidRPr="009D556D">
        <w:t xml:space="preserve"> of</w:t>
      </w:r>
      <w:r w:rsidR="00B055E5" w:rsidRPr="009D556D">
        <w:t xml:space="preserve"> a</w:t>
      </w:r>
      <w:r w:rsidR="00A90045" w:rsidRPr="009D556D">
        <w:t xml:space="preserve"> cryogenic</w:t>
      </w:r>
      <w:r w:rsidR="00B055E5" w:rsidRPr="009D556D">
        <w:t xml:space="preserve"> </w:t>
      </w:r>
      <w:r w:rsidR="00C165C3" w:rsidRPr="009D556D">
        <w:t>flu</w:t>
      </w:r>
      <w:r w:rsidR="00B055E5" w:rsidRPr="009D556D">
        <w:t>id</w:t>
      </w:r>
      <w:r w:rsidR="00BE1A07" w:rsidRPr="009D556D">
        <w:t xml:space="preserve">. </w:t>
      </w:r>
      <w:r w:rsidR="00C165C3" w:rsidRPr="009D556D">
        <w:t>T</w:t>
      </w:r>
      <w:r w:rsidR="00BE1A07" w:rsidRPr="009D556D">
        <w:t xml:space="preserve">his </w:t>
      </w:r>
      <w:r w:rsidR="00C165C3" w:rsidRPr="009D556D">
        <w:t>study</w:t>
      </w:r>
      <w:r w:rsidR="00BE1A07" w:rsidRPr="009D556D">
        <w:t xml:space="preserve"> investigates BOG management at an export terminal through dynamic simulations</w:t>
      </w:r>
      <w:r w:rsidR="004F601A" w:rsidRPr="009D556D">
        <w:t xml:space="preserve"> </w:t>
      </w:r>
      <w:r w:rsidR="00CC3652" w:rsidRPr="009D556D">
        <w:t xml:space="preserve">conducted </w:t>
      </w:r>
      <w:r w:rsidR="00800020" w:rsidRPr="009D556D">
        <w:t>with</w:t>
      </w:r>
      <w:r w:rsidR="004F601A" w:rsidRPr="009D556D">
        <w:t xml:space="preserve"> Aspen HYSYS</w:t>
      </w:r>
      <w:r w:rsidR="00800020" w:rsidRPr="009D556D">
        <w:rPr>
          <w:vertAlign w:val="superscript"/>
        </w:rPr>
        <w:t>®</w:t>
      </w:r>
      <w:r w:rsidR="004F601A" w:rsidRPr="009D556D">
        <w:t xml:space="preserve"> V12.1</w:t>
      </w:r>
      <w:r w:rsidR="00BE1A07" w:rsidRPr="009D556D">
        <w:t xml:space="preserve">. The terminal, operating with </w:t>
      </w:r>
      <w:r w:rsidR="003B1107" w:rsidRPr="009D556D">
        <w:t>a LH</w:t>
      </w:r>
      <w:r w:rsidR="003B1107" w:rsidRPr="009D556D">
        <w:rPr>
          <w:vertAlign w:val="subscript"/>
        </w:rPr>
        <w:t>2</w:t>
      </w:r>
      <w:r w:rsidR="003B1107" w:rsidRPr="009D556D">
        <w:t xml:space="preserve"> production rate of 4</w:t>
      </w:r>
      <w:r w:rsidR="001014C6" w:rsidRPr="009D556D">
        <w:t>4</w:t>
      </w:r>
      <w:r w:rsidR="005440B8" w:rsidRPr="009D556D">
        <w:t>,000</w:t>
      </w:r>
      <w:r w:rsidR="003B1107" w:rsidRPr="009D556D">
        <w:t xml:space="preserve"> </w:t>
      </w:r>
      <w:r w:rsidR="005440B8" w:rsidRPr="009D556D">
        <w:t>kg</w:t>
      </w:r>
      <w:r w:rsidR="003B1107" w:rsidRPr="009D556D">
        <w:t xml:space="preserve">/d, </w:t>
      </w:r>
      <w:r w:rsidR="001014C6" w:rsidRPr="009D556D">
        <w:t xml:space="preserve">is designed </w:t>
      </w:r>
      <w:r w:rsidR="006A4AF4" w:rsidRPr="009D556D">
        <w:t xml:space="preserve">to transport </w:t>
      </w:r>
      <w:r w:rsidR="007B656F" w:rsidRPr="009D556D">
        <w:t xml:space="preserve">green </w:t>
      </w:r>
      <w:r w:rsidR="006A4AF4" w:rsidRPr="009D556D">
        <w:t xml:space="preserve">hydrogen from North Africa to Northern Italy over a </w:t>
      </w:r>
      <w:proofErr w:type="spellStart"/>
      <w:r w:rsidR="006A4AF4" w:rsidRPr="009D556D">
        <w:t>harbo</w:t>
      </w:r>
      <w:r w:rsidR="00773BCC" w:rsidRPr="009D556D">
        <w:t>u</w:t>
      </w:r>
      <w:r w:rsidR="006A4AF4" w:rsidRPr="009D556D">
        <w:t>r</w:t>
      </w:r>
      <w:proofErr w:type="spellEnd"/>
      <w:r w:rsidR="006A4AF4" w:rsidRPr="009D556D">
        <w:t>-to-</w:t>
      </w:r>
      <w:proofErr w:type="spellStart"/>
      <w:r w:rsidR="006A4AF4" w:rsidRPr="009D556D">
        <w:t>harbo</w:t>
      </w:r>
      <w:r w:rsidR="00773BCC" w:rsidRPr="009D556D">
        <w:t>u</w:t>
      </w:r>
      <w:r w:rsidR="006A4AF4" w:rsidRPr="009D556D">
        <w:t>r</w:t>
      </w:r>
      <w:proofErr w:type="spellEnd"/>
      <w:r w:rsidR="006A4AF4" w:rsidRPr="009D556D">
        <w:t xml:space="preserve"> distance of 2,500 km. The operation</w:t>
      </w:r>
      <w:r w:rsidR="00FE4DEF" w:rsidRPr="009D556D">
        <w:t>al cycle</w:t>
      </w:r>
      <w:r w:rsidR="00C32E3A" w:rsidRPr="009D556D">
        <w:t>, which include</w:t>
      </w:r>
      <w:r w:rsidR="001674A3" w:rsidRPr="009D556D">
        <w:t>s</w:t>
      </w:r>
      <w:r w:rsidR="00C32E3A" w:rsidRPr="009D556D">
        <w:t xml:space="preserve"> storage tank filling and LH</w:t>
      </w:r>
      <w:r w:rsidR="00C32E3A" w:rsidRPr="009D556D">
        <w:rPr>
          <w:vertAlign w:val="subscript"/>
        </w:rPr>
        <w:t>2</w:t>
      </w:r>
      <w:r w:rsidR="00C32E3A" w:rsidRPr="009D556D">
        <w:t xml:space="preserve"> carrier loading, span</w:t>
      </w:r>
      <w:r w:rsidR="001674A3" w:rsidRPr="009D556D">
        <w:t>s</w:t>
      </w:r>
      <w:r w:rsidR="00C32E3A" w:rsidRPr="009D556D">
        <w:t xml:space="preserve"> a</w:t>
      </w:r>
      <w:r w:rsidR="001674A3" w:rsidRPr="009D556D">
        <w:t>pproximately</w:t>
      </w:r>
      <w:r w:rsidR="00C32E3A" w:rsidRPr="009D556D">
        <w:t xml:space="preserve"> 10</w:t>
      </w:r>
      <w:r w:rsidR="0081680E" w:rsidRPr="009D556D">
        <w:t xml:space="preserve"> </w:t>
      </w:r>
      <w:r w:rsidR="00C32E3A" w:rsidRPr="009D556D">
        <w:t>day</w:t>
      </w:r>
      <w:r w:rsidR="0081680E" w:rsidRPr="009D556D">
        <w:t>s</w:t>
      </w:r>
      <w:r w:rsidR="00C32E3A" w:rsidRPr="009D556D">
        <w:t xml:space="preserve">, with all generated BOG potentially recoverable through </w:t>
      </w:r>
      <w:proofErr w:type="spellStart"/>
      <w:r w:rsidR="00C32E3A" w:rsidRPr="009D556D">
        <w:t>reliquefaction</w:t>
      </w:r>
      <w:proofErr w:type="spellEnd"/>
      <w:r w:rsidR="00C32E3A" w:rsidRPr="009D556D">
        <w:t xml:space="preserve"> or high-pressure storage.</w:t>
      </w:r>
      <w:r w:rsidR="006A4AF4" w:rsidRPr="009D556D">
        <w:t xml:space="preserve"> The levelized cost of</w:t>
      </w:r>
      <w:r w:rsidR="001E7AEA" w:rsidRPr="009D556D">
        <w:t xml:space="preserve"> hydroge</w:t>
      </w:r>
      <w:r w:rsidR="000D7BDD" w:rsidRPr="009D556D">
        <w:t>n for</w:t>
      </w:r>
      <w:r w:rsidR="006A4AF4" w:rsidRPr="009D556D">
        <w:t xml:space="preserve"> terminal storage and shipment is estimated at 3.09 €/kg, highlighting the necessity for further research to reduce costs and </w:t>
      </w:r>
      <w:r w:rsidR="000D7BDD" w:rsidRPr="009D556D">
        <w:t>enabl</w:t>
      </w:r>
      <w:r w:rsidR="006A4AF4" w:rsidRPr="009D556D">
        <w:t>e the economic feasibility of LH</w:t>
      </w:r>
      <w:r w:rsidR="006A4AF4" w:rsidRPr="009D556D">
        <w:rPr>
          <w:vertAlign w:val="subscript"/>
        </w:rPr>
        <w:t>2</w:t>
      </w:r>
      <w:r w:rsidR="006A4AF4" w:rsidRPr="009D556D">
        <w:t xml:space="preserve"> </w:t>
      </w:r>
      <w:r w:rsidR="00DD5334" w:rsidRPr="009D556D">
        <w:t>supply chain</w:t>
      </w:r>
      <w:r w:rsidR="00D5208E" w:rsidRPr="009D556D">
        <w:t>.</w:t>
      </w:r>
    </w:p>
    <w:p w14:paraId="75DFD47C" w14:textId="6076BF4C" w:rsidR="00AB0F11" w:rsidRPr="009D556D" w:rsidRDefault="00600535" w:rsidP="00AB0F11">
      <w:pPr>
        <w:pStyle w:val="CETHeading1"/>
      </w:pPr>
      <w:r w:rsidRPr="009D556D">
        <w:t>Introduction</w:t>
      </w:r>
    </w:p>
    <w:p w14:paraId="089DA52F" w14:textId="38E47F14" w:rsidR="009B69D9" w:rsidRPr="009D556D" w:rsidRDefault="00BF69DF" w:rsidP="00F15C3E">
      <w:pPr>
        <w:pStyle w:val="CETBodytext"/>
      </w:pPr>
      <w:r w:rsidRPr="009D556D">
        <w:t xml:space="preserve">Hydrogen, a high-capacity energy carrier, can be produced by electrolyzing water using electricity derived from renewable sources. However, the most economically competitive renewable energy hubs are often located thousands of </w:t>
      </w:r>
      <w:r w:rsidR="004659F6" w:rsidRPr="009D556D">
        <w:t>kilomete</w:t>
      </w:r>
      <w:r w:rsidR="009D556D">
        <w:t>r</w:t>
      </w:r>
      <w:r w:rsidR="004659F6" w:rsidRPr="009D556D">
        <w:t>s</w:t>
      </w:r>
      <w:r w:rsidRPr="009D556D">
        <w:t xml:space="preserve"> from major industrial sites in Europe. This creates a need for storage and supply chain infrastructures to transport hydrogen over long distances. For seaborne hydrogen transport, liqu</w:t>
      </w:r>
      <w:r w:rsidR="00251517" w:rsidRPr="009D556D">
        <w:t>i</w:t>
      </w:r>
      <w:r w:rsidRPr="009D556D">
        <w:t>d hydrogen (LH</w:t>
      </w:r>
      <w:r w:rsidRPr="009D556D">
        <w:rPr>
          <w:vertAlign w:val="subscript"/>
        </w:rPr>
        <w:t>2</w:t>
      </w:r>
      <w:r w:rsidRPr="009D556D">
        <w:t xml:space="preserve">) stands out as a promising option, given that its mass density is roughly 800 times greater than gaseous hydrogen under standard conditions </w:t>
      </w:r>
      <w:r w:rsidR="00CA2946" w:rsidRPr="009D556D">
        <w:t xml:space="preserve">(Al </w:t>
      </w:r>
      <w:proofErr w:type="spellStart"/>
      <w:r w:rsidR="00CA2946" w:rsidRPr="009D556D">
        <w:t>Ghafri</w:t>
      </w:r>
      <w:proofErr w:type="spellEnd"/>
      <w:r w:rsidR="00CA2946" w:rsidRPr="009D556D">
        <w:t xml:space="preserve"> et al., 2022)</w:t>
      </w:r>
      <w:r w:rsidRPr="009D556D">
        <w:t>.</w:t>
      </w:r>
      <w:r w:rsidR="00D04D1E" w:rsidRPr="009D556D">
        <w:t xml:space="preserve"> </w:t>
      </w:r>
      <w:r w:rsidRPr="009D556D">
        <w:t xml:space="preserve">While much of the literature focuses on designing the hydrogen liquefaction process, relatively few studies address the design of the necessary export infrastructure. This infrastructure faces significant technical challenges, primarily due to the extremely low temperature of liquid hydrogen, which is </w:t>
      </w:r>
      <w:r w:rsidR="008D4F34" w:rsidRPr="009D556D">
        <w:t>20 K a</w:t>
      </w:r>
      <w:r w:rsidRPr="009D556D">
        <w:t>t atmospheric pressure. Managing such low temperatures requires materials that maintain strength under these conditions and high-performance insulation to minimize heat transfer. Another critical issue is boil-off gas</w:t>
      </w:r>
      <w:r w:rsidR="00D03EA5" w:rsidRPr="009D556D">
        <w:t xml:space="preserve"> (BOG)</w:t>
      </w:r>
      <w:r w:rsidRPr="009D556D">
        <w:t xml:space="preserve"> generation during liqu</w:t>
      </w:r>
      <w:r w:rsidR="00C72074" w:rsidRPr="009D556D">
        <w:t>ef</w:t>
      </w:r>
      <w:r w:rsidRPr="009D556D">
        <w:t>i</w:t>
      </w:r>
      <w:r w:rsidR="00C72074" w:rsidRPr="009D556D">
        <w:t>e</w:t>
      </w:r>
      <w:r w:rsidRPr="009D556D">
        <w:t xml:space="preserve">d hydrogen storage and transfer to the ship </w:t>
      </w:r>
      <w:r w:rsidR="008348B0" w:rsidRPr="009D556D">
        <w:t>(Kim et al., 2022)</w:t>
      </w:r>
      <w:r w:rsidRPr="009D556D">
        <w:t>. This occurs due to flashing caused by depressurization, vapor displacement, heat leak from the environment and heat introduced by equipment like pumps.</w:t>
      </w:r>
      <w:r w:rsidR="00804CB8" w:rsidRPr="009D556D">
        <w:t xml:space="preserve"> </w:t>
      </w:r>
    </w:p>
    <w:p w14:paraId="22775862" w14:textId="0F59F1CB" w:rsidR="003D744E" w:rsidRPr="009D556D" w:rsidRDefault="00804CB8" w:rsidP="00F15C3E">
      <w:pPr>
        <w:pStyle w:val="CETBodytext"/>
      </w:pPr>
      <w:r w:rsidRPr="009D556D">
        <w:t xml:space="preserve">The infrastructure </w:t>
      </w:r>
      <w:r w:rsidR="00B853D9" w:rsidRPr="009D556D">
        <w:t>f</w:t>
      </w:r>
      <w:r w:rsidRPr="009D556D">
        <w:t>o</w:t>
      </w:r>
      <w:r w:rsidR="00B853D9" w:rsidRPr="009D556D">
        <w:t>r</w:t>
      </w:r>
      <w:r w:rsidRPr="009D556D">
        <w:t xml:space="preserve"> </w:t>
      </w:r>
      <w:r w:rsidR="000279B7" w:rsidRPr="009D556D">
        <w:t>store and transport</w:t>
      </w:r>
      <w:r w:rsidR="00B853D9" w:rsidRPr="009D556D">
        <w:t>ing</w:t>
      </w:r>
      <w:r w:rsidRPr="009D556D">
        <w:t xml:space="preserve"> </w:t>
      </w:r>
      <w:r w:rsidR="00AA0126" w:rsidRPr="009D556D">
        <w:t xml:space="preserve">liquid hydrogen </w:t>
      </w:r>
      <w:r w:rsidRPr="009D556D">
        <w:t xml:space="preserve">shares similarities with that of liquefied natural gas </w:t>
      </w:r>
      <w:r w:rsidR="00F15905" w:rsidRPr="009D556D">
        <w:t>(LNG)</w:t>
      </w:r>
      <w:r w:rsidR="00077A2B" w:rsidRPr="009D556D">
        <w:t>, as</w:t>
      </w:r>
      <w:r w:rsidRPr="009D556D">
        <w:t xml:space="preserve"> both</w:t>
      </w:r>
      <w:r w:rsidR="00077A2B" w:rsidRPr="009D556D">
        <w:t xml:space="preserve"> require</w:t>
      </w:r>
      <w:r w:rsidRPr="009D556D">
        <w:t xml:space="preserve"> cryogenic conditions. However, </w:t>
      </w:r>
      <w:r w:rsidR="00E729BE" w:rsidRPr="009D556D">
        <w:t>LH</w:t>
      </w:r>
      <w:r w:rsidR="00E729BE" w:rsidRPr="009D556D">
        <w:rPr>
          <w:vertAlign w:val="subscript"/>
        </w:rPr>
        <w:t>2</w:t>
      </w:r>
      <w:r w:rsidR="00E729BE" w:rsidRPr="009D556D">
        <w:t xml:space="preserve"> requires </w:t>
      </w:r>
      <w:r w:rsidR="00A97B28" w:rsidRPr="009D556D">
        <w:t xml:space="preserve">more advanced insulation </w:t>
      </w:r>
      <w:r w:rsidRPr="009D556D">
        <w:t xml:space="preserve">due to </w:t>
      </w:r>
      <w:r w:rsidR="00A97B28" w:rsidRPr="009D556D">
        <w:t>its significantly</w:t>
      </w:r>
      <w:r w:rsidRPr="009D556D">
        <w:t xml:space="preserve"> lower boiling temperature at atmospheric pressure, a</w:t>
      </w:r>
      <w:r w:rsidR="00623DE9" w:rsidRPr="009D556D">
        <w:t>nd</w:t>
      </w:r>
      <w:r w:rsidRPr="009D556D">
        <w:t xml:space="preserve"> lower volumetric energy density</w:t>
      </w:r>
      <w:r w:rsidR="00623DE9" w:rsidRPr="009D556D">
        <w:t xml:space="preserve">. </w:t>
      </w:r>
      <w:r w:rsidR="00AD6831" w:rsidRPr="009D556D">
        <w:t>L</w:t>
      </w:r>
      <w:r w:rsidR="00FC1B6E" w:rsidRPr="009D556D">
        <w:t>arge volumes</w:t>
      </w:r>
      <w:r w:rsidR="00FD7F23" w:rsidRPr="009D556D">
        <w:t xml:space="preserve"> of LH</w:t>
      </w:r>
      <w:r w:rsidR="00FD7F23" w:rsidRPr="009D556D">
        <w:rPr>
          <w:vertAlign w:val="subscript"/>
        </w:rPr>
        <w:t>2</w:t>
      </w:r>
      <w:r w:rsidR="00FD7F23" w:rsidRPr="009D556D">
        <w:t xml:space="preserve"> are typically stored </w:t>
      </w:r>
      <w:r w:rsidR="00AC78AC" w:rsidRPr="009D556D">
        <w:t>in spherical tanks</w:t>
      </w:r>
      <w:r w:rsidR="00101FBB" w:rsidRPr="009D556D">
        <w:t xml:space="preserve"> due to their</w:t>
      </w:r>
      <w:r w:rsidR="00FC1B6E" w:rsidRPr="009D556D">
        <w:t xml:space="preserve"> minim</w:t>
      </w:r>
      <w:r w:rsidR="00101FBB" w:rsidRPr="009D556D">
        <w:t>al</w:t>
      </w:r>
      <w:r w:rsidR="00FC1B6E" w:rsidRPr="009D556D">
        <w:t xml:space="preserve"> surface-to-volume ratio. </w:t>
      </w:r>
      <w:r w:rsidR="006D59ED" w:rsidRPr="009D556D">
        <w:t>The</w:t>
      </w:r>
      <w:r w:rsidR="008F3E89" w:rsidRPr="009D556D">
        <w:t>se</w:t>
      </w:r>
      <w:r w:rsidR="006D59ED" w:rsidRPr="009D556D">
        <w:t xml:space="preserve"> tanks </w:t>
      </w:r>
      <w:r w:rsidR="00F15C3E" w:rsidRPr="009D556D">
        <w:t>a</w:t>
      </w:r>
      <w:r w:rsidR="003E67E3" w:rsidRPr="009D556D">
        <w:t>re</w:t>
      </w:r>
      <w:r w:rsidR="008F3E89" w:rsidRPr="009D556D">
        <w:t xml:space="preserve"> designed with</w:t>
      </w:r>
      <w:r w:rsidR="00F15C3E" w:rsidRPr="009D556D">
        <w:t xml:space="preserve"> double</w:t>
      </w:r>
      <w:r w:rsidR="0078628C" w:rsidRPr="009D556D">
        <w:t xml:space="preserve"> </w:t>
      </w:r>
      <w:r w:rsidR="00F15C3E" w:rsidRPr="009D556D">
        <w:t>wall</w:t>
      </w:r>
      <w:r w:rsidR="0078628C" w:rsidRPr="009D556D">
        <w:t>s</w:t>
      </w:r>
      <w:r w:rsidR="00F15C3E" w:rsidRPr="009D556D">
        <w:t xml:space="preserve">. </w:t>
      </w:r>
      <w:r w:rsidR="003007C9" w:rsidRPr="009D556D">
        <w:t xml:space="preserve">The inner vessel walls are usually made from 300-series stainless-steel alloys, while the outer vacuum shells are constructed from carbon steel. The space between the double walls serves as an insulation layer, filled with materials such as perlite or glass bubbles and maintained under vacuum conditions. This design achieves thermal conductivities </w:t>
      </w:r>
      <w:r w:rsidR="000C4FFC" w:rsidRPr="009D556D">
        <w:t>in the order of</w:t>
      </w:r>
      <w:r w:rsidR="003007C9" w:rsidRPr="009D556D">
        <w:t xml:space="preserve"> </w:t>
      </w:r>
      <w:r w:rsidR="00494297" w:rsidRPr="009D556D">
        <w:t>10</w:t>
      </w:r>
      <w:r w:rsidR="00494297" w:rsidRPr="009D556D">
        <w:rPr>
          <w:vertAlign w:val="superscript"/>
        </w:rPr>
        <w:t>-</w:t>
      </w:r>
      <w:r w:rsidR="000C4FFC" w:rsidRPr="009D556D">
        <w:rPr>
          <w:vertAlign w:val="superscript"/>
        </w:rPr>
        <w:t>3</w:t>
      </w:r>
      <w:r w:rsidR="00494297" w:rsidRPr="009D556D">
        <w:t xml:space="preserve"> </w:t>
      </w:r>
      <w:r w:rsidR="002B06EA" w:rsidRPr="009D556D">
        <w:t>to</w:t>
      </w:r>
      <w:r w:rsidR="00494297" w:rsidRPr="009D556D">
        <w:t xml:space="preserve"> 10</w:t>
      </w:r>
      <w:r w:rsidR="00494297" w:rsidRPr="009D556D">
        <w:rPr>
          <w:vertAlign w:val="superscript"/>
        </w:rPr>
        <w:t>-</w:t>
      </w:r>
      <w:r w:rsidR="000C4FFC" w:rsidRPr="009D556D">
        <w:rPr>
          <w:vertAlign w:val="superscript"/>
        </w:rPr>
        <w:t>4</w:t>
      </w:r>
      <w:r w:rsidR="002B06EA" w:rsidRPr="009D556D">
        <w:t xml:space="preserve"> W/(</w:t>
      </w:r>
      <w:proofErr w:type="spellStart"/>
      <w:r w:rsidR="002B06EA" w:rsidRPr="009D556D">
        <w:t>m∙K</w:t>
      </w:r>
      <w:proofErr w:type="spellEnd"/>
      <w:r w:rsidR="002B06EA" w:rsidRPr="009D556D">
        <w:t>)</w:t>
      </w:r>
      <w:r w:rsidR="00F1638A" w:rsidRPr="009D556D">
        <w:t xml:space="preserve"> (</w:t>
      </w:r>
      <w:proofErr w:type="spellStart"/>
      <w:r w:rsidR="00F1638A" w:rsidRPr="009D556D">
        <w:t>Fesmire</w:t>
      </w:r>
      <w:proofErr w:type="spellEnd"/>
      <w:r w:rsidR="00F1638A" w:rsidRPr="009D556D">
        <w:t xml:space="preserve"> et al., 2022)</w:t>
      </w:r>
      <w:r w:rsidR="002B06EA" w:rsidRPr="009D556D">
        <w:t xml:space="preserve">. </w:t>
      </w:r>
      <w:r w:rsidR="004A00A3" w:rsidRPr="009D556D">
        <w:t xml:space="preserve">In 2019, NASA </w:t>
      </w:r>
      <w:r w:rsidR="00982CC9" w:rsidRPr="009D556D">
        <w:t>began</w:t>
      </w:r>
      <w:r w:rsidR="004A00A3" w:rsidRPr="009D556D">
        <w:t xml:space="preserve"> constructi</w:t>
      </w:r>
      <w:r w:rsidR="00691767" w:rsidRPr="009D556D">
        <w:t>ng</w:t>
      </w:r>
      <w:r w:rsidR="004A00A3" w:rsidRPr="009D556D">
        <w:t xml:space="preserve"> a 4</w:t>
      </w:r>
      <w:r w:rsidR="00CD40BF" w:rsidRPr="009D556D">
        <w:t>,</w:t>
      </w:r>
      <w:r w:rsidR="004A00A3" w:rsidRPr="009D556D">
        <w:t>700 m</w:t>
      </w:r>
      <w:r w:rsidR="004A00A3" w:rsidRPr="009D556D">
        <w:rPr>
          <w:vertAlign w:val="superscript"/>
        </w:rPr>
        <w:t>3</w:t>
      </w:r>
      <w:r w:rsidR="004A00A3" w:rsidRPr="009D556D">
        <w:t xml:space="preserve"> </w:t>
      </w:r>
      <w:r w:rsidR="00661CC4" w:rsidRPr="009D556D">
        <w:t>LH</w:t>
      </w:r>
      <w:r w:rsidR="00661CC4" w:rsidRPr="009D556D">
        <w:rPr>
          <w:vertAlign w:val="subscript"/>
        </w:rPr>
        <w:t>2</w:t>
      </w:r>
      <w:r w:rsidR="00661CC4" w:rsidRPr="009D556D">
        <w:t xml:space="preserve"> storage tank </w:t>
      </w:r>
      <w:r w:rsidR="004A00A3" w:rsidRPr="009D556D">
        <w:t xml:space="preserve">to support the Artemis program. </w:t>
      </w:r>
      <w:r w:rsidR="0055175D" w:rsidRPr="009D556D">
        <w:t xml:space="preserve">It is designed </w:t>
      </w:r>
      <w:r w:rsidR="00136F32" w:rsidRPr="009D556D">
        <w:lastRenderedPageBreak/>
        <w:t xml:space="preserve">to operate at a maximum pressure of 6.2 </w:t>
      </w:r>
      <w:proofErr w:type="spellStart"/>
      <w:r w:rsidR="00136F32" w:rsidRPr="009D556D">
        <w:t>barg</w:t>
      </w:r>
      <w:proofErr w:type="spellEnd"/>
      <w:r w:rsidR="00136F32" w:rsidRPr="009D556D">
        <w:t xml:space="preserve"> and </w:t>
      </w:r>
      <w:r w:rsidR="00A751B9" w:rsidRPr="009D556D">
        <w:t>utili</w:t>
      </w:r>
      <w:r w:rsidR="005730D1" w:rsidRPr="009D556D">
        <w:t>z</w:t>
      </w:r>
      <w:r w:rsidR="00A751B9" w:rsidRPr="009D556D">
        <w:t>es</w:t>
      </w:r>
      <w:r w:rsidR="0055175D" w:rsidRPr="009D556D">
        <w:t xml:space="preserve"> vacuum glass bubble technology</w:t>
      </w:r>
      <w:r w:rsidR="00913A69" w:rsidRPr="009D556D">
        <w:t xml:space="preserve"> for insulation</w:t>
      </w:r>
      <w:r w:rsidR="004A1EE6" w:rsidRPr="009D556D">
        <w:t xml:space="preserve"> (</w:t>
      </w:r>
      <w:proofErr w:type="spellStart"/>
      <w:r w:rsidR="004A1EE6" w:rsidRPr="009D556D">
        <w:t>Fesmire</w:t>
      </w:r>
      <w:proofErr w:type="spellEnd"/>
      <w:r w:rsidR="004A1EE6" w:rsidRPr="009D556D">
        <w:t xml:space="preserve"> et al., </w:t>
      </w:r>
      <w:r w:rsidR="00B359E7" w:rsidRPr="009D556D">
        <w:t>2022</w:t>
      </w:r>
      <w:r w:rsidR="004A1EE6" w:rsidRPr="009D556D">
        <w:t>)</w:t>
      </w:r>
      <w:r w:rsidR="00136F32" w:rsidRPr="009D556D">
        <w:t xml:space="preserve">. </w:t>
      </w:r>
      <w:r w:rsidR="002B06EA" w:rsidRPr="009D556D">
        <w:t>In 2020</w:t>
      </w:r>
      <w:r w:rsidR="003A7B54" w:rsidRPr="009D556D">
        <w:t>, a</w:t>
      </w:r>
      <w:r w:rsidR="002B06EA" w:rsidRPr="009D556D">
        <w:t xml:space="preserve"> </w:t>
      </w:r>
      <w:r w:rsidR="003A7B54" w:rsidRPr="009D556D">
        <w:t>2</w:t>
      </w:r>
      <w:r w:rsidR="00CD40BF" w:rsidRPr="009D556D">
        <w:t>,</w:t>
      </w:r>
      <w:r w:rsidR="003A7B54" w:rsidRPr="009D556D">
        <w:t>250 m</w:t>
      </w:r>
      <w:r w:rsidR="003A7B54" w:rsidRPr="009D556D">
        <w:rPr>
          <w:vertAlign w:val="superscript"/>
        </w:rPr>
        <w:t>3</w:t>
      </w:r>
      <w:r w:rsidR="004543B5" w:rsidRPr="009D556D">
        <w:t xml:space="preserve"> LH</w:t>
      </w:r>
      <w:r w:rsidR="004543B5" w:rsidRPr="009D556D">
        <w:rPr>
          <w:vertAlign w:val="subscript"/>
        </w:rPr>
        <w:t>2</w:t>
      </w:r>
      <w:r w:rsidR="004543B5" w:rsidRPr="009D556D">
        <w:t xml:space="preserve"> storage tank was </w:t>
      </w:r>
      <w:r w:rsidR="00096313" w:rsidRPr="009D556D">
        <w:t>constructed</w:t>
      </w:r>
      <w:r w:rsidR="004543B5" w:rsidRPr="009D556D">
        <w:t xml:space="preserve"> </w:t>
      </w:r>
      <w:r w:rsidR="00096313" w:rsidRPr="009D556D">
        <w:t>in</w:t>
      </w:r>
      <w:r w:rsidR="001451D0" w:rsidRPr="009D556D">
        <w:t xml:space="preserve"> Japan </w:t>
      </w:r>
      <w:r w:rsidR="004543B5" w:rsidRPr="009D556D">
        <w:t>as part of the world’s first LH</w:t>
      </w:r>
      <w:r w:rsidR="004543B5" w:rsidRPr="009D556D">
        <w:rPr>
          <w:vertAlign w:val="subscript"/>
        </w:rPr>
        <w:t>2</w:t>
      </w:r>
      <w:r w:rsidR="004543B5" w:rsidRPr="009D556D">
        <w:t xml:space="preserve"> terminal in Kobe, </w:t>
      </w:r>
      <w:r w:rsidR="001451D0" w:rsidRPr="009D556D">
        <w:t>designed</w:t>
      </w:r>
      <w:r w:rsidR="004543B5" w:rsidRPr="009D556D">
        <w:t xml:space="preserve"> to receive LH</w:t>
      </w:r>
      <w:r w:rsidR="004543B5" w:rsidRPr="009D556D">
        <w:rPr>
          <w:vertAlign w:val="subscript"/>
        </w:rPr>
        <w:t>2</w:t>
      </w:r>
      <w:r w:rsidR="004543B5" w:rsidRPr="009D556D">
        <w:t xml:space="preserve"> </w:t>
      </w:r>
      <w:r w:rsidR="0028138A" w:rsidRPr="009D556D">
        <w:t>shipp</w:t>
      </w:r>
      <w:r w:rsidR="004543B5" w:rsidRPr="009D556D">
        <w:t>ed from Australia.</w:t>
      </w:r>
      <w:r w:rsidR="00530769" w:rsidRPr="009D556D">
        <w:t xml:space="preserve"> </w:t>
      </w:r>
      <w:r w:rsidR="002B49F8" w:rsidRPr="009D556D">
        <w:t>Kawasaki Heavy Industries</w:t>
      </w:r>
      <w:r w:rsidR="004F3625" w:rsidRPr="009D556D">
        <w:t xml:space="preserve"> developed the</w:t>
      </w:r>
      <w:r w:rsidR="002B49F8" w:rsidRPr="009D556D">
        <w:t xml:space="preserve"> </w:t>
      </w:r>
      <w:proofErr w:type="spellStart"/>
      <w:r w:rsidR="002B49F8" w:rsidRPr="009D556D">
        <w:t>Suiso</w:t>
      </w:r>
      <w:proofErr w:type="spellEnd"/>
      <w:r w:rsidR="002B49F8" w:rsidRPr="009D556D">
        <w:t xml:space="preserve"> Frontier</w:t>
      </w:r>
      <w:r w:rsidR="004F3625" w:rsidRPr="009D556D">
        <w:t>,</w:t>
      </w:r>
      <w:r w:rsidR="002B49F8" w:rsidRPr="009D556D">
        <w:t xml:space="preserve"> the f</w:t>
      </w:r>
      <w:r w:rsidR="00BB411A" w:rsidRPr="009D556D">
        <w:t>irst dedicated</w:t>
      </w:r>
      <w:r w:rsidR="002B49F8" w:rsidRPr="009D556D">
        <w:t xml:space="preserve"> LH</w:t>
      </w:r>
      <w:r w:rsidR="002B49F8" w:rsidRPr="009D556D">
        <w:rPr>
          <w:vertAlign w:val="subscript"/>
        </w:rPr>
        <w:t>2</w:t>
      </w:r>
      <w:r w:rsidR="002B49F8" w:rsidRPr="009D556D">
        <w:t xml:space="preserve"> </w:t>
      </w:r>
      <w:r w:rsidR="00BB411A" w:rsidRPr="009D556D">
        <w:t>carrier</w:t>
      </w:r>
      <w:r w:rsidR="002B49F8" w:rsidRPr="009D556D">
        <w:t xml:space="preserve">. </w:t>
      </w:r>
      <w:r w:rsidR="00BB411A" w:rsidRPr="009D556D">
        <w:t>This vessel</w:t>
      </w:r>
      <w:r w:rsidR="001C3604" w:rsidRPr="009D556D">
        <w:t>, operational since 2021, features</w:t>
      </w:r>
      <w:r w:rsidR="002B49F8" w:rsidRPr="009D556D">
        <w:t xml:space="preserve"> a 1250 m</w:t>
      </w:r>
      <w:r w:rsidR="002B49F8" w:rsidRPr="009D556D">
        <w:rPr>
          <w:vertAlign w:val="superscript"/>
        </w:rPr>
        <w:t>3</w:t>
      </w:r>
      <w:r w:rsidR="002B49F8" w:rsidRPr="009D556D">
        <w:t xml:space="preserve"> type-C tank</w:t>
      </w:r>
      <w:r w:rsidR="002D6A39" w:rsidRPr="009D556D">
        <w:t>, which is a pressure vessel,</w:t>
      </w:r>
      <w:r w:rsidR="002B49F8" w:rsidRPr="009D556D">
        <w:t xml:space="preserve"> and </w:t>
      </w:r>
      <w:r w:rsidR="00B53C0A" w:rsidRPr="009D556D">
        <w:t>transport</w:t>
      </w:r>
      <w:r w:rsidR="002B49F8" w:rsidRPr="009D556D">
        <w:t xml:space="preserve">s </w:t>
      </w:r>
      <w:r w:rsidR="00FD1778" w:rsidRPr="009D556D">
        <w:t>LH</w:t>
      </w:r>
      <w:r w:rsidR="00FD1778" w:rsidRPr="009D556D">
        <w:rPr>
          <w:vertAlign w:val="subscript"/>
        </w:rPr>
        <w:t>2</w:t>
      </w:r>
      <w:r w:rsidR="002B49F8" w:rsidRPr="009D556D">
        <w:t xml:space="preserve"> between Australia and Japan </w:t>
      </w:r>
      <w:r w:rsidR="009D54D1" w:rsidRPr="009D556D">
        <w:t>(HESC)</w:t>
      </w:r>
      <w:r w:rsidR="002B49F8" w:rsidRPr="009D556D">
        <w:t>.</w:t>
      </w:r>
      <w:r w:rsidR="00807ECC" w:rsidRPr="009D556D">
        <w:t xml:space="preserve"> </w:t>
      </w:r>
      <w:r w:rsidR="00107FA5" w:rsidRPr="009D556D">
        <w:t>Vacuum-insulated pipelines are employed to minimi</w:t>
      </w:r>
      <w:r w:rsidR="005730D1" w:rsidRPr="009D556D">
        <w:t>z</w:t>
      </w:r>
      <w:r w:rsidR="00107FA5" w:rsidRPr="009D556D">
        <w:t xml:space="preserve">e heat transfer to cryogenic fluids. </w:t>
      </w:r>
      <w:r w:rsidR="009324C3" w:rsidRPr="009D556D">
        <w:t xml:space="preserve">These pipelines feature two concentric pipes: the inner pipe transports the </w:t>
      </w:r>
      <w:r w:rsidR="00107FA5" w:rsidRPr="009D556D">
        <w:t>LH</w:t>
      </w:r>
      <w:r w:rsidR="00107FA5" w:rsidRPr="009D556D">
        <w:rPr>
          <w:vertAlign w:val="subscript"/>
        </w:rPr>
        <w:t>2</w:t>
      </w:r>
      <w:r w:rsidR="00107FA5" w:rsidRPr="009D556D">
        <w:t xml:space="preserve">, while the outer pipe </w:t>
      </w:r>
      <w:r w:rsidR="009324C3" w:rsidRPr="009D556D">
        <w:t>offer</w:t>
      </w:r>
      <w:r w:rsidR="00107FA5" w:rsidRPr="009D556D">
        <w:t>s structural support</w:t>
      </w:r>
      <w:r w:rsidR="009324C3" w:rsidRPr="009D556D">
        <w:t>. T</w:t>
      </w:r>
      <w:r w:rsidR="00107FA5" w:rsidRPr="009D556D">
        <w:t xml:space="preserve">he space </w:t>
      </w:r>
      <w:r w:rsidR="001B1B22" w:rsidRPr="009D556D">
        <w:t>between the pipes is evacuated to suppress conductive and convective heat transfer.</w:t>
      </w:r>
      <w:r w:rsidR="00107FA5" w:rsidRPr="009D556D">
        <w:t xml:space="preserve"> </w:t>
      </w:r>
      <w:r w:rsidR="003C0D26" w:rsidRPr="009D556D">
        <w:t>To reduce radiative heat transfer, insul</w:t>
      </w:r>
      <w:r w:rsidR="004D33A6" w:rsidRPr="009D556D">
        <w:t>ating systems</w:t>
      </w:r>
      <w:r w:rsidR="003C0D26" w:rsidRPr="009D556D">
        <w:t xml:space="preserve"> like multi-layer insulation or perlite are often applied within this space. The thermal conductivities of these insulation </w:t>
      </w:r>
      <w:r w:rsidR="000E0D6D" w:rsidRPr="009D556D">
        <w:t>technologie</w:t>
      </w:r>
      <w:r w:rsidR="003C0D26" w:rsidRPr="009D556D">
        <w:t xml:space="preserve">s </w:t>
      </w:r>
      <w:r w:rsidR="00107FA5" w:rsidRPr="009D556D">
        <w:t xml:space="preserve">range </w:t>
      </w:r>
      <w:r w:rsidR="004E149E" w:rsidRPr="009D556D">
        <w:t>from</w:t>
      </w:r>
      <w:r w:rsidR="00107FA5" w:rsidRPr="009D556D">
        <w:t xml:space="preserve"> 0.006 </w:t>
      </w:r>
      <w:r w:rsidR="004E149E" w:rsidRPr="009D556D">
        <w:t>to</w:t>
      </w:r>
      <w:r w:rsidR="00107FA5" w:rsidRPr="009D556D">
        <w:t xml:space="preserve"> 0.0008 W/(</w:t>
      </w:r>
      <w:proofErr w:type="spellStart"/>
      <w:r w:rsidR="00107FA5" w:rsidRPr="009D556D">
        <w:t>m∙K</w:t>
      </w:r>
      <w:proofErr w:type="spellEnd"/>
      <w:r w:rsidR="00107FA5" w:rsidRPr="009D556D">
        <w:t xml:space="preserve">) </w:t>
      </w:r>
      <w:r w:rsidR="00D04D1E" w:rsidRPr="009D556D">
        <w:t>(</w:t>
      </w:r>
      <w:proofErr w:type="spellStart"/>
      <w:r w:rsidR="00D04D1E" w:rsidRPr="009D556D">
        <w:t>Śliwa</w:t>
      </w:r>
      <w:proofErr w:type="spellEnd"/>
      <w:r w:rsidR="00D04D1E" w:rsidRPr="009D556D">
        <w:t xml:space="preserve"> et al., 2018)</w:t>
      </w:r>
      <w:r w:rsidR="00107FA5" w:rsidRPr="009D556D">
        <w:t xml:space="preserve">. </w:t>
      </w:r>
      <w:r w:rsidR="00724D41" w:rsidRPr="009D556D">
        <w:t xml:space="preserve">Submersible </w:t>
      </w:r>
      <w:r w:rsidR="00530769" w:rsidRPr="009D556D">
        <w:t>LH</w:t>
      </w:r>
      <w:r w:rsidR="00530769" w:rsidRPr="009D556D">
        <w:rPr>
          <w:vertAlign w:val="subscript"/>
        </w:rPr>
        <w:t>2</w:t>
      </w:r>
      <w:r w:rsidR="00530769" w:rsidRPr="009D556D">
        <w:t xml:space="preserve"> loading pumps are </w:t>
      </w:r>
      <w:r w:rsidR="004E149E" w:rsidRPr="009D556D">
        <w:t>installe</w:t>
      </w:r>
      <w:r w:rsidR="00530769" w:rsidRPr="009D556D">
        <w:t xml:space="preserve">d </w:t>
      </w:r>
      <w:r w:rsidR="00724D41" w:rsidRPr="009D556D">
        <w:t>inside</w:t>
      </w:r>
      <w:r w:rsidR="00530769" w:rsidRPr="009D556D">
        <w:t xml:space="preserve"> storage tanks to </w:t>
      </w:r>
      <w:r w:rsidR="0035161C" w:rsidRPr="009D556D">
        <w:t xml:space="preserve">mitigate </w:t>
      </w:r>
      <w:r w:rsidR="00530769" w:rsidRPr="009D556D">
        <w:t>the risk of leakage.</w:t>
      </w:r>
    </w:p>
    <w:p w14:paraId="64A1E133" w14:textId="529EBBC8" w:rsidR="007931FA" w:rsidRPr="009D556D" w:rsidRDefault="00CC3831" w:rsidP="00AD04D0">
      <w:pPr>
        <w:pStyle w:val="CETBodytext"/>
      </w:pPr>
      <w:r w:rsidRPr="009D556D">
        <w:t xml:space="preserve">Given the technical challenges </w:t>
      </w:r>
      <w:r w:rsidR="00D63DD5" w:rsidRPr="009D556D">
        <w:t xml:space="preserve">associated with </w:t>
      </w:r>
      <w:r w:rsidR="00F35F47" w:rsidRPr="009D556D">
        <w:t xml:space="preserve">the </w:t>
      </w:r>
      <w:r w:rsidR="008911FC" w:rsidRPr="009D556D">
        <w:t xml:space="preserve">BOG management </w:t>
      </w:r>
      <w:r w:rsidR="00DE76EA" w:rsidRPr="009D556D">
        <w:t>during LH</w:t>
      </w:r>
      <w:r w:rsidR="00DE76EA" w:rsidRPr="009D556D">
        <w:rPr>
          <w:vertAlign w:val="subscript"/>
        </w:rPr>
        <w:t>2</w:t>
      </w:r>
      <w:r w:rsidR="00DE76EA" w:rsidRPr="009D556D">
        <w:t xml:space="preserve"> storage and transport, </w:t>
      </w:r>
      <w:r w:rsidR="006D18CE" w:rsidRPr="009D556D">
        <w:t>t</w:t>
      </w:r>
      <w:r w:rsidR="00BF69DF" w:rsidRPr="009D556D">
        <w:t>his work aims at designing a</w:t>
      </w:r>
      <w:r w:rsidR="001F11EC" w:rsidRPr="009D556D">
        <w:t xml:space="preserve"> LH</w:t>
      </w:r>
      <w:r w:rsidR="001F11EC" w:rsidRPr="009D556D">
        <w:rPr>
          <w:vertAlign w:val="subscript"/>
        </w:rPr>
        <w:t>2</w:t>
      </w:r>
      <w:r w:rsidR="001F11EC" w:rsidRPr="009D556D">
        <w:t xml:space="preserve"> export terminal a</w:t>
      </w:r>
      <w:r w:rsidR="00BF69DF" w:rsidRPr="009D556D">
        <w:t>nd</w:t>
      </w:r>
      <w:r w:rsidR="005413EC" w:rsidRPr="009D556D">
        <w:t xml:space="preserve"> </w:t>
      </w:r>
      <w:r w:rsidR="000F29C5" w:rsidRPr="009D556D">
        <w:t>anal</w:t>
      </w:r>
      <w:r w:rsidR="005413EC" w:rsidRPr="009D556D">
        <w:t>y</w:t>
      </w:r>
      <w:r w:rsidR="009D556D">
        <w:t>z</w:t>
      </w:r>
      <w:r w:rsidR="005413EC" w:rsidRPr="009D556D">
        <w:t xml:space="preserve">ing </w:t>
      </w:r>
      <w:r w:rsidR="005413EC" w:rsidRPr="009D556D">
        <w:t xml:space="preserve">BOG generation </w:t>
      </w:r>
      <w:r w:rsidR="005413EC" w:rsidRPr="009D556D">
        <w:t xml:space="preserve">through dynamic </w:t>
      </w:r>
      <w:r w:rsidR="00BF69DF" w:rsidRPr="009D556D">
        <w:t>simulati</w:t>
      </w:r>
      <w:r w:rsidR="005413EC" w:rsidRPr="009D556D">
        <w:t>o</w:t>
      </w:r>
      <w:r w:rsidR="00BF69DF" w:rsidRPr="009D556D">
        <w:t>n</w:t>
      </w:r>
      <w:r w:rsidR="005413EC" w:rsidRPr="009D556D">
        <w:t>s</w:t>
      </w:r>
      <w:r w:rsidR="00507AB9" w:rsidRPr="009D556D">
        <w:t xml:space="preserve"> of storage and carrier loading</w:t>
      </w:r>
      <w:r w:rsidR="00760159" w:rsidRPr="009D556D">
        <w:t xml:space="preserve">. Indeed, </w:t>
      </w:r>
      <w:r w:rsidR="00504851" w:rsidRPr="009D556D">
        <w:t>understand</w:t>
      </w:r>
      <w:r w:rsidR="00760159" w:rsidRPr="009D556D">
        <w:t xml:space="preserve">ing the </w:t>
      </w:r>
      <w:r w:rsidR="00504851" w:rsidRPr="009D556D">
        <w:t xml:space="preserve">time-dependent </w:t>
      </w:r>
      <w:r w:rsidR="00760159" w:rsidRPr="009D556D">
        <w:t xml:space="preserve">BOG generation </w:t>
      </w:r>
      <w:r w:rsidR="00A06BF1" w:rsidRPr="009D556D">
        <w:t xml:space="preserve">rate </w:t>
      </w:r>
      <w:r w:rsidR="00760159" w:rsidRPr="009D556D">
        <w:t xml:space="preserve">is </w:t>
      </w:r>
      <w:r w:rsidR="00E634E2" w:rsidRPr="009D556D">
        <w:t>cruc</w:t>
      </w:r>
      <w:r w:rsidR="00760159" w:rsidRPr="009D556D">
        <w:t xml:space="preserve">ial for identifying </w:t>
      </w:r>
      <w:r w:rsidR="00A06BF1" w:rsidRPr="009D556D">
        <w:t>possible</w:t>
      </w:r>
      <w:r w:rsidR="00760159" w:rsidRPr="009D556D">
        <w:t xml:space="preserve"> BOG recovery</w:t>
      </w:r>
      <w:r w:rsidR="000B2898" w:rsidRPr="009D556D">
        <w:t xml:space="preserve"> strategies</w:t>
      </w:r>
      <w:r w:rsidR="00760159" w:rsidRPr="009D556D">
        <w:t xml:space="preserve">. </w:t>
      </w:r>
      <w:r w:rsidR="0064762E" w:rsidRPr="009D556D">
        <w:t xml:space="preserve">To </w:t>
      </w:r>
      <w:r w:rsidR="00D258EA">
        <w:t>investigat</w:t>
      </w:r>
      <w:r w:rsidR="00FB2F8F" w:rsidRPr="009D556D">
        <w:t>e this</w:t>
      </w:r>
      <w:r w:rsidR="0064762E" w:rsidRPr="009D556D">
        <w:t>, a</w:t>
      </w:r>
      <w:r w:rsidR="00BF69DF" w:rsidRPr="009D556D">
        <w:t xml:space="preserve"> case study</w:t>
      </w:r>
      <w:r w:rsidR="005752BC" w:rsidRPr="009D556D">
        <w:t xml:space="preserve"> is considered,</w:t>
      </w:r>
      <w:r w:rsidR="00BF69DF" w:rsidRPr="009D556D">
        <w:t xml:space="preserve"> </w:t>
      </w:r>
      <w:r w:rsidR="005752BC" w:rsidRPr="009D556D">
        <w:t xml:space="preserve">which </w:t>
      </w:r>
      <w:r w:rsidR="00BF69DF" w:rsidRPr="009D556D">
        <w:t xml:space="preserve">involves the transport of hydrogen, produced by 100 MW electrolyzers powered by renewable electricity, from North Africa to Northern Italy </w:t>
      </w:r>
      <w:r w:rsidR="008348B0" w:rsidRPr="009D556D">
        <w:t>(Restelli et al., 2024)</w:t>
      </w:r>
      <w:r w:rsidR="00BF69DF" w:rsidRPr="009D556D">
        <w:t xml:space="preserve">. The analysis evaluates the plant's energy consumption and the rate of boil-off gas, which requires additional energy for </w:t>
      </w:r>
      <w:proofErr w:type="spellStart"/>
      <w:r w:rsidR="00BF69DF" w:rsidRPr="009D556D">
        <w:t>reliquefaction</w:t>
      </w:r>
      <w:proofErr w:type="spellEnd"/>
      <w:r w:rsidR="00BF69DF" w:rsidRPr="009D556D">
        <w:t>. Combined with studies on the energy consumption of the liquefaction process, this work helps identifying the total energy requirements and associated costs of exporting renewable energy via liqu</w:t>
      </w:r>
      <w:r w:rsidR="00251517" w:rsidRPr="009D556D">
        <w:t>i</w:t>
      </w:r>
      <w:r w:rsidR="00BF69DF" w:rsidRPr="009D556D">
        <w:t>d hydrogen</w:t>
      </w:r>
      <w:r w:rsidR="00801759" w:rsidRPr="009D556D">
        <w:t>.</w:t>
      </w:r>
    </w:p>
    <w:p w14:paraId="61A9B77A" w14:textId="16ED3BB1" w:rsidR="00600535" w:rsidRPr="00BF5922" w:rsidRDefault="00AA0AFE" w:rsidP="00AB0F11">
      <w:pPr>
        <w:pStyle w:val="CETHeading1"/>
        <w:rPr>
          <w:lang w:val="en-GB"/>
        </w:rPr>
      </w:pPr>
      <w:r w:rsidRPr="00BF5922">
        <w:rPr>
          <w:lang w:val="en-GB"/>
        </w:rPr>
        <w:t>Case study description</w:t>
      </w:r>
    </w:p>
    <w:p w14:paraId="212CA941" w14:textId="6A3CBFC0" w:rsidR="00110A2C" w:rsidRPr="00340799" w:rsidRDefault="00600535" w:rsidP="00110A2C">
      <w:pPr>
        <w:pStyle w:val="CETBodytext"/>
        <w:rPr>
          <w:lang w:val="en-GB"/>
        </w:rPr>
      </w:pPr>
      <w:r w:rsidRPr="00BF5922">
        <w:rPr>
          <w:lang w:val="en-GB"/>
        </w:rPr>
        <w:t xml:space="preserve">The </w:t>
      </w:r>
      <w:r w:rsidR="00440B07" w:rsidRPr="00BF5922">
        <w:rPr>
          <w:lang w:val="en-GB"/>
        </w:rPr>
        <w:t>LH</w:t>
      </w:r>
      <w:r w:rsidR="00440B07" w:rsidRPr="00AE154C">
        <w:rPr>
          <w:vertAlign w:val="subscript"/>
          <w:lang w:val="en-GB"/>
        </w:rPr>
        <w:t>2</w:t>
      </w:r>
      <w:r w:rsidR="00440B07" w:rsidRPr="00BF5922">
        <w:rPr>
          <w:lang w:val="en-GB"/>
        </w:rPr>
        <w:t xml:space="preserve"> export terminal </w:t>
      </w:r>
      <w:r w:rsidR="00753EBF">
        <w:rPr>
          <w:lang w:val="en-GB"/>
        </w:rPr>
        <w:t>analyse</w:t>
      </w:r>
      <w:r w:rsidR="00440B07" w:rsidRPr="00BF5922">
        <w:rPr>
          <w:lang w:val="en-GB"/>
        </w:rPr>
        <w:t xml:space="preserve">d in this study is designed </w:t>
      </w:r>
      <w:r w:rsidR="009828FB">
        <w:rPr>
          <w:lang w:val="en-GB"/>
        </w:rPr>
        <w:t xml:space="preserve">to support </w:t>
      </w:r>
      <w:r w:rsidR="00020EF5" w:rsidRPr="00020EF5">
        <w:rPr>
          <w:lang w:val="en-GB"/>
        </w:rPr>
        <w:t xml:space="preserve">the </w:t>
      </w:r>
      <w:r w:rsidR="00130CC5">
        <w:rPr>
          <w:lang w:val="en-GB"/>
        </w:rPr>
        <w:t>delivery</w:t>
      </w:r>
      <w:r w:rsidR="00020EF5" w:rsidRPr="00020EF5">
        <w:rPr>
          <w:lang w:val="en-GB"/>
        </w:rPr>
        <w:t xml:space="preserve"> of green hydrogen from a </w:t>
      </w:r>
      <w:r w:rsidR="00175B66">
        <w:rPr>
          <w:lang w:val="en-GB"/>
        </w:rPr>
        <w:t>hypotheti</w:t>
      </w:r>
      <w:r w:rsidR="00020EF5" w:rsidRPr="00020EF5">
        <w:rPr>
          <w:lang w:val="en-GB"/>
        </w:rPr>
        <w:t xml:space="preserve">cal renewable electricity </w:t>
      </w:r>
      <w:r w:rsidR="009828FB">
        <w:rPr>
          <w:lang w:val="en-GB"/>
        </w:rPr>
        <w:t>hub</w:t>
      </w:r>
      <w:r w:rsidR="00020EF5" w:rsidRPr="00020EF5">
        <w:rPr>
          <w:lang w:val="en-GB"/>
        </w:rPr>
        <w:t xml:space="preserve"> situated in North Africa to a </w:t>
      </w:r>
      <w:r w:rsidR="00766695">
        <w:rPr>
          <w:lang w:val="en-GB"/>
        </w:rPr>
        <w:t>hypothetical</w:t>
      </w:r>
      <w:r w:rsidR="00020EF5" w:rsidRPr="00020EF5">
        <w:rPr>
          <w:lang w:val="en-GB"/>
        </w:rPr>
        <w:t xml:space="preserve"> utili</w:t>
      </w:r>
      <w:r w:rsidR="00377E55">
        <w:rPr>
          <w:lang w:val="en-GB"/>
        </w:rPr>
        <w:t>z</w:t>
      </w:r>
      <w:r w:rsidR="00020EF5" w:rsidRPr="00020EF5">
        <w:rPr>
          <w:lang w:val="en-GB"/>
        </w:rPr>
        <w:t xml:space="preserve">ation site </w:t>
      </w:r>
      <w:r w:rsidR="00C77E32">
        <w:rPr>
          <w:lang w:val="en-GB"/>
        </w:rPr>
        <w:t>in Northern Italy</w:t>
      </w:r>
      <w:r w:rsidR="00130CC5">
        <w:rPr>
          <w:lang w:val="en-GB"/>
        </w:rPr>
        <w:t xml:space="preserve">. </w:t>
      </w:r>
      <w:r w:rsidR="000F143F">
        <w:rPr>
          <w:lang w:val="en-GB"/>
        </w:rPr>
        <w:t>The transport route</w:t>
      </w:r>
      <w:r w:rsidR="00020EF5" w:rsidRPr="00020EF5">
        <w:rPr>
          <w:lang w:val="en-GB"/>
        </w:rPr>
        <w:t xml:space="preserve"> </w:t>
      </w:r>
      <w:r w:rsidR="0054573C">
        <w:rPr>
          <w:lang w:val="en-GB"/>
        </w:rPr>
        <w:t>span</w:t>
      </w:r>
      <w:r w:rsidR="000F143F">
        <w:rPr>
          <w:lang w:val="en-GB"/>
        </w:rPr>
        <w:t>s</w:t>
      </w:r>
      <w:r w:rsidR="00020EF5" w:rsidRPr="00020EF5">
        <w:rPr>
          <w:lang w:val="en-GB"/>
        </w:rPr>
        <w:t xml:space="preserve"> a </w:t>
      </w:r>
      <w:r w:rsidR="00843EA2">
        <w:rPr>
          <w:lang w:val="en-GB"/>
        </w:rPr>
        <w:t>sea</w:t>
      </w:r>
      <w:r w:rsidR="00020EF5" w:rsidRPr="00020EF5">
        <w:rPr>
          <w:lang w:val="en-GB"/>
        </w:rPr>
        <w:t xml:space="preserve"> distance of approximately 2</w:t>
      </w:r>
      <w:r w:rsidR="0054573C">
        <w:rPr>
          <w:lang w:val="en-GB"/>
        </w:rPr>
        <w:t>,</w:t>
      </w:r>
      <w:r w:rsidR="00020EF5" w:rsidRPr="00020EF5">
        <w:rPr>
          <w:lang w:val="en-GB"/>
        </w:rPr>
        <w:t xml:space="preserve">500 km. </w:t>
      </w:r>
      <w:r w:rsidR="00E43FCA">
        <w:rPr>
          <w:lang w:val="en-GB"/>
        </w:rPr>
        <w:t>The g</w:t>
      </w:r>
      <w:r w:rsidR="00020EF5" w:rsidRPr="00020EF5">
        <w:rPr>
          <w:lang w:val="en-GB"/>
        </w:rPr>
        <w:t xml:space="preserve">reen hydrogen is supposed to be produced </w:t>
      </w:r>
      <w:r w:rsidR="00C77E32">
        <w:rPr>
          <w:lang w:val="en-GB"/>
        </w:rPr>
        <w:t>by a 100 MW electroly</w:t>
      </w:r>
      <w:r w:rsidR="00E43FCA">
        <w:rPr>
          <w:lang w:val="en-GB"/>
        </w:rPr>
        <w:t>s</w:t>
      </w:r>
      <w:r w:rsidR="00C77E32">
        <w:rPr>
          <w:lang w:val="en-GB"/>
        </w:rPr>
        <w:t>er</w:t>
      </w:r>
      <w:r w:rsidR="002020BD">
        <w:rPr>
          <w:lang w:val="en-GB"/>
        </w:rPr>
        <w:t xml:space="preserve"> and </w:t>
      </w:r>
      <w:r w:rsidR="009C6870">
        <w:rPr>
          <w:lang w:val="en-GB"/>
        </w:rPr>
        <w:t>sent to a liquefaction plant</w:t>
      </w:r>
      <w:r w:rsidR="002020BD">
        <w:rPr>
          <w:lang w:val="en-GB"/>
        </w:rPr>
        <w:t xml:space="preserve"> </w:t>
      </w:r>
      <w:r w:rsidR="00020EF5" w:rsidRPr="00020EF5">
        <w:rPr>
          <w:lang w:val="en-GB"/>
        </w:rPr>
        <w:t>with a constant flow rate</w:t>
      </w:r>
      <w:r w:rsidR="004F6B52">
        <w:rPr>
          <w:lang w:val="en-GB"/>
        </w:rPr>
        <w:t xml:space="preserve"> </w:t>
      </w:r>
      <w:r w:rsidR="004F6B52" w:rsidRPr="004F6B52">
        <w:rPr>
          <w:i/>
          <w:iCs/>
          <w:lang w:val="en-GB"/>
        </w:rPr>
        <w:t>F</w:t>
      </w:r>
      <w:r w:rsidR="00020EF5" w:rsidRPr="00020EF5">
        <w:rPr>
          <w:lang w:val="en-GB"/>
        </w:rPr>
        <w:t xml:space="preserve"> of </w:t>
      </w:r>
      <w:r w:rsidR="002020BD">
        <w:rPr>
          <w:lang w:val="en-GB"/>
        </w:rPr>
        <w:t>44</w:t>
      </w:r>
      <w:r w:rsidR="0063463E">
        <w:rPr>
          <w:lang w:val="en-GB"/>
        </w:rPr>
        <w:t>,000</w:t>
      </w:r>
      <w:r w:rsidR="002020BD">
        <w:rPr>
          <w:lang w:val="en-GB"/>
        </w:rPr>
        <w:t xml:space="preserve"> </w:t>
      </w:r>
      <w:r w:rsidR="0063463E">
        <w:rPr>
          <w:lang w:val="en-GB"/>
        </w:rPr>
        <w:t>kg</w:t>
      </w:r>
      <w:r w:rsidR="002020BD">
        <w:rPr>
          <w:lang w:val="en-GB"/>
        </w:rPr>
        <w:t>/d</w:t>
      </w:r>
      <w:r w:rsidR="00020EF5" w:rsidRPr="00020EF5">
        <w:rPr>
          <w:lang w:val="en-GB"/>
        </w:rPr>
        <w:t>.</w:t>
      </w:r>
      <w:r w:rsidR="0096359F">
        <w:rPr>
          <w:lang w:val="en-GB"/>
        </w:rPr>
        <w:t xml:space="preserve"> </w:t>
      </w:r>
      <w:r w:rsidR="009C6870">
        <w:rPr>
          <w:lang w:val="en-GB"/>
        </w:rPr>
        <w:t xml:space="preserve">The </w:t>
      </w:r>
      <w:r w:rsidR="00012220">
        <w:rPr>
          <w:lang w:val="en-GB"/>
        </w:rPr>
        <w:t xml:space="preserve">resulting </w:t>
      </w:r>
      <w:r w:rsidR="009C6870">
        <w:rPr>
          <w:lang w:val="en-GB"/>
        </w:rPr>
        <w:t>liqu</w:t>
      </w:r>
      <w:r w:rsidR="00251517">
        <w:rPr>
          <w:lang w:val="en-GB"/>
        </w:rPr>
        <w:t>i</w:t>
      </w:r>
      <w:r w:rsidR="009C6870">
        <w:rPr>
          <w:lang w:val="en-GB"/>
        </w:rPr>
        <w:t xml:space="preserve">d hydrogen at </w:t>
      </w:r>
      <w:r w:rsidR="00012220">
        <w:rPr>
          <w:lang w:val="en-GB"/>
        </w:rPr>
        <w:t xml:space="preserve">a pressure of 4 bar and a temperature of 25 K </w:t>
      </w:r>
      <w:r w:rsidR="00673789">
        <w:rPr>
          <w:lang w:val="en-GB"/>
        </w:rPr>
        <w:t>constitute</w:t>
      </w:r>
      <w:r w:rsidR="00012220">
        <w:rPr>
          <w:lang w:val="en-GB"/>
        </w:rPr>
        <w:t>s the</w:t>
      </w:r>
      <w:r w:rsidR="00A60475">
        <w:rPr>
          <w:lang w:val="en-GB"/>
        </w:rPr>
        <w:t xml:space="preserve"> feed to the considered export terminal</w:t>
      </w:r>
      <w:r w:rsidR="00440B07" w:rsidRPr="00BF5922">
        <w:rPr>
          <w:lang w:val="en-GB"/>
        </w:rPr>
        <w:t xml:space="preserve">. </w:t>
      </w:r>
      <w:r w:rsidR="00C91B55">
        <w:rPr>
          <w:lang w:val="en-GB"/>
        </w:rPr>
        <w:t xml:space="preserve">The </w:t>
      </w:r>
      <w:r w:rsidR="00EE45BC">
        <w:rPr>
          <w:lang w:val="en-GB"/>
        </w:rPr>
        <w:t>considered</w:t>
      </w:r>
      <w:r w:rsidR="00C91B55" w:rsidRPr="00BF5922">
        <w:rPr>
          <w:lang w:val="en-GB"/>
        </w:rPr>
        <w:t xml:space="preserve"> LH</w:t>
      </w:r>
      <w:r w:rsidR="00C91B55" w:rsidRPr="008D4F34">
        <w:rPr>
          <w:vertAlign w:val="subscript"/>
          <w:lang w:val="en-GB"/>
        </w:rPr>
        <w:t>2</w:t>
      </w:r>
      <w:r w:rsidR="00C91B55" w:rsidRPr="00BF5922">
        <w:rPr>
          <w:lang w:val="en-GB"/>
        </w:rPr>
        <w:t xml:space="preserve"> export terminal compris</w:t>
      </w:r>
      <w:r w:rsidR="00EE45BC">
        <w:rPr>
          <w:lang w:val="en-GB"/>
        </w:rPr>
        <w:t>es</w:t>
      </w:r>
      <w:r w:rsidR="00C91B55" w:rsidRPr="00BF5922">
        <w:rPr>
          <w:lang w:val="en-GB"/>
        </w:rPr>
        <w:t xml:space="preserve"> harbour storage,</w:t>
      </w:r>
      <w:r w:rsidR="00EE45BC">
        <w:rPr>
          <w:lang w:val="en-GB"/>
        </w:rPr>
        <w:t xml:space="preserve"> loading</w:t>
      </w:r>
      <w:r w:rsidR="00C91B55" w:rsidRPr="00BF5922">
        <w:rPr>
          <w:lang w:val="en-GB"/>
        </w:rPr>
        <w:t xml:space="preserve"> pipelines, LH</w:t>
      </w:r>
      <w:r w:rsidR="00C91B55" w:rsidRPr="008D4F34">
        <w:rPr>
          <w:vertAlign w:val="subscript"/>
          <w:lang w:val="en-GB"/>
        </w:rPr>
        <w:t>2</w:t>
      </w:r>
      <w:r w:rsidR="00C91B55" w:rsidRPr="00BF5922">
        <w:rPr>
          <w:lang w:val="en-GB"/>
        </w:rPr>
        <w:t xml:space="preserve"> </w:t>
      </w:r>
      <w:r w:rsidR="00C91B55">
        <w:rPr>
          <w:lang w:val="en-GB"/>
        </w:rPr>
        <w:t>carrier,</w:t>
      </w:r>
      <w:r w:rsidR="00C91B55" w:rsidRPr="00BF5922">
        <w:rPr>
          <w:lang w:val="en-GB"/>
        </w:rPr>
        <w:t xml:space="preserve"> </w:t>
      </w:r>
      <w:r w:rsidR="00C91B55">
        <w:rPr>
          <w:lang w:val="en-GB"/>
        </w:rPr>
        <w:t xml:space="preserve">and </w:t>
      </w:r>
      <w:r w:rsidR="00C91B55" w:rsidRPr="00BF5922">
        <w:rPr>
          <w:lang w:val="en-GB"/>
        </w:rPr>
        <w:t>boil-off gas compressors.</w:t>
      </w:r>
      <w:r w:rsidR="00674D96">
        <w:rPr>
          <w:lang w:val="en-GB"/>
        </w:rPr>
        <w:t xml:space="preserve"> </w:t>
      </w:r>
      <w:r w:rsidR="001810FB">
        <w:rPr>
          <w:lang w:val="en-GB"/>
        </w:rPr>
        <w:t>The</w:t>
      </w:r>
      <w:r w:rsidR="00110A2C" w:rsidRPr="00110A2C">
        <w:rPr>
          <w:lang w:val="en-GB"/>
        </w:rPr>
        <w:t xml:space="preserve"> capacity</w:t>
      </w:r>
      <w:r w:rsidR="001810FB">
        <w:rPr>
          <w:lang w:val="en-GB"/>
        </w:rPr>
        <w:t xml:space="preserve"> of the LH</w:t>
      </w:r>
      <w:r w:rsidR="001810FB" w:rsidRPr="00766F6E">
        <w:rPr>
          <w:vertAlign w:val="subscript"/>
          <w:lang w:val="en-GB"/>
        </w:rPr>
        <w:t>2</w:t>
      </w:r>
      <w:r w:rsidR="001810FB">
        <w:rPr>
          <w:lang w:val="en-GB"/>
        </w:rPr>
        <w:t xml:space="preserve"> </w:t>
      </w:r>
      <w:r w:rsidR="001810FB" w:rsidRPr="00340799">
        <w:rPr>
          <w:lang w:val="en-GB"/>
        </w:rPr>
        <w:t>carrier</w:t>
      </w:r>
      <w:r w:rsidR="00110A2C" w:rsidRPr="00340799">
        <w:rPr>
          <w:lang w:val="en-GB"/>
        </w:rPr>
        <w:t xml:space="preserve"> is </w:t>
      </w:r>
      <w:r w:rsidR="00EB596F" w:rsidRPr="00EB596F">
        <w:rPr>
          <w:lang w:val="en-GB"/>
        </w:rPr>
        <w:t xml:space="preserve">determined based on the quantity of liquefied hydrogen produced and stored at the terminal during </w:t>
      </w:r>
      <w:r w:rsidR="00110A2C" w:rsidRPr="00340799">
        <w:rPr>
          <w:lang w:val="en-GB"/>
        </w:rPr>
        <w:t xml:space="preserve">the period when the </w:t>
      </w:r>
      <w:r w:rsidR="00EB596F">
        <w:rPr>
          <w:lang w:val="en-GB"/>
        </w:rPr>
        <w:t>carrier</w:t>
      </w:r>
      <w:r w:rsidR="00110A2C" w:rsidRPr="00340799">
        <w:rPr>
          <w:lang w:val="en-GB"/>
        </w:rPr>
        <w:t xml:space="preserve"> is not </w:t>
      </w:r>
      <w:r w:rsidR="00EB596F">
        <w:rPr>
          <w:lang w:val="en-GB"/>
        </w:rPr>
        <w:t>docked</w:t>
      </w:r>
      <w:r w:rsidR="00D978BB" w:rsidRPr="00340799">
        <w:rPr>
          <w:lang w:val="en-GB"/>
        </w:rPr>
        <w:t>,</w:t>
      </w:r>
      <w:r w:rsidR="0096409B">
        <w:rPr>
          <w:lang w:val="en-GB"/>
        </w:rPr>
        <w:t xml:space="preserve"> denoted with</w:t>
      </w:r>
      <w:r w:rsidR="00190894">
        <w:rPr>
          <w:lang w:val="en-GB"/>
        </w:rPr>
        <w:t xml:space="preserve"> </w:t>
      </w:r>
      <w:r w:rsidR="00190894" w:rsidRPr="00383234">
        <w:rPr>
          <w:rFonts w:ascii="Symbol" w:hAnsi="Symbol" w:cs="Arial"/>
          <w:i/>
          <w:iCs/>
          <w:lang w:val="en-GB"/>
        </w:rPr>
        <w:t>t</w:t>
      </w:r>
      <w:r w:rsidR="00C651B9">
        <w:rPr>
          <w:lang w:val="en-GB"/>
        </w:rPr>
        <w:t>, w</w:t>
      </w:r>
      <w:r w:rsidR="00110A2C" w:rsidRPr="00340799">
        <w:rPr>
          <w:lang w:val="en-GB"/>
        </w:rPr>
        <w:t xml:space="preserve">hich is </w:t>
      </w:r>
      <w:r w:rsidR="00D978BB" w:rsidRPr="00340799">
        <w:rPr>
          <w:lang w:val="en-GB"/>
        </w:rPr>
        <w:t>about 10 days, as estimated by Restelli et al. (2024)</w:t>
      </w:r>
      <w:r w:rsidR="00244FD5" w:rsidRPr="00340799">
        <w:rPr>
          <w:lang w:val="en-GB"/>
        </w:rPr>
        <w:t xml:space="preserve"> for a </w:t>
      </w:r>
      <w:r w:rsidR="00590B30">
        <w:rPr>
          <w:lang w:val="en-GB"/>
        </w:rPr>
        <w:t xml:space="preserve">similar </w:t>
      </w:r>
      <w:r w:rsidR="00244FD5" w:rsidRPr="00340799">
        <w:rPr>
          <w:lang w:val="en-GB"/>
        </w:rPr>
        <w:t>LH</w:t>
      </w:r>
      <w:r w:rsidR="00244FD5" w:rsidRPr="00766F6E">
        <w:rPr>
          <w:vertAlign w:val="subscript"/>
          <w:lang w:val="en-GB"/>
        </w:rPr>
        <w:t>2</w:t>
      </w:r>
      <w:r w:rsidR="00244FD5" w:rsidRPr="00340799">
        <w:rPr>
          <w:lang w:val="en-GB"/>
        </w:rPr>
        <w:t xml:space="preserve"> </w:t>
      </w:r>
      <w:r w:rsidR="00F43864" w:rsidRPr="00340799">
        <w:rPr>
          <w:lang w:val="en-GB"/>
        </w:rPr>
        <w:t xml:space="preserve">export </w:t>
      </w:r>
      <w:r w:rsidR="00244FD5" w:rsidRPr="00340799">
        <w:rPr>
          <w:lang w:val="en-GB"/>
        </w:rPr>
        <w:t>case study</w:t>
      </w:r>
      <w:r w:rsidR="00F43864" w:rsidRPr="00340799">
        <w:rPr>
          <w:lang w:val="en-GB"/>
        </w:rPr>
        <w:t>.</w:t>
      </w:r>
      <w:r w:rsidR="00244FD5" w:rsidRPr="00340799">
        <w:rPr>
          <w:lang w:val="en-GB"/>
        </w:rPr>
        <w:t xml:space="preserve"> </w:t>
      </w:r>
      <w:r w:rsidR="00110A2C" w:rsidRPr="00340799">
        <w:rPr>
          <w:lang w:val="en-GB"/>
        </w:rPr>
        <w:t xml:space="preserve">The </w:t>
      </w:r>
      <w:r w:rsidR="008105C4" w:rsidRPr="00340799">
        <w:rPr>
          <w:lang w:val="en-GB"/>
        </w:rPr>
        <w:t>carrier</w:t>
      </w:r>
      <w:r w:rsidR="00110A2C" w:rsidRPr="00340799">
        <w:rPr>
          <w:lang w:val="en-GB"/>
        </w:rPr>
        <w:t xml:space="preserve">’s gross capacity, </w:t>
      </w:r>
      <w:proofErr w:type="spellStart"/>
      <w:r w:rsidR="00110A2C" w:rsidRPr="0096359F">
        <w:rPr>
          <w:i/>
          <w:iCs/>
          <w:lang w:val="en-GB"/>
        </w:rPr>
        <w:t>V</w:t>
      </w:r>
      <w:r w:rsidR="00BD2E37" w:rsidRPr="00340799">
        <w:rPr>
          <w:vertAlign w:val="subscript"/>
          <w:lang w:val="en-GB"/>
        </w:rPr>
        <w:t>offshore</w:t>
      </w:r>
      <w:proofErr w:type="spellEnd"/>
      <w:r w:rsidR="00110A2C" w:rsidRPr="00340799">
        <w:rPr>
          <w:lang w:val="en-GB"/>
        </w:rPr>
        <w:t>, is c</w:t>
      </w:r>
      <w:r w:rsidR="00D15955">
        <w:rPr>
          <w:lang w:val="en-GB"/>
        </w:rPr>
        <w:t>alculat</w:t>
      </w:r>
      <w:r w:rsidR="00110A2C" w:rsidRPr="00340799">
        <w:rPr>
          <w:lang w:val="en-GB"/>
        </w:rPr>
        <w:t xml:space="preserve">ed using </w:t>
      </w:r>
      <w:proofErr w:type="spellStart"/>
      <w:proofErr w:type="gramStart"/>
      <w:r w:rsidR="00110A2C" w:rsidRPr="00340799">
        <w:rPr>
          <w:lang w:val="en-GB"/>
        </w:rPr>
        <w:t>Eq</w:t>
      </w:r>
      <w:proofErr w:type="spellEnd"/>
      <w:r w:rsidR="00110A2C" w:rsidRPr="00340799">
        <w:rPr>
          <w:lang w:val="en-GB"/>
        </w:rPr>
        <w:t>(</w:t>
      </w:r>
      <w:proofErr w:type="gramEnd"/>
      <w:r w:rsidR="00BC2294" w:rsidRPr="00340799">
        <w:rPr>
          <w:lang w:val="en-GB"/>
        </w:rPr>
        <w:t>1</w:t>
      </w:r>
      <w:r w:rsidR="00110A2C" w:rsidRPr="00340799">
        <w:rPr>
          <w:lang w:val="en-GB"/>
        </w:rPr>
        <w:t>)</w:t>
      </w:r>
      <w:r w:rsidR="002F2E29" w:rsidRPr="002F2E29">
        <w:rPr>
          <w:lang w:val="en-GB"/>
        </w:rPr>
        <w:t>. This calculation considers a maximum fill level of 98</w:t>
      </w:r>
      <w:r w:rsidR="00173F55">
        <w:rPr>
          <w:lang w:val="en-GB"/>
        </w:rPr>
        <w:t xml:space="preserve"> </w:t>
      </w:r>
      <w:r w:rsidR="002F2E29" w:rsidRPr="002F2E29">
        <w:rPr>
          <w:lang w:val="en-GB"/>
        </w:rPr>
        <w:t xml:space="preserve">% of the vessel's volume </w:t>
      </w:r>
      <w:r w:rsidR="005F0015">
        <w:rPr>
          <w:lang w:val="en-GB"/>
        </w:rPr>
        <w:t xml:space="preserve">as </w:t>
      </w:r>
      <w:r w:rsidR="005F0015" w:rsidRPr="002F2E29">
        <w:rPr>
          <w:lang w:val="en-GB"/>
        </w:rPr>
        <w:t xml:space="preserve">safety constraint, </w:t>
      </w:r>
      <w:r w:rsidR="002F2E29" w:rsidRPr="002F2E29">
        <w:rPr>
          <w:lang w:val="en-GB"/>
        </w:rPr>
        <w:t xml:space="preserve">and a </w:t>
      </w:r>
      <w:r w:rsidR="00826F28" w:rsidRPr="002F2E29">
        <w:rPr>
          <w:lang w:val="en-GB"/>
        </w:rPr>
        <w:t>4</w:t>
      </w:r>
      <w:r w:rsidR="00676E2A">
        <w:rPr>
          <w:lang w:val="en-GB"/>
        </w:rPr>
        <w:t xml:space="preserve"> </w:t>
      </w:r>
      <w:r w:rsidR="00826F28" w:rsidRPr="002F2E29">
        <w:rPr>
          <w:lang w:val="en-GB"/>
        </w:rPr>
        <w:t xml:space="preserve">% </w:t>
      </w:r>
      <w:r w:rsidR="00AA58AE">
        <w:rPr>
          <w:lang w:val="en-GB"/>
        </w:rPr>
        <w:t>heel</w:t>
      </w:r>
      <w:r w:rsidR="002F2E29" w:rsidRPr="002F2E29">
        <w:rPr>
          <w:lang w:val="en-GB"/>
        </w:rPr>
        <w:t xml:space="preserve"> remain</w:t>
      </w:r>
      <w:r w:rsidR="00AA58AE">
        <w:rPr>
          <w:lang w:val="en-GB"/>
        </w:rPr>
        <w:t>ing in the tank</w:t>
      </w:r>
      <w:r w:rsidR="002F2E29" w:rsidRPr="002F2E29">
        <w:rPr>
          <w:lang w:val="en-GB"/>
        </w:rPr>
        <w:t xml:space="preserve"> for cooling purposes, </w:t>
      </w:r>
      <w:r w:rsidR="00B13CAF">
        <w:rPr>
          <w:lang w:val="en-GB"/>
        </w:rPr>
        <w:t>consistent</w:t>
      </w:r>
      <w:r w:rsidR="002F2E29" w:rsidRPr="002F2E29">
        <w:rPr>
          <w:lang w:val="en-GB"/>
        </w:rPr>
        <w:t xml:space="preserve"> with </w:t>
      </w:r>
      <w:r w:rsidR="00B41506">
        <w:rPr>
          <w:lang w:val="en-GB"/>
        </w:rPr>
        <w:t xml:space="preserve">industrial </w:t>
      </w:r>
      <w:r w:rsidR="002F2E29" w:rsidRPr="002F2E29">
        <w:rPr>
          <w:lang w:val="en-GB"/>
        </w:rPr>
        <w:t>practice</w:t>
      </w:r>
      <w:r w:rsidR="00836F11">
        <w:rPr>
          <w:lang w:val="en-GB"/>
        </w:rPr>
        <w:t>s</w:t>
      </w:r>
      <w:r w:rsidR="002F2E29" w:rsidRPr="002F2E29">
        <w:rPr>
          <w:lang w:val="en-GB"/>
        </w:rPr>
        <w:t xml:space="preserve"> for LNG tanks</w:t>
      </w:r>
      <w:r w:rsidR="00110A2C" w:rsidRPr="00340799">
        <w:rPr>
          <w:lang w:val="en-GB"/>
        </w:rPr>
        <w:t xml:space="preserve"> (Rogers, 2018).</w:t>
      </w:r>
      <w:r w:rsidR="004F6B52">
        <w:rPr>
          <w:lang w:val="en-GB"/>
        </w:rPr>
        <w:t xml:space="preserve"> In </w:t>
      </w:r>
      <w:proofErr w:type="spellStart"/>
      <w:proofErr w:type="gramStart"/>
      <w:r w:rsidR="004F6B52">
        <w:rPr>
          <w:lang w:val="en-GB"/>
        </w:rPr>
        <w:t>Eq</w:t>
      </w:r>
      <w:proofErr w:type="spellEnd"/>
      <w:r w:rsidR="004F6B52">
        <w:rPr>
          <w:lang w:val="en-GB"/>
        </w:rPr>
        <w:t>(</w:t>
      </w:r>
      <w:proofErr w:type="gramEnd"/>
      <w:r w:rsidR="004F6B52">
        <w:rPr>
          <w:lang w:val="en-GB"/>
        </w:rPr>
        <w:t xml:space="preserve">1), </w:t>
      </w:r>
      <w:r w:rsidR="000F3063" w:rsidRPr="00383234">
        <w:rPr>
          <w:rFonts w:ascii="Symbol" w:hAnsi="Symbol"/>
          <w:i/>
          <w:iCs/>
          <w:lang w:val="en-GB"/>
        </w:rPr>
        <w:t>r</w:t>
      </w:r>
      <w:r w:rsidR="0071250C" w:rsidRPr="00383234">
        <w:rPr>
          <w:rFonts w:cs="Arial"/>
          <w:position w:val="-6"/>
          <w:lang w:val="en-GB"/>
        </w:rPr>
        <w:t xml:space="preserve"> </w:t>
      </w:r>
      <w:r w:rsidR="0071250C">
        <w:rPr>
          <w:lang w:val="en-GB"/>
        </w:rPr>
        <w:t>is the LH</w:t>
      </w:r>
      <w:r w:rsidR="0071250C" w:rsidRPr="0071250C">
        <w:rPr>
          <w:vertAlign w:val="subscript"/>
          <w:lang w:val="en-GB"/>
        </w:rPr>
        <w:t>2</w:t>
      </w:r>
      <w:r w:rsidR="0071250C">
        <w:rPr>
          <w:lang w:val="en-GB"/>
        </w:rPr>
        <w:t xml:space="preserve"> mass density at the storage conditions.</w:t>
      </w:r>
    </w:p>
    <w:tbl>
      <w:tblPr>
        <w:tblW w:w="5000" w:type="pct"/>
        <w:tblLook w:val="04A0" w:firstRow="1" w:lastRow="0" w:firstColumn="1" w:lastColumn="0" w:noHBand="0" w:noVBand="1"/>
      </w:tblPr>
      <w:tblGrid>
        <w:gridCol w:w="8004"/>
        <w:gridCol w:w="783"/>
      </w:tblGrid>
      <w:tr w:rsidR="00BC2294" w:rsidRPr="00340799" w14:paraId="3EF6FA58" w14:textId="77777777" w:rsidTr="00047E0C">
        <w:tc>
          <w:tcPr>
            <w:tcW w:w="8188" w:type="dxa"/>
            <w:shd w:val="clear" w:color="auto" w:fill="auto"/>
            <w:vAlign w:val="center"/>
          </w:tcPr>
          <w:p w14:paraId="35198E12" w14:textId="0C761C3D" w:rsidR="00BC2294" w:rsidRPr="00340799" w:rsidRDefault="004B41B6" w:rsidP="00047E0C">
            <w:pPr>
              <w:pStyle w:val="CETEquation"/>
            </w:pPr>
            <w:r w:rsidRPr="00340799">
              <w:rPr>
                <w:rFonts w:ascii="Times New Roman" w:hAnsi="Times New Roman"/>
                <w:position w:val="-28"/>
                <w:sz w:val="24"/>
                <w:szCs w:val="24"/>
              </w:rPr>
              <w:object w:dxaOrig="5920" w:dyaOrig="620" w14:anchorId="449842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27.75pt" o:ole="">
                  <v:imagedata r:id="rId10" o:title=""/>
                </v:shape>
                <o:OLEObject Type="Embed" ProgID="Equation.DSMT4" ShapeID="_x0000_i1025" DrawAspect="Content" ObjectID="_1803374807" r:id="rId11"/>
              </w:object>
            </w:r>
          </w:p>
        </w:tc>
        <w:tc>
          <w:tcPr>
            <w:tcW w:w="815" w:type="dxa"/>
            <w:shd w:val="clear" w:color="auto" w:fill="auto"/>
            <w:vAlign w:val="center"/>
          </w:tcPr>
          <w:p w14:paraId="306C1F3B" w14:textId="77777777" w:rsidR="00BC2294" w:rsidRPr="00340799" w:rsidRDefault="00BC2294" w:rsidP="00047E0C">
            <w:pPr>
              <w:pStyle w:val="CETEquation"/>
              <w:jc w:val="right"/>
            </w:pPr>
            <w:r w:rsidRPr="00340799">
              <w:t>(1)</w:t>
            </w:r>
          </w:p>
        </w:tc>
      </w:tr>
    </w:tbl>
    <w:p w14:paraId="17CFCB9D" w14:textId="63448ABA" w:rsidR="00A402EF" w:rsidRDefault="00C619A0" w:rsidP="00A402EF">
      <w:pPr>
        <w:pStyle w:val="CETBodytext"/>
        <w:rPr>
          <w:lang w:val="en-GB"/>
        </w:rPr>
      </w:pPr>
      <w:r w:rsidRPr="00340799">
        <w:rPr>
          <w:lang w:val="en-GB"/>
        </w:rPr>
        <w:t xml:space="preserve">The storage </w:t>
      </w:r>
      <w:r w:rsidR="006C47CA" w:rsidRPr="00340799">
        <w:rPr>
          <w:lang w:val="en-GB"/>
        </w:rPr>
        <w:t>capacity at the export terminal</w:t>
      </w:r>
      <w:r w:rsidR="00856344" w:rsidRPr="00340799">
        <w:rPr>
          <w:lang w:val="en-GB"/>
        </w:rPr>
        <w:t xml:space="preserve">, </w:t>
      </w:r>
      <w:proofErr w:type="spellStart"/>
      <w:r w:rsidR="00856344" w:rsidRPr="0096359F">
        <w:rPr>
          <w:i/>
          <w:iCs/>
          <w:lang w:val="en-GB"/>
        </w:rPr>
        <w:t>V</w:t>
      </w:r>
      <w:r w:rsidR="00856344" w:rsidRPr="00340799">
        <w:rPr>
          <w:vertAlign w:val="subscript"/>
          <w:lang w:val="en-GB"/>
        </w:rPr>
        <w:t>onshore</w:t>
      </w:r>
      <w:proofErr w:type="spellEnd"/>
      <w:r w:rsidR="00856344" w:rsidRPr="00340799">
        <w:rPr>
          <w:lang w:val="en-GB"/>
        </w:rPr>
        <w:t xml:space="preserve">, is </w:t>
      </w:r>
      <w:r w:rsidR="00693C60">
        <w:rPr>
          <w:lang w:val="en-GB"/>
        </w:rPr>
        <w:t>determin</w:t>
      </w:r>
      <w:r w:rsidR="00856344" w:rsidRPr="00340799">
        <w:rPr>
          <w:lang w:val="en-GB"/>
        </w:rPr>
        <w:t xml:space="preserve">ed by increasing </w:t>
      </w:r>
      <w:r w:rsidR="0053405E" w:rsidRPr="00340799">
        <w:rPr>
          <w:lang w:val="en-GB"/>
        </w:rPr>
        <w:t>t</w:t>
      </w:r>
      <w:r w:rsidRPr="00340799">
        <w:rPr>
          <w:lang w:val="en-GB"/>
        </w:rPr>
        <w:t xml:space="preserve">he </w:t>
      </w:r>
      <w:r w:rsidR="00B63399" w:rsidRPr="00340799">
        <w:rPr>
          <w:lang w:val="en-GB"/>
        </w:rPr>
        <w:t>carrier</w:t>
      </w:r>
      <w:r w:rsidR="00B63399">
        <w:rPr>
          <w:lang w:val="en-GB"/>
        </w:rPr>
        <w:t>’s</w:t>
      </w:r>
      <w:r w:rsidR="00B63399" w:rsidRPr="00340799">
        <w:rPr>
          <w:lang w:val="en-GB"/>
        </w:rPr>
        <w:t xml:space="preserve"> transported </w:t>
      </w:r>
      <w:r w:rsidRPr="00340799">
        <w:rPr>
          <w:lang w:val="en-GB"/>
        </w:rPr>
        <w:t>volume by 25</w:t>
      </w:r>
      <w:r w:rsidR="00676E2A">
        <w:rPr>
          <w:lang w:val="en-GB"/>
        </w:rPr>
        <w:t xml:space="preserve"> </w:t>
      </w:r>
      <w:r w:rsidRPr="00340799">
        <w:rPr>
          <w:lang w:val="en-GB"/>
        </w:rPr>
        <w:t xml:space="preserve">% as a safety margin to </w:t>
      </w:r>
      <w:r w:rsidR="00E20A71" w:rsidRPr="00E20A71">
        <w:rPr>
          <w:lang w:val="en-GB"/>
        </w:rPr>
        <w:t xml:space="preserve">account for potential </w:t>
      </w:r>
      <w:r w:rsidRPr="00340799">
        <w:rPr>
          <w:lang w:val="en-GB"/>
        </w:rPr>
        <w:t>delays</w:t>
      </w:r>
      <w:r w:rsidR="003B54D6" w:rsidRPr="00340799">
        <w:rPr>
          <w:lang w:val="en-GB"/>
        </w:rPr>
        <w:t xml:space="preserve"> (</w:t>
      </w:r>
      <w:proofErr w:type="spellStart"/>
      <w:proofErr w:type="gramStart"/>
      <w:r w:rsidR="003B54D6" w:rsidRPr="00340799">
        <w:rPr>
          <w:lang w:val="en-GB"/>
        </w:rPr>
        <w:t>Eq</w:t>
      </w:r>
      <w:proofErr w:type="spellEnd"/>
      <w:r w:rsidR="00BC2294" w:rsidRPr="00340799">
        <w:rPr>
          <w:lang w:val="en-GB"/>
        </w:rPr>
        <w:t>(</w:t>
      </w:r>
      <w:proofErr w:type="gramEnd"/>
      <w:r w:rsidR="00BC2294" w:rsidRPr="00340799">
        <w:rPr>
          <w:lang w:val="en-GB"/>
        </w:rPr>
        <w:t>2)</w:t>
      </w:r>
      <w:r w:rsidR="003B54D6" w:rsidRPr="00340799">
        <w:rPr>
          <w:lang w:val="en-GB"/>
        </w:rPr>
        <w:t>)</w:t>
      </w:r>
      <w:r w:rsidRPr="00340799">
        <w:rPr>
          <w:lang w:val="en-GB"/>
        </w:rPr>
        <w:t>.</w:t>
      </w:r>
    </w:p>
    <w:tbl>
      <w:tblPr>
        <w:tblW w:w="5000" w:type="pct"/>
        <w:tblLook w:val="04A0" w:firstRow="1" w:lastRow="0" w:firstColumn="1" w:lastColumn="0" w:noHBand="0" w:noVBand="1"/>
      </w:tblPr>
      <w:tblGrid>
        <w:gridCol w:w="7987"/>
        <w:gridCol w:w="800"/>
      </w:tblGrid>
      <w:tr w:rsidR="009B29F2" w:rsidRPr="00B57B36" w14:paraId="57A486F1" w14:textId="77777777" w:rsidTr="00047E0C">
        <w:tc>
          <w:tcPr>
            <w:tcW w:w="8188" w:type="dxa"/>
            <w:shd w:val="clear" w:color="auto" w:fill="auto"/>
            <w:vAlign w:val="center"/>
          </w:tcPr>
          <w:p w14:paraId="01C7C31D" w14:textId="118E3147" w:rsidR="009B29F2" w:rsidRPr="00B57B36" w:rsidRDefault="00715FC3" w:rsidP="00047E0C">
            <w:pPr>
              <w:pStyle w:val="CETEquation"/>
            </w:pPr>
            <w:r w:rsidRPr="00C57940">
              <w:rPr>
                <w:rFonts w:ascii="Times New Roman" w:hAnsi="Times New Roman"/>
                <w:position w:val="-14"/>
                <w:sz w:val="24"/>
                <w:szCs w:val="24"/>
              </w:rPr>
              <w:object w:dxaOrig="3100" w:dyaOrig="360" w14:anchorId="2722EC16">
                <v:shape id="_x0000_i1026" type="#_x0000_t75" style="width:151.5pt;height:16.5pt" o:ole="">
                  <v:imagedata r:id="rId12" o:title=""/>
                </v:shape>
                <o:OLEObject Type="Embed" ProgID="Equation.DSMT4" ShapeID="_x0000_i1026" DrawAspect="Content" ObjectID="_1803374808" r:id="rId13"/>
              </w:object>
            </w:r>
          </w:p>
        </w:tc>
        <w:tc>
          <w:tcPr>
            <w:tcW w:w="815" w:type="dxa"/>
            <w:shd w:val="clear" w:color="auto" w:fill="auto"/>
            <w:vAlign w:val="center"/>
          </w:tcPr>
          <w:p w14:paraId="6794EF12" w14:textId="4F32B68C" w:rsidR="009B29F2" w:rsidRPr="00B57B36" w:rsidRDefault="009B29F2" w:rsidP="00047E0C">
            <w:pPr>
              <w:pStyle w:val="CETEquation"/>
              <w:jc w:val="right"/>
            </w:pPr>
            <w:r w:rsidRPr="00B57B36">
              <w:t>(</w:t>
            </w:r>
            <w:r>
              <w:t>2</w:t>
            </w:r>
            <w:r w:rsidRPr="00B57B36">
              <w:t>)</w:t>
            </w:r>
          </w:p>
        </w:tc>
      </w:tr>
    </w:tbl>
    <w:p w14:paraId="1AED3853" w14:textId="586D19CE" w:rsidR="00600535" w:rsidRPr="00BF5922" w:rsidRDefault="00A402EF" w:rsidP="00A402EF">
      <w:pPr>
        <w:pStyle w:val="CETBodytext"/>
        <w:rPr>
          <w:lang w:val="en-GB"/>
        </w:rPr>
      </w:pPr>
      <w:r w:rsidRPr="00BF5922">
        <w:rPr>
          <w:lang w:val="en-GB"/>
        </w:rPr>
        <w:t>Liqu</w:t>
      </w:r>
      <w:r w:rsidR="00B02FCD">
        <w:rPr>
          <w:lang w:val="en-GB"/>
        </w:rPr>
        <w:t>i</w:t>
      </w:r>
      <w:r w:rsidRPr="00BF5922">
        <w:rPr>
          <w:lang w:val="en-GB"/>
        </w:rPr>
        <w:t xml:space="preserve">d hydrogen from the liquefaction plant is </w:t>
      </w:r>
      <w:r w:rsidR="00650BBB">
        <w:rPr>
          <w:lang w:val="en-GB"/>
        </w:rPr>
        <w:t>loade</w:t>
      </w:r>
      <w:r w:rsidR="002B09F2">
        <w:rPr>
          <w:lang w:val="en-GB"/>
        </w:rPr>
        <w:t xml:space="preserve">d </w:t>
      </w:r>
      <w:r w:rsidR="00650BBB">
        <w:rPr>
          <w:lang w:val="en-GB"/>
        </w:rPr>
        <w:t>in</w:t>
      </w:r>
      <w:r w:rsidR="002B09F2">
        <w:rPr>
          <w:lang w:val="en-GB"/>
        </w:rPr>
        <w:t>to the</w:t>
      </w:r>
      <w:r w:rsidRPr="00BF5922">
        <w:rPr>
          <w:lang w:val="en-GB"/>
        </w:rPr>
        <w:t xml:space="preserve"> onshore </w:t>
      </w:r>
      <w:r w:rsidR="002B09F2">
        <w:rPr>
          <w:lang w:val="en-GB"/>
        </w:rPr>
        <w:t xml:space="preserve">tank </w:t>
      </w:r>
      <w:r w:rsidRPr="00BF5922">
        <w:rPr>
          <w:lang w:val="en-GB"/>
        </w:rPr>
        <w:t xml:space="preserve">while awaiting the ship’s arrival. </w:t>
      </w:r>
      <w:r w:rsidR="00867C3F" w:rsidRPr="00867C3F">
        <w:rPr>
          <w:lang w:val="en-GB"/>
        </w:rPr>
        <w:t>Once the storage tank is fully filled</w:t>
      </w:r>
      <w:r w:rsidRPr="00BF5922">
        <w:rPr>
          <w:lang w:val="en-GB"/>
        </w:rPr>
        <w:t>, LH</w:t>
      </w:r>
      <w:r w:rsidRPr="00715FC3">
        <w:rPr>
          <w:vertAlign w:val="subscript"/>
          <w:lang w:val="en-GB"/>
        </w:rPr>
        <w:t>2</w:t>
      </w:r>
      <w:r w:rsidRPr="00BF5922">
        <w:rPr>
          <w:lang w:val="en-GB"/>
        </w:rPr>
        <w:t xml:space="preserve"> is loaded from the onshore tank </w:t>
      </w:r>
      <w:r w:rsidR="00314778">
        <w:rPr>
          <w:lang w:val="en-GB"/>
        </w:rPr>
        <w:t>in</w:t>
      </w:r>
      <w:r w:rsidRPr="00BF5922">
        <w:rPr>
          <w:lang w:val="en-GB"/>
        </w:rPr>
        <w:t>to</w:t>
      </w:r>
      <w:r w:rsidR="00314778">
        <w:rPr>
          <w:lang w:val="en-GB"/>
        </w:rPr>
        <w:t xml:space="preserve"> the</w:t>
      </w:r>
      <w:r w:rsidRPr="00BF5922">
        <w:rPr>
          <w:lang w:val="en-GB"/>
        </w:rPr>
        <w:t xml:space="preserve"> LH</w:t>
      </w:r>
      <w:r w:rsidRPr="00715FC3">
        <w:rPr>
          <w:vertAlign w:val="subscript"/>
          <w:lang w:val="en-GB"/>
        </w:rPr>
        <w:t>2</w:t>
      </w:r>
      <w:r w:rsidRPr="00BF5922">
        <w:rPr>
          <w:lang w:val="en-GB"/>
        </w:rPr>
        <w:t xml:space="preserve"> </w:t>
      </w:r>
      <w:r w:rsidR="008E3C94">
        <w:rPr>
          <w:lang w:val="en-GB"/>
        </w:rPr>
        <w:t>carrier’s</w:t>
      </w:r>
      <w:r w:rsidRPr="00BF5922">
        <w:rPr>
          <w:lang w:val="en-GB"/>
        </w:rPr>
        <w:t xml:space="preserve"> tank through two pipelines</w:t>
      </w:r>
      <w:r w:rsidR="008E4908">
        <w:rPr>
          <w:lang w:val="en-GB"/>
        </w:rPr>
        <w:t>, assumed</w:t>
      </w:r>
      <w:r w:rsidR="00274ADA">
        <w:rPr>
          <w:lang w:val="en-GB"/>
        </w:rPr>
        <w:t xml:space="preserve"> to have a length of 500 m</w:t>
      </w:r>
      <w:r w:rsidRPr="00BF5922">
        <w:rPr>
          <w:lang w:val="en-GB"/>
        </w:rPr>
        <w:t xml:space="preserve">. </w:t>
      </w:r>
      <w:r w:rsidR="00894EC9">
        <w:rPr>
          <w:lang w:val="en-GB"/>
        </w:rPr>
        <w:t xml:space="preserve">During </w:t>
      </w:r>
      <w:r w:rsidR="000A7425">
        <w:rPr>
          <w:lang w:val="en-GB"/>
        </w:rPr>
        <w:t xml:space="preserve">loading, </w:t>
      </w:r>
      <w:r w:rsidR="000A7425" w:rsidRPr="00DF26EA">
        <w:rPr>
          <w:lang w:val="en-GB"/>
        </w:rPr>
        <w:t xml:space="preserve">the </w:t>
      </w:r>
      <w:r w:rsidRPr="00DF26EA">
        <w:rPr>
          <w:lang w:val="en-GB"/>
        </w:rPr>
        <w:t xml:space="preserve">BOG generated </w:t>
      </w:r>
      <w:r w:rsidR="00B779AE">
        <w:rPr>
          <w:lang w:val="en-GB"/>
        </w:rPr>
        <w:t>in the</w:t>
      </w:r>
      <w:r w:rsidRPr="00DF26EA">
        <w:rPr>
          <w:lang w:val="en-GB"/>
        </w:rPr>
        <w:t xml:space="preserve"> ship’s tank is compressed slightly and sent </w:t>
      </w:r>
      <w:r w:rsidR="006F7E21">
        <w:rPr>
          <w:lang w:val="en-GB"/>
        </w:rPr>
        <w:t xml:space="preserve">back </w:t>
      </w:r>
      <w:r w:rsidRPr="00DF26EA">
        <w:rPr>
          <w:lang w:val="en-GB"/>
        </w:rPr>
        <w:t>to the onshore storage tank via a</w:t>
      </w:r>
      <w:r w:rsidR="0049594A">
        <w:rPr>
          <w:lang w:val="en-GB"/>
        </w:rPr>
        <w:t xml:space="preserve"> separated</w:t>
      </w:r>
      <w:r w:rsidRPr="00DF26EA">
        <w:rPr>
          <w:lang w:val="en-GB"/>
        </w:rPr>
        <w:t xml:space="preserve"> pipeline</w:t>
      </w:r>
      <w:r w:rsidR="002C5612" w:rsidRPr="00DF26EA">
        <w:rPr>
          <w:lang w:val="en-GB"/>
        </w:rPr>
        <w:t xml:space="preserve"> in</w:t>
      </w:r>
      <w:r w:rsidR="002C5612">
        <w:rPr>
          <w:lang w:val="en-GB"/>
        </w:rPr>
        <w:t xml:space="preserve"> order </w:t>
      </w:r>
      <w:r w:rsidR="002C5612" w:rsidRPr="001E19DE">
        <w:rPr>
          <w:lang w:val="en-GB"/>
        </w:rPr>
        <w:t xml:space="preserve">to maintain </w:t>
      </w:r>
      <w:r w:rsidR="00A05E14">
        <w:rPr>
          <w:lang w:val="en-GB"/>
        </w:rPr>
        <w:t>its</w:t>
      </w:r>
      <w:r w:rsidR="002C5612">
        <w:rPr>
          <w:lang w:val="en-GB"/>
        </w:rPr>
        <w:t xml:space="preserve"> </w:t>
      </w:r>
      <w:r w:rsidR="002C5612" w:rsidRPr="001E19DE">
        <w:rPr>
          <w:lang w:val="en-GB"/>
        </w:rPr>
        <w:t>operating pressure</w:t>
      </w:r>
      <w:r w:rsidR="00B321A3">
        <w:rPr>
          <w:lang w:val="en-GB"/>
        </w:rPr>
        <w:t xml:space="preserve">. </w:t>
      </w:r>
      <w:r w:rsidR="00EF6146">
        <w:rPr>
          <w:lang w:val="en-GB"/>
        </w:rPr>
        <w:t>Both the onshore and offshore</w:t>
      </w:r>
      <w:r w:rsidRPr="00BF5922">
        <w:rPr>
          <w:lang w:val="en-GB"/>
        </w:rPr>
        <w:t xml:space="preserve"> tanks </w:t>
      </w:r>
      <w:r w:rsidR="00EF6146">
        <w:rPr>
          <w:lang w:val="en-GB"/>
        </w:rPr>
        <w:t>are</w:t>
      </w:r>
      <w:r w:rsidRPr="00BF5922">
        <w:rPr>
          <w:lang w:val="en-GB"/>
        </w:rPr>
        <w:t xml:space="preserve"> </w:t>
      </w:r>
      <w:r w:rsidR="00FE3C56">
        <w:rPr>
          <w:lang w:val="en-GB"/>
        </w:rPr>
        <w:t>designed to operate</w:t>
      </w:r>
      <w:r w:rsidRPr="00BF5922">
        <w:rPr>
          <w:lang w:val="en-GB"/>
        </w:rPr>
        <w:t xml:space="preserve"> at </w:t>
      </w:r>
      <w:r w:rsidR="006E0675">
        <w:rPr>
          <w:lang w:val="en-GB"/>
        </w:rPr>
        <w:t>2.5</w:t>
      </w:r>
      <w:r w:rsidRPr="00BF5922">
        <w:rPr>
          <w:lang w:val="en-GB"/>
        </w:rPr>
        <w:t xml:space="preserve"> bar, with a maximum </w:t>
      </w:r>
      <w:r w:rsidR="006F5D53">
        <w:rPr>
          <w:lang w:val="en-GB"/>
        </w:rPr>
        <w:t xml:space="preserve">allowable </w:t>
      </w:r>
      <w:r w:rsidRPr="00BF5922">
        <w:rPr>
          <w:lang w:val="en-GB"/>
        </w:rPr>
        <w:t xml:space="preserve">pressure of </w:t>
      </w:r>
      <w:r w:rsidR="009161A2">
        <w:rPr>
          <w:lang w:val="en-GB"/>
        </w:rPr>
        <w:t>7</w:t>
      </w:r>
      <w:r w:rsidRPr="00BF5922">
        <w:rPr>
          <w:lang w:val="en-GB"/>
        </w:rPr>
        <w:t xml:space="preserve"> bar and a minimum pressure of </w:t>
      </w:r>
      <w:r w:rsidR="00955653">
        <w:rPr>
          <w:lang w:val="en-GB"/>
        </w:rPr>
        <w:t>1.03</w:t>
      </w:r>
      <w:r w:rsidRPr="00BF5922">
        <w:rPr>
          <w:lang w:val="en-GB"/>
        </w:rPr>
        <w:t xml:space="preserve"> bar (ambient pressure). </w:t>
      </w:r>
      <w:r w:rsidR="00C124C7">
        <w:rPr>
          <w:lang w:val="en-GB"/>
        </w:rPr>
        <w:t>Each tank</w:t>
      </w:r>
      <w:r w:rsidR="00C124C7" w:rsidRPr="00BF5922">
        <w:rPr>
          <w:lang w:val="en-GB"/>
        </w:rPr>
        <w:t xml:space="preserve"> </w:t>
      </w:r>
      <w:r w:rsidR="00C124C7">
        <w:rPr>
          <w:lang w:val="en-GB"/>
        </w:rPr>
        <w:t>is equipped with</w:t>
      </w:r>
      <w:r w:rsidR="00C124C7" w:rsidRPr="00BF5922">
        <w:rPr>
          <w:lang w:val="en-GB"/>
        </w:rPr>
        <w:t xml:space="preserve"> a boil-off gas compressor and a relief valve to contro</w:t>
      </w:r>
      <w:r w:rsidR="00C124C7" w:rsidRPr="00C0000A">
        <w:rPr>
          <w:lang w:val="en-GB"/>
        </w:rPr>
        <w:t xml:space="preserve">l the pressure. </w:t>
      </w:r>
      <w:r w:rsidR="00F14544">
        <w:rPr>
          <w:lang w:val="en-GB"/>
        </w:rPr>
        <w:t xml:space="preserve">The relief valve is used </w:t>
      </w:r>
      <w:r w:rsidR="002E139B">
        <w:rPr>
          <w:lang w:val="en-GB"/>
        </w:rPr>
        <w:t xml:space="preserve">only </w:t>
      </w:r>
      <w:r w:rsidR="00F14544">
        <w:rPr>
          <w:lang w:val="en-GB"/>
        </w:rPr>
        <w:t>in extreme cases whe</w:t>
      </w:r>
      <w:r w:rsidR="002E139B">
        <w:rPr>
          <w:lang w:val="en-GB"/>
        </w:rPr>
        <w:t>re</w:t>
      </w:r>
      <w:r w:rsidR="00F14544">
        <w:rPr>
          <w:lang w:val="en-GB"/>
        </w:rPr>
        <w:t xml:space="preserve"> the tank’s pressure exceed</w:t>
      </w:r>
      <w:r w:rsidR="00BB2F1B">
        <w:rPr>
          <w:lang w:val="en-GB"/>
        </w:rPr>
        <w:t>s</w:t>
      </w:r>
      <w:r w:rsidR="00F14544">
        <w:rPr>
          <w:lang w:val="en-GB"/>
        </w:rPr>
        <w:t xml:space="preserve"> the maximum limit. </w:t>
      </w:r>
      <w:r w:rsidR="00FA692B">
        <w:rPr>
          <w:lang w:val="en-GB"/>
        </w:rPr>
        <w:t>The onshore compressor</w:t>
      </w:r>
      <w:r w:rsidR="003240AC">
        <w:rPr>
          <w:lang w:val="en-GB"/>
        </w:rPr>
        <w:t xml:space="preserve"> </w:t>
      </w:r>
      <w:r w:rsidR="001C30A8">
        <w:rPr>
          <w:lang w:val="en-GB"/>
        </w:rPr>
        <w:t>remove</w:t>
      </w:r>
      <w:r w:rsidR="00CD2B59">
        <w:rPr>
          <w:lang w:val="en-GB"/>
        </w:rPr>
        <w:t>s</w:t>
      </w:r>
      <w:r w:rsidR="001C30A8">
        <w:rPr>
          <w:lang w:val="en-GB"/>
        </w:rPr>
        <w:t xml:space="preserve"> the BOG </w:t>
      </w:r>
      <w:r w:rsidR="0056611E">
        <w:rPr>
          <w:lang w:val="en-GB"/>
        </w:rPr>
        <w:t>redirecting it to</w:t>
      </w:r>
      <w:r w:rsidR="00D53DEC">
        <w:rPr>
          <w:lang w:val="en-GB"/>
        </w:rPr>
        <w:t xml:space="preserve"> a </w:t>
      </w:r>
      <w:r w:rsidR="0056611E">
        <w:rPr>
          <w:lang w:val="en-GB"/>
        </w:rPr>
        <w:t>r</w:t>
      </w:r>
      <w:r w:rsidR="00D53DEC">
        <w:rPr>
          <w:lang w:val="en-GB"/>
        </w:rPr>
        <w:t xml:space="preserve">ecovery system, </w:t>
      </w:r>
      <w:r w:rsidR="00264467">
        <w:rPr>
          <w:lang w:val="en-GB"/>
        </w:rPr>
        <w:t xml:space="preserve">likely </w:t>
      </w:r>
      <w:r w:rsidR="00AC40F5">
        <w:rPr>
          <w:lang w:val="en-GB"/>
        </w:rPr>
        <w:t xml:space="preserve">designed for </w:t>
      </w:r>
      <w:proofErr w:type="spellStart"/>
      <w:r w:rsidR="00AC40F5">
        <w:rPr>
          <w:lang w:val="en-GB"/>
        </w:rPr>
        <w:t>reliquefaction</w:t>
      </w:r>
      <w:proofErr w:type="spellEnd"/>
      <w:r w:rsidR="00264467">
        <w:rPr>
          <w:lang w:val="en-GB"/>
        </w:rPr>
        <w:t xml:space="preserve">. </w:t>
      </w:r>
      <w:r w:rsidRPr="00C0000A">
        <w:rPr>
          <w:lang w:val="en-GB"/>
        </w:rPr>
        <w:t xml:space="preserve">The maximum flow rate during loading operations is assumed to be </w:t>
      </w:r>
      <w:r w:rsidR="00B90FF2" w:rsidRPr="00C0000A">
        <w:rPr>
          <w:lang w:val="en-GB"/>
        </w:rPr>
        <w:t>2</w:t>
      </w:r>
      <w:r w:rsidRPr="00C0000A">
        <w:rPr>
          <w:lang w:val="en-GB"/>
        </w:rPr>
        <w:t>,000 m</w:t>
      </w:r>
      <w:r w:rsidRPr="00C0000A">
        <w:rPr>
          <w:vertAlign w:val="superscript"/>
          <w:lang w:val="en-GB"/>
        </w:rPr>
        <w:t>3</w:t>
      </w:r>
      <w:r w:rsidRPr="00C0000A">
        <w:rPr>
          <w:lang w:val="en-GB"/>
        </w:rPr>
        <w:t xml:space="preserve">/h. A maximum fluid velocity of 4 m/s in pipelines is </w:t>
      </w:r>
      <w:r w:rsidR="00325F49" w:rsidRPr="00C0000A">
        <w:rPr>
          <w:lang w:val="en-GB"/>
        </w:rPr>
        <w:t>adopt</w:t>
      </w:r>
      <w:r w:rsidRPr="00C0000A">
        <w:rPr>
          <w:lang w:val="en-GB"/>
        </w:rPr>
        <w:t xml:space="preserve">ed, </w:t>
      </w:r>
      <w:r w:rsidR="00325F49" w:rsidRPr="00C0000A">
        <w:rPr>
          <w:lang w:val="en-GB"/>
        </w:rPr>
        <w:t>consistent with</w:t>
      </w:r>
      <w:r w:rsidRPr="00C0000A">
        <w:rPr>
          <w:lang w:val="en-GB"/>
        </w:rPr>
        <w:t xml:space="preserve"> LNG practice</w:t>
      </w:r>
      <w:r w:rsidR="00325F49" w:rsidRPr="00C0000A">
        <w:rPr>
          <w:lang w:val="en-GB"/>
        </w:rPr>
        <w:t>s</w:t>
      </w:r>
      <w:r w:rsidRPr="00C0000A">
        <w:rPr>
          <w:lang w:val="en-GB"/>
        </w:rPr>
        <w:t xml:space="preserve">, </w:t>
      </w:r>
      <w:r w:rsidR="00725F0F" w:rsidRPr="00C0000A">
        <w:rPr>
          <w:lang w:val="en-GB"/>
        </w:rPr>
        <w:t>al</w:t>
      </w:r>
      <w:r w:rsidRPr="00C0000A">
        <w:rPr>
          <w:lang w:val="en-GB"/>
        </w:rPr>
        <w:t xml:space="preserve">though higher </w:t>
      </w:r>
      <w:r w:rsidR="00CE30A2" w:rsidRPr="00C0000A">
        <w:rPr>
          <w:lang w:val="en-GB"/>
        </w:rPr>
        <w:t>velocitie</w:t>
      </w:r>
      <w:r w:rsidRPr="00C0000A">
        <w:rPr>
          <w:lang w:val="en-GB"/>
        </w:rPr>
        <w:t xml:space="preserve">s </w:t>
      </w:r>
      <w:r w:rsidR="00CE30A2" w:rsidRPr="00C0000A">
        <w:rPr>
          <w:lang w:val="en-GB"/>
        </w:rPr>
        <w:t>could</w:t>
      </w:r>
      <w:r w:rsidRPr="00C0000A">
        <w:rPr>
          <w:lang w:val="en-GB"/>
        </w:rPr>
        <w:t xml:space="preserve"> be feasible</w:t>
      </w:r>
      <w:r w:rsidR="004545B9" w:rsidRPr="00C0000A">
        <w:rPr>
          <w:lang w:val="en-GB"/>
        </w:rPr>
        <w:t xml:space="preserve"> due to the lower pressure drop </w:t>
      </w:r>
      <w:r w:rsidR="00785880" w:rsidRPr="00C0000A">
        <w:rPr>
          <w:lang w:val="en-GB"/>
        </w:rPr>
        <w:t>per unit length of LH</w:t>
      </w:r>
      <w:r w:rsidR="00785880" w:rsidRPr="00C0000A">
        <w:rPr>
          <w:vertAlign w:val="subscript"/>
          <w:lang w:val="en-GB"/>
        </w:rPr>
        <w:t>2</w:t>
      </w:r>
      <w:r w:rsidR="00785880" w:rsidRPr="00C0000A">
        <w:rPr>
          <w:lang w:val="en-GB"/>
        </w:rPr>
        <w:t xml:space="preserve"> </w:t>
      </w:r>
      <w:r w:rsidR="00CE30A2" w:rsidRPr="00C0000A">
        <w:rPr>
          <w:lang w:val="en-GB"/>
        </w:rPr>
        <w:t>compared</w:t>
      </w:r>
      <w:r w:rsidR="00785880" w:rsidRPr="00C0000A">
        <w:rPr>
          <w:lang w:val="en-GB"/>
        </w:rPr>
        <w:t xml:space="preserve"> to LNG</w:t>
      </w:r>
      <w:r w:rsidR="00D814B2" w:rsidRPr="00C0000A">
        <w:rPr>
          <w:lang w:val="en-GB"/>
        </w:rPr>
        <w:t xml:space="preserve">, </w:t>
      </w:r>
      <w:r w:rsidR="002058F9" w:rsidRPr="00C0000A">
        <w:rPr>
          <w:lang w:val="en-GB"/>
        </w:rPr>
        <w:t>resulting from its</w:t>
      </w:r>
      <w:r w:rsidR="00D814B2" w:rsidRPr="00C0000A">
        <w:rPr>
          <w:lang w:val="en-GB"/>
        </w:rPr>
        <w:t xml:space="preserve"> lower mass density</w:t>
      </w:r>
      <w:r w:rsidRPr="00C0000A">
        <w:rPr>
          <w:lang w:val="en-GB"/>
        </w:rPr>
        <w:t xml:space="preserve">. </w:t>
      </w:r>
      <w:r w:rsidR="002058F9" w:rsidRPr="00C0000A">
        <w:rPr>
          <w:lang w:val="en-GB"/>
        </w:rPr>
        <w:t>Consequently</w:t>
      </w:r>
      <w:r w:rsidRPr="00C0000A">
        <w:rPr>
          <w:lang w:val="en-GB"/>
        </w:rPr>
        <w:t xml:space="preserve">, </w:t>
      </w:r>
      <w:r w:rsidR="00D8456C" w:rsidRPr="00C0000A">
        <w:rPr>
          <w:lang w:val="en-GB"/>
        </w:rPr>
        <w:t xml:space="preserve">pipelines with a nominal diameter of </w:t>
      </w:r>
      <w:r w:rsidR="000A2611" w:rsidRPr="00C0000A">
        <w:rPr>
          <w:lang w:val="en-GB"/>
        </w:rPr>
        <w:t>300</w:t>
      </w:r>
      <w:r w:rsidRPr="00C0000A">
        <w:rPr>
          <w:lang w:val="en-GB"/>
        </w:rPr>
        <w:t xml:space="preserve"> </w:t>
      </w:r>
      <w:r w:rsidR="000A2611" w:rsidRPr="00C0000A">
        <w:rPr>
          <w:lang w:val="en-GB"/>
        </w:rPr>
        <w:t>m</w:t>
      </w:r>
      <w:r w:rsidRPr="00C0000A">
        <w:rPr>
          <w:lang w:val="en-GB"/>
        </w:rPr>
        <w:t xml:space="preserve">m </w:t>
      </w:r>
      <w:r w:rsidR="00D8456C" w:rsidRPr="00C0000A">
        <w:rPr>
          <w:lang w:val="en-GB"/>
        </w:rPr>
        <w:t xml:space="preserve">are </w:t>
      </w:r>
      <w:r w:rsidRPr="00C0000A">
        <w:rPr>
          <w:lang w:val="en-GB"/>
        </w:rPr>
        <w:t>selected.</w:t>
      </w:r>
      <w:r w:rsidR="008D4F34">
        <w:rPr>
          <w:lang w:val="en-GB"/>
        </w:rPr>
        <w:t xml:space="preserve"> </w:t>
      </w:r>
    </w:p>
    <w:p w14:paraId="5741900F" w14:textId="6EA48419" w:rsidR="00453E24" w:rsidRPr="00BF5922" w:rsidRDefault="002E01B0" w:rsidP="00453E24">
      <w:pPr>
        <w:pStyle w:val="CETHeading1"/>
        <w:rPr>
          <w:lang w:val="en-GB"/>
        </w:rPr>
      </w:pPr>
      <w:r w:rsidRPr="00BF5922">
        <w:rPr>
          <w:lang w:val="en-GB"/>
        </w:rPr>
        <w:lastRenderedPageBreak/>
        <w:t>Dynamic simulation of the export terminal</w:t>
      </w:r>
    </w:p>
    <w:p w14:paraId="3B68C3F6" w14:textId="0A70DF16" w:rsidR="00313C3B" w:rsidRDefault="00AC07C8" w:rsidP="00453E24">
      <w:pPr>
        <w:pStyle w:val="CETBodytext"/>
        <w:rPr>
          <w:lang w:val="en-GB"/>
        </w:rPr>
      </w:pPr>
      <w:r>
        <w:rPr>
          <w:lang w:val="en-GB"/>
        </w:rPr>
        <w:t>As</w:t>
      </w:r>
      <w:r w:rsidR="002D46BF" w:rsidRPr="00BF5922">
        <w:rPr>
          <w:lang w:val="en-GB"/>
        </w:rPr>
        <w:t xml:space="preserve"> boil-off gas generation during </w:t>
      </w:r>
      <w:r>
        <w:rPr>
          <w:lang w:val="en-GB"/>
        </w:rPr>
        <w:t>liquid hydrogen</w:t>
      </w:r>
      <w:r w:rsidR="002D46BF" w:rsidRPr="00BF5922">
        <w:rPr>
          <w:lang w:val="en-GB"/>
        </w:rPr>
        <w:t xml:space="preserve"> storage and carrier loading operations</w:t>
      </w:r>
      <w:r w:rsidR="00AA0B60">
        <w:rPr>
          <w:lang w:val="en-GB"/>
        </w:rPr>
        <w:t xml:space="preserve"> varies over time</w:t>
      </w:r>
      <w:r w:rsidR="002D46BF" w:rsidRPr="00BF5922">
        <w:rPr>
          <w:lang w:val="en-GB"/>
        </w:rPr>
        <w:t xml:space="preserve">, a dynamic simulation is </w:t>
      </w:r>
      <w:r w:rsidR="00AA0B60">
        <w:rPr>
          <w:lang w:val="en-GB"/>
        </w:rPr>
        <w:t>required</w:t>
      </w:r>
      <w:r w:rsidR="002D46BF" w:rsidRPr="00BF5922">
        <w:rPr>
          <w:lang w:val="en-GB"/>
        </w:rPr>
        <w:t xml:space="preserve"> for its </w:t>
      </w:r>
      <w:r w:rsidR="00AA0B60">
        <w:rPr>
          <w:lang w:val="en-GB"/>
        </w:rPr>
        <w:t>analysis</w:t>
      </w:r>
      <w:r w:rsidR="002D46BF" w:rsidRPr="00BF5922">
        <w:rPr>
          <w:lang w:val="en-GB"/>
        </w:rPr>
        <w:t>. Aspen HYSYS</w:t>
      </w:r>
      <w:r w:rsidR="002D46BF" w:rsidRPr="00766F6E">
        <w:rPr>
          <w:vertAlign w:val="superscript"/>
          <w:lang w:val="en-GB"/>
        </w:rPr>
        <w:t>®</w:t>
      </w:r>
      <w:r w:rsidR="002D46BF" w:rsidRPr="00BF5922">
        <w:rPr>
          <w:lang w:val="en-GB"/>
        </w:rPr>
        <w:t xml:space="preserve"> V12.1 </w:t>
      </w:r>
      <w:r w:rsidR="00C0000A">
        <w:rPr>
          <w:lang w:val="en-GB"/>
        </w:rPr>
        <w:t>i</w:t>
      </w:r>
      <w:r w:rsidR="002D46BF" w:rsidRPr="00BF5922">
        <w:rPr>
          <w:lang w:val="en-GB"/>
        </w:rPr>
        <w:t xml:space="preserve">s </w:t>
      </w:r>
      <w:r w:rsidR="0020504A">
        <w:rPr>
          <w:lang w:val="en-GB"/>
        </w:rPr>
        <w:t>employ</w:t>
      </w:r>
      <w:r w:rsidR="002D46BF" w:rsidRPr="00BF5922">
        <w:rPr>
          <w:lang w:val="en-GB"/>
        </w:rPr>
        <w:t xml:space="preserve">ed as the process simulator, </w:t>
      </w:r>
      <w:r w:rsidR="0020504A">
        <w:rPr>
          <w:lang w:val="en-GB"/>
        </w:rPr>
        <w:t>utilising</w:t>
      </w:r>
      <w:r w:rsidR="002D46BF" w:rsidRPr="00BF5922">
        <w:rPr>
          <w:lang w:val="en-GB"/>
        </w:rPr>
        <w:t xml:space="preserve"> the</w:t>
      </w:r>
      <w:r w:rsidR="0020504A">
        <w:rPr>
          <w:lang w:val="en-GB"/>
        </w:rPr>
        <w:t xml:space="preserve"> </w:t>
      </w:r>
      <w:r w:rsidR="002D46BF" w:rsidRPr="00BF5922">
        <w:rPr>
          <w:lang w:val="en-GB"/>
        </w:rPr>
        <w:t>Modified Benedict-Webb-Rubin</w:t>
      </w:r>
      <w:r w:rsidR="0020504A" w:rsidRPr="0020504A">
        <w:rPr>
          <w:lang w:val="en-GB"/>
        </w:rPr>
        <w:t xml:space="preserve"> </w:t>
      </w:r>
      <w:r w:rsidR="0020504A">
        <w:rPr>
          <w:lang w:val="en-GB"/>
        </w:rPr>
        <w:t>(</w:t>
      </w:r>
      <w:r w:rsidR="0020504A" w:rsidRPr="00BF5922">
        <w:rPr>
          <w:lang w:val="en-GB"/>
        </w:rPr>
        <w:t>MBWR</w:t>
      </w:r>
      <w:r w:rsidR="002D46BF" w:rsidRPr="00BF5922">
        <w:rPr>
          <w:lang w:val="en-GB"/>
        </w:rPr>
        <w:t>) thermodynamic package to c</w:t>
      </w:r>
      <w:r w:rsidR="003F68C8">
        <w:rPr>
          <w:lang w:val="en-GB"/>
        </w:rPr>
        <w:t>alculat</w:t>
      </w:r>
      <w:r w:rsidR="002D46BF" w:rsidRPr="00BF5922">
        <w:rPr>
          <w:lang w:val="en-GB"/>
        </w:rPr>
        <w:t xml:space="preserve">e hydrogen properties. </w:t>
      </w:r>
      <w:r w:rsidR="0002158D">
        <w:rPr>
          <w:lang w:val="en-GB"/>
        </w:rPr>
        <w:t>The only modelled component is</w:t>
      </w:r>
      <w:r w:rsidR="002D46BF" w:rsidRPr="00BF5922">
        <w:rPr>
          <w:lang w:val="en-GB"/>
        </w:rPr>
        <w:t xml:space="preserve"> para-hydrogen,</w:t>
      </w:r>
      <w:r w:rsidR="006B108C">
        <w:rPr>
          <w:lang w:val="en-GB"/>
        </w:rPr>
        <w:t xml:space="preserve"> as</w:t>
      </w:r>
      <w:r w:rsidR="002D46BF" w:rsidRPr="00BF5922">
        <w:rPr>
          <w:lang w:val="en-GB"/>
        </w:rPr>
        <w:t xml:space="preserve"> the conversion from normal-hydrogen to para-hydrogen is </w:t>
      </w:r>
      <w:r w:rsidR="00983021">
        <w:rPr>
          <w:lang w:val="en-GB"/>
        </w:rPr>
        <w:t xml:space="preserve">assumed to be </w:t>
      </w:r>
      <w:r w:rsidR="002D46BF" w:rsidRPr="00BF5922">
        <w:rPr>
          <w:lang w:val="en-GB"/>
        </w:rPr>
        <w:t xml:space="preserve">completed during </w:t>
      </w:r>
      <w:r w:rsidR="00983021">
        <w:rPr>
          <w:lang w:val="en-GB"/>
        </w:rPr>
        <w:t xml:space="preserve">the </w:t>
      </w:r>
      <w:r w:rsidR="002D46BF" w:rsidRPr="00BF5922">
        <w:rPr>
          <w:lang w:val="en-GB"/>
        </w:rPr>
        <w:t>liquefaction</w:t>
      </w:r>
      <w:r w:rsidR="00983021">
        <w:rPr>
          <w:lang w:val="en-GB"/>
        </w:rPr>
        <w:t xml:space="preserve"> process</w:t>
      </w:r>
      <w:r w:rsidR="002D46BF" w:rsidRPr="00BF5922">
        <w:rPr>
          <w:lang w:val="en-GB"/>
        </w:rPr>
        <w:t xml:space="preserve">. </w:t>
      </w:r>
      <w:r w:rsidR="003C1BFF">
        <w:rPr>
          <w:lang w:val="en-GB"/>
        </w:rPr>
        <w:t>A</w:t>
      </w:r>
      <w:r w:rsidR="002D46BF" w:rsidRPr="00BF5922">
        <w:rPr>
          <w:lang w:val="en-GB"/>
        </w:rPr>
        <w:t xml:space="preserve"> base ambient temperature </w:t>
      </w:r>
      <w:r w:rsidR="003C1BFF">
        <w:rPr>
          <w:lang w:val="en-GB"/>
        </w:rPr>
        <w:t>of</w:t>
      </w:r>
      <w:r w:rsidR="002D46BF" w:rsidRPr="00BF5922">
        <w:rPr>
          <w:lang w:val="en-GB"/>
        </w:rPr>
        <w:t xml:space="preserve"> 298.15 K</w:t>
      </w:r>
      <w:r w:rsidR="003C1BFF">
        <w:rPr>
          <w:lang w:val="en-GB"/>
        </w:rPr>
        <w:t xml:space="preserve"> is considered</w:t>
      </w:r>
      <w:r w:rsidR="002D46BF" w:rsidRPr="00BF5922">
        <w:rPr>
          <w:lang w:val="en-GB"/>
        </w:rPr>
        <w:t xml:space="preserve">. </w:t>
      </w:r>
      <w:r w:rsidR="00AC4A76">
        <w:rPr>
          <w:lang w:val="en-GB"/>
        </w:rPr>
        <w:t xml:space="preserve">A process scheme </w:t>
      </w:r>
      <w:r w:rsidR="002D46BF" w:rsidRPr="00BF5922">
        <w:rPr>
          <w:lang w:val="en-GB"/>
        </w:rPr>
        <w:t xml:space="preserve">of the plant is shown in </w:t>
      </w:r>
      <w:r w:rsidR="00D119C7">
        <w:rPr>
          <w:highlight w:val="yellow"/>
          <w:lang w:val="en-GB"/>
        </w:rPr>
        <w:fldChar w:fldCharType="begin"/>
      </w:r>
      <w:r w:rsidR="00D119C7">
        <w:rPr>
          <w:lang w:val="en-GB"/>
        </w:rPr>
        <w:instrText xml:space="preserve"> REF _Ref183612872 \h </w:instrText>
      </w:r>
      <w:r w:rsidR="00D119C7">
        <w:rPr>
          <w:highlight w:val="yellow"/>
          <w:lang w:val="en-GB"/>
        </w:rPr>
      </w:r>
      <w:r w:rsidR="00D119C7">
        <w:rPr>
          <w:highlight w:val="yellow"/>
          <w:lang w:val="en-GB"/>
        </w:rPr>
        <w:fldChar w:fldCharType="separate"/>
      </w:r>
      <w:r w:rsidR="00D119C7">
        <w:t xml:space="preserve">Figure </w:t>
      </w:r>
      <w:r w:rsidR="00D119C7">
        <w:rPr>
          <w:noProof/>
        </w:rPr>
        <w:t>1</w:t>
      </w:r>
      <w:r w:rsidR="00D119C7">
        <w:rPr>
          <w:highlight w:val="yellow"/>
          <w:lang w:val="en-GB"/>
        </w:rPr>
        <w:fldChar w:fldCharType="end"/>
      </w:r>
      <w:r w:rsidR="002D46BF" w:rsidRPr="00BF5922">
        <w:rPr>
          <w:lang w:val="en-GB"/>
        </w:rPr>
        <w:t xml:space="preserve">. </w:t>
      </w:r>
    </w:p>
    <w:p w14:paraId="24F710B3" w14:textId="4DD2BB5C" w:rsidR="00CA1D84" w:rsidRDefault="00AC4A76" w:rsidP="005952F3">
      <w:pPr>
        <w:pStyle w:val="CETBodytext"/>
        <w:spacing w:line="240" w:lineRule="auto"/>
        <w:rPr>
          <w:lang w:val="en-GB"/>
        </w:rPr>
      </w:pPr>
      <w:r w:rsidRPr="00AC4A76">
        <w:t xml:space="preserve"> </w:t>
      </w:r>
      <w:r w:rsidR="000720E3" w:rsidRPr="000720E3">
        <w:t xml:space="preserve"> </w:t>
      </w:r>
      <w:r w:rsidR="006A5D13" w:rsidRPr="006A5D13">
        <w:t xml:space="preserve"> </w:t>
      </w:r>
      <w:r w:rsidR="006A5D13">
        <w:rPr>
          <w:noProof/>
        </w:rPr>
        <w:drawing>
          <wp:inline distT="0" distB="0" distL="0" distR="0" wp14:anchorId="4438F9A1" wp14:editId="4D64E37F">
            <wp:extent cx="3908518" cy="19080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rotWithShape="1">
                    <a:blip r:embed="rId14">
                      <a:extLst>
                        <a:ext uri="{28A0092B-C50C-407E-A947-70E740481C1C}">
                          <a14:useLocalDpi xmlns:a14="http://schemas.microsoft.com/office/drawing/2010/main" val="0"/>
                        </a:ext>
                      </a:extLst>
                    </a:blip>
                    <a:srcRect t="1582" b="2370"/>
                    <a:stretch/>
                  </pic:blipFill>
                  <pic:spPr bwMode="auto">
                    <a:xfrm>
                      <a:off x="0" y="0"/>
                      <a:ext cx="3908518" cy="1908000"/>
                    </a:xfrm>
                    <a:prstGeom prst="rect">
                      <a:avLst/>
                    </a:prstGeom>
                    <a:noFill/>
                    <a:ln>
                      <a:noFill/>
                    </a:ln>
                    <a:extLst>
                      <a:ext uri="{53640926-AAD7-44D8-BBD7-CCE9431645EC}">
                        <a14:shadowObscured xmlns:a14="http://schemas.microsoft.com/office/drawing/2010/main"/>
                      </a:ext>
                    </a:extLst>
                  </pic:spPr>
                </pic:pic>
              </a:graphicData>
            </a:graphic>
          </wp:inline>
        </w:drawing>
      </w:r>
    </w:p>
    <w:p w14:paraId="7C7E813D" w14:textId="05E01EC9" w:rsidR="009072D2" w:rsidRPr="00BD077D" w:rsidRDefault="00D119C7" w:rsidP="009072D2">
      <w:pPr>
        <w:pStyle w:val="CETCaption"/>
      </w:pPr>
      <w:bookmarkStart w:id="1" w:name="_Ref183612872"/>
      <w:r>
        <w:t xml:space="preserve">Figure </w:t>
      </w:r>
      <w:r>
        <w:fldChar w:fldCharType="begin"/>
      </w:r>
      <w:r>
        <w:instrText xml:space="preserve"> SEQ Figure \* ARABIC </w:instrText>
      </w:r>
      <w:r>
        <w:fldChar w:fldCharType="separate"/>
      </w:r>
      <w:r>
        <w:rPr>
          <w:noProof/>
        </w:rPr>
        <w:t>1</w:t>
      </w:r>
      <w:r>
        <w:fldChar w:fldCharType="end"/>
      </w:r>
      <w:bookmarkEnd w:id="1"/>
      <w:r w:rsidRPr="00BD077D">
        <w:rPr>
          <w:rStyle w:val="CETCaptionCarattere"/>
          <w:i/>
        </w:rPr>
        <w:t xml:space="preserve">: </w:t>
      </w:r>
      <w:r w:rsidR="00AC4A76">
        <w:rPr>
          <w:rStyle w:val="CETCaptionCarattere"/>
          <w:i/>
        </w:rPr>
        <w:t>Process scheme of the LH</w:t>
      </w:r>
      <w:r w:rsidR="00AC4A76" w:rsidRPr="00AC4A76">
        <w:rPr>
          <w:rStyle w:val="CETCaptionCarattere"/>
          <w:i/>
          <w:vertAlign w:val="subscript"/>
        </w:rPr>
        <w:t>2</w:t>
      </w:r>
      <w:r w:rsidR="00AC4A76">
        <w:rPr>
          <w:rStyle w:val="CETCaptionCarattere"/>
          <w:i/>
        </w:rPr>
        <w:t xml:space="preserve"> export terminal.</w:t>
      </w:r>
      <w:r w:rsidR="009072D2" w:rsidRPr="00BD077D">
        <w:t xml:space="preserve"> </w:t>
      </w:r>
    </w:p>
    <w:p w14:paraId="54A5A8BE" w14:textId="1E21C812" w:rsidR="00C318BC" w:rsidRPr="00B57B36" w:rsidRDefault="00C16FA7" w:rsidP="000051FD">
      <w:pPr>
        <w:pStyle w:val="CETBodytext"/>
      </w:pPr>
      <w:r w:rsidRPr="00C16FA7">
        <w:rPr>
          <w:lang w:val="en-GB"/>
        </w:rPr>
        <w:t xml:space="preserve">The simulation assumes that the </w:t>
      </w:r>
      <w:r w:rsidRPr="00032895">
        <w:rPr>
          <w:lang w:val="en-GB"/>
        </w:rPr>
        <w:t xml:space="preserve">onshore storage tank remains partially filled with cold liquid hydrogen </w:t>
      </w:r>
      <w:r w:rsidR="00CD03EB" w:rsidRPr="00032895">
        <w:rPr>
          <w:lang w:val="en-GB"/>
        </w:rPr>
        <w:t>from</w:t>
      </w:r>
      <w:r w:rsidRPr="00032895">
        <w:rPr>
          <w:lang w:val="en-GB"/>
        </w:rPr>
        <w:t xml:space="preserve"> its initial filling until the plant shuts down. </w:t>
      </w:r>
      <w:r w:rsidR="00EC28C2" w:rsidRPr="00032895">
        <w:rPr>
          <w:lang w:val="en-GB"/>
        </w:rPr>
        <w:t>The onshore storage tank’s</w:t>
      </w:r>
      <w:r w:rsidR="004257CD" w:rsidRPr="00032895">
        <w:rPr>
          <w:lang w:val="en-GB"/>
        </w:rPr>
        <w:t xml:space="preserve"> initial</w:t>
      </w:r>
      <w:r w:rsidR="00EC28C2" w:rsidRPr="00032895">
        <w:rPr>
          <w:lang w:val="en-GB"/>
        </w:rPr>
        <w:t xml:space="preserve"> liquid volume percentage is set to 15</w:t>
      </w:r>
      <w:r w:rsidR="00676E2A">
        <w:rPr>
          <w:lang w:val="en-GB"/>
        </w:rPr>
        <w:t xml:space="preserve"> </w:t>
      </w:r>
      <w:r w:rsidR="00EC28C2" w:rsidRPr="00032895">
        <w:rPr>
          <w:lang w:val="en-GB"/>
        </w:rPr>
        <w:t xml:space="preserve">%. </w:t>
      </w:r>
      <w:r w:rsidRPr="00032895">
        <w:rPr>
          <w:lang w:val="en-GB"/>
        </w:rPr>
        <w:t>Similarly, the offshore storage tank (located on the carrier) retains a small amount of cargo after unloading, in line with standard LNG practices</w:t>
      </w:r>
      <w:r w:rsidR="004257CD" w:rsidRPr="00032895">
        <w:rPr>
          <w:lang w:val="en-GB"/>
        </w:rPr>
        <w:t>. The initial liquid volume in the offshore storage tank is set to 4</w:t>
      </w:r>
      <w:r w:rsidR="00676E2A">
        <w:rPr>
          <w:lang w:val="en-GB"/>
        </w:rPr>
        <w:t xml:space="preserve"> </w:t>
      </w:r>
      <w:r w:rsidR="004257CD" w:rsidRPr="00032895">
        <w:rPr>
          <w:lang w:val="en-GB"/>
        </w:rPr>
        <w:t>%</w:t>
      </w:r>
      <w:r w:rsidR="00B07AED" w:rsidRPr="00032895">
        <w:rPr>
          <w:lang w:val="en-GB"/>
        </w:rPr>
        <w:t>. To</w:t>
      </w:r>
      <w:r w:rsidR="00B07AED" w:rsidRPr="00300402">
        <w:rPr>
          <w:lang w:val="en-GB"/>
        </w:rPr>
        <w:t xml:space="preserve"> simulate the cyclic operation</w:t>
      </w:r>
      <w:r w:rsidR="00B07AED">
        <w:rPr>
          <w:lang w:val="en-GB"/>
        </w:rPr>
        <w:t>s</w:t>
      </w:r>
      <w:r w:rsidR="00B07AED" w:rsidRPr="00300402">
        <w:rPr>
          <w:lang w:val="en-GB"/>
        </w:rPr>
        <w:t xml:space="preserve"> </w:t>
      </w:r>
      <w:r w:rsidR="00B07AED">
        <w:rPr>
          <w:lang w:val="en-GB"/>
        </w:rPr>
        <w:t>of</w:t>
      </w:r>
      <w:r w:rsidR="00B07AED" w:rsidRPr="00300402">
        <w:rPr>
          <w:lang w:val="en-GB"/>
        </w:rPr>
        <w:t xml:space="preserve"> </w:t>
      </w:r>
      <w:r w:rsidR="00B07AED">
        <w:rPr>
          <w:lang w:val="en-GB"/>
        </w:rPr>
        <w:t>the</w:t>
      </w:r>
      <w:r w:rsidR="00B07AED" w:rsidRPr="00300402">
        <w:rPr>
          <w:lang w:val="en-GB"/>
        </w:rPr>
        <w:t xml:space="preserve"> export terminal, </w:t>
      </w:r>
      <w:r w:rsidR="00B07AED" w:rsidRPr="00C16FA7">
        <w:rPr>
          <w:lang w:val="en-GB"/>
        </w:rPr>
        <w:t xml:space="preserve">which include storage tank filling and carrier loading, two operational modes are defined: </w:t>
      </w:r>
    </w:p>
    <w:p w14:paraId="1A3EEC95" w14:textId="0A87FDD7" w:rsidR="000051FD" w:rsidRDefault="00300402" w:rsidP="004C554D">
      <w:pPr>
        <w:pStyle w:val="CETListbullets"/>
        <w:numPr>
          <w:ilvl w:val="0"/>
          <w:numId w:val="13"/>
        </w:numPr>
      </w:pPr>
      <w:r w:rsidRPr="000051FD">
        <w:t xml:space="preserve">Holding mode: </w:t>
      </w:r>
      <w:r w:rsidR="00C16FA7">
        <w:t xml:space="preserve">the </w:t>
      </w:r>
      <w:r w:rsidR="008C284D">
        <w:t>onsho</w:t>
      </w:r>
      <w:r w:rsidRPr="000051FD">
        <w:t>re storage tank</w:t>
      </w:r>
      <w:r w:rsidR="008C284D">
        <w:t xml:space="preserve"> </w:t>
      </w:r>
      <w:r w:rsidR="00737F1A">
        <w:t>(</w:t>
      </w:r>
      <w:r w:rsidR="008C284D">
        <w:t>T-100</w:t>
      </w:r>
      <w:r w:rsidR="00737F1A">
        <w:t xml:space="preserve"> in </w:t>
      </w:r>
      <w:r w:rsidR="00737F1A">
        <w:rPr>
          <w:highlight w:val="yellow"/>
        </w:rPr>
        <w:fldChar w:fldCharType="begin"/>
      </w:r>
      <w:r w:rsidR="00737F1A">
        <w:instrText xml:space="preserve"> REF _Ref183612872 \h </w:instrText>
      </w:r>
      <w:r w:rsidR="00737F1A">
        <w:rPr>
          <w:highlight w:val="yellow"/>
        </w:rPr>
      </w:r>
      <w:r w:rsidR="00737F1A">
        <w:rPr>
          <w:highlight w:val="yellow"/>
        </w:rPr>
        <w:fldChar w:fldCharType="separate"/>
      </w:r>
      <w:r w:rsidR="00737F1A">
        <w:t xml:space="preserve">Figure </w:t>
      </w:r>
      <w:r w:rsidR="00737F1A">
        <w:rPr>
          <w:noProof/>
        </w:rPr>
        <w:t>1</w:t>
      </w:r>
      <w:r w:rsidR="00737F1A">
        <w:rPr>
          <w:highlight w:val="yellow"/>
        </w:rPr>
        <w:fldChar w:fldCharType="end"/>
      </w:r>
      <w:r w:rsidR="00737F1A">
        <w:t>)</w:t>
      </w:r>
      <w:r w:rsidRPr="000051FD">
        <w:t xml:space="preserve"> </w:t>
      </w:r>
      <w:r w:rsidR="008C284D">
        <w:t>is</w:t>
      </w:r>
      <w:r w:rsidRPr="000051FD">
        <w:t xml:space="preserve"> at LH</w:t>
      </w:r>
      <w:r w:rsidRPr="00F25A57">
        <w:rPr>
          <w:vertAlign w:val="subscript"/>
        </w:rPr>
        <w:t>2</w:t>
      </w:r>
      <w:r w:rsidRPr="000051FD">
        <w:t xml:space="preserve"> temperature and partially filled with </w:t>
      </w:r>
      <w:r w:rsidR="00141BE7">
        <w:t>liquid hydrogen</w:t>
      </w:r>
      <w:r w:rsidRPr="000051FD">
        <w:t xml:space="preserve">. </w:t>
      </w:r>
      <w:r w:rsidR="00141BE7">
        <w:t>T</w:t>
      </w:r>
      <w:r w:rsidRPr="000051FD">
        <w:t>he loading lines are</w:t>
      </w:r>
      <w:r w:rsidR="00141BE7">
        <w:t xml:space="preserve"> also kept</w:t>
      </w:r>
      <w:r w:rsidRPr="000051FD">
        <w:t xml:space="preserve"> at LH</w:t>
      </w:r>
      <w:r w:rsidRPr="00F25A57">
        <w:rPr>
          <w:vertAlign w:val="subscript"/>
        </w:rPr>
        <w:t>2</w:t>
      </w:r>
      <w:r w:rsidRPr="000051FD">
        <w:t xml:space="preserve"> temperature and filled with circulating LH</w:t>
      </w:r>
      <w:r w:rsidRPr="00F25A57">
        <w:rPr>
          <w:vertAlign w:val="subscript"/>
        </w:rPr>
        <w:t>2</w:t>
      </w:r>
      <w:r w:rsidRPr="000051FD">
        <w:t xml:space="preserve"> </w:t>
      </w:r>
      <w:r w:rsidR="00AF662A">
        <w:t xml:space="preserve">at a </w:t>
      </w:r>
      <w:r w:rsidRPr="000051FD">
        <w:t xml:space="preserve">low flow rate from </w:t>
      </w:r>
      <w:r w:rsidR="00954F58">
        <w:t xml:space="preserve">the </w:t>
      </w:r>
      <w:r w:rsidRPr="000051FD">
        <w:t xml:space="preserve">onshore tank. </w:t>
      </w:r>
      <w:r w:rsidR="005D4A34">
        <w:t>T-100</w:t>
      </w:r>
      <w:r w:rsidRPr="000051FD">
        <w:t xml:space="preserve"> </w:t>
      </w:r>
      <w:r w:rsidR="00954F58">
        <w:t xml:space="preserve">continues to </w:t>
      </w:r>
      <w:r w:rsidRPr="000051FD">
        <w:t xml:space="preserve">fill until </w:t>
      </w:r>
      <w:r w:rsidR="00F00B4B">
        <w:t>its</w:t>
      </w:r>
      <w:r w:rsidRPr="000051FD">
        <w:t xml:space="preserve"> liquid volume percentage reaches 90</w:t>
      </w:r>
      <w:r w:rsidR="00676E2A">
        <w:t xml:space="preserve"> </w:t>
      </w:r>
      <w:r w:rsidRPr="000051FD">
        <w:t xml:space="preserve">%. </w:t>
      </w:r>
    </w:p>
    <w:p w14:paraId="29B97C83" w14:textId="11051F67" w:rsidR="00300402" w:rsidRPr="000051FD" w:rsidRDefault="000051FD" w:rsidP="004C554D">
      <w:pPr>
        <w:pStyle w:val="CETListbullets"/>
        <w:numPr>
          <w:ilvl w:val="0"/>
          <w:numId w:val="13"/>
        </w:numPr>
      </w:pPr>
      <w:r>
        <w:t>Lo</w:t>
      </w:r>
      <w:r w:rsidR="00300402" w:rsidRPr="000051FD">
        <w:t xml:space="preserve">ading mode: </w:t>
      </w:r>
      <w:r w:rsidR="001B3B4E">
        <w:t>the o</w:t>
      </w:r>
      <w:r w:rsidR="00300402" w:rsidRPr="000051FD">
        <w:t>ffshore storage tank</w:t>
      </w:r>
      <w:r w:rsidR="00737F1A">
        <w:t xml:space="preserve"> (T-101 in </w:t>
      </w:r>
      <w:r w:rsidR="00737F1A">
        <w:rPr>
          <w:highlight w:val="yellow"/>
        </w:rPr>
        <w:fldChar w:fldCharType="begin"/>
      </w:r>
      <w:r w:rsidR="00737F1A">
        <w:instrText xml:space="preserve"> REF _Ref183612872 \h </w:instrText>
      </w:r>
      <w:r w:rsidR="00737F1A">
        <w:rPr>
          <w:highlight w:val="yellow"/>
        </w:rPr>
      </w:r>
      <w:r w:rsidR="00737F1A">
        <w:rPr>
          <w:highlight w:val="yellow"/>
        </w:rPr>
        <w:fldChar w:fldCharType="separate"/>
      </w:r>
      <w:r w:rsidR="00737F1A">
        <w:t xml:space="preserve">Figure </w:t>
      </w:r>
      <w:r w:rsidR="00737F1A">
        <w:rPr>
          <w:noProof/>
        </w:rPr>
        <w:t>1</w:t>
      </w:r>
      <w:r w:rsidR="00737F1A">
        <w:rPr>
          <w:highlight w:val="yellow"/>
        </w:rPr>
        <w:fldChar w:fldCharType="end"/>
      </w:r>
      <w:r w:rsidR="00737F1A">
        <w:t>)</w:t>
      </w:r>
      <w:r w:rsidR="00737F1A" w:rsidRPr="000051FD">
        <w:t xml:space="preserve"> </w:t>
      </w:r>
      <w:r w:rsidR="001B3B4E">
        <w:t>is</w:t>
      </w:r>
      <w:r w:rsidR="00300402" w:rsidRPr="000051FD">
        <w:t xml:space="preserve"> at LH</w:t>
      </w:r>
      <w:r w:rsidR="00300402" w:rsidRPr="00F25A57">
        <w:rPr>
          <w:vertAlign w:val="subscript"/>
        </w:rPr>
        <w:t>2</w:t>
      </w:r>
      <w:r w:rsidR="00300402" w:rsidRPr="000051FD">
        <w:t xml:space="preserve"> temperature and partially filled with </w:t>
      </w:r>
      <w:r w:rsidR="00F00B4B">
        <w:t>liquid hydrogen</w:t>
      </w:r>
      <w:r w:rsidR="00300402" w:rsidRPr="000051FD">
        <w:t>. LH</w:t>
      </w:r>
      <w:r w:rsidR="00300402" w:rsidRPr="00F25A57">
        <w:rPr>
          <w:vertAlign w:val="subscript"/>
        </w:rPr>
        <w:t>2</w:t>
      </w:r>
      <w:r w:rsidR="00300402" w:rsidRPr="000051FD">
        <w:t xml:space="preserve"> </w:t>
      </w:r>
      <w:r w:rsidR="00EE71D8" w:rsidRPr="000051FD">
        <w:t xml:space="preserve">is pumped </w:t>
      </w:r>
      <w:r w:rsidR="00300402" w:rsidRPr="000051FD">
        <w:t xml:space="preserve">from the onshore tank </w:t>
      </w:r>
      <w:r w:rsidR="00EE71D8" w:rsidRPr="000051FD">
        <w:t>t</w:t>
      </w:r>
      <w:r w:rsidR="00EE71D8">
        <w:t>o t</w:t>
      </w:r>
      <w:r w:rsidR="00EE71D8" w:rsidRPr="000051FD">
        <w:t xml:space="preserve">he offshore tank </w:t>
      </w:r>
      <w:r w:rsidR="00E7492A">
        <w:t xml:space="preserve">at a </w:t>
      </w:r>
      <w:r w:rsidR="00300402" w:rsidRPr="000051FD">
        <w:t>high flow rate</w:t>
      </w:r>
      <w:r w:rsidR="00E7492A">
        <w:t xml:space="preserve"> until the offshore tank’s </w:t>
      </w:r>
      <w:r w:rsidR="00300402" w:rsidRPr="000051FD">
        <w:t>liquid volume reaches 98</w:t>
      </w:r>
      <w:r w:rsidR="00676E2A">
        <w:t xml:space="preserve"> </w:t>
      </w:r>
      <w:r w:rsidR="00300402" w:rsidRPr="000051FD">
        <w:t xml:space="preserve">%. </w:t>
      </w:r>
      <w:r w:rsidR="000A7519" w:rsidRPr="000A7519">
        <w:t>By this stage, the loading lines are already pre-cooled</w:t>
      </w:r>
      <w:r w:rsidR="00300402" w:rsidRPr="000051FD">
        <w:t xml:space="preserve">. </w:t>
      </w:r>
    </w:p>
    <w:p w14:paraId="628D480C" w14:textId="4A7815BA" w:rsidR="00300402" w:rsidRPr="00BF5922" w:rsidRDefault="009F0FA8" w:rsidP="003B0E12">
      <w:pPr>
        <w:pStyle w:val="CETBodytext"/>
        <w:rPr>
          <w:lang w:val="en-GB"/>
        </w:rPr>
      </w:pPr>
      <w:r w:rsidRPr="00BF5922">
        <w:rPr>
          <w:lang w:val="en-GB"/>
        </w:rPr>
        <w:t>The inlet stream (LH</w:t>
      </w:r>
      <w:r w:rsidRPr="006A6DEF">
        <w:rPr>
          <w:vertAlign w:val="subscript"/>
          <w:lang w:val="en-GB"/>
        </w:rPr>
        <w:t>2</w:t>
      </w:r>
      <w:r w:rsidRPr="00BF5922">
        <w:rPr>
          <w:lang w:val="en-GB"/>
        </w:rPr>
        <w:t>) has a mass flow rate 4</w:t>
      </w:r>
      <w:r>
        <w:rPr>
          <w:lang w:val="en-GB"/>
        </w:rPr>
        <w:t>4</w:t>
      </w:r>
      <w:r w:rsidRPr="00BF5922">
        <w:rPr>
          <w:lang w:val="en-GB"/>
        </w:rPr>
        <w:t xml:space="preserve"> t/d (controlled by FCV-100 and FIC-100), </w:t>
      </w:r>
      <w:r>
        <w:rPr>
          <w:lang w:val="en-GB"/>
        </w:rPr>
        <w:t xml:space="preserve">a </w:t>
      </w:r>
      <w:r w:rsidRPr="00BF5922">
        <w:rPr>
          <w:lang w:val="en-GB"/>
        </w:rPr>
        <w:t xml:space="preserve">pressure </w:t>
      </w:r>
      <w:r>
        <w:rPr>
          <w:lang w:val="en-GB"/>
        </w:rPr>
        <w:t>of</w:t>
      </w:r>
      <w:r w:rsidRPr="00BF5922">
        <w:rPr>
          <w:lang w:val="en-GB"/>
        </w:rPr>
        <w:t xml:space="preserve"> 4 bar, </w:t>
      </w:r>
      <w:r w:rsidRPr="00DC051B">
        <w:rPr>
          <w:lang w:val="en-GB"/>
        </w:rPr>
        <w:t xml:space="preserve">and a temperature of </w:t>
      </w:r>
      <w:r w:rsidR="00DC051B" w:rsidRPr="00DC051B">
        <w:rPr>
          <w:lang w:val="en-GB"/>
        </w:rPr>
        <w:t>25 K</w:t>
      </w:r>
      <w:r w:rsidR="006A6DEF" w:rsidRPr="00DC051B">
        <w:rPr>
          <w:lang w:val="en-GB"/>
        </w:rPr>
        <w:t>, according</w:t>
      </w:r>
      <w:r w:rsidR="006A6DEF">
        <w:rPr>
          <w:lang w:val="en-GB"/>
        </w:rPr>
        <w:t xml:space="preserve"> to the </w:t>
      </w:r>
      <w:r w:rsidR="00D066EF">
        <w:rPr>
          <w:lang w:val="en-GB"/>
        </w:rPr>
        <w:t>basis of design for the considered case study (see Section 2)</w:t>
      </w:r>
      <w:r>
        <w:rPr>
          <w:lang w:val="en-GB"/>
        </w:rPr>
        <w:t>. T</w:t>
      </w:r>
      <w:r w:rsidRPr="00BF5922">
        <w:rPr>
          <w:lang w:val="en-GB"/>
        </w:rPr>
        <w:t xml:space="preserve">he discharge of the onshore BOG compressor is set to </w:t>
      </w:r>
      <w:r>
        <w:rPr>
          <w:lang w:val="en-GB"/>
        </w:rPr>
        <w:t>7</w:t>
      </w:r>
      <w:r w:rsidRPr="00BF5922">
        <w:rPr>
          <w:lang w:val="en-GB"/>
        </w:rPr>
        <w:t xml:space="preserve"> </w:t>
      </w:r>
      <w:proofErr w:type="gramStart"/>
      <w:r w:rsidRPr="00BF5922">
        <w:rPr>
          <w:lang w:val="en-GB"/>
        </w:rPr>
        <w:t>bar</w:t>
      </w:r>
      <w:proofErr w:type="gramEnd"/>
      <w:r w:rsidRPr="00BF5922">
        <w:rPr>
          <w:lang w:val="en-GB"/>
        </w:rPr>
        <w:t>.</w:t>
      </w:r>
      <w:r w:rsidRPr="00592737">
        <w:rPr>
          <w:lang w:val="en-GB"/>
        </w:rPr>
        <w:t xml:space="preserve"> </w:t>
      </w:r>
      <w:r w:rsidRPr="00300402">
        <w:rPr>
          <w:lang w:val="en-GB"/>
        </w:rPr>
        <w:t xml:space="preserve">The pressure of the outlet streams destined for other uses or disposal, BOG To Vent Onshore and BOG To Vent Offshore, is set to 1.03 bar. </w:t>
      </w:r>
      <w:r w:rsidR="006E0B53">
        <w:rPr>
          <w:lang w:val="en-GB"/>
        </w:rPr>
        <w:t>T</w:t>
      </w:r>
      <w:r w:rsidRPr="00300402">
        <w:rPr>
          <w:lang w:val="en-GB"/>
        </w:rPr>
        <w:t xml:space="preserve">he onshore (T-100) and offshore (T-101) storage tanks are </w:t>
      </w:r>
      <w:r w:rsidR="006E0B53">
        <w:rPr>
          <w:lang w:val="en-GB"/>
        </w:rPr>
        <w:t xml:space="preserve">both </w:t>
      </w:r>
      <w:r w:rsidRPr="00300402">
        <w:rPr>
          <w:lang w:val="en-GB"/>
        </w:rPr>
        <w:t>spherical</w:t>
      </w:r>
      <w:r w:rsidR="00300402" w:rsidRPr="00300402">
        <w:rPr>
          <w:lang w:val="en-GB"/>
        </w:rPr>
        <w:t xml:space="preserve">. </w:t>
      </w:r>
      <w:r w:rsidR="006E0B53">
        <w:rPr>
          <w:lang w:val="en-GB"/>
        </w:rPr>
        <w:t>A</w:t>
      </w:r>
      <w:r w:rsidR="005412F6" w:rsidRPr="005412F6">
        <w:rPr>
          <w:lang w:val="en-GB"/>
        </w:rPr>
        <w:t xml:space="preserve"> detailed heat transfer model is </w:t>
      </w:r>
      <w:r w:rsidR="003D340F">
        <w:rPr>
          <w:lang w:val="en-GB"/>
        </w:rPr>
        <w:t>implemented for the tanks</w:t>
      </w:r>
      <w:r w:rsidR="005412F6" w:rsidRPr="005412F6">
        <w:rPr>
          <w:lang w:val="en-GB"/>
        </w:rPr>
        <w:t>, account</w:t>
      </w:r>
      <w:r w:rsidR="003D340F">
        <w:rPr>
          <w:lang w:val="en-GB"/>
        </w:rPr>
        <w:t>ing for</w:t>
      </w:r>
      <w:r w:rsidR="005412F6" w:rsidRPr="005412F6">
        <w:rPr>
          <w:lang w:val="en-GB"/>
        </w:rPr>
        <w:t xml:space="preserve"> natural convection inside and outside the </w:t>
      </w:r>
      <w:r w:rsidR="002C4876">
        <w:rPr>
          <w:lang w:val="en-GB"/>
        </w:rPr>
        <w:t>tank, as well as</w:t>
      </w:r>
      <w:r w:rsidR="005412F6" w:rsidRPr="005412F6">
        <w:rPr>
          <w:lang w:val="en-GB"/>
        </w:rPr>
        <w:t xml:space="preserve"> conduction </w:t>
      </w:r>
      <w:r w:rsidR="00541A05">
        <w:rPr>
          <w:lang w:val="en-GB"/>
        </w:rPr>
        <w:t>through t</w:t>
      </w:r>
      <w:r w:rsidR="005412F6" w:rsidRPr="005412F6">
        <w:rPr>
          <w:lang w:val="en-GB"/>
        </w:rPr>
        <w:t xml:space="preserve">he </w:t>
      </w:r>
      <w:r w:rsidR="00B11897">
        <w:rPr>
          <w:lang w:val="en-GB"/>
        </w:rPr>
        <w:t xml:space="preserve">metal </w:t>
      </w:r>
      <w:r w:rsidR="005412F6" w:rsidRPr="005412F6">
        <w:rPr>
          <w:lang w:val="en-GB"/>
        </w:rPr>
        <w:t xml:space="preserve">wall and insulation layers. The inner </w:t>
      </w:r>
      <w:r w:rsidR="0012246D">
        <w:rPr>
          <w:lang w:val="en-GB"/>
        </w:rPr>
        <w:t>tank</w:t>
      </w:r>
      <w:r w:rsidR="00626155">
        <w:rPr>
          <w:lang w:val="en-GB"/>
        </w:rPr>
        <w:t>, having a thickness</w:t>
      </w:r>
      <w:r w:rsidR="0012246D">
        <w:rPr>
          <w:lang w:val="en-GB"/>
        </w:rPr>
        <w:t xml:space="preserve"> </w:t>
      </w:r>
      <w:r w:rsidR="00626155">
        <w:rPr>
          <w:lang w:val="en-GB"/>
        </w:rPr>
        <w:t xml:space="preserve">of 0.018 m, </w:t>
      </w:r>
      <w:r w:rsidR="0012246D">
        <w:rPr>
          <w:lang w:val="en-GB"/>
        </w:rPr>
        <w:t>is</w:t>
      </w:r>
      <w:r w:rsidR="00B11897">
        <w:rPr>
          <w:lang w:val="en-GB"/>
        </w:rPr>
        <w:t xml:space="preserve"> constructed from</w:t>
      </w:r>
      <w:r w:rsidR="0012246D">
        <w:rPr>
          <w:lang w:val="en-GB"/>
        </w:rPr>
        <w:t xml:space="preserve"> </w:t>
      </w:r>
      <w:r w:rsidR="005412F6" w:rsidRPr="005412F6">
        <w:rPr>
          <w:lang w:val="en-GB"/>
        </w:rPr>
        <w:t>stainless steel</w:t>
      </w:r>
      <w:r w:rsidR="0012246D">
        <w:rPr>
          <w:lang w:val="en-GB"/>
        </w:rPr>
        <w:t>, which is character</w:t>
      </w:r>
      <w:r w:rsidR="00B531C7">
        <w:rPr>
          <w:lang w:val="en-GB"/>
        </w:rPr>
        <w:t>i</w:t>
      </w:r>
      <w:r w:rsidR="005730D1">
        <w:rPr>
          <w:lang w:val="en-GB"/>
        </w:rPr>
        <w:t>z</w:t>
      </w:r>
      <w:r w:rsidR="00B531C7">
        <w:rPr>
          <w:lang w:val="en-GB"/>
        </w:rPr>
        <w:t xml:space="preserve">ed by a specific heat capacity, </w:t>
      </w:r>
      <w:r w:rsidR="00B531C7" w:rsidRPr="00042BB0">
        <w:rPr>
          <w:i/>
          <w:iCs/>
          <w:lang w:val="en-GB"/>
        </w:rPr>
        <w:t>c</w:t>
      </w:r>
      <w:r w:rsidR="00B531C7" w:rsidRPr="00042BB0">
        <w:rPr>
          <w:i/>
          <w:iCs/>
          <w:vertAlign w:val="subscript"/>
          <w:lang w:val="en-GB"/>
        </w:rPr>
        <w:t>p</w:t>
      </w:r>
      <w:r w:rsidR="00B531C7">
        <w:rPr>
          <w:lang w:val="en-GB"/>
        </w:rPr>
        <w:t>, of 0.51 kJ/</w:t>
      </w:r>
      <w:r w:rsidR="00EA7F44" w:rsidRPr="00280FAF">
        <w:rPr>
          <w:rFonts w:eastAsia="SimSun"/>
        </w:rPr>
        <w:t>(</w:t>
      </w:r>
      <w:proofErr w:type="spellStart"/>
      <w:r w:rsidR="00EA7F44">
        <w:rPr>
          <w:rFonts w:eastAsia="SimSun"/>
        </w:rPr>
        <w:t>kg</w:t>
      </w:r>
      <w:r w:rsidR="00EA7F44" w:rsidRPr="00280FAF">
        <w:rPr>
          <w:rFonts w:ascii="Times New Roman" w:eastAsia="SimSun" w:hAnsi="Times New Roman"/>
        </w:rPr>
        <w:t>·</w:t>
      </w:r>
      <w:r w:rsidR="00EA7F44" w:rsidRPr="00280FAF">
        <w:rPr>
          <w:rFonts w:eastAsia="SimSun"/>
        </w:rPr>
        <w:t>K</w:t>
      </w:r>
      <w:proofErr w:type="spellEnd"/>
      <w:r w:rsidR="00EA7F44" w:rsidRPr="00280FAF">
        <w:rPr>
          <w:rFonts w:eastAsia="SimSun"/>
        </w:rPr>
        <w:t>)</w:t>
      </w:r>
      <w:r w:rsidR="005001B7">
        <w:rPr>
          <w:lang w:val="en-GB"/>
        </w:rPr>
        <w:t>, a mass density</w:t>
      </w:r>
      <w:r w:rsidR="0080428F">
        <w:rPr>
          <w:lang w:val="en-GB"/>
        </w:rPr>
        <w:t xml:space="preserve">, </w:t>
      </w:r>
      <w:r w:rsidR="00042BB0" w:rsidRPr="00383234">
        <w:rPr>
          <w:rFonts w:ascii="Symbol" w:hAnsi="Symbol"/>
          <w:i/>
          <w:iCs/>
          <w:lang w:val="en-GB"/>
        </w:rPr>
        <w:t>r</w:t>
      </w:r>
      <w:r w:rsidR="0080428F">
        <w:rPr>
          <w:lang w:val="en-GB"/>
        </w:rPr>
        <w:t>,</w:t>
      </w:r>
      <w:r w:rsidR="005001B7">
        <w:rPr>
          <w:lang w:val="en-GB"/>
        </w:rPr>
        <w:t xml:space="preserve"> of 7930 kg/m</w:t>
      </w:r>
      <w:r w:rsidR="005001B7" w:rsidRPr="00766F6E">
        <w:rPr>
          <w:vertAlign w:val="superscript"/>
          <w:lang w:val="en-GB"/>
        </w:rPr>
        <w:t>3</w:t>
      </w:r>
      <w:r w:rsidR="005001B7">
        <w:rPr>
          <w:lang w:val="en-GB"/>
        </w:rPr>
        <w:t xml:space="preserve"> and a thermal conductivity</w:t>
      </w:r>
      <w:r w:rsidR="0080428F">
        <w:rPr>
          <w:lang w:val="en-GB"/>
        </w:rPr>
        <w:t xml:space="preserve">, </w:t>
      </w:r>
      <w:r w:rsidR="0080428F" w:rsidRPr="00042BB0">
        <w:rPr>
          <w:i/>
          <w:iCs/>
          <w:lang w:val="en-GB"/>
        </w:rPr>
        <w:t>k</w:t>
      </w:r>
      <w:r w:rsidR="0080428F">
        <w:rPr>
          <w:lang w:val="en-GB"/>
        </w:rPr>
        <w:t>,</w:t>
      </w:r>
      <w:r w:rsidR="005001B7">
        <w:rPr>
          <w:lang w:val="en-GB"/>
        </w:rPr>
        <w:t xml:space="preserve"> of 150 W/</w:t>
      </w:r>
      <w:r w:rsidR="004C6A15" w:rsidRPr="00280FAF">
        <w:rPr>
          <w:rFonts w:eastAsia="SimSun"/>
        </w:rPr>
        <w:t>(</w:t>
      </w:r>
      <w:proofErr w:type="spellStart"/>
      <w:r w:rsidR="004C6A15">
        <w:rPr>
          <w:rFonts w:eastAsia="SimSun"/>
        </w:rPr>
        <w:t>m</w:t>
      </w:r>
      <w:r w:rsidR="004C6A15" w:rsidRPr="00280FAF">
        <w:rPr>
          <w:rFonts w:ascii="Times New Roman" w:eastAsia="SimSun" w:hAnsi="Times New Roman"/>
        </w:rPr>
        <w:t>·</w:t>
      </w:r>
      <w:r w:rsidR="004C6A15" w:rsidRPr="00280FAF">
        <w:rPr>
          <w:rFonts w:eastAsia="SimSun"/>
        </w:rPr>
        <w:t>K</w:t>
      </w:r>
      <w:proofErr w:type="spellEnd"/>
      <w:r w:rsidR="004C6A15" w:rsidRPr="00280FAF">
        <w:rPr>
          <w:rFonts w:eastAsia="SimSun"/>
        </w:rPr>
        <w:t>)</w:t>
      </w:r>
      <w:r w:rsidR="00454D55">
        <w:rPr>
          <w:lang w:val="en-GB"/>
        </w:rPr>
        <w:t xml:space="preserve">. </w:t>
      </w:r>
      <w:r w:rsidR="0015276C" w:rsidRPr="0015276C">
        <w:rPr>
          <w:lang w:val="en-GB"/>
        </w:rPr>
        <w:t xml:space="preserve">The outer insulation employs vacuum glass bubble technology, featuring a thickness of </w:t>
      </w:r>
      <w:r w:rsidR="00853202">
        <w:rPr>
          <w:lang w:val="en-GB"/>
        </w:rPr>
        <w:t>1.403 m</w:t>
      </w:r>
      <w:r w:rsidR="0080428F">
        <w:rPr>
          <w:lang w:val="en-GB"/>
        </w:rPr>
        <w:t xml:space="preserve">, and </w:t>
      </w:r>
      <w:r w:rsidR="0080428F" w:rsidRPr="00042BB0">
        <w:rPr>
          <w:i/>
          <w:iCs/>
          <w:lang w:val="en-GB"/>
        </w:rPr>
        <w:t>k</w:t>
      </w:r>
      <w:r w:rsidR="0080428F">
        <w:rPr>
          <w:lang w:val="en-GB"/>
        </w:rPr>
        <w:t xml:space="preserve"> of 0.0007 W/</w:t>
      </w:r>
      <w:r w:rsidR="00AC060C" w:rsidRPr="00280FAF">
        <w:rPr>
          <w:rFonts w:eastAsia="SimSun"/>
        </w:rPr>
        <w:t>(</w:t>
      </w:r>
      <w:proofErr w:type="spellStart"/>
      <w:r w:rsidR="00AC060C" w:rsidRPr="00280FAF">
        <w:rPr>
          <w:rFonts w:eastAsia="SimSun"/>
        </w:rPr>
        <w:t>m</w:t>
      </w:r>
      <w:r w:rsidR="00AC060C" w:rsidRPr="00280FAF">
        <w:rPr>
          <w:rFonts w:ascii="Times New Roman" w:eastAsia="SimSun" w:hAnsi="Times New Roman"/>
        </w:rPr>
        <w:t>·</w:t>
      </w:r>
      <w:r w:rsidR="00AC060C" w:rsidRPr="00280FAF">
        <w:rPr>
          <w:rFonts w:eastAsia="SimSun"/>
        </w:rPr>
        <w:t>K</w:t>
      </w:r>
      <w:proofErr w:type="spellEnd"/>
      <w:r w:rsidR="00AC060C" w:rsidRPr="00280FAF">
        <w:rPr>
          <w:rFonts w:eastAsia="SimSun"/>
        </w:rPr>
        <w:t>)</w:t>
      </w:r>
      <w:r w:rsidR="00CC458A">
        <w:rPr>
          <w:lang w:val="en-GB"/>
        </w:rPr>
        <w:t xml:space="preserve">. </w:t>
      </w:r>
      <w:r w:rsidR="005412F6" w:rsidRPr="005412F6">
        <w:rPr>
          <w:lang w:val="en-GB"/>
        </w:rPr>
        <w:t xml:space="preserve">The overall heat transfer </w:t>
      </w:r>
      <w:r w:rsidR="005412F6" w:rsidRPr="0063021F">
        <w:rPr>
          <w:lang w:val="en-GB"/>
        </w:rPr>
        <w:t>coefficient</w:t>
      </w:r>
      <w:r w:rsidR="002770A1" w:rsidRPr="0063021F">
        <w:rPr>
          <w:lang w:val="en-GB"/>
        </w:rPr>
        <w:t xml:space="preserve"> is dynamically updated during integration</w:t>
      </w:r>
      <w:r w:rsidR="005412F6" w:rsidRPr="0063021F">
        <w:rPr>
          <w:lang w:val="en-GB"/>
        </w:rPr>
        <w:t xml:space="preserve">, </w:t>
      </w:r>
      <w:r w:rsidR="00915422" w:rsidRPr="0063021F">
        <w:rPr>
          <w:lang w:val="en-GB"/>
        </w:rPr>
        <w:t>reflecting changes in</w:t>
      </w:r>
      <w:r w:rsidR="005412F6" w:rsidRPr="0063021F">
        <w:rPr>
          <w:lang w:val="en-GB"/>
        </w:rPr>
        <w:t xml:space="preserve"> the temperature profile.</w:t>
      </w:r>
      <w:r w:rsidR="00572C9C" w:rsidRPr="0063021F">
        <w:t xml:space="preserve"> </w:t>
      </w:r>
      <w:r w:rsidR="00572C9C" w:rsidRPr="0063021F">
        <w:rPr>
          <w:lang w:val="en-GB"/>
        </w:rPr>
        <w:t xml:space="preserve">P-100 </w:t>
      </w:r>
      <w:r w:rsidR="008820F1" w:rsidRPr="0063021F">
        <w:rPr>
          <w:lang w:val="en-GB"/>
        </w:rPr>
        <w:t>i</w:t>
      </w:r>
      <w:r w:rsidR="00572C9C" w:rsidRPr="0063021F">
        <w:rPr>
          <w:lang w:val="en-GB"/>
        </w:rPr>
        <w:t>s the pump s</w:t>
      </w:r>
      <w:r w:rsidR="000D2531" w:rsidRPr="0063021F">
        <w:rPr>
          <w:lang w:val="en-GB"/>
        </w:rPr>
        <w:t>ystem</w:t>
      </w:r>
      <w:r w:rsidR="00572C9C" w:rsidRPr="0063021F">
        <w:rPr>
          <w:lang w:val="en-GB"/>
        </w:rPr>
        <w:t xml:space="preserve"> installed in</w:t>
      </w:r>
      <w:r w:rsidR="004F57DC" w:rsidRPr="0063021F">
        <w:rPr>
          <w:lang w:val="en-GB"/>
        </w:rPr>
        <w:t>side the</w:t>
      </w:r>
      <w:r w:rsidR="00572C9C" w:rsidRPr="0063021F">
        <w:rPr>
          <w:lang w:val="en-GB"/>
        </w:rPr>
        <w:t xml:space="preserve"> onshore tank. </w:t>
      </w:r>
      <w:r w:rsidR="004F57DC" w:rsidRPr="0063021F">
        <w:rPr>
          <w:lang w:val="en-GB"/>
        </w:rPr>
        <w:t>This</w:t>
      </w:r>
      <w:r w:rsidR="00572C9C" w:rsidRPr="0063021F">
        <w:rPr>
          <w:lang w:val="en-GB"/>
        </w:rPr>
        <w:t xml:space="preserve"> s</w:t>
      </w:r>
      <w:r w:rsidR="00507B5E" w:rsidRPr="0063021F">
        <w:rPr>
          <w:lang w:val="en-GB"/>
        </w:rPr>
        <w:t>ystem</w:t>
      </w:r>
      <w:r w:rsidR="00572C9C" w:rsidRPr="0063021F">
        <w:rPr>
          <w:lang w:val="en-GB"/>
        </w:rPr>
        <w:t xml:space="preserve"> co</w:t>
      </w:r>
      <w:r w:rsidR="008820F1" w:rsidRPr="0063021F">
        <w:rPr>
          <w:lang w:val="en-GB"/>
        </w:rPr>
        <w:t>mprises</w:t>
      </w:r>
      <w:r w:rsidR="00572C9C" w:rsidRPr="0063021F">
        <w:rPr>
          <w:lang w:val="en-GB"/>
        </w:rPr>
        <w:t xml:space="preserve"> four pumps</w:t>
      </w:r>
      <w:r w:rsidR="007E41C8" w:rsidRPr="0063021F">
        <w:rPr>
          <w:lang w:val="en-GB"/>
        </w:rPr>
        <w:t>, each</w:t>
      </w:r>
      <w:r w:rsidR="00572C9C" w:rsidRPr="0063021F">
        <w:rPr>
          <w:lang w:val="en-GB"/>
        </w:rPr>
        <w:t xml:space="preserve"> with a capacity of 500 m</w:t>
      </w:r>
      <w:r w:rsidR="00572C9C" w:rsidRPr="0063021F">
        <w:rPr>
          <w:vertAlign w:val="superscript"/>
          <w:lang w:val="en-GB"/>
        </w:rPr>
        <w:t>3</w:t>
      </w:r>
      <w:r w:rsidR="00572C9C" w:rsidRPr="0063021F">
        <w:rPr>
          <w:lang w:val="en-GB"/>
        </w:rPr>
        <w:t>/h</w:t>
      </w:r>
      <w:r w:rsidR="004F57DC" w:rsidRPr="0063021F">
        <w:rPr>
          <w:lang w:val="en-GB"/>
        </w:rPr>
        <w:t xml:space="preserve">, to manage the loading flow rate, </w:t>
      </w:r>
      <w:r w:rsidR="00572C9C" w:rsidRPr="0063021F">
        <w:rPr>
          <w:lang w:val="en-GB"/>
        </w:rPr>
        <w:t xml:space="preserve">and </w:t>
      </w:r>
      <w:r w:rsidR="00424296" w:rsidRPr="0063021F">
        <w:rPr>
          <w:lang w:val="en-GB"/>
        </w:rPr>
        <w:t>a single</w:t>
      </w:r>
      <w:r w:rsidR="00572C9C" w:rsidRPr="0063021F">
        <w:rPr>
          <w:lang w:val="en-GB"/>
        </w:rPr>
        <w:t xml:space="preserve"> pump with a capacity of 10 m</w:t>
      </w:r>
      <w:r w:rsidR="00572C9C" w:rsidRPr="0063021F">
        <w:rPr>
          <w:vertAlign w:val="superscript"/>
          <w:lang w:val="en-GB"/>
        </w:rPr>
        <w:t>3</w:t>
      </w:r>
      <w:r w:rsidR="00572C9C" w:rsidRPr="0063021F">
        <w:rPr>
          <w:lang w:val="en-GB"/>
        </w:rPr>
        <w:t>/h</w:t>
      </w:r>
      <w:r w:rsidR="004F57DC" w:rsidRPr="0063021F">
        <w:rPr>
          <w:lang w:val="en-GB"/>
        </w:rPr>
        <w:t xml:space="preserve">, to handle the lower </w:t>
      </w:r>
      <w:r w:rsidR="009D4A2A" w:rsidRPr="0063021F">
        <w:rPr>
          <w:lang w:val="en-GB"/>
        </w:rPr>
        <w:t xml:space="preserve">circulation </w:t>
      </w:r>
      <w:r w:rsidR="004F57DC" w:rsidRPr="0063021F">
        <w:rPr>
          <w:lang w:val="en-GB"/>
        </w:rPr>
        <w:t xml:space="preserve">flow rate </w:t>
      </w:r>
      <w:r w:rsidR="005B113B" w:rsidRPr="0063021F">
        <w:rPr>
          <w:lang w:val="en-GB"/>
        </w:rPr>
        <w:t>during holding mode</w:t>
      </w:r>
      <w:r w:rsidR="00572C9C" w:rsidRPr="0063021F">
        <w:rPr>
          <w:lang w:val="en-GB"/>
        </w:rPr>
        <w:t xml:space="preserve">. </w:t>
      </w:r>
      <w:r w:rsidR="005E6B25" w:rsidRPr="0063021F">
        <w:rPr>
          <w:lang w:val="en-GB"/>
        </w:rPr>
        <w:t xml:space="preserve">At the beginning and end of the loading </w:t>
      </w:r>
      <w:r w:rsidR="0095239C" w:rsidRPr="0063021F">
        <w:rPr>
          <w:lang w:val="en-GB"/>
        </w:rPr>
        <w:t>mode</w:t>
      </w:r>
      <w:r w:rsidR="005E6B25" w:rsidRPr="0063021F">
        <w:rPr>
          <w:lang w:val="en-GB"/>
        </w:rPr>
        <w:t xml:space="preserve">, </w:t>
      </w:r>
      <w:r w:rsidR="00970A24" w:rsidRPr="0063021F">
        <w:rPr>
          <w:lang w:val="en-GB"/>
        </w:rPr>
        <w:t xml:space="preserve">flow rate </w:t>
      </w:r>
      <w:r w:rsidR="005E6B25" w:rsidRPr="0063021F">
        <w:rPr>
          <w:lang w:val="en-GB"/>
        </w:rPr>
        <w:t>ramp-up and ramp-down are e</w:t>
      </w:r>
      <w:r w:rsidR="00970A24" w:rsidRPr="0063021F">
        <w:rPr>
          <w:lang w:val="en-GB"/>
        </w:rPr>
        <w:t>xecut</w:t>
      </w:r>
      <w:r w:rsidR="005E6B25" w:rsidRPr="0063021F">
        <w:rPr>
          <w:lang w:val="en-GB"/>
        </w:rPr>
        <w:t>ed in increments of 500 m³/h every 15 minutes</w:t>
      </w:r>
      <w:r w:rsidR="00315E22" w:rsidRPr="0063021F">
        <w:rPr>
          <w:lang w:val="en-GB"/>
        </w:rPr>
        <w:t>, allowing the operation</w:t>
      </w:r>
      <w:r w:rsidR="005E6B25" w:rsidRPr="0063021F">
        <w:rPr>
          <w:lang w:val="en-GB"/>
        </w:rPr>
        <w:t xml:space="preserve"> to</w:t>
      </w:r>
      <w:r w:rsidR="00315E22" w:rsidRPr="0063021F">
        <w:rPr>
          <w:lang w:val="en-GB"/>
        </w:rPr>
        <w:t xml:space="preserve"> be</w:t>
      </w:r>
      <w:r w:rsidR="005E6B25" w:rsidRPr="0063021F">
        <w:rPr>
          <w:lang w:val="en-GB"/>
        </w:rPr>
        <w:t xml:space="preserve"> complete</w:t>
      </w:r>
      <w:r w:rsidR="007C096C" w:rsidRPr="0063021F">
        <w:rPr>
          <w:lang w:val="en-GB"/>
        </w:rPr>
        <w:t>d</w:t>
      </w:r>
      <w:r w:rsidR="005E6B25" w:rsidRPr="0063021F">
        <w:rPr>
          <w:lang w:val="en-GB"/>
        </w:rPr>
        <w:t xml:space="preserve"> within </w:t>
      </w:r>
      <w:r w:rsidR="007C096C" w:rsidRPr="0063021F">
        <w:rPr>
          <w:lang w:val="en-GB"/>
        </w:rPr>
        <w:t>one</w:t>
      </w:r>
      <w:r w:rsidR="005E6B25" w:rsidRPr="0063021F">
        <w:rPr>
          <w:lang w:val="en-GB"/>
        </w:rPr>
        <w:t xml:space="preserve"> hour, </w:t>
      </w:r>
      <w:r w:rsidR="007C096C" w:rsidRPr="0063021F">
        <w:rPr>
          <w:lang w:val="en-GB"/>
        </w:rPr>
        <w:t>consistent with</w:t>
      </w:r>
      <w:r w:rsidR="005E6B25" w:rsidRPr="0063021F">
        <w:rPr>
          <w:lang w:val="en-GB"/>
        </w:rPr>
        <w:t xml:space="preserve"> current LNG practice</w:t>
      </w:r>
      <w:r w:rsidR="007C096C" w:rsidRPr="0063021F">
        <w:rPr>
          <w:lang w:val="en-GB"/>
        </w:rPr>
        <w:t>s</w:t>
      </w:r>
      <w:r w:rsidR="005E6B25" w:rsidRPr="0063021F">
        <w:rPr>
          <w:lang w:val="en-GB"/>
        </w:rPr>
        <w:t xml:space="preserve">. This is </w:t>
      </w:r>
      <w:r w:rsidR="00780ABC" w:rsidRPr="0063021F">
        <w:rPr>
          <w:lang w:val="en-GB"/>
        </w:rPr>
        <w:t>achieved by sequentially</w:t>
      </w:r>
      <w:r w:rsidR="00780ABC" w:rsidRPr="00780ABC">
        <w:rPr>
          <w:lang w:val="en-GB"/>
        </w:rPr>
        <w:t xml:space="preserve"> engaging or disengaging one pump per onshore tank at each step. The pumps are designed with an overall efficiency of 75</w:t>
      </w:r>
      <w:r w:rsidR="00676E2A">
        <w:rPr>
          <w:lang w:val="en-GB"/>
        </w:rPr>
        <w:t xml:space="preserve"> </w:t>
      </w:r>
      <w:r w:rsidR="00780ABC" w:rsidRPr="00780ABC">
        <w:rPr>
          <w:lang w:val="en-GB"/>
        </w:rPr>
        <w:t>%, incorporating both isentropic and electrical/mechanical efficiencies. They provide a pressure increase of 2 bar to ensure adequate driving force for carrier loading</w:t>
      </w:r>
      <w:r w:rsidR="00572C9C" w:rsidRPr="00572C9C">
        <w:rPr>
          <w:lang w:val="en-GB"/>
        </w:rPr>
        <w:t>. The pipelines</w:t>
      </w:r>
      <w:r w:rsidR="00892694">
        <w:rPr>
          <w:lang w:val="en-GB"/>
        </w:rPr>
        <w:t>,</w:t>
      </w:r>
      <w:r w:rsidR="00572C9C" w:rsidRPr="00572C9C">
        <w:rPr>
          <w:lang w:val="en-GB"/>
        </w:rPr>
        <w:t xml:space="preserve"> CircPipe1, CircPipe2 and </w:t>
      </w:r>
      <w:proofErr w:type="spellStart"/>
      <w:r w:rsidR="00572C9C" w:rsidRPr="00572C9C">
        <w:rPr>
          <w:lang w:val="en-GB"/>
        </w:rPr>
        <w:t>BOGPipe</w:t>
      </w:r>
      <w:proofErr w:type="spellEnd"/>
      <w:r w:rsidR="00572C9C" w:rsidRPr="00572C9C">
        <w:rPr>
          <w:lang w:val="en-GB"/>
        </w:rPr>
        <w:t>, connect</w:t>
      </w:r>
      <w:r w:rsidR="000021FE">
        <w:rPr>
          <w:lang w:val="en-GB"/>
        </w:rPr>
        <w:t>ing</w:t>
      </w:r>
      <w:r w:rsidR="00572C9C" w:rsidRPr="00572C9C">
        <w:rPr>
          <w:lang w:val="en-GB"/>
        </w:rPr>
        <w:t xml:space="preserve"> the onshore and offshore storage tanks </w:t>
      </w:r>
      <w:r w:rsidR="00C45BB9">
        <w:rPr>
          <w:lang w:val="en-GB"/>
        </w:rPr>
        <w:t>have a length of</w:t>
      </w:r>
      <w:r w:rsidR="00572C9C" w:rsidRPr="00572C9C">
        <w:rPr>
          <w:lang w:val="en-GB"/>
        </w:rPr>
        <w:t xml:space="preserve"> 500 m. </w:t>
      </w:r>
      <w:r w:rsidR="00C45BB9">
        <w:rPr>
          <w:lang w:val="en-GB"/>
        </w:rPr>
        <w:t>Their</w:t>
      </w:r>
      <w:r w:rsidR="0087692D" w:rsidRPr="0087692D">
        <w:rPr>
          <w:lang w:val="en-GB"/>
        </w:rPr>
        <w:t xml:space="preserve"> diameters are determined to </w:t>
      </w:r>
      <w:r w:rsidR="005A5E0C">
        <w:rPr>
          <w:lang w:val="en-GB"/>
        </w:rPr>
        <w:t>comply with</w:t>
      </w:r>
      <w:r w:rsidR="0087692D" w:rsidRPr="0087692D">
        <w:rPr>
          <w:lang w:val="en-GB"/>
        </w:rPr>
        <w:t xml:space="preserve"> maximum velocity </w:t>
      </w:r>
      <w:r w:rsidR="005A5E0C">
        <w:rPr>
          <w:lang w:val="en-GB"/>
        </w:rPr>
        <w:t>limit</w:t>
      </w:r>
      <w:r w:rsidR="0087692D" w:rsidRPr="0087692D">
        <w:rPr>
          <w:lang w:val="en-GB"/>
        </w:rPr>
        <w:t xml:space="preserve">s: 4 m/s for liquid </w:t>
      </w:r>
      <w:r w:rsidR="005A5E0C">
        <w:rPr>
          <w:lang w:val="en-GB"/>
        </w:rPr>
        <w:t>flow</w:t>
      </w:r>
      <w:r w:rsidR="0087692D" w:rsidRPr="0087692D">
        <w:rPr>
          <w:lang w:val="en-GB"/>
        </w:rPr>
        <w:t xml:space="preserve"> and 20 m/s for vap</w:t>
      </w:r>
      <w:r w:rsidR="008B0522">
        <w:rPr>
          <w:lang w:val="en-GB"/>
        </w:rPr>
        <w:t>o</w:t>
      </w:r>
      <w:r w:rsidR="0087692D" w:rsidRPr="0087692D">
        <w:rPr>
          <w:lang w:val="en-GB"/>
        </w:rPr>
        <w:t xml:space="preserve">r </w:t>
      </w:r>
      <w:r w:rsidR="005A5E0C">
        <w:rPr>
          <w:lang w:val="en-GB"/>
        </w:rPr>
        <w:t>flow</w:t>
      </w:r>
      <w:r w:rsidR="0087692D" w:rsidRPr="0087692D">
        <w:rPr>
          <w:lang w:val="en-GB"/>
        </w:rPr>
        <w:t xml:space="preserve">. Inner and outer diameters are </w:t>
      </w:r>
      <w:r w:rsidR="00A53C68">
        <w:rPr>
          <w:lang w:val="en-GB"/>
        </w:rPr>
        <w:t xml:space="preserve">chosen based on </w:t>
      </w:r>
      <w:r w:rsidR="0087692D" w:rsidRPr="0087692D">
        <w:rPr>
          <w:lang w:val="en-GB"/>
        </w:rPr>
        <w:t xml:space="preserve">industrial standards for stainless steel pipelines (Schedule 5S). </w:t>
      </w:r>
      <w:r w:rsidR="009B2E1F" w:rsidRPr="009B2E1F">
        <w:rPr>
          <w:lang w:val="en-GB"/>
        </w:rPr>
        <w:t>The pipelines utili</w:t>
      </w:r>
      <w:r w:rsidR="005730D1">
        <w:rPr>
          <w:lang w:val="en-GB"/>
        </w:rPr>
        <w:t>z</w:t>
      </w:r>
      <w:r w:rsidR="009B2E1F" w:rsidRPr="009B2E1F">
        <w:rPr>
          <w:lang w:val="en-GB"/>
        </w:rPr>
        <w:t xml:space="preserve">e vacuum multi-layer insulation technology, featuring an insulation thickness of 0.050 m and </w:t>
      </w:r>
      <w:r w:rsidR="009B2E1F">
        <w:rPr>
          <w:lang w:val="en-GB"/>
        </w:rPr>
        <w:t>a</w:t>
      </w:r>
      <w:r w:rsidR="0087692D" w:rsidRPr="0087692D">
        <w:rPr>
          <w:lang w:val="en-GB"/>
        </w:rPr>
        <w:t xml:space="preserve"> </w:t>
      </w:r>
      <w:r w:rsidR="001E2462" w:rsidRPr="001E2462">
        <w:rPr>
          <w:i/>
          <w:iCs/>
          <w:lang w:val="en-GB"/>
        </w:rPr>
        <w:t>k</w:t>
      </w:r>
      <w:r w:rsidR="0087692D" w:rsidRPr="0087692D">
        <w:rPr>
          <w:lang w:val="en-GB"/>
        </w:rPr>
        <w:t xml:space="preserve"> of 0.00</w:t>
      </w:r>
      <w:r w:rsidR="001E2462">
        <w:rPr>
          <w:lang w:val="en-GB"/>
        </w:rPr>
        <w:t>1</w:t>
      </w:r>
      <w:r w:rsidR="0087692D" w:rsidRPr="0087692D">
        <w:rPr>
          <w:lang w:val="en-GB"/>
        </w:rPr>
        <w:t xml:space="preserve"> W/(</w:t>
      </w:r>
      <w:proofErr w:type="spellStart"/>
      <w:r w:rsidR="0087692D" w:rsidRPr="0087692D">
        <w:rPr>
          <w:lang w:val="en-GB"/>
        </w:rPr>
        <w:t>m·K</w:t>
      </w:r>
      <w:proofErr w:type="spellEnd"/>
      <w:r w:rsidR="0087692D" w:rsidRPr="0087692D">
        <w:rPr>
          <w:lang w:val="en-GB"/>
        </w:rPr>
        <w:t>)</w:t>
      </w:r>
      <w:r w:rsidR="00572C9C" w:rsidRPr="00572C9C">
        <w:rPr>
          <w:lang w:val="en-GB"/>
        </w:rPr>
        <w:t xml:space="preserve">. </w:t>
      </w:r>
      <w:r w:rsidR="00154557" w:rsidRPr="00154557">
        <w:rPr>
          <w:lang w:val="en-GB"/>
        </w:rPr>
        <w:t xml:space="preserve">The overall heat transfer </w:t>
      </w:r>
      <w:r w:rsidR="00154557" w:rsidRPr="00154557">
        <w:rPr>
          <w:lang w:val="en-GB"/>
        </w:rPr>
        <w:lastRenderedPageBreak/>
        <w:t xml:space="preserve">coefficient is dynamically </w:t>
      </w:r>
      <w:r w:rsidR="00154557" w:rsidRPr="00D72B0E">
        <w:rPr>
          <w:lang w:val="en-GB"/>
        </w:rPr>
        <w:t xml:space="preserve">updated during integration. Pressure drop calculations are conducted using the </w:t>
      </w:r>
      <w:proofErr w:type="spellStart"/>
      <w:r w:rsidR="00154557" w:rsidRPr="00D72B0E">
        <w:rPr>
          <w:lang w:val="en-GB"/>
        </w:rPr>
        <w:t>Beggs</w:t>
      </w:r>
      <w:proofErr w:type="spellEnd"/>
      <w:r w:rsidR="00154557" w:rsidRPr="00D72B0E">
        <w:rPr>
          <w:lang w:val="en-GB"/>
        </w:rPr>
        <w:t xml:space="preserve"> and Brill correlation </w:t>
      </w:r>
      <w:r w:rsidR="00572C9C" w:rsidRPr="00D72B0E">
        <w:rPr>
          <w:lang w:val="en-GB"/>
        </w:rPr>
        <w:t>(Payne et al., 1979)</w:t>
      </w:r>
      <w:r w:rsidR="00154557" w:rsidRPr="00D72B0E">
        <w:rPr>
          <w:lang w:val="en-GB"/>
        </w:rPr>
        <w:t>, with</w:t>
      </w:r>
      <w:r w:rsidR="00572C9C" w:rsidRPr="00D72B0E">
        <w:rPr>
          <w:lang w:val="en-GB"/>
        </w:rPr>
        <w:t xml:space="preserve"> pipeline</w:t>
      </w:r>
      <w:r w:rsidR="00572C9C" w:rsidRPr="00572C9C">
        <w:rPr>
          <w:lang w:val="en-GB"/>
        </w:rPr>
        <w:t xml:space="preserve"> roughness set </w:t>
      </w:r>
      <w:r w:rsidR="009268DD">
        <w:rPr>
          <w:lang w:val="en-GB"/>
        </w:rPr>
        <w:t xml:space="preserve">at </w:t>
      </w:r>
      <w:r w:rsidR="009268DD" w:rsidRPr="00572C9C">
        <w:rPr>
          <w:lang w:val="en-GB"/>
        </w:rPr>
        <w:t>4.572ꞏ10</w:t>
      </w:r>
      <w:r w:rsidR="009268DD" w:rsidRPr="00847D24">
        <w:rPr>
          <w:vertAlign w:val="superscript"/>
          <w:lang w:val="en-GB"/>
        </w:rPr>
        <w:t>-5</w:t>
      </w:r>
      <w:r w:rsidR="009268DD" w:rsidRPr="00572C9C">
        <w:rPr>
          <w:lang w:val="en-GB"/>
        </w:rPr>
        <w:t xml:space="preserve"> m</w:t>
      </w:r>
      <w:r w:rsidR="009268DD">
        <w:rPr>
          <w:lang w:val="en-GB"/>
        </w:rPr>
        <w:t xml:space="preserve">, as recommended by </w:t>
      </w:r>
      <w:r w:rsidR="00572C9C" w:rsidRPr="00572C9C">
        <w:rPr>
          <w:lang w:val="en-GB"/>
        </w:rPr>
        <w:t>Aspen HYSYS</w:t>
      </w:r>
      <w:r w:rsidR="00572C9C" w:rsidRPr="00766F6E">
        <w:rPr>
          <w:vertAlign w:val="superscript"/>
          <w:lang w:val="en-GB"/>
        </w:rPr>
        <w:t>®</w:t>
      </w:r>
      <w:r w:rsidR="00572C9C" w:rsidRPr="00572C9C">
        <w:rPr>
          <w:lang w:val="en-GB"/>
        </w:rPr>
        <w:t xml:space="preserve"> for mild steel.</w:t>
      </w:r>
      <w:r w:rsidR="00AE40D7" w:rsidRPr="00AE40D7">
        <w:t xml:space="preserve"> </w:t>
      </w:r>
      <w:r w:rsidR="00AE40D7" w:rsidRPr="00AE40D7">
        <w:rPr>
          <w:lang w:val="en-GB"/>
        </w:rPr>
        <w:t>K-100</w:t>
      </w:r>
      <w:r w:rsidR="006F7874">
        <w:rPr>
          <w:lang w:val="en-GB"/>
        </w:rPr>
        <w:t xml:space="preserve"> and</w:t>
      </w:r>
      <w:r w:rsidR="00AE40D7" w:rsidRPr="00AE40D7">
        <w:rPr>
          <w:lang w:val="en-GB"/>
        </w:rPr>
        <w:t xml:space="preserve"> K-101 are BOG compressors </w:t>
      </w:r>
      <w:r w:rsidR="006A7F3B" w:rsidRPr="006A7F3B">
        <w:rPr>
          <w:lang w:val="en-GB"/>
        </w:rPr>
        <w:t>designed to function at exceptionally low suction temperatures, around 25 K. Due to uncertainties regarding the performance of compressors under such conditions, an isentropic efficiency of 50</w:t>
      </w:r>
      <w:r w:rsidR="00676E2A">
        <w:rPr>
          <w:lang w:val="en-GB"/>
        </w:rPr>
        <w:t xml:space="preserve"> </w:t>
      </w:r>
      <w:r w:rsidR="006A7F3B" w:rsidRPr="006A7F3B">
        <w:rPr>
          <w:lang w:val="en-GB"/>
        </w:rPr>
        <w:t>% is assumed. These compressors regulate tank pressure by varying their rotational speed. The capacity of each unit is sized to accommodate the average BOG flow rate they are required to manage</w:t>
      </w:r>
      <w:r w:rsidR="00AE40D7" w:rsidRPr="00AE40D7">
        <w:rPr>
          <w:lang w:val="en-GB"/>
        </w:rPr>
        <w:t>.</w:t>
      </w:r>
      <w:r w:rsidR="00D04D1E">
        <w:rPr>
          <w:lang w:val="en-GB"/>
        </w:rPr>
        <w:t xml:space="preserve"> </w:t>
      </w:r>
      <w:r w:rsidR="00AE40D7" w:rsidRPr="00AE40D7">
        <w:rPr>
          <w:lang w:val="en-GB"/>
        </w:rPr>
        <w:t xml:space="preserve">The feed flow rate is </w:t>
      </w:r>
      <w:r w:rsidR="0027210B">
        <w:rPr>
          <w:lang w:val="en-GB"/>
        </w:rPr>
        <w:t>manag</w:t>
      </w:r>
      <w:r w:rsidR="00AE40D7" w:rsidRPr="00AE40D7">
        <w:rPr>
          <w:lang w:val="en-GB"/>
        </w:rPr>
        <w:t xml:space="preserve">ed by </w:t>
      </w:r>
      <w:r w:rsidR="00DF6F6E">
        <w:rPr>
          <w:lang w:val="en-GB"/>
        </w:rPr>
        <w:t xml:space="preserve">controller </w:t>
      </w:r>
      <w:r w:rsidR="00AE40D7" w:rsidRPr="00AE40D7">
        <w:rPr>
          <w:lang w:val="en-GB"/>
        </w:rPr>
        <w:t xml:space="preserve">FIC-100, which adjusts the actuator position of </w:t>
      </w:r>
      <w:r w:rsidR="00122D87">
        <w:rPr>
          <w:lang w:val="en-GB"/>
        </w:rPr>
        <w:t xml:space="preserve">flow control valve </w:t>
      </w:r>
      <w:r w:rsidR="00AE40D7" w:rsidRPr="00AE40D7">
        <w:rPr>
          <w:lang w:val="en-GB"/>
        </w:rPr>
        <w:t xml:space="preserve">FCV-100. The set point (SP) </w:t>
      </w:r>
      <w:r w:rsidR="00122D87">
        <w:rPr>
          <w:lang w:val="en-GB"/>
        </w:rPr>
        <w:t>corresponds t</w:t>
      </w:r>
      <w:r w:rsidR="001F0C33">
        <w:rPr>
          <w:lang w:val="en-GB"/>
        </w:rPr>
        <w:t>o the</w:t>
      </w:r>
      <w:r w:rsidR="00AE40D7" w:rsidRPr="00AE40D7">
        <w:rPr>
          <w:lang w:val="en-GB"/>
        </w:rPr>
        <w:t xml:space="preserve"> LH</w:t>
      </w:r>
      <w:r w:rsidR="00AE40D7" w:rsidRPr="001F0C33">
        <w:rPr>
          <w:vertAlign w:val="subscript"/>
          <w:lang w:val="en-GB"/>
        </w:rPr>
        <w:t>2</w:t>
      </w:r>
      <w:r w:rsidR="00AE40D7" w:rsidRPr="00AE40D7">
        <w:rPr>
          <w:lang w:val="en-GB"/>
        </w:rPr>
        <w:t xml:space="preserve"> </w:t>
      </w:r>
      <w:r w:rsidR="001F0C33">
        <w:rPr>
          <w:lang w:val="en-GB"/>
        </w:rPr>
        <w:t>flow rate</w:t>
      </w:r>
      <w:r w:rsidR="00AE40D7" w:rsidRPr="00AE40D7">
        <w:rPr>
          <w:lang w:val="en-GB"/>
        </w:rPr>
        <w:t xml:space="preserve"> from the liquefaction process. </w:t>
      </w:r>
      <w:r w:rsidR="00A8764B" w:rsidRPr="00A8764B">
        <w:rPr>
          <w:lang w:val="en-GB"/>
        </w:rPr>
        <w:t xml:space="preserve">Pressure in the onshore tank is regulated by a combination of compressor K-100 and </w:t>
      </w:r>
      <w:r w:rsidR="00306490">
        <w:rPr>
          <w:lang w:val="en-GB"/>
        </w:rPr>
        <w:t xml:space="preserve">relief </w:t>
      </w:r>
      <w:r w:rsidR="00A8764B" w:rsidRPr="00A8764B">
        <w:rPr>
          <w:lang w:val="en-GB"/>
        </w:rPr>
        <w:t>valve P</w:t>
      </w:r>
      <w:r w:rsidR="00306490">
        <w:rPr>
          <w:lang w:val="en-GB"/>
        </w:rPr>
        <w:t>R</w:t>
      </w:r>
      <w:r w:rsidR="00A8764B" w:rsidRPr="00A8764B">
        <w:rPr>
          <w:lang w:val="en-GB"/>
        </w:rPr>
        <w:t>V-10</w:t>
      </w:r>
      <w:r w:rsidR="00306490">
        <w:rPr>
          <w:lang w:val="en-GB"/>
        </w:rPr>
        <w:t>0</w:t>
      </w:r>
      <w:r w:rsidR="00A8764B" w:rsidRPr="00A8764B">
        <w:rPr>
          <w:lang w:val="en-GB"/>
        </w:rPr>
        <w:t xml:space="preserve">. The controller PIC-100 modifies the compressor's speed to maintain the onshore tank header pressure at the SP of 2.5 bar. The valve, normally closed, opens when the tank pressure exceeds </w:t>
      </w:r>
      <w:r w:rsidR="00F03994">
        <w:rPr>
          <w:lang w:val="en-GB"/>
        </w:rPr>
        <w:t>7</w:t>
      </w:r>
      <w:r w:rsidR="00A8764B" w:rsidRPr="00A8764B">
        <w:rPr>
          <w:lang w:val="en-GB"/>
        </w:rPr>
        <w:t xml:space="preserve"> bar, the maximum operating pressure. This condition may occur during initial tank cooling or unexpected changes</w:t>
      </w:r>
      <w:r w:rsidR="00EA691B">
        <w:rPr>
          <w:lang w:val="en-GB"/>
        </w:rPr>
        <w:t xml:space="preserve"> in the</w:t>
      </w:r>
      <w:r w:rsidR="00A8764B" w:rsidRPr="00A8764B">
        <w:rPr>
          <w:lang w:val="en-GB"/>
        </w:rPr>
        <w:t xml:space="preserve"> </w:t>
      </w:r>
      <w:r w:rsidR="00EA691B" w:rsidRPr="00A8764B">
        <w:rPr>
          <w:lang w:val="en-GB"/>
        </w:rPr>
        <w:t xml:space="preserve">process </w:t>
      </w:r>
      <w:r w:rsidR="00A8764B" w:rsidRPr="00A8764B">
        <w:rPr>
          <w:lang w:val="en-GB"/>
        </w:rPr>
        <w:t>that lead to high BOG generation. Similarly, the offshore</w:t>
      </w:r>
      <w:r w:rsidR="00EA691B">
        <w:rPr>
          <w:lang w:val="en-GB"/>
        </w:rPr>
        <w:t xml:space="preserve"> </w:t>
      </w:r>
      <w:r w:rsidR="00AE40D7" w:rsidRPr="00AE40D7">
        <w:rPr>
          <w:lang w:val="en-GB"/>
        </w:rPr>
        <w:t>tank pressure is controlled by compressor K-10</w:t>
      </w:r>
      <w:r w:rsidR="00306490">
        <w:rPr>
          <w:lang w:val="en-GB"/>
        </w:rPr>
        <w:t>1</w:t>
      </w:r>
      <w:r w:rsidR="00AE40D7" w:rsidRPr="00AE40D7">
        <w:rPr>
          <w:lang w:val="en-GB"/>
        </w:rPr>
        <w:t xml:space="preserve"> and </w:t>
      </w:r>
      <w:r w:rsidR="00306490">
        <w:rPr>
          <w:lang w:val="en-GB"/>
        </w:rPr>
        <w:t xml:space="preserve">relief </w:t>
      </w:r>
      <w:r w:rsidR="00AE40D7" w:rsidRPr="00AE40D7">
        <w:rPr>
          <w:lang w:val="en-GB"/>
        </w:rPr>
        <w:t>valve P</w:t>
      </w:r>
      <w:r w:rsidR="00306490">
        <w:rPr>
          <w:lang w:val="en-GB"/>
        </w:rPr>
        <w:t>RV</w:t>
      </w:r>
      <w:r w:rsidR="00AE40D7" w:rsidRPr="00AE40D7">
        <w:rPr>
          <w:lang w:val="en-GB"/>
        </w:rPr>
        <w:t>-10</w:t>
      </w:r>
      <w:r w:rsidR="00306490">
        <w:rPr>
          <w:lang w:val="en-GB"/>
        </w:rPr>
        <w:t>1</w:t>
      </w:r>
      <w:r w:rsidR="00AE40D7" w:rsidRPr="00AE40D7">
        <w:rPr>
          <w:lang w:val="en-GB"/>
        </w:rPr>
        <w:t>.</w:t>
      </w:r>
      <w:r w:rsidR="00E9687E">
        <w:rPr>
          <w:lang w:val="en-GB"/>
        </w:rPr>
        <w:t xml:space="preserve"> </w:t>
      </w:r>
      <w:r w:rsidR="00AE40D7" w:rsidRPr="00AE40D7">
        <w:rPr>
          <w:lang w:val="en-GB"/>
        </w:rPr>
        <w:t xml:space="preserve">The volumetric flow </w:t>
      </w:r>
      <w:r w:rsidR="001E74DE">
        <w:rPr>
          <w:lang w:val="en-GB"/>
        </w:rPr>
        <w:t xml:space="preserve">control valve </w:t>
      </w:r>
      <w:r w:rsidR="001E74DE" w:rsidRPr="00AE40D7">
        <w:rPr>
          <w:lang w:val="en-GB"/>
        </w:rPr>
        <w:t>VCV-100</w:t>
      </w:r>
      <w:r w:rsidR="001E74DE">
        <w:rPr>
          <w:lang w:val="en-GB"/>
        </w:rPr>
        <w:t xml:space="preserve"> </w:t>
      </w:r>
      <w:r w:rsidR="00687EF1">
        <w:rPr>
          <w:lang w:val="en-GB"/>
        </w:rPr>
        <w:t>regulat</w:t>
      </w:r>
      <w:r w:rsidR="002B7067">
        <w:rPr>
          <w:lang w:val="en-GB"/>
        </w:rPr>
        <w:t xml:space="preserve">es the flow </w:t>
      </w:r>
      <w:r w:rsidR="00AE40D7" w:rsidRPr="00AE40D7">
        <w:rPr>
          <w:lang w:val="en-GB"/>
        </w:rPr>
        <w:t>rate in the pipelines</w:t>
      </w:r>
      <w:r w:rsidR="002458D5">
        <w:rPr>
          <w:lang w:val="en-GB"/>
        </w:rPr>
        <w:t>, with a SP of</w:t>
      </w:r>
      <w:r w:rsidR="002458D5" w:rsidRPr="00AE40D7">
        <w:rPr>
          <w:lang w:val="en-GB"/>
        </w:rPr>
        <w:t xml:space="preserve"> 10 m</w:t>
      </w:r>
      <w:r w:rsidR="002458D5" w:rsidRPr="00766F6E">
        <w:rPr>
          <w:vertAlign w:val="superscript"/>
          <w:lang w:val="en-GB"/>
        </w:rPr>
        <w:t>3</w:t>
      </w:r>
      <w:r w:rsidR="002458D5" w:rsidRPr="00AE40D7">
        <w:rPr>
          <w:lang w:val="en-GB"/>
        </w:rPr>
        <w:t xml:space="preserve">/h </w:t>
      </w:r>
      <w:r w:rsidR="005E4219">
        <w:rPr>
          <w:lang w:val="en-GB"/>
        </w:rPr>
        <w:t xml:space="preserve">during </w:t>
      </w:r>
      <w:r w:rsidR="00AE40D7" w:rsidRPr="00AE40D7">
        <w:rPr>
          <w:lang w:val="en-GB"/>
        </w:rPr>
        <w:t xml:space="preserve">holding mode </w:t>
      </w:r>
      <w:r w:rsidR="005E4219">
        <w:rPr>
          <w:lang w:val="en-GB"/>
        </w:rPr>
        <w:t xml:space="preserve">and </w:t>
      </w:r>
      <w:r w:rsidR="005E4219" w:rsidRPr="00AE40D7">
        <w:rPr>
          <w:lang w:val="en-GB"/>
        </w:rPr>
        <w:t>2</w:t>
      </w:r>
      <w:r w:rsidR="005E4219">
        <w:rPr>
          <w:lang w:val="en-GB"/>
        </w:rPr>
        <w:t>,</w:t>
      </w:r>
      <w:r w:rsidR="005E4219" w:rsidRPr="00AE40D7">
        <w:rPr>
          <w:lang w:val="en-GB"/>
        </w:rPr>
        <w:t>000 m³/h</w:t>
      </w:r>
      <w:r w:rsidR="005E4219">
        <w:rPr>
          <w:lang w:val="en-GB"/>
        </w:rPr>
        <w:t xml:space="preserve"> </w:t>
      </w:r>
      <w:r w:rsidR="00BF422C">
        <w:rPr>
          <w:lang w:val="en-GB"/>
        </w:rPr>
        <w:t xml:space="preserve">during </w:t>
      </w:r>
      <w:r w:rsidR="00AE40D7" w:rsidRPr="00AE40D7">
        <w:rPr>
          <w:lang w:val="en-GB"/>
        </w:rPr>
        <w:t xml:space="preserve">loading </w:t>
      </w:r>
      <w:r w:rsidR="00BF422C">
        <w:rPr>
          <w:lang w:val="en-GB"/>
        </w:rPr>
        <w:t>mode</w:t>
      </w:r>
      <w:r w:rsidR="00AE40D7" w:rsidRPr="00AE40D7">
        <w:rPr>
          <w:lang w:val="en-GB"/>
        </w:rPr>
        <w:t xml:space="preserve">. The pressure </w:t>
      </w:r>
      <w:r w:rsidR="00DC441F">
        <w:rPr>
          <w:lang w:val="en-GB"/>
        </w:rPr>
        <w:t>within</w:t>
      </w:r>
      <w:r w:rsidR="00AE40D7" w:rsidRPr="00AE40D7">
        <w:rPr>
          <w:lang w:val="en-GB"/>
        </w:rPr>
        <w:t xml:space="preserve"> the LH</w:t>
      </w:r>
      <w:r w:rsidR="00AE40D7" w:rsidRPr="00963B2F">
        <w:rPr>
          <w:vertAlign w:val="subscript"/>
          <w:lang w:val="en-GB"/>
        </w:rPr>
        <w:t>2</w:t>
      </w:r>
      <w:r w:rsidR="00AE40D7" w:rsidRPr="00AE40D7">
        <w:rPr>
          <w:lang w:val="en-GB"/>
        </w:rPr>
        <w:t xml:space="preserve"> pipelines is maintained at </w:t>
      </w:r>
      <w:r w:rsidR="00963B2F">
        <w:rPr>
          <w:lang w:val="en-GB"/>
        </w:rPr>
        <w:t>4</w:t>
      </w:r>
      <w:r w:rsidR="00AE40D7" w:rsidRPr="00AE40D7">
        <w:rPr>
          <w:lang w:val="en-GB"/>
        </w:rPr>
        <w:t>.</w:t>
      </w:r>
      <w:r w:rsidR="00963B2F">
        <w:rPr>
          <w:lang w:val="en-GB"/>
        </w:rPr>
        <w:t>2</w:t>
      </w:r>
      <w:r w:rsidR="00AE40D7" w:rsidRPr="00AE40D7">
        <w:rPr>
          <w:lang w:val="en-GB"/>
        </w:rPr>
        <w:t xml:space="preserve">5 bar </w:t>
      </w:r>
      <w:r w:rsidR="00972AFB">
        <w:rPr>
          <w:lang w:val="en-GB"/>
        </w:rPr>
        <w:t>for</w:t>
      </w:r>
      <w:r w:rsidR="00AE40D7" w:rsidRPr="00AE40D7">
        <w:rPr>
          <w:lang w:val="en-GB"/>
        </w:rPr>
        <w:t xml:space="preserve"> both holding and loading modes. </w:t>
      </w:r>
      <w:r w:rsidR="00972AFB">
        <w:rPr>
          <w:lang w:val="en-GB"/>
        </w:rPr>
        <w:t>P</w:t>
      </w:r>
      <w:r w:rsidR="00972AFB" w:rsidRPr="00AE40D7">
        <w:rPr>
          <w:lang w:val="en-GB"/>
        </w:rPr>
        <w:t xml:space="preserve">ressure control </w:t>
      </w:r>
      <w:r w:rsidR="00AE40D7" w:rsidRPr="00AE40D7">
        <w:rPr>
          <w:lang w:val="en-GB"/>
        </w:rPr>
        <w:t xml:space="preserve">is </w:t>
      </w:r>
      <w:r w:rsidR="00972AFB">
        <w:rPr>
          <w:lang w:val="en-GB"/>
        </w:rPr>
        <w:t>achieved</w:t>
      </w:r>
      <w:r w:rsidR="001861F0">
        <w:rPr>
          <w:lang w:val="en-GB"/>
        </w:rPr>
        <w:t xml:space="preserve"> using</w:t>
      </w:r>
      <w:r w:rsidR="00AE40D7" w:rsidRPr="00AE40D7">
        <w:rPr>
          <w:lang w:val="en-GB"/>
        </w:rPr>
        <w:t xml:space="preserve"> PCV-102 during holding</w:t>
      </w:r>
      <w:r w:rsidR="001861F0">
        <w:rPr>
          <w:lang w:val="en-GB"/>
        </w:rPr>
        <w:t xml:space="preserve"> mode</w:t>
      </w:r>
      <w:r w:rsidR="00AE40D7" w:rsidRPr="00AE40D7">
        <w:rPr>
          <w:lang w:val="en-GB"/>
        </w:rPr>
        <w:t xml:space="preserve"> and PCV-103 during loading</w:t>
      </w:r>
      <w:r w:rsidR="001861F0">
        <w:rPr>
          <w:lang w:val="en-GB"/>
        </w:rPr>
        <w:t xml:space="preserve"> mode</w:t>
      </w:r>
      <w:r w:rsidR="00AE40D7" w:rsidRPr="00AE40D7">
        <w:rPr>
          <w:lang w:val="en-GB"/>
        </w:rPr>
        <w:t xml:space="preserve">. In holding mode, PCV-103 and HCV-101 </w:t>
      </w:r>
      <w:r w:rsidR="00FD198A">
        <w:rPr>
          <w:lang w:val="en-GB"/>
        </w:rPr>
        <w:t>remain</w:t>
      </w:r>
      <w:r w:rsidR="00AE40D7" w:rsidRPr="00AE40D7">
        <w:rPr>
          <w:lang w:val="en-GB"/>
        </w:rPr>
        <w:t xml:space="preserve"> closed, allowing LH</w:t>
      </w:r>
      <w:r w:rsidR="00AE40D7" w:rsidRPr="009034FA">
        <w:rPr>
          <w:vertAlign w:val="subscript"/>
          <w:lang w:val="en-GB"/>
        </w:rPr>
        <w:t>2</w:t>
      </w:r>
      <w:r w:rsidR="00AE40D7" w:rsidRPr="00AE40D7">
        <w:rPr>
          <w:lang w:val="en-GB"/>
        </w:rPr>
        <w:t xml:space="preserve"> to flow from the onshore tank </w:t>
      </w:r>
      <w:r w:rsidR="00FD198A">
        <w:rPr>
          <w:lang w:val="en-GB"/>
        </w:rPr>
        <w:t>through</w:t>
      </w:r>
      <w:r w:rsidR="00AE40D7" w:rsidRPr="00AE40D7">
        <w:rPr>
          <w:lang w:val="en-GB"/>
        </w:rPr>
        <w:t xml:space="preserve"> CircPipe1, then CircPipe2, and back to the onshore tank. In loading mode, PCV-102 is closed, while HCV-101 and PCV-103 are open</w:t>
      </w:r>
      <w:r w:rsidR="005A710D">
        <w:rPr>
          <w:lang w:val="en-GB"/>
        </w:rPr>
        <w:t>ed</w:t>
      </w:r>
      <w:r w:rsidR="00AE40D7" w:rsidRPr="00AE40D7">
        <w:rPr>
          <w:lang w:val="en-GB"/>
        </w:rPr>
        <w:t xml:space="preserve">, </w:t>
      </w:r>
      <w:r w:rsidR="005A710D">
        <w:rPr>
          <w:lang w:val="en-GB"/>
        </w:rPr>
        <w:t>enabl</w:t>
      </w:r>
      <w:r w:rsidR="00AE40D7" w:rsidRPr="00AE40D7">
        <w:rPr>
          <w:lang w:val="en-GB"/>
        </w:rPr>
        <w:t>ing LH</w:t>
      </w:r>
      <w:r w:rsidR="00AE40D7" w:rsidRPr="00766F6E">
        <w:rPr>
          <w:vertAlign w:val="subscript"/>
          <w:lang w:val="en-GB"/>
        </w:rPr>
        <w:t>2</w:t>
      </w:r>
      <w:r w:rsidR="00AE40D7" w:rsidRPr="00AE40D7">
        <w:rPr>
          <w:lang w:val="en-GB"/>
        </w:rPr>
        <w:t xml:space="preserve"> to flow from the onshore tank through CircPipe1 and CircPipe2 in parallel to the offshore tank. </w:t>
      </w:r>
      <w:r w:rsidR="00DB23A8" w:rsidRPr="00DB23A8">
        <w:rPr>
          <w:lang w:val="en-GB"/>
        </w:rPr>
        <w:t>The pressure in the BOG return pipeline is controlled at 4 bar by PCV-104</w:t>
      </w:r>
      <w:r w:rsidR="00AE40D7" w:rsidRPr="00AE40D7">
        <w:rPr>
          <w:lang w:val="en-GB"/>
        </w:rPr>
        <w:t>.</w:t>
      </w:r>
    </w:p>
    <w:p w14:paraId="0636B784" w14:textId="5D8C1282" w:rsidR="00453E24" w:rsidRPr="00BF5922" w:rsidRDefault="00F460B5" w:rsidP="00F460B5">
      <w:pPr>
        <w:pStyle w:val="CETHeading1"/>
        <w:rPr>
          <w:lang w:val="en-GB"/>
        </w:rPr>
      </w:pPr>
      <w:r w:rsidRPr="00BF5922">
        <w:rPr>
          <w:lang w:val="en-GB"/>
        </w:rPr>
        <w:t>Economic assessment methodology</w:t>
      </w:r>
    </w:p>
    <w:p w14:paraId="5436D977" w14:textId="69479444" w:rsidR="00453E24" w:rsidRPr="00BF5922" w:rsidRDefault="000A17F6" w:rsidP="00FC07DD">
      <w:pPr>
        <w:pStyle w:val="CETBodytext"/>
        <w:rPr>
          <w:lang w:val="en-GB"/>
        </w:rPr>
      </w:pPr>
      <w:r w:rsidRPr="00BF5922">
        <w:rPr>
          <w:lang w:val="en-GB"/>
        </w:rPr>
        <w:t xml:space="preserve">The Levelized Cost </w:t>
      </w:r>
      <w:proofErr w:type="gramStart"/>
      <w:r w:rsidRPr="00BF5922">
        <w:rPr>
          <w:lang w:val="en-GB"/>
        </w:rPr>
        <w:t>Of</w:t>
      </w:r>
      <w:proofErr w:type="gramEnd"/>
      <w:r w:rsidRPr="00BF5922">
        <w:rPr>
          <w:lang w:val="en-GB"/>
        </w:rPr>
        <w:t xml:space="preserve"> Hydrogen (LCOH)</w:t>
      </w:r>
      <w:r w:rsidR="00D74EEB">
        <w:rPr>
          <w:lang w:val="en-GB"/>
        </w:rPr>
        <w:t xml:space="preserve">, as </w:t>
      </w:r>
      <w:r w:rsidR="00F803F9">
        <w:rPr>
          <w:lang w:val="en-GB"/>
        </w:rPr>
        <w:t>defin</w:t>
      </w:r>
      <w:r w:rsidR="00D74EEB">
        <w:rPr>
          <w:lang w:val="en-GB"/>
        </w:rPr>
        <w:t>ed by Restelli et al. (2024),</w:t>
      </w:r>
      <w:r w:rsidRPr="00BF5922">
        <w:rPr>
          <w:lang w:val="en-GB"/>
        </w:rPr>
        <w:t xml:space="preserve"> is </w:t>
      </w:r>
      <w:r w:rsidR="0085358C">
        <w:rPr>
          <w:lang w:val="en-GB"/>
        </w:rPr>
        <w:t>us</w:t>
      </w:r>
      <w:r w:rsidRPr="00BF5922">
        <w:rPr>
          <w:lang w:val="en-GB"/>
        </w:rPr>
        <w:t>ed</w:t>
      </w:r>
      <w:r w:rsidR="0085358C">
        <w:rPr>
          <w:lang w:val="en-GB"/>
        </w:rPr>
        <w:t xml:space="preserve"> as the metric for economic assessment</w:t>
      </w:r>
      <w:r w:rsidR="005379FB">
        <w:rPr>
          <w:lang w:val="en-GB"/>
        </w:rPr>
        <w:t>. Th</w:t>
      </w:r>
      <w:r w:rsidR="003E4708">
        <w:rPr>
          <w:lang w:val="en-GB"/>
        </w:rPr>
        <w:t xml:space="preserve">is </w:t>
      </w:r>
      <w:r w:rsidR="006779CE">
        <w:rPr>
          <w:lang w:val="en-GB"/>
        </w:rPr>
        <w:t>indicator</w:t>
      </w:r>
      <w:r w:rsidR="003E4708">
        <w:rPr>
          <w:lang w:val="en-GB"/>
        </w:rPr>
        <w:t xml:space="preserve"> depends on th</w:t>
      </w:r>
      <w:r w:rsidR="005379FB">
        <w:rPr>
          <w:lang w:val="en-GB"/>
        </w:rPr>
        <w:t>e</w:t>
      </w:r>
      <w:r w:rsidR="006E7B89" w:rsidRPr="00BF5922">
        <w:rPr>
          <w:lang w:val="en-GB"/>
        </w:rPr>
        <w:t xml:space="preserve"> </w:t>
      </w:r>
      <w:r w:rsidR="00F22D15" w:rsidRPr="00BF5922">
        <w:rPr>
          <w:lang w:val="en-GB"/>
        </w:rPr>
        <w:t xml:space="preserve">capital </w:t>
      </w:r>
      <w:r w:rsidR="00F22D15">
        <w:rPr>
          <w:lang w:val="en-GB"/>
        </w:rPr>
        <w:t>expenditures (</w:t>
      </w:r>
      <w:r w:rsidR="006E7B89" w:rsidRPr="00BF5922">
        <w:rPr>
          <w:lang w:val="en-GB"/>
        </w:rPr>
        <w:t>CAPEX</w:t>
      </w:r>
      <w:r w:rsidR="00F22D15">
        <w:rPr>
          <w:lang w:val="en-GB"/>
        </w:rPr>
        <w:t>)</w:t>
      </w:r>
      <w:r w:rsidR="003E4708">
        <w:rPr>
          <w:lang w:val="en-GB"/>
        </w:rPr>
        <w:t>,</w:t>
      </w:r>
      <w:r w:rsidR="006E7B89" w:rsidRPr="00BF5922">
        <w:rPr>
          <w:lang w:val="en-GB"/>
        </w:rPr>
        <w:t xml:space="preserve"> </w:t>
      </w:r>
      <w:r w:rsidR="00F22D15" w:rsidRPr="00BF5922">
        <w:rPr>
          <w:lang w:val="en-GB"/>
        </w:rPr>
        <w:t xml:space="preserve">operating expenditures </w:t>
      </w:r>
      <w:r w:rsidR="00F22D15">
        <w:rPr>
          <w:lang w:val="en-GB"/>
        </w:rPr>
        <w:t>(</w:t>
      </w:r>
      <w:r w:rsidR="006E7B89" w:rsidRPr="00BF5922">
        <w:rPr>
          <w:lang w:val="en-GB"/>
        </w:rPr>
        <w:t>OPEX</w:t>
      </w:r>
      <w:r w:rsidR="00F22D15">
        <w:rPr>
          <w:lang w:val="en-GB"/>
        </w:rPr>
        <w:t>)</w:t>
      </w:r>
      <w:r w:rsidR="003E4708">
        <w:rPr>
          <w:lang w:val="en-GB"/>
        </w:rPr>
        <w:t xml:space="preserve">, </w:t>
      </w:r>
      <w:r w:rsidR="00E074DC">
        <w:rPr>
          <w:lang w:val="en-GB"/>
        </w:rPr>
        <w:t>flow rate of hydrogen</w:t>
      </w:r>
      <w:r w:rsidR="00A92434" w:rsidRPr="00A92434">
        <w:rPr>
          <w:lang w:val="en-GB"/>
        </w:rPr>
        <w:t xml:space="preserve"> </w:t>
      </w:r>
      <w:r w:rsidR="00A92434">
        <w:rPr>
          <w:lang w:val="en-GB"/>
        </w:rPr>
        <w:t>delivered</w:t>
      </w:r>
      <w:r w:rsidR="00E074DC">
        <w:rPr>
          <w:lang w:val="en-GB"/>
        </w:rPr>
        <w:t xml:space="preserve">, </w:t>
      </w:r>
      <w:r w:rsidR="003E4708">
        <w:rPr>
          <w:lang w:val="en-GB"/>
        </w:rPr>
        <w:t>plant lifetime, assumed to be 25 y</w:t>
      </w:r>
      <w:r w:rsidR="007775B1">
        <w:rPr>
          <w:lang w:val="en-GB"/>
        </w:rPr>
        <w:t>, and interest rate, assumed equal to 5%</w:t>
      </w:r>
      <w:r w:rsidR="006E7B89" w:rsidRPr="00BF5922">
        <w:rPr>
          <w:lang w:val="en-GB"/>
        </w:rPr>
        <w:t>.</w:t>
      </w:r>
      <w:r w:rsidR="009B0F36">
        <w:rPr>
          <w:lang w:val="en-GB"/>
        </w:rPr>
        <w:t xml:space="preserve"> The reference year of the estimate is 2023.</w:t>
      </w:r>
      <w:r w:rsidR="00614670">
        <w:rPr>
          <w:lang w:val="en-GB"/>
        </w:rPr>
        <w:t xml:space="preserve"> </w:t>
      </w:r>
      <w:r w:rsidR="00EB3028" w:rsidRPr="00BF5922">
        <w:rPr>
          <w:lang w:val="en-GB"/>
        </w:rPr>
        <w:t>The amount of LH</w:t>
      </w:r>
      <w:r w:rsidR="00EB3028" w:rsidRPr="0076658D">
        <w:rPr>
          <w:vertAlign w:val="subscript"/>
          <w:lang w:val="en-GB"/>
        </w:rPr>
        <w:t>2</w:t>
      </w:r>
      <w:r w:rsidR="00EB3028" w:rsidRPr="00BF5922">
        <w:rPr>
          <w:lang w:val="en-GB"/>
        </w:rPr>
        <w:t xml:space="preserve"> delivered is calculated considering that the ship utili</w:t>
      </w:r>
      <w:r w:rsidR="005730D1">
        <w:rPr>
          <w:lang w:val="en-GB"/>
        </w:rPr>
        <w:t>z</w:t>
      </w:r>
      <w:r w:rsidR="00EB3028" w:rsidRPr="00BF5922">
        <w:rPr>
          <w:lang w:val="en-GB"/>
        </w:rPr>
        <w:t xml:space="preserve">es hydrogen </w:t>
      </w:r>
      <w:r w:rsidR="00B401D3">
        <w:rPr>
          <w:lang w:val="en-GB"/>
        </w:rPr>
        <w:t xml:space="preserve">gas </w:t>
      </w:r>
      <w:r w:rsidR="00EB3028" w:rsidRPr="00BF5922">
        <w:rPr>
          <w:lang w:val="en-GB"/>
        </w:rPr>
        <w:t>as</w:t>
      </w:r>
      <w:r w:rsidR="00B401D3">
        <w:rPr>
          <w:lang w:val="en-GB"/>
        </w:rPr>
        <w:t xml:space="preserve"> a</w:t>
      </w:r>
      <w:r w:rsidR="00EB3028" w:rsidRPr="00BF5922">
        <w:rPr>
          <w:lang w:val="en-GB"/>
        </w:rPr>
        <w:t xml:space="preserve"> fuel and that the heel is </w:t>
      </w:r>
      <w:r w:rsidR="00951C0E">
        <w:rPr>
          <w:lang w:val="en-GB"/>
        </w:rPr>
        <w:t>4</w:t>
      </w:r>
      <w:r w:rsidR="00173F55">
        <w:rPr>
          <w:lang w:val="en-GB"/>
        </w:rPr>
        <w:t xml:space="preserve"> </w:t>
      </w:r>
      <w:r w:rsidR="00EB3028" w:rsidRPr="00BF5922">
        <w:rPr>
          <w:lang w:val="en-GB"/>
        </w:rPr>
        <w:t xml:space="preserve">%. Gaseous hydrogen is </w:t>
      </w:r>
      <w:r w:rsidR="00F17023" w:rsidRPr="00F17023">
        <w:rPr>
          <w:lang w:val="en-GB"/>
        </w:rPr>
        <w:t xml:space="preserve">produced either by warming </w:t>
      </w:r>
      <w:r w:rsidR="00F17023">
        <w:rPr>
          <w:lang w:val="en-GB"/>
        </w:rPr>
        <w:t>BOG</w:t>
      </w:r>
      <w:r w:rsidR="00325945">
        <w:rPr>
          <w:lang w:val="en-GB"/>
        </w:rPr>
        <w:t xml:space="preserve"> </w:t>
      </w:r>
      <w:r w:rsidR="00F17023" w:rsidRPr="00F17023">
        <w:rPr>
          <w:lang w:val="en-GB"/>
        </w:rPr>
        <w:t xml:space="preserve">generated during </w:t>
      </w:r>
      <w:r w:rsidR="00D773F4" w:rsidRPr="00F17023">
        <w:rPr>
          <w:lang w:val="en-GB"/>
        </w:rPr>
        <w:t>shipping</w:t>
      </w:r>
      <w:r w:rsidR="00D773F4">
        <w:rPr>
          <w:lang w:val="en-GB"/>
        </w:rPr>
        <w:t xml:space="preserve"> </w:t>
      </w:r>
      <w:r w:rsidR="00F17023" w:rsidRPr="00F17023">
        <w:rPr>
          <w:lang w:val="en-GB"/>
        </w:rPr>
        <w:t>or, if necessary, by evaporating and warming LH</w:t>
      </w:r>
      <w:r w:rsidR="00F17023" w:rsidRPr="00325945">
        <w:rPr>
          <w:vertAlign w:val="subscript"/>
          <w:lang w:val="en-GB"/>
        </w:rPr>
        <w:t>2</w:t>
      </w:r>
      <w:r w:rsidR="00325945">
        <w:rPr>
          <w:lang w:val="en-GB"/>
        </w:rPr>
        <w:t xml:space="preserve"> </w:t>
      </w:r>
      <w:r w:rsidR="00F17023" w:rsidRPr="00F17023">
        <w:rPr>
          <w:lang w:val="en-GB"/>
        </w:rPr>
        <w:t xml:space="preserve">from the cargo. The BOG rate during </w:t>
      </w:r>
      <w:r w:rsidR="00D773F4">
        <w:rPr>
          <w:lang w:val="en-GB"/>
        </w:rPr>
        <w:t>maritime</w:t>
      </w:r>
      <w:r w:rsidR="00D773F4" w:rsidRPr="00F17023">
        <w:rPr>
          <w:lang w:val="en-GB"/>
        </w:rPr>
        <w:t xml:space="preserve"> transport </w:t>
      </w:r>
      <w:r w:rsidR="00F17023" w:rsidRPr="00F17023">
        <w:rPr>
          <w:lang w:val="en-GB"/>
        </w:rPr>
        <w:t>is assumed to be 0.2</w:t>
      </w:r>
      <w:r w:rsidR="00173F55">
        <w:rPr>
          <w:lang w:val="en-GB"/>
        </w:rPr>
        <w:t xml:space="preserve"> </w:t>
      </w:r>
      <w:r w:rsidR="00F17023" w:rsidRPr="00F17023">
        <w:rPr>
          <w:lang w:val="en-GB"/>
        </w:rPr>
        <w:t>%</w:t>
      </w:r>
      <w:r w:rsidR="00325945">
        <w:rPr>
          <w:lang w:val="en-GB"/>
        </w:rPr>
        <w:t>/</w:t>
      </w:r>
      <w:r w:rsidR="00F17023" w:rsidRPr="00F17023">
        <w:rPr>
          <w:lang w:val="en-GB"/>
        </w:rPr>
        <w:t xml:space="preserve">d, while the fuel consumption rate is estimated at 2,160 kg/d, based on the power requirements of an LNG </w:t>
      </w:r>
      <w:r w:rsidR="00F17023" w:rsidRPr="004513DE">
        <w:rPr>
          <w:lang w:val="en-GB"/>
        </w:rPr>
        <w:t>carrier of comparable size (Damen, 2017), considering</w:t>
      </w:r>
      <w:r w:rsidR="00F17023" w:rsidRPr="00F17023">
        <w:rPr>
          <w:lang w:val="en-GB"/>
        </w:rPr>
        <w:t xml:space="preserve"> hydrogen’s lower heating value of 33.3 kWh/kg.</w:t>
      </w:r>
      <w:r w:rsidR="00D04D1E">
        <w:rPr>
          <w:lang w:val="en-GB"/>
        </w:rPr>
        <w:t xml:space="preserve"> </w:t>
      </w:r>
      <w:r w:rsidR="00EB3028" w:rsidRPr="00BF5922">
        <w:rPr>
          <w:lang w:val="en-GB"/>
        </w:rPr>
        <w:t xml:space="preserve">The investment cost methodology implemented in this </w:t>
      </w:r>
      <w:r w:rsidR="00B06CF2" w:rsidRPr="00B06CF2">
        <w:rPr>
          <w:lang w:val="en-GB"/>
        </w:rPr>
        <w:t>study is based on equipment purchase cost functions and percentage cost factors to account for installation (</w:t>
      </w:r>
      <w:proofErr w:type="spellStart"/>
      <w:r w:rsidR="00B06CF2" w:rsidRPr="00B06CF2">
        <w:rPr>
          <w:lang w:val="en-GB"/>
        </w:rPr>
        <w:t>Walas</w:t>
      </w:r>
      <w:proofErr w:type="spellEnd"/>
      <w:r w:rsidR="00B06CF2" w:rsidRPr="00B06CF2">
        <w:rPr>
          <w:lang w:val="en-GB"/>
        </w:rPr>
        <w:t>, 1998). Cost-capacity relationships are derived from the work of Restelli et al. (2025). Spare units for pumps and compressors are included in the analysis. The bare module cost is estimated using an equipment installation factor</w:t>
      </w:r>
      <w:r w:rsidR="00B06CF2">
        <w:rPr>
          <w:lang w:val="en-GB"/>
        </w:rPr>
        <w:t xml:space="preserve"> </w:t>
      </w:r>
      <w:r w:rsidR="00EB3028" w:rsidRPr="00BF5922">
        <w:rPr>
          <w:lang w:val="en-GB"/>
        </w:rPr>
        <w:t>(</w:t>
      </w:r>
      <w:proofErr w:type="spellStart"/>
      <w:proofErr w:type="gramStart"/>
      <w:r w:rsidR="00EB3028" w:rsidRPr="00BF5922">
        <w:rPr>
          <w:lang w:val="en-GB"/>
        </w:rPr>
        <w:t>f</w:t>
      </w:r>
      <w:r w:rsidR="00EB3028" w:rsidRPr="00842446">
        <w:rPr>
          <w:vertAlign w:val="subscript"/>
          <w:lang w:val="en-GB"/>
        </w:rPr>
        <w:t>ins,eq</w:t>
      </w:r>
      <w:proofErr w:type="spellEnd"/>
      <w:proofErr w:type="gramEnd"/>
      <w:r w:rsidR="00EB3028" w:rsidRPr="00BF5922">
        <w:rPr>
          <w:lang w:val="en-GB"/>
        </w:rPr>
        <w:t xml:space="preserve">) </w:t>
      </w:r>
      <w:r w:rsidR="00912D12" w:rsidRPr="00912D12">
        <w:rPr>
          <w:lang w:val="en-GB"/>
        </w:rPr>
        <w:t>that varies depending on equipment type and complexity, with data sourced from literature (</w:t>
      </w:r>
      <w:proofErr w:type="spellStart"/>
      <w:r w:rsidR="00912D12" w:rsidRPr="00912D12">
        <w:rPr>
          <w:lang w:val="en-GB"/>
        </w:rPr>
        <w:t>Nexant</w:t>
      </w:r>
      <w:proofErr w:type="spellEnd"/>
      <w:r w:rsidR="00912D12" w:rsidRPr="00912D12">
        <w:rPr>
          <w:lang w:val="en-GB"/>
        </w:rPr>
        <w:t xml:space="preserve"> Inc., 2008).</w:t>
      </w:r>
      <w:r w:rsidR="00FC07DD">
        <w:rPr>
          <w:lang w:val="en-GB"/>
        </w:rPr>
        <w:t xml:space="preserve"> </w:t>
      </w:r>
      <w:r w:rsidR="00912D12" w:rsidRPr="00912D12">
        <w:rPr>
          <w:lang w:val="en-GB"/>
        </w:rPr>
        <w:t>Additionally, a general installation factor</w:t>
      </w:r>
      <w:r w:rsidR="00912D12">
        <w:rPr>
          <w:lang w:val="en-GB"/>
        </w:rPr>
        <w:t xml:space="preserve"> (</w:t>
      </w:r>
      <w:r w:rsidR="00BB3EBC" w:rsidRPr="00BF5922">
        <w:rPr>
          <w:lang w:val="en-GB"/>
        </w:rPr>
        <w:t>f</w:t>
      </w:r>
      <w:r w:rsidR="00BB3EBC" w:rsidRPr="00B51D28">
        <w:rPr>
          <w:vertAlign w:val="subscript"/>
          <w:lang w:val="en-GB"/>
        </w:rPr>
        <w:t>ins</w:t>
      </w:r>
      <w:r w:rsidR="00912D12">
        <w:rPr>
          <w:lang w:val="en-GB"/>
        </w:rPr>
        <w:t>)</w:t>
      </w:r>
      <w:r w:rsidR="00BB3EBC" w:rsidRPr="00BF5922">
        <w:rPr>
          <w:lang w:val="en-GB"/>
        </w:rPr>
        <w:t xml:space="preserve"> </w:t>
      </w:r>
      <w:r w:rsidR="00D540D1" w:rsidRPr="00D540D1">
        <w:rPr>
          <w:lang w:val="en-GB"/>
        </w:rPr>
        <w:t>is applied to cover costs related to engineering and supervision, overhead, administration,</w:t>
      </w:r>
      <w:r w:rsidR="00D540D1">
        <w:rPr>
          <w:lang w:val="en-GB"/>
        </w:rPr>
        <w:t xml:space="preserve"> </w:t>
      </w:r>
      <w:r w:rsidR="00D540D1" w:rsidRPr="00D540D1">
        <w:rPr>
          <w:lang w:val="en-GB"/>
        </w:rPr>
        <w:t>construction</w:t>
      </w:r>
      <w:r w:rsidR="00D540D1">
        <w:rPr>
          <w:lang w:val="en-GB"/>
        </w:rPr>
        <w:t xml:space="preserve">, </w:t>
      </w:r>
      <w:r w:rsidR="00D540D1" w:rsidRPr="00D540D1">
        <w:rPr>
          <w:lang w:val="en-GB"/>
        </w:rPr>
        <w:t>general electrical and safety systems, site preparation, offsite capital, contracting fees, project execution, and commissioning. This factor, typically expressed as a multiplier of the total equipment cost</w:t>
      </w:r>
      <w:r w:rsidR="008630E1">
        <w:rPr>
          <w:lang w:val="en-GB"/>
        </w:rPr>
        <w:t xml:space="preserve"> (</w:t>
      </w:r>
      <w:proofErr w:type="spellStart"/>
      <w:r w:rsidR="008630E1">
        <w:rPr>
          <w:lang w:val="en-GB"/>
        </w:rPr>
        <w:t>Walas</w:t>
      </w:r>
      <w:proofErr w:type="spellEnd"/>
      <w:r w:rsidR="008630E1">
        <w:rPr>
          <w:lang w:val="en-GB"/>
        </w:rPr>
        <w:t>, 1998)</w:t>
      </w:r>
      <w:r w:rsidR="00D540D1" w:rsidRPr="00D540D1">
        <w:rPr>
          <w:lang w:val="en-GB"/>
        </w:rPr>
        <w:t>, is set to</w:t>
      </w:r>
      <w:r w:rsidR="00BB3EBC" w:rsidRPr="00BF5922">
        <w:rPr>
          <w:lang w:val="en-GB"/>
        </w:rPr>
        <w:t xml:space="preserve"> f</w:t>
      </w:r>
      <w:r w:rsidR="00BB3EBC" w:rsidRPr="00C27C05">
        <w:rPr>
          <w:vertAlign w:val="subscript"/>
          <w:lang w:val="en-GB"/>
        </w:rPr>
        <w:t>ins</w:t>
      </w:r>
      <w:r w:rsidR="00BB3EBC" w:rsidRPr="00BF5922">
        <w:rPr>
          <w:lang w:val="en-GB"/>
        </w:rPr>
        <w:t xml:space="preserve"> = 1.6 </w:t>
      </w:r>
      <w:r w:rsidR="00FC07DD" w:rsidRPr="00FC07DD">
        <w:rPr>
          <w:lang w:val="en-GB"/>
        </w:rPr>
        <w:t>in line with recent findings by Lee et al. (2022).</w:t>
      </w:r>
      <w:r w:rsidR="00D04D1E">
        <w:rPr>
          <w:lang w:val="en-GB"/>
        </w:rPr>
        <w:t xml:space="preserve"> </w:t>
      </w:r>
      <w:r w:rsidR="00FC07DD" w:rsidRPr="00FC07DD">
        <w:rPr>
          <w:lang w:val="en-GB"/>
        </w:rPr>
        <w:t>OPEX includes utility costs</w:t>
      </w:r>
      <w:r w:rsidR="00BB3EBC" w:rsidRPr="00BF5922">
        <w:rPr>
          <w:lang w:val="en-GB"/>
        </w:rPr>
        <w:t xml:space="preserve"> related to the electricity consumption </w:t>
      </w:r>
      <w:r w:rsidR="00C20943">
        <w:rPr>
          <w:lang w:val="en-GB"/>
        </w:rPr>
        <w:t>by</w:t>
      </w:r>
      <w:r w:rsidR="00BB3EBC" w:rsidRPr="00BF5922">
        <w:rPr>
          <w:lang w:val="en-GB"/>
        </w:rPr>
        <w:t xml:space="preserve"> pumps and compressors, which is retrieved from the simulation. The price of electricity is estimated to be 0.03</w:t>
      </w:r>
      <w:r w:rsidR="00520C35">
        <w:rPr>
          <w:lang w:val="en-GB"/>
        </w:rPr>
        <w:t>2</w:t>
      </w:r>
      <w:r w:rsidR="00BB3EBC" w:rsidRPr="00BF5922">
        <w:rPr>
          <w:lang w:val="en-GB"/>
        </w:rPr>
        <w:t xml:space="preserve"> </w:t>
      </w:r>
      <w:r w:rsidR="00441893">
        <w:rPr>
          <w:lang w:val="en-GB"/>
        </w:rPr>
        <w:t>€</w:t>
      </w:r>
      <w:r w:rsidR="00BB3EBC" w:rsidRPr="00BF5922">
        <w:rPr>
          <w:lang w:val="en-GB"/>
        </w:rPr>
        <w:t xml:space="preserve">/kWh, </w:t>
      </w:r>
      <w:r w:rsidR="003608B3" w:rsidRPr="003608B3">
        <w:rPr>
          <w:lang w:val="en-GB"/>
        </w:rPr>
        <w:t>with electricity prices estimated at 0.032</w:t>
      </w:r>
      <w:r w:rsidR="00390A5C">
        <w:rPr>
          <w:lang w:val="en-GB"/>
        </w:rPr>
        <w:t xml:space="preserve"> €</w:t>
      </w:r>
      <w:r w:rsidR="003608B3" w:rsidRPr="003608B3">
        <w:rPr>
          <w:lang w:val="en-GB"/>
        </w:rPr>
        <w:t>/kWh based on Algeria’s average electricity price in 2023 (Statista, 2023). Operating and maintenance expenses are assumed to be 10</w:t>
      </w:r>
      <w:r w:rsidR="00173F55">
        <w:rPr>
          <w:lang w:val="en-GB"/>
        </w:rPr>
        <w:t xml:space="preserve"> </w:t>
      </w:r>
      <w:r w:rsidR="003608B3" w:rsidRPr="003608B3">
        <w:rPr>
          <w:lang w:val="en-GB"/>
        </w:rPr>
        <w:t>% of the annual CAPEX</w:t>
      </w:r>
      <w:r w:rsidR="00453E24" w:rsidRPr="00BF5922">
        <w:rPr>
          <w:lang w:val="en-GB"/>
        </w:rPr>
        <w:t>.</w:t>
      </w:r>
    </w:p>
    <w:p w14:paraId="439340C0" w14:textId="12D6BF83" w:rsidR="005868D0" w:rsidRDefault="002E01B0" w:rsidP="005868D0">
      <w:pPr>
        <w:pStyle w:val="CETHeading1"/>
        <w:tabs>
          <w:tab w:val="clear" w:pos="360"/>
          <w:tab w:val="right" w:pos="7100"/>
        </w:tabs>
        <w:jc w:val="both"/>
        <w:rPr>
          <w:lang w:val="en-GB"/>
        </w:rPr>
      </w:pPr>
      <w:r>
        <w:rPr>
          <w:lang w:val="en-GB"/>
        </w:rPr>
        <w:t>Results and discussion</w:t>
      </w:r>
    </w:p>
    <w:p w14:paraId="5664F03B" w14:textId="6D4CDC8D" w:rsidR="00AE642B" w:rsidRDefault="00C05557" w:rsidP="00AE642B">
      <w:pPr>
        <w:pStyle w:val="CETBodytext"/>
        <w:rPr>
          <w:lang w:val="en-GB"/>
        </w:rPr>
      </w:pPr>
      <w:r>
        <w:rPr>
          <w:lang w:val="en-GB"/>
        </w:rPr>
        <w:fldChar w:fldCharType="begin"/>
      </w:r>
      <w:r>
        <w:rPr>
          <w:lang w:val="en-GB"/>
        </w:rPr>
        <w:instrText xml:space="preserve"> REF _Ref183689836 \h </w:instrText>
      </w:r>
      <w:r>
        <w:rPr>
          <w:lang w:val="en-GB"/>
        </w:rPr>
      </w:r>
      <w:r>
        <w:rPr>
          <w:lang w:val="en-GB"/>
        </w:rPr>
        <w:fldChar w:fldCharType="separate"/>
      </w:r>
      <w:r>
        <w:t xml:space="preserve">Table </w:t>
      </w:r>
      <w:r>
        <w:rPr>
          <w:noProof/>
        </w:rPr>
        <w:t>1</w:t>
      </w:r>
      <w:r>
        <w:rPr>
          <w:lang w:val="en-GB"/>
        </w:rPr>
        <w:fldChar w:fldCharType="end"/>
      </w:r>
      <w:r w:rsidR="00AE642B" w:rsidRPr="00AE642B">
        <w:rPr>
          <w:lang w:val="en-GB"/>
        </w:rPr>
        <w:t xml:space="preserve"> </w:t>
      </w:r>
      <w:r w:rsidR="000719DA" w:rsidRPr="000719DA">
        <w:rPr>
          <w:lang w:val="en-GB"/>
        </w:rPr>
        <w:t xml:space="preserve">presents the results for the duration and BOG generation for each operational mode and the overall process. The holding mode lasts 257.3 h (10.7 d), while the loading mode takes 4.7 h. It is important to note that during export terminal operations, no BOG is vented. The BOG reported in </w:t>
      </w:r>
      <w:r w:rsidR="001E38AA">
        <w:rPr>
          <w:lang w:val="en-GB"/>
        </w:rPr>
        <w:fldChar w:fldCharType="begin"/>
      </w:r>
      <w:r w:rsidR="001E38AA">
        <w:rPr>
          <w:lang w:val="en-GB"/>
        </w:rPr>
        <w:instrText xml:space="preserve"> REF _Ref183689836 \h </w:instrText>
      </w:r>
      <w:r w:rsidR="001E38AA">
        <w:rPr>
          <w:lang w:val="en-GB"/>
        </w:rPr>
      </w:r>
      <w:r w:rsidR="001E38AA">
        <w:rPr>
          <w:lang w:val="en-GB"/>
        </w:rPr>
        <w:fldChar w:fldCharType="separate"/>
      </w:r>
      <w:r w:rsidR="001E38AA">
        <w:t xml:space="preserve">Table </w:t>
      </w:r>
      <w:r w:rsidR="001E38AA">
        <w:rPr>
          <w:noProof/>
        </w:rPr>
        <w:t>1</w:t>
      </w:r>
      <w:r w:rsidR="001E38AA">
        <w:rPr>
          <w:lang w:val="en-GB"/>
        </w:rPr>
        <w:fldChar w:fldCharType="end"/>
      </w:r>
      <w:r w:rsidR="001E38AA">
        <w:rPr>
          <w:lang w:val="en-GB"/>
        </w:rPr>
        <w:t xml:space="preserve"> </w:t>
      </w:r>
      <w:r w:rsidR="004F1462" w:rsidRPr="004F1462">
        <w:rPr>
          <w:lang w:val="en-GB"/>
        </w:rPr>
        <w:t>refers to the amount processed by compressor K-100 and sent to a recovery unit, as detailed in</w:t>
      </w:r>
      <w:r w:rsidR="004F1462">
        <w:rPr>
          <w:lang w:val="en-GB"/>
        </w:rPr>
        <w:t xml:space="preserve"> </w:t>
      </w:r>
      <w:r w:rsidR="00CA65D8" w:rsidRPr="00AE642B">
        <w:rPr>
          <w:lang w:val="en-GB"/>
        </w:rPr>
        <w:t xml:space="preserve">Section </w:t>
      </w:r>
      <w:r w:rsidR="00C97A48">
        <w:rPr>
          <w:lang w:val="en-GB"/>
        </w:rPr>
        <w:fldChar w:fldCharType="begin"/>
      </w:r>
      <w:r w:rsidR="00C97A48">
        <w:rPr>
          <w:lang w:val="en-GB"/>
        </w:rPr>
        <w:instrText xml:space="preserve"> REF _Ref183707876 \r \h </w:instrText>
      </w:r>
      <w:r w:rsidR="00C97A48">
        <w:rPr>
          <w:lang w:val="en-GB"/>
        </w:rPr>
      </w:r>
      <w:r w:rsidR="00C97A48">
        <w:rPr>
          <w:lang w:val="en-GB"/>
        </w:rPr>
        <w:fldChar w:fldCharType="separate"/>
      </w:r>
      <w:r w:rsidR="00C97A48">
        <w:rPr>
          <w:lang w:val="en-GB"/>
        </w:rPr>
        <w:t>5.2</w:t>
      </w:r>
      <w:r w:rsidR="00C97A48">
        <w:rPr>
          <w:lang w:val="en-GB"/>
        </w:rPr>
        <w:fldChar w:fldCharType="end"/>
      </w:r>
      <w:r w:rsidR="00CA65D8" w:rsidRPr="00AE642B">
        <w:rPr>
          <w:lang w:val="en-GB"/>
        </w:rPr>
        <w:t xml:space="preserve">. </w:t>
      </w:r>
      <w:r w:rsidR="0076393E">
        <w:rPr>
          <w:lang w:val="en-GB"/>
        </w:rPr>
        <w:t>During</w:t>
      </w:r>
      <w:r w:rsidR="00CA65D8" w:rsidRPr="00AE642B">
        <w:rPr>
          <w:lang w:val="en-GB"/>
        </w:rPr>
        <w:t xml:space="preserve"> the </w:t>
      </w:r>
      <w:r w:rsidR="00C97A48">
        <w:rPr>
          <w:lang w:val="en-GB"/>
        </w:rPr>
        <w:t xml:space="preserve">export terminal </w:t>
      </w:r>
      <w:r w:rsidR="00C97A48" w:rsidRPr="00AE642B">
        <w:rPr>
          <w:lang w:val="en-GB"/>
        </w:rPr>
        <w:t>operation</w:t>
      </w:r>
      <w:r w:rsidR="00C97A48">
        <w:rPr>
          <w:lang w:val="en-GB"/>
        </w:rPr>
        <w:t>s</w:t>
      </w:r>
      <w:r w:rsidR="00CA65D8" w:rsidRPr="00AE642B">
        <w:rPr>
          <w:lang w:val="en-GB"/>
        </w:rPr>
        <w:t xml:space="preserve">, the </w:t>
      </w:r>
      <w:r w:rsidR="0076393E">
        <w:rPr>
          <w:lang w:val="en-GB"/>
        </w:rPr>
        <w:t xml:space="preserve">total </w:t>
      </w:r>
      <w:r w:rsidR="00CA65D8" w:rsidRPr="00AE642B">
        <w:rPr>
          <w:lang w:val="en-GB"/>
        </w:rPr>
        <w:t xml:space="preserve">BOG generation </w:t>
      </w:r>
      <w:r w:rsidR="0076393E">
        <w:rPr>
          <w:lang w:val="en-GB"/>
        </w:rPr>
        <w:t>account</w:t>
      </w:r>
      <w:r w:rsidR="00C3264C">
        <w:rPr>
          <w:lang w:val="en-GB"/>
        </w:rPr>
        <w:t>s</w:t>
      </w:r>
      <w:r w:rsidR="0076393E">
        <w:rPr>
          <w:lang w:val="en-GB"/>
        </w:rPr>
        <w:t xml:space="preserve"> for</w:t>
      </w:r>
      <w:r w:rsidR="00C3264C">
        <w:rPr>
          <w:lang w:val="en-GB"/>
        </w:rPr>
        <w:t xml:space="preserve"> </w:t>
      </w:r>
      <w:r w:rsidR="00CA65D8" w:rsidRPr="00AE642B">
        <w:rPr>
          <w:lang w:val="en-GB"/>
        </w:rPr>
        <w:t>1</w:t>
      </w:r>
      <w:r w:rsidR="001635A1">
        <w:rPr>
          <w:lang w:val="en-GB"/>
        </w:rPr>
        <w:t>0.1</w:t>
      </w:r>
      <w:r w:rsidR="00173F55">
        <w:rPr>
          <w:lang w:val="en-GB"/>
        </w:rPr>
        <w:t xml:space="preserve"> </w:t>
      </w:r>
      <w:r w:rsidR="00CA65D8" w:rsidRPr="00AE642B">
        <w:rPr>
          <w:lang w:val="en-GB"/>
        </w:rPr>
        <w:t>%</w:t>
      </w:r>
      <w:r w:rsidR="00C3264C">
        <w:rPr>
          <w:lang w:val="en-GB"/>
        </w:rPr>
        <w:t xml:space="preserve"> </w:t>
      </w:r>
      <w:r w:rsidR="00CA65D8" w:rsidRPr="00AE642B">
        <w:rPr>
          <w:lang w:val="en-GB"/>
        </w:rPr>
        <w:t>of the total LH</w:t>
      </w:r>
      <w:r w:rsidR="00CA65D8" w:rsidRPr="00C97A48">
        <w:rPr>
          <w:vertAlign w:val="subscript"/>
          <w:lang w:val="en-GB"/>
        </w:rPr>
        <w:t>2</w:t>
      </w:r>
      <w:r w:rsidR="00CA65D8" w:rsidRPr="00AE642B">
        <w:rPr>
          <w:lang w:val="en-GB"/>
        </w:rPr>
        <w:t xml:space="preserve"> </w:t>
      </w:r>
      <w:r w:rsidR="00F11548">
        <w:rPr>
          <w:lang w:val="en-GB"/>
        </w:rPr>
        <w:t>fe</w:t>
      </w:r>
      <w:r w:rsidR="00CA65D8" w:rsidRPr="00AE642B">
        <w:rPr>
          <w:lang w:val="en-GB"/>
        </w:rPr>
        <w:t>ed.</w:t>
      </w:r>
    </w:p>
    <w:p w14:paraId="6A2C99AC" w14:textId="07B8DAF9" w:rsidR="008A11B6" w:rsidRPr="00B57B36" w:rsidRDefault="00CB5BD0" w:rsidP="00CB5BD0">
      <w:pPr>
        <w:pStyle w:val="CETTabletitle"/>
      </w:pPr>
      <w:bookmarkStart w:id="2" w:name="_Ref183689836"/>
      <w:r>
        <w:t xml:space="preserve">Table </w:t>
      </w:r>
      <w:r>
        <w:fldChar w:fldCharType="begin"/>
      </w:r>
      <w:r>
        <w:instrText xml:space="preserve"> SEQ Table \* ARABIC </w:instrText>
      </w:r>
      <w:r>
        <w:fldChar w:fldCharType="separate"/>
      </w:r>
      <w:r>
        <w:rPr>
          <w:noProof/>
        </w:rPr>
        <w:t>1</w:t>
      </w:r>
      <w:r>
        <w:fldChar w:fldCharType="end"/>
      </w:r>
      <w:bookmarkEnd w:id="2"/>
      <w:r w:rsidR="008A11B6" w:rsidRPr="00B57B36">
        <w:t xml:space="preserve">: </w:t>
      </w:r>
      <w:r w:rsidR="0020521B">
        <w:t>Case study res</w:t>
      </w:r>
      <w:r w:rsidR="009F5313">
        <w:t>ults</w:t>
      </w:r>
      <w:r w:rsidR="00222C53">
        <w:t xml:space="preserve"> </w:t>
      </w:r>
      <w:r w:rsidR="007A54DD">
        <w:t>for</w:t>
      </w:r>
      <w:r w:rsidR="00222C53" w:rsidRPr="00222C53">
        <w:t xml:space="preserve"> each operation</w:t>
      </w:r>
      <w:r w:rsidR="008155B2">
        <w:t>al</w:t>
      </w:r>
      <w:r w:rsidR="00222C53" w:rsidRPr="00222C53">
        <w:t xml:space="preserve"> mode and the overall process</w:t>
      </w:r>
      <w:r w:rsidR="00222C53">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134"/>
        <w:gridCol w:w="1843"/>
        <w:gridCol w:w="2409"/>
        <w:gridCol w:w="1928"/>
      </w:tblGrid>
      <w:tr w:rsidR="00AE03C2" w:rsidRPr="00B57B36" w14:paraId="44B1E2BE" w14:textId="77777777" w:rsidTr="001E38AA">
        <w:tc>
          <w:tcPr>
            <w:tcW w:w="1134" w:type="dxa"/>
            <w:tcBorders>
              <w:top w:val="single" w:sz="12" w:space="0" w:color="008000"/>
              <w:bottom w:val="single" w:sz="6" w:space="0" w:color="008000"/>
            </w:tcBorders>
            <w:shd w:val="clear" w:color="auto" w:fill="FFFFFF"/>
          </w:tcPr>
          <w:p w14:paraId="4C10570A" w14:textId="11C6F6EF" w:rsidR="00AE03C2" w:rsidRPr="00B57B36" w:rsidRDefault="00AE03C2" w:rsidP="00047E0C">
            <w:pPr>
              <w:pStyle w:val="CETBodytext"/>
              <w:rPr>
                <w:lang w:val="en-GB"/>
              </w:rPr>
            </w:pPr>
            <w:r>
              <w:rPr>
                <w:lang w:val="en-GB"/>
              </w:rPr>
              <w:t>Mode</w:t>
            </w:r>
          </w:p>
        </w:tc>
        <w:tc>
          <w:tcPr>
            <w:tcW w:w="1134" w:type="dxa"/>
            <w:tcBorders>
              <w:top w:val="single" w:sz="12" w:space="0" w:color="008000"/>
              <w:bottom w:val="single" w:sz="6" w:space="0" w:color="008000"/>
            </w:tcBorders>
            <w:shd w:val="clear" w:color="auto" w:fill="FFFFFF"/>
          </w:tcPr>
          <w:p w14:paraId="29E808A1" w14:textId="7922A334" w:rsidR="00AE03C2" w:rsidRPr="00B57B36" w:rsidRDefault="00AE03C2" w:rsidP="00047E0C">
            <w:pPr>
              <w:pStyle w:val="CETBodytext"/>
              <w:rPr>
                <w:lang w:val="en-GB"/>
              </w:rPr>
            </w:pPr>
            <w:r>
              <w:rPr>
                <w:lang w:val="en-GB"/>
              </w:rPr>
              <w:t xml:space="preserve">Duration </w:t>
            </w:r>
            <w:r w:rsidR="00BF61EB">
              <w:rPr>
                <w:lang w:val="en-GB"/>
              </w:rPr>
              <w:t>[</w:t>
            </w:r>
            <w:r>
              <w:rPr>
                <w:lang w:val="en-GB"/>
              </w:rPr>
              <w:t>h</w:t>
            </w:r>
            <w:r w:rsidR="00BF61EB">
              <w:rPr>
                <w:lang w:val="en-GB"/>
              </w:rPr>
              <w:t>]</w:t>
            </w:r>
          </w:p>
        </w:tc>
        <w:tc>
          <w:tcPr>
            <w:tcW w:w="1843" w:type="dxa"/>
            <w:tcBorders>
              <w:top w:val="single" w:sz="12" w:space="0" w:color="008000"/>
              <w:bottom w:val="single" w:sz="6" w:space="0" w:color="008000"/>
            </w:tcBorders>
            <w:shd w:val="clear" w:color="auto" w:fill="FFFFFF"/>
          </w:tcPr>
          <w:p w14:paraId="720526FE" w14:textId="6555355E" w:rsidR="00AE03C2" w:rsidRDefault="00AE03C2" w:rsidP="00047E0C">
            <w:pPr>
              <w:pStyle w:val="CETBodytext"/>
              <w:rPr>
                <w:lang w:val="en-GB"/>
              </w:rPr>
            </w:pPr>
            <w:r>
              <w:rPr>
                <w:lang w:val="en-GB"/>
              </w:rPr>
              <w:t>T</w:t>
            </w:r>
            <w:proofErr w:type="spellStart"/>
            <w:r>
              <w:t>otal</w:t>
            </w:r>
            <w:proofErr w:type="spellEnd"/>
            <w:r>
              <w:t xml:space="preserve"> BOG </w:t>
            </w:r>
            <w:r w:rsidR="00BF61EB">
              <w:t>[</w:t>
            </w:r>
            <w:r>
              <w:t>t</w:t>
            </w:r>
            <w:r w:rsidR="00BF61EB">
              <w:t>]</w:t>
            </w:r>
          </w:p>
        </w:tc>
        <w:tc>
          <w:tcPr>
            <w:tcW w:w="2409" w:type="dxa"/>
            <w:tcBorders>
              <w:top w:val="single" w:sz="12" w:space="0" w:color="008000"/>
              <w:bottom w:val="single" w:sz="6" w:space="0" w:color="008000"/>
            </w:tcBorders>
            <w:shd w:val="clear" w:color="auto" w:fill="FFFFFF"/>
          </w:tcPr>
          <w:p w14:paraId="1FB207BF" w14:textId="4D9C0899" w:rsidR="00AE03C2" w:rsidRDefault="008D43FC" w:rsidP="00047E0C">
            <w:pPr>
              <w:pStyle w:val="CETBodytext"/>
              <w:rPr>
                <w:lang w:val="en-GB"/>
              </w:rPr>
            </w:pPr>
            <w:r>
              <w:rPr>
                <w:lang w:val="en-GB"/>
              </w:rPr>
              <w:t xml:space="preserve">Average BOG </w:t>
            </w:r>
            <w:r w:rsidR="006039C1">
              <w:rPr>
                <w:lang w:val="en-GB"/>
              </w:rPr>
              <w:t xml:space="preserve">flow rate </w:t>
            </w:r>
            <w:r w:rsidR="00BF61EB">
              <w:t>[</w:t>
            </w:r>
            <w:r w:rsidR="00AE03C2">
              <w:t>t</w:t>
            </w:r>
            <w:r w:rsidR="006039C1">
              <w:t>/d</w:t>
            </w:r>
            <w:r w:rsidR="00BF61EB">
              <w:t>]</w:t>
            </w:r>
          </w:p>
        </w:tc>
        <w:tc>
          <w:tcPr>
            <w:tcW w:w="1928" w:type="dxa"/>
            <w:tcBorders>
              <w:top w:val="single" w:sz="12" w:space="0" w:color="008000"/>
              <w:bottom w:val="single" w:sz="6" w:space="0" w:color="008000"/>
            </w:tcBorders>
            <w:shd w:val="clear" w:color="auto" w:fill="FFFFFF"/>
          </w:tcPr>
          <w:p w14:paraId="6F5CD9FC" w14:textId="338D8479" w:rsidR="00AE03C2" w:rsidRDefault="006039C1" w:rsidP="00047E0C">
            <w:pPr>
              <w:pStyle w:val="CETBodytext"/>
              <w:rPr>
                <w:lang w:val="en-GB"/>
              </w:rPr>
            </w:pPr>
            <w:r>
              <w:t>BOG% of the feed</w:t>
            </w:r>
            <w:r w:rsidR="00AE03C2">
              <w:t xml:space="preserve"> </w:t>
            </w:r>
            <w:r w:rsidR="00BF61EB">
              <w:t>[</w:t>
            </w:r>
            <w:r w:rsidR="00F11548">
              <w:t>%</w:t>
            </w:r>
            <w:r w:rsidR="00BF61EB">
              <w:t>]</w:t>
            </w:r>
          </w:p>
        </w:tc>
      </w:tr>
      <w:tr w:rsidR="00AE03C2" w:rsidRPr="00B57B36" w14:paraId="795563AA" w14:textId="77777777" w:rsidTr="001E38AA">
        <w:tc>
          <w:tcPr>
            <w:tcW w:w="1134" w:type="dxa"/>
            <w:shd w:val="clear" w:color="auto" w:fill="FFFFFF"/>
          </w:tcPr>
          <w:p w14:paraId="775472DB" w14:textId="6BB657EE" w:rsidR="00AE03C2" w:rsidRPr="00B57B36" w:rsidRDefault="00AE03C2" w:rsidP="00047E0C">
            <w:pPr>
              <w:pStyle w:val="CETBodytext"/>
              <w:rPr>
                <w:lang w:val="en-GB"/>
              </w:rPr>
            </w:pPr>
            <w:r>
              <w:rPr>
                <w:lang w:val="en-GB"/>
              </w:rPr>
              <w:t>Holding (I)</w:t>
            </w:r>
          </w:p>
        </w:tc>
        <w:tc>
          <w:tcPr>
            <w:tcW w:w="1134" w:type="dxa"/>
            <w:shd w:val="clear" w:color="auto" w:fill="FFFFFF"/>
          </w:tcPr>
          <w:p w14:paraId="7DC72D12" w14:textId="42DA7F81" w:rsidR="00AE03C2" w:rsidRPr="00B57B36" w:rsidRDefault="005F294A" w:rsidP="00047E0C">
            <w:pPr>
              <w:pStyle w:val="CETBodytext"/>
              <w:rPr>
                <w:lang w:val="en-GB"/>
              </w:rPr>
            </w:pPr>
            <w:r>
              <w:rPr>
                <w:lang w:val="en-GB"/>
              </w:rPr>
              <w:t>257.3</w:t>
            </w:r>
          </w:p>
        </w:tc>
        <w:tc>
          <w:tcPr>
            <w:tcW w:w="1843" w:type="dxa"/>
            <w:shd w:val="clear" w:color="auto" w:fill="FFFFFF"/>
          </w:tcPr>
          <w:p w14:paraId="497681E6" w14:textId="5E630152" w:rsidR="00AE03C2" w:rsidRPr="00B57B36" w:rsidRDefault="00504556" w:rsidP="00047E0C">
            <w:pPr>
              <w:pStyle w:val="CETBodytext"/>
              <w:rPr>
                <w:lang w:val="en-GB"/>
              </w:rPr>
            </w:pPr>
            <w:r>
              <w:rPr>
                <w:lang w:val="en-GB"/>
              </w:rPr>
              <w:t>47.8</w:t>
            </w:r>
          </w:p>
        </w:tc>
        <w:tc>
          <w:tcPr>
            <w:tcW w:w="2409" w:type="dxa"/>
            <w:shd w:val="clear" w:color="auto" w:fill="FFFFFF"/>
          </w:tcPr>
          <w:p w14:paraId="0E41A652" w14:textId="77574B9B" w:rsidR="00AE03C2" w:rsidRPr="00B57B36" w:rsidRDefault="00E817A1" w:rsidP="00047E0C">
            <w:pPr>
              <w:pStyle w:val="CETBodytext"/>
              <w:rPr>
                <w:lang w:val="en-GB"/>
              </w:rPr>
            </w:pPr>
            <w:r>
              <w:rPr>
                <w:lang w:val="en-GB"/>
              </w:rPr>
              <w:t>4.5</w:t>
            </w:r>
          </w:p>
        </w:tc>
        <w:tc>
          <w:tcPr>
            <w:tcW w:w="1928" w:type="dxa"/>
            <w:shd w:val="clear" w:color="auto" w:fill="FFFFFF"/>
          </w:tcPr>
          <w:p w14:paraId="132C27B2" w14:textId="0035DBF4" w:rsidR="00AE03C2" w:rsidRPr="00B57B36" w:rsidRDefault="001635A1" w:rsidP="00047E0C">
            <w:pPr>
              <w:pStyle w:val="CETBodytext"/>
              <w:rPr>
                <w:lang w:val="en-GB"/>
              </w:rPr>
            </w:pPr>
            <w:r>
              <w:rPr>
                <w:lang w:val="en-GB"/>
              </w:rPr>
              <w:t>10.1</w:t>
            </w:r>
          </w:p>
        </w:tc>
      </w:tr>
      <w:tr w:rsidR="00AE03C2" w:rsidRPr="00B57B36" w14:paraId="7D135F14" w14:textId="77777777" w:rsidTr="001E38AA">
        <w:tc>
          <w:tcPr>
            <w:tcW w:w="1134" w:type="dxa"/>
            <w:shd w:val="clear" w:color="auto" w:fill="FFFFFF"/>
          </w:tcPr>
          <w:p w14:paraId="21A4CC31" w14:textId="35FB8E70" w:rsidR="00AE03C2" w:rsidRPr="00B57B36" w:rsidRDefault="00AE03C2" w:rsidP="00047E0C">
            <w:pPr>
              <w:pStyle w:val="CETBodytext"/>
              <w:rPr>
                <w:lang w:val="en-GB"/>
              </w:rPr>
            </w:pPr>
            <w:r>
              <w:rPr>
                <w:lang w:val="en-GB"/>
              </w:rPr>
              <w:t>Loading (II)</w:t>
            </w:r>
          </w:p>
        </w:tc>
        <w:tc>
          <w:tcPr>
            <w:tcW w:w="1134" w:type="dxa"/>
            <w:shd w:val="clear" w:color="auto" w:fill="FFFFFF"/>
          </w:tcPr>
          <w:p w14:paraId="4A3A34C3" w14:textId="078A5149" w:rsidR="00AE03C2" w:rsidRPr="00B57B36" w:rsidRDefault="004059B5" w:rsidP="00047E0C">
            <w:pPr>
              <w:pStyle w:val="CETBodytext"/>
              <w:rPr>
                <w:lang w:val="en-GB"/>
              </w:rPr>
            </w:pPr>
            <w:r>
              <w:rPr>
                <w:lang w:val="en-GB"/>
              </w:rPr>
              <w:t>4.7</w:t>
            </w:r>
          </w:p>
        </w:tc>
        <w:tc>
          <w:tcPr>
            <w:tcW w:w="1843" w:type="dxa"/>
            <w:shd w:val="clear" w:color="auto" w:fill="FFFFFF"/>
          </w:tcPr>
          <w:p w14:paraId="66A088FF" w14:textId="27E82A81" w:rsidR="00AE03C2" w:rsidRPr="00B57B36" w:rsidRDefault="00504556" w:rsidP="00047E0C">
            <w:pPr>
              <w:pStyle w:val="CETBodytext"/>
              <w:rPr>
                <w:lang w:val="en-GB"/>
              </w:rPr>
            </w:pPr>
            <w:r>
              <w:rPr>
                <w:lang w:val="en-GB"/>
              </w:rPr>
              <w:t>0.7</w:t>
            </w:r>
          </w:p>
        </w:tc>
        <w:tc>
          <w:tcPr>
            <w:tcW w:w="2409" w:type="dxa"/>
            <w:shd w:val="clear" w:color="auto" w:fill="FFFFFF"/>
          </w:tcPr>
          <w:p w14:paraId="40258563" w14:textId="08F37752" w:rsidR="00AE03C2" w:rsidRPr="00B57B36" w:rsidRDefault="00E817A1" w:rsidP="00047E0C">
            <w:pPr>
              <w:pStyle w:val="CETBodytext"/>
              <w:rPr>
                <w:lang w:val="en-GB"/>
              </w:rPr>
            </w:pPr>
            <w:r>
              <w:rPr>
                <w:lang w:val="en-GB"/>
              </w:rPr>
              <w:t>3.6</w:t>
            </w:r>
          </w:p>
        </w:tc>
        <w:tc>
          <w:tcPr>
            <w:tcW w:w="1928" w:type="dxa"/>
            <w:shd w:val="clear" w:color="auto" w:fill="FFFFFF"/>
          </w:tcPr>
          <w:p w14:paraId="3A5C9900" w14:textId="2D43DE0F" w:rsidR="00AE03C2" w:rsidRPr="00B57B36" w:rsidRDefault="001635A1" w:rsidP="00047E0C">
            <w:pPr>
              <w:pStyle w:val="CETBodytext"/>
              <w:rPr>
                <w:lang w:val="en-GB"/>
              </w:rPr>
            </w:pPr>
            <w:r>
              <w:rPr>
                <w:lang w:val="en-GB"/>
              </w:rPr>
              <w:t>8.3</w:t>
            </w:r>
          </w:p>
        </w:tc>
      </w:tr>
      <w:tr w:rsidR="00AE03C2" w:rsidRPr="00B57B36" w14:paraId="2AC573E3" w14:textId="77777777" w:rsidTr="001E38AA">
        <w:tc>
          <w:tcPr>
            <w:tcW w:w="1134" w:type="dxa"/>
            <w:shd w:val="clear" w:color="auto" w:fill="FFFFFF"/>
          </w:tcPr>
          <w:p w14:paraId="5BDD6A71" w14:textId="568561EF" w:rsidR="00AE03C2" w:rsidRPr="00B57B36" w:rsidRDefault="00AE03C2" w:rsidP="00047E0C">
            <w:pPr>
              <w:pStyle w:val="CETBodytext"/>
              <w:ind w:right="-1"/>
              <w:rPr>
                <w:rFonts w:cs="Arial"/>
                <w:szCs w:val="18"/>
                <w:lang w:val="en-GB"/>
              </w:rPr>
            </w:pPr>
            <w:r>
              <w:rPr>
                <w:rFonts w:cs="Arial"/>
                <w:szCs w:val="18"/>
                <w:lang w:val="en-GB"/>
              </w:rPr>
              <w:t>Overall (I+II)</w:t>
            </w:r>
          </w:p>
        </w:tc>
        <w:tc>
          <w:tcPr>
            <w:tcW w:w="1134" w:type="dxa"/>
            <w:shd w:val="clear" w:color="auto" w:fill="FFFFFF"/>
          </w:tcPr>
          <w:p w14:paraId="58494A4A" w14:textId="564A9D88" w:rsidR="00AE03C2" w:rsidRPr="00B57B36" w:rsidRDefault="004059B5" w:rsidP="00047E0C">
            <w:pPr>
              <w:pStyle w:val="CETBodytext"/>
              <w:ind w:right="-1"/>
              <w:rPr>
                <w:rFonts w:cs="Arial"/>
                <w:szCs w:val="18"/>
                <w:lang w:val="en-GB"/>
              </w:rPr>
            </w:pPr>
            <w:r>
              <w:rPr>
                <w:rFonts w:cs="Arial"/>
                <w:szCs w:val="18"/>
                <w:lang w:val="en-GB"/>
              </w:rPr>
              <w:t>262.0</w:t>
            </w:r>
          </w:p>
        </w:tc>
        <w:tc>
          <w:tcPr>
            <w:tcW w:w="1843" w:type="dxa"/>
            <w:shd w:val="clear" w:color="auto" w:fill="FFFFFF"/>
          </w:tcPr>
          <w:p w14:paraId="10A5CE98" w14:textId="5A9745BB" w:rsidR="00AE03C2" w:rsidRPr="00B57B36" w:rsidRDefault="00AE56C3" w:rsidP="00047E0C">
            <w:pPr>
              <w:pStyle w:val="CETBodytext"/>
              <w:ind w:right="-1"/>
              <w:rPr>
                <w:rFonts w:cs="Arial"/>
                <w:szCs w:val="18"/>
                <w:lang w:val="en-GB"/>
              </w:rPr>
            </w:pPr>
            <w:r>
              <w:rPr>
                <w:rFonts w:cs="Arial"/>
                <w:szCs w:val="18"/>
                <w:lang w:val="en-GB"/>
              </w:rPr>
              <w:t>48.5</w:t>
            </w:r>
          </w:p>
        </w:tc>
        <w:tc>
          <w:tcPr>
            <w:tcW w:w="2409" w:type="dxa"/>
            <w:shd w:val="clear" w:color="auto" w:fill="FFFFFF"/>
          </w:tcPr>
          <w:p w14:paraId="419BAA2B" w14:textId="6001EE16" w:rsidR="00AE03C2" w:rsidRPr="00B57B36" w:rsidRDefault="00E817A1" w:rsidP="00047E0C">
            <w:pPr>
              <w:pStyle w:val="CETBodytext"/>
              <w:ind w:right="-1"/>
              <w:rPr>
                <w:rFonts w:cs="Arial"/>
                <w:szCs w:val="18"/>
                <w:lang w:val="en-GB"/>
              </w:rPr>
            </w:pPr>
            <w:r>
              <w:rPr>
                <w:rFonts w:cs="Arial"/>
                <w:szCs w:val="18"/>
                <w:lang w:val="en-GB"/>
              </w:rPr>
              <w:t>4.</w:t>
            </w:r>
            <w:r w:rsidR="006039C1">
              <w:rPr>
                <w:rFonts w:cs="Arial"/>
                <w:szCs w:val="18"/>
                <w:lang w:val="en-GB"/>
              </w:rPr>
              <w:t>4</w:t>
            </w:r>
          </w:p>
        </w:tc>
        <w:tc>
          <w:tcPr>
            <w:tcW w:w="1928" w:type="dxa"/>
            <w:shd w:val="clear" w:color="auto" w:fill="FFFFFF"/>
          </w:tcPr>
          <w:p w14:paraId="4F0FFA21" w14:textId="1FAAA4B1" w:rsidR="00AE03C2" w:rsidRPr="00B57B36" w:rsidRDefault="001635A1" w:rsidP="00047E0C">
            <w:pPr>
              <w:pStyle w:val="CETBodytext"/>
              <w:ind w:right="-1"/>
              <w:rPr>
                <w:rFonts w:cs="Arial"/>
                <w:szCs w:val="18"/>
                <w:lang w:val="en-GB"/>
              </w:rPr>
            </w:pPr>
            <w:r>
              <w:rPr>
                <w:rFonts w:cs="Arial"/>
                <w:szCs w:val="18"/>
                <w:lang w:val="en-GB"/>
              </w:rPr>
              <w:t>10.1</w:t>
            </w:r>
          </w:p>
        </w:tc>
      </w:tr>
    </w:tbl>
    <w:p w14:paraId="491AC9F5" w14:textId="77777777" w:rsidR="00BF5922" w:rsidRDefault="00BF5922" w:rsidP="00AE642B">
      <w:pPr>
        <w:pStyle w:val="CETBodytext"/>
        <w:rPr>
          <w:lang w:val="en-GB"/>
        </w:rPr>
      </w:pPr>
    </w:p>
    <w:p w14:paraId="13C791AF" w14:textId="0B2E463E" w:rsidR="008A11B6" w:rsidRDefault="00C05557" w:rsidP="00AE642B">
      <w:pPr>
        <w:pStyle w:val="CETBodytext"/>
        <w:rPr>
          <w:lang w:val="en-GB"/>
        </w:rPr>
      </w:pPr>
      <w:r>
        <w:rPr>
          <w:lang w:val="en-GB"/>
        </w:rPr>
        <w:fldChar w:fldCharType="begin"/>
      </w:r>
      <w:r>
        <w:rPr>
          <w:lang w:val="en-GB"/>
        </w:rPr>
        <w:instrText xml:space="preserve"> REF _Ref183689816 \h </w:instrText>
      </w:r>
      <w:r>
        <w:rPr>
          <w:lang w:val="en-GB"/>
        </w:rPr>
      </w:r>
      <w:r>
        <w:rPr>
          <w:lang w:val="en-GB"/>
        </w:rPr>
        <w:fldChar w:fldCharType="separate"/>
      </w:r>
      <w:r>
        <w:t xml:space="preserve">Figure </w:t>
      </w:r>
      <w:r>
        <w:rPr>
          <w:noProof/>
        </w:rPr>
        <w:t>2</w:t>
      </w:r>
      <w:r>
        <w:rPr>
          <w:lang w:val="en-GB"/>
        </w:rPr>
        <w:fldChar w:fldCharType="end"/>
      </w:r>
      <w:r w:rsidR="00520C72" w:rsidRPr="00520C72">
        <w:rPr>
          <w:lang w:val="en-GB"/>
        </w:rPr>
        <w:t xml:space="preserve"> shows </w:t>
      </w:r>
      <w:r w:rsidR="000C7DD6">
        <w:rPr>
          <w:lang w:val="en-GB"/>
        </w:rPr>
        <w:t xml:space="preserve">the </w:t>
      </w:r>
      <w:r w:rsidR="00520C72" w:rsidRPr="00520C72">
        <w:rPr>
          <w:lang w:val="en-GB"/>
        </w:rPr>
        <w:t xml:space="preserve">simulation strip charts for the </w:t>
      </w:r>
      <w:r w:rsidR="00263521">
        <w:rPr>
          <w:lang w:val="en-GB"/>
        </w:rPr>
        <w:t xml:space="preserve">examined </w:t>
      </w:r>
      <w:r w:rsidR="001E1B96">
        <w:rPr>
          <w:lang w:val="en-GB"/>
        </w:rPr>
        <w:t>case study</w:t>
      </w:r>
      <w:r w:rsidR="00520C72" w:rsidRPr="00520C72">
        <w:rPr>
          <w:lang w:val="en-GB"/>
        </w:rPr>
        <w:t>, in terms of tanks’ pressure (</w:t>
      </w:r>
      <w:r w:rsidR="00591EC5">
        <w:rPr>
          <w:lang w:val="en-GB"/>
        </w:rPr>
        <w:fldChar w:fldCharType="begin"/>
      </w:r>
      <w:r w:rsidR="00591EC5">
        <w:rPr>
          <w:lang w:val="en-GB"/>
        </w:rPr>
        <w:instrText xml:space="preserve"> REF _Ref183689816 \h </w:instrText>
      </w:r>
      <w:r w:rsidR="00591EC5">
        <w:rPr>
          <w:lang w:val="en-GB"/>
        </w:rPr>
      </w:r>
      <w:r w:rsidR="00591EC5">
        <w:rPr>
          <w:lang w:val="en-GB"/>
        </w:rPr>
        <w:fldChar w:fldCharType="separate"/>
      </w:r>
      <w:r w:rsidR="00591EC5">
        <w:t xml:space="preserve">Figure </w:t>
      </w:r>
      <w:r w:rsidR="00591EC5">
        <w:rPr>
          <w:noProof/>
        </w:rPr>
        <w:t>2</w:t>
      </w:r>
      <w:r w:rsidR="00591EC5">
        <w:rPr>
          <w:lang w:val="en-GB"/>
        </w:rPr>
        <w:fldChar w:fldCharType="end"/>
      </w:r>
      <w:r w:rsidR="00591EC5">
        <w:rPr>
          <w:lang w:val="en-GB"/>
        </w:rPr>
        <w:t>a</w:t>
      </w:r>
      <w:r w:rsidR="00520C72" w:rsidRPr="00520C72">
        <w:rPr>
          <w:lang w:val="en-GB"/>
        </w:rPr>
        <w:t>) and BOG mass flow rate (</w:t>
      </w:r>
      <w:r w:rsidR="00591EC5">
        <w:rPr>
          <w:lang w:val="en-GB"/>
        </w:rPr>
        <w:fldChar w:fldCharType="begin"/>
      </w:r>
      <w:r w:rsidR="00591EC5">
        <w:rPr>
          <w:lang w:val="en-GB"/>
        </w:rPr>
        <w:instrText xml:space="preserve"> REF _Ref183689816 \h </w:instrText>
      </w:r>
      <w:r w:rsidR="00591EC5">
        <w:rPr>
          <w:lang w:val="en-GB"/>
        </w:rPr>
      </w:r>
      <w:r w:rsidR="00591EC5">
        <w:rPr>
          <w:lang w:val="en-GB"/>
        </w:rPr>
        <w:fldChar w:fldCharType="separate"/>
      </w:r>
      <w:r w:rsidR="00591EC5">
        <w:t xml:space="preserve">Figure </w:t>
      </w:r>
      <w:r w:rsidR="00591EC5">
        <w:rPr>
          <w:noProof/>
        </w:rPr>
        <w:t>2</w:t>
      </w:r>
      <w:r w:rsidR="00591EC5">
        <w:rPr>
          <w:lang w:val="en-GB"/>
        </w:rPr>
        <w:fldChar w:fldCharType="end"/>
      </w:r>
      <w:r w:rsidR="00591EC5">
        <w:rPr>
          <w:lang w:val="en-GB"/>
        </w:rPr>
        <w:t>b</w:t>
      </w:r>
      <w:r w:rsidR="00520C72" w:rsidRPr="00520C72">
        <w:rPr>
          <w:lang w:val="en-GB"/>
        </w:rPr>
        <w:t xml:space="preserve">). </w:t>
      </w:r>
      <w:r w:rsidR="005F608B" w:rsidRPr="005F608B">
        <w:rPr>
          <w:lang w:val="en-GB"/>
        </w:rPr>
        <w:t xml:space="preserve">The onshore tank pressure fluctuates between 2.44 and 2.71 bar. The minimum pressure occurs at the end of the holding mode, coinciding with the lowest BOG generation rate. Conversely, the maximum pressure is observed at the end of the loading mode, attributed to the combined BOG generated from the liquid stored in the tank and the BOG received from the offshore tank. This BOG compensates for the liquid displaced during loading. However, during </w:t>
      </w:r>
      <w:r w:rsidR="000278DB">
        <w:rPr>
          <w:lang w:val="en-GB"/>
        </w:rPr>
        <w:t xml:space="preserve">flow rate ramp-down operation </w:t>
      </w:r>
      <w:r w:rsidR="00497036">
        <w:rPr>
          <w:lang w:val="en-GB"/>
        </w:rPr>
        <w:t>at the end of the loading mode</w:t>
      </w:r>
      <w:r w:rsidR="000278DB">
        <w:rPr>
          <w:lang w:val="en-GB"/>
        </w:rPr>
        <w:t>,</w:t>
      </w:r>
      <w:r w:rsidR="00497036">
        <w:rPr>
          <w:lang w:val="en-GB"/>
        </w:rPr>
        <w:t xml:space="preserve"> </w:t>
      </w:r>
      <w:r w:rsidR="006A1B17" w:rsidRPr="006A1B17">
        <w:rPr>
          <w:lang w:val="en-GB"/>
        </w:rPr>
        <w:t>the displaced liquid volume decreases while the injection of BOG from the offshore tank remains significant, contributing to the pressure increase</w:t>
      </w:r>
      <w:r w:rsidR="00F25764">
        <w:rPr>
          <w:lang w:val="en-GB"/>
        </w:rPr>
        <w:t>.</w:t>
      </w:r>
      <w:r w:rsidR="00EF32EC">
        <w:rPr>
          <w:lang w:val="en-GB"/>
        </w:rPr>
        <w:t xml:space="preserve"> </w:t>
      </w:r>
      <w:r w:rsidR="00FC41C9" w:rsidRPr="00FC41C9">
        <w:rPr>
          <w:lang w:val="en-GB"/>
        </w:rPr>
        <w:t xml:space="preserve">The offshore tank pressure ranges from 2.50 to 2.77 bar. It gradually increases during the </w:t>
      </w:r>
      <w:r w:rsidR="00FC41C9">
        <w:rPr>
          <w:lang w:val="en-GB"/>
        </w:rPr>
        <w:t xml:space="preserve">offshore </w:t>
      </w:r>
      <w:r w:rsidR="00FC41C9" w:rsidRPr="00FC41C9">
        <w:rPr>
          <w:lang w:val="en-GB"/>
        </w:rPr>
        <w:t>tank’s filling phase (loading mode) and slightly decreases during the flow rate ramp-down, as the vapor displacement in the offshore tank lessens, reducing pressure build-up.</w:t>
      </w:r>
    </w:p>
    <w:p w14:paraId="4FB987C3" w14:textId="218B23C1" w:rsidR="00F827CA" w:rsidRDefault="00257F01" w:rsidP="00AE642B">
      <w:pPr>
        <w:pStyle w:val="CETBodytext"/>
        <w:rPr>
          <w:lang w:val="en-GB"/>
        </w:rPr>
      </w:pPr>
      <w:r>
        <w:rPr>
          <w:lang w:val="en-GB"/>
        </w:rPr>
        <w:t>a)</w:t>
      </w:r>
      <w:r w:rsidR="00933D5A" w:rsidRPr="00933D5A">
        <w:rPr>
          <w:noProof/>
        </w:rPr>
        <w:drawing>
          <wp:inline distT="0" distB="0" distL="0" distR="0" wp14:anchorId="3C43FB49" wp14:editId="37D15E1A">
            <wp:extent cx="2682000" cy="1368367"/>
            <wp:effectExtent l="0" t="0" r="4445" b="381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2000" cy="1368367"/>
                    </a:xfrm>
                    <a:prstGeom prst="rect">
                      <a:avLst/>
                    </a:prstGeom>
                    <a:noFill/>
                    <a:ln>
                      <a:noFill/>
                    </a:ln>
                  </pic:spPr>
                </pic:pic>
              </a:graphicData>
            </a:graphic>
          </wp:inline>
        </w:drawing>
      </w:r>
      <w:r>
        <w:rPr>
          <w:lang w:val="en-GB"/>
        </w:rPr>
        <w:t>b)</w:t>
      </w:r>
      <w:r w:rsidR="00F10A10" w:rsidRPr="00F10A10">
        <w:rPr>
          <w:noProof/>
        </w:rPr>
        <w:drawing>
          <wp:inline distT="0" distB="0" distL="0" distR="0" wp14:anchorId="772D1428" wp14:editId="4F87A328">
            <wp:extent cx="2682000" cy="1352364"/>
            <wp:effectExtent l="0" t="0" r="4445" b="635"/>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2000" cy="1352364"/>
                    </a:xfrm>
                    <a:prstGeom prst="rect">
                      <a:avLst/>
                    </a:prstGeom>
                    <a:noFill/>
                    <a:ln>
                      <a:noFill/>
                    </a:ln>
                  </pic:spPr>
                </pic:pic>
              </a:graphicData>
            </a:graphic>
          </wp:inline>
        </w:drawing>
      </w:r>
    </w:p>
    <w:p w14:paraId="3F38F2EA" w14:textId="1091152E" w:rsidR="00F827CA" w:rsidRPr="00AE642B" w:rsidRDefault="00EA506E" w:rsidP="00D119C7">
      <w:pPr>
        <w:pStyle w:val="CETCaption"/>
      </w:pPr>
      <w:bookmarkStart w:id="3" w:name="_Ref183689816"/>
      <w:r>
        <w:t xml:space="preserve">Figure </w:t>
      </w:r>
      <w:r>
        <w:fldChar w:fldCharType="begin"/>
      </w:r>
      <w:r>
        <w:instrText xml:space="preserve"> SEQ Figure \* ARABIC </w:instrText>
      </w:r>
      <w:r>
        <w:fldChar w:fldCharType="separate"/>
      </w:r>
      <w:r w:rsidR="00C05557">
        <w:rPr>
          <w:noProof/>
        </w:rPr>
        <w:t>2</w:t>
      </w:r>
      <w:r>
        <w:fldChar w:fldCharType="end"/>
      </w:r>
      <w:bookmarkEnd w:id="3"/>
      <w:r w:rsidR="00F827CA" w:rsidRPr="00BD077D">
        <w:rPr>
          <w:rStyle w:val="CETCaptionCarattere"/>
          <w:i/>
        </w:rPr>
        <w:t xml:space="preserve">: </w:t>
      </w:r>
      <w:r w:rsidR="00051DEB">
        <w:rPr>
          <w:rStyle w:val="CETCaptionCarattere"/>
          <w:i/>
        </w:rPr>
        <w:t>Strip</w:t>
      </w:r>
      <w:r w:rsidR="00E7675E">
        <w:rPr>
          <w:rStyle w:val="CETCaptionCarattere"/>
          <w:i/>
        </w:rPr>
        <w:t xml:space="preserve"> </w:t>
      </w:r>
      <w:r w:rsidR="00051DEB">
        <w:rPr>
          <w:rStyle w:val="CETCaptionCarattere"/>
          <w:i/>
        </w:rPr>
        <w:t xml:space="preserve">charts of the </w:t>
      </w:r>
      <w:r w:rsidR="001D35AF">
        <w:rPr>
          <w:rStyle w:val="CETCaptionCarattere"/>
          <w:i/>
        </w:rPr>
        <w:t>case study</w:t>
      </w:r>
      <w:r w:rsidR="00A01E5D">
        <w:rPr>
          <w:rStyle w:val="CETCaptionCarattere"/>
          <w:i/>
        </w:rPr>
        <w:t xml:space="preserve">: a) </w:t>
      </w:r>
      <w:r w:rsidR="0045166D" w:rsidRPr="0045166D">
        <w:rPr>
          <w:rStyle w:val="CETCaptionCarattere"/>
          <w:i/>
        </w:rPr>
        <w:t>Onshore and offshore storage tank pressure</w:t>
      </w:r>
      <w:r w:rsidR="00720289">
        <w:rPr>
          <w:rStyle w:val="CETCaptionCarattere"/>
          <w:i/>
        </w:rPr>
        <w:t>,</w:t>
      </w:r>
      <w:r w:rsidR="0045166D" w:rsidRPr="0045166D">
        <w:rPr>
          <w:rStyle w:val="CETCaptionCarattere"/>
          <w:i/>
        </w:rPr>
        <w:t xml:space="preserve"> and </w:t>
      </w:r>
      <w:r w:rsidR="00720289">
        <w:rPr>
          <w:rStyle w:val="CETCaptionCarattere"/>
          <w:i/>
        </w:rPr>
        <w:t xml:space="preserve">b) </w:t>
      </w:r>
      <w:r w:rsidR="0045166D" w:rsidRPr="0045166D">
        <w:rPr>
          <w:rStyle w:val="CETCaptionCarattere"/>
          <w:i/>
        </w:rPr>
        <w:t xml:space="preserve">BOG </w:t>
      </w:r>
      <w:r w:rsidR="000D0A65">
        <w:rPr>
          <w:rStyle w:val="CETCaptionCarattere"/>
          <w:i/>
        </w:rPr>
        <w:t>to liquefaction</w:t>
      </w:r>
      <w:r w:rsidR="0045166D" w:rsidRPr="0045166D">
        <w:rPr>
          <w:rStyle w:val="CETCaptionCarattere"/>
          <w:i/>
        </w:rPr>
        <w:t xml:space="preserve"> mass flow rate</w:t>
      </w:r>
      <w:r w:rsidR="000D0A65">
        <w:rPr>
          <w:rStyle w:val="CETCaptionCarattere"/>
          <w:i/>
        </w:rPr>
        <w:t>,</w:t>
      </w:r>
      <w:r w:rsidR="0045166D" w:rsidRPr="0045166D">
        <w:rPr>
          <w:rStyle w:val="CETCaptionCarattere"/>
          <w:i/>
        </w:rPr>
        <w:t xml:space="preserve"> as function</w:t>
      </w:r>
      <w:r w:rsidR="000D0A65">
        <w:rPr>
          <w:rStyle w:val="CETCaptionCarattere"/>
          <w:i/>
        </w:rPr>
        <w:t>s</w:t>
      </w:r>
      <w:r w:rsidR="0045166D" w:rsidRPr="0045166D">
        <w:rPr>
          <w:rStyle w:val="CETCaptionCarattere"/>
          <w:i/>
        </w:rPr>
        <w:t xml:space="preserve"> of time. </w:t>
      </w:r>
      <w:r w:rsidR="00F17569">
        <w:rPr>
          <w:rStyle w:val="CETCaptionCarattere"/>
          <w:i/>
        </w:rPr>
        <w:t>Th</w:t>
      </w:r>
      <w:r w:rsidR="0045166D" w:rsidRPr="0045166D">
        <w:rPr>
          <w:rStyle w:val="CETCaptionCarattere"/>
          <w:i/>
        </w:rPr>
        <w:t xml:space="preserve">e vertical dashed line </w:t>
      </w:r>
      <w:r w:rsidR="00E30A6D">
        <w:rPr>
          <w:rStyle w:val="CETCaptionCarattere"/>
          <w:i/>
        </w:rPr>
        <w:t>i</w:t>
      </w:r>
      <w:r w:rsidR="00E30A6D" w:rsidRPr="00E30A6D">
        <w:rPr>
          <w:rStyle w:val="CETCaptionCarattere"/>
          <w:i/>
        </w:rPr>
        <w:t>ndicates the transition between operational modes.</w:t>
      </w:r>
    </w:p>
    <w:p w14:paraId="1F96CA21" w14:textId="6A5AECB3" w:rsidR="00600535" w:rsidRPr="00B57B36" w:rsidRDefault="00FC4449" w:rsidP="00FA5F5F">
      <w:pPr>
        <w:pStyle w:val="CETheadingx"/>
      </w:pPr>
      <w:r>
        <w:t xml:space="preserve">BOG </w:t>
      </w:r>
      <w:r w:rsidR="00682F27">
        <w:t>recovery</w:t>
      </w:r>
      <w:r w:rsidR="000E60E1">
        <w:t xml:space="preserve"> strategies</w:t>
      </w:r>
    </w:p>
    <w:p w14:paraId="65E73FAD" w14:textId="5E104670" w:rsidR="00600535" w:rsidRPr="00FF2930" w:rsidRDefault="00C71112" w:rsidP="00161769">
      <w:pPr>
        <w:pStyle w:val="CETBodytext"/>
        <w:rPr>
          <w:lang w:val="en-GB"/>
        </w:rPr>
      </w:pPr>
      <w:r>
        <w:t>Wasting</w:t>
      </w:r>
      <w:r w:rsidR="00EB0F03" w:rsidRPr="00EB0F03">
        <w:rPr>
          <w:lang w:val="en-GB"/>
        </w:rPr>
        <w:t xml:space="preserve"> hydrogen </w:t>
      </w:r>
      <w:r w:rsidR="001A6024">
        <w:rPr>
          <w:lang w:val="en-GB"/>
        </w:rPr>
        <w:t>boil-off gas</w:t>
      </w:r>
      <w:r>
        <w:rPr>
          <w:lang w:val="en-GB"/>
        </w:rPr>
        <w:t xml:space="preserve"> through venting or flaring</w:t>
      </w:r>
      <w:r w:rsidR="00F636BB" w:rsidRPr="00F636BB">
        <w:t xml:space="preserve"> </w:t>
      </w:r>
      <w:r w:rsidR="00F636BB" w:rsidRPr="00F636BB">
        <w:rPr>
          <w:lang w:val="en-GB"/>
        </w:rPr>
        <w:t>leads to substantial energy losses, as hydrogen production and lique</w:t>
      </w:r>
      <w:r w:rsidR="00F636BB" w:rsidRPr="00FF2930">
        <w:rPr>
          <w:lang w:val="en-GB"/>
        </w:rPr>
        <w:t xml:space="preserve">faction are energy-intensive and costly. With an </w:t>
      </w:r>
      <w:r w:rsidR="00712039" w:rsidRPr="00FF2930">
        <w:rPr>
          <w:lang w:val="en-GB"/>
        </w:rPr>
        <w:t>almost constant</w:t>
      </w:r>
      <w:r w:rsidR="00F636BB" w:rsidRPr="00FF2930">
        <w:rPr>
          <w:lang w:val="en-GB"/>
        </w:rPr>
        <w:t xml:space="preserve"> BOG flow rate</w:t>
      </w:r>
      <w:r w:rsidR="00712039" w:rsidRPr="00FF2930">
        <w:rPr>
          <w:lang w:val="en-GB"/>
        </w:rPr>
        <w:t xml:space="preserve"> (green line in </w:t>
      </w:r>
      <w:r w:rsidR="00712039" w:rsidRPr="00FF2930">
        <w:rPr>
          <w:lang w:val="en-GB"/>
        </w:rPr>
        <w:fldChar w:fldCharType="begin"/>
      </w:r>
      <w:r w:rsidR="00712039" w:rsidRPr="00FF2930">
        <w:rPr>
          <w:lang w:val="en-GB"/>
        </w:rPr>
        <w:instrText xml:space="preserve"> REF _Ref183689816 \h </w:instrText>
      </w:r>
      <w:r w:rsidR="00FF2930">
        <w:rPr>
          <w:lang w:val="en-GB"/>
        </w:rPr>
        <w:instrText xml:space="preserve"> \* MERGEFORMAT </w:instrText>
      </w:r>
      <w:r w:rsidR="00712039" w:rsidRPr="00FF2930">
        <w:rPr>
          <w:lang w:val="en-GB"/>
        </w:rPr>
      </w:r>
      <w:r w:rsidR="00712039" w:rsidRPr="00FF2930">
        <w:rPr>
          <w:lang w:val="en-GB"/>
        </w:rPr>
        <w:fldChar w:fldCharType="separate"/>
      </w:r>
      <w:r w:rsidR="00712039" w:rsidRPr="00FF2930">
        <w:t xml:space="preserve">Figure </w:t>
      </w:r>
      <w:r w:rsidR="00712039" w:rsidRPr="00FF2930">
        <w:rPr>
          <w:noProof/>
        </w:rPr>
        <w:t>2</w:t>
      </w:r>
      <w:r w:rsidR="00712039" w:rsidRPr="00FF2930">
        <w:rPr>
          <w:lang w:val="en-GB"/>
        </w:rPr>
        <w:fldChar w:fldCharType="end"/>
      </w:r>
      <w:r w:rsidR="00C84C6D" w:rsidRPr="00FF2930">
        <w:rPr>
          <w:lang w:val="en-GB"/>
        </w:rPr>
        <w:t>b</w:t>
      </w:r>
      <w:r w:rsidR="00712039" w:rsidRPr="00FF2930">
        <w:rPr>
          <w:lang w:val="en-GB"/>
        </w:rPr>
        <w:t>)</w:t>
      </w:r>
      <w:r w:rsidR="00F636BB" w:rsidRPr="00FF2930">
        <w:rPr>
          <w:lang w:val="en-GB"/>
        </w:rPr>
        <w:t xml:space="preserve"> of</w:t>
      </w:r>
      <w:r w:rsidR="00C84C6D" w:rsidRPr="00FF2930">
        <w:rPr>
          <w:lang w:val="en-GB"/>
        </w:rPr>
        <w:t xml:space="preserve"> about</w:t>
      </w:r>
      <w:r w:rsidR="00F636BB" w:rsidRPr="00FF2930">
        <w:rPr>
          <w:lang w:val="en-GB"/>
        </w:rPr>
        <w:t xml:space="preserve"> 4,</w:t>
      </w:r>
      <w:r w:rsidR="00F6538F" w:rsidRPr="00FF2930">
        <w:rPr>
          <w:lang w:val="en-GB"/>
        </w:rPr>
        <w:t>453</w:t>
      </w:r>
      <w:r w:rsidR="00F636BB" w:rsidRPr="00FF2930">
        <w:rPr>
          <w:lang w:val="en-GB"/>
        </w:rPr>
        <w:t xml:space="preserve"> kg/day, the most practical solution is to reliquefy the BOG, either by utilizing the main liquefaction plant or by employing a dedicated small-scale </w:t>
      </w:r>
      <w:proofErr w:type="spellStart"/>
      <w:r w:rsidR="00F636BB" w:rsidRPr="00FF2930">
        <w:rPr>
          <w:lang w:val="en-GB"/>
        </w:rPr>
        <w:t>reliquefaction</w:t>
      </w:r>
      <w:proofErr w:type="spellEnd"/>
      <w:r w:rsidR="00F636BB" w:rsidRPr="00FF2930">
        <w:rPr>
          <w:lang w:val="en-GB"/>
        </w:rPr>
        <w:t xml:space="preserve"> system. One key advantage of this approach is that the hydrogen gas does not require precooling, as it is already at cryogenic temperatures.</w:t>
      </w:r>
      <w:r w:rsidR="00D04D1E" w:rsidRPr="00FF2930">
        <w:rPr>
          <w:lang w:val="en-GB"/>
        </w:rPr>
        <w:t xml:space="preserve"> </w:t>
      </w:r>
      <w:r w:rsidR="00F636BB" w:rsidRPr="00FF2930">
        <w:rPr>
          <w:lang w:val="en-GB"/>
        </w:rPr>
        <w:t xml:space="preserve">Emerging technologies, such as magnetocaloric materials, offer innovative solutions for BOG </w:t>
      </w:r>
      <w:proofErr w:type="spellStart"/>
      <w:r w:rsidR="00F636BB" w:rsidRPr="00FF2930">
        <w:rPr>
          <w:lang w:val="en-GB"/>
        </w:rPr>
        <w:t>reliquefaction</w:t>
      </w:r>
      <w:proofErr w:type="spellEnd"/>
      <w:r w:rsidR="00F636BB" w:rsidRPr="00FF2930">
        <w:rPr>
          <w:lang w:val="en-GB"/>
        </w:rPr>
        <w:t>. These materials utilize the magnetocaloric effect, where the application and removal of a magnetic field cause a material to alternately heat and cool. This method is particularly suitable for small-scale operations, offering highly efficient and compact cooling systems that reduce the energy demands of conventional cryogenic refrigeration</w:t>
      </w:r>
      <w:r w:rsidR="006117A5" w:rsidRPr="00FF2930">
        <w:rPr>
          <w:lang w:val="en-GB"/>
        </w:rPr>
        <w:t xml:space="preserve"> (</w:t>
      </w:r>
      <w:proofErr w:type="spellStart"/>
      <w:r w:rsidR="006117A5" w:rsidRPr="00FF2930">
        <w:rPr>
          <w:lang w:val="en-GB"/>
        </w:rPr>
        <w:t>Numazawa</w:t>
      </w:r>
      <w:proofErr w:type="spellEnd"/>
      <w:r w:rsidR="006117A5" w:rsidRPr="00FF2930">
        <w:rPr>
          <w:lang w:val="en-GB"/>
        </w:rPr>
        <w:t xml:space="preserve"> et al., 2014)</w:t>
      </w:r>
      <w:r w:rsidR="00F636BB" w:rsidRPr="00FF2930">
        <w:rPr>
          <w:lang w:val="en-GB"/>
        </w:rPr>
        <w:t>.</w:t>
      </w:r>
      <w:r w:rsidR="00D04D1E" w:rsidRPr="00FF2930">
        <w:rPr>
          <w:lang w:val="en-GB"/>
        </w:rPr>
        <w:t xml:space="preserve"> </w:t>
      </w:r>
      <w:r w:rsidR="00F636BB" w:rsidRPr="00FF2930">
        <w:rPr>
          <w:lang w:val="en-GB"/>
        </w:rPr>
        <w:t>Alternative BOG recovery strategies include compressing and storing the hydrogen gas at high pressure in specialized cylindrical tanks. The stored gas can then be sold as compressed hydrogen or used on-site, such as for power generation.</w:t>
      </w:r>
      <w:r w:rsidR="00D04D1E" w:rsidRPr="00FF2930">
        <w:rPr>
          <w:lang w:val="en-GB"/>
        </w:rPr>
        <w:t xml:space="preserve"> </w:t>
      </w:r>
      <w:r w:rsidR="00F636BB" w:rsidRPr="00FF2930">
        <w:rPr>
          <w:lang w:val="en-GB"/>
        </w:rPr>
        <w:t>Additionally, advanced storage technologies like metal-organic frameworks (MOFs) and adsorption-based systems are under development. These systems show promise due to their high hydrogen uptake at low temperatures and moderate pressures, offering innovative pathways for efficient BOG management</w:t>
      </w:r>
      <w:r w:rsidR="00EB0F03" w:rsidRPr="00FF2930">
        <w:rPr>
          <w:lang w:val="en-GB"/>
        </w:rPr>
        <w:t xml:space="preserve"> </w:t>
      </w:r>
      <w:r w:rsidR="00096FD9" w:rsidRPr="00FF2930">
        <w:rPr>
          <w:lang w:val="en-GB"/>
        </w:rPr>
        <w:t>(</w:t>
      </w:r>
      <w:proofErr w:type="spellStart"/>
      <w:r w:rsidR="00096FD9" w:rsidRPr="00FF2930">
        <w:rPr>
          <w:lang w:val="en-GB"/>
        </w:rPr>
        <w:t>Shet</w:t>
      </w:r>
      <w:proofErr w:type="spellEnd"/>
      <w:r w:rsidR="00096FD9" w:rsidRPr="00FF2930">
        <w:rPr>
          <w:lang w:val="en-GB"/>
        </w:rPr>
        <w:t xml:space="preserve"> et al.</w:t>
      </w:r>
      <w:r w:rsidR="00016AD9" w:rsidRPr="00FF2930">
        <w:rPr>
          <w:lang w:val="en-GB"/>
        </w:rPr>
        <w:t>, 2021</w:t>
      </w:r>
      <w:r w:rsidR="00096FD9" w:rsidRPr="00FF2930">
        <w:rPr>
          <w:lang w:val="en-GB"/>
        </w:rPr>
        <w:t>)</w:t>
      </w:r>
      <w:r w:rsidR="00EB0F03" w:rsidRPr="00FF2930">
        <w:rPr>
          <w:lang w:val="en-GB"/>
        </w:rPr>
        <w:t>.</w:t>
      </w:r>
    </w:p>
    <w:p w14:paraId="7382C781" w14:textId="7707568B" w:rsidR="00600535" w:rsidRPr="00FF2930" w:rsidRDefault="001077BA" w:rsidP="00FA5F5F">
      <w:pPr>
        <w:pStyle w:val="CETheadingx"/>
      </w:pPr>
      <w:bookmarkStart w:id="4" w:name="_Ref183707876"/>
      <w:r w:rsidRPr="00FF2930">
        <w:t>Economic assessment</w:t>
      </w:r>
      <w:bookmarkEnd w:id="4"/>
    </w:p>
    <w:p w14:paraId="40CC66BE" w14:textId="412963D7" w:rsidR="001077BA" w:rsidRPr="00FF2930" w:rsidRDefault="00685FBD" w:rsidP="00600535">
      <w:pPr>
        <w:pStyle w:val="CETBodytext"/>
        <w:rPr>
          <w:lang w:val="en-GB"/>
        </w:rPr>
      </w:pPr>
      <w:r w:rsidRPr="00FF2930">
        <w:rPr>
          <w:lang w:val="en-GB"/>
        </w:rPr>
        <w:t xml:space="preserve">The </w:t>
      </w:r>
      <w:r w:rsidR="00AA68A4" w:rsidRPr="00FF2930">
        <w:rPr>
          <w:lang w:val="en-GB"/>
        </w:rPr>
        <w:t>total</w:t>
      </w:r>
      <w:r w:rsidR="0000509B" w:rsidRPr="00FF2930">
        <w:rPr>
          <w:lang w:val="en-GB"/>
        </w:rPr>
        <w:t xml:space="preserve"> CAPEX for the </w:t>
      </w:r>
      <w:r w:rsidR="00AA68A4" w:rsidRPr="00FF2930">
        <w:rPr>
          <w:lang w:val="en-GB"/>
        </w:rPr>
        <w:t>investigated LH</w:t>
      </w:r>
      <w:r w:rsidR="00AA68A4" w:rsidRPr="00FF2930">
        <w:rPr>
          <w:vertAlign w:val="subscript"/>
          <w:lang w:val="en-GB"/>
        </w:rPr>
        <w:t>2</w:t>
      </w:r>
      <w:r w:rsidR="00AA68A4" w:rsidRPr="00FF2930">
        <w:rPr>
          <w:lang w:val="en-GB"/>
        </w:rPr>
        <w:t xml:space="preserve"> </w:t>
      </w:r>
      <w:r w:rsidR="0000509B" w:rsidRPr="00FF2930">
        <w:rPr>
          <w:lang w:val="en-GB"/>
        </w:rPr>
        <w:t>export</w:t>
      </w:r>
      <w:r w:rsidR="00AA68A4" w:rsidRPr="00FF2930">
        <w:rPr>
          <w:lang w:val="en-GB"/>
        </w:rPr>
        <w:t xml:space="preserve"> case study</w:t>
      </w:r>
      <w:r w:rsidR="00133248" w:rsidRPr="00FF2930">
        <w:rPr>
          <w:lang w:val="en-GB"/>
        </w:rPr>
        <w:t xml:space="preserve"> i</w:t>
      </w:r>
      <w:r w:rsidR="0000509B" w:rsidRPr="00FF2930">
        <w:rPr>
          <w:lang w:val="en-GB"/>
        </w:rPr>
        <w:t>s</w:t>
      </w:r>
      <w:r w:rsidR="00133248" w:rsidRPr="00FF2930">
        <w:rPr>
          <w:lang w:val="en-GB"/>
        </w:rPr>
        <w:t xml:space="preserve"> estimated</w:t>
      </w:r>
      <w:r w:rsidR="0000509B" w:rsidRPr="00FF2930">
        <w:rPr>
          <w:lang w:val="en-GB"/>
        </w:rPr>
        <w:t xml:space="preserve"> to </w:t>
      </w:r>
      <w:r w:rsidR="00B1068B" w:rsidRPr="00FF2930">
        <w:rPr>
          <w:lang w:val="en-GB"/>
        </w:rPr>
        <w:t>205</w:t>
      </w:r>
      <w:r w:rsidR="00A879CD" w:rsidRPr="00FF2930">
        <w:rPr>
          <w:lang w:val="en-GB"/>
        </w:rPr>
        <w:t>.</w:t>
      </w:r>
      <w:r w:rsidR="007512D0" w:rsidRPr="00FF2930">
        <w:rPr>
          <w:lang w:val="en-GB"/>
        </w:rPr>
        <w:t>9</w:t>
      </w:r>
      <w:r w:rsidR="0000509B" w:rsidRPr="00FF2930">
        <w:rPr>
          <w:lang w:val="en-GB"/>
        </w:rPr>
        <w:t xml:space="preserve"> M</w:t>
      </w:r>
      <w:r w:rsidR="00817367" w:rsidRPr="00FF2930">
        <w:rPr>
          <w:lang w:val="en-GB"/>
        </w:rPr>
        <w:t>€</w:t>
      </w:r>
      <w:r w:rsidR="0000509B" w:rsidRPr="00FF2930">
        <w:rPr>
          <w:lang w:val="en-GB"/>
        </w:rPr>
        <w:t xml:space="preserve">, </w:t>
      </w:r>
      <w:r w:rsidR="00133248" w:rsidRPr="00FF2930">
        <w:rPr>
          <w:lang w:val="en-GB"/>
        </w:rPr>
        <w:t xml:space="preserve">with the largest expense attributed to the onshore storage tanks and the ship, as illustrated in the pie chart in </w:t>
      </w:r>
      <w:r w:rsidR="00ED5BD0" w:rsidRPr="00FF2930">
        <w:rPr>
          <w:lang w:val="en-GB"/>
        </w:rPr>
        <w:fldChar w:fldCharType="begin"/>
      </w:r>
      <w:r w:rsidR="00ED5BD0" w:rsidRPr="00FF2930">
        <w:rPr>
          <w:lang w:val="en-GB"/>
        </w:rPr>
        <w:instrText xml:space="preserve"> REF _Ref183694446 \h </w:instrText>
      </w:r>
      <w:r w:rsidR="00292845" w:rsidRPr="00FF2930">
        <w:rPr>
          <w:lang w:val="en-GB"/>
        </w:rPr>
        <w:instrText xml:space="preserve"> \* MERGEFORMAT </w:instrText>
      </w:r>
      <w:r w:rsidR="00ED5BD0" w:rsidRPr="00FF2930">
        <w:rPr>
          <w:lang w:val="en-GB"/>
        </w:rPr>
      </w:r>
      <w:r w:rsidR="00ED5BD0" w:rsidRPr="00FF2930">
        <w:rPr>
          <w:lang w:val="en-GB"/>
        </w:rPr>
        <w:fldChar w:fldCharType="separate"/>
      </w:r>
      <w:r w:rsidR="00ED5BD0" w:rsidRPr="00FF2930">
        <w:t xml:space="preserve">Figure </w:t>
      </w:r>
      <w:r w:rsidR="00ED5BD0" w:rsidRPr="00FF2930">
        <w:rPr>
          <w:noProof/>
        </w:rPr>
        <w:t>3</w:t>
      </w:r>
      <w:r w:rsidR="00ED5BD0" w:rsidRPr="00FF2930">
        <w:rPr>
          <w:lang w:val="en-GB"/>
        </w:rPr>
        <w:fldChar w:fldCharType="end"/>
      </w:r>
      <w:r w:rsidR="0000509B" w:rsidRPr="00FF2930">
        <w:rPr>
          <w:lang w:val="en-GB"/>
        </w:rPr>
        <w:t xml:space="preserve">. The OPEX is </w:t>
      </w:r>
      <w:r w:rsidR="008F62FB" w:rsidRPr="00FF2930">
        <w:rPr>
          <w:lang w:val="en-GB"/>
        </w:rPr>
        <w:t>projec</w:t>
      </w:r>
      <w:r w:rsidR="0000509B" w:rsidRPr="00FF2930">
        <w:rPr>
          <w:lang w:val="en-GB"/>
        </w:rPr>
        <w:t xml:space="preserve">ted at </w:t>
      </w:r>
      <w:r w:rsidR="007512D0" w:rsidRPr="00FF2930">
        <w:rPr>
          <w:lang w:val="en-GB"/>
        </w:rPr>
        <w:t>20</w:t>
      </w:r>
      <w:r w:rsidR="0000509B" w:rsidRPr="00FF2930">
        <w:rPr>
          <w:lang w:val="en-GB"/>
        </w:rPr>
        <w:t>.6 M</w:t>
      </w:r>
      <w:r w:rsidR="00817367" w:rsidRPr="00FF2930">
        <w:rPr>
          <w:lang w:val="en-GB"/>
        </w:rPr>
        <w:t>€</w:t>
      </w:r>
      <w:r w:rsidR="0000509B" w:rsidRPr="00FF2930">
        <w:rPr>
          <w:lang w:val="en-GB"/>
        </w:rPr>
        <w:t xml:space="preserve">/y, with </w:t>
      </w:r>
      <w:r w:rsidR="00DC4D38" w:rsidRPr="00FF2930">
        <w:rPr>
          <w:lang w:val="en-GB"/>
        </w:rPr>
        <w:t>minimal contributions from the electricity consumption of loading pumps and BOG compressors</w:t>
      </w:r>
      <w:r w:rsidR="0028310A" w:rsidRPr="00FF2930">
        <w:rPr>
          <w:lang w:val="en-GB"/>
        </w:rPr>
        <w:t xml:space="preserve"> (0.</w:t>
      </w:r>
      <w:r w:rsidR="00B1068B" w:rsidRPr="00FF2930">
        <w:rPr>
          <w:lang w:val="en-GB"/>
        </w:rPr>
        <w:t>00</w:t>
      </w:r>
      <w:r w:rsidR="00FF228C" w:rsidRPr="00FF2930">
        <w:rPr>
          <w:lang w:val="en-GB"/>
        </w:rPr>
        <w:t>4</w:t>
      </w:r>
      <w:r w:rsidR="0028310A" w:rsidRPr="00FF2930">
        <w:rPr>
          <w:lang w:val="en-GB"/>
        </w:rPr>
        <w:t xml:space="preserve"> M€/y)</w:t>
      </w:r>
      <w:r w:rsidR="00DC4D38" w:rsidRPr="00FF2930">
        <w:rPr>
          <w:lang w:val="en-GB"/>
        </w:rPr>
        <w:t>. The main OPEX driver is the cost of operations and maintenance</w:t>
      </w:r>
      <w:r w:rsidR="0028310A" w:rsidRPr="00FF2930">
        <w:rPr>
          <w:lang w:val="en-GB"/>
        </w:rPr>
        <w:t xml:space="preserve"> (</w:t>
      </w:r>
      <w:r w:rsidR="00CA6A6A" w:rsidRPr="00FF2930">
        <w:rPr>
          <w:lang w:val="en-GB"/>
        </w:rPr>
        <w:t xml:space="preserve">20.6 </w:t>
      </w:r>
      <w:r w:rsidR="0028310A" w:rsidRPr="00FF2930">
        <w:rPr>
          <w:lang w:val="en-GB"/>
        </w:rPr>
        <w:t>M€/y)</w:t>
      </w:r>
      <w:r w:rsidR="00DC4D38" w:rsidRPr="00FF2930">
        <w:rPr>
          <w:lang w:val="en-GB"/>
        </w:rPr>
        <w:t xml:space="preserve">. </w:t>
      </w:r>
      <w:r w:rsidR="0000509B" w:rsidRPr="00FF2930">
        <w:rPr>
          <w:lang w:val="en-GB"/>
        </w:rPr>
        <w:t xml:space="preserve">The resulting LCOH for storage and </w:t>
      </w:r>
      <w:r w:rsidR="00AA22DF" w:rsidRPr="00FF2930">
        <w:rPr>
          <w:lang w:val="en-GB"/>
        </w:rPr>
        <w:t>maritime</w:t>
      </w:r>
      <w:r w:rsidR="00D701B9" w:rsidRPr="00FF2930">
        <w:rPr>
          <w:lang w:val="en-GB"/>
        </w:rPr>
        <w:t xml:space="preserve"> transport</w:t>
      </w:r>
      <w:r w:rsidR="0000509B" w:rsidRPr="00FF2930">
        <w:rPr>
          <w:lang w:val="en-GB"/>
        </w:rPr>
        <w:t xml:space="preserve"> is </w:t>
      </w:r>
      <w:r w:rsidR="00B1068B" w:rsidRPr="00FF2930">
        <w:rPr>
          <w:lang w:val="en-GB"/>
        </w:rPr>
        <w:t>3</w:t>
      </w:r>
      <w:r w:rsidR="0000509B" w:rsidRPr="00FF2930">
        <w:rPr>
          <w:lang w:val="en-GB"/>
        </w:rPr>
        <w:t>.</w:t>
      </w:r>
      <w:r w:rsidR="00B1068B" w:rsidRPr="00FF2930">
        <w:rPr>
          <w:lang w:val="en-GB"/>
        </w:rPr>
        <w:t>09</w:t>
      </w:r>
      <w:r w:rsidR="0000509B" w:rsidRPr="00FF2930">
        <w:rPr>
          <w:lang w:val="en-GB"/>
        </w:rPr>
        <w:t xml:space="preserve"> </w:t>
      </w:r>
      <w:r w:rsidR="00817367" w:rsidRPr="00FF2930">
        <w:rPr>
          <w:lang w:val="en-GB"/>
        </w:rPr>
        <w:t>€</w:t>
      </w:r>
      <w:r w:rsidR="0000509B" w:rsidRPr="00FF2930">
        <w:rPr>
          <w:lang w:val="en-GB"/>
        </w:rPr>
        <w:t xml:space="preserve">/kg. When </w:t>
      </w:r>
      <w:r w:rsidR="005661A6" w:rsidRPr="00FF2930">
        <w:rPr>
          <w:lang w:val="en-GB"/>
        </w:rPr>
        <w:t xml:space="preserve">combined with the costs of hydrogen production and liquefaction, </w:t>
      </w:r>
      <w:r w:rsidR="00643604" w:rsidRPr="00FF2930">
        <w:rPr>
          <w:lang w:val="en-GB"/>
        </w:rPr>
        <w:t xml:space="preserve">the high LCOH highlights </w:t>
      </w:r>
      <w:r w:rsidR="005661A6" w:rsidRPr="00FF2930">
        <w:rPr>
          <w:lang w:val="en-GB"/>
        </w:rPr>
        <w:t>the critical need for cost reductions across the entire supply chain to establish LH</w:t>
      </w:r>
      <w:r w:rsidR="00ED5BD0" w:rsidRPr="00FF2930">
        <w:rPr>
          <w:vertAlign w:val="subscript"/>
          <w:lang w:val="en-GB"/>
        </w:rPr>
        <w:t>2</w:t>
      </w:r>
      <w:r w:rsidR="005661A6" w:rsidRPr="00FF2930">
        <w:rPr>
          <w:lang w:val="en-GB"/>
        </w:rPr>
        <w:t xml:space="preserve"> as a competitive energy carrier</w:t>
      </w:r>
      <w:r w:rsidR="0000509B" w:rsidRPr="00FF2930">
        <w:rPr>
          <w:lang w:val="en-GB"/>
        </w:rPr>
        <w:t>.</w:t>
      </w:r>
    </w:p>
    <w:p w14:paraId="503B0C2B" w14:textId="672515C6" w:rsidR="0055153D" w:rsidRPr="00FF2930" w:rsidRDefault="002D30FB" w:rsidP="007E139B">
      <w:pPr>
        <w:pStyle w:val="CETBodytext"/>
        <w:spacing w:line="240" w:lineRule="auto"/>
        <w:rPr>
          <w:lang w:val="en-GB"/>
        </w:rPr>
      </w:pPr>
      <w:r w:rsidRPr="00FF2930">
        <w:t xml:space="preserve"> </w:t>
      </w:r>
      <w:r w:rsidRPr="00FF2930">
        <w:rPr>
          <w:noProof/>
        </w:rPr>
        <w:drawing>
          <wp:inline distT="0" distB="0" distL="0" distR="0" wp14:anchorId="7611F7D5" wp14:editId="4F474823">
            <wp:extent cx="2061807" cy="8280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rotWithShape="1">
                    <a:blip r:embed="rId17">
                      <a:extLst>
                        <a:ext uri="{28A0092B-C50C-407E-A947-70E740481C1C}">
                          <a14:useLocalDpi xmlns:a14="http://schemas.microsoft.com/office/drawing/2010/main" val="0"/>
                        </a:ext>
                      </a:extLst>
                    </a:blip>
                    <a:srcRect l="7503" t="5629" b="7695"/>
                    <a:stretch/>
                  </pic:blipFill>
                  <pic:spPr bwMode="auto">
                    <a:xfrm>
                      <a:off x="0" y="0"/>
                      <a:ext cx="2061807"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3C4BEB86" w14:textId="6EED8151" w:rsidR="00725323" w:rsidRPr="00FF2930" w:rsidRDefault="00725323" w:rsidP="00725323">
      <w:pPr>
        <w:pStyle w:val="CETCaption"/>
      </w:pPr>
      <w:bookmarkStart w:id="5" w:name="_Ref183694446"/>
      <w:r w:rsidRPr="00FF2930">
        <w:t xml:space="preserve">Figure </w:t>
      </w:r>
      <w:r w:rsidRPr="00FF2930">
        <w:fldChar w:fldCharType="begin"/>
      </w:r>
      <w:r w:rsidRPr="00FF2930">
        <w:instrText xml:space="preserve"> SEQ Figure \* ARABIC </w:instrText>
      </w:r>
      <w:r w:rsidRPr="00FF2930">
        <w:fldChar w:fldCharType="separate"/>
      </w:r>
      <w:r w:rsidRPr="00FF2930">
        <w:rPr>
          <w:noProof/>
        </w:rPr>
        <w:t>3</w:t>
      </w:r>
      <w:r w:rsidRPr="00FF2930">
        <w:fldChar w:fldCharType="end"/>
      </w:r>
      <w:bookmarkEnd w:id="5"/>
      <w:r w:rsidRPr="00FF2930">
        <w:rPr>
          <w:rStyle w:val="CETCaptionCarattere"/>
          <w:i/>
        </w:rPr>
        <w:t xml:space="preserve">: Breakdown of </w:t>
      </w:r>
      <w:r w:rsidR="00EF0511" w:rsidRPr="00FF2930">
        <w:rPr>
          <w:rStyle w:val="CETCaptionCarattere"/>
          <w:i/>
        </w:rPr>
        <w:t xml:space="preserve">the total </w:t>
      </w:r>
      <w:r w:rsidRPr="00FF2930">
        <w:rPr>
          <w:rStyle w:val="CETCaptionCarattere"/>
          <w:i/>
        </w:rPr>
        <w:t>bare module cost</w:t>
      </w:r>
      <w:r w:rsidR="008F62FB" w:rsidRPr="00FF2930">
        <w:rPr>
          <w:rStyle w:val="CETCaptionCarattere"/>
          <w:i/>
        </w:rPr>
        <w:t xml:space="preserve"> </w:t>
      </w:r>
      <w:r w:rsidR="00E47C7E" w:rsidRPr="00FF2930">
        <w:rPr>
          <w:rStyle w:val="CETCaptionCarattere"/>
          <w:i/>
        </w:rPr>
        <w:t>by</w:t>
      </w:r>
      <w:r w:rsidR="008F62FB" w:rsidRPr="00FF2930">
        <w:rPr>
          <w:rStyle w:val="CETCaptionCarattere"/>
          <w:i/>
        </w:rPr>
        <w:t xml:space="preserve"> contributions </w:t>
      </w:r>
      <w:r w:rsidR="00E47C7E" w:rsidRPr="00FF2930">
        <w:rPr>
          <w:rStyle w:val="CETCaptionCarattere"/>
          <w:i/>
        </w:rPr>
        <w:t>from</w:t>
      </w:r>
      <w:r w:rsidR="008F62FB" w:rsidRPr="00FF2930">
        <w:rPr>
          <w:rStyle w:val="CETCaptionCarattere"/>
          <w:i/>
        </w:rPr>
        <w:t xml:space="preserve"> </w:t>
      </w:r>
      <w:r w:rsidR="005D1F8A" w:rsidRPr="00FF2930">
        <w:rPr>
          <w:rStyle w:val="CETCaptionCarattere"/>
          <w:i/>
        </w:rPr>
        <w:t>various</w:t>
      </w:r>
      <w:r w:rsidR="008F62FB" w:rsidRPr="00FF2930">
        <w:rPr>
          <w:rStyle w:val="CETCaptionCarattere"/>
          <w:i/>
        </w:rPr>
        <w:t xml:space="preserve"> equipment</w:t>
      </w:r>
      <w:r w:rsidR="00EF0511" w:rsidRPr="00FF2930">
        <w:rPr>
          <w:rStyle w:val="CETCaptionCarattere"/>
          <w:i/>
        </w:rPr>
        <w:t>.</w:t>
      </w:r>
    </w:p>
    <w:p w14:paraId="68D26B83" w14:textId="77777777" w:rsidR="00600535" w:rsidRPr="00FF2930" w:rsidRDefault="00600535" w:rsidP="00600535">
      <w:pPr>
        <w:pStyle w:val="CETHeading1"/>
        <w:rPr>
          <w:lang w:val="en-GB"/>
        </w:rPr>
      </w:pPr>
      <w:r w:rsidRPr="00FF2930">
        <w:rPr>
          <w:lang w:val="en-GB"/>
        </w:rPr>
        <w:lastRenderedPageBreak/>
        <w:t>Conclusions</w:t>
      </w:r>
    </w:p>
    <w:p w14:paraId="52DAFDE0" w14:textId="7FCA5CCF" w:rsidR="001D0CFB" w:rsidRPr="00FF2930" w:rsidRDefault="00AA4DDE" w:rsidP="00AA4DDE">
      <w:pPr>
        <w:pStyle w:val="CETBodytext"/>
        <w:rPr>
          <w:lang w:val="en-GB"/>
        </w:rPr>
      </w:pPr>
      <w:r w:rsidRPr="00FF2930">
        <w:rPr>
          <w:lang w:val="en-GB"/>
        </w:rPr>
        <w:t xml:space="preserve">This work </w:t>
      </w:r>
      <w:r w:rsidR="00D124D3" w:rsidRPr="00FF2930">
        <w:rPr>
          <w:lang w:val="en-GB"/>
        </w:rPr>
        <w:t xml:space="preserve">study explores the operation of </w:t>
      </w:r>
      <w:r w:rsidRPr="00FF2930">
        <w:rPr>
          <w:lang w:val="en-GB"/>
        </w:rPr>
        <w:t xml:space="preserve">a </w:t>
      </w:r>
      <w:r w:rsidR="00E14ACF" w:rsidRPr="00FF2930">
        <w:rPr>
          <w:lang w:val="en-GB"/>
        </w:rPr>
        <w:t>hypothetical</w:t>
      </w:r>
      <w:r w:rsidRPr="00FF2930">
        <w:rPr>
          <w:lang w:val="en-GB"/>
        </w:rPr>
        <w:t xml:space="preserve"> </w:t>
      </w:r>
      <w:r w:rsidR="002A703C" w:rsidRPr="00FF2930">
        <w:rPr>
          <w:lang w:val="en-GB"/>
        </w:rPr>
        <w:t>liquid hydrogen e</w:t>
      </w:r>
      <w:r w:rsidRPr="00FF2930">
        <w:rPr>
          <w:lang w:val="en-GB"/>
        </w:rPr>
        <w:t xml:space="preserve">xport terminal. For the case </w:t>
      </w:r>
      <w:r w:rsidR="002A703C" w:rsidRPr="00FF2930">
        <w:rPr>
          <w:lang w:val="en-GB"/>
        </w:rPr>
        <w:t xml:space="preserve">study </w:t>
      </w:r>
      <w:r w:rsidRPr="00FF2930">
        <w:rPr>
          <w:lang w:val="en-GB"/>
        </w:rPr>
        <w:t>examined, involving a liquid hydrogen feed flow rate of 4</w:t>
      </w:r>
      <w:r w:rsidR="000C51A6" w:rsidRPr="00FF2930">
        <w:rPr>
          <w:lang w:val="en-GB"/>
        </w:rPr>
        <w:t>4</w:t>
      </w:r>
      <w:r w:rsidR="007029E7" w:rsidRPr="00FF2930">
        <w:rPr>
          <w:lang w:val="en-GB"/>
        </w:rPr>
        <w:t>,000</w:t>
      </w:r>
      <w:r w:rsidRPr="00FF2930">
        <w:rPr>
          <w:lang w:val="en-GB"/>
        </w:rPr>
        <w:t xml:space="preserve"> </w:t>
      </w:r>
      <w:r w:rsidR="007029E7" w:rsidRPr="00FF2930">
        <w:rPr>
          <w:lang w:val="en-GB"/>
        </w:rPr>
        <w:t>kg</w:t>
      </w:r>
      <w:r w:rsidRPr="00FF2930">
        <w:rPr>
          <w:lang w:val="en-GB"/>
        </w:rPr>
        <w:t>/d</w:t>
      </w:r>
      <w:r w:rsidR="00F84720" w:rsidRPr="00FF2930">
        <w:rPr>
          <w:lang w:val="en-GB"/>
        </w:rPr>
        <w:t>, a</w:t>
      </w:r>
      <w:r w:rsidR="004A1663" w:rsidRPr="00FF2930">
        <w:rPr>
          <w:lang w:val="en-GB"/>
        </w:rPr>
        <w:t>n</w:t>
      </w:r>
      <w:r w:rsidR="0067769A" w:rsidRPr="00FF2930">
        <w:rPr>
          <w:lang w:val="en-GB"/>
        </w:rPr>
        <w:t>d a harbour-to-harbour distance</w:t>
      </w:r>
      <w:r w:rsidR="006F797D" w:rsidRPr="00FF2930">
        <w:rPr>
          <w:lang w:val="en-GB"/>
        </w:rPr>
        <w:t xml:space="preserve"> of</w:t>
      </w:r>
      <w:r w:rsidR="0067769A" w:rsidRPr="00FF2930">
        <w:rPr>
          <w:lang w:val="en-GB"/>
        </w:rPr>
        <w:t xml:space="preserve"> 2,500 km</w:t>
      </w:r>
      <w:r w:rsidRPr="00FF2930">
        <w:rPr>
          <w:lang w:val="en-GB"/>
        </w:rPr>
        <w:t xml:space="preserve">, the </w:t>
      </w:r>
      <w:r w:rsidR="00D306F3" w:rsidRPr="00FF2930">
        <w:rPr>
          <w:lang w:val="en-GB"/>
        </w:rPr>
        <w:t>c</w:t>
      </w:r>
      <w:r w:rsidR="003150B8" w:rsidRPr="00FF2930">
        <w:rPr>
          <w:lang w:val="en-GB"/>
        </w:rPr>
        <w:t>yclic</w:t>
      </w:r>
      <w:r w:rsidRPr="00FF2930">
        <w:rPr>
          <w:lang w:val="en-GB"/>
        </w:rPr>
        <w:t xml:space="preserve"> operation </w:t>
      </w:r>
      <w:r w:rsidR="00966A9B" w:rsidRPr="00FF2930">
        <w:rPr>
          <w:lang w:val="en-GB"/>
        </w:rPr>
        <w:t>at the export terminal</w:t>
      </w:r>
      <w:r w:rsidRPr="00FF2930">
        <w:rPr>
          <w:lang w:val="en-GB"/>
        </w:rPr>
        <w:t xml:space="preserve"> is </w:t>
      </w:r>
      <w:r w:rsidR="003150B8" w:rsidRPr="00FF2930">
        <w:rPr>
          <w:lang w:val="en-GB"/>
        </w:rPr>
        <w:t>repeated</w:t>
      </w:r>
      <w:r w:rsidR="0015319B" w:rsidRPr="00FF2930">
        <w:rPr>
          <w:lang w:val="en-GB"/>
        </w:rPr>
        <w:t xml:space="preserve"> </w:t>
      </w:r>
      <w:r w:rsidRPr="00FF2930">
        <w:rPr>
          <w:lang w:val="en-GB"/>
        </w:rPr>
        <w:t xml:space="preserve">about </w:t>
      </w:r>
      <w:r w:rsidR="005763ED" w:rsidRPr="00FF2930">
        <w:rPr>
          <w:lang w:val="en-GB"/>
        </w:rPr>
        <w:t>30</w:t>
      </w:r>
      <w:r w:rsidR="0015319B" w:rsidRPr="00FF2930">
        <w:rPr>
          <w:lang w:val="en-GB"/>
        </w:rPr>
        <w:t xml:space="preserve"> times a year. </w:t>
      </w:r>
      <w:r w:rsidR="00904C0C" w:rsidRPr="00FF2930">
        <w:rPr>
          <w:lang w:val="en-GB"/>
        </w:rPr>
        <w:t xml:space="preserve">The generated boil-off gas, which maintains a nearly constant flow rate throughout the cycle, can be recovered </w:t>
      </w:r>
      <w:r w:rsidR="00F44847" w:rsidRPr="00FF2930">
        <w:rPr>
          <w:lang w:val="en-GB"/>
        </w:rPr>
        <w:t>by</w:t>
      </w:r>
      <w:r w:rsidR="008261A4" w:rsidRPr="00FF2930">
        <w:rPr>
          <w:lang w:val="en-GB"/>
        </w:rPr>
        <w:t xml:space="preserve"> re</w:t>
      </w:r>
      <w:r w:rsidR="00904C0C" w:rsidRPr="00FF2930">
        <w:rPr>
          <w:lang w:val="en-GB"/>
        </w:rPr>
        <w:t>liquef</w:t>
      </w:r>
      <w:r w:rsidR="008261A4" w:rsidRPr="00FF2930">
        <w:rPr>
          <w:lang w:val="en-GB"/>
        </w:rPr>
        <w:t>ying it at a nearby liquefa</w:t>
      </w:r>
      <w:r w:rsidR="00904C0C" w:rsidRPr="00FF2930">
        <w:rPr>
          <w:lang w:val="en-GB"/>
        </w:rPr>
        <w:t>ction p</w:t>
      </w:r>
      <w:r w:rsidR="008261A4" w:rsidRPr="00FF2930">
        <w:rPr>
          <w:lang w:val="en-GB"/>
        </w:rPr>
        <w:t>lant</w:t>
      </w:r>
      <w:r w:rsidR="00904C0C" w:rsidRPr="00FF2930">
        <w:rPr>
          <w:lang w:val="en-GB"/>
        </w:rPr>
        <w:t>, which operates continuously.</w:t>
      </w:r>
      <w:r w:rsidR="00D04D1E" w:rsidRPr="00FF2930">
        <w:rPr>
          <w:lang w:val="en-GB"/>
        </w:rPr>
        <w:t xml:space="preserve"> </w:t>
      </w:r>
      <w:r w:rsidR="00904C0C" w:rsidRPr="00FF2930">
        <w:rPr>
          <w:lang w:val="en-GB"/>
        </w:rPr>
        <w:t>The levelized cost of hydrogen for terminal storage and shipment is calculated at 3.09 €/kg, emphasizing the need for further research to reduce costs for liquid hydrogen export to become economically feasible. This study marks an initial step toward assessing the potential of liquefied hydrogen as a means to transport green hydrogen across the Mediterranean Sea.</w:t>
      </w:r>
    </w:p>
    <w:p w14:paraId="07A6D20F" w14:textId="0ECF229E" w:rsidR="00280FAF" w:rsidRPr="00FF2930" w:rsidRDefault="00280FAF" w:rsidP="00280FAF">
      <w:pPr>
        <w:pStyle w:val="CETHeadingxx"/>
        <w:rPr>
          <w:lang w:val="en-GB"/>
        </w:rPr>
        <w:sectPr w:rsidR="00280FAF" w:rsidRPr="00FF2930" w:rsidSect="00DC73EE">
          <w:type w:val="continuous"/>
          <w:pgSz w:w="11906" w:h="16838" w:code="9"/>
          <w:pgMar w:top="1701" w:right="1418" w:bottom="1701" w:left="1701" w:header="1701" w:footer="0" w:gutter="0"/>
          <w:cols w:space="708"/>
          <w:formProt w:val="0"/>
          <w:titlePg/>
          <w:docGrid w:linePitch="360"/>
        </w:sectPr>
      </w:pPr>
      <w:r w:rsidRPr="00FF2930">
        <w:t>Nomenclature</w:t>
      </w:r>
    </w:p>
    <w:p w14:paraId="33D176ED" w14:textId="60BE8C73" w:rsidR="00280FAF" w:rsidRPr="00FF2930" w:rsidRDefault="004C6A15" w:rsidP="00280FAF">
      <w:pPr>
        <w:pStyle w:val="CETBodytext"/>
        <w:jc w:val="left"/>
        <w:rPr>
          <w:rFonts w:eastAsia="SimSun"/>
        </w:rPr>
      </w:pPr>
      <w:r w:rsidRPr="00FF2930">
        <w:rPr>
          <w:rFonts w:eastAsia="SimSun"/>
          <w:i/>
          <w:iCs/>
        </w:rPr>
        <w:t>c</w:t>
      </w:r>
      <w:r w:rsidRPr="00FF2930">
        <w:rPr>
          <w:rFonts w:eastAsia="SimSun"/>
          <w:i/>
          <w:iCs/>
          <w:vertAlign w:val="subscript"/>
        </w:rPr>
        <w:t>p</w:t>
      </w:r>
      <w:r w:rsidR="00280FAF" w:rsidRPr="00FF2930">
        <w:rPr>
          <w:rFonts w:eastAsia="SimSun"/>
        </w:rPr>
        <w:t xml:space="preserve"> – </w:t>
      </w:r>
      <w:r w:rsidRPr="00FF2930">
        <w:rPr>
          <w:rFonts w:eastAsia="SimSun"/>
        </w:rPr>
        <w:t>speci</w:t>
      </w:r>
      <w:r w:rsidR="00F77691" w:rsidRPr="00FF2930">
        <w:rPr>
          <w:rFonts w:eastAsia="SimSun"/>
        </w:rPr>
        <w:t xml:space="preserve">fic </w:t>
      </w:r>
      <w:r w:rsidR="00D04D1E" w:rsidRPr="00FF2930">
        <w:rPr>
          <w:rFonts w:eastAsia="SimSun"/>
        </w:rPr>
        <w:t xml:space="preserve">isobaric </w:t>
      </w:r>
      <w:r w:rsidR="00F77691" w:rsidRPr="00FF2930">
        <w:rPr>
          <w:rFonts w:eastAsia="SimSun"/>
        </w:rPr>
        <w:t>heat capacity</w:t>
      </w:r>
      <w:r w:rsidR="00280FAF" w:rsidRPr="00FF2930">
        <w:rPr>
          <w:rFonts w:eastAsia="SimSun"/>
        </w:rPr>
        <w:t xml:space="preserve">, </w:t>
      </w:r>
      <w:r w:rsidR="00F77691" w:rsidRPr="00FF2930">
        <w:rPr>
          <w:lang w:val="en-GB"/>
        </w:rPr>
        <w:t>kJ/</w:t>
      </w:r>
      <w:r w:rsidR="00F77691" w:rsidRPr="00FF2930">
        <w:rPr>
          <w:rFonts w:eastAsia="SimSun"/>
        </w:rPr>
        <w:t>(</w:t>
      </w:r>
      <w:proofErr w:type="spellStart"/>
      <w:r w:rsidR="00F77691" w:rsidRPr="00FF2930">
        <w:rPr>
          <w:rFonts w:eastAsia="SimSun"/>
        </w:rPr>
        <w:t>kg</w:t>
      </w:r>
      <w:r w:rsidR="00F77691" w:rsidRPr="00FF2930">
        <w:rPr>
          <w:rFonts w:ascii="Times New Roman" w:eastAsia="SimSun" w:hAnsi="Times New Roman"/>
        </w:rPr>
        <w:t>·</w:t>
      </w:r>
      <w:r w:rsidR="00F77691" w:rsidRPr="00FF2930">
        <w:rPr>
          <w:rFonts w:eastAsia="SimSun"/>
        </w:rPr>
        <w:t>K</w:t>
      </w:r>
      <w:proofErr w:type="spellEnd"/>
      <w:r w:rsidR="00F77691" w:rsidRPr="00FF2930">
        <w:rPr>
          <w:rFonts w:eastAsia="SimSun"/>
        </w:rPr>
        <w:t>)</w:t>
      </w:r>
    </w:p>
    <w:p w14:paraId="5E70F004" w14:textId="042A263A" w:rsidR="004A5DE0" w:rsidRPr="00FF2930" w:rsidRDefault="00F77691" w:rsidP="00280FAF">
      <w:pPr>
        <w:pStyle w:val="CETBodytext"/>
        <w:jc w:val="left"/>
        <w:rPr>
          <w:rFonts w:eastAsia="SimSun"/>
        </w:rPr>
      </w:pPr>
      <w:r w:rsidRPr="00FF2930">
        <w:rPr>
          <w:rFonts w:eastAsia="SimSun"/>
          <w:i/>
          <w:iCs/>
        </w:rPr>
        <w:t>F</w:t>
      </w:r>
      <w:r w:rsidR="00280FAF" w:rsidRPr="00FF2930">
        <w:rPr>
          <w:rFonts w:eastAsia="SimSun"/>
        </w:rPr>
        <w:t xml:space="preserve"> – </w:t>
      </w:r>
      <w:r w:rsidR="004A5DE0" w:rsidRPr="00FF2930">
        <w:rPr>
          <w:rFonts w:eastAsia="SimSun"/>
        </w:rPr>
        <w:t>mass flow rate</w:t>
      </w:r>
      <w:r w:rsidR="00280FAF" w:rsidRPr="00FF2930">
        <w:rPr>
          <w:rFonts w:eastAsia="SimSun"/>
        </w:rPr>
        <w:t xml:space="preserve">, </w:t>
      </w:r>
      <w:r w:rsidR="004A5DE0" w:rsidRPr="00FF2930">
        <w:rPr>
          <w:rFonts w:eastAsia="SimSun"/>
        </w:rPr>
        <w:t>kg/d</w:t>
      </w:r>
    </w:p>
    <w:p w14:paraId="42FAA691" w14:textId="19045AC8" w:rsidR="00280FAF" w:rsidRPr="00FF2930" w:rsidRDefault="00900E8C" w:rsidP="00280FAF">
      <w:pPr>
        <w:pStyle w:val="CETBodytext"/>
        <w:jc w:val="left"/>
        <w:rPr>
          <w:rFonts w:eastAsia="SimSun"/>
        </w:rPr>
      </w:pPr>
      <w:r w:rsidRPr="00FF2930">
        <w:rPr>
          <w:rFonts w:ascii="Symbol" w:hAnsi="Symbol"/>
          <w:i/>
          <w:iCs/>
          <w:lang w:val="en-GB"/>
        </w:rPr>
        <w:t xml:space="preserve">r </w:t>
      </w:r>
      <w:r w:rsidR="00280FAF" w:rsidRPr="00FF2930">
        <w:rPr>
          <w:rFonts w:eastAsia="SimSun"/>
        </w:rPr>
        <w:t xml:space="preserve"> – </w:t>
      </w:r>
      <w:r w:rsidRPr="00FF2930">
        <w:rPr>
          <w:rFonts w:eastAsia="SimSun"/>
        </w:rPr>
        <w:t>mass density</w:t>
      </w:r>
      <w:r w:rsidR="00280FAF" w:rsidRPr="00FF2930">
        <w:rPr>
          <w:rFonts w:eastAsia="SimSun"/>
        </w:rPr>
        <w:t xml:space="preserve">, </w:t>
      </w:r>
      <w:r w:rsidR="00EA7F44" w:rsidRPr="00FF2930">
        <w:rPr>
          <w:rFonts w:eastAsia="SimSun"/>
        </w:rPr>
        <w:t>kg/</w:t>
      </w:r>
      <w:r w:rsidR="00280FAF" w:rsidRPr="00FF2930">
        <w:rPr>
          <w:rFonts w:eastAsia="SimSun"/>
        </w:rPr>
        <w:t>m</w:t>
      </w:r>
      <w:r w:rsidR="00EA7F44" w:rsidRPr="00FF2930">
        <w:rPr>
          <w:rFonts w:eastAsia="SimSun"/>
          <w:vertAlign w:val="superscript"/>
        </w:rPr>
        <w:t>3</w:t>
      </w:r>
    </w:p>
    <w:p w14:paraId="23FF4C40" w14:textId="01EA3CF9" w:rsidR="00280FAF" w:rsidRPr="00FF2930" w:rsidRDefault="00EA7F44" w:rsidP="00280FAF">
      <w:pPr>
        <w:pStyle w:val="CETBodytext"/>
        <w:jc w:val="left"/>
        <w:rPr>
          <w:rFonts w:eastAsia="SimSun"/>
        </w:rPr>
      </w:pPr>
      <w:r w:rsidRPr="00FF2930">
        <w:rPr>
          <w:rFonts w:eastAsia="SimSun" w:cs="Arial"/>
          <w:i/>
          <w:iCs/>
        </w:rPr>
        <w:t>k</w:t>
      </w:r>
      <w:r w:rsidR="00280FAF" w:rsidRPr="00FF2930">
        <w:rPr>
          <w:rFonts w:eastAsia="SimSun"/>
          <w:lang w:val="el-GR"/>
        </w:rPr>
        <w:t xml:space="preserve"> – </w:t>
      </w:r>
      <w:r w:rsidR="00280FAF" w:rsidRPr="00FF2930">
        <w:rPr>
          <w:rFonts w:eastAsia="SimSun"/>
        </w:rPr>
        <w:t>thermal conductivity, W/(</w:t>
      </w:r>
      <w:proofErr w:type="spellStart"/>
      <w:r w:rsidR="00280FAF" w:rsidRPr="00FF2930">
        <w:rPr>
          <w:rFonts w:eastAsia="SimSun"/>
        </w:rPr>
        <w:t>m</w:t>
      </w:r>
      <w:r w:rsidR="00280FAF" w:rsidRPr="00FF2930">
        <w:rPr>
          <w:rFonts w:ascii="Times New Roman" w:eastAsia="SimSun" w:hAnsi="Times New Roman"/>
        </w:rPr>
        <w:t>·</w:t>
      </w:r>
      <w:r w:rsidR="00280FAF" w:rsidRPr="00FF2930">
        <w:rPr>
          <w:rFonts w:eastAsia="SimSun"/>
        </w:rPr>
        <w:t>K</w:t>
      </w:r>
      <w:proofErr w:type="spellEnd"/>
      <w:r w:rsidR="00280FAF" w:rsidRPr="00FF2930">
        <w:rPr>
          <w:rFonts w:eastAsia="SimSun"/>
        </w:rPr>
        <w:t>)</w:t>
      </w:r>
    </w:p>
    <w:p w14:paraId="38BFE636" w14:textId="622509DF" w:rsidR="00280FAF" w:rsidRPr="00FF2930" w:rsidRDefault="00280FAF" w:rsidP="00280FAF">
      <w:pPr>
        <w:pStyle w:val="CETBodytext"/>
        <w:jc w:val="left"/>
        <w:rPr>
          <w:rFonts w:eastAsia="SimSun"/>
        </w:rPr>
        <w:sectPr w:rsidR="00280FAF" w:rsidRPr="00FF2930" w:rsidSect="00DC73EE">
          <w:type w:val="continuous"/>
          <w:pgSz w:w="11906" w:h="16838" w:code="9"/>
          <w:pgMar w:top="1701" w:right="1418" w:bottom="1701" w:left="1701" w:header="1701" w:footer="0" w:gutter="0"/>
          <w:cols w:num="2" w:space="708"/>
          <w:formProt w:val="0"/>
          <w:titlePg/>
          <w:docGrid w:linePitch="360"/>
        </w:sectPr>
      </w:pPr>
    </w:p>
    <w:p w14:paraId="74E7EE08" w14:textId="77777777" w:rsidR="00F6538F" w:rsidRPr="00FF2930" w:rsidRDefault="00F6538F" w:rsidP="00F6538F">
      <w:pPr>
        <w:pStyle w:val="CETAcknowledgementstitle"/>
      </w:pPr>
      <w:r w:rsidRPr="00FF2930">
        <w:t>Acknowledgments</w:t>
      </w:r>
    </w:p>
    <w:p w14:paraId="00A3A07F" w14:textId="0F9D06E2" w:rsidR="00F6538F" w:rsidRPr="00B57B36" w:rsidRDefault="00F6538F" w:rsidP="00F6538F">
      <w:pPr>
        <w:pStyle w:val="CETBodytext"/>
        <w:rPr>
          <w:lang w:val="en-GB"/>
        </w:rPr>
      </w:pPr>
      <w:r w:rsidRPr="00FF2930">
        <w:rPr>
          <w:lang w:val="en-GB"/>
        </w:rPr>
        <w:t>The work has been supported by the Future Energy Exports CRC (www.fenex.org.au) whose activities are funded by the Australian Government’s Cooperative Research Centre Program.</w:t>
      </w:r>
    </w:p>
    <w:p w14:paraId="4F1327F8" w14:textId="77777777" w:rsidR="00600535" w:rsidRPr="00B57B36" w:rsidRDefault="00600535" w:rsidP="00600535">
      <w:pPr>
        <w:pStyle w:val="CETReference"/>
      </w:pPr>
      <w:r w:rsidRPr="00B57B36">
        <w:t>References</w:t>
      </w:r>
    </w:p>
    <w:p w14:paraId="547B4168" w14:textId="31A44A8F" w:rsidR="00A36153" w:rsidRDefault="00A36153" w:rsidP="00A36153">
      <w:pPr>
        <w:pStyle w:val="CETReferencetext"/>
      </w:pPr>
      <w:r>
        <w:t xml:space="preserve">Al </w:t>
      </w:r>
      <w:proofErr w:type="spellStart"/>
      <w:r>
        <w:t>Ghafri</w:t>
      </w:r>
      <w:proofErr w:type="spellEnd"/>
      <w:r>
        <w:t xml:space="preserve"> S.Z.S., Munro S., </w:t>
      </w:r>
      <w:proofErr w:type="spellStart"/>
      <w:r>
        <w:t>Cardella</w:t>
      </w:r>
      <w:proofErr w:type="spellEnd"/>
      <w:r>
        <w:t xml:space="preserve"> U., Funke T., </w:t>
      </w:r>
      <w:proofErr w:type="spellStart"/>
      <w:r>
        <w:t>Notardonato</w:t>
      </w:r>
      <w:proofErr w:type="spellEnd"/>
      <w:r>
        <w:t xml:space="preserve"> W., </w:t>
      </w:r>
      <w:proofErr w:type="spellStart"/>
      <w:r>
        <w:t>Trusler</w:t>
      </w:r>
      <w:proofErr w:type="spellEnd"/>
      <w:r>
        <w:t xml:space="preserve"> J.P.M., </w:t>
      </w:r>
      <w:proofErr w:type="spellStart"/>
      <w:r>
        <w:t>Leachman</w:t>
      </w:r>
      <w:proofErr w:type="spellEnd"/>
      <w:r>
        <w:t xml:space="preserve"> J., Span R., </w:t>
      </w:r>
      <w:proofErr w:type="spellStart"/>
      <w:r>
        <w:t>Kamiya</w:t>
      </w:r>
      <w:proofErr w:type="spellEnd"/>
      <w:r>
        <w:t xml:space="preserve"> S., Pearce G., </w:t>
      </w:r>
      <w:proofErr w:type="spellStart"/>
      <w:r>
        <w:t>Swanger</w:t>
      </w:r>
      <w:proofErr w:type="spellEnd"/>
      <w:r>
        <w:t xml:space="preserve"> A., Rodriguez E.D., Bajada P., Jiao F., Peng K., </w:t>
      </w:r>
      <w:proofErr w:type="spellStart"/>
      <w:r>
        <w:t>Siahvashi</w:t>
      </w:r>
      <w:proofErr w:type="spellEnd"/>
      <w:r>
        <w:t xml:space="preserve"> A., Johns M.L., May E.F., 2022, Hydrogen liquefaction: a review of the fundamental physics, engineering practice and future opportunities, Energy &amp; Environmental Science, 15, 2690</w:t>
      </w:r>
      <w:r w:rsidR="00D04D1E">
        <w:t>-</w:t>
      </w:r>
      <w:r>
        <w:t>2713.</w:t>
      </w:r>
    </w:p>
    <w:p w14:paraId="38C1C640" w14:textId="651EEA01" w:rsidR="0091647D" w:rsidRDefault="0091647D" w:rsidP="004748E2">
      <w:pPr>
        <w:pStyle w:val="CETReferencetext"/>
      </w:pPr>
      <w:r w:rsidRPr="0091647D">
        <w:t>Damen</w:t>
      </w:r>
      <w:r>
        <w:t>, 2017,</w:t>
      </w:r>
      <w:r w:rsidRPr="0091647D">
        <w:t xml:space="preserve"> products.damen.com/-/media/products/images/clusters-groups/shipping/liquefied-gas-carrier/liquefied-gas-carrier-7500-lng/downloads/product_sheet_damen_liquefied_gas_carrier_7500_lng_</w:t>
      </w:r>
      <w:r w:rsidR="004748E2">
        <w:t xml:space="preserve"> </w:t>
      </w:r>
      <w:r w:rsidRPr="0091647D">
        <w:t>10_2017.pdf?rev=7e8230a833e1458ca06c29a4b7a6b5e4 (accessed 24 January 2023).</w:t>
      </w:r>
    </w:p>
    <w:p w14:paraId="424E6818" w14:textId="005ED8C6" w:rsidR="00495C18" w:rsidRDefault="00495C18" w:rsidP="00495C18">
      <w:pPr>
        <w:pStyle w:val="CETReferencetext"/>
      </w:pPr>
      <w:proofErr w:type="spellStart"/>
      <w:r>
        <w:t>Fesmire</w:t>
      </w:r>
      <w:proofErr w:type="spellEnd"/>
      <w:r>
        <w:t xml:space="preserve"> </w:t>
      </w:r>
      <w:r w:rsidR="00AE61C7">
        <w:t>J.,</w:t>
      </w:r>
      <w:r w:rsidR="00AE61C7" w:rsidRPr="00AE61C7">
        <w:t xml:space="preserve"> </w:t>
      </w:r>
      <w:proofErr w:type="spellStart"/>
      <w:r w:rsidR="00AE61C7" w:rsidRPr="00AE61C7">
        <w:t>Swanger</w:t>
      </w:r>
      <w:proofErr w:type="spellEnd"/>
      <w:r w:rsidR="00AE61C7">
        <w:t xml:space="preserve"> A.,</w:t>
      </w:r>
      <w:r w:rsidR="00AE61C7" w:rsidRPr="00AE61C7">
        <w:t xml:space="preserve"> Jacobson</w:t>
      </w:r>
      <w:r w:rsidR="00AE61C7">
        <w:t xml:space="preserve"> J.,</w:t>
      </w:r>
      <w:r w:rsidR="00AE61C7" w:rsidRPr="00AE61C7">
        <w:t xml:space="preserve"> </w:t>
      </w:r>
      <w:proofErr w:type="spellStart"/>
      <w:r w:rsidR="00AE61C7" w:rsidRPr="00AE61C7">
        <w:t>Notardonato</w:t>
      </w:r>
      <w:proofErr w:type="spellEnd"/>
      <w:r w:rsidR="00AE61C7">
        <w:t xml:space="preserve"> W., 2022, </w:t>
      </w:r>
      <w:r>
        <w:t>Energy efficient large-scale storage of liquid hydrogen</w:t>
      </w:r>
      <w:r w:rsidR="00E81EBD">
        <w:t xml:space="preserve">, </w:t>
      </w:r>
      <w:r w:rsidR="00E81EBD" w:rsidRPr="00E81EBD">
        <w:t>IOP Conf</w:t>
      </w:r>
      <w:r w:rsidR="00E81EBD">
        <w:t>erence</w:t>
      </w:r>
      <w:r w:rsidR="00E81EBD" w:rsidRPr="00E81EBD">
        <w:t xml:space="preserve"> Ser</w:t>
      </w:r>
      <w:r w:rsidR="00E81EBD">
        <w:t>ies</w:t>
      </w:r>
      <w:r w:rsidR="00E81EBD" w:rsidRPr="00E81EBD">
        <w:t>: Mater</w:t>
      </w:r>
      <w:r w:rsidR="00E81EBD">
        <w:t>ials</w:t>
      </w:r>
      <w:r w:rsidR="00E81EBD" w:rsidRPr="00E81EBD">
        <w:t xml:space="preserve"> Sci</w:t>
      </w:r>
      <w:r w:rsidR="00E81EBD">
        <w:t>ence and</w:t>
      </w:r>
      <w:r w:rsidR="00E81EBD" w:rsidRPr="00E81EBD">
        <w:t xml:space="preserve"> Eng</w:t>
      </w:r>
      <w:r w:rsidR="00E81EBD">
        <w:t>ineering</w:t>
      </w:r>
      <w:r w:rsidR="00E81EBD" w:rsidRPr="00E81EBD">
        <w:t xml:space="preserve"> 1240</w:t>
      </w:r>
      <w:r w:rsidR="00AE61C7">
        <w:t>,</w:t>
      </w:r>
      <w:r w:rsidR="00E81EBD" w:rsidRPr="00E81EBD">
        <w:t xml:space="preserve"> 012088</w:t>
      </w:r>
      <w:r w:rsidR="00AE61C7">
        <w:t>.</w:t>
      </w:r>
    </w:p>
    <w:p w14:paraId="35D7331A" w14:textId="51198244" w:rsidR="00A511B3" w:rsidRDefault="00A511B3" w:rsidP="00495C18">
      <w:pPr>
        <w:pStyle w:val="CETReferencetext"/>
      </w:pPr>
      <w:r>
        <w:t>Hydrogen Energy Supply Chain (HESC</w:t>
      </w:r>
      <w:r w:rsidR="009D54D1">
        <w:t xml:space="preserve">), </w:t>
      </w:r>
      <w:r w:rsidR="009D54D1" w:rsidRPr="009D54D1">
        <w:t>www.hydrogenenergysupplychain.com/about-the-pilot/supply-chain/the-suiso-frontier</w:t>
      </w:r>
      <w:r w:rsidR="009D54D1">
        <w:t xml:space="preserve"> (a</w:t>
      </w:r>
      <w:r w:rsidR="009D54D1" w:rsidRPr="009D54D1">
        <w:t xml:space="preserve">ccessed </w:t>
      </w:r>
      <w:r w:rsidR="009D54D1">
        <w:t>17</w:t>
      </w:r>
      <w:r w:rsidR="009D54D1" w:rsidRPr="009D54D1">
        <w:t xml:space="preserve"> </w:t>
      </w:r>
      <w:r w:rsidR="009D54D1">
        <w:t>October</w:t>
      </w:r>
      <w:r w:rsidR="009D54D1" w:rsidRPr="009D54D1">
        <w:t xml:space="preserve"> 2024</w:t>
      </w:r>
      <w:r w:rsidR="009D54D1">
        <w:t>)</w:t>
      </w:r>
      <w:r w:rsidR="009D54D1" w:rsidRPr="009D54D1">
        <w:t>.</w:t>
      </w:r>
    </w:p>
    <w:p w14:paraId="17890F05" w14:textId="1D9AA926" w:rsidR="00A36153" w:rsidRDefault="00A36153" w:rsidP="00A36153">
      <w:pPr>
        <w:pStyle w:val="CETReferencetext"/>
      </w:pPr>
      <w:r>
        <w:t>Kim J., Vu H.T.T., Kim S., Choi M., Lee E., Park K., Kim J., Park H., Choi B., Han J., Kim H., Choi J., Chang D., 2024, Technical feasibility of large-scale transportable liquid hydrogen export terminal. International Journal of Hydrogen Energy 66, 499</w:t>
      </w:r>
      <w:r w:rsidR="00D04D1E">
        <w:t>-</w:t>
      </w:r>
      <w:r>
        <w:t>511.</w:t>
      </w:r>
    </w:p>
    <w:p w14:paraId="544E0F90" w14:textId="520F4611" w:rsidR="00697704" w:rsidRDefault="00697704" w:rsidP="00A36153">
      <w:pPr>
        <w:pStyle w:val="CETReferencetext"/>
      </w:pPr>
      <w:r w:rsidRPr="00697704">
        <w:t>Lee J</w:t>
      </w:r>
      <w:r>
        <w:t>.</w:t>
      </w:r>
      <w:r w:rsidRPr="00697704">
        <w:t>-S</w:t>
      </w:r>
      <w:r>
        <w:t>.</w:t>
      </w:r>
      <w:r w:rsidRPr="00697704">
        <w:t xml:space="preserve">, </w:t>
      </w:r>
      <w:proofErr w:type="spellStart"/>
      <w:r w:rsidRPr="00697704">
        <w:t>Cherif</w:t>
      </w:r>
      <w:proofErr w:type="spellEnd"/>
      <w:r w:rsidRPr="00697704">
        <w:t xml:space="preserve"> A</w:t>
      </w:r>
      <w:r>
        <w:t>.</w:t>
      </w:r>
      <w:r w:rsidRPr="00697704">
        <w:t>, Yoon H</w:t>
      </w:r>
      <w:r>
        <w:t>.</w:t>
      </w:r>
      <w:r w:rsidRPr="00697704">
        <w:t>-J</w:t>
      </w:r>
      <w:r>
        <w:t>.</w:t>
      </w:r>
      <w:r w:rsidRPr="00697704">
        <w:t xml:space="preserve">, </w:t>
      </w:r>
      <w:proofErr w:type="spellStart"/>
      <w:r w:rsidRPr="00697704">
        <w:t>Seo</w:t>
      </w:r>
      <w:proofErr w:type="spellEnd"/>
      <w:r w:rsidRPr="00697704">
        <w:t xml:space="preserve"> S</w:t>
      </w:r>
      <w:r>
        <w:t>.</w:t>
      </w:r>
      <w:r w:rsidRPr="00697704">
        <w:t>-K</w:t>
      </w:r>
      <w:r>
        <w:t>.</w:t>
      </w:r>
      <w:r w:rsidRPr="00697704">
        <w:t>, Bae J</w:t>
      </w:r>
      <w:r>
        <w:t>.</w:t>
      </w:r>
      <w:r w:rsidRPr="00697704">
        <w:t>-E</w:t>
      </w:r>
      <w:r>
        <w:t>.</w:t>
      </w:r>
      <w:r w:rsidRPr="00697704">
        <w:t>, Shin H</w:t>
      </w:r>
      <w:r>
        <w:t>.</w:t>
      </w:r>
      <w:r w:rsidRPr="00697704">
        <w:t>-J</w:t>
      </w:r>
      <w:r>
        <w:t>.</w:t>
      </w:r>
      <w:r w:rsidRPr="00697704">
        <w:t xml:space="preserve">, </w:t>
      </w:r>
      <w:r w:rsidR="000E2057">
        <w:t>Lee C</w:t>
      </w:r>
      <w:r w:rsidRPr="00697704">
        <w:t>.</w:t>
      </w:r>
      <w:r>
        <w:t>,</w:t>
      </w:r>
      <w:r w:rsidR="000E2057">
        <w:t xml:space="preserve"> Kwon H., Lee C.-J.,</w:t>
      </w:r>
      <w:r>
        <w:t xml:space="preserve"> 2022,</w:t>
      </w:r>
      <w:r w:rsidRPr="00697704">
        <w:t xml:space="preserve"> Large-scale overseas transportation of hydrogen: Comparative techno-economic and environmental investigation</w:t>
      </w:r>
      <w:r w:rsidR="0051726C">
        <w:t>,</w:t>
      </w:r>
      <w:r w:rsidRPr="00697704">
        <w:t xml:space="preserve"> Renewable and Sustainable Energy Reviews</w:t>
      </w:r>
      <w:r w:rsidR="0051726C">
        <w:t xml:space="preserve"> </w:t>
      </w:r>
      <w:r w:rsidRPr="00697704">
        <w:t>165</w:t>
      </w:r>
      <w:r w:rsidR="0051726C">
        <w:t xml:space="preserve">, </w:t>
      </w:r>
      <w:r w:rsidRPr="00697704">
        <w:t>112556.</w:t>
      </w:r>
    </w:p>
    <w:p w14:paraId="4CD3CF78" w14:textId="3910C420" w:rsidR="009F2BE5" w:rsidRDefault="009F2BE5" w:rsidP="00A36153">
      <w:pPr>
        <w:pStyle w:val="CETReferencetext"/>
      </w:pPr>
      <w:proofErr w:type="spellStart"/>
      <w:r w:rsidRPr="009F2BE5">
        <w:t>Nexant</w:t>
      </w:r>
      <w:proofErr w:type="spellEnd"/>
      <w:r w:rsidRPr="009F2BE5">
        <w:t xml:space="preserve"> Inc.</w:t>
      </w:r>
      <w:r>
        <w:t>, 2008,</w:t>
      </w:r>
      <w:r w:rsidRPr="009F2BE5">
        <w:t xml:space="preserve"> H2A hydrogen delivery infrastructure analysis models and conventional pathway options analysis results.</w:t>
      </w:r>
    </w:p>
    <w:p w14:paraId="2E1C59D8" w14:textId="00BE7AD2" w:rsidR="006117A5" w:rsidRDefault="006117A5" w:rsidP="006117A5">
      <w:pPr>
        <w:pStyle w:val="CETReferencetext"/>
      </w:pPr>
      <w:proofErr w:type="spellStart"/>
      <w:r>
        <w:t>Numazawa</w:t>
      </w:r>
      <w:proofErr w:type="spellEnd"/>
      <w:r w:rsidRPr="006117A5">
        <w:t xml:space="preserve"> </w:t>
      </w:r>
      <w:r>
        <w:t xml:space="preserve">T., </w:t>
      </w:r>
      <w:proofErr w:type="spellStart"/>
      <w:r>
        <w:t>Kamiya</w:t>
      </w:r>
      <w:proofErr w:type="spellEnd"/>
      <w:r w:rsidRPr="006117A5">
        <w:t xml:space="preserve"> </w:t>
      </w:r>
      <w:r>
        <w:t xml:space="preserve">K., </w:t>
      </w:r>
      <w:proofErr w:type="spellStart"/>
      <w:r>
        <w:t>Utaki</w:t>
      </w:r>
      <w:proofErr w:type="spellEnd"/>
      <w:r w:rsidRPr="006117A5">
        <w:t xml:space="preserve"> </w:t>
      </w:r>
      <w:r>
        <w:t>T., Matsumoto</w:t>
      </w:r>
      <w:r w:rsidRPr="006117A5">
        <w:t xml:space="preserve"> </w:t>
      </w:r>
      <w:r>
        <w:t>K., 2014, Magnetic refrigerator for hydrogen liquefaction, Cryogenics 62, 185-192.</w:t>
      </w:r>
    </w:p>
    <w:p w14:paraId="45A72189" w14:textId="05CD9715" w:rsidR="003A328B" w:rsidRDefault="003A328B" w:rsidP="00A36153">
      <w:pPr>
        <w:pStyle w:val="CETReferencetext"/>
      </w:pPr>
      <w:r w:rsidRPr="003A328B">
        <w:t xml:space="preserve">Payne G.A., Palmer C.M., Brill J.P., </w:t>
      </w:r>
      <w:proofErr w:type="spellStart"/>
      <w:r w:rsidRPr="003A328B">
        <w:t>Beggs</w:t>
      </w:r>
      <w:proofErr w:type="spellEnd"/>
      <w:r w:rsidRPr="003A328B">
        <w:t xml:space="preserve"> H.D., 1979</w:t>
      </w:r>
      <w:r>
        <w:t>,</w:t>
      </w:r>
      <w:r w:rsidRPr="003A328B">
        <w:t xml:space="preserve"> Evaluation of inclined-pipe, two-phase liquid holdup and pressure-loss correlation using experimental data</w:t>
      </w:r>
      <w:r w:rsidR="00C6528E">
        <w:t>,</w:t>
      </w:r>
      <w:r w:rsidRPr="003A328B">
        <w:t xml:space="preserve"> Journal of Petroleum Technology 31, 1198-1208.</w:t>
      </w:r>
    </w:p>
    <w:p w14:paraId="64EA347E" w14:textId="6EE8BB9F" w:rsidR="00A20EC7" w:rsidRDefault="00943DF7" w:rsidP="00A36153">
      <w:pPr>
        <w:pStyle w:val="CETReferencetext"/>
      </w:pPr>
      <w:r>
        <w:t>Restelli F.,</w:t>
      </w:r>
      <w:r w:rsidRPr="00943DF7">
        <w:t xml:space="preserve"> Jiao</w:t>
      </w:r>
      <w:r>
        <w:t xml:space="preserve"> F.,</w:t>
      </w:r>
      <w:r w:rsidRPr="00943DF7">
        <w:t xml:space="preserve"> Norris</w:t>
      </w:r>
      <w:r>
        <w:t xml:space="preserve"> B.,</w:t>
      </w:r>
      <w:r w:rsidRPr="00943DF7">
        <w:t xml:space="preserve"> </w:t>
      </w:r>
      <w:proofErr w:type="spellStart"/>
      <w:r w:rsidRPr="00943DF7">
        <w:t>Trusler</w:t>
      </w:r>
      <w:proofErr w:type="spellEnd"/>
      <w:r w:rsidR="00E71892">
        <w:t xml:space="preserve"> J.P.M.</w:t>
      </w:r>
      <w:r w:rsidRPr="00943DF7">
        <w:t xml:space="preserve">, </w:t>
      </w:r>
      <w:proofErr w:type="spellStart"/>
      <w:r w:rsidRPr="00943DF7">
        <w:t>Siahvashi</w:t>
      </w:r>
      <w:proofErr w:type="spellEnd"/>
      <w:r w:rsidR="00E71892">
        <w:t xml:space="preserve"> A.</w:t>
      </w:r>
      <w:r w:rsidRPr="00943DF7">
        <w:t>, May</w:t>
      </w:r>
      <w:r w:rsidR="00E71892">
        <w:t xml:space="preserve"> E.F.</w:t>
      </w:r>
      <w:r w:rsidRPr="00943DF7">
        <w:t>, Pellegrini</w:t>
      </w:r>
      <w:r w:rsidR="00E71892">
        <w:t xml:space="preserve"> L.A.</w:t>
      </w:r>
      <w:r w:rsidRPr="00943DF7">
        <w:t>, Johns</w:t>
      </w:r>
      <w:r w:rsidR="00E71892">
        <w:t xml:space="preserve"> M.,</w:t>
      </w:r>
      <w:r w:rsidRPr="00943DF7">
        <w:t xml:space="preserve"> Al </w:t>
      </w:r>
      <w:proofErr w:type="spellStart"/>
      <w:r w:rsidRPr="00943DF7">
        <w:t>Ghafri</w:t>
      </w:r>
      <w:proofErr w:type="spellEnd"/>
      <w:r w:rsidR="00E71892">
        <w:t xml:space="preserve"> S.Z.S.,</w:t>
      </w:r>
      <w:r w:rsidR="00A20EC7">
        <w:t xml:space="preserve"> 2025</w:t>
      </w:r>
      <w:r w:rsidR="00914FFF">
        <w:t>,</w:t>
      </w:r>
      <w:r w:rsidR="00914FFF" w:rsidRPr="00914FFF">
        <w:t xml:space="preserve"> Dynamic simulation of a liquefied hydrogen export terminal</w:t>
      </w:r>
      <w:r w:rsidR="00914FFF">
        <w:t xml:space="preserve">, </w:t>
      </w:r>
      <w:r w:rsidR="00410646">
        <w:t>under review in</w:t>
      </w:r>
      <w:r w:rsidR="00914FFF">
        <w:t xml:space="preserve"> </w:t>
      </w:r>
      <w:r w:rsidR="00BE15FD">
        <w:t>Energy.</w:t>
      </w:r>
    </w:p>
    <w:p w14:paraId="641B97C9" w14:textId="06ECF506" w:rsidR="0049477F" w:rsidRDefault="00A36153" w:rsidP="00A36153">
      <w:pPr>
        <w:pStyle w:val="CETReferencetext"/>
      </w:pPr>
      <w:r>
        <w:t xml:space="preserve">Restelli F., </w:t>
      </w:r>
      <w:proofErr w:type="spellStart"/>
      <w:r>
        <w:t>Spatolisano</w:t>
      </w:r>
      <w:proofErr w:type="spellEnd"/>
      <w:r>
        <w:t xml:space="preserve"> E., Pellegrini L.A., </w:t>
      </w:r>
      <w:proofErr w:type="spellStart"/>
      <w:r>
        <w:t>Cattaneo</w:t>
      </w:r>
      <w:proofErr w:type="spellEnd"/>
      <w:r>
        <w:t xml:space="preserve"> S., de Angelis A.R., </w:t>
      </w:r>
      <w:proofErr w:type="spellStart"/>
      <w:r>
        <w:t>Lainati</w:t>
      </w:r>
      <w:proofErr w:type="spellEnd"/>
      <w:r>
        <w:t xml:space="preserve"> A., </w:t>
      </w:r>
      <w:proofErr w:type="spellStart"/>
      <w:r>
        <w:t>Roccaro</w:t>
      </w:r>
      <w:proofErr w:type="spellEnd"/>
      <w:r>
        <w:t xml:space="preserve"> E., 2024, Liquefied hydrogen value chain: A detailed techno-economic evaluation for its application in the industrial and mobility sectors, International Journal of Hydrogen Energy 52, 454</w:t>
      </w:r>
      <w:r w:rsidR="00D04D1E">
        <w:t>-</w:t>
      </w:r>
      <w:r>
        <w:t>466.</w:t>
      </w:r>
      <w:r w:rsidR="0049477F" w:rsidRPr="0049477F">
        <w:t xml:space="preserve"> </w:t>
      </w:r>
    </w:p>
    <w:p w14:paraId="21B2CC00" w14:textId="6E70813B" w:rsidR="006F4B84" w:rsidRDefault="006F4B84" w:rsidP="00A36153">
      <w:pPr>
        <w:pStyle w:val="CETReferencetext"/>
      </w:pPr>
      <w:r w:rsidRPr="006F4B84">
        <w:t>Rogers, H., 2018</w:t>
      </w:r>
      <w:r>
        <w:t>,</w:t>
      </w:r>
      <w:r w:rsidRPr="006F4B84">
        <w:t xml:space="preserve"> LNG Shipping Forecast: costs rebounding, outlook uncertain.</w:t>
      </w:r>
    </w:p>
    <w:p w14:paraId="03D9E00C" w14:textId="078DD3CA" w:rsidR="00A36153" w:rsidRDefault="0049477F" w:rsidP="00A36153">
      <w:pPr>
        <w:pStyle w:val="CETReferencetext"/>
      </w:pPr>
      <w:proofErr w:type="spellStart"/>
      <w:r>
        <w:t>Shet</w:t>
      </w:r>
      <w:proofErr w:type="spellEnd"/>
      <w:r>
        <w:t xml:space="preserve"> S.P., Priya S.S., Sudhakar K., Tahir M., 2021, A review on current trends in potential use of metal-organic framework for hydrogen storage</w:t>
      </w:r>
      <w:r w:rsidR="00096FD9">
        <w:t>,</w:t>
      </w:r>
      <w:r>
        <w:t xml:space="preserve"> International Journal of Hydrogen Energy</w:t>
      </w:r>
      <w:r w:rsidR="00096FD9">
        <w:t xml:space="preserve"> </w:t>
      </w:r>
      <w:r>
        <w:t>46</w:t>
      </w:r>
      <w:r w:rsidR="00096FD9">
        <w:t xml:space="preserve">, </w:t>
      </w:r>
      <w:r>
        <w:t>11782-</w:t>
      </w:r>
      <w:r w:rsidR="00096FD9">
        <w:t>11</w:t>
      </w:r>
      <w:r>
        <w:t>803.</w:t>
      </w:r>
    </w:p>
    <w:p w14:paraId="3E556E97" w14:textId="4E148BC9" w:rsidR="00D04D1E" w:rsidRDefault="00D04D1E" w:rsidP="00A36153">
      <w:pPr>
        <w:pStyle w:val="CETReferencetext"/>
      </w:pPr>
      <w:proofErr w:type="spellStart"/>
      <w:r w:rsidRPr="00D04D1E">
        <w:t>Śliwa</w:t>
      </w:r>
      <w:proofErr w:type="spellEnd"/>
      <w:r w:rsidRPr="00D04D1E">
        <w:t xml:space="preserve"> T</w:t>
      </w:r>
      <w:r>
        <w:t>.</w:t>
      </w:r>
      <w:r w:rsidRPr="00D04D1E">
        <w:t xml:space="preserve">, </w:t>
      </w:r>
      <w:proofErr w:type="spellStart"/>
      <w:r w:rsidRPr="00D04D1E">
        <w:t>Kruszewski</w:t>
      </w:r>
      <w:proofErr w:type="spellEnd"/>
      <w:r w:rsidRPr="00D04D1E">
        <w:t xml:space="preserve"> M</w:t>
      </w:r>
      <w:r>
        <w:t>.</w:t>
      </w:r>
      <w:r w:rsidRPr="00D04D1E">
        <w:t xml:space="preserve">, </w:t>
      </w:r>
      <w:proofErr w:type="spellStart"/>
      <w:r w:rsidRPr="00D04D1E">
        <w:t>Zare</w:t>
      </w:r>
      <w:proofErr w:type="spellEnd"/>
      <w:r w:rsidRPr="00D04D1E">
        <w:t xml:space="preserve"> A</w:t>
      </w:r>
      <w:r>
        <w:t>.</w:t>
      </w:r>
      <w:r w:rsidRPr="00D04D1E">
        <w:t xml:space="preserve">, </w:t>
      </w:r>
      <w:proofErr w:type="spellStart"/>
      <w:r w:rsidRPr="00D04D1E">
        <w:t>Assadi</w:t>
      </w:r>
      <w:proofErr w:type="spellEnd"/>
      <w:r w:rsidRPr="00D04D1E">
        <w:t xml:space="preserve"> M</w:t>
      </w:r>
      <w:r>
        <w:t>.</w:t>
      </w:r>
      <w:r w:rsidRPr="00D04D1E">
        <w:t xml:space="preserve">, </w:t>
      </w:r>
      <w:proofErr w:type="spellStart"/>
      <w:r w:rsidRPr="00D04D1E">
        <w:t>Sapińska-Śliwa</w:t>
      </w:r>
      <w:proofErr w:type="spellEnd"/>
      <w:r w:rsidRPr="00D04D1E">
        <w:t xml:space="preserve"> A.</w:t>
      </w:r>
      <w:r>
        <w:t>, 2018,</w:t>
      </w:r>
      <w:r w:rsidRPr="00D04D1E">
        <w:t xml:space="preserve"> Potential application of vacuum insulated tubing for deep borehole heat exchangers</w:t>
      </w:r>
      <w:r>
        <w:t>,</w:t>
      </w:r>
      <w:r w:rsidRPr="00D04D1E">
        <w:t xml:space="preserve"> </w:t>
      </w:r>
      <w:proofErr w:type="spellStart"/>
      <w:r w:rsidRPr="00D04D1E">
        <w:t>Geothermics</w:t>
      </w:r>
      <w:proofErr w:type="spellEnd"/>
      <w:r>
        <w:t xml:space="preserve"> </w:t>
      </w:r>
      <w:r w:rsidRPr="00D04D1E">
        <w:t>75</w:t>
      </w:r>
      <w:r>
        <w:t xml:space="preserve">, </w:t>
      </w:r>
      <w:r w:rsidRPr="00D04D1E">
        <w:t>58-67.</w:t>
      </w:r>
    </w:p>
    <w:p w14:paraId="311C6929" w14:textId="4582E89C" w:rsidR="004826E0" w:rsidRDefault="004826E0" w:rsidP="00A36153">
      <w:pPr>
        <w:pStyle w:val="CETReferencetext"/>
      </w:pPr>
      <w:r w:rsidRPr="004826E0">
        <w:t>Statista, Price of electricity among households and businesses in Algeria as of June 2023</w:t>
      </w:r>
      <w:r w:rsidR="00084577">
        <w:t>,</w:t>
      </w:r>
      <w:r w:rsidR="00E12C0F" w:rsidRPr="00E12C0F">
        <w:t xml:space="preserve"> www.statista.com/statistics/1283693/price-of-electricity-among-households-and-businesses-in-algeria</w:t>
      </w:r>
      <w:r w:rsidR="00084577">
        <w:t xml:space="preserve"> </w:t>
      </w:r>
      <w:r w:rsidR="00084577" w:rsidRPr="0091647D">
        <w:t xml:space="preserve">(accessed </w:t>
      </w:r>
      <w:r w:rsidR="00084577">
        <w:t>17</w:t>
      </w:r>
      <w:r w:rsidR="00084577" w:rsidRPr="0091647D">
        <w:t xml:space="preserve"> </w:t>
      </w:r>
      <w:r w:rsidR="00084577">
        <w:t>October</w:t>
      </w:r>
      <w:r w:rsidR="00084577" w:rsidRPr="0091647D">
        <w:t xml:space="preserve"> 202</w:t>
      </w:r>
      <w:r w:rsidR="00084577">
        <w:t>4</w:t>
      </w:r>
      <w:r w:rsidR="00084577" w:rsidRPr="0091647D">
        <w:t>).</w:t>
      </w:r>
    </w:p>
    <w:p w14:paraId="19C4FC68" w14:textId="44D9FAD7" w:rsidR="004628D2" w:rsidRDefault="00420397" w:rsidP="00D04D1E">
      <w:pPr>
        <w:pStyle w:val="CETReferencetext"/>
      </w:pPr>
      <w:proofErr w:type="spellStart"/>
      <w:r w:rsidRPr="00420397">
        <w:t>Walas</w:t>
      </w:r>
      <w:proofErr w:type="spellEnd"/>
      <w:r w:rsidRPr="00420397">
        <w:t xml:space="preserve"> S</w:t>
      </w:r>
      <w:r>
        <w:t>.</w:t>
      </w:r>
      <w:r w:rsidRPr="00420397">
        <w:t>M.</w:t>
      </w:r>
      <w:r w:rsidR="005077D5">
        <w:t>,</w:t>
      </w:r>
      <w:r>
        <w:t xml:space="preserve"> 1998,</w:t>
      </w:r>
      <w:r w:rsidRPr="00420397">
        <w:t xml:space="preserve"> Chemical process equipment: selection and design.</w:t>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72E2" w14:textId="77777777" w:rsidR="002A7650" w:rsidRDefault="002A7650" w:rsidP="004F5E36">
      <w:r>
        <w:separator/>
      </w:r>
    </w:p>
  </w:endnote>
  <w:endnote w:type="continuationSeparator" w:id="0">
    <w:p w14:paraId="627FD25B" w14:textId="77777777" w:rsidR="002A7650" w:rsidRDefault="002A765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FCA8D" w14:textId="77777777" w:rsidR="002A7650" w:rsidRDefault="002A7650" w:rsidP="004F5E36">
      <w:r>
        <w:separator/>
      </w:r>
    </w:p>
  </w:footnote>
  <w:footnote w:type="continuationSeparator" w:id="0">
    <w:p w14:paraId="6454B9E7" w14:textId="77777777" w:rsidR="002A7650" w:rsidRDefault="002A765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1FE"/>
    <w:rsid w:val="000027C0"/>
    <w:rsid w:val="0000509B"/>
    <w:rsid w:val="000051FD"/>
    <w:rsid w:val="000052FB"/>
    <w:rsid w:val="00005A19"/>
    <w:rsid w:val="000117CB"/>
    <w:rsid w:val="00012220"/>
    <w:rsid w:val="00012EA8"/>
    <w:rsid w:val="00016AD9"/>
    <w:rsid w:val="00020EF5"/>
    <w:rsid w:val="0002158D"/>
    <w:rsid w:val="000278DB"/>
    <w:rsid w:val="000279B7"/>
    <w:rsid w:val="000300C1"/>
    <w:rsid w:val="0003148D"/>
    <w:rsid w:val="00031EEC"/>
    <w:rsid w:val="00032895"/>
    <w:rsid w:val="00042BB0"/>
    <w:rsid w:val="00043281"/>
    <w:rsid w:val="00045DE5"/>
    <w:rsid w:val="00051566"/>
    <w:rsid w:val="00051DEB"/>
    <w:rsid w:val="000562A9"/>
    <w:rsid w:val="00062A9A"/>
    <w:rsid w:val="00065058"/>
    <w:rsid w:val="00065D3B"/>
    <w:rsid w:val="000667DB"/>
    <w:rsid w:val="000713F5"/>
    <w:rsid w:val="000719DA"/>
    <w:rsid w:val="000720E3"/>
    <w:rsid w:val="00075AFF"/>
    <w:rsid w:val="0007610B"/>
    <w:rsid w:val="00077A2B"/>
    <w:rsid w:val="00084577"/>
    <w:rsid w:val="00086C39"/>
    <w:rsid w:val="00090D44"/>
    <w:rsid w:val="00096313"/>
    <w:rsid w:val="00096FD9"/>
    <w:rsid w:val="000A03B2"/>
    <w:rsid w:val="000A17F6"/>
    <w:rsid w:val="000A2611"/>
    <w:rsid w:val="000A7425"/>
    <w:rsid w:val="000A7519"/>
    <w:rsid w:val="000B17AA"/>
    <w:rsid w:val="000B224E"/>
    <w:rsid w:val="000B2898"/>
    <w:rsid w:val="000B3E46"/>
    <w:rsid w:val="000B6434"/>
    <w:rsid w:val="000C0D0E"/>
    <w:rsid w:val="000C4FFC"/>
    <w:rsid w:val="000C51A6"/>
    <w:rsid w:val="000C5866"/>
    <w:rsid w:val="000C7DD6"/>
    <w:rsid w:val="000D0268"/>
    <w:rsid w:val="000D0A65"/>
    <w:rsid w:val="000D0F01"/>
    <w:rsid w:val="000D2531"/>
    <w:rsid w:val="000D34BE"/>
    <w:rsid w:val="000D5877"/>
    <w:rsid w:val="000D715B"/>
    <w:rsid w:val="000D7BDD"/>
    <w:rsid w:val="000E0B3C"/>
    <w:rsid w:val="000E0D6D"/>
    <w:rsid w:val="000E102F"/>
    <w:rsid w:val="000E2057"/>
    <w:rsid w:val="000E3479"/>
    <w:rsid w:val="000E36F1"/>
    <w:rsid w:val="000E3A73"/>
    <w:rsid w:val="000E414A"/>
    <w:rsid w:val="000E60E1"/>
    <w:rsid w:val="000E75FD"/>
    <w:rsid w:val="000F093C"/>
    <w:rsid w:val="000F143F"/>
    <w:rsid w:val="000F29C5"/>
    <w:rsid w:val="000F3063"/>
    <w:rsid w:val="000F59F2"/>
    <w:rsid w:val="000F787B"/>
    <w:rsid w:val="001014C6"/>
    <w:rsid w:val="00101FBB"/>
    <w:rsid w:val="001068DF"/>
    <w:rsid w:val="001077BA"/>
    <w:rsid w:val="00107FA5"/>
    <w:rsid w:val="00110A2C"/>
    <w:rsid w:val="0012091F"/>
    <w:rsid w:val="0012246D"/>
    <w:rsid w:val="00122D87"/>
    <w:rsid w:val="00126BC2"/>
    <w:rsid w:val="001308B6"/>
    <w:rsid w:val="00130CC5"/>
    <w:rsid w:val="0013121F"/>
    <w:rsid w:val="00131FE6"/>
    <w:rsid w:val="0013263F"/>
    <w:rsid w:val="001331DF"/>
    <w:rsid w:val="00133248"/>
    <w:rsid w:val="00134DE4"/>
    <w:rsid w:val="00136F32"/>
    <w:rsid w:val="0014034D"/>
    <w:rsid w:val="00140FE3"/>
    <w:rsid w:val="00141BE7"/>
    <w:rsid w:val="00142189"/>
    <w:rsid w:val="00144D16"/>
    <w:rsid w:val="001451D0"/>
    <w:rsid w:val="00150AE7"/>
    <w:rsid w:val="00150E59"/>
    <w:rsid w:val="0015276C"/>
    <w:rsid w:val="00152DE3"/>
    <w:rsid w:val="0015319B"/>
    <w:rsid w:val="00154557"/>
    <w:rsid w:val="00154C87"/>
    <w:rsid w:val="001556A4"/>
    <w:rsid w:val="001613D2"/>
    <w:rsid w:val="00161769"/>
    <w:rsid w:val="001635A1"/>
    <w:rsid w:val="00164CF9"/>
    <w:rsid w:val="0016668E"/>
    <w:rsid w:val="001667A6"/>
    <w:rsid w:val="001674A3"/>
    <w:rsid w:val="00173F55"/>
    <w:rsid w:val="001757DF"/>
    <w:rsid w:val="00175B66"/>
    <w:rsid w:val="001804A7"/>
    <w:rsid w:val="001810FB"/>
    <w:rsid w:val="0018171E"/>
    <w:rsid w:val="00184AD6"/>
    <w:rsid w:val="001861F0"/>
    <w:rsid w:val="00190894"/>
    <w:rsid w:val="00197A41"/>
    <w:rsid w:val="001A0731"/>
    <w:rsid w:val="001A2AC7"/>
    <w:rsid w:val="001A4AF7"/>
    <w:rsid w:val="001A5BEE"/>
    <w:rsid w:val="001A6024"/>
    <w:rsid w:val="001B0349"/>
    <w:rsid w:val="001B0C96"/>
    <w:rsid w:val="001B1B22"/>
    <w:rsid w:val="001B1E93"/>
    <w:rsid w:val="001B3B4E"/>
    <w:rsid w:val="001B65C1"/>
    <w:rsid w:val="001C260F"/>
    <w:rsid w:val="001C30A8"/>
    <w:rsid w:val="001C3604"/>
    <w:rsid w:val="001C5C3A"/>
    <w:rsid w:val="001C684B"/>
    <w:rsid w:val="001D0CFB"/>
    <w:rsid w:val="001D21AF"/>
    <w:rsid w:val="001D35AF"/>
    <w:rsid w:val="001D3D32"/>
    <w:rsid w:val="001D4C39"/>
    <w:rsid w:val="001D53FC"/>
    <w:rsid w:val="001E18E3"/>
    <w:rsid w:val="001E19DE"/>
    <w:rsid w:val="001E1B96"/>
    <w:rsid w:val="001E2462"/>
    <w:rsid w:val="001E38AA"/>
    <w:rsid w:val="001E45C0"/>
    <w:rsid w:val="001E74DE"/>
    <w:rsid w:val="001E7AEA"/>
    <w:rsid w:val="001F0C33"/>
    <w:rsid w:val="001F11EC"/>
    <w:rsid w:val="001F42A5"/>
    <w:rsid w:val="001F7B9D"/>
    <w:rsid w:val="00201C93"/>
    <w:rsid w:val="002020BD"/>
    <w:rsid w:val="0020504A"/>
    <w:rsid w:val="0020521B"/>
    <w:rsid w:val="002058F9"/>
    <w:rsid w:val="00213C9A"/>
    <w:rsid w:val="00221033"/>
    <w:rsid w:val="002224B4"/>
    <w:rsid w:val="00222C53"/>
    <w:rsid w:val="002305B2"/>
    <w:rsid w:val="002349FF"/>
    <w:rsid w:val="00235B2D"/>
    <w:rsid w:val="0024007A"/>
    <w:rsid w:val="002447EF"/>
    <w:rsid w:val="00244FD5"/>
    <w:rsid w:val="002458D5"/>
    <w:rsid w:val="00251517"/>
    <w:rsid w:val="00251550"/>
    <w:rsid w:val="00257F01"/>
    <w:rsid w:val="00261897"/>
    <w:rsid w:val="00263521"/>
    <w:rsid w:val="00263B05"/>
    <w:rsid w:val="002642A7"/>
    <w:rsid w:val="00264467"/>
    <w:rsid w:val="0027210B"/>
    <w:rsid w:val="0027221A"/>
    <w:rsid w:val="002740B2"/>
    <w:rsid w:val="00274ADA"/>
    <w:rsid w:val="00275B61"/>
    <w:rsid w:val="002770A1"/>
    <w:rsid w:val="00280FAF"/>
    <w:rsid w:val="0028138A"/>
    <w:rsid w:val="00282656"/>
    <w:rsid w:val="0028310A"/>
    <w:rsid w:val="002849C0"/>
    <w:rsid w:val="00292845"/>
    <w:rsid w:val="00293F92"/>
    <w:rsid w:val="00296B83"/>
    <w:rsid w:val="002A1398"/>
    <w:rsid w:val="002A4A79"/>
    <w:rsid w:val="002A703C"/>
    <w:rsid w:val="002A7650"/>
    <w:rsid w:val="002B06EA"/>
    <w:rsid w:val="002B09F2"/>
    <w:rsid w:val="002B4015"/>
    <w:rsid w:val="002B49F8"/>
    <w:rsid w:val="002B7067"/>
    <w:rsid w:val="002B73CC"/>
    <w:rsid w:val="002B78CE"/>
    <w:rsid w:val="002C2FB6"/>
    <w:rsid w:val="002C4876"/>
    <w:rsid w:val="002C5612"/>
    <w:rsid w:val="002D30FB"/>
    <w:rsid w:val="002D46BF"/>
    <w:rsid w:val="002D6A39"/>
    <w:rsid w:val="002E01B0"/>
    <w:rsid w:val="002E139B"/>
    <w:rsid w:val="002E5FA7"/>
    <w:rsid w:val="002F2E0E"/>
    <w:rsid w:val="002F2E29"/>
    <w:rsid w:val="002F3309"/>
    <w:rsid w:val="002F69E2"/>
    <w:rsid w:val="002F6A61"/>
    <w:rsid w:val="00300402"/>
    <w:rsid w:val="003007C9"/>
    <w:rsid w:val="003008CE"/>
    <w:rsid w:val="003009B7"/>
    <w:rsid w:val="00300E56"/>
    <w:rsid w:val="0030152C"/>
    <w:rsid w:val="0030469C"/>
    <w:rsid w:val="00304CE8"/>
    <w:rsid w:val="00305799"/>
    <w:rsid w:val="00306490"/>
    <w:rsid w:val="00312C70"/>
    <w:rsid w:val="00313C3B"/>
    <w:rsid w:val="00314778"/>
    <w:rsid w:val="003150B8"/>
    <w:rsid w:val="00315E22"/>
    <w:rsid w:val="00321CA6"/>
    <w:rsid w:val="00323763"/>
    <w:rsid w:val="00323C5F"/>
    <w:rsid w:val="003240AC"/>
    <w:rsid w:val="00325945"/>
    <w:rsid w:val="00325F49"/>
    <w:rsid w:val="00334C09"/>
    <w:rsid w:val="003350B1"/>
    <w:rsid w:val="003359E7"/>
    <w:rsid w:val="00340176"/>
    <w:rsid w:val="00340799"/>
    <w:rsid w:val="00345320"/>
    <w:rsid w:val="0035161C"/>
    <w:rsid w:val="003527FC"/>
    <w:rsid w:val="003540DD"/>
    <w:rsid w:val="003550BD"/>
    <w:rsid w:val="00355491"/>
    <w:rsid w:val="003608B3"/>
    <w:rsid w:val="0036100A"/>
    <w:rsid w:val="003723BC"/>
    <w:rsid w:val="003723D4"/>
    <w:rsid w:val="00374A62"/>
    <w:rsid w:val="00377E55"/>
    <w:rsid w:val="00381905"/>
    <w:rsid w:val="00383234"/>
    <w:rsid w:val="00383659"/>
    <w:rsid w:val="00384CC8"/>
    <w:rsid w:val="003871FD"/>
    <w:rsid w:val="00390A5C"/>
    <w:rsid w:val="00391E40"/>
    <w:rsid w:val="003A1E30"/>
    <w:rsid w:val="003A2829"/>
    <w:rsid w:val="003A2EE7"/>
    <w:rsid w:val="003A328B"/>
    <w:rsid w:val="003A7B54"/>
    <w:rsid w:val="003A7D1C"/>
    <w:rsid w:val="003B0E12"/>
    <w:rsid w:val="003B1107"/>
    <w:rsid w:val="003B304B"/>
    <w:rsid w:val="003B3146"/>
    <w:rsid w:val="003B49CD"/>
    <w:rsid w:val="003B54D6"/>
    <w:rsid w:val="003B5E93"/>
    <w:rsid w:val="003B662B"/>
    <w:rsid w:val="003C0D26"/>
    <w:rsid w:val="003C178F"/>
    <w:rsid w:val="003C1BFF"/>
    <w:rsid w:val="003D186D"/>
    <w:rsid w:val="003D1E02"/>
    <w:rsid w:val="003D340F"/>
    <w:rsid w:val="003D744E"/>
    <w:rsid w:val="003E4708"/>
    <w:rsid w:val="003E4CC7"/>
    <w:rsid w:val="003E67E3"/>
    <w:rsid w:val="003E6889"/>
    <w:rsid w:val="003F015E"/>
    <w:rsid w:val="003F0BF5"/>
    <w:rsid w:val="003F2893"/>
    <w:rsid w:val="003F2F47"/>
    <w:rsid w:val="003F5EC8"/>
    <w:rsid w:val="003F68C8"/>
    <w:rsid w:val="00400414"/>
    <w:rsid w:val="004059B5"/>
    <w:rsid w:val="00410646"/>
    <w:rsid w:val="0041446B"/>
    <w:rsid w:val="00416290"/>
    <w:rsid w:val="00420397"/>
    <w:rsid w:val="00423B16"/>
    <w:rsid w:val="00424296"/>
    <w:rsid w:val="004257CD"/>
    <w:rsid w:val="0044071E"/>
    <w:rsid w:val="00440B07"/>
    <w:rsid w:val="004410F5"/>
    <w:rsid w:val="00441893"/>
    <w:rsid w:val="0044329C"/>
    <w:rsid w:val="00450118"/>
    <w:rsid w:val="00451031"/>
    <w:rsid w:val="004513DE"/>
    <w:rsid w:val="0045166D"/>
    <w:rsid w:val="00453E24"/>
    <w:rsid w:val="004543B5"/>
    <w:rsid w:val="004545B9"/>
    <w:rsid w:val="00454D55"/>
    <w:rsid w:val="00457456"/>
    <w:rsid w:val="004577FE"/>
    <w:rsid w:val="00457B9C"/>
    <w:rsid w:val="00460D08"/>
    <w:rsid w:val="0046164A"/>
    <w:rsid w:val="004628D2"/>
    <w:rsid w:val="00462DCD"/>
    <w:rsid w:val="00464257"/>
    <w:rsid w:val="004648AD"/>
    <w:rsid w:val="004659F6"/>
    <w:rsid w:val="004703A9"/>
    <w:rsid w:val="004748E2"/>
    <w:rsid w:val="00475FD4"/>
    <w:rsid w:val="004760DE"/>
    <w:rsid w:val="004763D7"/>
    <w:rsid w:val="004826E0"/>
    <w:rsid w:val="0048357B"/>
    <w:rsid w:val="0049086A"/>
    <w:rsid w:val="00494297"/>
    <w:rsid w:val="0049477F"/>
    <w:rsid w:val="0049594A"/>
    <w:rsid w:val="00495C18"/>
    <w:rsid w:val="00497036"/>
    <w:rsid w:val="004A004E"/>
    <w:rsid w:val="004A00A3"/>
    <w:rsid w:val="004A1663"/>
    <w:rsid w:val="004A1B8E"/>
    <w:rsid w:val="004A1EE6"/>
    <w:rsid w:val="004A24CF"/>
    <w:rsid w:val="004A2FCB"/>
    <w:rsid w:val="004A5DE0"/>
    <w:rsid w:val="004A6B69"/>
    <w:rsid w:val="004B0DD7"/>
    <w:rsid w:val="004B41B6"/>
    <w:rsid w:val="004B4239"/>
    <w:rsid w:val="004B4EA7"/>
    <w:rsid w:val="004C2730"/>
    <w:rsid w:val="004C3D1D"/>
    <w:rsid w:val="004C3D84"/>
    <w:rsid w:val="004C49EC"/>
    <w:rsid w:val="004C6A15"/>
    <w:rsid w:val="004C7913"/>
    <w:rsid w:val="004D1FAF"/>
    <w:rsid w:val="004D203C"/>
    <w:rsid w:val="004D33A6"/>
    <w:rsid w:val="004E149E"/>
    <w:rsid w:val="004E4DD6"/>
    <w:rsid w:val="004E63A7"/>
    <w:rsid w:val="004F1462"/>
    <w:rsid w:val="004F3625"/>
    <w:rsid w:val="004F57DC"/>
    <w:rsid w:val="004F5E36"/>
    <w:rsid w:val="004F601A"/>
    <w:rsid w:val="004F6B52"/>
    <w:rsid w:val="005001B7"/>
    <w:rsid w:val="00500B0B"/>
    <w:rsid w:val="00504556"/>
    <w:rsid w:val="00504851"/>
    <w:rsid w:val="005077D5"/>
    <w:rsid w:val="00507AB9"/>
    <w:rsid w:val="00507B47"/>
    <w:rsid w:val="00507B5E"/>
    <w:rsid w:val="00507BEF"/>
    <w:rsid w:val="00507CC9"/>
    <w:rsid w:val="005119A5"/>
    <w:rsid w:val="0051726C"/>
    <w:rsid w:val="00520C35"/>
    <w:rsid w:val="00520C72"/>
    <w:rsid w:val="005278B7"/>
    <w:rsid w:val="00530769"/>
    <w:rsid w:val="00532016"/>
    <w:rsid w:val="00532D8B"/>
    <w:rsid w:val="0053405E"/>
    <w:rsid w:val="005346C8"/>
    <w:rsid w:val="005379FB"/>
    <w:rsid w:val="00537B39"/>
    <w:rsid w:val="005412F6"/>
    <w:rsid w:val="005413EC"/>
    <w:rsid w:val="00541A05"/>
    <w:rsid w:val="005431C9"/>
    <w:rsid w:val="00543E7D"/>
    <w:rsid w:val="005440B8"/>
    <w:rsid w:val="0054573C"/>
    <w:rsid w:val="00547A68"/>
    <w:rsid w:val="0055153D"/>
    <w:rsid w:val="0055175D"/>
    <w:rsid w:val="005531C9"/>
    <w:rsid w:val="00554879"/>
    <w:rsid w:val="00556D5B"/>
    <w:rsid w:val="00564F7F"/>
    <w:rsid w:val="0056611E"/>
    <w:rsid w:val="005661A6"/>
    <w:rsid w:val="00570C43"/>
    <w:rsid w:val="00572C9C"/>
    <w:rsid w:val="005730D1"/>
    <w:rsid w:val="005734C3"/>
    <w:rsid w:val="005752BC"/>
    <w:rsid w:val="005763ED"/>
    <w:rsid w:val="00581851"/>
    <w:rsid w:val="0058244C"/>
    <w:rsid w:val="005868D0"/>
    <w:rsid w:val="00590B30"/>
    <w:rsid w:val="00591EC5"/>
    <w:rsid w:val="00592274"/>
    <w:rsid w:val="00592737"/>
    <w:rsid w:val="005940D4"/>
    <w:rsid w:val="00594632"/>
    <w:rsid w:val="005952F3"/>
    <w:rsid w:val="00597E66"/>
    <w:rsid w:val="005A4517"/>
    <w:rsid w:val="005A5E0C"/>
    <w:rsid w:val="005A710D"/>
    <w:rsid w:val="005B113B"/>
    <w:rsid w:val="005B2110"/>
    <w:rsid w:val="005B350B"/>
    <w:rsid w:val="005B61E6"/>
    <w:rsid w:val="005C1B75"/>
    <w:rsid w:val="005C77E1"/>
    <w:rsid w:val="005D1F8A"/>
    <w:rsid w:val="005D3460"/>
    <w:rsid w:val="005D3991"/>
    <w:rsid w:val="005D409C"/>
    <w:rsid w:val="005D4A34"/>
    <w:rsid w:val="005D668A"/>
    <w:rsid w:val="005D6A2F"/>
    <w:rsid w:val="005D6DBD"/>
    <w:rsid w:val="005E0592"/>
    <w:rsid w:val="005E1A82"/>
    <w:rsid w:val="005E1CB8"/>
    <w:rsid w:val="005E3E1B"/>
    <w:rsid w:val="005E4219"/>
    <w:rsid w:val="005E6AD0"/>
    <w:rsid w:val="005E6B25"/>
    <w:rsid w:val="005E794C"/>
    <w:rsid w:val="005F0015"/>
    <w:rsid w:val="005F0A28"/>
    <w:rsid w:val="005F0E5E"/>
    <w:rsid w:val="005F294A"/>
    <w:rsid w:val="005F608B"/>
    <w:rsid w:val="00600535"/>
    <w:rsid w:val="006039C1"/>
    <w:rsid w:val="00610CD6"/>
    <w:rsid w:val="006117A5"/>
    <w:rsid w:val="00614670"/>
    <w:rsid w:val="00620DEE"/>
    <w:rsid w:val="00621F39"/>
    <w:rsid w:val="00621F92"/>
    <w:rsid w:val="0062280A"/>
    <w:rsid w:val="00622FC0"/>
    <w:rsid w:val="006231E1"/>
    <w:rsid w:val="00623DE9"/>
    <w:rsid w:val="00625639"/>
    <w:rsid w:val="00626155"/>
    <w:rsid w:val="00626342"/>
    <w:rsid w:val="00627EE8"/>
    <w:rsid w:val="0063021F"/>
    <w:rsid w:val="00631B33"/>
    <w:rsid w:val="00631F42"/>
    <w:rsid w:val="0063463E"/>
    <w:rsid w:val="0064184D"/>
    <w:rsid w:val="00642038"/>
    <w:rsid w:val="006422CC"/>
    <w:rsid w:val="00643604"/>
    <w:rsid w:val="0064762E"/>
    <w:rsid w:val="00650BBB"/>
    <w:rsid w:val="00651D18"/>
    <w:rsid w:val="00657711"/>
    <w:rsid w:val="0066065B"/>
    <w:rsid w:val="00660E3E"/>
    <w:rsid w:val="00661CC4"/>
    <w:rsid w:val="00662E74"/>
    <w:rsid w:val="00665D37"/>
    <w:rsid w:val="00673789"/>
    <w:rsid w:val="00674D96"/>
    <w:rsid w:val="00676E2A"/>
    <w:rsid w:val="0067769A"/>
    <w:rsid w:val="006779CE"/>
    <w:rsid w:val="0068059D"/>
    <w:rsid w:val="00680C23"/>
    <w:rsid w:val="0068153B"/>
    <w:rsid w:val="00682F27"/>
    <w:rsid w:val="0068391E"/>
    <w:rsid w:val="00683E23"/>
    <w:rsid w:val="006853D2"/>
    <w:rsid w:val="00685FBD"/>
    <w:rsid w:val="00686734"/>
    <w:rsid w:val="00687EF1"/>
    <w:rsid w:val="00690399"/>
    <w:rsid w:val="00691767"/>
    <w:rsid w:val="00693766"/>
    <w:rsid w:val="00693C60"/>
    <w:rsid w:val="00697704"/>
    <w:rsid w:val="006A1B17"/>
    <w:rsid w:val="006A3281"/>
    <w:rsid w:val="006A4AF4"/>
    <w:rsid w:val="006A5D13"/>
    <w:rsid w:val="006A6DE5"/>
    <w:rsid w:val="006A6DEF"/>
    <w:rsid w:val="006A7F3B"/>
    <w:rsid w:val="006B108C"/>
    <w:rsid w:val="006B4447"/>
    <w:rsid w:val="006B4888"/>
    <w:rsid w:val="006C2E45"/>
    <w:rsid w:val="006C359C"/>
    <w:rsid w:val="006C47CA"/>
    <w:rsid w:val="006C5579"/>
    <w:rsid w:val="006D0D87"/>
    <w:rsid w:val="006D18CE"/>
    <w:rsid w:val="006D55FB"/>
    <w:rsid w:val="006D59ED"/>
    <w:rsid w:val="006D6E8B"/>
    <w:rsid w:val="006D7209"/>
    <w:rsid w:val="006E0675"/>
    <w:rsid w:val="006E0B53"/>
    <w:rsid w:val="006E737D"/>
    <w:rsid w:val="006E7B89"/>
    <w:rsid w:val="006F32C6"/>
    <w:rsid w:val="006F4B84"/>
    <w:rsid w:val="006F4DF1"/>
    <w:rsid w:val="006F4ED1"/>
    <w:rsid w:val="006F5D53"/>
    <w:rsid w:val="006F7874"/>
    <w:rsid w:val="006F797D"/>
    <w:rsid w:val="006F7E21"/>
    <w:rsid w:val="007029E7"/>
    <w:rsid w:val="007041EB"/>
    <w:rsid w:val="00707DD1"/>
    <w:rsid w:val="00710300"/>
    <w:rsid w:val="00712039"/>
    <w:rsid w:val="0071250C"/>
    <w:rsid w:val="00713973"/>
    <w:rsid w:val="00715FC3"/>
    <w:rsid w:val="007178AA"/>
    <w:rsid w:val="00720289"/>
    <w:rsid w:val="00720A24"/>
    <w:rsid w:val="00724D41"/>
    <w:rsid w:val="00725323"/>
    <w:rsid w:val="00725F0F"/>
    <w:rsid w:val="0072753C"/>
    <w:rsid w:val="00732386"/>
    <w:rsid w:val="007349A2"/>
    <w:rsid w:val="0073514D"/>
    <w:rsid w:val="00737F1A"/>
    <w:rsid w:val="00744204"/>
    <w:rsid w:val="007447F3"/>
    <w:rsid w:val="00747479"/>
    <w:rsid w:val="007512D0"/>
    <w:rsid w:val="00753EBF"/>
    <w:rsid w:val="0075499F"/>
    <w:rsid w:val="0075620E"/>
    <w:rsid w:val="00757CC7"/>
    <w:rsid w:val="00760159"/>
    <w:rsid w:val="0076222C"/>
    <w:rsid w:val="0076393E"/>
    <w:rsid w:val="007661C8"/>
    <w:rsid w:val="0076658D"/>
    <w:rsid w:val="00766695"/>
    <w:rsid w:val="00766F6E"/>
    <w:rsid w:val="0077098D"/>
    <w:rsid w:val="00773BCC"/>
    <w:rsid w:val="00776ECE"/>
    <w:rsid w:val="007775B1"/>
    <w:rsid w:val="00780ABC"/>
    <w:rsid w:val="00780B41"/>
    <w:rsid w:val="007837A6"/>
    <w:rsid w:val="00785880"/>
    <w:rsid w:val="00785BF9"/>
    <w:rsid w:val="0078628C"/>
    <w:rsid w:val="00791346"/>
    <w:rsid w:val="00791F32"/>
    <w:rsid w:val="007928F2"/>
    <w:rsid w:val="007931FA"/>
    <w:rsid w:val="00796B6C"/>
    <w:rsid w:val="007A4861"/>
    <w:rsid w:val="007A54DD"/>
    <w:rsid w:val="007A69F5"/>
    <w:rsid w:val="007A738B"/>
    <w:rsid w:val="007A7BBA"/>
    <w:rsid w:val="007B0C50"/>
    <w:rsid w:val="007B48F9"/>
    <w:rsid w:val="007B656F"/>
    <w:rsid w:val="007C096C"/>
    <w:rsid w:val="007C1A43"/>
    <w:rsid w:val="007D0951"/>
    <w:rsid w:val="007D4C33"/>
    <w:rsid w:val="007D610D"/>
    <w:rsid w:val="007E094C"/>
    <w:rsid w:val="007E139B"/>
    <w:rsid w:val="007E41C8"/>
    <w:rsid w:val="007E6FFA"/>
    <w:rsid w:val="00800020"/>
    <w:rsid w:val="0080013E"/>
    <w:rsid w:val="00801759"/>
    <w:rsid w:val="0080428F"/>
    <w:rsid w:val="00804CB8"/>
    <w:rsid w:val="00807ECC"/>
    <w:rsid w:val="008104BB"/>
    <w:rsid w:val="008105C4"/>
    <w:rsid w:val="00813288"/>
    <w:rsid w:val="008155B2"/>
    <w:rsid w:val="0081680E"/>
    <w:rsid w:val="008168FC"/>
    <w:rsid w:val="00817367"/>
    <w:rsid w:val="008261A4"/>
    <w:rsid w:val="00826F28"/>
    <w:rsid w:val="00830996"/>
    <w:rsid w:val="008345F1"/>
    <w:rsid w:val="008348B0"/>
    <w:rsid w:val="00836F11"/>
    <w:rsid w:val="00842446"/>
    <w:rsid w:val="00843EA2"/>
    <w:rsid w:val="00844590"/>
    <w:rsid w:val="00847D24"/>
    <w:rsid w:val="00851126"/>
    <w:rsid w:val="00853202"/>
    <w:rsid w:val="0085358C"/>
    <w:rsid w:val="00853A91"/>
    <w:rsid w:val="00853FCF"/>
    <w:rsid w:val="00856344"/>
    <w:rsid w:val="008630E1"/>
    <w:rsid w:val="00864CEA"/>
    <w:rsid w:val="00865B07"/>
    <w:rsid w:val="008667EA"/>
    <w:rsid w:val="00867C3F"/>
    <w:rsid w:val="0087637F"/>
    <w:rsid w:val="0087692D"/>
    <w:rsid w:val="008820F1"/>
    <w:rsid w:val="008911FC"/>
    <w:rsid w:val="00892694"/>
    <w:rsid w:val="00892AD5"/>
    <w:rsid w:val="00894EC9"/>
    <w:rsid w:val="008A11B6"/>
    <w:rsid w:val="008A1512"/>
    <w:rsid w:val="008B0522"/>
    <w:rsid w:val="008B1412"/>
    <w:rsid w:val="008B2E56"/>
    <w:rsid w:val="008B7BB3"/>
    <w:rsid w:val="008C0CCF"/>
    <w:rsid w:val="008C284D"/>
    <w:rsid w:val="008C3B54"/>
    <w:rsid w:val="008C583E"/>
    <w:rsid w:val="008C75E3"/>
    <w:rsid w:val="008D32B9"/>
    <w:rsid w:val="008D433B"/>
    <w:rsid w:val="008D43FC"/>
    <w:rsid w:val="008D4A16"/>
    <w:rsid w:val="008D4F34"/>
    <w:rsid w:val="008E3C94"/>
    <w:rsid w:val="008E4908"/>
    <w:rsid w:val="008E5401"/>
    <w:rsid w:val="008E566E"/>
    <w:rsid w:val="008F2FBF"/>
    <w:rsid w:val="008F3E89"/>
    <w:rsid w:val="008F442C"/>
    <w:rsid w:val="008F60F6"/>
    <w:rsid w:val="008F62FB"/>
    <w:rsid w:val="00900E8C"/>
    <w:rsid w:val="0090161A"/>
    <w:rsid w:val="00901EB6"/>
    <w:rsid w:val="00902B47"/>
    <w:rsid w:val="009034FA"/>
    <w:rsid w:val="009041F8"/>
    <w:rsid w:val="00904C0C"/>
    <w:rsid w:val="00904C62"/>
    <w:rsid w:val="00906627"/>
    <w:rsid w:val="00906E5B"/>
    <w:rsid w:val="009072D2"/>
    <w:rsid w:val="00907F9B"/>
    <w:rsid w:val="00912D12"/>
    <w:rsid w:val="00913A69"/>
    <w:rsid w:val="00914FFF"/>
    <w:rsid w:val="00915422"/>
    <w:rsid w:val="009161A2"/>
    <w:rsid w:val="0091647D"/>
    <w:rsid w:val="009170A4"/>
    <w:rsid w:val="00922BA8"/>
    <w:rsid w:val="00924DAC"/>
    <w:rsid w:val="009268DD"/>
    <w:rsid w:val="00927058"/>
    <w:rsid w:val="00927C36"/>
    <w:rsid w:val="009324C3"/>
    <w:rsid w:val="00932EFB"/>
    <w:rsid w:val="00933D5A"/>
    <w:rsid w:val="009348E3"/>
    <w:rsid w:val="00934A60"/>
    <w:rsid w:val="00942750"/>
    <w:rsid w:val="00943DF7"/>
    <w:rsid w:val="00944B53"/>
    <w:rsid w:val="009450CE"/>
    <w:rsid w:val="00945387"/>
    <w:rsid w:val="009459BB"/>
    <w:rsid w:val="00947179"/>
    <w:rsid w:val="0095164B"/>
    <w:rsid w:val="00951C0E"/>
    <w:rsid w:val="0095239C"/>
    <w:rsid w:val="00954090"/>
    <w:rsid w:val="00954F58"/>
    <w:rsid w:val="00955653"/>
    <w:rsid w:val="009573E7"/>
    <w:rsid w:val="00960132"/>
    <w:rsid w:val="00962BB4"/>
    <w:rsid w:val="0096359F"/>
    <w:rsid w:val="00963ACB"/>
    <w:rsid w:val="00963B2F"/>
    <w:rsid w:val="00963E05"/>
    <w:rsid w:val="0096409B"/>
    <w:rsid w:val="00964A45"/>
    <w:rsid w:val="00966A9B"/>
    <w:rsid w:val="00967843"/>
    <w:rsid w:val="00967BD5"/>
    <w:rsid w:val="00967D54"/>
    <w:rsid w:val="00970A24"/>
    <w:rsid w:val="00971028"/>
    <w:rsid w:val="00972AFB"/>
    <w:rsid w:val="00973BC3"/>
    <w:rsid w:val="0097530D"/>
    <w:rsid w:val="00975E10"/>
    <w:rsid w:val="009828FB"/>
    <w:rsid w:val="00982CC9"/>
    <w:rsid w:val="00983021"/>
    <w:rsid w:val="00991E28"/>
    <w:rsid w:val="00993B84"/>
    <w:rsid w:val="00994C6A"/>
    <w:rsid w:val="00996483"/>
    <w:rsid w:val="00996F5A"/>
    <w:rsid w:val="00997949"/>
    <w:rsid w:val="009A3AAA"/>
    <w:rsid w:val="009B041A"/>
    <w:rsid w:val="009B0F36"/>
    <w:rsid w:val="009B29F2"/>
    <w:rsid w:val="009B2E1F"/>
    <w:rsid w:val="009B33B7"/>
    <w:rsid w:val="009B5F40"/>
    <w:rsid w:val="009B69D9"/>
    <w:rsid w:val="009B6E57"/>
    <w:rsid w:val="009C2A61"/>
    <w:rsid w:val="009C37C3"/>
    <w:rsid w:val="009C6870"/>
    <w:rsid w:val="009C7C86"/>
    <w:rsid w:val="009D2FF7"/>
    <w:rsid w:val="009D39F1"/>
    <w:rsid w:val="009D4618"/>
    <w:rsid w:val="009D4A2A"/>
    <w:rsid w:val="009D54D1"/>
    <w:rsid w:val="009D556D"/>
    <w:rsid w:val="009E3B65"/>
    <w:rsid w:val="009E7884"/>
    <w:rsid w:val="009E788A"/>
    <w:rsid w:val="009F0E08"/>
    <w:rsid w:val="009F0FA8"/>
    <w:rsid w:val="009F2BE5"/>
    <w:rsid w:val="009F5313"/>
    <w:rsid w:val="00A01E5D"/>
    <w:rsid w:val="00A030F9"/>
    <w:rsid w:val="00A05E14"/>
    <w:rsid w:val="00A06BF1"/>
    <w:rsid w:val="00A079AE"/>
    <w:rsid w:val="00A10D42"/>
    <w:rsid w:val="00A161DE"/>
    <w:rsid w:val="00A1763D"/>
    <w:rsid w:val="00A17CEC"/>
    <w:rsid w:val="00A20EC7"/>
    <w:rsid w:val="00A27EF0"/>
    <w:rsid w:val="00A33370"/>
    <w:rsid w:val="00A36108"/>
    <w:rsid w:val="00A36153"/>
    <w:rsid w:val="00A36232"/>
    <w:rsid w:val="00A402EF"/>
    <w:rsid w:val="00A41109"/>
    <w:rsid w:val="00A42361"/>
    <w:rsid w:val="00A50B20"/>
    <w:rsid w:val="00A511B3"/>
    <w:rsid w:val="00A51390"/>
    <w:rsid w:val="00A53C68"/>
    <w:rsid w:val="00A566C3"/>
    <w:rsid w:val="00A5699B"/>
    <w:rsid w:val="00A60475"/>
    <w:rsid w:val="00A60D13"/>
    <w:rsid w:val="00A7223D"/>
    <w:rsid w:val="00A72745"/>
    <w:rsid w:val="00A751B9"/>
    <w:rsid w:val="00A76EFC"/>
    <w:rsid w:val="00A83D1D"/>
    <w:rsid w:val="00A84288"/>
    <w:rsid w:val="00A86B68"/>
    <w:rsid w:val="00A8764B"/>
    <w:rsid w:val="00A879CD"/>
    <w:rsid w:val="00A87D50"/>
    <w:rsid w:val="00A90045"/>
    <w:rsid w:val="00A91010"/>
    <w:rsid w:val="00A92434"/>
    <w:rsid w:val="00A95FC2"/>
    <w:rsid w:val="00A97B28"/>
    <w:rsid w:val="00A97F29"/>
    <w:rsid w:val="00AA0126"/>
    <w:rsid w:val="00AA0AFE"/>
    <w:rsid w:val="00AA0B60"/>
    <w:rsid w:val="00AA0DB4"/>
    <w:rsid w:val="00AA22DF"/>
    <w:rsid w:val="00AA2763"/>
    <w:rsid w:val="00AA4DDE"/>
    <w:rsid w:val="00AA58AE"/>
    <w:rsid w:val="00AA68A4"/>
    <w:rsid w:val="00AA702E"/>
    <w:rsid w:val="00AA7D26"/>
    <w:rsid w:val="00AB0964"/>
    <w:rsid w:val="00AB0F11"/>
    <w:rsid w:val="00AB5011"/>
    <w:rsid w:val="00AC060C"/>
    <w:rsid w:val="00AC07C8"/>
    <w:rsid w:val="00AC40F5"/>
    <w:rsid w:val="00AC4A76"/>
    <w:rsid w:val="00AC7368"/>
    <w:rsid w:val="00AC78AC"/>
    <w:rsid w:val="00AD04D0"/>
    <w:rsid w:val="00AD16B9"/>
    <w:rsid w:val="00AD38B1"/>
    <w:rsid w:val="00AD52AD"/>
    <w:rsid w:val="00AD6831"/>
    <w:rsid w:val="00AD69D2"/>
    <w:rsid w:val="00AE03C2"/>
    <w:rsid w:val="00AE154C"/>
    <w:rsid w:val="00AE1DD0"/>
    <w:rsid w:val="00AE377D"/>
    <w:rsid w:val="00AE40D7"/>
    <w:rsid w:val="00AE56C3"/>
    <w:rsid w:val="00AE61C7"/>
    <w:rsid w:val="00AE642B"/>
    <w:rsid w:val="00AF0EBA"/>
    <w:rsid w:val="00AF2463"/>
    <w:rsid w:val="00AF662A"/>
    <w:rsid w:val="00B0105D"/>
    <w:rsid w:val="00B01E10"/>
    <w:rsid w:val="00B02C8A"/>
    <w:rsid w:val="00B02FCD"/>
    <w:rsid w:val="00B05051"/>
    <w:rsid w:val="00B055E5"/>
    <w:rsid w:val="00B06CF2"/>
    <w:rsid w:val="00B077B8"/>
    <w:rsid w:val="00B07AED"/>
    <w:rsid w:val="00B1068B"/>
    <w:rsid w:val="00B11897"/>
    <w:rsid w:val="00B13CAF"/>
    <w:rsid w:val="00B14FEE"/>
    <w:rsid w:val="00B17FBD"/>
    <w:rsid w:val="00B20788"/>
    <w:rsid w:val="00B304B8"/>
    <w:rsid w:val="00B315A6"/>
    <w:rsid w:val="00B3171C"/>
    <w:rsid w:val="00B31813"/>
    <w:rsid w:val="00B321A3"/>
    <w:rsid w:val="00B33365"/>
    <w:rsid w:val="00B359E7"/>
    <w:rsid w:val="00B401D3"/>
    <w:rsid w:val="00B41506"/>
    <w:rsid w:val="00B50D37"/>
    <w:rsid w:val="00B51D28"/>
    <w:rsid w:val="00B522A4"/>
    <w:rsid w:val="00B531C7"/>
    <w:rsid w:val="00B53C0A"/>
    <w:rsid w:val="00B57B36"/>
    <w:rsid w:val="00B57E6F"/>
    <w:rsid w:val="00B63399"/>
    <w:rsid w:val="00B661D5"/>
    <w:rsid w:val="00B66F56"/>
    <w:rsid w:val="00B737DA"/>
    <w:rsid w:val="00B779AE"/>
    <w:rsid w:val="00B853D9"/>
    <w:rsid w:val="00B8686D"/>
    <w:rsid w:val="00B90FF2"/>
    <w:rsid w:val="00B92462"/>
    <w:rsid w:val="00B93F69"/>
    <w:rsid w:val="00B95B40"/>
    <w:rsid w:val="00BA6DC2"/>
    <w:rsid w:val="00BA6E37"/>
    <w:rsid w:val="00BB1DDC"/>
    <w:rsid w:val="00BB2F1B"/>
    <w:rsid w:val="00BB3EBC"/>
    <w:rsid w:val="00BB411A"/>
    <w:rsid w:val="00BC2294"/>
    <w:rsid w:val="00BC30C9"/>
    <w:rsid w:val="00BC42B5"/>
    <w:rsid w:val="00BD077D"/>
    <w:rsid w:val="00BD2E37"/>
    <w:rsid w:val="00BE01B5"/>
    <w:rsid w:val="00BE15FD"/>
    <w:rsid w:val="00BE1A07"/>
    <w:rsid w:val="00BE3E58"/>
    <w:rsid w:val="00BF13CE"/>
    <w:rsid w:val="00BF422C"/>
    <w:rsid w:val="00BF5922"/>
    <w:rsid w:val="00BF61EB"/>
    <w:rsid w:val="00BF69DF"/>
    <w:rsid w:val="00C0000A"/>
    <w:rsid w:val="00C01616"/>
    <w:rsid w:val="00C0162B"/>
    <w:rsid w:val="00C0514B"/>
    <w:rsid w:val="00C05557"/>
    <w:rsid w:val="00C055A7"/>
    <w:rsid w:val="00C068ED"/>
    <w:rsid w:val="00C124C7"/>
    <w:rsid w:val="00C165C3"/>
    <w:rsid w:val="00C16FA7"/>
    <w:rsid w:val="00C20943"/>
    <w:rsid w:val="00C22E0C"/>
    <w:rsid w:val="00C249AB"/>
    <w:rsid w:val="00C27C05"/>
    <w:rsid w:val="00C318BC"/>
    <w:rsid w:val="00C31B2C"/>
    <w:rsid w:val="00C3264C"/>
    <w:rsid w:val="00C32E3A"/>
    <w:rsid w:val="00C345B1"/>
    <w:rsid w:val="00C40142"/>
    <w:rsid w:val="00C40DB6"/>
    <w:rsid w:val="00C4188F"/>
    <w:rsid w:val="00C446A7"/>
    <w:rsid w:val="00C45BB9"/>
    <w:rsid w:val="00C52C3C"/>
    <w:rsid w:val="00C57182"/>
    <w:rsid w:val="00C57863"/>
    <w:rsid w:val="00C57940"/>
    <w:rsid w:val="00C60611"/>
    <w:rsid w:val="00C619A0"/>
    <w:rsid w:val="00C640AF"/>
    <w:rsid w:val="00C651B9"/>
    <w:rsid w:val="00C6528E"/>
    <w:rsid w:val="00C655FD"/>
    <w:rsid w:val="00C71112"/>
    <w:rsid w:val="00C71ACE"/>
    <w:rsid w:val="00C72074"/>
    <w:rsid w:val="00C74118"/>
    <w:rsid w:val="00C75407"/>
    <w:rsid w:val="00C7590F"/>
    <w:rsid w:val="00C770AC"/>
    <w:rsid w:val="00C77A99"/>
    <w:rsid w:val="00C77E32"/>
    <w:rsid w:val="00C77F20"/>
    <w:rsid w:val="00C812E5"/>
    <w:rsid w:val="00C841C6"/>
    <w:rsid w:val="00C84C6D"/>
    <w:rsid w:val="00C870A8"/>
    <w:rsid w:val="00C91B55"/>
    <w:rsid w:val="00C94434"/>
    <w:rsid w:val="00C945C1"/>
    <w:rsid w:val="00C97A48"/>
    <w:rsid w:val="00CA0524"/>
    <w:rsid w:val="00CA095C"/>
    <w:rsid w:val="00CA0D75"/>
    <w:rsid w:val="00CA1C95"/>
    <w:rsid w:val="00CA1D84"/>
    <w:rsid w:val="00CA2946"/>
    <w:rsid w:val="00CA5A9C"/>
    <w:rsid w:val="00CA65D8"/>
    <w:rsid w:val="00CA6A6A"/>
    <w:rsid w:val="00CA76B9"/>
    <w:rsid w:val="00CB5ABC"/>
    <w:rsid w:val="00CB5BD0"/>
    <w:rsid w:val="00CC3652"/>
    <w:rsid w:val="00CC3831"/>
    <w:rsid w:val="00CC458A"/>
    <w:rsid w:val="00CC4C20"/>
    <w:rsid w:val="00CD03EB"/>
    <w:rsid w:val="00CD2629"/>
    <w:rsid w:val="00CD2B59"/>
    <w:rsid w:val="00CD3517"/>
    <w:rsid w:val="00CD40BF"/>
    <w:rsid w:val="00CD5FE2"/>
    <w:rsid w:val="00CE30A2"/>
    <w:rsid w:val="00CE518B"/>
    <w:rsid w:val="00CE7C68"/>
    <w:rsid w:val="00D014DF"/>
    <w:rsid w:val="00D02B4C"/>
    <w:rsid w:val="00D02F9A"/>
    <w:rsid w:val="00D03EA5"/>
    <w:rsid w:val="00D040C4"/>
    <w:rsid w:val="00D04AB0"/>
    <w:rsid w:val="00D04D1E"/>
    <w:rsid w:val="00D050F1"/>
    <w:rsid w:val="00D066EF"/>
    <w:rsid w:val="00D119C7"/>
    <w:rsid w:val="00D124D3"/>
    <w:rsid w:val="00D15955"/>
    <w:rsid w:val="00D20AD1"/>
    <w:rsid w:val="00D2582C"/>
    <w:rsid w:val="00D258EA"/>
    <w:rsid w:val="00D306F3"/>
    <w:rsid w:val="00D366C4"/>
    <w:rsid w:val="00D46699"/>
    <w:rsid w:val="00D46B7E"/>
    <w:rsid w:val="00D46C08"/>
    <w:rsid w:val="00D5208E"/>
    <w:rsid w:val="00D53DEC"/>
    <w:rsid w:val="00D540D1"/>
    <w:rsid w:val="00D5582E"/>
    <w:rsid w:val="00D57C38"/>
    <w:rsid w:val="00D57C84"/>
    <w:rsid w:val="00D57E46"/>
    <w:rsid w:val="00D6057D"/>
    <w:rsid w:val="00D62F74"/>
    <w:rsid w:val="00D63DD5"/>
    <w:rsid w:val="00D6596E"/>
    <w:rsid w:val="00D66C14"/>
    <w:rsid w:val="00D67947"/>
    <w:rsid w:val="00D701B9"/>
    <w:rsid w:val="00D71640"/>
    <w:rsid w:val="00D72B0E"/>
    <w:rsid w:val="00D741DE"/>
    <w:rsid w:val="00D74EEB"/>
    <w:rsid w:val="00D760CC"/>
    <w:rsid w:val="00D773F4"/>
    <w:rsid w:val="00D814B2"/>
    <w:rsid w:val="00D836C5"/>
    <w:rsid w:val="00D8456C"/>
    <w:rsid w:val="00D84576"/>
    <w:rsid w:val="00D904D2"/>
    <w:rsid w:val="00D978BB"/>
    <w:rsid w:val="00DA1399"/>
    <w:rsid w:val="00DA24C6"/>
    <w:rsid w:val="00DA4D7B"/>
    <w:rsid w:val="00DB1451"/>
    <w:rsid w:val="00DB1705"/>
    <w:rsid w:val="00DB23A8"/>
    <w:rsid w:val="00DC051B"/>
    <w:rsid w:val="00DC2840"/>
    <w:rsid w:val="00DC3E94"/>
    <w:rsid w:val="00DC441F"/>
    <w:rsid w:val="00DC4D38"/>
    <w:rsid w:val="00DC73EE"/>
    <w:rsid w:val="00DC768F"/>
    <w:rsid w:val="00DD271C"/>
    <w:rsid w:val="00DD5334"/>
    <w:rsid w:val="00DE264A"/>
    <w:rsid w:val="00DE30F5"/>
    <w:rsid w:val="00DE6684"/>
    <w:rsid w:val="00DE76EA"/>
    <w:rsid w:val="00DF26EA"/>
    <w:rsid w:val="00DF38B4"/>
    <w:rsid w:val="00DF5072"/>
    <w:rsid w:val="00DF6F6E"/>
    <w:rsid w:val="00E02D18"/>
    <w:rsid w:val="00E041E7"/>
    <w:rsid w:val="00E0479B"/>
    <w:rsid w:val="00E05B22"/>
    <w:rsid w:val="00E06FC6"/>
    <w:rsid w:val="00E074DC"/>
    <w:rsid w:val="00E12C0F"/>
    <w:rsid w:val="00E14ACF"/>
    <w:rsid w:val="00E20A71"/>
    <w:rsid w:val="00E23CA1"/>
    <w:rsid w:val="00E30A6D"/>
    <w:rsid w:val="00E37899"/>
    <w:rsid w:val="00E404AB"/>
    <w:rsid w:val="00E409A8"/>
    <w:rsid w:val="00E43FCA"/>
    <w:rsid w:val="00E47C7E"/>
    <w:rsid w:val="00E50C12"/>
    <w:rsid w:val="00E54DD5"/>
    <w:rsid w:val="00E5530C"/>
    <w:rsid w:val="00E634E2"/>
    <w:rsid w:val="00E65B91"/>
    <w:rsid w:val="00E71892"/>
    <w:rsid w:val="00E7209D"/>
    <w:rsid w:val="00E729BE"/>
    <w:rsid w:val="00E72EAD"/>
    <w:rsid w:val="00E7492A"/>
    <w:rsid w:val="00E7553E"/>
    <w:rsid w:val="00E7675E"/>
    <w:rsid w:val="00E77223"/>
    <w:rsid w:val="00E817A1"/>
    <w:rsid w:val="00E81EBD"/>
    <w:rsid w:val="00E8528B"/>
    <w:rsid w:val="00E85B94"/>
    <w:rsid w:val="00E85F11"/>
    <w:rsid w:val="00E92AD1"/>
    <w:rsid w:val="00E94444"/>
    <w:rsid w:val="00E9687E"/>
    <w:rsid w:val="00E978D0"/>
    <w:rsid w:val="00EA4613"/>
    <w:rsid w:val="00EA506E"/>
    <w:rsid w:val="00EA691B"/>
    <w:rsid w:val="00EA7F44"/>
    <w:rsid w:val="00EA7F91"/>
    <w:rsid w:val="00EB0F03"/>
    <w:rsid w:val="00EB1523"/>
    <w:rsid w:val="00EB3028"/>
    <w:rsid w:val="00EB596F"/>
    <w:rsid w:val="00EB5F83"/>
    <w:rsid w:val="00EB616F"/>
    <w:rsid w:val="00EC0780"/>
    <w:rsid w:val="00EC0E49"/>
    <w:rsid w:val="00EC101F"/>
    <w:rsid w:val="00EC1D9F"/>
    <w:rsid w:val="00EC28C2"/>
    <w:rsid w:val="00ED4342"/>
    <w:rsid w:val="00ED5BD0"/>
    <w:rsid w:val="00ED78F4"/>
    <w:rsid w:val="00EE0131"/>
    <w:rsid w:val="00EE17B0"/>
    <w:rsid w:val="00EE2A21"/>
    <w:rsid w:val="00EE45BC"/>
    <w:rsid w:val="00EE5619"/>
    <w:rsid w:val="00EE71D8"/>
    <w:rsid w:val="00EF0511"/>
    <w:rsid w:val="00EF06D9"/>
    <w:rsid w:val="00EF099C"/>
    <w:rsid w:val="00EF32EC"/>
    <w:rsid w:val="00EF3CB5"/>
    <w:rsid w:val="00EF6146"/>
    <w:rsid w:val="00F00B4B"/>
    <w:rsid w:val="00F03994"/>
    <w:rsid w:val="00F045A3"/>
    <w:rsid w:val="00F057CB"/>
    <w:rsid w:val="00F10A10"/>
    <w:rsid w:val="00F11548"/>
    <w:rsid w:val="00F14544"/>
    <w:rsid w:val="00F15905"/>
    <w:rsid w:val="00F15C3E"/>
    <w:rsid w:val="00F1638A"/>
    <w:rsid w:val="00F17023"/>
    <w:rsid w:val="00F17569"/>
    <w:rsid w:val="00F22D15"/>
    <w:rsid w:val="00F24DF6"/>
    <w:rsid w:val="00F25764"/>
    <w:rsid w:val="00F25A57"/>
    <w:rsid w:val="00F3049E"/>
    <w:rsid w:val="00F30C64"/>
    <w:rsid w:val="00F32BA2"/>
    <w:rsid w:val="00F32CDB"/>
    <w:rsid w:val="00F35F47"/>
    <w:rsid w:val="00F41EE4"/>
    <w:rsid w:val="00F43864"/>
    <w:rsid w:val="00F43CD0"/>
    <w:rsid w:val="00F44847"/>
    <w:rsid w:val="00F460B5"/>
    <w:rsid w:val="00F53DD9"/>
    <w:rsid w:val="00F565FE"/>
    <w:rsid w:val="00F631D3"/>
    <w:rsid w:val="00F636BB"/>
    <w:rsid w:val="00F63A70"/>
    <w:rsid w:val="00F63D8C"/>
    <w:rsid w:val="00F6538F"/>
    <w:rsid w:val="00F7534E"/>
    <w:rsid w:val="00F76206"/>
    <w:rsid w:val="00F77691"/>
    <w:rsid w:val="00F803F9"/>
    <w:rsid w:val="00F827CA"/>
    <w:rsid w:val="00F84720"/>
    <w:rsid w:val="00F85422"/>
    <w:rsid w:val="00F931D5"/>
    <w:rsid w:val="00F938B3"/>
    <w:rsid w:val="00F93EDF"/>
    <w:rsid w:val="00FA1802"/>
    <w:rsid w:val="00FA21D0"/>
    <w:rsid w:val="00FA5F5F"/>
    <w:rsid w:val="00FA63D5"/>
    <w:rsid w:val="00FA692B"/>
    <w:rsid w:val="00FB0298"/>
    <w:rsid w:val="00FB2F8F"/>
    <w:rsid w:val="00FB730C"/>
    <w:rsid w:val="00FB73DA"/>
    <w:rsid w:val="00FC07DD"/>
    <w:rsid w:val="00FC1B6E"/>
    <w:rsid w:val="00FC2695"/>
    <w:rsid w:val="00FC3E03"/>
    <w:rsid w:val="00FC3FC1"/>
    <w:rsid w:val="00FC41C9"/>
    <w:rsid w:val="00FC4449"/>
    <w:rsid w:val="00FD1778"/>
    <w:rsid w:val="00FD198A"/>
    <w:rsid w:val="00FD26D5"/>
    <w:rsid w:val="00FD7F23"/>
    <w:rsid w:val="00FE2F78"/>
    <w:rsid w:val="00FE3C56"/>
    <w:rsid w:val="00FE4DEF"/>
    <w:rsid w:val="00FF228C"/>
    <w:rsid w:val="00FF2930"/>
    <w:rsid w:val="00FF41F5"/>
    <w:rsid w:val="00FF546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9B29F2"/>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character" w:styleId="Menzionenonrisolta">
    <w:name w:val="Unresolved Mention"/>
    <w:basedOn w:val="Carpredefinitoparagrafo"/>
    <w:uiPriority w:val="99"/>
    <w:semiHidden/>
    <w:unhideWhenUsed/>
    <w:rsid w:val="009D54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6</Pages>
  <Words>4140</Words>
  <Characters>23601</Characters>
  <Application>Microsoft Office Word</Application>
  <DocSecurity>0</DocSecurity>
  <Lines>196</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Federica Restelli</cp:lastModifiedBy>
  <cp:revision>43</cp:revision>
  <cp:lastPrinted>2015-05-12T18:31:00Z</cp:lastPrinted>
  <dcterms:created xsi:type="dcterms:W3CDTF">2024-12-15T07:32:00Z</dcterms:created>
  <dcterms:modified xsi:type="dcterms:W3CDTF">2025-03-13T11:39:00Z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