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697D65"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697D65" w:rsidRDefault="000A03B2" w:rsidP="00DE264A">
            <w:pPr>
              <w:tabs>
                <w:tab w:val="left" w:pos="-108"/>
              </w:tabs>
              <w:ind w:left="-108"/>
              <w:jc w:val="left"/>
              <w:rPr>
                <w:rFonts w:cs="Arial"/>
                <w:b/>
                <w:bCs/>
                <w:i/>
                <w:iCs/>
                <w:color w:val="000066"/>
                <w:sz w:val="12"/>
                <w:szCs w:val="12"/>
                <w:lang w:eastAsia="it-IT"/>
              </w:rPr>
            </w:pPr>
            <w:bookmarkStart w:id="0" w:name="_Hlk145068772"/>
            <w:r w:rsidRPr="00697D65">
              <w:rPr>
                <w:rFonts w:ascii="AdvP6960" w:hAnsi="AdvP6960" w:cs="AdvP6960"/>
                <w:noProof/>
                <w:color w:val="241F20"/>
                <w:szCs w:val="18"/>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697D65">
              <w:rPr>
                <w:rFonts w:ascii="AdvP6960" w:hAnsi="AdvP6960" w:cs="AdvP6960"/>
                <w:color w:val="241F20"/>
                <w:szCs w:val="18"/>
                <w:lang w:eastAsia="it-IT"/>
              </w:rPr>
              <w:t xml:space="preserve"> </w:t>
            </w:r>
            <w:r w:rsidRPr="00697D65">
              <w:rPr>
                <w:rFonts w:cs="Arial"/>
                <w:b/>
                <w:bCs/>
                <w:i/>
                <w:iCs/>
                <w:color w:val="000066"/>
                <w:sz w:val="24"/>
                <w:szCs w:val="24"/>
                <w:lang w:eastAsia="it-IT"/>
              </w:rPr>
              <w:t>CHEMICAL ENGINEERING</w:t>
            </w:r>
            <w:r w:rsidRPr="00697D65">
              <w:rPr>
                <w:rFonts w:cs="Arial"/>
                <w:b/>
                <w:bCs/>
                <w:i/>
                <w:iCs/>
                <w:color w:val="0033FF"/>
                <w:sz w:val="24"/>
                <w:szCs w:val="24"/>
                <w:lang w:eastAsia="it-IT"/>
              </w:rPr>
              <w:t xml:space="preserve"> </w:t>
            </w:r>
            <w:r w:rsidRPr="00697D65">
              <w:rPr>
                <w:rFonts w:cs="Arial"/>
                <w:b/>
                <w:bCs/>
                <w:i/>
                <w:iCs/>
                <w:color w:val="666666"/>
                <w:sz w:val="24"/>
                <w:szCs w:val="24"/>
                <w:lang w:eastAsia="it-IT"/>
              </w:rPr>
              <w:t>TRANSACTIONS</w:t>
            </w:r>
            <w:r w:rsidRPr="00697D65">
              <w:rPr>
                <w:color w:val="333333"/>
                <w:sz w:val="24"/>
                <w:szCs w:val="24"/>
                <w:lang w:eastAsia="it-IT"/>
              </w:rPr>
              <w:t xml:space="preserve"> </w:t>
            </w:r>
            <w:r w:rsidRPr="00697D65">
              <w:rPr>
                <w:rFonts w:cs="Arial"/>
                <w:b/>
                <w:bCs/>
                <w:i/>
                <w:iCs/>
                <w:color w:val="000066"/>
                <w:sz w:val="27"/>
                <w:szCs w:val="27"/>
                <w:lang w:eastAsia="it-IT"/>
              </w:rPr>
              <w:br/>
            </w:r>
          </w:p>
          <w:p w14:paraId="4B780582" w14:textId="47EF826C" w:rsidR="000A03B2" w:rsidRPr="00697D65" w:rsidRDefault="00A76EFC" w:rsidP="001D21AF">
            <w:pPr>
              <w:tabs>
                <w:tab w:val="left" w:pos="-108"/>
              </w:tabs>
              <w:ind w:left="-108"/>
              <w:rPr>
                <w:rFonts w:cs="Arial"/>
                <w:b/>
                <w:bCs/>
                <w:i/>
                <w:iCs/>
                <w:color w:val="000066"/>
                <w:sz w:val="22"/>
                <w:szCs w:val="22"/>
                <w:lang w:eastAsia="it-IT"/>
              </w:rPr>
            </w:pPr>
            <w:r w:rsidRPr="00697D65">
              <w:rPr>
                <w:rFonts w:cs="Arial"/>
                <w:b/>
                <w:bCs/>
                <w:i/>
                <w:iCs/>
                <w:color w:val="000066"/>
                <w:sz w:val="22"/>
                <w:szCs w:val="22"/>
                <w:lang w:eastAsia="it-IT"/>
              </w:rPr>
              <w:t>VOL.</w:t>
            </w:r>
            <w:r w:rsidR="00785BF9" w:rsidRPr="00697D65">
              <w:rPr>
                <w:rFonts w:cs="Arial"/>
                <w:b/>
                <w:bCs/>
                <w:i/>
                <w:iCs/>
                <w:color w:val="000066"/>
                <w:sz w:val="22"/>
                <w:szCs w:val="22"/>
                <w:lang w:eastAsia="it-IT"/>
              </w:rPr>
              <w:t xml:space="preserve"> </w:t>
            </w:r>
            <w:r w:rsidR="00994C6A" w:rsidRPr="00697D65">
              <w:rPr>
                <w:rFonts w:cs="Arial"/>
                <w:b/>
                <w:bCs/>
                <w:i/>
                <w:iCs/>
                <w:color w:val="000066"/>
                <w:sz w:val="22"/>
                <w:szCs w:val="22"/>
                <w:lang w:eastAsia="it-IT"/>
              </w:rPr>
              <w:t>xxx</w:t>
            </w:r>
            <w:r w:rsidR="007B48F9" w:rsidRPr="00697D65">
              <w:rPr>
                <w:rFonts w:cs="Arial"/>
                <w:b/>
                <w:bCs/>
                <w:i/>
                <w:iCs/>
                <w:color w:val="000066"/>
                <w:sz w:val="22"/>
                <w:szCs w:val="22"/>
                <w:lang w:eastAsia="it-IT"/>
              </w:rPr>
              <w:t>,</w:t>
            </w:r>
            <w:r w:rsidR="00FA5F5F" w:rsidRPr="00697D65">
              <w:rPr>
                <w:rFonts w:cs="Arial"/>
                <w:b/>
                <w:bCs/>
                <w:i/>
                <w:iCs/>
                <w:color w:val="000066"/>
                <w:sz w:val="22"/>
                <w:szCs w:val="22"/>
                <w:lang w:eastAsia="it-IT"/>
              </w:rPr>
              <w:t xml:space="preserve"> </w:t>
            </w:r>
            <w:r w:rsidR="0030152C" w:rsidRPr="00697D65">
              <w:rPr>
                <w:rFonts w:cs="Arial"/>
                <w:b/>
                <w:bCs/>
                <w:i/>
                <w:iCs/>
                <w:color w:val="000066"/>
                <w:sz w:val="22"/>
                <w:szCs w:val="22"/>
                <w:lang w:eastAsia="it-IT"/>
              </w:rPr>
              <w:t>202</w:t>
            </w:r>
            <w:r w:rsidR="00994C6A" w:rsidRPr="00697D65">
              <w:rPr>
                <w:rFonts w:cs="Arial"/>
                <w:b/>
                <w:bCs/>
                <w:i/>
                <w:iCs/>
                <w:color w:val="000066"/>
                <w:sz w:val="22"/>
                <w:szCs w:val="22"/>
                <w:lang w:eastAsia="it-IT"/>
              </w:rPr>
              <w:t>5</w:t>
            </w:r>
          </w:p>
        </w:tc>
        <w:tc>
          <w:tcPr>
            <w:tcW w:w="1843" w:type="dxa"/>
            <w:tcBorders>
              <w:left w:val="single" w:sz="4" w:space="0" w:color="auto"/>
              <w:bottom w:val="nil"/>
              <w:right w:val="single" w:sz="4" w:space="0" w:color="auto"/>
            </w:tcBorders>
          </w:tcPr>
          <w:p w14:paraId="56782132" w14:textId="77777777" w:rsidR="000A03B2" w:rsidRPr="00697D65" w:rsidRDefault="000A03B2" w:rsidP="00CD5FE2">
            <w:pPr>
              <w:spacing w:line="140" w:lineRule="atLeast"/>
              <w:jc w:val="right"/>
              <w:rPr>
                <w:rFonts w:cs="Arial"/>
                <w:sz w:val="14"/>
                <w:szCs w:val="14"/>
              </w:rPr>
            </w:pPr>
            <w:r w:rsidRPr="00697D65">
              <w:rPr>
                <w:rFonts w:cs="Arial"/>
                <w:sz w:val="14"/>
                <w:szCs w:val="14"/>
              </w:rPr>
              <w:t>A publication of</w:t>
            </w:r>
          </w:p>
          <w:p w14:paraId="599E5441" w14:textId="77777777" w:rsidR="000A03B2" w:rsidRPr="00697D65" w:rsidRDefault="000A03B2" w:rsidP="00CD5FE2">
            <w:pPr>
              <w:jc w:val="right"/>
            </w:pPr>
            <w:r w:rsidRPr="00697D65">
              <w:rPr>
                <w:noProof/>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697D65" w14:paraId="380FA3CD" w14:textId="77777777" w:rsidTr="00DE264A">
        <w:trPr>
          <w:trHeight w:val="567"/>
          <w:jc w:val="center"/>
        </w:trPr>
        <w:tc>
          <w:tcPr>
            <w:tcW w:w="6946" w:type="dxa"/>
            <w:vMerge/>
            <w:tcBorders>
              <w:right w:val="single" w:sz="4" w:space="0" w:color="auto"/>
            </w:tcBorders>
          </w:tcPr>
          <w:p w14:paraId="39E5E4C1" w14:textId="77777777" w:rsidR="000A03B2" w:rsidRPr="00697D65"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697D65" w:rsidRDefault="000A03B2" w:rsidP="00CD5FE2">
            <w:pPr>
              <w:spacing w:line="140" w:lineRule="atLeast"/>
              <w:jc w:val="right"/>
              <w:rPr>
                <w:rFonts w:cs="Arial"/>
                <w:sz w:val="14"/>
                <w:szCs w:val="14"/>
              </w:rPr>
            </w:pPr>
            <w:r w:rsidRPr="00697D65">
              <w:rPr>
                <w:rFonts w:cs="Arial"/>
                <w:sz w:val="14"/>
                <w:szCs w:val="14"/>
              </w:rPr>
              <w:t>The Italian Association</w:t>
            </w:r>
          </w:p>
          <w:p w14:paraId="7522B1D2" w14:textId="77777777" w:rsidR="000A03B2" w:rsidRPr="00697D65" w:rsidRDefault="000A03B2" w:rsidP="00CD5FE2">
            <w:pPr>
              <w:spacing w:line="140" w:lineRule="atLeast"/>
              <w:jc w:val="right"/>
              <w:rPr>
                <w:rFonts w:cs="Arial"/>
                <w:sz w:val="14"/>
                <w:szCs w:val="14"/>
              </w:rPr>
            </w:pPr>
            <w:r w:rsidRPr="00697D65">
              <w:rPr>
                <w:rFonts w:cs="Arial"/>
                <w:sz w:val="14"/>
                <w:szCs w:val="14"/>
              </w:rPr>
              <w:t>of Chemical Engineering</w:t>
            </w:r>
          </w:p>
          <w:p w14:paraId="4F0CC5DE" w14:textId="47FDB2FC" w:rsidR="000A03B2" w:rsidRPr="00697D65" w:rsidRDefault="000D0268" w:rsidP="00CD5FE2">
            <w:pPr>
              <w:spacing w:line="140" w:lineRule="atLeast"/>
              <w:jc w:val="right"/>
              <w:rPr>
                <w:rFonts w:cs="Arial"/>
                <w:sz w:val="13"/>
                <w:szCs w:val="13"/>
              </w:rPr>
            </w:pPr>
            <w:r w:rsidRPr="00697D65">
              <w:rPr>
                <w:rFonts w:cs="Arial"/>
                <w:sz w:val="13"/>
                <w:szCs w:val="13"/>
              </w:rPr>
              <w:t>Online at www.cetjournal.it</w:t>
            </w:r>
          </w:p>
        </w:tc>
      </w:tr>
      <w:tr w:rsidR="000A03B2" w:rsidRPr="00697D65" w14:paraId="2D1B7169" w14:textId="77777777" w:rsidTr="00DE264A">
        <w:trPr>
          <w:trHeight w:val="68"/>
          <w:jc w:val="center"/>
        </w:trPr>
        <w:tc>
          <w:tcPr>
            <w:tcW w:w="8789" w:type="dxa"/>
            <w:gridSpan w:val="2"/>
          </w:tcPr>
          <w:p w14:paraId="1D8DD3C9" w14:textId="025D7B18" w:rsidR="00AA7D26" w:rsidRPr="00697D65" w:rsidRDefault="00AA7D26" w:rsidP="007D610D">
            <w:pPr>
              <w:ind w:left="-107"/>
              <w:outlineLvl w:val="2"/>
              <w:rPr>
                <w:rFonts w:ascii="Tahoma" w:hAnsi="Tahoma" w:cs="Tahoma"/>
                <w:color w:val="000000"/>
                <w:sz w:val="14"/>
                <w:szCs w:val="14"/>
                <w:shd w:val="clear" w:color="auto" w:fill="FFFFFF"/>
              </w:rPr>
            </w:pPr>
            <w:r w:rsidRPr="00697D65">
              <w:rPr>
                <w:rFonts w:ascii="Tahoma" w:hAnsi="Tahoma" w:cs="Tahoma"/>
                <w:iCs/>
                <w:color w:val="333333"/>
                <w:sz w:val="14"/>
                <w:szCs w:val="14"/>
                <w:lang w:eastAsia="it-IT"/>
              </w:rPr>
              <w:t>Guest Editors:</w:t>
            </w:r>
            <w:r w:rsidR="007D610D" w:rsidRPr="00697D65">
              <w:rPr>
                <w:rFonts w:ascii="Aptos" w:eastAsiaTheme="minorHAnsi" w:hAnsi="Aptos" w:cs="Aptos"/>
                <w:sz w:val="22"/>
                <w:szCs w:val="22"/>
                <w14:ligatures w14:val="standardContextual"/>
              </w:rPr>
              <w:t xml:space="preserve"> </w:t>
            </w:r>
            <w:r w:rsidR="007D610D" w:rsidRPr="00697D65">
              <w:rPr>
                <w:rFonts w:ascii="Tahoma" w:hAnsi="Tahoma" w:cs="Tahoma"/>
                <w:color w:val="000000"/>
                <w:sz w:val="14"/>
                <w:szCs w:val="14"/>
                <w:shd w:val="clear" w:color="auto" w:fill="FFFFFF"/>
              </w:rPr>
              <w:t xml:space="preserve">Fabrizio Bezzo, </w:t>
            </w:r>
            <w:r w:rsidR="001D3D32" w:rsidRPr="00697D65">
              <w:rPr>
                <w:rFonts w:ascii="Tahoma" w:hAnsi="Tahoma" w:cs="Tahoma"/>
                <w:color w:val="000000"/>
                <w:sz w:val="14"/>
                <w:szCs w:val="14"/>
                <w:shd w:val="clear" w:color="auto" w:fill="FFFFFF"/>
              </w:rPr>
              <w:t>Flavio Manenti</w:t>
            </w:r>
            <w:r w:rsidR="00304CE8" w:rsidRPr="00697D65">
              <w:rPr>
                <w:rFonts w:ascii="Tahoma" w:hAnsi="Tahoma" w:cs="Tahoma"/>
                <w:color w:val="000000"/>
                <w:sz w:val="14"/>
                <w:szCs w:val="14"/>
                <w:shd w:val="clear" w:color="auto" w:fill="FFFFFF"/>
              </w:rPr>
              <w:t>,</w:t>
            </w:r>
            <w:r w:rsidR="001D3D32" w:rsidRPr="00697D65">
              <w:rPr>
                <w:rFonts w:ascii="Tahoma" w:hAnsi="Tahoma" w:cs="Tahoma"/>
                <w:color w:val="000000"/>
                <w:sz w:val="14"/>
                <w:szCs w:val="14"/>
                <w:shd w:val="clear" w:color="auto" w:fill="FFFFFF"/>
              </w:rPr>
              <w:t xml:space="preserve"> </w:t>
            </w:r>
            <w:r w:rsidR="007D610D" w:rsidRPr="00697D65">
              <w:rPr>
                <w:rFonts w:ascii="Tahoma" w:hAnsi="Tahoma" w:cs="Tahoma"/>
                <w:color w:val="000000"/>
                <w:sz w:val="14"/>
                <w:szCs w:val="14"/>
                <w:shd w:val="clear" w:color="auto" w:fill="FFFFFF"/>
              </w:rPr>
              <w:t>Gabriele Pannocchia, Almerinda di Benedetto</w:t>
            </w:r>
          </w:p>
          <w:p w14:paraId="1B0F1814" w14:textId="7C54DC3A" w:rsidR="000A03B2" w:rsidRPr="00697D65" w:rsidRDefault="00AA7D26" w:rsidP="00AA7D26">
            <w:pPr>
              <w:tabs>
                <w:tab w:val="left" w:pos="-108"/>
              </w:tabs>
              <w:spacing w:line="140" w:lineRule="atLeast"/>
              <w:ind w:left="-107"/>
              <w:jc w:val="left"/>
            </w:pPr>
            <w:r w:rsidRPr="00697D65">
              <w:rPr>
                <w:rFonts w:ascii="Tahoma" w:hAnsi="Tahoma" w:cs="Tahoma"/>
                <w:iCs/>
                <w:color w:val="333333"/>
                <w:sz w:val="14"/>
                <w:szCs w:val="14"/>
                <w:lang w:eastAsia="it-IT"/>
              </w:rPr>
              <w:t>Copyright © 202</w:t>
            </w:r>
            <w:r w:rsidR="00994C6A" w:rsidRPr="00697D65">
              <w:rPr>
                <w:rFonts w:ascii="Tahoma" w:hAnsi="Tahoma" w:cs="Tahoma"/>
                <w:iCs/>
                <w:color w:val="333333"/>
                <w:sz w:val="14"/>
                <w:szCs w:val="14"/>
                <w:lang w:eastAsia="it-IT"/>
              </w:rPr>
              <w:t>5</w:t>
            </w:r>
            <w:r w:rsidRPr="00697D65">
              <w:rPr>
                <w:rFonts w:ascii="Tahoma" w:hAnsi="Tahoma" w:cs="Tahoma"/>
                <w:iCs/>
                <w:color w:val="333333"/>
                <w:sz w:val="14"/>
                <w:szCs w:val="14"/>
                <w:lang w:eastAsia="it-IT"/>
              </w:rPr>
              <w:t>, AIDIC Servizi S.r.l.</w:t>
            </w:r>
            <w:r w:rsidRPr="00697D65">
              <w:rPr>
                <w:rFonts w:ascii="Tahoma" w:hAnsi="Tahoma" w:cs="Tahoma"/>
                <w:iCs/>
                <w:color w:val="333333"/>
                <w:sz w:val="14"/>
                <w:szCs w:val="14"/>
                <w:lang w:eastAsia="it-IT"/>
              </w:rPr>
              <w:br/>
            </w:r>
            <w:r w:rsidRPr="00697D65">
              <w:rPr>
                <w:rFonts w:ascii="Tahoma" w:hAnsi="Tahoma" w:cs="Tahoma"/>
                <w:b/>
                <w:iCs/>
                <w:color w:val="000000"/>
                <w:sz w:val="14"/>
                <w:szCs w:val="14"/>
                <w:lang w:eastAsia="it-IT"/>
              </w:rPr>
              <w:t>ISBN</w:t>
            </w:r>
            <w:r w:rsidRPr="00697D65">
              <w:rPr>
                <w:rFonts w:ascii="Tahoma" w:hAnsi="Tahoma" w:cs="Tahoma"/>
                <w:iCs/>
                <w:color w:val="000000"/>
                <w:sz w:val="14"/>
                <w:szCs w:val="14"/>
                <w:lang w:eastAsia="it-IT"/>
              </w:rPr>
              <w:t xml:space="preserve"> </w:t>
            </w:r>
            <w:r w:rsidR="003B49CD" w:rsidRPr="00697D65">
              <w:rPr>
                <w:rFonts w:ascii="Tahoma" w:hAnsi="Tahoma" w:cs="Tahoma"/>
                <w:sz w:val="14"/>
                <w:szCs w:val="14"/>
              </w:rPr>
              <w:t>979-12-81206-1</w:t>
            </w:r>
            <w:r w:rsidR="00994C6A" w:rsidRPr="00697D65">
              <w:rPr>
                <w:rFonts w:ascii="Tahoma" w:hAnsi="Tahoma" w:cs="Tahoma"/>
                <w:sz w:val="14"/>
                <w:szCs w:val="14"/>
              </w:rPr>
              <w:t>7</w:t>
            </w:r>
            <w:r w:rsidR="003B49CD" w:rsidRPr="00697D65">
              <w:rPr>
                <w:rFonts w:ascii="Tahoma" w:hAnsi="Tahoma" w:cs="Tahoma"/>
                <w:sz w:val="14"/>
                <w:szCs w:val="14"/>
              </w:rPr>
              <w:t>-</w:t>
            </w:r>
            <w:r w:rsidR="00994C6A" w:rsidRPr="00697D65">
              <w:rPr>
                <w:rFonts w:ascii="Tahoma" w:hAnsi="Tahoma" w:cs="Tahoma"/>
                <w:sz w:val="14"/>
                <w:szCs w:val="14"/>
              </w:rPr>
              <w:t>5</w:t>
            </w:r>
            <w:r w:rsidRPr="00697D65">
              <w:rPr>
                <w:rFonts w:ascii="Tahoma" w:hAnsi="Tahoma" w:cs="Tahoma"/>
                <w:iCs/>
                <w:color w:val="333333"/>
                <w:sz w:val="14"/>
                <w:szCs w:val="14"/>
                <w:lang w:eastAsia="it-IT"/>
              </w:rPr>
              <w:t xml:space="preserve">; </w:t>
            </w:r>
            <w:r w:rsidRPr="00697D65">
              <w:rPr>
                <w:rFonts w:ascii="Tahoma" w:hAnsi="Tahoma" w:cs="Tahoma"/>
                <w:b/>
                <w:iCs/>
                <w:color w:val="333333"/>
                <w:sz w:val="14"/>
                <w:szCs w:val="14"/>
                <w:lang w:eastAsia="it-IT"/>
              </w:rPr>
              <w:t>ISSN</w:t>
            </w:r>
            <w:r w:rsidRPr="00697D65">
              <w:rPr>
                <w:rFonts w:ascii="Tahoma" w:hAnsi="Tahoma" w:cs="Tahoma"/>
                <w:iCs/>
                <w:color w:val="333333"/>
                <w:sz w:val="14"/>
                <w:szCs w:val="14"/>
                <w:lang w:eastAsia="it-IT"/>
              </w:rPr>
              <w:t xml:space="preserve"> 2283-9216</w:t>
            </w:r>
          </w:p>
        </w:tc>
      </w:tr>
    </w:tbl>
    <w:bookmarkEnd w:id="0"/>
    <w:p w14:paraId="2E667253" w14:textId="5A437383" w:rsidR="00E978D0" w:rsidRPr="00697D65" w:rsidRDefault="00500A64" w:rsidP="00E978D0">
      <w:pPr>
        <w:pStyle w:val="CETTitle"/>
      </w:pPr>
      <w:r w:rsidRPr="00697D65">
        <w:t>A Multi-Objective Optimization Model for Integrating Renewable Energy in Distribution System Expansion: A Case Study of Pamplona, Colombia</w:t>
      </w:r>
    </w:p>
    <w:p w14:paraId="0488FED2" w14:textId="7D2A12A3" w:rsidR="00B57E6F" w:rsidRPr="007019C3" w:rsidRDefault="00274370" w:rsidP="00B57E6F">
      <w:pPr>
        <w:pStyle w:val="CETAuthors"/>
        <w:rPr>
          <w:lang w:val="es-CO"/>
        </w:rPr>
      </w:pPr>
      <w:r w:rsidRPr="007019C3">
        <w:rPr>
          <w:lang w:val="es-CO"/>
        </w:rPr>
        <w:t>Nicolas Cabrera</w:t>
      </w:r>
      <w:r w:rsidR="00B57E6F" w:rsidRPr="007019C3">
        <w:rPr>
          <w:vertAlign w:val="superscript"/>
          <w:lang w:val="es-CO"/>
        </w:rPr>
        <w:t>a</w:t>
      </w:r>
      <w:r w:rsidR="00B57E6F" w:rsidRPr="007019C3">
        <w:rPr>
          <w:lang w:val="es-CO"/>
        </w:rPr>
        <w:t xml:space="preserve">, </w:t>
      </w:r>
      <w:r w:rsidR="00390E9C" w:rsidRPr="007019C3">
        <w:rPr>
          <w:lang w:val="es-CO"/>
        </w:rPr>
        <w:t>Ana</w:t>
      </w:r>
      <w:r w:rsidR="00B57E6F" w:rsidRPr="007019C3">
        <w:rPr>
          <w:lang w:val="es-CO"/>
        </w:rPr>
        <w:t xml:space="preserve"> </w:t>
      </w:r>
      <w:r w:rsidR="00390E9C" w:rsidRPr="007019C3">
        <w:rPr>
          <w:lang w:val="es-CO"/>
        </w:rPr>
        <w:t>M</w:t>
      </w:r>
      <w:r w:rsidR="00B57E6F" w:rsidRPr="007019C3">
        <w:rPr>
          <w:lang w:val="es-CO"/>
        </w:rPr>
        <w:t xml:space="preserve">. </w:t>
      </w:r>
      <w:r w:rsidR="00390E9C" w:rsidRPr="007019C3">
        <w:rPr>
          <w:lang w:val="es-CO"/>
        </w:rPr>
        <w:t>Rosso-Cerón</w:t>
      </w:r>
      <w:r w:rsidR="00B57E6F" w:rsidRPr="007019C3">
        <w:rPr>
          <w:vertAlign w:val="superscript"/>
          <w:lang w:val="es-CO"/>
        </w:rPr>
        <w:t>b,</w:t>
      </w:r>
      <w:r w:rsidR="00B57E6F" w:rsidRPr="007019C3">
        <w:rPr>
          <w:lang w:val="es-CO"/>
        </w:rPr>
        <w:t xml:space="preserve">*, </w:t>
      </w:r>
      <w:r w:rsidR="00E91F30" w:rsidRPr="007019C3">
        <w:rPr>
          <w:lang w:val="es-CO"/>
        </w:rPr>
        <w:t>Andrés F. León-Esteban</w:t>
      </w:r>
      <w:r w:rsidR="00E91F30" w:rsidRPr="007019C3">
        <w:rPr>
          <w:vertAlign w:val="superscript"/>
          <w:lang w:val="es-CO"/>
        </w:rPr>
        <w:t>a</w:t>
      </w:r>
      <w:r w:rsidR="00E91F30" w:rsidRPr="007019C3">
        <w:rPr>
          <w:lang w:val="es-CO"/>
        </w:rPr>
        <w:t>, Viatcheslav Kafarov</w:t>
      </w:r>
      <w:r w:rsidR="00E91F30" w:rsidRPr="007019C3">
        <w:rPr>
          <w:vertAlign w:val="superscript"/>
          <w:lang w:val="es-CO"/>
        </w:rPr>
        <w:t>a</w:t>
      </w:r>
    </w:p>
    <w:p w14:paraId="6B2D21B3" w14:textId="532A2A98" w:rsidR="00B57E6F" w:rsidRPr="007019C3" w:rsidRDefault="00B57E6F" w:rsidP="00B57E6F">
      <w:pPr>
        <w:pStyle w:val="CETAddress"/>
        <w:rPr>
          <w:lang w:val="es-CO"/>
        </w:rPr>
      </w:pPr>
      <w:r w:rsidRPr="007019C3">
        <w:rPr>
          <w:vertAlign w:val="superscript"/>
          <w:lang w:val="es-CO"/>
        </w:rPr>
        <w:t>a</w:t>
      </w:r>
      <w:r w:rsidR="006675DA" w:rsidRPr="007019C3">
        <w:rPr>
          <w:lang w:val="es-CO"/>
        </w:rPr>
        <w:t>Department of Chemical Engineering, Carrera 27 Calle 9, Universidad Industrial de Santander, Bucaramanga, Colombia</w:t>
      </w:r>
    </w:p>
    <w:p w14:paraId="3D72B0B0" w14:textId="0BEEBFCA" w:rsidR="00B57E6F" w:rsidRPr="007019C3" w:rsidRDefault="00B57E6F" w:rsidP="00B57E6F">
      <w:pPr>
        <w:pStyle w:val="CETAddress"/>
        <w:rPr>
          <w:lang w:val="es-CO"/>
        </w:rPr>
      </w:pPr>
      <w:r w:rsidRPr="007019C3">
        <w:rPr>
          <w:vertAlign w:val="superscript"/>
          <w:lang w:val="es-CO"/>
        </w:rPr>
        <w:t>b</w:t>
      </w:r>
      <w:r w:rsidR="006675DA" w:rsidRPr="007019C3">
        <w:rPr>
          <w:lang w:val="es-CO"/>
        </w:rPr>
        <w:t>Department of Chemical Engineering, Cl. 5 No. 3-93, Kilometro 1 Vía Bucaramanga, Universidad de Pamplona, Pamplona, Norte de Santander, Colombia</w:t>
      </w:r>
      <w:r w:rsidRPr="007019C3">
        <w:rPr>
          <w:lang w:val="es-CO"/>
        </w:rPr>
        <w:t xml:space="preserve"> </w:t>
      </w:r>
    </w:p>
    <w:p w14:paraId="73F1267A" w14:textId="4E84AF97" w:rsidR="00B57E6F" w:rsidRPr="00697D65" w:rsidRDefault="00B57E6F" w:rsidP="00B57E6F">
      <w:pPr>
        <w:pStyle w:val="CETemail"/>
      </w:pPr>
      <w:r w:rsidRPr="007019C3">
        <w:rPr>
          <w:lang w:val="es-CO"/>
        </w:rPr>
        <w:t xml:space="preserve"> </w:t>
      </w:r>
      <w:r w:rsidR="002263D4" w:rsidRPr="00697D65">
        <w:t>ana.rosso@unipamplona.edu.co</w:t>
      </w:r>
    </w:p>
    <w:p w14:paraId="7C4B8DC6" w14:textId="6519D7D0" w:rsidR="00DE71B2" w:rsidRPr="00697D65" w:rsidRDefault="00E1295D" w:rsidP="00E1295D">
      <w:pPr>
        <w:pStyle w:val="CETBodytext"/>
        <w:rPr>
          <w:lang w:val="en-GB"/>
        </w:rPr>
      </w:pPr>
      <w:r w:rsidRPr="00697D65">
        <w:rPr>
          <w:lang w:val="en-GB"/>
        </w:rPr>
        <w:t>This study presents a comprehensive multi-objective optimisation model for expanding the electrical distribution system of Pamplona, Colombia, a municipality located within the Santurbán páramo. The objective of the optimisation model is to integrate renewable energy resources available in the region, such as solar, wind, and biomass, into the local power grid. Additionally, due to the intermittent nature of renewable energy sources and to ensure a continuous electricity supply, diesel power plants are considered as backup.</w:t>
      </w:r>
      <w:r w:rsidR="00A3120E" w:rsidRPr="00697D65">
        <w:rPr>
          <w:lang w:val="en-GB"/>
        </w:rPr>
        <w:t xml:space="preserve"> </w:t>
      </w:r>
      <w:r w:rsidRPr="00697D65">
        <w:rPr>
          <w:lang w:val="en-GB"/>
        </w:rPr>
        <w:t>The proposed optimisation model is a Mixed-Integer Multi-Objective Linear Programming (MOMILP) approach that minimises the total system cost (net present value) and CO</w:t>
      </w:r>
      <w:r w:rsidRPr="00697D65">
        <w:rPr>
          <w:rFonts w:ascii="Cambria Math" w:hAnsi="Cambria Math" w:cs="Cambria Math"/>
          <w:lang w:val="en-GB"/>
        </w:rPr>
        <w:t>₂</w:t>
      </w:r>
      <w:r w:rsidRPr="00697D65">
        <w:rPr>
          <w:lang w:val="en-GB"/>
        </w:rPr>
        <w:t xml:space="preserve"> emissions while accounting for design, operational, and budgetary constraints. Furthermore, the model explores the potential for surplus electricity sales to foster the development of energy communities.</w:t>
      </w:r>
      <w:r w:rsidR="00DE4667" w:rsidRPr="00697D65">
        <w:rPr>
          <w:lang w:val="en-GB"/>
        </w:rPr>
        <w:t xml:space="preserve"> </w:t>
      </w:r>
      <w:r w:rsidRPr="00697D65">
        <w:rPr>
          <w:lang w:val="en-GB"/>
        </w:rPr>
        <w:t>The MOMILP promotes the deployment of photovoltaic panels and biomass gasifiers, while including diesel power plants as backup technologies. The Pareto front alternatives indicate that electricity demand can be met exclusively with biomass gasifiers and diesel plants, albeit at the cost of generating the highest CO</w:t>
      </w:r>
      <w:r w:rsidRPr="00697D65">
        <w:rPr>
          <w:rFonts w:ascii="Cambria Math" w:hAnsi="Cambria Math" w:cs="Cambria Math"/>
          <w:lang w:val="en-GB"/>
        </w:rPr>
        <w:t>₂</w:t>
      </w:r>
      <w:r w:rsidRPr="00697D65">
        <w:rPr>
          <w:lang w:val="en-GB"/>
        </w:rPr>
        <w:t xml:space="preserve"> emissions. Conversely, to minimise CO</w:t>
      </w:r>
      <w:r w:rsidRPr="00697D65">
        <w:rPr>
          <w:rFonts w:ascii="Cambria Math" w:hAnsi="Cambria Math" w:cs="Cambria Math"/>
          <w:lang w:val="en-GB"/>
        </w:rPr>
        <w:t>₂</w:t>
      </w:r>
      <w:r w:rsidRPr="00697D65">
        <w:rPr>
          <w:lang w:val="en-GB"/>
        </w:rPr>
        <w:t xml:space="preserve"> emissions, electricity generation relies predominantly on photovoltaic panels, supported by biomass gasifiers, diesel plants, and wind turbines.</w:t>
      </w:r>
      <w:r w:rsidR="00DE4667" w:rsidRPr="00697D65">
        <w:rPr>
          <w:lang w:val="en-GB"/>
        </w:rPr>
        <w:t xml:space="preserve"> </w:t>
      </w:r>
      <w:r w:rsidR="00DE71B2" w:rsidRPr="00697D65">
        <w:rPr>
          <w:lang w:val="en-GB"/>
        </w:rPr>
        <w:t>The proposed methodology can be applied to a wide range of new projects implementing integrated renewable energy systems for the expansion of existing power grids.</w:t>
      </w:r>
    </w:p>
    <w:p w14:paraId="476B2F2E" w14:textId="52B36035" w:rsidR="00600535" w:rsidRPr="00697D65" w:rsidRDefault="00600535" w:rsidP="001D382A">
      <w:pPr>
        <w:pStyle w:val="CETHeading1"/>
        <w:spacing w:before="120"/>
        <w:rPr>
          <w:lang w:val="en-GB"/>
        </w:rPr>
      </w:pPr>
      <w:r w:rsidRPr="00697D65">
        <w:rPr>
          <w:lang w:val="en-GB"/>
        </w:rPr>
        <w:t>Introduction</w:t>
      </w:r>
    </w:p>
    <w:p w14:paraId="7D50D645" w14:textId="11B759A4" w:rsidR="00895699" w:rsidRPr="00697D65" w:rsidRDefault="00E1295D" w:rsidP="00E1295D">
      <w:pPr>
        <w:pStyle w:val="CETBodytext"/>
        <w:rPr>
          <w:color w:val="FF0000"/>
          <w:lang w:val="en-GB"/>
        </w:rPr>
      </w:pPr>
      <w:r w:rsidRPr="00697D65">
        <w:rPr>
          <w:lang w:val="en-GB"/>
        </w:rPr>
        <w:t>Climate change mitigation through the reduction of greenhouse gas emissions has been one of the primary challenges outlined in the Sustainable Development Goals (United Nations). The energy sector is one of the largest contributors to climate change, accounting for approximately 75% of greenhouse gas emissions due to the use of fossil fuels to meet energy demands (International Energy Agency, 2023).</w:t>
      </w:r>
      <w:r w:rsidR="00AC474D" w:rsidRPr="00697D65">
        <w:rPr>
          <w:lang w:val="en-GB"/>
        </w:rPr>
        <w:t xml:space="preserve"> </w:t>
      </w:r>
      <w:r w:rsidRPr="00697D65">
        <w:rPr>
          <w:lang w:val="en-GB"/>
        </w:rPr>
        <w:t>One method to reduce CO</w:t>
      </w:r>
      <w:r w:rsidRPr="00697D65">
        <w:rPr>
          <w:rFonts w:ascii="Cambria Math" w:hAnsi="Cambria Math" w:cs="Cambria Math"/>
          <w:lang w:val="en-GB"/>
        </w:rPr>
        <w:t>₂</w:t>
      </w:r>
      <w:r w:rsidRPr="00697D65">
        <w:rPr>
          <w:lang w:val="en-GB"/>
        </w:rPr>
        <w:t xml:space="preserve"> emissions while meeting energy demand is the integration of renewable technologies into energy distribution systems. However, these technologies have the disadvantage of intermittent availability, as their performance is highly dependent on climatic variations (Karmellos and Mavrotas, 2020)</w:t>
      </w:r>
      <w:r w:rsidR="00DD4367" w:rsidRPr="00697D65">
        <w:rPr>
          <w:lang w:val="en-GB"/>
        </w:rPr>
        <w:t xml:space="preserve">. </w:t>
      </w:r>
      <w:commentRangeStart w:id="1"/>
      <w:r w:rsidR="00AA69D1" w:rsidRPr="00697D65">
        <w:rPr>
          <w:lang w:val="en-GB"/>
        </w:rPr>
        <w:t>This means that implementing a single technology is not technically feasible because it compromises the continuous supply of energy or requires oversized and expensive equipment, which would also make it economically unfeasible.</w:t>
      </w:r>
      <w:r w:rsidR="00AC6E22" w:rsidRPr="00697D65">
        <w:rPr>
          <w:lang w:val="en-GB"/>
        </w:rPr>
        <w:t xml:space="preserve"> </w:t>
      </w:r>
      <w:r w:rsidR="000138BB" w:rsidRPr="00697D65">
        <w:rPr>
          <w:lang w:val="en-GB"/>
        </w:rPr>
        <w:t xml:space="preserve">Therefore, to overcome this disadvantage, it is necessary to design a hybrid renewable energy system (HRES) that integrates various renewable energies together with conventional technologies as backup, guaranteeing a continuous and reliable energy supply, as well as contributing to reduce CO2 emissions </w:t>
      </w:r>
      <w:commentRangeEnd w:id="1"/>
      <w:r w:rsidR="00841AA0" w:rsidRPr="00697D65">
        <w:rPr>
          <w:rStyle w:val="Refdecomentario"/>
          <w:lang w:val="en-GB"/>
        </w:rPr>
        <w:commentReference w:id="1"/>
      </w:r>
      <w:r w:rsidRPr="00697D65">
        <w:rPr>
          <w:lang w:val="en-GB"/>
        </w:rPr>
        <w:t>(Oyewole O. et al., 2024).</w:t>
      </w:r>
      <w:r w:rsidR="004B7D7B" w:rsidRPr="00697D65">
        <w:rPr>
          <w:lang w:val="en-GB"/>
        </w:rPr>
        <w:t xml:space="preserve"> </w:t>
      </w:r>
      <w:r w:rsidRPr="00697D65">
        <w:rPr>
          <w:lang w:val="en-GB"/>
        </w:rPr>
        <w:t xml:space="preserve">Colombia has been a leading country in the integration of renewable technologies into its energy distribution system, supplying approximately 70% of its national electricity demand through hydropower plants. However, this heavy reliance on hydropower poses a risk, as water resources are subject to climatic variability (Pupo-Roncallo et al., 2019). Consequently, Law 1715 of 2014 was enacted in Colombia to regulate the integration of renewable energy sources into the National Interconnected System (SIN). Additionally, the Mining </w:t>
      </w:r>
      <w:r w:rsidRPr="00697D65">
        <w:rPr>
          <w:lang w:val="en-GB"/>
        </w:rPr>
        <w:lastRenderedPageBreak/>
        <w:t>and Energy Planning Unit (UPME) and the Institute for Planning and Promotion of Energy Solutions (IPSE) have developed indicative plans to expand electricity coverage through the installation of renewable technologies (Congress of Colombia, 2014).</w:t>
      </w:r>
      <w:r w:rsidR="002224A5" w:rsidRPr="00697D65">
        <w:rPr>
          <w:lang w:val="en-GB"/>
        </w:rPr>
        <w:t xml:space="preserve"> </w:t>
      </w:r>
      <w:r w:rsidR="002224A5" w:rsidRPr="00697D65">
        <w:rPr>
          <w:color w:val="000000" w:themeColor="text1"/>
          <w:lang w:val="en-GB"/>
        </w:rPr>
        <w:t>Among the indicative plans proposed by the UPME, the development of energy communities, defined as agents of change for sustainable development and that contribute to the strengthening of communities and the generation of new sources of income</w:t>
      </w:r>
      <w:r w:rsidR="00C82567" w:rsidRPr="00697D65">
        <w:rPr>
          <w:color w:val="000000" w:themeColor="text1"/>
          <w:lang w:val="en-GB"/>
        </w:rPr>
        <w:t>, stands out</w:t>
      </w:r>
      <w:r w:rsidR="002224A5" w:rsidRPr="00697D65">
        <w:rPr>
          <w:color w:val="000000" w:themeColor="text1"/>
          <w:lang w:val="en-GB"/>
        </w:rPr>
        <w:t xml:space="preserve"> </w:t>
      </w:r>
      <w:r w:rsidR="00566FED" w:rsidRPr="00697D65">
        <w:rPr>
          <w:color w:val="000000" w:themeColor="text1"/>
          <w:lang w:val="en-GB"/>
        </w:rPr>
        <w:t>(</w:t>
      </w:r>
      <w:r w:rsidR="00B32876" w:rsidRPr="00697D65">
        <w:rPr>
          <w:color w:val="000000" w:themeColor="text1"/>
          <w:lang w:val="en-GB"/>
        </w:rPr>
        <w:t>UPME, 2024)</w:t>
      </w:r>
      <w:r w:rsidR="00C82567" w:rsidRPr="00697D65">
        <w:rPr>
          <w:color w:val="000000" w:themeColor="text1"/>
          <w:lang w:val="en-GB"/>
        </w:rPr>
        <w:t>.</w:t>
      </w:r>
    </w:p>
    <w:p w14:paraId="2988CFA8" w14:textId="7088472F" w:rsidR="00E1295D" w:rsidRPr="00697D65" w:rsidRDefault="00E1295D" w:rsidP="00E1295D">
      <w:pPr>
        <w:pStyle w:val="CETBodytext"/>
        <w:rPr>
          <w:lang w:val="en-GB"/>
        </w:rPr>
      </w:pPr>
      <w:r w:rsidRPr="00697D65">
        <w:rPr>
          <w:lang w:val="en-GB"/>
        </w:rPr>
        <w:t>The design and integration of an HRES into the SIN represent a complex task due to the multiple factors that must be considered, such as costs, available resources, energy demands, and efficiencies. The most used method for designing an HRES is the Mixed-Integer Linear Programming (MILP) model (Nozarian et al., 2023). Alhashedi et al. (2023) proposed a MILP optimisation model to integrate renewable energy into the power grids of Dhahran, Saudi Arabia, and Austin, USA. The model minimises costs while incorporating real-world data on load and region-specific costs. Similarly, Lu et al. (2021) examined the maximisation of monetary benefits by integrating photovoltaic, wind, and hydropower plants into the energy distribution system of a region in southwest China. Karmellos and Mavrotas (2019) developed a MILP model to design energy distribution systems that minimise total annual costs and CO</w:t>
      </w:r>
      <w:r w:rsidRPr="00697D65">
        <w:rPr>
          <w:rFonts w:ascii="Cambria Math" w:hAnsi="Cambria Math" w:cs="Cambria Math"/>
          <w:lang w:val="en-GB"/>
        </w:rPr>
        <w:t>₂</w:t>
      </w:r>
      <w:r w:rsidRPr="00697D65">
        <w:rPr>
          <w:lang w:val="en-GB"/>
        </w:rPr>
        <w:t xml:space="preserve"> emissions. They also compared results based on whether plant capacities were treated as decision variables or fixed parameters.</w:t>
      </w:r>
      <w:r w:rsidR="008D399C" w:rsidRPr="00697D65">
        <w:rPr>
          <w:lang w:val="en-GB"/>
        </w:rPr>
        <w:t xml:space="preserve"> </w:t>
      </w:r>
      <w:r w:rsidRPr="00697D65">
        <w:rPr>
          <w:lang w:val="en-GB"/>
        </w:rPr>
        <w:t>The literature reveals that optimisation models have included a variety of technologies and constraints, differing in robustness and complexity. However, these models typically treat plant capacities as constant parameters rather than decision variables. Additionally, due to high computational demands, robust models are often avoided.</w:t>
      </w:r>
    </w:p>
    <w:p w14:paraId="273CFF60" w14:textId="319D37D8" w:rsidR="008F27E2" w:rsidRPr="00697D65" w:rsidRDefault="00E1295D" w:rsidP="00E1295D">
      <w:pPr>
        <w:pStyle w:val="CETBodytext"/>
        <w:rPr>
          <w:lang w:val="en-GB"/>
        </w:rPr>
      </w:pPr>
      <w:r w:rsidRPr="00697D65">
        <w:rPr>
          <w:lang w:val="en-GB"/>
        </w:rPr>
        <w:t xml:space="preserve">Considering the above, this study proposes a robust MILP optimisation model with a 16-year planning horizon to integrate renewable technologies such as photovoltaics, wind, and biomass into the SIN to </w:t>
      </w:r>
      <w:commentRangeStart w:id="2"/>
      <w:r w:rsidR="00B44FA0" w:rsidRPr="00697D65">
        <w:rPr>
          <w:lang w:val="en-GB"/>
        </w:rPr>
        <w:t xml:space="preserve">design for the first </w:t>
      </w:r>
      <w:commentRangeEnd w:id="2"/>
      <w:r w:rsidR="00140E43" w:rsidRPr="00697D65">
        <w:rPr>
          <w:rStyle w:val="Refdecomentario"/>
          <w:lang w:val="en-GB"/>
        </w:rPr>
        <w:commentReference w:id="2"/>
      </w:r>
      <w:r w:rsidR="00B44FA0" w:rsidRPr="00697D65">
        <w:rPr>
          <w:lang w:val="en-GB"/>
        </w:rPr>
        <w:t xml:space="preserve">time a renewable hybrid system that </w:t>
      </w:r>
      <w:r w:rsidRPr="00697D65">
        <w:rPr>
          <w:lang w:val="en-GB"/>
        </w:rPr>
        <w:t xml:space="preserve">meet the electricity demand </w:t>
      </w:r>
      <w:r w:rsidR="00B44FA0" w:rsidRPr="00697D65">
        <w:rPr>
          <w:lang w:val="en-GB"/>
        </w:rPr>
        <w:t>to the municipal</w:t>
      </w:r>
      <w:r w:rsidR="00A10C9B" w:rsidRPr="00697D65">
        <w:rPr>
          <w:lang w:val="en-GB"/>
        </w:rPr>
        <w:t>ity</w:t>
      </w:r>
      <w:r w:rsidR="000946C8" w:rsidRPr="00697D65">
        <w:rPr>
          <w:lang w:val="en-GB"/>
        </w:rPr>
        <w:t xml:space="preserve"> </w:t>
      </w:r>
      <w:r w:rsidRPr="00697D65">
        <w:rPr>
          <w:lang w:val="en-GB"/>
        </w:rPr>
        <w:t>of Pamplona, Colombia.</w:t>
      </w:r>
      <w:r w:rsidR="003B79EA" w:rsidRPr="00697D65">
        <w:rPr>
          <w:lang w:val="en-GB"/>
        </w:rPr>
        <w:t xml:space="preserve"> </w:t>
      </w:r>
      <w:r w:rsidRPr="00697D65">
        <w:rPr>
          <w:lang w:val="en-GB"/>
        </w:rPr>
        <w:t>Moreover, given the intermittent nature of renewable resources, diesel power plants are included to ensure a continuous electricity supply. The model minimises the objective functions of net present value and CO</w:t>
      </w:r>
      <w:r w:rsidRPr="00697D65">
        <w:rPr>
          <w:rFonts w:ascii="Cambria Math" w:hAnsi="Cambria Math" w:cs="Cambria Math"/>
          <w:lang w:val="en-GB"/>
        </w:rPr>
        <w:t>₂</w:t>
      </w:r>
      <w:r w:rsidRPr="00697D65">
        <w:rPr>
          <w:lang w:val="en-GB"/>
        </w:rPr>
        <w:t xml:space="preserve"> emissions while accounting for design, operational, and budgetary constraints, where plant capacities are treated as decision variables. Furthermore, the model incorporates surplus electricity sales to promote the development of energy communities</w:t>
      </w:r>
      <w:r w:rsidR="00B82C93" w:rsidRPr="00697D65">
        <w:rPr>
          <w:lang w:val="en-GB"/>
        </w:rPr>
        <w:t xml:space="preserve"> </w:t>
      </w:r>
      <w:r w:rsidR="00AD4FBC" w:rsidRPr="00697D65">
        <w:rPr>
          <w:color w:val="000000" w:themeColor="text1"/>
          <w:lang w:val="en-GB"/>
        </w:rPr>
        <w:t>considering the marginal energy limits as defined by Decree 1043 of 2024 of the Republic of Colombia</w:t>
      </w:r>
      <w:r w:rsidRPr="00697D65">
        <w:rPr>
          <w:color w:val="000000" w:themeColor="text1"/>
          <w:lang w:val="en-GB"/>
        </w:rPr>
        <w:t>.</w:t>
      </w:r>
    </w:p>
    <w:p w14:paraId="57F23844" w14:textId="03D9DA5C" w:rsidR="004E3C23" w:rsidRPr="00697D65" w:rsidRDefault="00E1295D" w:rsidP="001D382A">
      <w:pPr>
        <w:pStyle w:val="CETHeading1"/>
        <w:spacing w:before="120"/>
        <w:rPr>
          <w:lang w:val="en-GB"/>
        </w:rPr>
      </w:pPr>
      <w:r w:rsidRPr="00697D65">
        <w:rPr>
          <w:lang w:val="en-GB"/>
        </w:rPr>
        <w:t>Mathematical Formulation</w:t>
      </w:r>
    </w:p>
    <w:p w14:paraId="2C6F40C5" w14:textId="5319F9CB" w:rsidR="004E3C23" w:rsidRPr="00697D65" w:rsidRDefault="00E1295D" w:rsidP="004E3C23">
      <w:pPr>
        <w:pStyle w:val="CETBodytext"/>
        <w:rPr>
          <w:lang w:val="en-GB"/>
        </w:rPr>
      </w:pPr>
      <w:r w:rsidRPr="00697D65">
        <w:rPr>
          <w:lang w:val="en-GB"/>
        </w:rPr>
        <w:t>This section presents the MOMILP model, including the objective functions and the design, operational, and budgetary constraints.</w:t>
      </w:r>
    </w:p>
    <w:p w14:paraId="4E7C8B94" w14:textId="2E84FB06" w:rsidR="00B81943" w:rsidRPr="00697D65" w:rsidRDefault="004E3C23" w:rsidP="001D382A">
      <w:pPr>
        <w:pStyle w:val="CETBodytext"/>
        <w:spacing w:before="120" w:after="120"/>
        <w:rPr>
          <w:b/>
          <w:sz w:val="20"/>
          <w:lang w:val="en-GB"/>
        </w:rPr>
      </w:pPr>
      <w:r w:rsidRPr="00697D65">
        <w:rPr>
          <w:b/>
          <w:bCs/>
          <w:lang w:val="en-GB"/>
        </w:rPr>
        <w:t xml:space="preserve">2.1 </w:t>
      </w:r>
      <w:r w:rsidR="00E1295D" w:rsidRPr="00697D65">
        <w:rPr>
          <w:b/>
          <w:bCs/>
          <w:lang w:val="en-GB"/>
        </w:rPr>
        <w:t>Objective Functions</w:t>
      </w:r>
    </w:p>
    <w:p w14:paraId="1EC9CC33" w14:textId="24C0BE07" w:rsidR="004E3C23" w:rsidRPr="00697D65" w:rsidRDefault="00E1295D" w:rsidP="00736EE1">
      <w:pPr>
        <w:pStyle w:val="CETBodytext"/>
        <w:rPr>
          <w:lang w:val="en-GB"/>
        </w:rPr>
      </w:pPr>
      <w:r w:rsidRPr="00697D65">
        <w:rPr>
          <w:lang w:val="en-GB"/>
        </w:rPr>
        <w:t>The objective functions aim to minimize the Net Present Value (NPV) and CO</w:t>
      </w:r>
      <w:r w:rsidRPr="00697D65">
        <w:rPr>
          <w:rFonts w:ascii="Cambria Math" w:hAnsi="Cambria Math" w:cs="Cambria Math"/>
          <w:lang w:val="en-GB"/>
        </w:rPr>
        <w:t>₂</w:t>
      </w:r>
      <w:r w:rsidRPr="00697D65">
        <w:rPr>
          <w:lang w:val="en-GB"/>
        </w:rPr>
        <w:t xml:space="preserve"> emissions. The NPV comprises the summation of the total capital cost of each technology used, fixed and variable operation and maintenance costs, fossil fuel costs, and the revenue from electricity sold to the grid (Eq. (1)). CO</w:t>
      </w:r>
      <w:r w:rsidRPr="00697D65">
        <w:rPr>
          <w:rFonts w:ascii="Cambria Math" w:hAnsi="Cambria Math" w:cs="Cambria Math"/>
          <w:lang w:val="en-GB"/>
        </w:rPr>
        <w:t>₂</w:t>
      </w:r>
      <w:r w:rsidRPr="00697D65">
        <w:rPr>
          <w:lang w:val="en-GB"/>
        </w:rPr>
        <w:t xml:space="preserve"> emissions account for those generated by fuel-based technologies (biomass gasifiers and diesel plants) (Eq. (2)):</w:t>
      </w: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1"/>
        <w:gridCol w:w="436"/>
      </w:tblGrid>
      <w:tr w:rsidR="00513910" w:rsidRPr="00697D65" w14:paraId="514297C5" w14:textId="77777777" w:rsidTr="00B559B8">
        <w:trPr>
          <w:trHeight w:val="752"/>
        </w:trPr>
        <w:tc>
          <w:tcPr>
            <w:tcW w:w="4752" w:type="pct"/>
          </w:tcPr>
          <w:p w14:paraId="57E3894E" w14:textId="77777777" w:rsidR="00513910" w:rsidRPr="00697D65" w:rsidRDefault="00513910" w:rsidP="009479AE">
            <w:pPr>
              <w:rPr>
                <w:rFonts w:eastAsiaTheme="minorEastAsia" w:cs="Arial"/>
                <w:sz w:val="20"/>
              </w:rPr>
            </w:pPr>
            <m:oMath>
              <m:r>
                <m:rPr>
                  <m:nor/>
                </m:rPr>
                <w:rPr>
                  <w:rFonts w:cs="Arial"/>
                  <w:szCs w:val="18"/>
                </w:rPr>
                <m:t>NPV=</m:t>
              </m:r>
              <m:nary>
                <m:naryPr>
                  <m:chr m:val="∑"/>
                  <m:limLoc m:val="subSup"/>
                  <m:ctrlPr>
                    <w:rPr>
                      <w:rFonts w:ascii="Cambria Math" w:hAnsi="Cambria Math" w:cs="Arial"/>
                      <w:i/>
                      <w:szCs w:val="18"/>
                    </w:rPr>
                  </m:ctrlPr>
                </m:naryPr>
                <m:sub>
                  <m:r>
                    <m:rPr>
                      <m:nor/>
                    </m:rPr>
                    <w:rPr>
                      <w:rFonts w:cs="Arial"/>
                      <w:szCs w:val="18"/>
                    </w:rPr>
                    <m:t>t</m:t>
                  </m:r>
                </m:sub>
                <m:sup/>
                <m:e>
                  <m:f>
                    <m:fPr>
                      <m:ctrlPr>
                        <w:rPr>
                          <w:rFonts w:ascii="Cambria Math" w:hAnsi="Cambria Math" w:cs="Arial"/>
                          <w:i/>
                          <w:szCs w:val="18"/>
                        </w:rPr>
                      </m:ctrlPr>
                    </m:fPr>
                    <m:num>
                      <m:r>
                        <m:rPr>
                          <m:nor/>
                        </m:rPr>
                        <w:rPr>
                          <w:rFonts w:cs="Arial"/>
                          <w:szCs w:val="18"/>
                        </w:rPr>
                        <m:t>1</m:t>
                      </m:r>
                    </m:num>
                    <m:den>
                      <m:sSup>
                        <m:sSupPr>
                          <m:ctrlPr>
                            <w:rPr>
                              <w:rFonts w:ascii="Cambria Math" w:hAnsi="Cambria Math" w:cs="Arial"/>
                              <w:i/>
                              <w:szCs w:val="18"/>
                            </w:rPr>
                          </m:ctrlPr>
                        </m:sSupPr>
                        <m:e>
                          <m:d>
                            <m:dPr>
                              <m:ctrlPr>
                                <w:rPr>
                                  <w:rFonts w:ascii="Cambria Math" w:hAnsi="Cambria Math" w:cs="Arial"/>
                                  <w:i/>
                                  <w:szCs w:val="18"/>
                                </w:rPr>
                              </m:ctrlPr>
                            </m:dPr>
                            <m:e>
                              <m:r>
                                <m:rPr>
                                  <m:nor/>
                                </m:rPr>
                                <w:rPr>
                                  <w:rFonts w:cs="Arial"/>
                                  <w:szCs w:val="18"/>
                                </w:rPr>
                                <m:t>1+TD</m:t>
                              </m:r>
                            </m:e>
                          </m:d>
                        </m:e>
                        <m:sup>
                          <m:r>
                            <m:rPr>
                              <m:nor/>
                            </m:rPr>
                            <w:rPr>
                              <w:rFonts w:cs="Arial"/>
                              <w:szCs w:val="18"/>
                            </w:rPr>
                            <m:t>t</m:t>
                          </m:r>
                        </m:sup>
                      </m:sSup>
                    </m:den>
                  </m:f>
                </m:e>
              </m:nary>
              <m:r>
                <m:rPr>
                  <m:nor/>
                </m:rPr>
                <w:rPr>
                  <w:rFonts w:cs="Arial"/>
                  <w:szCs w:val="18"/>
                </w:rPr>
                <m:t>∙[</m:t>
              </m:r>
              <m:nary>
                <m:naryPr>
                  <m:chr m:val="∑"/>
                  <m:limLoc m:val="subSup"/>
                  <m:ctrlPr>
                    <w:rPr>
                      <w:rFonts w:ascii="Cambria Math" w:hAnsi="Cambria Math" w:cs="Arial"/>
                      <w:i/>
                      <w:szCs w:val="18"/>
                    </w:rPr>
                  </m:ctrlPr>
                </m:naryPr>
                <m:sub>
                  <m:r>
                    <m:rPr>
                      <m:nor/>
                    </m:rPr>
                    <w:rPr>
                      <w:rFonts w:cs="Arial"/>
                      <w:szCs w:val="18"/>
                    </w:rPr>
                    <m:t>p</m:t>
                  </m:r>
                </m:sub>
                <m:sup/>
                <m:e>
                  <m:sSub>
                    <m:sSubPr>
                      <m:ctrlPr>
                        <w:rPr>
                          <w:rFonts w:ascii="Cambria Math" w:hAnsi="Cambria Math" w:cs="Arial"/>
                          <w:i/>
                          <w:szCs w:val="18"/>
                        </w:rPr>
                      </m:ctrlPr>
                    </m:sSubPr>
                    <m:e>
                      <m:acc>
                        <m:accPr>
                          <m:ctrlPr>
                            <w:rPr>
                              <w:rFonts w:ascii="Cambria Math" w:hAnsi="Cambria Math" w:cs="Arial"/>
                              <w:i/>
                              <w:szCs w:val="18"/>
                            </w:rPr>
                          </m:ctrlPr>
                        </m:accPr>
                        <m:e>
                          <m:r>
                            <m:rPr>
                              <m:nor/>
                            </m:rPr>
                            <w:rPr>
                              <w:rFonts w:cs="Arial"/>
                              <w:szCs w:val="18"/>
                            </w:rPr>
                            <m:t>InvCo</m:t>
                          </m:r>
                        </m:e>
                      </m:acc>
                      <m:ctrlPr>
                        <w:rPr>
                          <w:rFonts w:ascii="Cambria Math" w:eastAsia="Cambria Math" w:hAnsi="Cambria Math" w:cs="Arial"/>
                          <w:i/>
                          <w:szCs w:val="18"/>
                        </w:rPr>
                      </m:ctrlPr>
                    </m:e>
                    <m:sub>
                      <m:r>
                        <m:rPr>
                          <m:nor/>
                        </m:rPr>
                        <w:rPr>
                          <w:rFonts w:cs="Arial"/>
                          <w:szCs w:val="18"/>
                        </w:rPr>
                        <m:t>p,t</m:t>
                      </m:r>
                    </m:sub>
                  </m:sSub>
                  <m:r>
                    <m:rPr>
                      <m:nor/>
                    </m:rPr>
                    <w:rPr>
                      <w:rFonts w:cs="Arial"/>
                      <w:szCs w:val="18"/>
                    </w:rPr>
                    <m:t>∙</m:t>
                  </m:r>
                  <m:sSub>
                    <m:sSubPr>
                      <m:ctrlPr>
                        <w:rPr>
                          <w:rFonts w:ascii="Cambria Math" w:hAnsi="Cambria Math" w:cs="Arial"/>
                          <w:i/>
                          <w:szCs w:val="18"/>
                        </w:rPr>
                      </m:ctrlPr>
                    </m:sSubPr>
                    <m:e>
                      <m:r>
                        <m:rPr>
                          <m:nor/>
                        </m:rPr>
                        <w:rPr>
                          <w:rFonts w:cs="Arial"/>
                          <w:szCs w:val="18"/>
                        </w:rPr>
                        <m:t>CaA</m:t>
                      </m:r>
                    </m:e>
                    <m:sub>
                      <m:r>
                        <m:rPr>
                          <m:nor/>
                        </m:rPr>
                        <w:rPr>
                          <w:rFonts w:cs="Arial"/>
                          <w:szCs w:val="18"/>
                        </w:rPr>
                        <m:t>p,t</m:t>
                      </m:r>
                    </m:sub>
                  </m:sSub>
                </m:e>
              </m:nary>
              <m:r>
                <m:rPr>
                  <m:nor/>
                </m:rPr>
                <w:rPr>
                  <w:rFonts w:cs="Arial"/>
                  <w:szCs w:val="18"/>
                </w:rPr>
                <m:t>+</m:t>
              </m:r>
              <m:nary>
                <m:naryPr>
                  <m:chr m:val="∑"/>
                  <m:limLoc m:val="subSup"/>
                  <m:ctrlPr>
                    <w:rPr>
                      <w:rFonts w:ascii="Cambria Math" w:hAnsi="Cambria Math" w:cs="Arial"/>
                      <w:i/>
                      <w:szCs w:val="18"/>
                    </w:rPr>
                  </m:ctrlPr>
                </m:naryPr>
                <m:sub>
                  <m:r>
                    <m:rPr>
                      <m:nor/>
                    </m:rPr>
                    <w:rPr>
                      <w:rFonts w:cs="Arial"/>
                      <w:szCs w:val="18"/>
                    </w:rPr>
                    <m:t>p</m:t>
                  </m:r>
                </m:sub>
                <m:sup/>
                <m:e>
                  <m:sSub>
                    <m:sSubPr>
                      <m:ctrlPr>
                        <w:rPr>
                          <w:rFonts w:ascii="Cambria Math" w:hAnsi="Cambria Math" w:cs="Arial"/>
                          <w:i/>
                          <w:szCs w:val="18"/>
                        </w:rPr>
                      </m:ctrlPr>
                    </m:sSubPr>
                    <m:e>
                      <m:acc>
                        <m:accPr>
                          <m:ctrlPr>
                            <w:rPr>
                              <w:rFonts w:ascii="Cambria Math" w:hAnsi="Cambria Math" w:cs="Arial"/>
                              <w:i/>
                              <w:szCs w:val="18"/>
                            </w:rPr>
                          </m:ctrlPr>
                        </m:accPr>
                        <m:e>
                          <m:r>
                            <m:rPr>
                              <m:nor/>
                            </m:rPr>
                            <w:rPr>
                              <w:rFonts w:cs="Arial"/>
                              <w:szCs w:val="18"/>
                            </w:rPr>
                            <m:t>FixCo</m:t>
                          </m:r>
                        </m:e>
                      </m:acc>
                      <m:ctrlPr>
                        <w:rPr>
                          <w:rFonts w:ascii="Cambria Math" w:eastAsia="Cambria Math" w:hAnsi="Cambria Math" w:cs="Arial"/>
                          <w:i/>
                          <w:szCs w:val="18"/>
                        </w:rPr>
                      </m:ctrlPr>
                    </m:e>
                    <m:sub>
                      <m:r>
                        <m:rPr>
                          <m:nor/>
                        </m:rPr>
                        <w:rPr>
                          <w:rFonts w:cs="Arial"/>
                          <w:szCs w:val="18"/>
                        </w:rPr>
                        <m:t>p,t</m:t>
                      </m:r>
                    </m:sub>
                  </m:sSub>
                  <m:r>
                    <m:rPr>
                      <m:nor/>
                    </m:rPr>
                    <w:rPr>
                      <w:rFonts w:cs="Arial"/>
                      <w:szCs w:val="18"/>
                    </w:rPr>
                    <m:t>∙</m:t>
                  </m:r>
                  <m:sSub>
                    <m:sSubPr>
                      <m:ctrlPr>
                        <w:rPr>
                          <w:rFonts w:ascii="Cambria Math" w:hAnsi="Cambria Math" w:cs="Arial"/>
                          <w:i/>
                          <w:szCs w:val="18"/>
                        </w:rPr>
                      </m:ctrlPr>
                    </m:sSubPr>
                    <m:e>
                      <m:r>
                        <m:rPr>
                          <m:nor/>
                        </m:rPr>
                        <w:rPr>
                          <w:rFonts w:cs="Arial"/>
                          <w:szCs w:val="18"/>
                        </w:rPr>
                        <m:t>CaT</m:t>
                      </m:r>
                    </m:e>
                    <m:sub>
                      <m:r>
                        <m:rPr>
                          <m:nor/>
                        </m:rPr>
                        <w:rPr>
                          <w:rFonts w:cs="Arial"/>
                          <w:szCs w:val="18"/>
                        </w:rPr>
                        <m:t>p,t</m:t>
                      </m:r>
                    </m:sub>
                  </m:sSub>
                </m:e>
              </m:nary>
              <m:r>
                <m:rPr>
                  <m:nor/>
                </m:rPr>
                <w:rPr>
                  <w:rFonts w:cs="Arial"/>
                  <w:szCs w:val="18"/>
                </w:rPr>
                <m:t>+</m:t>
              </m:r>
              <m:nary>
                <m:naryPr>
                  <m:chr m:val="∑"/>
                  <m:limLoc m:val="subSup"/>
                  <m:ctrlPr>
                    <w:rPr>
                      <w:rFonts w:ascii="Cambria Math" w:hAnsi="Cambria Math" w:cs="Arial"/>
                      <w:i/>
                      <w:szCs w:val="18"/>
                    </w:rPr>
                  </m:ctrlPr>
                </m:naryPr>
                <m:sub>
                  <m:r>
                    <m:rPr>
                      <m:nor/>
                    </m:rPr>
                    <w:rPr>
                      <w:rFonts w:cs="Arial"/>
                      <w:szCs w:val="18"/>
                    </w:rPr>
                    <m:t>p</m:t>
                  </m:r>
                </m:sub>
                <m:sup/>
                <m:e>
                  <m:sSub>
                    <m:sSubPr>
                      <m:ctrlPr>
                        <w:rPr>
                          <w:rFonts w:ascii="Cambria Math" w:hAnsi="Cambria Math" w:cs="Arial"/>
                          <w:i/>
                          <w:szCs w:val="18"/>
                        </w:rPr>
                      </m:ctrlPr>
                    </m:sSubPr>
                    <m:e>
                      <m:acc>
                        <m:accPr>
                          <m:ctrlPr>
                            <w:rPr>
                              <w:rFonts w:ascii="Cambria Math" w:hAnsi="Cambria Math" w:cs="Arial"/>
                              <w:i/>
                              <w:szCs w:val="18"/>
                            </w:rPr>
                          </m:ctrlPr>
                        </m:accPr>
                        <m:e>
                          <m:r>
                            <m:rPr>
                              <m:nor/>
                            </m:rPr>
                            <w:rPr>
                              <w:rFonts w:cs="Arial"/>
                              <w:szCs w:val="18"/>
                            </w:rPr>
                            <m:t>VarCo</m:t>
                          </m:r>
                        </m:e>
                      </m:acc>
                      <m:ctrlPr>
                        <w:rPr>
                          <w:rFonts w:ascii="Cambria Math" w:eastAsia="Cambria Math" w:hAnsi="Cambria Math" w:cs="Arial"/>
                          <w:i/>
                          <w:szCs w:val="18"/>
                        </w:rPr>
                      </m:ctrlPr>
                    </m:e>
                    <m:sub>
                      <m:r>
                        <m:rPr>
                          <m:nor/>
                        </m:rPr>
                        <w:rPr>
                          <w:rFonts w:cs="Arial"/>
                          <w:szCs w:val="18"/>
                        </w:rPr>
                        <m:t>p,t</m:t>
                      </m:r>
                    </m:sub>
                  </m:sSub>
                  <m:r>
                    <m:rPr>
                      <m:nor/>
                    </m:rPr>
                    <w:rPr>
                      <w:rFonts w:cs="Arial"/>
                      <w:szCs w:val="18"/>
                    </w:rPr>
                    <m:t>∙</m:t>
                  </m:r>
                  <m:sSub>
                    <m:sSubPr>
                      <m:ctrlPr>
                        <w:rPr>
                          <w:rFonts w:ascii="Cambria Math" w:hAnsi="Cambria Math" w:cs="Arial"/>
                          <w:i/>
                          <w:szCs w:val="18"/>
                        </w:rPr>
                      </m:ctrlPr>
                    </m:sSubPr>
                    <m:e>
                      <m:r>
                        <m:rPr>
                          <m:nor/>
                        </m:rPr>
                        <w:rPr>
                          <w:rFonts w:cs="Arial"/>
                          <w:szCs w:val="18"/>
                        </w:rPr>
                        <m:t>EnG</m:t>
                      </m:r>
                    </m:e>
                    <m:sub>
                      <m:r>
                        <m:rPr>
                          <m:nor/>
                        </m:rPr>
                        <w:rPr>
                          <w:rFonts w:cs="Arial"/>
                          <w:szCs w:val="18"/>
                        </w:rPr>
                        <m:t>p,t</m:t>
                      </m:r>
                    </m:sub>
                  </m:sSub>
                </m:e>
              </m:nary>
              <m:r>
                <m:rPr>
                  <m:nor/>
                </m:rPr>
                <w:rPr>
                  <w:rFonts w:cs="Arial"/>
                  <w:szCs w:val="18"/>
                </w:rPr>
                <m:t>+</m:t>
              </m:r>
              <m:nary>
                <m:naryPr>
                  <m:chr m:val="∑"/>
                  <m:limLoc m:val="subSup"/>
                  <m:ctrlPr>
                    <w:rPr>
                      <w:rFonts w:ascii="Cambria Math" w:hAnsi="Cambria Math" w:cs="Arial"/>
                      <w:i/>
                      <w:szCs w:val="18"/>
                    </w:rPr>
                  </m:ctrlPr>
                </m:naryPr>
                <m:sub>
                  <m:r>
                    <m:rPr>
                      <m:nor/>
                    </m:rPr>
                    <w:rPr>
                      <w:rFonts w:cs="Arial"/>
                      <w:szCs w:val="18"/>
                    </w:rPr>
                    <m:t>p</m:t>
                  </m:r>
                </m:sub>
                <m:sup/>
                <m:e>
                  <m:sSub>
                    <m:sSubPr>
                      <m:ctrlPr>
                        <w:rPr>
                          <w:rFonts w:ascii="Cambria Math" w:hAnsi="Cambria Math" w:cs="Arial"/>
                          <w:i/>
                          <w:szCs w:val="18"/>
                        </w:rPr>
                      </m:ctrlPr>
                    </m:sSubPr>
                    <m:e>
                      <m:acc>
                        <m:accPr>
                          <m:ctrlPr>
                            <w:rPr>
                              <w:rFonts w:ascii="Cambria Math" w:hAnsi="Cambria Math" w:cs="Arial"/>
                              <w:i/>
                              <w:szCs w:val="18"/>
                            </w:rPr>
                          </m:ctrlPr>
                        </m:accPr>
                        <m:e>
                          <m:r>
                            <m:rPr>
                              <m:nor/>
                            </m:rPr>
                            <w:rPr>
                              <w:rFonts w:cs="Arial"/>
                              <w:szCs w:val="18"/>
                            </w:rPr>
                            <m:t>FuCo</m:t>
                          </m:r>
                        </m:e>
                      </m:acc>
                      <m:ctrlPr>
                        <w:rPr>
                          <w:rFonts w:ascii="Cambria Math" w:eastAsia="Cambria Math" w:hAnsi="Cambria Math" w:cs="Arial"/>
                          <w:i/>
                          <w:szCs w:val="18"/>
                        </w:rPr>
                      </m:ctrlPr>
                    </m:e>
                    <m:sub>
                      <m:r>
                        <m:rPr>
                          <m:nor/>
                        </m:rPr>
                        <w:rPr>
                          <w:rFonts w:cs="Arial"/>
                          <w:szCs w:val="18"/>
                        </w:rPr>
                        <m:t>p,t</m:t>
                      </m:r>
                    </m:sub>
                  </m:sSub>
                  <m:r>
                    <m:rPr>
                      <m:nor/>
                    </m:rPr>
                    <w:rPr>
                      <w:rFonts w:cs="Arial"/>
                      <w:szCs w:val="18"/>
                    </w:rPr>
                    <m:t>∙</m:t>
                  </m:r>
                  <m:sSub>
                    <m:sSubPr>
                      <m:ctrlPr>
                        <w:rPr>
                          <w:rFonts w:ascii="Cambria Math" w:hAnsi="Cambria Math" w:cs="Arial"/>
                          <w:i/>
                          <w:szCs w:val="18"/>
                        </w:rPr>
                      </m:ctrlPr>
                    </m:sSubPr>
                    <m:e>
                      <m:r>
                        <m:rPr>
                          <m:nor/>
                        </m:rPr>
                        <w:rPr>
                          <w:rFonts w:cs="Arial"/>
                          <w:szCs w:val="18"/>
                        </w:rPr>
                        <m:t>FuR</m:t>
                      </m:r>
                    </m:e>
                    <m:sub>
                      <m:r>
                        <m:rPr>
                          <m:nor/>
                        </m:rPr>
                        <w:rPr>
                          <w:rFonts w:cs="Arial"/>
                          <w:szCs w:val="18"/>
                        </w:rPr>
                        <m:t>p,t</m:t>
                      </m:r>
                    </m:sub>
                  </m:sSub>
                </m:e>
              </m:nary>
            </m:oMath>
            <w:r w:rsidRPr="00697D65">
              <w:rPr>
                <w:rFonts w:eastAsiaTheme="minorEastAsia" w:cs="Arial"/>
                <w:sz w:val="20"/>
              </w:rPr>
              <w:t xml:space="preserve"> </w:t>
            </w:r>
          </w:p>
          <w:p w14:paraId="4F174F79" w14:textId="77777777" w:rsidR="00513910" w:rsidRPr="00697D65" w:rsidRDefault="00513910" w:rsidP="009479AE">
            <w:pPr>
              <w:rPr>
                <w:rFonts w:cs="Arial"/>
              </w:rPr>
            </w:pPr>
            <m:oMath>
              <m:r>
                <m:rPr>
                  <m:nor/>
                </m:rPr>
                <w:rPr>
                  <w:rFonts w:cs="Arial"/>
                  <w:szCs w:val="18"/>
                </w:rPr>
                <m:t>-</m:t>
              </m:r>
              <m:nary>
                <m:naryPr>
                  <m:chr m:val="∑"/>
                  <m:limLoc m:val="subSup"/>
                  <m:ctrlPr>
                    <w:rPr>
                      <w:rFonts w:ascii="Cambria Math" w:hAnsi="Cambria Math" w:cs="Arial"/>
                      <w:i/>
                      <w:szCs w:val="18"/>
                    </w:rPr>
                  </m:ctrlPr>
                </m:naryPr>
                <m:sub>
                  <m:r>
                    <m:rPr>
                      <m:nor/>
                    </m:rPr>
                    <w:rPr>
                      <w:rFonts w:cs="Arial"/>
                      <w:szCs w:val="18"/>
                    </w:rPr>
                    <m:t>p</m:t>
                  </m:r>
                </m:sub>
                <m:sup/>
                <m:e>
                  <m:sSub>
                    <m:sSubPr>
                      <m:ctrlPr>
                        <w:rPr>
                          <w:rFonts w:ascii="Cambria Math" w:hAnsi="Cambria Math" w:cs="Arial"/>
                          <w:i/>
                          <w:szCs w:val="18"/>
                        </w:rPr>
                      </m:ctrlPr>
                    </m:sSubPr>
                    <m:e>
                      <m:acc>
                        <m:accPr>
                          <m:ctrlPr>
                            <w:rPr>
                              <w:rFonts w:ascii="Cambria Math" w:hAnsi="Cambria Math" w:cs="Arial"/>
                              <w:i/>
                              <w:szCs w:val="18"/>
                            </w:rPr>
                          </m:ctrlPr>
                        </m:accPr>
                        <m:e>
                          <m:r>
                            <m:rPr>
                              <m:nor/>
                            </m:rPr>
                            <w:rPr>
                              <w:rFonts w:cs="Arial"/>
                              <w:szCs w:val="18"/>
                            </w:rPr>
                            <m:t>SellCo</m:t>
                          </m:r>
                        </m:e>
                      </m:acc>
                      <m:ctrlPr>
                        <w:rPr>
                          <w:rFonts w:ascii="Cambria Math" w:eastAsia="Cambria Math" w:hAnsi="Cambria Math" w:cs="Arial"/>
                          <w:i/>
                          <w:szCs w:val="18"/>
                        </w:rPr>
                      </m:ctrlPr>
                    </m:e>
                    <m:sub>
                      <m:r>
                        <m:rPr>
                          <m:nor/>
                        </m:rPr>
                        <w:rPr>
                          <w:rFonts w:cs="Arial"/>
                          <w:szCs w:val="18"/>
                        </w:rPr>
                        <m:t>p,t</m:t>
                      </m:r>
                    </m:sub>
                  </m:sSub>
                  <m:r>
                    <m:rPr>
                      <m:nor/>
                    </m:rPr>
                    <w:rPr>
                      <w:rFonts w:cs="Arial"/>
                      <w:szCs w:val="18"/>
                    </w:rPr>
                    <m:t>∙</m:t>
                  </m:r>
                  <m:sSub>
                    <m:sSubPr>
                      <m:ctrlPr>
                        <w:rPr>
                          <w:rFonts w:ascii="Cambria Math" w:hAnsi="Cambria Math" w:cs="Arial"/>
                          <w:i/>
                          <w:szCs w:val="18"/>
                        </w:rPr>
                      </m:ctrlPr>
                    </m:sSubPr>
                    <m:e>
                      <m:r>
                        <m:rPr>
                          <m:nor/>
                        </m:rPr>
                        <w:rPr>
                          <w:rFonts w:cs="Arial"/>
                          <w:szCs w:val="18"/>
                        </w:rPr>
                        <m:t>EnVe</m:t>
                      </m:r>
                    </m:e>
                    <m:sub>
                      <m:r>
                        <m:rPr>
                          <m:nor/>
                        </m:rPr>
                        <w:rPr>
                          <w:rFonts w:cs="Arial"/>
                          <w:szCs w:val="18"/>
                        </w:rPr>
                        <m:t>p,t</m:t>
                      </m:r>
                    </m:sub>
                  </m:sSub>
                </m:e>
              </m:nary>
              <m:r>
                <w:rPr>
                  <w:rFonts w:ascii="Cambria Math" w:eastAsiaTheme="minorEastAsia" w:hAnsi="Cambria Math" w:cs="Arial"/>
                  <w:szCs w:val="18"/>
                </w:rPr>
                <m:t>]</m:t>
              </m:r>
            </m:oMath>
            <w:r w:rsidRPr="00697D65">
              <w:rPr>
                <w:rFonts w:cs="Arial"/>
              </w:rPr>
              <w:t xml:space="preserve"> </w:t>
            </w:r>
          </w:p>
        </w:tc>
        <w:tc>
          <w:tcPr>
            <w:tcW w:w="248" w:type="pct"/>
            <w:vAlign w:val="center"/>
          </w:tcPr>
          <w:p w14:paraId="4C50C280" w14:textId="77777777" w:rsidR="00513910" w:rsidRPr="00697D65" w:rsidRDefault="00513910" w:rsidP="009479AE">
            <w:pPr>
              <w:jc w:val="center"/>
              <w:rPr>
                <w:rFonts w:cs="Arial"/>
              </w:rPr>
            </w:pPr>
            <w:r w:rsidRPr="00697D65">
              <w:rPr>
                <w:rFonts w:cs="Arial"/>
              </w:rPr>
              <w:t>(1)</w:t>
            </w:r>
          </w:p>
        </w:tc>
      </w:tr>
      <w:tr w:rsidR="00513910" w:rsidRPr="00697D65" w14:paraId="1344594C" w14:textId="77777777" w:rsidTr="00B559B8">
        <w:tc>
          <w:tcPr>
            <w:tcW w:w="4752" w:type="pct"/>
          </w:tcPr>
          <w:p w14:paraId="02C5304B" w14:textId="77777777" w:rsidR="00513910" w:rsidRPr="00697D65" w:rsidRDefault="00000000" w:rsidP="009479AE">
            <w:pPr>
              <w:rPr>
                <w:rFonts w:cs="Arial"/>
              </w:rPr>
            </w:pPr>
            <m:oMath>
              <m:sSub>
                <m:sSubPr>
                  <m:ctrlPr>
                    <w:rPr>
                      <w:rFonts w:ascii="Cambria Math" w:hAnsi="Cambria Math" w:cs="Arial"/>
                      <w:i/>
                    </w:rPr>
                  </m:ctrlPr>
                </m:sSubPr>
                <m:e>
                  <m:r>
                    <m:rPr>
                      <m:nor/>
                    </m:rPr>
                    <w:rPr>
                      <w:rFonts w:cs="Arial"/>
                    </w:rPr>
                    <m:t>CO</m:t>
                  </m:r>
                </m:e>
                <m:sub>
                  <m:r>
                    <m:rPr>
                      <m:nor/>
                    </m:rPr>
                    <w:rPr>
                      <w:rFonts w:cs="Arial"/>
                    </w:rPr>
                    <m:t>2</m:t>
                  </m:r>
                </m:sub>
              </m:sSub>
              <m:r>
                <m:rPr>
                  <m:nor/>
                </m:rPr>
                <w:rPr>
                  <w:rFonts w:cs="Arial"/>
                </w:rPr>
                <m:t>=</m:t>
              </m:r>
              <m:nary>
                <m:naryPr>
                  <m:chr m:val="∑"/>
                  <m:limLoc m:val="subSup"/>
                  <m:ctrlPr>
                    <w:rPr>
                      <w:rFonts w:ascii="Cambria Math" w:hAnsi="Cambria Math" w:cs="Arial"/>
                      <w:i/>
                    </w:rPr>
                  </m:ctrlPr>
                </m:naryPr>
                <m:sub>
                  <m:r>
                    <m:rPr>
                      <m:nor/>
                    </m:rPr>
                    <w:rPr>
                      <w:rFonts w:cs="Arial"/>
                    </w:rPr>
                    <m:t>t</m:t>
                  </m:r>
                </m:sub>
                <m:sup/>
                <m:e>
                  <m:r>
                    <m:rPr>
                      <m:nor/>
                    </m:rPr>
                    <w:rPr>
                      <w:rFonts w:cs="Arial"/>
                    </w:rPr>
                    <m:t>[</m:t>
                  </m:r>
                </m:e>
              </m:nary>
              <m:nary>
                <m:naryPr>
                  <m:chr m:val="∑"/>
                  <m:limLoc m:val="subSup"/>
                  <m:ctrlPr>
                    <w:rPr>
                      <w:rFonts w:ascii="Cambria Math" w:hAnsi="Cambria Math" w:cs="Arial"/>
                      <w:i/>
                    </w:rPr>
                  </m:ctrlPr>
                </m:naryPr>
                <m:sub>
                  <m:r>
                    <m:rPr>
                      <m:nor/>
                    </m:rPr>
                    <w:rPr>
                      <w:rFonts w:cs="Arial"/>
                    </w:rPr>
                    <m:t>p</m:t>
                  </m:r>
                </m:sub>
                <m:sup/>
                <m:e>
                  <m:sSub>
                    <m:sSubPr>
                      <m:ctrlPr>
                        <w:rPr>
                          <w:rFonts w:ascii="Cambria Math" w:hAnsi="Cambria Math" w:cs="Arial"/>
                          <w:i/>
                        </w:rPr>
                      </m:ctrlPr>
                    </m:sSubPr>
                    <m:e>
                      <m:acc>
                        <m:accPr>
                          <m:ctrlPr>
                            <w:rPr>
                              <w:rFonts w:ascii="Cambria Math" w:hAnsi="Cambria Math" w:cs="Arial"/>
                              <w:i/>
                            </w:rPr>
                          </m:ctrlPr>
                        </m:accPr>
                        <m:e>
                          <m:r>
                            <m:rPr>
                              <m:nor/>
                            </m:rPr>
                            <w:rPr>
                              <w:rFonts w:cs="Arial"/>
                            </w:rPr>
                            <m:t>Em</m:t>
                          </m:r>
                        </m:e>
                      </m:acc>
                    </m:e>
                    <m:sub>
                      <m:r>
                        <m:rPr>
                          <m:nor/>
                        </m:rPr>
                        <w:rPr>
                          <w:rFonts w:cs="Arial"/>
                        </w:rPr>
                        <m:t>p</m:t>
                      </m:r>
                    </m:sub>
                  </m:sSub>
                </m:e>
              </m:nary>
              <m:r>
                <m:rPr>
                  <m:nor/>
                </m:rPr>
                <w:rPr>
                  <w:rFonts w:cs="Arial"/>
                </w:rPr>
                <m:t>∙</m:t>
              </m:r>
              <m:sSub>
                <m:sSubPr>
                  <m:ctrlPr>
                    <w:rPr>
                      <w:rFonts w:ascii="Cambria Math" w:hAnsi="Cambria Math" w:cs="Arial"/>
                      <w:i/>
                    </w:rPr>
                  </m:ctrlPr>
                </m:sSubPr>
                <m:e>
                  <m:r>
                    <m:rPr>
                      <m:nor/>
                    </m:rPr>
                    <w:rPr>
                      <w:rFonts w:cs="Arial"/>
                    </w:rPr>
                    <m:t>EnG</m:t>
                  </m:r>
                </m:e>
                <m:sub>
                  <m:r>
                    <m:rPr>
                      <m:nor/>
                    </m:rPr>
                    <w:rPr>
                      <w:rFonts w:cs="Arial"/>
                    </w:rPr>
                    <m:t>p,t</m:t>
                  </m:r>
                </m:sub>
              </m:sSub>
              <m:r>
                <m:rPr>
                  <m:nor/>
                </m:rPr>
                <w:rPr>
                  <w:rFonts w:cs="Arial"/>
                </w:rPr>
                <m:t>]</m:t>
              </m:r>
            </m:oMath>
            <w:r w:rsidR="00513910" w:rsidRPr="00697D65">
              <w:rPr>
                <w:rFonts w:cs="Arial"/>
              </w:rPr>
              <w:t xml:space="preserve"> </w:t>
            </w:r>
          </w:p>
        </w:tc>
        <w:tc>
          <w:tcPr>
            <w:tcW w:w="248" w:type="pct"/>
            <w:vAlign w:val="center"/>
          </w:tcPr>
          <w:p w14:paraId="61DA6AE9" w14:textId="77777777" w:rsidR="00513910" w:rsidRPr="00697D65" w:rsidRDefault="00513910" w:rsidP="009479AE">
            <w:pPr>
              <w:jc w:val="center"/>
              <w:rPr>
                <w:rFonts w:cs="Arial"/>
              </w:rPr>
            </w:pPr>
            <w:r w:rsidRPr="00697D65">
              <w:rPr>
                <w:rFonts w:cs="Arial"/>
              </w:rPr>
              <w:t>(2)</w:t>
            </w:r>
          </w:p>
        </w:tc>
      </w:tr>
    </w:tbl>
    <w:p w14:paraId="1B5D9DA5" w14:textId="454B8E4E" w:rsidR="005718C7" w:rsidRPr="00697D65" w:rsidRDefault="005718C7" w:rsidP="00EA6061">
      <w:pPr>
        <w:pStyle w:val="CETBodytext"/>
        <w:spacing w:before="120"/>
        <w:rPr>
          <w:b/>
          <w:bCs/>
          <w:lang w:val="en-GB"/>
        </w:rPr>
      </w:pPr>
      <w:r w:rsidRPr="00697D65">
        <w:rPr>
          <w:b/>
          <w:bCs/>
          <w:lang w:val="en-GB"/>
        </w:rPr>
        <w:t>2.2</w:t>
      </w:r>
      <w:r w:rsidR="00E1295D" w:rsidRPr="00697D65">
        <w:rPr>
          <w:lang w:val="en-GB"/>
        </w:rPr>
        <w:t xml:space="preserve"> </w:t>
      </w:r>
      <w:r w:rsidR="00E1295D" w:rsidRPr="00697D65">
        <w:rPr>
          <w:b/>
          <w:bCs/>
          <w:lang w:val="en-GB"/>
        </w:rPr>
        <w:t>Constraints</w:t>
      </w:r>
    </w:p>
    <w:p w14:paraId="337C3088" w14:textId="4313114B" w:rsidR="00207071" w:rsidRPr="00697D65" w:rsidRDefault="00E1295D" w:rsidP="00EA6061">
      <w:pPr>
        <w:pStyle w:val="CETBodytext"/>
        <w:spacing w:before="120"/>
        <w:rPr>
          <w:lang w:val="en-GB"/>
        </w:rPr>
      </w:pPr>
      <w:r w:rsidRPr="00697D65">
        <w:rPr>
          <w:lang w:val="en-GB"/>
        </w:rPr>
        <w:t>The model constraints are categorized in operational, design, and budgetary constraints for power plants.</w:t>
      </w:r>
    </w:p>
    <w:p w14:paraId="470DAF63" w14:textId="1DAD2F3D" w:rsidR="005718C7" w:rsidRPr="00697D65" w:rsidRDefault="005718C7" w:rsidP="00EA6061">
      <w:pPr>
        <w:pStyle w:val="CETBodytext"/>
        <w:spacing w:before="120" w:after="120"/>
        <w:rPr>
          <w:b/>
          <w:bCs/>
          <w:lang w:val="en-GB"/>
        </w:rPr>
      </w:pPr>
      <w:r w:rsidRPr="00697D65">
        <w:rPr>
          <w:b/>
          <w:bCs/>
          <w:lang w:val="en-GB"/>
        </w:rPr>
        <w:t xml:space="preserve">2.2.1 </w:t>
      </w:r>
      <w:r w:rsidR="00E1295D" w:rsidRPr="00697D65">
        <w:rPr>
          <w:b/>
          <w:bCs/>
          <w:lang w:val="en-GB"/>
        </w:rPr>
        <w:t>Operational Constraints</w:t>
      </w:r>
      <w:r w:rsidRPr="00697D65">
        <w:rPr>
          <w:b/>
          <w:bCs/>
          <w:lang w:val="en-GB"/>
        </w:rPr>
        <w:t xml:space="preserve"> </w:t>
      </w:r>
    </w:p>
    <w:p w14:paraId="6EE72EF7" w14:textId="5C218797" w:rsidR="00E1295D" w:rsidRPr="00697D65" w:rsidRDefault="00E1295D" w:rsidP="00EA6061">
      <w:pPr>
        <w:pStyle w:val="CETBodytext"/>
        <w:spacing w:after="120"/>
        <w:rPr>
          <w:lang w:val="en-GB"/>
        </w:rPr>
      </w:pPr>
      <w:r w:rsidRPr="00697D65">
        <w:rPr>
          <w:lang w:val="en-GB"/>
        </w:rPr>
        <w:t>The operational constraints ensure the completion of energy demands and the generation of excess electricity.</w:t>
      </w:r>
    </w:p>
    <w:p w14:paraId="418450B1" w14:textId="19D7FB27" w:rsidR="004E3C23" w:rsidRPr="00697D65" w:rsidRDefault="00E1295D" w:rsidP="00EA6061">
      <w:pPr>
        <w:pStyle w:val="CETBodytext"/>
        <w:spacing w:before="120"/>
        <w:rPr>
          <w:lang w:val="en-GB"/>
        </w:rPr>
      </w:pPr>
      <w:r w:rsidRPr="00697D65">
        <w:rPr>
          <w:b/>
          <w:bCs/>
          <w:lang w:val="en-GB"/>
        </w:rPr>
        <w:t>Energy Balance:</w:t>
      </w:r>
      <w:r w:rsidRPr="00697D65">
        <w:rPr>
          <w:lang w:val="en-GB"/>
        </w:rPr>
        <w:t xml:space="preserve"> The electricity generated must meet the energy demand and generate a 5% surplus of electricity.</w:t>
      </w: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35"/>
        <w:gridCol w:w="452"/>
      </w:tblGrid>
      <w:tr w:rsidR="0034379C" w:rsidRPr="00697D65" w14:paraId="79CE9B59" w14:textId="77777777" w:rsidTr="0034379C">
        <w:tc>
          <w:tcPr>
            <w:tcW w:w="4743" w:type="pct"/>
          </w:tcPr>
          <w:p w14:paraId="18898B75" w14:textId="77777777" w:rsidR="0034379C" w:rsidRPr="00697D65" w:rsidRDefault="00000000" w:rsidP="009479AE">
            <w:pPr>
              <w:rPr>
                <w:rFonts w:cs="Arial"/>
              </w:rPr>
            </w:pPr>
            <m:oMath>
              <m:nary>
                <m:naryPr>
                  <m:chr m:val="∑"/>
                  <m:limLoc m:val="subSup"/>
                  <m:ctrlPr>
                    <w:rPr>
                      <w:rFonts w:ascii="Cambria Math" w:hAnsi="Cambria Math" w:cs="Arial"/>
                      <w:i/>
                    </w:rPr>
                  </m:ctrlPr>
                </m:naryPr>
                <m:sub>
                  <m:r>
                    <m:rPr>
                      <m:nor/>
                    </m:rPr>
                    <w:rPr>
                      <w:rFonts w:cs="Arial"/>
                    </w:rPr>
                    <m:t>p</m:t>
                  </m:r>
                </m:sub>
                <m:sup/>
                <m:e>
                  <m:sSub>
                    <m:sSubPr>
                      <m:ctrlPr>
                        <w:rPr>
                          <w:rFonts w:ascii="Cambria Math" w:hAnsi="Cambria Math" w:cs="Arial"/>
                          <w:i/>
                        </w:rPr>
                      </m:ctrlPr>
                    </m:sSubPr>
                    <m:e>
                      <m:r>
                        <m:rPr>
                          <m:nor/>
                        </m:rPr>
                        <w:rPr>
                          <w:rFonts w:cs="Arial"/>
                        </w:rPr>
                        <m:t>EnG</m:t>
                      </m:r>
                    </m:e>
                    <m:sub>
                      <m:r>
                        <m:rPr>
                          <m:nor/>
                        </m:rPr>
                        <w:rPr>
                          <w:rFonts w:cs="Arial"/>
                        </w:rPr>
                        <m:t>p,t</m:t>
                      </m:r>
                    </m:sub>
                  </m:sSub>
                </m:e>
              </m:nary>
              <m:r>
                <m:rPr>
                  <m:nor/>
                </m:rPr>
                <w:rPr>
                  <w:rFonts w:cs="Arial"/>
                </w:rPr>
                <m:t>=</m:t>
              </m:r>
              <m:sSub>
                <m:sSubPr>
                  <m:ctrlPr>
                    <w:rPr>
                      <w:rFonts w:ascii="Cambria Math" w:hAnsi="Cambria Math" w:cs="Arial"/>
                      <w:i/>
                    </w:rPr>
                  </m:ctrlPr>
                </m:sSubPr>
                <m:e>
                  <m:acc>
                    <m:accPr>
                      <m:ctrlPr>
                        <w:rPr>
                          <w:rFonts w:ascii="Cambria Math" w:hAnsi="Cambria Math" w:cs="Arial"/>
                          <w:i/>
                        </w:rPr>
                      </m:ctrlPr>
                    </m:accPr>
                    <m:e>
                      <m:r>
                        <m:rPr>
                          <m:nor/>
                        </m:rPr>
                        <w:rPr>
                          <w:rFonts w:cs="Arial"/>
                        </w:rPr>
                        <m:t>DE</m:t>
                      </m:r>
                    </m:e>
                  </m:acc>
                </m:e>
                <m:sub>
                  <m:r>
                    <m:rPr>
                      <m:nor/>
                    </m:rPr>
                    <w:rPr>
                      <w:rFonts w:cs="Arial"/>
                    </w:rPr>
                    <m:t>t</m:t>
                  </m:r>
                </m:sub>
              </m:sSub>
              <m:r>
                <m:rPr>
                  <m:nor/>
                </m:rPr>
                <w:rPr>
                  <w:rFonts w:cs="Arial"/>
                </w:rPr>
                <m:t>+</m:t>
              </m:r>
              <m:nary>
                <m:naryPr>
                  <m:chr m:val="∑"/>
                  <m:limLoc m:val="subSup"/>
                  <m:ctrlPr>
                    <w:rPr>
                      <w:rFonts w:ascii="Cambria Math" w:hAnsi="Cambria Math" w:cs="Arial"/>
                      <w:i/>
                    </w:rPr>
                  </m:ctrlPr>
                </m:naryPr>
                <m:sub>
                  <m:r>
                    <m:rPr>
                      <m:nor/>
                    </m:rPr>
                    <w:rPr>
                      <w:rFonts w:cs="Arial"/>
                    </w:rPr>
                    <m:t>p</m:t>
                  </m:r>
                </m:sub>
                <m:sup/>
                <m:e>
                  <m:sSub>
                    <m:sSubPr>
                      <m:ctrlPr>
                        <w:rPr>
                          <w:rFonts w:ascii="Cambria Math" w:hAnsi="Cambria Math" w:cs="Arial"/>
                          <w:i/>
                        </w:rPr>
                      </m:ctrlPr>
                    </m:sSubPr>
                    <m:e>
                      <m:r>
                        <m:rPr>
                          <m:nor/>
                        </m:rPr>
                        <w:rPr>
                          <w:rFonts w:cs="Arial"/>
                        </w:rPr>
                        <m:t>EnVe</m:t>
                      </m:r>
                    </m:e>
                    <m:sub>
                      <m:r>
                        <m:rPr>
                          <m:nor/>
                        </m:rPr>
                        <w:rPr>
                          <w:rFonts w:cs="Arial"/>
                        </w:rPr>
                        <m:t>p,t</m:t>
                      </m:r>
                    </m:sub>
                  </m:sSub>
                </m:e>
              </m:nary>
            </m:oMath>
            <w:r w:rsidR="0034379C" w:rsidRPr="00697D65">
              <w:rPr>
                <w:rFonts w:cs="Arial"/>
              </w:rPr>
              <w:t xml:space="preserve"> </w:t>
            </w:r>
          </w:p>
        </w:tc>
        <w:tc>
          <w:tcPr>
            <w:tcW w:w="257" w:type="pct"/>
            <w:vAlign w:val="center"/>
          </w:tcPr>
          <w:p w14:paraId="6FB7D0B5" w14:textId="77777777" w:rsidR="0034379C" w:rsidRPr="00697D65" w:rsidRDefault="0034379C" w:rsidP="009479AE">
            <w:pPr>
              <w:jc w:val="center"/>
              <w:rPr>
                <w:rFonts w:cs="Arial"/>
              </w:rPr>
            </w:pPr>
            <w:r w:rsidRPr="00697D65">
              <w:rPr>
                <w:rFonts w:cs="Arial"/>
              </w:rPr>
              <w:t>(3)</w:t>
            </w:r>
          </w:p>
        </w:tc>
      </w:tr>
    </w:tbl>
    <w:p w14:paraId="2FB19BEA" w14:textId="3401C524" w:rsidR="00ED2C67" w:rsidRPr="00697D65" w:rsidRDefault="00E1295D" w:rsidP="00D03C47">
      <w:pPr>
        <w:pStyle w:val="CETBodytext"/>
        <w:spacing w:before="120"/>
        <w:rPr>
          <w:lang w:val="en-GB"/>
        </w:rPr>
      </w:pPr>
      <w:r w:rsidRPr="00697D65">
        <w:rPr>
          <w:b/>
          <w:bCs/>
          <w:lang w:val="en-GB"/>
        </w:rPr>
        <w:t xml:space="preserve">Reserve Margin: </w:t>
      </w:r>
      <w:r w:rsidRPr="00697D65">
        <w:rPr>
          <w:lang w:val="en-GB"/>
        </w:rPr>
        <w:t>To ensure the achievement of demand in the event of unforeseen circumstances that affect electricity generation, a reserve margin of 6% is established over the maximum power demand.</w:t>
      </w: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1"/>
        <w:gridCol w:w="436"/>
      </w:tblGrid>
      <w:tr w:rsidR="00AF18DD" w:rsidRPr="00697D65" w14:paraId="5CF3FA8A" w14:textId="77777777" w:rsidTr="003931DB">
        <w:tc>
          <w:tcPr>
            <w:tcW w:w="4752" w:type="pct"/>
          </w:tcPr>
          <w:p w14:paraId="0B2815E0" w14:textId="77777777" w:rsidR="00AF18DD" w:rsidRPr="00697D65" w:rsidRDefault="00000000" w:rsidP="009479AE">
            <w:pPr>
              <w:rPr>
                <w:rFonts w:cs="Arial"/>
              </w:rPr>
            </w:pPr>
            <m:oMath>
              <m:nary>
                <m:naryPr>
                  <m:chr m:val="∑"/>
                  <m:limLoc m:val="subSup"/>
                  <m:ctrlPr>
                    <w:rPr>
                      <w:rFonts w:ascii="Cambria Math" w:hAnsi="Cambria Math" w:cs="Arial"/>
                      <w:i/>
                    </w:rPr>
                  </m:ctrlPr>
                </m:naryPr>
                <m:sub>
                  <m:r>
                    <m:rPr>
                      <m:nor/>
                    </m:rPr>
                    <w:rPr>
                      <w:rFonts w:cs="Arial"/>
                    </w:rPr>
                    <m:t>p</m:t>
                  </m:r>
                </m:sub>
                <m:sup/>
                <m:e>
                  <m:sSub>
                    <m:sSubPr>
                      <m:ctrlPr>
                        <w:rPr>
                          <w:rFonts w:ascii="Cambria Math" w:hAnsi="Cambria Math" w:cs="Arial"/>
                          <w:i/>
                        </w:rPr>
                      </m:ctrlPr>
                    </m:sSubPr>
                    <m:e>
                      <m:r>
                        <m:rPr>
                          <m:nor/>
                        </m:rPr>
                        <w:rPr>
                          <w:rFonts w:cs="Arial"/>
                        </w:rPr>
                        <m:t>PoG</m:t>
                      </m:r>
                    </m:e>
                    <m:sub>
                      <m:r>
                        <m:rPr>
                          <m:nor/>
                        </m:rPr>
                        <w:rPr>
                          <w:rFonts w:cs="Arial"/>
                        </w:rPr>
                        <m:t>p,t</m:t>
                      </m:r>
                    </m:sub>
                  </m:sSub>
                </m:e>
              </m:nary>
              <m:r>
                <m:rPr>
                  <m:nor/>
                </m:rPr>
                <w:rPr>
                  <w:rFonts w:cs="Arial"/>
                </w:rPr>
                <m:t>≥(1+ρ)∙</m:t>
              </m:r>
              <m:sSub>
                <m:sSubPr>
                  <m:ctrlPr>
                    <w:rPr>
                      <w:rFonts w:ascii="Cambria Math" w:hAnsi="Cambria Math" w:cs="Arial"/>
                      <w:i/>
                    </w:rPr>
                  </m:ctrlPr>
                </m:sSubPr>
                <m:e>
                  <m:acc>
                    <m:accPr>
                      <m:ctrlPr>
                        <w:rPr>
                          <w:rFonts w:ascii="Cambria Math" w:hAnsi="Cambria Math" w:cs="Arial"/>
                          <w:i/>
                        </w:rPr>
                      </m:ctrlPr>
                    </m:accPr>
                    <m:e>
                      <m:r>
                        <m:rPr>
                          <m:nor/>
                        </m:rPr>
                        <w:rPr>
                          <w:rFonts w:cs="Arial"/>
                        </w:rPr>
                        <m:t>DP</m:t>
                      </m:r>
                    </m:e>
                  </m:acc>
                </m:e>
                <m:sub>
                  <m:r>
                    <m:rPr>
                      <m:nor/>
                    </m:rPr>
                    <w:rPr>
                      <w:rFonts w:cs="Arial"/>
                    </w:rPr>
                    <m:t>t</m:t>
                  </m:r>
                </m:sub>
              </m:sSub>
            </m:oMath>
            <w:r w:rsidR="00AF18DD" w:rsidRPr="00697D65">
              <w:rPr>
                <w:rFonts w:cs="Arial"/>
              </w:rPr>
              <w:t xml:space="preserve"> </w:t>
            </w:r>
          </w:p>
        </w:tc>
        <w:tc>
          <w:tcPr>
            <w:tcW w:w="248" w:type="pct"/>
          </w:tcPr>
          <w:p w14:paraId="1BDBDE83" w14:textId="77777777" w:rsidR="00AF18DD" w:rsidRPr="00697D65" w:rsidRDefault="00AF18DD" w:rsidP="009479AE">
            <w:pPr>
              <w:rPr>
                <w:rFonts w:cs="Arial"/>
              </w:rPr>
            </w:pPr>
            <w:r w:rsidRPr="00697D65">
              <w:rPr>
                <w:rFonts w:cs="Arial"/>
              </w:rPr>
              <w:t>(4)</w:t>
            </w:r>
          </w:p>
        </w:tc>
      </w:tr>
    </w:tbl>
    <w:p w14:paraId="47A341C2" w14:textId="4163E3E0" w:rsidR="004E3C23" w:rsidRPr="00697D65" w:rsidRDefault="005C637C" w:rsidP="00EA6061">
      <w:pPr>
        <w:pStyle w:val="CETBodytext"/>
        <w:spacing w:before="120"/>
        <w:rPr>
          <w:lang w:val="en-GB"/>
        </w:rPr>
      </w:pPr>
      <w:r w:rsidRPr="00697D65">
        <w:rPr>
          <w:b/>
          <w:bCs/>
          <w:lang w:val="en-GB"/>
        </w:rPr>
        <w:t xml:space="preserve">Availability Factor: </w:t>
      </w:r>
      <w:r w:rsidRPr="00697D65">
        <w:rPr>
          <w:lang w:val="en-GB"/>
        </w:rPr>
        <w:t xml:space="preserve">The electricity generation time of a plant relative to the total considered time, </w:t>
      </w:r>
      <w:r w:rsidR="00091ECA" w:rsidRPr="00697D65">
        <w:rPr>
          <w:lang w:val="en-GB"/>
        </w:rPr>
        <w:t>in</w:t>
      </w:r>
      <w:r w:rsidRPr="00697D65">
        <w:rPr>
          <w:lang w:val="en-GB"/>
        </w:rPr>
        <w:t xml:space="preserve">cluding </w:t>
      </w:r>
      <w:r w:rsidR="005C5084" w:rsidRPr="00697D65">
        <w:rPr>
          <w:lang w:val="en-GB"/>
        </w:rPr>
        <w:t>fai</w:t>
      </w:r>
      <w:r w:rsidR="00022BC0" w:rsidRPr="00697D65">
        <w:rPr>
          <w:lang w:val="en-GB"/>
        </w:rPr>
        <w:t xml:space="preserve">lures, </w:t>
      </w:r>
      <w:r w:rsidRPr="00697D65">
        <w:rPr>
          <w:lang w:val="en-GB"/>
        </w:rPr>
        <w:t>forced outages, maintenance periods, or climatic variations.</w:t>
      </w: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35"/>
        <w:gridCol w:w="452"/>
      </w:tblGrid>
      <w:tr w:rsidR="00E865BF" w:rsidRPr="00697D65" w14:paraId="7F2BCEB7" w14:textId="77777777" w:rsidTr="00E865BF">
        <w:tc>
          <w:tcPr>
            <w:tcW w:w="4743" w:type="pct"/>
          </w:tcPr>
          <w:p w14:paraId="150B1A2F" w14:textId="77777777" w:rsidR="00E865BF" w:rsidRPr="00697D65" w:rsidRDefault="00000000" w:rsidP="009479AE">
            <w:pPr>
              <w:rPr>
                <w:rFonts w:cs="Arial"/>
              </w:rPr>
            </w:pPr>
            <m:oMath>
              <m:sSub>
                <m:sSubPr>
                  <m:ctrlPr>
                    <w:rPr>
                      <w:rFonts w:ascii="Cambria Math" w:hAnsi="Cambria Math" w:cs="Arial"/>
                      <w:i/>
                    </w:rPr>
                  </m:ctrlPr>
                </m:sSubPr>
                <m:e>
                  <m:r>
                    <m:rPr>
                      <m:nor/>
                    </m:rPr>
                    <w:rPr>
                      <w:rFonts w:cs="Arial"/>
                    </w:rPr>
                    <m:t>EnG</m:t>
                  </m:r>
                </m:e>
                <m:sub>
                  <m:r>
                    <m:rPr>
                      <m:nor/>
                    </m:rPr>
                    <w:rPr>
                      <w:rFonts w:cs="Arial"/>
                    </w:rPr>
                    <m:t>p,t</m:t>
                  </m:r>
                </m:sub>
              </m:sSub>
              <m:r>
                <m:rPr>
                  <m:nor/>
                </m:rPr>
                <w:rPr>
                  <w:rFonts w:cs="Arial"/>
                </w:rPr>
                <m:t>=</m:t>
              </m:r>
              <m:sSub>
                <m:sSubPr>
                  <m:ctrlPr>
                    <w:rPr>
                      <w:rFonts w:ascii="Cambria Math" w:hAnsi="Cambria Math" w:cs="Arial"/>
                      <w:i/>
                    </w:rPr>
                  </m:ctrlPr>
                </m:sSubPr>
                <m:e>
                  <m:r>
                    <m:rPr>
                      <m:nor/>
                    </m:rPr>
                    <w:rPr>
                      <w:rFonts w:cs="Arial"/>
                    </w:rPr>
                    <m:t>A</m:t>
                  </m:r>
                </m:e>
                <m:sub>
                  <m:r>
                    <m:rPr>
                      <m:nor/>
                    </m:rPr>
                    <w:rPr>
                      <w:rFonts w:cs="Arial"/>
                    </w:rPr>
                    <m:t>p</m:t>
                  </m:r>
                </m:sub>
              </m:sSub>
              <m:r>
                <m:rPr>
                  <m:nor/>
                </m:rPr>
                <w:rPr>
                  <w:rFonts w:cs="Arial"/>
                </w:rPr>
                <m:t>∙</m:t>
              </m:r>
              <m:sSub>
                <m:sSubPr>
                  <m:ctrlPr>
                    <w:rPr>
                      <w:rFonts w:ascii="Cambria Math" w:hAnsi="Cambria Math" w:cs="Arial"/>
                      <w:i/>
                    </w:rPr>
                  </m:ctrlPr>
                </m:sSubPr>
                <m:e>
                  <m:r>
                    <m:rPr>
                      <m:nor/>
                    </m:rPr>
                    <w:rPr>
                      <w:rFonts w:cs="Arial"/>
                    </w:rPr>
                    <m:t>DB</m:t>
                  </m:r>
                </m:e>
                <m:sub>
                  <m:r>
                    <m:rPr>
                      <m:nor/>
                    </m:rPr>
                    <w:rPr>
                      <w:rFonts w:cs="Arial"/>
                    </w:rPr>
                    <m:t>t</m:t>
                  </m:r>
                </m:sub>
              </m:sSub>
              <m:r>
                <m:rPr>
                  <m:nor/>
                </m:rPr>
                <w:rPr>
                  <w:rFonts w:cs="Arial"/>
                </w:rPr>
                <m:t>∙</m:t>
              </m:r>
              <m:sSub>
                <m:sSubPr>
                  <m:ctrlPr>
                    <w:rPr>
                      <w:rFonts w:ascii="Cambria Math" w:hAnsi="Cambria Math" w:cs="Arial"/>
                      <w:i/>
                    </w:rPr>
                  </m:ctrlPr>
                </m:sSubPr>
                <m:e>
                  <m:r>
                    <m:rPr>
                      <m:nor/>
                    </m:rPr>
                    <w:rPr>
                      <w:rFonts w:cs="Arial"/>
                    </w:rPr>
                    <m:t>PoG</m:t>
                  </m:r>
                </m:e>
                <m:sub>
                  <m:r>
                    <m:rPr>
                      <m:nor/>
                    </m:rPr>
                    <w:rPr>
                      <w:rFonts w:cs="Arial"/>
                    </w:rPr>
                    <m:t>p,t</m:t>
                  </m:r>
                </m:sub>
              </m:sSub>
            </m:oMath>
            <w:r w:rsidR="00E865BF" w:rsidRPr="00697D65">
              <w:rPr>
                <w:rFonts w:cs="Arial"/>
              </w:rPr>
              <w:t xml:space="preserve"> </w:t>
            </w:r>
          </w:p>
        </w:tc>
        <w:tc>
          <w:tcPr>
            <w:tcW w:w="257" w:type="pct"/>
          </w:tcPr>
          <w:p w14:paraId="65F83C3D" w14:textId="77777777" w:rsidR="00E865BF" w:rsidRPr="00697D65" w:rsidRDefault="00E865BF" w:rsidP="009479AE">
            <w:pPr>
              <w:rPr>
                <w:rFonts w:cs="Arial"/>
              </w:rPr>
            </w:pPr>
            <w:r w:rsidRPr="00697D65">
              <w:rPr>
                <w:rFonts w:cs="Arial"/>
              </w:rPr>
              <w:t>(5)</w:t>
            </w:r>
          </w:p>
        </w:tc>
      </w:tr>
    </w:tbl>
    <w:p w14:paraId="30B030FB" w14:textId="105EE914" w:rsidR="00ED2C67" w:rsidRPr="00697D65" w:rsidRDefault="005C637C" w:rsidP="00EA6061">
      <w:pPr>
        <w:pStyle w:val="CETBodytext"/>
        <w:spacing w:before="120"/>
        <w:rPr>
          <w:b/>
          <w:bCs/>
          <w:lang w:val="en-GB"/>
        </w:rPr>
      </w:pPr>
      <w:r w:rsidRPr="00697D65">
        <w:rPr>
          <w:b/>
          <w:bCs/>
          <w:lang w:val="en-GB"/>
        </w:rPr>
        <w:lastRenderedPageBreak/>
        <w:t xml:space="preserve">Capacity Factor: </w:t>
      </w:r>
      <w:r w:rsidRPr="00697D65">
        <w:rPr>
          <w:lang w:val="en-GB"/>
        </w:rPr>
        <w:t>The efficiency of a power plant, calculated by comparing the average power generated over a year with the maximum power that would be generated under ideal conditions.</w:t>
      </w: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1"/>
        <w:gridCol w:w="436"/>
      </w:tblGrid>
      <w:tr w:rsidR="006E030E" w:rsidRPr="00697D65" w14:paraId="77A0DBE3" w14:textId="77777777" w:rsidTr="00B559B8">
        <w:tc>
          <w:tcPr>
            <w:tcW w:w="4752" w:type="pct"/>
          </w:tcPr>
          <w:p w14:paraId="366E044B" w14:textId="77777777" w:rsidR="006E030E" w:rsidRPr="00697D65" w:rsidRDefault="00000000" w:rsidP="009479AE">
            <w:pPr>
              <w:rPr>
                <w:rFonts w:cs="Arial"/>
              </w:rPr>
            </w:pPr>
            <m:oMath>
              <m:sSub>
                <m:sSubPr>
                  <m:ctrlPr>
                    <w:rPr>
                      <w:rFonts w:ascii="Cambria Math" w:hAnsi="Cambria Math" w:cs="Arial"/>
                      <w:i/>
                    </w:rPr>
                  </m:ctrlPr>
                </m:sSubPr>
                <m:e>
                  <m:r>
                    <m:rPr>
                      <m:nor/>
                    </m:rPr>
                    <w:rPr>
                      <w:rFonts w:cs="Arial"/>
                    </w:rPr>
                    <m:t>PoG</m:t>
                  </m:r>
                </m:e>
                <m:sub>
                  <m:r>
                    <m:rPr>
                      <m:nor/>
                    </m:rPr>
                    <w:rPr>
                      <w:rFonts w:cs="Arial"/>
                    </w:rPr>
                    <m:t>p,t</m:t>
                  </m:r>
                </m:sub>
              </m:sSub>
              <m:r>
                <m:rPr>
                  <m:nor/>
                </m:rPr>
                <w:rPr>
                  <w:rFonts w:cs="Arial"/>
                </w:rPr>
                <m:t>≤</m:t>
              </m:r>
              <m:sSub>
                <m:sSubPr>
                  <m:ctrlPr>
                    <w:rPr>
                      <w:rFonts w:ascii="Cambria Math" w:hAnsi="Cambria Math" w:cs="Arial"/>
                      <w:i/>
                    </w:rPr>
                  </m:ctrlPr>
                </m:sSubPr>
                <m:e>
                  <m:r>
                    <m:rPr>
                      <m:nor/>
                    </m:rPr>
                    <w:rPr>
                      <w:rFonts w:cs="Arial"/>
                    </w:rPr>
                    <m:t>F</m:t>
                  </m:r>
                </m:e>
                <m:sub>
                  <m:r>
                    <m:rPr>
                      <m:nor/>
                    </m:rPr>
                    <w:rPr>
                      <w:rFonts w:cs="Arial"/>
                    </w:rPr>
                    <m:t>p</m:t>
                  </m:r>
                </m:sub>
              </m:sSub>
              <m:r>
                <m:rPr>
                  <m:nor/>
                </m:rPr>
                <w:rPr>
                  <w:rFonts w:cs="Arial"/>
                </w:rPr>
                <m:t>∙</m:t>
              </m:r>
              <m:sSub>
                <m:sSubPr>
                  <m:ctrlPr>
                    <w:rPr>
                      <w:rFonts w:ascii="Cambria Math" w:hAnsi="Cambria Math" w:cs="Arial"/>
                      <w:i/>
                    </w:rPr>
                  </m:ctrlPr>
                </m:sSubPr>
                <m:e>
                  <m:r>
                    <m:rPr>
                      <m:nor/>
                    </m:rPr>
                    <w:rPr>
                      <w:rFonts w:cs="Arial"/>
                    </w:rPr>
                    <m:t>CaT</m:t>
                  </m:r>
                </m:e>
                <m:sub>
                  <m:r>
                    <m:rPr>
                      <m:nor/>
                    </m:rPr>
                    <w:rPr>
                      <w:rFonts w:cs="Arial"/>
                    </w:rPr>
                    <m:t>p,t</m:t>
                  </m:r>
                </m:sub>
              </m:sSub>
            </m:oMath>
            <w:r w:rsidR="006E030E" w:rsidRPr="00697D65">
              <w:rPr>
                <w:rFonts w:cs="Arial"/>
              </w:rPr>
              <w:t xml:space="preserve"> </w:t>
            </w:r>
          </w:p>
        </w:tc>
        <w:tc>
          <w:tcPr>
            <w:tcW w:w="248" w:type="pct"/>
          </w:tcPr>
          <w:p w14:paraId="35A78B89" w14:textId="77777777" w:rsidR="006E030E" w:rsidRPr="00697D65" w:rsidRDefault="006E030E" w:rsidP="009479AE">
            <w:pPr>
              <w:rPr>
                <w:rFonts w:cs="Arial"/>
              </w:rPr>
            </w:pPr>
            <w:r w:rsidRPr="00697D65">
              <w:rPr>
                <w:rFonts w:cs="Arial"/>
              </w:rPr>
              <w:t>(6)</w:t>
            </w:r>
          </w:p>
        </w:tc>
      </w:tr>
    </w:tbl>
    <w:p w14:paraId="1887673D" w14:textId="16BEC2BC" w:rsidR="006E030E" w:rsidRPr="00697D65" w:rsidRDefault="004E3C23" w:rsidP="00EA6061">
      <w:pPr>
        <w:pStyle w:val="CETBodytext"/>
        <w:spacing w:before="120" w:after="120"/>
        <w:rPr>
          <w:b/>
          <w:bCs/>
          <w:lang w:val="en-GB"/>
        </w:rPr>
      </w:pPr>
      <w:r w:rsidRPr="00697D65">
        <w:rPr>
          <w:b/>
          <w:bCs/>
          <w:lang w:val="en-GB"/>
        </w:rPr>
        <w:t xml:space="preserve">2.2.2 </w:t>
      </w:r>
      <w:r w:rsidR="005C637C" w:rsidRPr="00697D65">
        <w:rPr>
          <w:b/>
          <w:bCs/>
          <w:lang w:val="en-GB"/>
        </w:rPr>
        <w:t>Design Constraints</w:t>
      </w:r>
    </w:p>
    <w:p w14:paraId="24B6F8D1" w14:textId="40204C48" w:rsidR="00B81943" w:rsidRPr="00697D65" w:rsidRDefault="005C637C" w:rsidP="00EA6061">
      <w:pPr>
        <w:pStyle w:val="CETBodytext"/>
        <w:spacing w:after="120"/>
        <w:rPr>
          <w:lang w:val="en-GB"/>
        </w:rPr>
      </w:pPr>
      <w:r w:rsidRPr="00697D65">
        <w:rPr>
          <w:lang w:val="en-GB"/>
        </w:rPr>
        <w:t>These constraints consider the installed capacities as decision variables, including available resources, construction times, and limits on the number of plants to be installed per year, as well as the additional capacity to avoid oversizing.</w:t>
      </w:r>
    </w:p>
    <w:p w14:paraId="0EC359E3" w14:textId="77A6CC24" w:rsidR="004E3C23" w:rsidRPr="00697D65" w:rsidRDefault="005C637C" w:rsidP="004E3C23">
      <w:pPr>
        <w:pStyle w:val="CETBodytext"/>
        <w:rPr>
          <w:lang w:val="en-GB"/>
        </w:rPr>
      </w:pPr>
      <w:r w:rsidRPr="00697D65">
        <w:rPr>
          <w:b/>
          <w:bCs/>
          <w:lang w:val="en-GB"/>
        </w:rPr>
        <w:t xml:space="preserve">Available Installed Capacity: </w:t>
      </w:r>
      <w:r w:rsidRPr="00697D65">
        <w:rPr>
          <w:lang w:val="en-GB"/>
        </w:rPr>
        <w:t>The previously installed capacity plus the newly added capacity</w:t>
      </w:r>
      <w:r w:rsidR="004E3C23" w:rsidRPr="00697D65">
        <w:rPr>
          <w:lang w:val="en-GB"/>
        </w:rPr>
        <w:t>.</w:t>
      </w: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35"/>
        <w:gridCol w:w="452"/>
      </w:tblGrid>
      <w:tr w:rsidR="00717FA5" w:rsidRPr="00697D65" w14:paraId="7B898AC2" w14:textId="77777777" w:rsidTr="00717FA5">
        <w:tc>
          <w:tcPr>
            <w:tcW w:w="4743" w:type="pct"/>
          </w:tcPr>
          <w:p w14:paraId="66C2E2B0" w14:textId="77777777" w:rsidR="00717FA5" w:rsidRPr="00697D65" w:rsidRDefault="00000000" w:rsidP="00717FA5">
            <w:pPr>
              <w:jc w:val="left"/>
              <w:rPr>
                <w:rFonts w:cs="Arial"/>
              </w:rPr>
            </w:pPr>
            <m:oMath>
              <m:sSub>
                <m:sSubPr>
                  <m:ctrlPr>
                    <w:rPr>
                      <w:rFonts w:ascii="Cambria Math" w:hAnsi="Cambria Math" w:cs="Arial"/>
                      <w:i/>
                    </w:rPr>
                  </m:ctrlPr>
                </m:sSubPr>
                <m:e>
                  <m:r>
                    <m:rPr>
                      <m:nor/>
                    </m:rPr>
                    <w:rPr>
                      <w:rFonts w:cs="Arial"/>
                    </w:rPr>
                    <m:t>CaT</m:t>
                  </m:r>
                </m:e>
                <m:sub>
                  <m:r>
                    <m:rPr>
                      <m:nor/>
                    </m:rPr>
                    <w:rPr>
                      <w:rFonts w:cs="Arial"/>
                    </w:rPr>
                    <m:t>p,t</m:t>
                  </m:r>
                </m:sub>
              </m:sSub>
              <m:r>
                <m:rPr>
                  <m:nor/>
                </m:rPr>
                <w:rPr>
                  <w:rFonts w:cs="Arial"/>
                </w:rPr>
                <m:t>=</m:t>
              </m:r>
              <m:sSub>
                <m:sSubPr>
                  <m:ctrlPr>
                    <w:rPr>
                      <w:rFonts w:ascii="Cambria Math" w:hAnsi="Cambria Math" w:cs="Arial"/>
                      <w:i/>
                    </w:rPr>
                  </m:ctrlPr>
                </m:sSubPr>
                <m:e>
                  <m:r>
                    <m:rPr>
                      <m:nor/>
                    </m:rPr>
                    <w:rPr>
                      <w:rFonts w:cs="Arial"/>
                    </w:rPr>
                    <m:t>ICa</m:t>
                  </m:r>
                </m:e>
                <m:sub>
                  <m:r>
                    <m:rPr>
                      <m:nor/>
                    </m:rPr>
                    <w:rPr>
                      <w:rFonts w:cs="Arial"/>
                    </w:rPr>
                    <m:t>p,t</m:t>
                  </m:r>
                </m:sub>
              </m:sSub>
              <m:r>
                <m:rPr>
                  <m:nor/>
                </m:rPr>
                <w:rPr>
                  <w:rFonts w:cs="Arial"/>
                </w:rPr>
                <m:t>∙</m:t>
              </m:r>
              <m:sSub>
                <m:sSubPr>
                  <m:ctrlPr>
                    <w:rPr>
                      <w:rFonts w:ascii="Cambria Math" w:hAnsi="Cambria Math" w:cs="Arial"/>
                      <w:i/>
                    </w:rPr>
                  </m:ctrlPr>
                </m:sSubPr>
                <m:e>
                  <m:r>
                    <m:rPr>
                      <m:nor/>
                    </m:rPr>
                    <w:rPr>
                      <w:rFonts w:cs="Arial"/>
                    </w:rPr>
                    <m:t>Op</m:t>
                  </m:r>
                </m:e>
                <m:sub>
                  <m:r>
                    <m:rPr>
                      <m:nor/>
                    </m:rPr>
                    <w:rPr>
                      <w:rFonts w:cs="Arial"/>
                    </w:rPr>
                    <m:t>p,t</m:t>
                  </m:r>
                </m:sub>
              </m:sSub>
              <m:r>
                <m:rPr>
                  <m:nor/>
                </m:rPr>
                <w:rPr>
                  <w:rFonts w:cs="Arial"/>
                </w:rPr>
                <m:t>+</m:t>
              </m:r>
              <m:nary>
                <m:naryPr>
                  <m:chr m:val="∑"/>
                  <m:limLoc m:val="subSup"/>
                  <m:ctrlPr>
                    <w:rPr>
                      <w:rFonts w:ascii="Cambria Math" w:hAnsi="Cambria Math" w:cs="Arial"/>
                      <w:i/>
                    </w:rPr>
                  </m:ctrlPr>
                </m:naryPr>
                <m:sub>
                  <m:r>
                    <m:rPr>
                      <m:nor/>
                    </m:rPr>
                    <w:rPr>
                      <w:rFonts w:cs="Arial"/>
                    </w:rPr>
                    <m:t>v≤t-</m:t>
                  </m:r>
                  <m:sSub>
                    <m:sSubPr>
                      <m:ctrlPr>
                        <w:rPr>
                          <w:rFonts w:ascii="Cambria Math" w:hAnsi="Cambria Math" w:cs="Arial"/>
                          <w:i/>
                        </w:rPr>
                      </m:ctrlPr>
                    </m:sSubPr>
                    <m:e>
                      <m:r>
                        <m:rPr>
                          <m:nor/>
                        </m:rPr>
                        <w:rPr>
                          <w:rFonts w:cs="Arial"/>
                        </w:rPr>
                        <m:t>T</m:t>
                      </m:r>
                    </m:e>
                    <m:sub>
                      <m:r>
                        <m:rPr>
                          <m:nor/>
                        </m:rPr>
                        <w:rPr>
                          <w:rFonts w:cs="Arial"/>
                        </w:rPr>
                        <m:t>p</m:t>
                      </m:r>
                    </m:sub>
                  </m:sSub>
                </m:sub>
                <m:sup/>
                <m:e>
                  <m:sSub>
                    <m:sSubPr>
                      <m:ctrlPr>
                        <w:rPr>
                          <w:rFonts w:ascii="Cambria Math" w:hAnsi="Cambria Math" w:cs="Arial"/>
                          <w:i/>
                        </w:rPr>
                      </m:ctrlPr>
                    </m:sSubPr>
                    <m:e>
                      <m:r>
                        <m:rPr>
                          <m:nor/>
                        </m:rPr>
                        <w:rPr>
                          <w:rFonts w:cs="Arial"/>
                        </w:rPr>
                        <m:t>CaA</m:t>
                      </m:r>
                    </m:e>
                    <m:sub>
                      <m:r>
                        <m:rPr>
                          <m:nor/>
                        </m:rPr>
                        <w:rPr>
                          <w:rFonts w:cs="Arial"/>
                        </w:rPr>
                        <m:t>p,t</m:t>
                      </m:r>
                    </m:sub>
                  </m:sSub>
                </m:e>
              </m:nary>
            </m:oMath>
            <w:r w:rsidR="00717FA5" w:rsidRPr="00697D65">
              <w:rPr>
                <w:rFonts w:cs="Arial"/>
              </w:rPr>
              <w:t xml:space="preserve"> </w:t>
            </w:r>
          </w:p>
        </w:tc>
        <w:tc>
          <w:tcPr>
            <w:tcW w:w="257" w:type="pct"/>
          </w:tcPr>
          <w:p w14:paraId="5D7F666F" w14:textId="77777777" w:rsidR="00717FA5" w:rsidRPr="00697D65" w:rsidRDefault="00717FA5" w:rsidP="009479AE">
            <w:pPr>
              <w:rPr>
                <w:rFonts w:cs="Arial"/>
              </w:rPr>
            </w:pPr>
            <w:r w:rsidRPr="00697D65">
              <w:rPr>
                <w:rFonts w:cs="Arial"/>
              </w:rPr>
              <w:t>(7)</w:t>
            </w:r>
          </w:p>
        </w:tc>
      </w:tr>
    </w:tbl>
    <w:p w14:paraId="1260EB70" w14:textId="524564BD" w:rsidR="00ED2C67" w:rsidRPr="00697D65" w:rsidRDefault="0033525B" w:rsidP="00EA6061">
      <w:pPr>
        <w:pStyle w:val="CETBodytext"/>
        <w:spacing w:before="120"/>
        <w:rPr>
          <w:lang w:val="en-GB"/>
        </w:rPr>
      </w:pPr>
      <w:r w:rsidRPr="00697D65">
        <w:rPr>
          <w:b/>
          <w:bCs/>
          <w:lang w:val="en-GB"/>
        </w:rPr>
        <w:t xml:space="preserve">Added Capacity Limits: </w:t>
      </w:r>
      <w:r w:rsidRPr="00697D65">
        <w:rPr>
          <w:lang w:val="en-GB"/>
        </w:rPr>
        <w:t>Limits are set for the added capacity (Eq(8)), ensuring that these do not exceed the maximum capacity throughout the entire planning horizon (Eq(9)).</w:t>
      </w:r>
      <w:r w:rsidR="00022BC0" w:rsidRPr="00697D65">
        <w:rPr>
          <w:lang w:val="en-GB"/>
        </w:rPr>
        <w:t xml:space="preserve"> </w:t>
      </w:r>
      <w:r w:rsidR="00AE4D19" w:rsidRPr="00697D65">
        <w:rPr>
          <w:lang w:val="en-GB"/>
        </w:rPr>
        <w:t>These added capacities determine the areas required by the equipment.</w:t>
      </w: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35"/>
        <w:gridCol w:w="452"/>
      </w:tblGrid>
      <w:tr w:rsidR="00205B9F" w:rsidRPr="00697D65" w14:paraId="7278B793" w14:textId="77777777" w:rsidTr="00205B9F">
        <w:tc>
          <w:tcPr>
            <w:tcW w:w="4743" w:type="pct"/>
          </w:tcPr>
          <w:p w14:paraId="2A7696AA" w14:textId="77777777" w:rsidR="00205B9F" w:rsidRPr="00697D65" w:rsidRDefault="00000000" w:rsidP="009479AE">
            <w:pPr>
              <w:rPr>
                <w:rFonts w:cs="Arial"/>
              </w:rPr>
            </w:pPr>
            <m:oMath>
              <m:sSub>
                <m:sSubPr>
                  <m:ctrlPr>
                    <w:rPr>
                      <w:rFonts w:ascii="Cambria Math" w:hAnsi="Cambria Math" w:cs="Arial"/>
                      <w:i/>
                    </w:rPr>
                  </m:ctrlPr>
                </m:sSubPr>
                <m:e>
                  <m:acc>
                    <m:accPr>
                      <m:ctrlPr>
                        <w:rPr>
                          <w:rFonts w:ascii="Cambria Math" w:hAnsi="Cambria Math" w:cs="Arial"/>
                          <w:i/>
                        </w:rPr>
                      </m:ctrlPr>
                    </m:accPr>
                    <m:e>
                      <m:r>
                        <m:rPr>
                          <m:nor/>
                        </m:rPr>
                        <w:rPr>
                          <w:rFonts w:cs="Arial"/>
                        </w:rPr>
                        <m:t>Camin</m:t>
                      </m:r>
                    </m:e>
                  </m:acc>
                </m:e>
                <m:sub>
                  <m:r>
                    <m:rPr>
                      <m:nor/>
                    </m:rPr>
                    <w:rPr>
                      <w:rFonts w:cs="Arial"/>
                    </w:rPr>
                    <m:t>p</m:t>
                  </m:r>
                </m:sub>
              </m:sSub>
              <m:r>
                <m:rPr>
                  <m:nor/>
                </m:rPr>
                <w:rPr>
                  <w:rFonts w:cs="Arial"/>
                </w:rPr>
                <m:t>∙</m:t>
              </m:r>
              <m:sSub>
                <m:sSubPr>
                  <m:ctrlPr>
                    <w:rPr>
                      <w:rFonts w:ascii="Cambria Math" w:hAnsi="Cambria Math" w:cs="Arial"/>
                      <w:i/>
                    </w:rPr>
                  </m:ctrlPr>
                </m:sSubPr>
                <m:e>
                  <m:r>
                    <m:rPr>
                      <m:nor/>
                    </m:rPr>
                    <w:rPr>
                      <w:rFonts w:cs="Arial"/>
                    </w:rPr>
                    <m:t>In</m:t>
                  </m:r>
                </m:e>
                <m:sub>
                  <m:r>
                    <m:rPr>
                      <m:nor/>
                    </m:rPr>
                    <w:rPr>
                      <w:rFonts w:cs="Arial"/>
                    </w:rPr>
                    <m:t>p,t</m:t>
                  </m:r>
                </m:sub>
              </m:sSub>
              <m:r>
                <m:rPr>
                  <m:nor/>
                </m:rPr>
                <w:rPr>
                  <w:rFonts w:cs="Arial"/>
                </w:rPr>
                <m:t>≤</m:t>
              </m:r>
              <m:sSub>
                <m:sSubPr>
                  <m:ctrlPr>
                    <w:rPr>
                      <w:rFonts w:ascii="Cambria Math" w:hAnsi="Cambria Math" w:cs="Arial"/>
                      <w:i/>
                    </w:rPr>
                  </m:ctrlPr>
                </m:sSubPr>
                <m:e>
                  <m:r>
                    <m:rPr>
                      <m:nor/>
                    </m:rPr>
                    <w:rPr>
                      <w:rFonts w:cs="Arial"/>
                    </w:rPr>
                    <m:t>CaA</m:t>
                  </m:r>
                </m:e>
                <m:sub>
                  <m:r>
                    <m:rPr>
                      <m:nor/>
                    </m:rPr>
                    <w:rPr>
                      <w:rFonts w:cs="Arial"/>
                    </w:rPr>
                    <m:t>p,t</m:t>
                  </m:r>
                </m:sub>
              </m:sSub>
              <m:r>
                <m:rPr>
                  <m:nor/>
                </m:rPr>
                <w:rPr>
                  <w:rFonts w:cs="Arial"/>
                </w:rPr>
                <m:t>≤</m:t>
              </m:r>
              <m:sSub>
                <m:sSubPr>
                  <m:ctrlPr>
                    <w:rPr>
                      <w:rFonts w:ascii="Cambria Math" w:hAnsi="Cambria Math" w:cs="Arial"/>
                      <w:i/>
                    </w:rPr>
                  </m:ctrlPr>
                </m:sSubPr>
                <m:e>
                  <m:acc>
                    <m:accPr>
                      <m:ctrlPr>
                        <w:rPr>
                          <w:rFonts w:ascii="Cambria Math" w:hAnsi="Cambria Math" w:cs="Arial"/>
                          <w:i/>
                        </w:rPr>
                      </m:ctrlPr>
                    </m:accPr>
                    <m:e>
                      <m:r>
                        <m:rPr>
                          <m:nor/>
                        </m:rPr>
                        <w:rPr>
                          <w:rFonts w:cs="Arial"/>
                        </w:rPr>
                        <m:t>Camax</m:t>
                      </m:r>
                    </m:e>
                  </m:acc>
                </m:e>
                <m:sub>
                  <m:r>
                    <m:rPr>
                      <m:nor/>
                    </m:rPr>
                    <w:rPr>
                      <w:rFonts w:cs="Arial"/>
                    </w:rPr>
                    <m:t>p</m:t>
                  </m:r>
                </m:sub>
              </m:sSub>
              <m:r>
                <m:rPr>
                  <m:nor/>
                </m:rPr>
                <w:rPr>
                  <w:rFonts w:cs="Arial"/>
                </w:rPr>
                <m:t>∙</m:t>
              </m:r>
              <m:sSub>
                <m:sSubPr>
                  <m:ctrlPr>
                    <w:rPr>
                      <w:rFonts w:ascii="Cambria Math" w:hAnsi="Cambria Math" w:cs="Arial"/>
                      <w:i/>
                    </w:rPr>
                  </m:ctrlPr>
                </m:sSubPr>
                <m:e>
                  <m:r>
                    <m:rPr>
                      <m:nor/>
                    </m:rPr>
                    <w:rPr>
                      <w:rFonts w:cs="Arial"/>
                    </w:rPr>
                    <m:t>In</m:t>
                  </m:r>
                </m:e>
                <m:sub>
                  <m:r>
                    <m:rPr>
                      <m:nor/>
                    </m:rPr>
                    <w:rPr>
                      <w:rFonts w:cs="Arial"/>
                    </w:rPr>
                    <m:t>p,t</m:t>
                  </m:r>
                </m:sub>
              </m:sSub>
            </m:oMath>
            <w:r w:rsidR="00205B9F" w:rsidRPr="00697D65">
              <w:rPr>
                <w:rFonts w:cs="Arial"/>
              </w:rPr>
              <w:t xml:space="preserve"> </w:t>
            </w:r>
          </w:p>
        </w:tc>
        <w:tc>
          <w:tcPr>
            <w:tcW w:w="257" w:type="pct"/>
          </w:tcPr>
          <w:p w14:paraId="227EB87F" w14:textId="77777777" w:rsidR="00205B9F" w:rsidRPr="00697D65" w:rsidRDefault="00205B9F" w:rsidP="009479AE">
            <w:pPr>
              <w:rPr>
                <w:rFonts w:cs="Arial"/>
              </w:rPr>
            </w:pPr>
            <w:r w:rsidRPr="00697D65">
              <w:rPr>
                <w:rFonts w:cs="Arial"/>
              </w:rPr>
              <w:t>(8)</w:t>
            </w:r>
          </w:p>
        </w:tc>
      </w:tr>
      <w:tr w:rsidR="00205B9F" w:rsidRPr="00697D65" w14:paraId="7B5DE6BC" w14:textId="77777777" w:rsidTr="00205B9F">
        <w:tc>
          <w:tcPr>
            <w:tcW w:w="4743" w:type="pct"/>
          </w:tcPr>
          <w:p w14:paraId="1C2781A2" w14:textId="77777777" w:rsidR="00205B9F" w:rsidRPr="00697D65" w:rsidRDefault="00000000" w:rsidP="009479AE">
            <w:pPr>
              <w:rPr>
                <w:rFonts w:cs="Arial"/>
              </w:rPr>
            </w:pPr>
            <m:oMath>
              <m:nary>
                <m:naryPr>
                  <m:chr m:val="∑"/>
                  <m:limLoc m:val="subSup"/>
                  <m:ctrlPr>
                    <w:rPr>
                      <w:rFonts w:ascii="Cambria Math" w:hAnsi="Cambria Math" w:cs="Arial"/>
                      <w:i/>
                    </w:rPr>
                  </m:ctrlPr>
                </m:naryPr>
                <m:sub>
                  <m:r>
                    <m:rPr>
                      <m:nor/>
                    </m:rPr>
                    <w:rPr>
                      <w:rFonts w:cs="Arial"/>
                    </w:rPr>
                    <m:t>t</m:t>
                  </m:r>
                </m:sub>
                <m:sup/>
                <m:e>
                  <m:sSub>
                    <m:sSubPr>
                      <m:ctrlPr>
                        <w:rPr>
                          <w:rFonts w:ascii="Cambria Math" w:hAnsi="Cambria Math" w:cs="Arial"/>
                          <w:i/>
                        </w:rPr>
                      </m:ctrlPr>
                    </m:sSubPr>
                    <m:e>
                      <m:r>
                        <m:rPr>
                          <m:nor/>
                        </m:rPr>
                        <w:rPr>
                          <w:rFonts w:cs="Arial"/>
                        </w:rPr>
                        <m:t>CaA</m:t>
                      </m:r>
                    </m:e>
                    <m:sub>
                      <m:r>
                        <m:rPr>
                          <m:nor/>
                        </m:rPr>
                        <w:rPr>
                          <w:rFonts w:cs="Arial"/>
                        </w:rPr>
                        <m:t>p,t</m:t>
                      </m:r>
                    </m:sub>
                  </m:sSub>
                </m:e>
              </m:nary>
              <m:r>
                <m:rPr>
                  <m:nor/>
                </m:rPr>
                <w:rPr>
                  <w:rFonts w:cs="Arial"/>
                </w:rPr>
                <m:t>≤</m:t>
              </m:r>
              <m:sSub>
                <m:sSubPr>
                  <m:ctrlPr>
                    <w:rPr>
                      <w:rFonts w:ascii="Cambria Math" w:hAnsi="Cambria Math" w:cs="Arial"/>
                      <w:i/>
                    </w:rPr>
                  </m:ctrlPr>
                </m:sSubPr>
                <m:e>
                  <m:acc>
                    <m:accPr>
                      <m:ctrlPr>
                        <w:rPr>
                          <w:rFonts w:ascii="Cambria Math" w:hAnsi="Cambria Math" w:cs="Arial"/>
                          <w:i/>
                        </w:rPr>
                      </m:ctrlPr>
                    </m:accPr>
                    <m:e>
                      <m:r>
                        <m:rPr>
                          <m:nor/>
                        </m:rPr>
                        <w:rPr>
                          <w:rFonts w:cs="Arial"/>
                        </w:rPr>
                        <m:t>Camax</m:t>
                      </m:r>
                    </m:e>
                  </m:acc>
                </m:e>
                <m:sub>
                  <m:r>
                    <m:rPr>
                      <m:nor/>
                    </m:rPr>
                    <w:rPr>
                      <w:rFonts w:cs="Arial"/>
                    </w:rPr>
                    <m:t>p</m:t>
                  </m:r>
                </m:sub>
              </m:sSub>
            </m:oMath>
            <w:r w:rsidR="00205B9F" w:rsidRPr="00697D65">
              <w:rPr>
                <w:rFonts w:cs="Arial"/>
              </w:rPr>
              <w:t xml:space="preserve"> </w:t>
            </w:r>
          </w:p>
        </w:tc>
        <w:tc>
          <w:tcPr>
            <w:tcW w:w="257" w:type="pct"/>
          </w:tcPr>
          <w:p w14:paraId="32A4E7D0" w14:textId="77777777" w:rsidR="00205B9F" w:rsidRPr="00697D65" w:rsidRDefault="00205B9F" w:rsidP="009479AE">
            <w:pPr>
              <w:rPr>
                <w:rFonts w:cs="Arial"/>
              </w:rPr>
            </w:pPr>
            <w:r w:rsidRPr="00697D65">
              <w:rPr>
                <w:rFonts w:cs="Arial"/>
              </w:rPr>
              <w:t>(9)</w:t>
            </w:r>
          </w:p>
        </w:tc>
      </w:tr>
    </w:tbl>
    <w:p w14:paraId="2943C3D7" w14:textId="7050BC5A" w:rsidR="00ED2C67" w:rsidRPr="00697D65" w:rsidRDefault="0033525B" w:rsidP="00EA6061">
      <w:pPr>
        <w:pStyle w:val="CETBodytext"/>
        <w:spacing w:before="120"/>
        <w:rPr>
          <w:lang w:val="en-GB"/>
        </w:rPr>
      </w:pPr>
      <w:r w:rsidRPr="00697D65">
        <w:rPr>
          <w:b/>
          <w:bCs/>
          <w:lang w:val="en-GB"/>
        </w:rPr>
        <w:t xml:space="preserve">Installed Capacities per Period: </w:t>
      </w:r>
      <w:r w:rsidRPr="00697D65">
        <w:rPr>
          <w:lang w:val="en-GB"/>
        </w:rPr>
        <w:t>The amount of plant construction is limited during a specific period.</w:t>
      </w:r>
    </w:p>
    <w:tbl>
      <w:tblPr>
        <w:tblStyle w:val="Tablaconcuadrcula"/>
        <w:tblW w:w="8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41"/>
        <w:gridCol w:w="537"/>
      </w:tblGrid>
      <w:tr w:rsidR="00CF0998" w:rsidRPr="00697D65" w14:paraId="6C95F627" w14:textId="77777777" w:rsidTr="00B559B8">
        <w:tc>
          <w:tcPr>
            <w:tcW w:w="8341" w:type="dxa"/>
          </w:tcPr>
          <w:p w14:paraId="6710CDA9" w14:textId="77777777" w:rsidR="00CF0998" w:rsidRPr="00697D65" w:rsidRDefault="00000000" w:rsidP="009479AE">
            <m:oMath>
              <m:nary>
                <m:naryPr>
                  <m:chr m:val="∑"/>
                  <m:limLoc m:val="subSup"/>
                  <m:ctrlPr>
                    <w:rPr>
                      <w:rFonts w:ascii="Cambria Math" w:hAnsi="Cambria Math" w:cs="Arial"/>
                      <w:i/>
                    </w:rPr>
                  </m:ctrlPr>
                </m:naryPr>
                <m:sub>
                  <m:r>
                    <w:rPr>
                      <w:rFonts w:ascii="Cambria Math" w:hAnsi="Cambria Math" w:cs="Arial"/>
                    </w:rPr>
                    <m:t>p</m:t>
                  </m:r>
                </m:sub>
                <m:sup/>
                <m:e>
                  <m:sSub>
                    <m:sSubPr>
                      <m:ctrlPr>
                        <w:rPr>
                          <w:rFonts w:ascii="Cambria Math" w:hAnsi="Cambria Math" w:cs="Arial"/>
                          <w:i/>
                        </w:rPr>
                      </m:ctrlPr>
                    </m:sSubPr>
                    <m:e>
                      <m:r>
                        <m:rPr>
                          <m:nor/>
                        </m:rPr>
                        <w:rPr>
                          <w:rFonts w:cs="Arial"/>
                        </w:rPr>
                        <m:t>In</m:t>
                      </m:r>
                    </m:e>
                    <m:sub>
                      <m:r>
                        <m:rPr>
                          <m:nor/>
                        </m:rPr>
                        <w:rPr>
                          <w:rFonts w:cs="Arial"/>
                        </w:rPr>
                        <m:t>p,t</m:t>
                      </m:r>
                    </m:sub>
                  </m:sSub>
                </m:e>
              </m:nary>
              <m:r>
                <w:rPr>
                  <w:rFonts w:ascii="Cambria Math" w:hAnsi="Cambria Math" w:cs="Arial"/>
                </w:rPr>
                <m:t>≤2</m:t>
              </m:r>
            </m:oMath>
            <w:r w:rsidR="00CF0998" w:rsidRPr="00697D65">
              <w:t xml:space="preserve"> </w:t>
            </w:r>
          </w:p>
        </w:tc>
        <w:tc>
          <w:tcPr>
            <w:tcW w:w="537" w:type="dxa"/>
          </w:tcPr>
          <w:p w14:paraId="0AAEBD04" w14:textId="77777777" w:rsidR="00CF0998" w:rsidRPr="00697D65" w:rsidRDefault="00CF0998" w:rsidP="009479AE">
            <w:r w:rsidRPr="00697D65">
              <w:t>(10)</w:t>
            </w:r>
          </w:p>
        </w:tc>
      </w:tr>
    </w:tbl>
    <w:p w14:paraId="13757248" w14:textId="7151A6B2" w:rsidR="00ED2C67" w:rsidRPr="00697D65" w:rsidRDefault="0033525B" w:rsidP="00EA6061">
      <w:pPr>
        <w:pStyle w:val="CETBodytext"/>
        <w:spacing w:before="120"/>
        <w:rPr>
          <w:lang w:val="en-GB"/>
        </w:rPr>
      </w:pPr>
      <w:r w:rsidRPr="00697D65">
        <w:rPr>
          <w:b/>
          <w:bCs/>
          <w:lang w:val="en-GB"/>
        </w:rPr>
        <w:t xml:space="preserve">Specific Consumption of Available Resources: </w:t>
      </w:r>
      <w:r w:rsidRPr="00697D65">
        <w:rPr>
          <w:lang w:val="en-GB"/>
        </w:rPr>
        <w:t>The primary sources used for electricity generation must not exceed the available number of resources.</w:t>
      </w: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19"/>
        <w:gridCol w:w="568"/>
      </w:tblGrid>
      <w:tr w:rsidR="00782FF2" w:rsidRPr="00697D65" w14:paraId="2764381D" w14:textId="77777777" w:rsidTr="00782FF2">
        <w:tc>
          <w:tcPr>
            <w:tcW w:w="4677" w:type="pct"/>
          </w:tcPr>
          <w:p w14:paraId="3368C348" w14:textId="77777777" w:rsidR="00782FF2" w:rsidRPr="00697D65" w:rsidRDefault="00000000" w:rsidP="009479AE">
            <w:pPr>
              <w:rPr>
                <w:rFonts w:cs="Arial"/>
              </w:rPr>
            </w:pPr>
            <m:oMath>
              <m:sSub>
                <m:sSubPr>
                  <m:ctrlPr>
                    <w:rPr>
                      <w:rFonts w:ascii="Cambria Math" w:hAnsi="Cambria Math" w:cs="Arial"/>
                      <w:i/>
                    </w:rPr>
                  </m:ctrlPr>
                </m:sSubPr>
                <m:e>
                  <m:acc>
                    <m:accPr>
                      <m:ctrlPr>
                        <w:rPr>
                          <w:rFonts w:ascii="Cambria Math" w:hAnsi="Cambria Math" w:cs="Arial"/>
                          <w:i/>
                        </w:rPr>
                      </m:ctrlPr>
                    </m:accPr>
                    <m:e>
                      <m:r>
                        <m:rPr>
                          <m:nor/>
                        </m:rPr>
                        <w:rPr>
                          <w:rFonts w:cs="Arial"/>
                        </w:rPr>
                        <m:t>Rw</m:t>
                      </m:r>
                    </m:e>
                  </m:acc>
                </m:e>
                <m:sub>
                  <m:r>
                    <m:rPr>
                      <m:nor/>
                    </m:rPr>
                    <w:rPr>
                      <w:rFonts w:cs="Arial"/>
                    </w:rPr>
                    <m:t>r,p</m:t>
                  </m:r>
                </m:sub>
              </m:sSub>
              <m:r>
                <m:rPr>
                  <m:nor/>
                </m:rPr>
                <w:rPr>
                  <w:rFonts w:cs="Arial"/>
                </w:rPr>
                <m:t>∙</m:t>
              </m:r>
              <m:sSub>
                <m:sSubPr>
                  <m:ctrlPr>
                    <w:rPr>
                      <w:rFonts w:ascii="Cambria Math" w:hAnsi="Cambria Math" w:cs="Arial"/>
                      <w:i/>
                    </w:rPr>
                  </m:ctrlPr>
                </m:sSubPr>
                <m:e>
                  <m:r>
                    <m:rPr>
                      <m:nor/>
                    </m:rPr>
                    <w:rPr>
                      <w:rFonts w:cs="Arial"/>
                    </w:rPr>
                    <m:t>EnG</m:t>
                  </m:r>
                </m:e>
                <m:sub>
                  <m:r>
                    <m:rPr>
                      <m:nor/>
                    </m:rPr>
                    <w:rPr>
                      <w:rFonts w:cs="Arial"/>
                    </w:rPr>
                    <m:t>p,t</m:t>
                  </m:r>
                </m:sub>
              </m:sSub>
              <m:r>
                <m:rPr>
                  <m:nor/>
                </m:rPr>
                <w:rPr>
                  <w:rFonts w:cs="Arial"/>
                </w:rPr>
                <m:t>≤</m:t>
              </m:r>
              <m:sSub>
                <m:sSubPr>
                  <m:ctrlPr>
                    <w:rPr>
                      <w:rFonts w:ascii="Cambria Math" w:hAnsi="Cambria Math" w:cs="Arial"/>
                      <w:i/>
                    </w:rPr>
                  </m:ctrlPr>
                </m:sSubPr>
                <m:e>
                  <m:r>
                    <m:rPr>
                      <m:nor/>
                    </m:rPr>
                    <w:rPr>
                      <w:rFonts w:cs="Arial"/>
                    </w:rPr>
                    <m:t>PriT</m:t>
                  </m:r>
                </m:e>
                <m:sub>
                  <m:r>
                    <m:rPr>
                      <m:nor/>
                    </m:rPr>
                    <w:rPr>
                      <w:rFonts w:cs="Arial"/>
                    </w:rPr>
                    <m:t>r,t</m:t>
                  </m:r>
                </m:sub>
              </m:sSub>
            </m:oMath>
            <w:r w:rsidR="00782FF2" w:rsidRPr="00697D65">
              <w:rPr>
                <w:rFonts w:cs="Arial"/>
              </w:rPr>
              <w:t xml:space="preserve"> </w:t>
            </w:r>
          </w:p>
        </w:tc>
        <w:tc>
          <w:tcPr>
            <w:tcW w:w="323" w:type="pct"/>
          </w:tcPr>
          <w:p w14:paraId="55187C45" w14:textId="5B5FA484" w:rsidR="00782FF2" w:rsidRPr="00697D65" w:rsidRDefault="00782FF2" w:rsidP="009479AE">
            <w:pPr>
              <w:rPr>
                <w:rFonts w:cs="Arial"/>
              </w:rPr>
            </w:pPr>
            <w:r w:rsidRPr="00697D65">
              <w:rPr>
                <w:rFonts w:cs="Arial"/>
              </w:rPr>
              <w:t>(11)</w:t>
            </w:r>
          </w:p>
        </w:tc>
      </w:tr>
    </w:tbl>
    <w:p w14:paraId="7A9EB7E1" w14:textId="22E00503" w:rsidR="00ED2C67" w:rsidRPr="00697D65" w:rsidRDefault="0033525B" w:rsidP="00EA6061">
      <w:pPr>
        <w:pStyle w:val="CETBodytext"/>
        <w:spacing w:before="120"/>
        <w:rPr>
          <w:lang w:val="en-GB"/>
        </w:rPr>
      </w:pPr>
      <w:r w:rsidRPr="00697D65">
        <w:rPr>
          <w:b/>
          <w:bCs/>
          <w:lang w:val="en-GB"/>
        </w:rPr>
        <w:t xml:space="preserve">Specific Consumption of Fossil Fuels: </w:t>
      </w:r>
      <w:r w:rsidRPr="00697D65">
        <w:rPr>
          <w:lang w:val="en-GB"/>
        </w:rPr>
        <w:t>The primary resource used in diesel plants is fossil fuel.</w:t>
      </w: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37"/>
        <w:gridCol w:w="550"/>
      </w:tblGrid>
      <w:tr w:rsidR="00B832F9" w:rsidRPr="00697D65" w14:paraId="675CCC20" w14:textId="77777777" w:rsidTr="00B832F9">
        <w:tc>
          <w:tcPr>
            <w:tcW w:w="4687" w:type="pct"/>
          </w:tcPr>
          <w:p w14:paraId="2AC24DCD" w14:textId="77777777" w:rsidR="00B832F9" w:rsidRPr="00697D65" w:rsidRDefault="00000000" w:rsidP="009479AE">
            <w:pPr>
              <w:rPr>
                <w:rFonts w:cs="Arial"/>
              </w:rPr>
            </w:pPr>
            <m:oMath>
              <m:sSub>
                <m:sSubPr>
                  <m:ctrlPr>
                    <w:rPr>
                      <w:rFonts w:ascii="Cambria Math" w:hAnsi="Cambria Math" w:cs="Arial"/>
                      <w:i/>
                    </w:rPr>
                  </m:ctrlPr>
                </m:sSubPr>
                <m:e>
                  <m:acc>
                    <m:accPr>
                      <m:ctrlPr>
                        <w:rPr>
                          <w:rFonts w:ascii="Cambria Math" w:hAnsi="Cambria Math" w:cs="Arial"/>
                          <w:i/>
                        </w:rPr>
                      </m:ctrlPr>
                    </m:accPr>
                    <m:e>
                      <m:r>
                        <m:rPr>
                          <m:nor/>
                        </m:rPr>
                        <w:rPr>
                          <w:rFonts w:cs="Arial"/>
                        </w:rPr>
                        <m:t>Rw</m:t>
                      </m:r>
                    </m:e>
                  </m:acc>
                </m:e>
                <m:sub>
                  <m:r>
                    <m:rPr>
                      <m:nor/>
                    </m:rPr>
                    <w:rPr>
                      <w:rFonts w:cs="Arial"/>
                    </w:rPr>
                    <m:t>r,p</m:t>
                  </m:r>
                </m:sub>
              </m:sSub>
              <m:r>
                <m:rPr>
                  <m:nor/>
                </m:rPr>
                <w:rPr>
                  <w:rFonts w:cs="Arial"/>
                </w:rPr>
                <m:t>∙</m:t>
              </m:r>
              <m:sSub>
                <m:sSubPr>
                  <m:ctrlPr>
                    <w:rPr>
                      <w:rFonts w:ascii="Cambria Math" w:hAnsi="Cambria Math" w:cs="Arial"/>
                      <w:i/>
                    </w:rPr>
                  </m:ctrlPr>
                </m:sSubPr>
                <m:e>
                  <m:r>
                    <m:rPr>
                      <m:nor/>
                    </m:rPr>
                    <w:rPr>
                      <w:rFonts w:cs="Arial"/>
                    </w:rPr>
                    <m:t>EnG</m:t>
                  </m:r>
                </m:e>
                <m:sub>
                  <m:r>
                    <m:rPr>
                      <m:nor/>
                    </m:rPr>
                    <w:rPr>
                      <w:rFonts w:cs="Arial"/>
                    </w:rPr>
                    <m:t>p,t</m:t>
                  </m:r>
                </m:sub>
              </m:sSub>
              <m:r>
                <w:rPr>
                  <w:rFonts w:ascii="Cambria Math" w:hAnsi="Cambria Math" w:cs="Arial"/>
                </w:rPr>
                <m:t>=</m:t>
              </m:r>
              <m:sSub>
                <m:sSubPr>
                  <m:ctrlPr>
                    <w:rPr>
                      <w:rFonts w:ascii="Cambria Math" w:hAnsi="Cambria Math" w:cs="Arial"/>
                      <w:i/>
                    </w:rPr>
                  </m:ctrlPr>
                </m:sSubPr>
                <m:e>
                  <m:r>
                    <m:rPr>
                      <m:nor/>
                    </m:rPr>
                    <w:rPr>
                      <w:rFonts w:cs="Arial"/>
                    </w:rPr>
                    <m:t>FuR</m:t>
                  </m:r>
                </m:e>
                <m:sub>
                  <m:r>
                    <m:rPr>
                      <m:nor/>
                    </m:rPr>
                    <w:rPr>
                      <w:rFonts w:cs="Arial"/>
                    </w:rPr>
                    <m:t>r,t</m:t>
                  </m:r>
                </m:sub>
              </m:sSub>
            </m:oMath>
            <w:r w:rsidR="00B832F9" w:rsidRPr="00697D65">
              <w:rPr>
                <w:rFonts w:cs="Arial"/>
              </w:rPr>
              <w:t xml:space="preserve"> </w:t>
            </w:r>
          </w:p>
        </w:tc>
        <w:tc>
          <w:tcPr>
            <w:tcW w:w="313" w:type="pct"/>
          </w:tcPr>
          <w:p w14:paraId="7B2F79B3" w14:textId="62A1DD6B" w:rsidR="00B832F9" w:rsidRPr="00697D65" w:rsidRDefault="00B832F9" w:rsidP="009479AE">
            <w:pPr>
              <w:rPr>
                <w:rFonts w:cs="Arial"/>
              </w:rPr>
            </w:pPr>
            <w:r w:rsidRPr="00697D65">
              <w:rPr>
                <w:rFonts w:cs="Arial"/>
              </w:rPr>
              <w:t>(12)</w:t>
            </w:r>
          </w:p>
        </w:tc>
      </w:tr>
    </w:tbl>
    <w:p w14:paraId="138115D4" w14:textId="3E081B17" w:rsidR="00A64198" w:rsidRPr="00697D65" w:rsidRDefault="004E3C23" w:rsidP="00EA6061">
      <w:pPr>
        <w:pStyle w:val="CETBodytext"/>
        <w:spacing w:before="120" w:after="120"/>
        <w:rPr>
          <w:b/>
          <w:bCs/>
          <w:lang w:val="en-GB"/>
        </w:rPr>
      </w:pPr>
      <w:r w:rsidRPr="00697D65">
        <w:rPr>
          <w:b/>
          <w:bCs/>
          <w:lang w:val="en-GB"/>
        </w:rPr>
        <w:t xml:space="preserve">2.2.3 </w:t>
      </w:r>
      <w:r w:rsidR="0033525B" w:rsidRPr="00697D65">
        <w:rPr>
          <w:b/>
          <w:bCs/>
          <w:lang w:val="en-GB"/>
        </w:rPr>
        <w:t>Budgetary Constraint</w:t>
      </w:r>
    </w:p>
    <w:p w14:paraId="7529A8C5" w14:textId="36156609" w:rsidR="004E3C23" w:rsidRPr="00697D65" w:rsidRDefault="0033525B" w:rsidP="004E3C23">
      <w:pPr>
        <w:pStyle w:val="CETBodytext"/>
        <w:rPr>
          <w:lang w:val="en-GB"/>
        </w:rPr>
      </w:pPr>
      <w:r w:rsidRPr="00697D65">
        <w:rPr>
          <w:lang w:val="en-GB"/>
        </w:rPr>
        <w:t>The total cost of the hybrid system to be installed is limited by the financial support allocated for the expansion of electricity coverage in interconnected areas</w:t>
      </w:r>
      <w:r w:rsidR="004E3C23" w:rsidRPr="00697D65">
        <w:rPr>
          <w:lang w:val="en-GB"/>
        </w:rPr>
        <w:t>.</w:t>
      </w: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49"/>
        <w:gridCol w:w="538"/>
      </w:tblGrid>
      <w:tr w:rsidR="00E33649" w:rsidRPr="00697D65" w14:paraId="22C0EE63" w14:textId="77777777" w:rsidTr="00B559B8">
        <w:tc>
          <w:tcPr>
            <w:tcW w:w="4694" w:type="pct"/>
          </w:tcPr>
          <w:p w14:paraId="20893FC5" w14:textId="77777777" w:rsidR="00E33649" w:rsidRPr="00697D65" w:rsidRDefault="00000000" w:rsidP="009479AE">
            <w:pPr>
              <w:rPr>
                <w:rFonts w:cs="Arial"/>
              </w:rPr>
            </w:pPr>
            <m:oMath>
              <m:nary>
                <m:naryPr>
                  <m:chr m:val="∑"/>
                  <m:limLoc m:val="subSup"/>
                  <m:ctrlPr>
                    <w:rPr>
                      <w:rFonts w:ascii="Cambria Math" w:hAnsi="Cambria Math" w:cs="Arial"/>
                      <w:i/>
                    </w:rPr>
                  </m:ctrlPr>
                </m:naryPr>
                <m:sub>
                  <m:r>
                    <m:rPr>
                      <m:nor/>
                    </m:rPr>
                    <w:rPr>
                      <w:rFonts w:cs="Arial"/>
                    </w:rPr>
                    <m:t>t</m:t>
                  </m:r>
                </m:sub>
                <m:sup/>
                <m:e>
                  <m:f>
                    <m:fPr>
                      <m:ctrlPr>
                        <w:rPr>
                          <w:rFonts w:ascii="Cambria Math" w:hAnsi="Cambria Math" w:cs="Arial"/>
                          <w:i/>
                        </w:rPr>
                      </m:ctrlPr>
                    </m:fPr>
                    <m:num>
                      <m:r>
                        <m:rPr>
                          <m:nor/>
                        </m:rPr>
                        <w:rPr>
                          <w:rFonts w:cs="Arial"/>
                        </w:rPr>
                        <m:t>1</m:t>
                      </m:r>
                    </m:num>
                    <m:den>
                      <m:sSup>
                        <m:sSupPr>
                          <m:ctrlPr>
                            <w:rPr>
                              <w:rFonts w:ascii="Cambria Math" w:hAnsi="Cambria Math" w:cs="Arial"/>
                              <w:i/>
                            </w:rPr>
                          </m:ctrlPr>
                        </m:sSupPr>
                        <m:e>
                          <m:d>
                            <m:dPr>
                              <m:ctrlPr>
                                <w:rPr>
                                  <w:rFonts w:ascii="Cambria Math" w:hAnsi="Cambria Math" w:cs="Arial"/>
                                  <w:i/>
                                </w:rPr>
                              </m:ctrlPr>
                            </m:dPr>
                            <m:e>
                              <m:r>
                                <m:rPr>
                                  <m:nor/>
                                </m:rPr>
                                <w:rPr>
                                  <w:rFonts w:cs="Arial"/>
                                </w:rPr>
                                <m:t>1+r</m:t>
                              </m:r>
                            </m:e>
                          </m:d>
                        </m:e>
                        <m:sup>
                          <m:r>
                            <m:rPr>
                              <m:nor/>
                            </m:rPr>
                            <w:rPr>
                              <w:rFonts w:cs="Arial"/>
                            </w:rPr>
                            <m:t>t</m:t>
                          </m:r>
                        </m:sup>
                      </m:sSup>
                    </m:den>
                  </m:f>
                </m:e>
              </m:nary>
              <m:r>
                <m:rPr>
                  <m:nor/>
                </m:rPr>
                <w:rPr>
                  <w:rFonts w:cs="Arial"/>
                </w:rPr>
                <m:t>∙[</m:t>
              </m:r>
              <m:nary>
                <m:naryPr>
                  <m:chr m:val="∑"/>
                  <m:limLoc m:val="subSup"/>
                  <m:ctrlPr>
                    <w:rPr>
                      <w:rFonts w:ascii="Cambria Math" w:hAnsi="Cambria Math" w:cs="Arial"/>
                      <w:i/>
                    </w:rPr>
                  </m:ctrlPr>
                </m:naryPr>
                <m:sub>
                  <m:r>
                    <m:rPr>
                      <m:nor/>
                    </m:rPr>
                    <w:rPr>
                      <w:rFonts w:cs="Arial"/>
                    </w:rPr>
                    <m:t>p</m:t>
                  </m:r>
                </m:sub>
                <m:sup/>
                <m:e>
                  <m:sSub>
                    <m:sSubPr>
                      <m:ctrlPr>
                        <w:rPr>
                          <w:rFonts w:ascii="Cambria Math" w:hAnsi="Cambria Math" w:cs="Arial"/>
                          <w:i/>
                        </w:rPr>
                      </m:ctrlPr>
                    </m:sSubPr>
                    <m:e>
                      <m:acc>
                        <m:accPr>
                          <m:ctrlPr>
                            <w:rPr>
                              <w:rFonts w:ascii="Cambria Math" w:hAnsi="Cambria Math" w:cs="Arial"/>
                              <w:i/>
                            </w:rPr>
                          </m:ctrlPr>
                        </m:accPr>
                        <m:e>
                          <m:r>
                            <m:rPr>
                              <m:nor/>
                            </m:rPr>
                            <w:rPr>
                              <w:rFonts w:cs="Arial"/>
                            </w:rPr>
                            <m:t>InvCo</m:t>
                          </m:r>
                        </m:e>
                      </m:acc>
                    </m:e>
                    <m:sub>
                      <m:r>
                        <m:rPr>
                          <m:nor/>
                        </m:rPr>
                        <w:rPr>
                          <w:rFonts w:cs="Arial"/>
                        </w:rPr>
                        <m:t>p,t</m:t>
                      </m:r>
                    </m:sub>
                  </m:sSub>
                </m:e>
              </m:nary>
              <m:r>
                <m:rPr>
                  <m:nor/>
                </m:rPr>
                <w:rPr>
                  <w:rFonts w:cs="Arial"/>
                </w:rPr>
                <m:t>∙</m:t>
              </m:r>
              <m:sSub>
                <m:sSubPr>
                  <m:ctrlPr>
                    <w:rPr>
                      <w:rFonts w:ascii="Cambria Math" w:hAnsi="Cambria Math" w:cs="Arial"/>
                      <w:i/>
                    </w:rPr>
                  </m:ctrlPr>
                </m:sSubPr>
                <m:e>
                  <m:r>
                    <m:rPr>
                      <m:nor/>
                    </m:rPr>
                    <w:rPr>
                      <w:rFonts w:cs="Arial"/>
                    </w:rPr>
                    <m:t>CaA</m:t>
                  </m:r>
                </m:e>
                <m:sub>
                  <m:r>
                    <m:rPr>
                      <m:nor/>
                    </m:rPr>
                    <w:rPr>
                      <w:rFonts w:cs="Arial"/>
                    </w:rPr>
                    <m:t>p,t</m:t>
                  </m:r>
                </m:sub>
              </m:sSub>
              <m:r>
                <m:rPr>
                  <m:nor/>
                </m:rPr>
                <w:rPr>
                  <w:rFonts w:cs="Arial"/>
                </w:rPr>
                <m:t>]≤</m:t>
              </m:r>
              <m:acc>
                <m:accPr>
                  <m:ctrlPr>
                    <w:rPr>
                      <w:rFonts w:ascii="Cambria Math" w:hAnsi="Cambria Math" w:cs="Arial"/>
                      <w:i/>
                    </w:rPr>
                  </m:ctrlPr>
                </m:accPr>
                <m:e>
                  <m:r>
                    <m:rPr>
                      <m:nor/>
                    </m:rPr>
                    <w:rPr>
                      <w:rFonts w:cs="Arial"/>
                    </w:rPr>
                    <m:t>BugCo</m:t>
                  </m:r>
                </m:e>
              </m:acc>
            </m:oMath>
            <w:r w:rsidR="00E33649" w:rsidRPr="00697D65">
              <w:rPr>
                <w:rFonts w:cs="Arial"/>
              </w:rPr>
              <w:t xml:space="preserve"> </w:t>
            </w:r>
          </w:p>
        </w:tc>
        <w:tc>
          <w:tcPr>
            <w:tcW w:w="306" w:type="pct"/>
            <w:vAlign w:val="center"/>
          </w:tcPr>
          <w:p w14:paraId="4C603AEA" w14:textId="77777777" w:rsidR="00E33649" w:rsidRPr="00697D65" w:rsidRDefault="00E33649" w:rsidP="009479AE">
            <w:pPr>
              <w:jc w:val="center"/>
              <w:rPr>
                <w:rFonts w:cs="Arial"/>
              </w:rPr>
            </w:pPr>
            <w:r w:rsidRPr="00697D65">
              <w:rPr>
                <w:rFonts w:cs="Arial"/>
              </w:rPr>
              <w:t>(12)</w:t>
            </w:r>
          </w:p>
        </w:tc>
      </w:tr>
    </w:tbl>
    <w:p w14:paraId="541842DF" w14:textId="4A03B0B9" w:rsidR="00FA40B8" w:rsidRPr="00697D65" w:rsidRDefault="0033525B" w:rsidP="001D382A">
      <w:pPr>
        <w:pStyle w:val="CETBodytext"/>
        <w:spacing w:before="120" w:after="120"/>
        <w:rPr>
          <w:b/>
          <w:bCs/>
          <w:lang w:val="en-GB"/>
        </w:rPr>
      </w:pPr>
      <w:r w:rsidRPr="00697D65">
        <w:rPr>
          <w:b/>
          <w:bCs/>
          <w:lang w:val="en-GB"/>
        </w:rPr>
        <w:t xml:space="preserve">2.3 Case </w:t>
      </w:r>
      <w:r w:rsidR="00A9059B" w:rsidRPr="00697D65">
        <w:rPr>
          <w:b/>
          <w:bCs/>
          <w:lang w:val="en-GB"/>
        </w:rPr>
        <w:t>s</w:t>
      </w:r>
      <w:r w:rsidRPr="00697D65">
        <w:rPr>
          <w:b/>
          <w:bCs/>
          <w:lang w:val="en-GB"/>
        </w:rPr>
        <w:t>tudy</w:t>
      </w:r>
    </w:p>
    <w:p w14:paraId="08545F76" w14:textId="4B1F49EA" w:rsidR="00425DE6" w:rsidRPr="00697D65" w:rsidRDefault="0033525B" w:rsidP="0033525B">
      <w:pPr>
        <w:pStyle w:val="CETBodytext"/>
        <w:rPr>
          <w:lang w:val="en-GB"/>
        </w:rPr>
      </w:pPr>
      <w:r w:rsidRPr="00697D65">
        <w:rPr>
          <w:lang w:val="en-GB"/>
        </w:rPr>
        <w:t>The MOMILP model was applied to the municipality of Pamplona, Colombia, which spans an area of 29,840 hectares, of which 24.2% are classified as páramo zones. These páramo zones are of vital importance due to their rich biodiversity and ability to supply water to approximately 2.5 million people. This municipality is connected to the national interconnected system and meets an electricity demand of 699 MWh for a population of approximately 56,894 people (</w:t>
      </w:r>
      <w:r w:rsidR="00482031" w:rsidRPr="00697D65">
        <w:rPr>
          <w:lang w:val="en-GB"/>
        </w:rPr>
        <w:t>Villamizar-Villamizar et al.</w:t>
      </w:r>
      <w:r w:rsidRPr="00697D65">
        <w:rPr>
          <w:lang w:val="en-GB"/>
        </w:rPr>
        <w:t>, 202</w:t>
      </w:r>
      <w:r w:rsidR="00BB2D97" w:rsidRPr="00697D65">
        <w:rPr>
          <w:lang w:val="en-GB"/>
        </w:rPr>
        <w:t>4</w:t>
      </w:r>
      <w:r w:rsidRPr="00697D65">
        <w:rPr>
          <w:lang w:val="en-GB"/>
        </w:rPr>
        <w:t>).</w:t>
      </w:r>
    </w:p>
    <w:p w14:paraId="085571CD" w14:textId="307101C5" w:rsidR="00FA40B8" w:rsidRPr="00697D65" w:rsidRDefault="00910DA0" w:rsidP="001D382A">
      <w:pPr>
        <w:pStyle w:val="CETBodytext"/>
        <w:spacing w:before="120" w:after="120"/>
        <w:rPr>
          <w:b/>
          <w:bCs/>
          <w:lang w:val="en-GB"/>
        </w:rPr>
      </w:pPr>
      <w:r w:rsidRPr="00697D65">
        <w:rPr>
          <w:b/>
          <w:bCs/>
          <w:lang w:val="en-GB"/>
        </w:rPr>
        <w:t xml:space="preserve">2.4 </w:t>
      </w:r>
      <w:r w:rsidR="00FD4A25" w:rsidRPr="00697D65">
        <w:rPr>
          <w:b/>
          <w:bCs/>
          <w:lang w:val="en-GB"/>
        </w:rPr>
        <w:t xml:space="preserve">Technical and financial </w:t>
      </w:r>
      <w:commentRangeStart w:id="3"/>
      <w:r w:rsidR="00FD4A25" w:rsidRPr="00697D65">
        <w:rPr>
          <w:b/>
          <w:bCs/>
          <w:lang w:val="en-GB"/>
        </w:rPr>
        <w:t>parameters</w:t>
      </w:r>
      <w:commentRangeEnd w:id="3"/>
      <w:r w:rsidR="00E95564" w:rsidRPr="00697D65">
        <w:rPr>
          <w:rStyle w:val="Refdecomentario"/>
          <w:lang w:val="en-GB"/>
        </w:rPr>
        <w:commentReference w:id="3"/>
      </w:r>
    </w:p>
    <w:p w14:paraId="6C735DA4" w14:textId="188611DE" w:rsidR="00DE2F51" w:rsidRPr="00697D65" w:rsidRDefault="00657750" w:rsidP="0033525B">
      <w:pPr>
        <w:pStyle w:val="CETBodytext"/>
        <w:rPr>
          <w:lang w:val="en-GB"/>
        </w:rPr>
      </w:pPr>
      <w:r w:rsidRPr="00697D65">
        <w:rPr>
          <w:lang w:val="en-GB"/>
        </w:rPr>
        <w:t>The technical and financial parameters used to solve the MOMILP model are shown in Table 1. In addition, the financial parameters were projected using the Colombian consumer price index (IPC) and the Eq</w:t>
      </w:r>
      <w:r w:rsidR="008D3CEA">
        <w:rPr>
          <w:lang w:val="en-GB"/>
        </w:rPr>
        <w:t>(</w:t>
      </w:r>
      <w:r w:rsidRPr="00697D65">
        <w:rPr>
          <w:lang w:val="en-GB"/>
        </w:rPr>
        <w:t>13</w:t>
      </w:r>
      <w:r w:rsidR="008D3CEA">
        <w:rPr>
          <w:lang w:val="en-GB"/>
        </w:rPr>
        <w:t>)</w:t>
      </w:r>
    </w:p>
    <w:tbl>
      <w:tblPr>
        <w:tblStyle w:val="Tablaconcuadrcula"/>
        <w:tblW w:w="88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6"/>
        <w:gridCol w:w="537"/>
      </w:tblGrid>
      <w:tr w:rsidR="009B63E0" w:rsidRPr="00697D65" w14:paraId="4FD3423F" w14:textId="77777777" w:rsidTr="009B63E0">
        <w:tc>
          <w:tcPr>
            <w:tcW w:w="8417" w:type="dxa"/>
          </w:tcPr>
          <w:p w14:paraId="403C2E7C" w14:textId="77777777" w:rsidR="009B63E0" w:rsidRPr="00697D65" w:rsidRDefault="00000000" w:rsidP="00216542">
            <w:pPr>
              <w:pStyle w:val="CETBodytext"/>
              <w:rPr>
                <w:lang w:val="en-GB"/>
              </w:rPr>
            </w:pPr>
            <m:oMath>
              <m:sSub>
                <m:sSubPr>
                  <m:ctrlPr>
                    <w:rPr>
                      <w:rFonts w:ascii="Cambria Math" w:hAnsi="Cambria Math"/>
                      <w:i/>
                      <w:lang w:val="en-GB"/>
                    </w:rPr>
                  </m:ctrlPr>
                </m:sSubPr>
                <m:e>
                  <m:r>
                    <w:rPr>
                      <w:rFonts w:ascii="Cambria Math" w:hAnsi="Cambria Math"/>
                      <w:lang w:val="en-GB"/>
                    </w:rPr>
                    <m:t>C</m:t>
                  </m:r>
                </m:e>
                <m:sub>
                  <m:r>
                    <w:rPr>
                      <w:rFonts w:ascii="Cambria Math" w:hAnsi="Cambria Math"/>
                      <w:lang w:val="en-GB"/>
                    </w:rPr>
                    <m:t>n</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C</m:t>
                  </m:r>
                </m:e>
                <m:sub>
                  <m:r>
                    <w:rPr>
                      <w:rFonts w:ascii="Cambria Math" w:hAnsi="Cambria Math"/>
                      <w:lang w:val="en-GB"/>
                    </w:rPr>
                    <m:t>0</m:t>
                  </m:r>
                </m:sub>
              </m:sSub>
              <m:r>
                <w:rPr>
                  <w:rFonts w:ascii="Cambria Math" w:hAnsi="Cambria Math"/>
                  <w:lang w:val="en-GB"/>
                </w:rPr>
                <m:t>*</m:t>
              </m:r>
              <m:d>
                <m:dPr>
                  <m:ctrlPr>
                    <w:rPr>
                      <w:rFonts w:ascii="Cambria Math" w:hAnsi="Cambria Math"/>
                      <w:i/>
                      <w:lang w:val="en-GB"/>
                    </w:rPr>
                  </m:ctrlPr>
                </m:dPr>
                <m:e>
                  <m:f>
                    <m:fPr>
                      <m:ctrlPr>
                        <w:rPr>
                          <w:rFonts w:ascii="Cambria Math" w:hAnsi="Cambria Math"/>
                          <w:i/>
                          <w:lang w:val="en-GB"/>
                        </w:rPr>
                      </m:ctrlPr>
                    </m:fPr>
                    <m:num>
                      <m:sSub>
                        <m:sSubPr>
                          <m:ctrlPr>
                            <w:rPr>
                              <w:rFonts w:ascii="Cambria Math" w:hAnsi="Cambria Math"/>
                              <w:i/>
                              <w:lang w:val="en-GB"/>
                            </w:rPr>
                          </m:ctrlPr>
                        </m:sSubPr>
                        <m:e>
                          <m:r>
                            <w:rPr>
                              <w:rFonts w:ascii="Cambria Math" w:hAnsi="Cambria Math"/>
                              <w:lang w:val="en-GB"/>
                            </w:rPr>
                            <m:t>IPC</m:t>
                          </m:r>
                        </m:e>
                        <m:sub>
                          <m:r>
                            <w:rPr>
                              <w:rFonts w:ascii="Cambria Math" w:hAnsi="Cambria Math"/>
                              <w:lang w:val="en-GB"/>
                            </w:rPr>
                            <m:t>n</m:t>
                          </m:r>
                        </m:sub>
                      </m:sSub>
                    </m:num>
                    <m:den>
                      <m:sSub>
                        <m:sSubPr>
                          <m:ctrlPr>
                            <w:rPr>
                              <w:rFonts w:ascii="Cambria Math" w:hAnsi="Cambria Math"/>
                              <w:i/>
                              <w:lang w:val="en-GB"/>
                            </w:rPr>
                          </m:ctrlPr>
                        </m:sSubPr>
                        <m:e>
                          <m:r>
                            <w:rPr>
                              <w:rFonts w:ascii="Cambria Math" w:hAnsi="Cambria Math"/>
                              <w:lang w:val="en-GB"/>
                            </w:rPr>
                            <m:t>IPC</m:t>
                          </m:r>
                        </m:e>
                        <m:sub>
                          <m:r>
                            <w:rPr>
                              <w:rFonts w:ascii="Cambria Math" w:hAnsi="Cambria Math"/>
                              <w:lang w:val="en-GB"/>
                            </w:rPr>
                            <m:t>0</m:t>
                          </m:r>
                        </m:sub>
                      </m:sSub>
                    </m:den>
                  </m:f>
                </m:e>
              </m:d>
            </m:oMath>
            <w:r w:rsidR="009B63E0" w:rsidRPr="00697D65">
              <w:rPr>
                <w:lang w:val="en-GB"/>
              </w:rPr>
              <w:t xml:space="preserve"> </w:t>
            </w:r>
          </w:p>
        </w:tc>
        <w:tc>
          <w:tcPr>
            <w:tcW w:w="436" w:type="dxa"/>
          </w:tcPr>
          <w:p w14:paraId="5FD02974" w14:textId="555846D4" w:rsidR="009B63E0" w:rsidRPr="00697D65" w:rsidRDefault="009B63E0" w:rsidP="00216542">
            <w:pPr>
              <w:pStyle w:val="CETBodytext"/>
              <w:rPr>
                <w:lang w:val="en-GB"/>
              </w:rPr>
            </w:pPr>
            <w:r w:rsidRPr="00697D65">
              <w:rPr>
                <w:lang w:val="en-GB"/>
              </w:rPr>
              <w:t>(</w:t>
            </w:r>
            <w:r w:rsidR="00657750" w:rsidRPr="00697D65">
              <w:rPr>
                <w:lang w:val="en-GB"/>
              </w:rPr>
              <w:t>1</w:t>
            </w:r>
            <w:r w:rsidRPr="00697D65">
              <w:rPr>
                <w:lang w:val="en-GB"/>
              </w:rPr>
              <w:t>3)</w:t>
            </w:r>
          </w:p>
        </w:tc>
      </w:tr>
    </w:tbl>
    <w:p w14:paraId="241CD872" w14:textId="1FAF1B16" w:rsidR="006018B1" w:rsidRPr="00697D65" w:rsidRDefault="00454092" w:rsidP="00EA6061">
      <w:pPr>
        <w:pStyle w:val="CETBodytext"/>
        <w:spacing w:after="120"/>
        <w:rPr>
          <w:lang w:val="en-GB"/>
        </w:rPr>
      </w:pPr>
      <w:r w:rsidRPr="00697D65">
        <w:rPr>
          <w:lang w:val="en-GB"/>
        </w:rPr>
        <w:t>Where</w:t>
      </w:r>
      <w:r w:rsidR="009B63E0" w:rsidRPr="00697D65">
        <w:rPr>
          <w:lang w:val="en-GB"/>
        </w:rPr>
        <w:t xml:space="preserve"> </w:t>
      </w:r>
      <m:oMath>
        <m:sSub>
          <m:sSubPr>
            <m:ctrlPr>
              <w:rPr>
                <w:rFonts w:ascii="Cambria Math" w:hAnsi="Cambria Math"/>
                <w:i/>
                <w:lang w:val="en-GB"/>
              </w:rPr>
            </m:ctrlPr>
          </m:sSubPr>
          <m:e>
            <m:r>
              <w:rPr>
                <w:rFonts w:ascii="Cambria Math" w:hAnsi="Cambria Math"/>
                <w:lang w:val="en-GB"/>
              </w:rPr>
              <m:t>C</m:t>
            </m:r>
          </m:e>
          <m:sub>
            <m:r>
              <w:rPr>
                <w:rFonts w:ascii="Cambria Math" w:hAnsi="Cambria Math"/>
                <w:lang w:val="en-GB"/>
              </w:rPr>
              <m:t>n</m:t>
            </m:r>
          </m:sub>
        </m:sSub>
      </m:oMath>
      <w:r w:rsidRPr="00697D65">
        <w:rPr>
          <w:lang w:val="en-GB"/>
        </w:rPr>
        <w:t xml:space="preserve"> is the cost </w:t>
      </w:r>
      <w:r w:rsidR="00EB4D1E" w:rsidRPr="00697D65">
        <w:rPr>
          <w:lang w:val="en-GB"/>
        </w:rPr>
        <w:t>of</w:t>
      </w:r>
      <w:r w:rsidRPr="00697D65">
        <w:rPr>
          <w:lang w:val="en-GB"/>
        </w:rPr>
        <w:t xml:space="preserve"> the year to be </w:t>
      </w:r>
      <w:r w:rsidR="00F442F0" w:rsidRPr="00697D65">
        <w:rPr>
          <w:lang w:val="en-GB"/>
        </w:rPr>
        <w:t>projected</w:t>
      </w:r>
      <w:r w:rsidR="009B63E0" w:rsidRPr="00697D65">
        <w:rPr>
          <w:lang w:val="en-GB"/>
        </w:rPr>
        <w:t xml:space="preserve">, </w:t>
      </w:r>
      <m:oMath>
        <m:sSub>
          <m:sSubPr>
            <m:ctrlPr>
              <w:rPr>
                <w:rFonts w:ascii="Cambria Math" w:hAnsi="Cambria Math"/>
                <w:i/>
                <w:lang w:val="en-GB"/>
              </w:rPr>
            </m:ctrlPr>
          </m:sSubPr>
          <m:e>
            <m:r>
              <w:rPr>
                <w:rFonts w:ascii="Cambria Math" w:hAnsi="Cambria Math"/>
                <w:lang w:val="en-GB"/>
              </w:rPr>
              <m:t>C</m:t>
            </m:r>
          </m:e>
          <m:sub>
            <m:r>
              <w:rPr>
                <w:rFonts w:ascii="Cambria Math" w:hAnsi="Cambria Math"/>
                <w:lang w:val="en-GB"/>
              </w:rPr>
              <m:t>0</m:t>
            </m:r>
          </m:sub>
        </m:sSub>
      </m:oMath>
      <w:r w:rsidR="009B63E0" w:rsidRPr="00697D65">
        <w:rPr>
          <w:lang w:val="en-GB"/>
        </w:rPr>
        <w:t xml:space="preserve"> </w:t>
      </w:r>
      <w:r w:rsidR="009E11D3" w:rsidRPr="00697D65">
        <w:rPr>
          <w:lang w:val="en-GB"/>
        </w:rPr>
        <w:t>is the base year cost</w:t>
      </w:r>
      <w:r w:rsidR="009B63E0" w:rsidRPr="00697D65">
        <w:rPr>
          <w:lang w:val="en-GB"/>
        </w:rPr>
        <w:t xml:space="preserve">, </w:t>
      </w:r>
      <m:oMath>
        <m:sSub>
          <m:sSubPr>
            <m:ctrlPr>
              <w:rPr>
                <w:rFonts w:ascii="Cambria Math" w:hAnsi="Cambria Math"/>
                <w:i/>
                <w:lang w:val="en-GB"/>
              </w:rPr>
            </m:ctrlPr>
          </m:sSubPr>
          <m:e>
            <m:r>
              <w:rPr>
                <w:rFonts w:ascii="Cambria Math" w:hAnsi="Cambria Math"/>
                <w:lang w:val="en-GB"/>
              </w:rPr>
              <m:t>IPC</m:t>
            </m:r>
          </m:e>
          <m:sub>
            <m:r>
              <w:rPr>
                <w:rFonts w:ascii="Cambria Math" w:hAnsi="Cambria Math"/>
                <w:lang w:val="en-GB"/>
              </w:rPr>
              <m:t>n</m:t>
            </m:r>
          </m:sub>
        </m:sSub>
      </m:oMath>
      <w:r w:rsidR="009B63E0" w:rsidRPr="00697D65">
        <w:rPr>
          <w:lang w:val="en-GB"/>
        </w:rPr>
        <w:t xml:space="preserve"> </w:t>
      </w:r>
      <w:r w:rsidR="009E11D3" w:rsidRPr="00697D65">
        <w:rPr>
          <w:lang w:val="en-GB"/>
        </w:rPr>
        <w:t xml:space="preserve">is the IPC of the year to be projected and </w:t>
      </w:r>
      <m:oMath>
        <m:sSub>
          <m:sSubPr>
            <m:ctrlPr>
              <w:rPr>
                <w:rFonts w:ascii="Cambria Math" w:hAnsi="Cambria Math"/>
                <w:i/>
                <w:lang w:val="en-GB"/>
              </w:rPr>
            </m:ctrlPr>
          </m:sSubPr>
          <m:e>
            <m:r>
              <w:rPr>
                <w:rFonts w:ascii="Cambria Math" w:hAnsi="Cambria Math"/>
                <w:lang w:val="en-GB"/>
              </w:rPr>
              <m:t>IPC</m:t>
            </m:r>
          </m:e>
          <m:sub>
            <m:r>
              <w:rPr>
                <w:rFonts w:ascii="Cambria Math" w:hAnsi="Cambria Math"/>
                <w:lang w:val="en-GB"/>
              </w:rPr>
              <m:t>0</m:t>
            </m:r>
          </m:sub>
        </m:sSub>
      </m:oMath>
      <w:r w:rsidR="009B63E0" w:rsidRPr="00697D65">
        <w:rPr>
          <w:lang w:val="en-GB"/>
        </w:rPr>
        <w:t xml:space="preserve"> </w:t>
      </w:r>
      <w:r w:rsidR="009E11D3" w:rsidRPr="00697D65">
        <w:rPr>
          <w:lang w:val="en-GB"/>
        </w:rPr>
        <w:t xml:space="preserve">is the </w:t>
      </w:r>
      <w:r w:rsidR="004950AF" w:rsidRPr="00697D65">
        <w:rPr>
          <w:lang w:val="en-GB"/>
        </w:rPr>
        <w:t>IPC</w:t>
      </w:r>
      <w:r w:rsidR="009E11D3" w:rsidRPr="00697D65">
        <w:rPr>
          <w:lang w:val="en-GB"/>
        </w:rPr>
        <w:t xml:space="preserve"> of the base year (CREG, 2005)</w:t>
      </w:r>
      <w:r w:rsidR="00D61632" w:rsidRPr="00697D65">
        <w:rPr>
          <w:lang w:val="en-GB"/>
        </w:rPr>
        <w:t>.</w:t>
      </w:r>
    </w:p>
    <w:p w14:paraId="61CFA052" w14:textId="4D036DD0" w:rsidR="009B63E0" w:rsidRPr="00697D65" w:rsidRDefault="009B63E0" w:rsidP="009B63E0">
      <w:pPr>
        <w:pStyle w:val="CETBodytext"/>
        <w:rPr>
          <w:i/>
          <w:iCs/>
          <w:lang w:val="en-GB"/>
        </w:rPr>
      </w:pPr>
      <w:r w:rsidRPr="00697D65">
        <w:rPr>
          <w:i/>
          <w:iCs/>
          <w:lang w:val="en-GB"/>
        </w:rPr>
        <w:t>Tabl</w:t>
      </w:r>
      <w:r w:rsidR="0087520C" w:rsidRPr="00697D65">
        <w:rPr>
          <w:i/>
          <w:iCs/>
          <w:lang w:val="en-GB"/>
        </w:rPr>
        <w:t>e</w:t>
      </w:r>
      <w:r w:rsidRPr="00697D65">
        <w:rPr>
          <w:i/>
          <w:iCs/>
          <w:lang w:val="en-GB"/>
        </w:rPr>
        <w:t xml:space="preserve"> 1. </w:t>
      </w:r>
      <w:r w:rsidR="0087520C" w:rsidRPr="00697D65">
        <w:rPr>
          <w:i/>
          <w:iCs/>
          <w:lang w:val="en-GB"/>
        </w:rPr>
        <w:t>Technical and financial parameters of renewable energy (IRENA, 2023).</w:t>
      </w:r>
    </w:p>
    <w:tbl>
      <w:tblPr>
        <w:tblW w:w="5000" w:type="pct"/>
        <w:jc w:val="center"/>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2834"/>
        <w:gridCol w:w="1988"/>
        <w:gridCol w:w="1842"/>
        <w:gridCol w:w="2123"/>
      </w:tblGrid>
      <w:tr w:rsidR="009B63E0" w:rsidRPr="00697D65" w14:paraId="1CE9729D" w14:textId="77777777" w:rsidTr="008B2711">
        <w:trPr>
          <w:jc w:val="center"/>
        </w:trPr>
        <w:tc>
          <w:tcPr>
            <w:tcW w:w="1613" w:type="pct"/>
            <w:tcBorders>
              <w:top w:val="single" w:sz="12" w:space="0" w:color="008000"/>
              <w:bottom w:val="single" w:sz="6" w:space="0" w:color="008000"/>
            </w:tcBorders>
            <w:shd w:val="clear" w:color="auto" w:fill="FFFFFF"/>
            <w:vAlign w:val="center"/>
          </w:tcPr>
          <w:p w14:paraId="754645BA" w14:textId="253AB8BB" w:rsidR="009B63E0" w:rsidRPr="00697D65" w:rsidRDefault="00CC36F3" w:rsidP="00216542">
            <w:pPr>
              <w:pStyle w:val="CETBodytext"/>
              <w:jc w:val="left"/>
              <w:rPr>
                <w:lang w:val="en-GB"/>
              </w:rPr>
            </w:pPr>
            <w:r w:rsidRPr="00697D65">
              <w:rPr>
                <w:lang w:val="en-GB"/>
              </w:rPr>
              <w:t>Parameters</w:t>
            </w:r>
          </w:p>
        </w:tc>
        <w:tc>
          <w:tcPr>
            <w:tcW w:w="1131" w:type="pct"/>
            <w:tcBorders>
              <w:top w:val="single" w:sz="12" w:space="0" w:color="008000"/>
              <w:bottom w:val="single" w:sz="6" w:space="0" w:color="008000"/>
            </w:tcBorders>
            <w:shd w:val="clear" w:color="auto" w:fill="FFFFFF"/>
            <w:vAlign w:val="center"/>
          </w:tcPr>
          <w:p w14:paraId="23EDDC8B" w14:textId="41156A82" w:rsidR="009B63E0" w:rsidRPr="00697D65" w:rsidRDefault="00C80397" w:rsidP="00216542">
            <w:pPr>
              <w:pStyle w:val="CETBodytext"/>
              <w:jc w:val="center"/>
              <w:rPr>
                <w:lang w:val="en-GB"/>
              </w:rPr>
            </w:pPr>
            <w:r w:rsidRPr="00697D65">
              <w:rPr>
                <w:lang w:val="en-GB"/>
              </w:rPr>
              <w:t xml:space="preserve">Photovoltaic panel </w:t>
            </w:r>
            <w:r w:rsidR="009B63E0" w:rsidRPr="00697D65">
              <w:rPr>
                <w:lang w:val="en-GB"/>
              </w:rPr>
              <w:t>(PV)</w:t>
            </w:r>
          </w:p>
        </w:tc>
        <w:tc>
          <w:tcPr>
            <w:tcW w:w="1048" w:type="pct"/>
            <w:tcBorders>
              <w:top w:val="single" w:sz="12" w:space="0" w:color="008000"/>
              <w:bottom w:val="single" w:sz="6" w:space="0" w:color="008000"/>
            </w:tcBorders>
            <w:shd w:val="clear" w:color="auto" w:fill="FFFFFF"/>
            <w:vAlign w:val="center"/>
          </w:tcPr>
          <w:p w14:paraId="77329097" w14:textId="4F3956D8" w:rsidR="009B63E0" w:rsidRPr="00697D65" w:rsidRDefault="00C80397" w:rsidP="00216542">
            <w:pPr>
              <w:pStyle w:val="CETBodytext"/>
              <w:jc w:val="center"/>
              <w:rPr>
                <w:lang w:val="en-GB"/>
              </w:rPr>
            </w:pPr>
            <w:r w:rsidRPr="00697D65">
              <w:rPr>
                <w:lang w:val="en-GB"/>
              </w:rPr>
              <w:t xml:space="preserve">Wind turbine </w:t>
            </w:r>
            <w:r w:rsidR="009B63E0" w:rsidRPr="00697D65">
              <w:rPr>
                <w:lang w:val="en-GB"/>
              </w:rPr>
              <w:t>(WT)</w:t>
            </w:r>
          </w:p>
        </w:tc>
        <w:tc>
          <w:tcPr>
            <w:tcW w:w="1208" w:type="pct"/>
            <w:tcBorders>
              <w:top w:val="single" w:sz="12" w:space="0" w:color="008000"/>
              <w:bottom w:val="single" w:sz="6" w:space="0" w:color="008000"/>
            </w:tcBorders>
            <w:shd w:val="clear" w:color="auto" w:fill="FFFFFF"/>
            <w:vAlign w:val="center"/>
          </w:tcPr>
          <w:p w14:paraId="69E1F7B9" w14:textId="5A54C5E5" w:rsidR="009B63E0" w:rsidRPr="00697D65" w:rsidRDefault="00C80397" w:rsidP="00216542">
            <w:pPr>
              <w:pStyle w:val="CETBodytext"/>
              <w:ind w:right="-1"/>
              <w:jc w:val="center"/>
              <w:rPr>
                <w:rFonts w:cs="Arial"/>
                <w:szCs w:val="18"/>
                <w:lang w:val="en-GB"/>
              </w:rPr>
            </w:pPr>
            <w:r w:rsidRPr="00697D65">
              <w:rPr>
                <w:rFonts w:cs="Arial"/>
                <w:szCs w:val="18"/>
                <w:lang w:val="en-GB"/>
              </w:rPr>
              <w:t xml:space="preserve">Biomass gasifier </w:t>
            </w:r>
            <w:r w:rsidR="009B63E0" w:rsidRPr="00697D65">
              <w:rPr>
                <w:rFonts w:cs="Arial"/>
                <w:szCs w:val="18"/>
                <w:lang w:val="en-GB"/>
              </w:rPr>
              <w:t>(GenBio)</w:t>
            </w:r>
          </w:p>
        </w:tc>
      </w:tr>
      <w:tr w:rsidR="009B63E0" w:rsidRPr="00697D65" w14:paraId="400AEADD" w14:textId="77777777" w:rsidTr="008B2711">
        <w:trPr>
          <w:jc w:val="center"/>
        </w:trPr>
        <w:tc>
          <w:tcPr>
            <w:tcW w:w="1613" w:type="pct"/>
            <w:shd w:val="clear" w:color="auto" w:fill="FFFFFF"/>
          </w:tcPr>
          <w:p w14:paraId="591204C9" w14:textId="641E18EA" w:rsidR="009B63E0" w:rsidRPr="00697D65" w:rsidRDefault="002851F8" w:rsidP="00216542">
            <w:pPr>
              <w:pStyle w:val="CETBodytext"/>
              <w:ind w:right="-1"/>
              <w:rPr>
                <w:rFonts w:cs="Arial"/>
                <w:szCs w:val="18"/>
                <w:lang w:val="en-GB"/>
              </w:rPr>
            </w:pPr>
            <w:r w:rsidRPr="00697D65">
              <w:rPr>
                <w:lang w:val="en-GB"/>
              </w:rPr>
              <w:t>Availability factor</w:t>
            </w:r>
          </w:p>
        </w:tc>
        <w:tc>
          <w:tcPr>
            <w:tcW w:w="1131" w:type="pct"/>
            <w:shd w:val="clear" w:color="auto" w:fill="FFFFFF"/>
          </w:tcPr>
          <w:p w14:paraId="234E6691" w14:textId="77777777" w:rsidR="009B63E0" w:rsidRPr="00697D65" w:rsidRDefault="009B63E0" w:rsidP="00216542">
            <w:pPr>
              <w:pStyle w:val="CETBodytext"/>
              <w:ind w:right="-1"/>
              <w:jc w:val="center"/>
              <w:rPr>
                <w:rFonts w:cs="Arial"/>
                <w:szCs w:val="18"/>
                <w:lang w:val="en-GB"/>
              </w:rPr>
            </w:pPr>
            <w:r w:rsidRPr="00697D65">
              <w:rPr>
                <w:lang w:val="en-GB"/>
              </w:rPr>
              <w:t>0.21</w:t>
            </w:r>
          </w:p>
        </w:tc>
        <w:tc>
          <w:tcPr>
            <w:tcW w:w="1048" w:type="pct"/>
            <w:shd w:val="clear" w:color="auto" w:fill="FFFFFF"/>
          </w:tcPr>
          <w:p w14:paraId="11C19076" w14:textId="77777777" w:rsidR="009B63E0" w:rsidRPr="00697D65" w:rsidRDefault="009B63E0" w:rsidP="00216542">
            <w:pPr>
              <w:pStyle w:val="CETBodytext"/>
              <w:ind w:right="-1"/>
              <w:jc w:val="center"/>
              <w:rPr>
                <w:rFonts w:cs="Arial"/>
                <w:szCs w:val="18"/>
                <w:lang w:val="en-GB"/>
              </w:rPr>
            </w:pPr>
            <w:r w:rsidRPr="00697D65">
              <w:rPr>
                <w:lang w:val="en-GB"/>
              </w:rPr>
              <w:t>0.74</w:t>
            </w:r>
          </w:p>
        </w:tc>
        <w:tc>
          <w:tcPr>
            <w:tcW w:w="1208" w:type="pct"/>
            <w:shd w:val="clear" w:color="auto" w:fill="FFFFFF"/>
          </w:tcPr>
          <w:p w14:paraId="49CFB2CB" w14:textId="77777777" w:rsidR="009B63E0" w:rsidRPr="00697D65" w:rsidRDefault="009B63E0" w:rsidP="00216542">
            <w:pPr>
              <w:pStyle w:val="CETBodytext"/>
              <w:ind w:right="-1"/>
              <w:jc w:val="center"/>
              <w:rPr>
                <w:rFonts w:cs="Arial"/>
                <w:szCs w:val="18"/>
                <w:lang w:val="en-GB"/>
              </w:rPr>
            </w:pPr>
            <w:r w:rsidRPr="00697D65">
              <w:rPr>
                <w:lang w:val="en-GB"/>
              </w:rPr>
              <w:t>0.58</w:t>
            </w:r>
          </w:p>
        </w:tc>
      </w:tr>
      <w:tr w:rsidR="009B63E0" w:rsidRPr="00697D65" w14:paraId="28C4478D" w14:textId="77777777" w:rsidTr="008B2711">
        <w:trPr>
          <w:jc w:val="center"/>
        </w:trPr>
        <w:tc>
          <w:tcPr>
            <w:tcW w:w="1613" w:type="pct"/>
            <w:shd w:val="clear" w:color="auto" w:fill="FFFFFF"/>
          </w:tcPr>
          <w:p w14:paraId="7DE1074F" w14:textId="02E51D86" w:rsidR="009B63E0" w:rsidRPr="00697D65" w:rsidRDefault="004975C0" w:rsidP="00216542">
            <w:pPr>
              <w:pStyle w:val="CETBodytext"/>
              <w:ind w:right="-1"/>
              <w:rPr>
                <w:rFonts w:cs="Arial"/>
                <w:szCs w:val="18"/>
                <w:lang w:val="en-GB"/>
              </w:rPr>
            </w:pPr>
            <w:r w:rsidRPr="00697D65">
              <w:rPr>
                <w:lang w:val="en-GB"/>
              </w:rPr>
              <w:t>Capacity factor</w:t>
            </w:r>
          </w:p>
        </w:tc>
        <w:tc>
          <w:tcPr>
            <w:tcW w:w="1131" w:type="pct"/>
            <w:shd w:val="clear" w:color="auto" w:fill="FFFFFF"/>
          </w:tcPr>
          <w:p w14:paraId="3CE25889" w14:textId="77777777" w:rsidR="009B63E0" w:rsidRPr="00697D65" w:rsidRDefault="009B63E0" w:rsidP="00216542">
            <w:pPr>
              <w:pStyle w:val="CETBodytext"/>
              <w:ind w:right="-1"/>
              <w:jc w:val="center"/>
              <w:rPr>
                <w:rFonts w:cs="Arial"/>
                <w:szCs w:val="18"/>
                <w:lang w:val="en-GB"/>
              </w:rPr>
            </w:pPr>
            <w:r w:rsidRPr="00697D65">
              <w:rPr>
                <w:lang w:val="en-GB"/>
              </w:rPr>
              <w:t>0.25</w:t>
            </w:r>
          </w:p>
        </w:tc>
        <w:tc>
          <w:tcPr>
            <w:tcW w:w="1048" w:type="pct"/>
            <w:shd w:val="clear" w:color="auto" w:fill="FFFFFF"/>
          </w:tcPr>
          <w:p w14:paraId="526B5CE8" w14:textId="77777777" w:rsidR="009B63E0" w:rsidRPr="00697D65" w:rsidRDefault="009B63E0" w:rsidP="00216542">
            <w:pPr>
              <w:pStyle w:val="CETBodytext"/>
              <w:ind w:right="-1"/>
              <w:jc w:val="center"/>
              <w:rPr>
                <w:rFonts w:cs="Arial"/>
                <w:szCs w:val="18"/>
                <w:lang w:val="en-GB"/>
              </w:rPr>
            </w:pPr>
            <w:r w:rsidRPr="00697D65">
              <w:rPr>
                <w:lang w:val="en-GB"/>
              </w:rPr>
              <w:t>0.25</w:t>
            </w:r>
          </w:p>
        </w:tc>
        <w:tc>
          <w:tcPr>
            <w:tcW w:w="1208" w:type="pct"/>
            <w:shd w:val="clear" w:color="auto" w:fill="FFFFFF"/>
          </w:tcPr>
          <w:p w14:paraId="7BD801A6" w14:textId="77777777" w:rsidR="009B63E0" w:rsidRPr="00697D65" w:rsidRDefault="009B63E0" w:rsidP="00216542">
            <w:pPr>
              <w:pStyle w:val="CETBodytext"/>
              <w:ind w:right="-1"/>
              <w:jc w:val="center"/>
              <w:rPr>
                <w:rFonts w:cs="Arial"/>
                <w:szCs w:val="18"/>
                <w:lang w:val="en-GB"/>
              </w:rPr>
            </w:pPr>
            <w:r w:rsidRPr="00697D65">
              <w:rPr>
                <w:lang w:val="en-GB"/>
              </w:rPr>
              <w:t>0.8</w:t>
            </w:r>
          </w:p>
        </w:tc>
      </w:tr>
      <w:tr w:rsidR="009B63E0" w:rsidRPr="00697D65" w14:paraId="74B83B2F" w14:textId="77777777" w:rsidTr="008B2711">
        <w:trPr>
          <w:jc w:val="center"/>
        </w:trPr>
        <w:tc>
          <w:tcPr>
            <w:tcW w:w="1613" w:type="pct"/>
            <w:shd w:val="clear" w:color="auto" w:fill="FFFFFF"/>
          </w:tcPr>
          <w:p w14:paraId="0CF9A4A6" w14:textId="6D7C421D" w:rsidR="009B63E0" w:rsidRPr="00697D65" w:rsidRDefault="004975C0" w:rsidP="00216542">
            <w:pPr>
              <w:pStyle w:val="CETBodytext"/>
              <w:ind w:right="-1"/>
              <w:rPr>
                <w:rFonts w:cs="Arial"/>
                <w:szCs w:val="18"/>
                <w:lang w:val="en-GB"/>
              </w:rPr>
            </w:pPr>
            <w:r w:rsidRPr="00697D65">
              <w:rPr>
                <w:lang w:val="en-GB"/>
              </w:rPr>
              <w:t xml:space="preserve">Emissions factor </w:t>
            </w:r>
            <w:r w:rsidR="009B63E0" w:rsidRPr="00697D65">
              <w:rPr>
                <w:lang w:val="en-GB"/>
              </w:rPr>
              <w:t>(kgCO</w:t>
            </w:r>
            <w:r w:rsidR="009B63E0" w:rsidRPr="00697D65">
              <w:rPr>
                <w:vertAlign w:val="subscript"/>
                <w:lang w:val="en-GB"/>
              </w:rPr>
              <w:t>2</w:t>
            </w:r>
            <w:r w:rsidR="009B63E0" w:rsidRPr="00697D65">
              <w:rPr>
                <w:lang w:val="en-GB"/>
              </w:rPr>
              <w:t>/kWh)</w:t>
            </w:r>
          </w:p>
        </w:tc>
        <w:tc>
          <w:tcPr>
            <w:tcW w:w="1131" w:type="pct"/>
            <w:shd w:val="clear" w:color="auto" w:fill="FFFFFF"/>
          </w:tcPr>
          <w:p w14:paraId="602E1F29" w14:textId="77777777" w:rsidR="009B63E0" w:rsidRPr="00697D65" w:rsidRDefault="009B63E0" w:rsidP="00216542">
            <w:pPr>
              <w:pStyle w:val="CETBodytext"/>
              <w:ind w:right="-1"/>
              <w:jc w:val="center"/>
              <w:rPr>
                <w:rFonts w:cs="Arial"/>
                <w:szCs w:val="18"/>
                <w:lang w:val="en-GB"/>
              </w:rPr>
            </w:pPr>
            <w:r w:rsidRPr="00697D65">
              <w:rPr>
                <w:lang w:val="en-GB"/>
              </w:rPr>
              <w:t>0.0</w:t>
            </w:r>
          </w:p>
        </w:tc>
        <w:tc>
          <w:tcPr>
            <w:tcW w:w="1048" w:type="pct"/>
            <w:shd w:val="clear" w:color="auto" w:fill="FFFFFF"/>
          </w:tcPr>
          <w:p w14:paraId="646E6433" w14:textId="77777777" w:rsidR="009B63E0" w:rsidRPr="00697D65" w:rsidRDefault="009B63E0" w:rsidP="00216542">
            <w:pPr>
              <w:pStyle w:val="CETBodytext"/>
              <w:ind w:right="-1"/>
              <w:jc w:val="center"/>
              <w:rPr>
                <w:rFonts w:cs="Arial"/>
                <w:szCs w:val="18"/>
                <w:lang w:val="en-GB"/>
              </w:rPr>
            </w:pPr>
            <w:r w:rsidRPr="00697D65">
              <w:rPr>
                <w:lang w:val="en-GB"/>
              </w:rPr>
              <w:t>0.0</w:t>
            </w:r>
          </w:p>
        </w:tc>
        <w:tc>
          <w:tcPr>
            <w:tcW w:w="1208" w:type="pct"/>
            <w:shd w:val="clear" w:color="auto" w:fill="FFFFFF"/>
          </w:tcPr>
          <w:p w14:paraId="7A06DF7A" w14:textId="77777777" w:rsidR="009B63E0" w:rsidRPr="00697D65" w:rsidRDefault="009B63E0" w:rsidP="00216542">
            <w:pPr>
              <w:pStyle w:val="CETBodytext"/>
              <w:ind w:right="-1"/>
              <w:jc w:val="center"/>
              <w:rPr>
                <w:rFonts w:cs="Arial"/>
                <w:szCs w:val="18"/>
                <w:lang w:val="en-GB"/>
              </w:rPr>
            </w:pPr>
            <w:r w:rsidRPr="00697D65">
              <w:rPr>
                <w:lang w:val="en-GB"/>
              </w:rPr>
              <w:t>0.68</w:t>
            </w:r>
          </w:p>
        </w:tc>
      </w:tr>
      <w:tr w:rsidR="009B63E0" w:rsidRPr="00697D65" w14:paraId="015C7608" w14:textId="77777777" w:rsidTr="008B2711">
        <w:trPr>
          <w:jc w:val="center"/>
        </w:trPr>
        <w:tc>
          <w:tcPr>
            <w:tcW w:w="1613" w:type="pct"/>
            <w:shd w:val="clear" w:color="auto" w:fill="FFFFFF"/>
          </w:tcPr>
          <w:p w14:paraId="5AC3819E" w14:textId="11B42774" w:rsidR="009B63E0" w:rsidRPr="00697D65" w:rsidRDefault="004975C0" w:rsidP="00216542">
            <w:pPr>
              <w:pStyle w:val="CETBodytext"/>
              <w:ind w:right="-1"/>
              <w:rPr>
                <w:rFonts w:cs="Arial"/>
                <w:szCs w:val="18"/>
                <w:lang w:val="en-GB"/>
              </w:rPr>
            </w:pPr>
            <w:r w:rsidRPr="00697D65">
              <w:rPr>
                <w:lang w:val="en-GB"/>
              </w:rPr>
              <w:t xml:space="preserve">Construction time </w:t>
            </w:r>
            <w:r w:rsidR="009B63E0" w:rsidRPr="00697D65">
              <w:rPr>
                <w:lang w:val="en-GB"/>
              </w:rPr>
              <w:t>(</w:t>
            </w:r>
            <w:r w:rsidR="00F442F0">
              <w:rPr>
                <w:lang w:val="en-GB"/>
              </w:rPr>
              <w:t>years</w:t>
            </w:r>
            <w:r w:rsidR="009B63E0" w:rsidRPr="00697D65">
              <w:rPr>
                <w:lang w:val="en-GB"/>
              </w:rPr>
              <w:t>)</w:t>
            </w:r>
          </w:p>
        </w:tc>
        <w:tc>
          <w:tcPr>
            <w:tcW w:w="1131" w:type="pct"/>
            <w:shd w:val="clear" w:color="auto" w:fill="FFFFFF"/>
          </w:tcPr>
          <w:p w14:paraId="19507ADE" w14:textId="77777777" w:rsidR="009B63E0" w:rsidRPr="00697D65" w:rsidRDefault="009B63E0" w:rsidP="00216542">
            <w:pPr>
              <w:pStyle w:val="CETBodytext"/>
              <w:ind w:right="-1"/>
              <w:jc w:val="center"/>
              <w:rPr>
                <w:rFonts w:cs="Arial"/>
                <w:szCs w:val="18"/>
                <w:lang w:val="en-GB"/>
              </w:rPr>
            </w:pPr>
            <w:r w:rsidRPr="00697D65">
              <w:rPr>
                <w:lang w:val="en-GB"/>
              </w:rPr>
              <w:t>1.0</w:t>
            </w:r>
          </w:p>
        </w:tc>
        <w:tc>
          <w:tcPr>
            <w:tcW w:w="1048" w:type="pct"/>
            <w:shd w:val="clear" w:color="auto" w:fill="FFFFFF"/>
          </w:tcPr>
          <w:p w14:paraId="3F8662C7" w14:textId="77777777" w:rsidR="009B63E0" w:rsidRPr="00697D65" w:rsidRDefault="009B63E0" w:rsidP="00216542">
            <w:pPr>
              <w:pStyle w:val="CETBodytext"/>
              <w:ind w:right="-1"/>
              <w:jc w:val="center"/>
              <w:rPr>
                <w:rFonts w:cs="Arial"/>
                <w:szCs w:val="18"/>
                <w:lang w:val="en-GB"/>
              </w:rPr>
            </w:pPr>
            <w:r w:rsidRPr="00697D65">
              <w:rPr>
                <w:lang w:val="en-GB"/>
              </w:rPr>
              <w:t>2.0</w:t>
            </w:r>
          </w:p>
        </w:tc>
        <w:tc>
          <w:tcPr>
            <w:tcW w:w="1208" w:type="pct"/>
            <w:shd w:val="clear" w:color="auto" w:fill="FFFFFF"/>
          </w:tcPr>
          <w:p w14:paraId="218834C0" w14:textId="77777777" w:rsidR="009B63E0" w:rsidRPr="00697D65" w:rsidRDefault="009B63E0" w:rsidP="00216542">
            <w:pPr>
              <w:pStyle w:val="CETBodytext"/>
              <w:ind w:right="-1"/>
              <w:jc w:val="center"/>
              <w:rPr>
                <w:rFonts w:cs="Arial"/>
                <w:szCs w:val="18"/>
                <w:lang w:val="en-GB"/>
              </w:rPr>
            </w:pPr>
            <w:r w:rsidRPr="00697D65">
              <w:rPr>
                <w:lang w:val="en-GB"/>
              </w:rPr>
              <w:t>3.0</w:t>
            </w:r>
          </w:p>
        </w:tc>
      </w:tr>
      <w:tr w:rsidR="009B63E0" w:rsidRPr="00697D65" w14:paraId="7436040A" w14:textId="77777777" w:rsidTr="008B2711">
        <w:trPr>
          <w:jc w:val="center"/>
        </w:trPr>
        <w:tc>
          <w:tcPr>
            <w:tcW w:w="1613" w:type="pct"/>
            <w:shd w:val="clear" w:color="auto" w:fill="FFFFFF"/>
          </w:tcPr>
          <w:p w14:paraId="1D29A510" w14:textId="0B29ABD0" w:rsidR="009B63E0" w:rsidRPr="00697D65" w:rsidRDefault="004975C0" w:rsidP="00216542">
            <w:pPr>
              <w:pStyle w:val="CETBodytext"/>
              <w:ind w:right="-1"/>
              <w:rPr>
                <w:rFonts w:cs="Arial"/>
                <w:szCs w:val="18"/>
                <w:lang w:val="en-GB"/>
              </w:rPr>
            </w:pPr>
            <w:r w:rsidRPr="00697D65">
              <w:rPr>
                <w:lang w:val="en-GB"/>
              </w:rPr>
              <w:t xml:space="preserve">Investment cost </w:t>
            </w:r>
            <w:r w:rsidR="009B63E0" w:rsidRPr="00697D65">
              <w:rPr>
                <w:lang w:val="en-GB"/>
              </w:rPr>
              <w:t>(USD/kW)</w:t>
            </w:r>
          </w:p>
        </w:tc>
        <w:tc>
          <w:tcPr>
            <w:tcW w:w="1131" w:type="pct"/>
            <w:shd w:val="clear" w:color="auto" w:fill="FFFFFF"/>
          </w:tcPr>
          <w:p w14:paraId="61AE062A" w14:textId="77777777" w:rsidR="009B63E0" w:rsidRPr="00697D65" w:rsidRDefault="009B63E0" w:rsidP="00216542">
            <w:pPr>
              <w:pStyle w:val="CETBodytext"/>
              <w:ind w:right="-1"/>
              <w:jc w:val="center"/>
              <w:rPr>
                <w:rFonts w:cs="Arial"/>
                <w:szCs w:val="18"/>
                <w:lang w:val="en-GB"/>
              </w:rPr>
            </w:pPr>
            <w:r w:rsidRPr="00697D65">
              <w:rPr>
                <w:lang w:val="en-GB"/>
              </w:rPr>
              <w:t>758.00</w:t>
            </w:r>
          </w:p>
        </w:tc>
        <w:tc>
          <w:tcPr>
            <w:tcW w:w="1048" w:type="pct"/>
            <w:shd w:val="clear" w:color="auto" w:fill="FFFFFF"/>
          </w:tcPr>
          <w:p w14:paraId="6C2F71AA" w14:textId="4F12EEA2" w:rsidR="009B63E0" w:rsidRPr="00697D65" w:rsidRDefault="009B63E0" w:rsidP="00216542">
            <w:pPr>
              <w:pStyle w:val="CETBodytext"/>
              <w:ind w:right="-1"/>
              <w:jc w:val="center"/>
              <w:rPr>
                <w:rFonts w:cs="Arial"/>
                <w:szCs w:val="18"/>
                <w:lang w:val="en-GB"/>
              </w:rPr>
            </w:pPr>
            <w:r w:rsidRPr="00697D65">
              <w:rPr>
                <w:lang w:val="en-GB"/>
              </w:rPr>
              <w:t>1</w:t>
            </w:r>
            <w:r w:rsidR="00A11506" w:rsidRPr="00697D65">
              <w:rPr>
                <w:lang w:val="en-GB"/>
              </w:rPr>
              <w:t>,</w:t>
            </w:r>
            <w:r w:rsidRPr="00697D65">
              <w:rPr>
                <w:lang w:val="en-GB"/>
              </w:rPr>
              <w:t>160.00</w:t>
            </w:r>
          </w:p>
        </w:tc>
        <w:tc>
          <w:tcPr>
            <w:tcW w:w="1208" w:type="pct"/>
            <w:shd w:val="clear" w:color="auto" w:fill="FFFFFF"/>
          </w:tcPr>
          <w:p w14:paraId="732882FC" w14:textId="46E15F54" w:rsidR="009B63E0" w:rsidRPr="00697D65" w:rsidRDefault="009B63E0" w:rsidP="00216542">
            <w:pPr>
              <w:pStyle w:val="CETBodytext"/>
              <w:ind w:right="-1"/>
              <w:jc w:val="center"/>
              <w:rPr>
                <w:rFonts w:cs="Arial"/>
                <w:szCs w:val="18"/>
                <w:lang w:val="en-GB"/>
              </w:rPr>
            </w:pPr>
            <w:r w:rsidRPr="00697D65">
              <w:rPr>
                <w:lang w:val="en-GB"/>
              </w:rPr>
              <w:t>1</w:t>
            </w:r>
            <w:r w:rsidR="00A11506" w:rsidRPr="00697D65">
              <w:rPr>
                <w:lang w:val="en-GB"/>
              </w:rPr>
              <w:t>,</w:t>
            </w:r>
            <w:r w:rsidRPr="00697D65">
              <w:rPr>
                <w:lang w:val="en-GB"/>
              </w:rPr>
              <w:t>800.00</w:t>
            </w:r>
          </w:p>
        </w:tc>
      </w:tr>
      <w:tr w:rsidR="009B63E0" w:rsidRPr="00697D65" w14:paraId="1DABFB8B" w14:textId="77777777" w:rsidTr="008B2711">
        <w:trPr>
          <w:jc w:val="center"/>
        </w:trPr>
        <w:tc>
          <w:tcPr>
            <w:tcW w:w="1613" w:type="pct"/>
            <w:shd w:val="clear" w:color="auto" w:fill="FFFFFF"/>
          </w:tcPr>
          <w:p w14:paraId="5745F5A2" w14:textId="1F101531" w:rsidR="009B63E0" w:rsidRPr="00697D65" w:rsidRDefault="007320CD" w:rsidP="00216542">
            <w:pPr>
              <w:pStyle w:val="CETBodytext"/>
              <w:ind w:right="-1"/>
              <w:rPr>
                <w:rFonts w:cs="Arial"/>
                <w:szCs w:val="18"/>
                <w:lang w:val="en-GB"/>
              </w:rPr>
            </w:pPr>
            <w:r w:rsidRPr="00697D65">
              <w:rPr>
                <w:lang w:val="en-GB"/>
              </w:rPr>
              <w:t xml:space="preserve">Unit fixed O&amp;M costs </w:t>
            </w:r>
            <w:r w:rsidR="009B63E0" w:rsidRPr="00697D65">
              <w:rPr>
                <w:lang w:val="en-GB"/>
              </w:rPr>
              <w:t>(USD/kW)</w:t>
            </w:r>
          </w:p>
        </w:tc>
        <w:tc>
          <w:tcPr>
            <w:tcW w:w="1131" w:type="pct"/>
            <w:shd w:val="clear" w:color="auto" w:fill="FFFFFF"/>
          </w:tcPr>
          <w:p w14:paraId="31ED2763" w14:textId="77777777" w:rsidR="009B63E0" w:rsidRPr="00697D65" w:rsidRDefault="009B63E0" w:rsidP="00216542">
            <w:pPr>
              <w:pStyle w:val="CETBodytext"/>
              <w:ind w:right="-1"/>
              <w:jc w:val="center"/>
              <w:rPr>
                <w:rFonts w:cs="Arial"/>
                <w:szCs w:val="18"/>
                <w:lang w:val="en-GB"/>
              </w:rPr>
            </w:pPr>
            <w:r w:rsidRPr="00697D65">
              <w:rPr>
                <w:lang w:val="en-GB"/>
              </w:rPr>
              <w:t>0.02</w:t>
            </w:r>
          </w:p>
        </w:tc>
        <w:tc>
          <w:tcPr>
            <w:tcW w:w="1048" w:type="pct"/>
            <w:shd w:val="clear" w:color="auto" w:fill="FFFFFF"/>
          </w:tcPr>
          <w:p w14:paraId="720CCB24" w14:textId="77777777" w:rsidR="009B63E0" w:rsidRPr="00697D65" w:rsidRDefault="009B63E0" w:rsidP="00216542">
            <w:pPr>
              <w:pStyle w:val="CETBodytext"/>
              <w:ind w:right="-1"/>
              <w:jc w:val="center"/>
              <w:rPr>
                <w:rFonts w:cs="Arial"/>
                <w:szCs w:val="18"/>
                <w:lang w:val="en-GB"/>
              </w:rPr>
            </w:pPr>
            <w:r w:rsidRPr="00697D65">
              <w:rPr>
                <w:lang w:val="en-GB"/>
              </w:rPr>
              <w:t>0.01</w:t>
            </w:r>
          </w:p>
        </w:tc>
        <w:tc>
          <w:tcPr>
            <w:tcW w:w="1208" w:type="pct"/>
            <w:shd w:val="clear" w:color="auto" w:fill="FFFFFF"/>
          </w:tcPr>
          <w:p w14:paraId="6FDA1D89" w14:textId="77777777" w:rsidR="009B63E0" w:rsidRPr="00697D65" w:rsidRDefault="009B63E0" w:rsidP="00216542">
            <w:pPr>
              <w:pStyle w:val="CETBodytext"/>
              <w:ind w:right="-1"/>
              <w:jc w:val="center"/>
              <w:rPr>
                <w:rFonts w:cs="Arial"/>
                <w:szCs w:val="18"/>
                <w:lang w:val="en-GB"/>
              </w:rPr>
            </w:pPr>
            <w:r w:rsidRPr="00697D65">
              <w:rPr>
                <w:lang w:val="en-GB"/>
              </w:rPr>
              <w:t>0.09</w:t>
            </w:r>
          </w:p>
        </w:tc>
      </w:tr>
      <w:tr w:rsidR="009B63E0" w:rsidRPr="00697D65" w14:paraId="18C17F86" w14:textId="77777777" w:rsidTr="008B2711">
        <w:trPr>
          <w:jc w:val="center"/>
        </w:trPr>
        <w:tc>
          <w:tcPr>
            <w:tcW w:w="1613" w:type="pct"/>
            <w:shd w:val="clear" w:color="auto" w:fill="FFFFFF"/>
          </w:tcPr>
          <w:p w14:paraId="69DDD730" w14:textId="7826E976" w:rsidR="009B63E0" w:rsidRPr="00697D65" w:rsidRDefault="007320CD" w:rsidP="00216542">
            <w:pPr>
              <w:pStyle w:val="CETBodytext"/>
              <w:ind w:right="-1"/>
              <w:rPr>
                <w:rFonts w:cs="Arial"/>
                <w:szCs w:val="18"/>
                <w:lang w:val="en-GB"/>
              </w:rPr>
            </w:pPr>
            <w:r w:rsidRPr="00697D65">
              <w:rPr>
                <w:lang w:val="en-GB"/>
              </w:rPr>
              <w:t xml:space="preserve">Unit variable O&amp;M costs </w:t>
            </w:r>
            <w:r w:rsidR="009B63E0" w:rsidRPr="00697D65">
              <w:rPr>
                <w:lang w:val="en-GB"/>
              </w:rPr>
              <w:t>(USD/kW)</w:t>
            </w:r>
          </w:p>
        </w:tc>
        <w:tc>
          <w:tcPr>
            <w:tcW w:w="1131" w:type="pct"/>
            <w:shd w:val="clear" w:color="auto" w:fill="FFFFFF"/>
          </w:tcPr>
          <w:p w14:paraId="7E954884" w14:textId="77777777" w:rsidR="009B63E0" w:rsidRPr="00697D65" w:rsidRDefault="009B63E0" w:rsidP="00216542">
            <w:pPr>
              <w:pStyle w:val="CETBodytext"/>
              <w:ind w:right="-1"/>
              <w:jc w:val="center"/>
              <w:rPr>
                <w:rFonts w:cs="Arial"/>
                <w:szCs w:val="18"/>
                <w:lang w:val="en-GB"/>
              </w:rPr>
            </w:pPr>
            <w:r w:rsidRPr="00697D65">
              <w:rPr>
                <w:lang w:val="en-GB"/>
              </w:rPr>
              <w:t>0.0</w:t>
            </w:r>
          </w:p>
        </w:tc>
        <w:tc>
          <w:tcPr>
            <w:tcW w:w="1048" w:type="pct"/>
            <w:shd w:val="clear" w:color="auto" w:fill="FFFFFF"/>
          </w:tcPr>
          <w:p w14:paraId="400BE85D" w14:textId="77777777" w:rsidR="009B63E0" w:rsidRPr="00697D65" w:rsidRDefault="009B63E0" w:rsidP="00216542">
            <w:pPr>
              <w:pStyle w:val="CETBodytext"/>
              <w:ind w:right="-1"/>
              <w:jc w:val="center"/>
              <w:rPr>
                <w:rFonts w:cs="Arial"/>
                <w:szCs w:val="18"/>
                <w:lang w:val="en-GB"/>
              </w:rPr>
            </w:pPr>
            <w:r w:rsidRPr="00697D65">
              <w:rPr>
                <w:lang w:val="en-GB"/>
              </w:rPr>
              <w:t>0.0</w:t>
            </w:r>
          </w:p>
        </w:tc>
        <w:tc>
          <w:tcPr>
            <w:tcW w:w="1208" w:type="pct"/>
            <w:shd w:val="clear" w:color="auto" w:fill="FFFFFF"/>
          </w:tcPr>
          <w:p w14:paraId="23DE0DBB" w14:textId="77777777" w:rsidR="009B63E0" w:rsidRPr="00697D65" w:rsidRDefault="009B63E0" w:rsidP="00216542">
            <w:pPr>
              <w:pStyle w:val="CETBodytext"/>
              <w:ind w:right="-1"/>
              <w:jc w:val="center"/>
              <w:rPr>
                <w:rFonts w:cs="Arial"/>
                <w:szCs w:val="18"/>
                <w:lang w:val="en-GB"/>
              </w:rPr>
            </w:pPr>
            <w:r w:rsidRPr="00697D65">
              <w:rPr>
                <w:lang w:val="en-GB"/>
              </w:rPr>
              <w:t>0.0001</w:t>
            </w:r>
          </w:p>
        </w:tc>
      </w:tr>
      <w:tr w:rsidR="009B63E0" w:rsidRPr="00697D65" w14:paraId="42BDB8FD" w14:textId="77777777" w:rsidTr="008B2711">
        <w:trPr>
          <w:jc w:val="center"/>
        </w:trPr>
        <w:tc>
          <w:tcPr>
            <w:tcW w:w="1613" w:type="pct"/>
            <w:shd w:val="clear" w:color="auto" w:fill="FFFFFF"/>
          </w:tcPr>
          <w:p w14:paraId="5246012F" w14:textId="6073E29E" w:rsidR="009B63E0" w:rsidRPr="00697D65" w:rsidRDefault="00313C6C" w:rsidP="00216542">
            <w:pPr>
              <w:pStyle w:val="CETBodytext"/>
              <w:ind w:right="-1"/>
              <w:rPr>
                <w:rFonts w:cs="Arial"/>
                <w:szCs w:val="18"/>
                <w:lang w:val="en-GB"/>
              </w:rPr>
            </w:pPr>
            <w:r w:rsidRPr="00697D65">
              <w:rPr>
                <w:lang w:val="en-GB"/>
              </w:rPr>
              <w:t xml:space="preserve">Fuel cost </w:t>
            </w:r>
            <w:r w:rsidR="009B63E0" w:rsidRPr="00697D65">
              <w:rPr>
                <w:lang w:val="en-GB"/>
              </w:rPr>
              <w:t>(USD/kW)</w:t>
            </w:r>
          </w:p>
        </w:tc>
        <w:tc>
          <w:tcPr>
            <w:tcW w:w="1131" w:type="pct"/>
            <w:shd w:val="clear" w:color="auto" w:fill="FFFFFF"/>
          </w:tcPr>
          <w:p w14:paraId="62A8492E" w14:textId="77777777" w:rsidR="009B63E0" w:rsidRPr="00697D65" w:rsidRDefault="009B63E0" w:rsidP="00216542">
            <w:pPr>
              <w:pStyle w:val="CETBodytext"/>
              <w:ind w:right="-1"/>
              <w:jc w:val="center"/>
              <w:rPr>
                <w:rFonts w:cs="Arial"/>
                <w:szCs w:val="18"/>
                <w:lang w:val="en-GB"/>
              </w:rPr>
            </w:pPr>
            <w:r w:rsidRPr="00697D65">
              <w:rPr>
                <w:lang w:val="en-GB"/>
              </w:rPr>
              <w:t>0.0</w:t>
            </w:r>
          </w:p>
        </w:tc>
        <w:tc>
          <w:tcPr>
            <w:tcW w:w="1048" w:type="pct"/>
            <w:shd w:val="clear" w:color="auto" w:fill="FFFFFF"/>
          </w:tcPr>
          <w:p w14:paraId="6D0C5322" w14:textId="77777777" w:rsidR="009B63E0" w:rsidRPr="00697D65" w:rsidRDefault="009B63E0" w:rsidP="00216542">
            <w:pPr>
              <w:pStyle w:val="CETBodytext"/>
              <w:ind w:right="-1"/>
              <w:jc w:val="center"/>
              <w:rPr>
                <w:rFonts w:cs="Arial"/>
                <w:szCs w:val="18"/>
                <w:lang w:val="en-GB"/>
              </w:rPr>
            </w:pPr>
            <w:r w:rsidRPr="00697D65">
              <w:rPr>
                <w:lang w:val="en-GB"/>
              </w:rPr>
              <w:t>0.0</w:t>
            </w:r>
          </w:p>
        </w:tc>
        <w:tc>
          <w:tcPr>
            <w:tcW w:w="1208" w:type="pct"/>
            <w:shd w:val="clear" w:color="auto" w:fill="FFFFFF"/>
          </w:tcPr>
          <w:p w14:paraId="0CDE2F00" w14:textId="77777777" w:rsidR="009B63E0" w:rsidRPr="00697D65" w:rsidRDefault="009B63E0" w:rsidP="00216542">
            <w:pPr>
              <w:pStyle w:val="CETBodytext"/>
              <w:ind w:right="-1"/>
              <w:jc w:val="center"/>
              <w:rPr>
                <w:rFonts w:cs="Arial"/>
                <w:szCs w:val="18"/>
                <w:lang w:val="en-GB"/>
              </w:rPr>
            </w:pPr>
            <w:r w:rsidRPr="00697D65">
              <w:rPr>
                <w:lang w:val="en-GB"/>
              </w:rPr>
              <w:t>2.33</w:t>
            </w:r>
          </w:p>
        </w:tc>
      </w:tr>
    </w:tbl>
    <w:p w14:paraId="42CC582D" w14:textId="000D8D12" w:rsidR="0067795B" w:rsidRPr="00697D65" w:rsidRDefault="0033525B" w:rsidP="00736EE1">
      <w:pPr>
        <w:pStyle w:val="CETHeading1"/>
        <w:spacing w:before="120"/>
        <w:rPr>
          <w:lang w:val="en-GB"/>
        </w:rPr>
      </w:pPr>
      <w:r w:rsidRPr="00697D65">
        <w:rPr>
          <w:lang w:val="en-GB"/>
        </w:rPr>
        <w:lastRenderedPageBreak/>
        <w:t>Results and Analysis</w:t>
      </w:r>
    </w:p>
    <w:p w14:paraId="345F9163" w14:textId="01737CF5" w:rsidR="0067795B" w:rsidRPr="00697D65" w:rsidRDefault="0033525B" w:rsidP="0067795B">
      <w:pPr>
        <w:rPr>
          <w:rFonts w:cs="Arial"/>
        </w:rPr>
      </w:pPr>
      <w:r w:rsidRPr="00697D65">
        <w:t>The MOMILP model was built in Python using the Pyomo package and solved using the ε-constraint method with the ‘GLPK’ solver (SIMPLEX method).</w:t>
      </w:r>
      <w:r w:rsidR="00A91F9F" w:rsidRPr="00697D65">
        <w:t xml:space="preserve"> </w:t>
      </w:r>
      <w:commentRangeStart w:id="4"/>
      <w:r w:rsidR="00D90E5F" w:rsidRPr="00697D65">
        <w:t xml:space="preserve">Since the model considers two objective functions, there is no single solution that simultaneously optimizes both objectives. Therefore, in </w:t>
      </w:r>
      <w:r w:rsidR="00344F8D" w:rsidRPr="00697D65">
        <w:t xml:space="preserve">the </w:t>
      </w:r>
      <w:r w:rsidR="00D90E5F" w:rsidRPr="00697D65">
        <w:t xml:space="preserve">multi-objective model, a Pareto </w:t>
      </w:r>
      <w:r w:rsidR="007019C3">
        <w:t>front</w:t>
      </w:r>
      <w:r w:rsidR="00D90E5F" w:rsidRPr="00697D65">
        <w:t xml:space="preserve"> is obtained, which shows the different trade-offs between the objectives (alternatives). </w:t>
      </w:r>
      <w:commentRangeEnd w:id="4"/>
      <w:r w:rsidR="00F15848" w:rsidRPr="00697D65">
        <w:rPr>
          <w:rStyle w:val="Refdecomentario"/>
        </w:rPr>
        <w:commentReference w:id="4"/>
      </w:r>
      <w:r w:rsidRPr="00697D65">
        <w:t>The 10 alternatives obtained on the Pareto front between Net Present Value (NPV) and CO2 emissions are shown in Figure 1. The negative sign of the NPV refers to the profits from the sale of surplus electricity generated. The Pareto front indicates that if capital recovery is maximised, CO</w:t>
      </w:r>
      <w:r w:rsidRPr="00697D65">
        <w:rPr>
          <w:vertAlign w:val="subscript"/>
        </w:rPr>
        <w:t>2</w:t>
      </w:r>
      <w:r w:rsidRPr="00697D65">
        <w:t xml:space="preserve"> emissions must be increased. An example of this is alternative A1, which generates the highest profits of -159,470 USD but produces the highest CO</w:t>
      </w:r>
      <w:r w:rsidRPr="00697D65">
        <w:rPr>
          <w:vertAlign w:val="subscript"/>
        </w:rPr>
        <w:t>2</w:t>
      </w:r>
      <w:r w:rsidRPr="00697D65">
        <w:t xml:space="preserve"> emissions, at 245.88 t. Conversely, alternative A10 generates the lowest profits of -121,360 USD and produces the lowest CO</w:t>
      </w:r>
      <w:r w:rsidRPr="00697D65">
        <w:rPr>
          <w:vertAlign w:val="subscript"/>
        </w:rPr>
        <w:t>2</w:t>
      </w:r>
      <w:r w:rsidRPr="00697D65">
        <w:t xml:space="preserve"> emissions, at 94.72 t. This variation in costs and emissions is due to the different capacities of plants considered for installation in each alternative (Figure 2).</w:t>
      </w:r>
    </w:p>
    <w:p w14:paraId="2875EC46" w14:textId="4EF5FCF1" w:rsidR="00A31FE6" w:rsidRPr="00697D65" w:rsidRDefault="00A31FE6" w:rsidP="0067795B">
      <w:pPr>
        <w:rPr>
          <w:rFonts w:cs="Arial"/>
        </w:rPr>
      </w:pPr>
      <w:r w:rsidRPr="00697D65">
        <w:rPr>
          <w:noProof/>
        </w:rPr>
        <w:drawing>
          <wp:inline distT="0" distB="0" distL="0" distR="0" wp14:anchorId="4DF57647" wp14:editId="69DC5F68">
            <wp:extent cx="3907345" cy="1716967"/>
            <wp:effectExtent l="0" t="0" r="0" b="0"/>
            <wp:docPr id="872403631" name="Imagen 4" descr="Gráfico, Gráfico de línea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2403631" name="Imagen 4" descr="Gráfico, Gráfico de líneas&#10;&#10;Descripción generada automáticament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938218" cy="1730533"/>
                    </a:xfrm>
                    <a:prstGeom prst="rect">
                      <a:avLst/>
                    </a:prstGeom>
                    <a:noFill/>
                    <a:ln>
                      <a:noFill/>
                    </a:ln>
                  </pic:spPr>
                </pic:pic>
              </a:graphicData>
            </a:graphic>
          </wp:inline>
        </w:drawing>
      </w:r>
    </w:p>
    <w:p w14:paraId="1A9BA0DE" w14:textId="7B1E8300" w:rsidR="005A6CFD" w:rsidRPr="00697D65" w:rsidRDefault="005A6CFD" w:rsidP="0067795B">
      <w:pPr>
        <w:rPr>
          <w:i/>
          <w:iCs/>
        </w:rPr>
      </w:pPr>
      <w:r w:rsidRPr="00697D65">
        <w:rPr>
          <w:i/>
          <w:iCs/>
        </w:rPr>
        <w:t>Figur</w:t>
      </w:r>
      <w:r w:rsidR="0033525B" w:rsidRPr="00697D65">
        <w:rPr>
          <w:i/>
          <w:iCs/>
        </w:rPr>
        <w:t>e</w:t>
      </w:r>
      <w:r w:rsidRPr="00697D65">
        <w:rPr>
          <w:i/>
          <w:iCs/>
        </w:rPr>
        <w:t xml:space="preserve"> 1. </w:t>
      </w:r>
      <w:r w:rsidR="0033525B" w:rsidRPr="00697D65">
        <w:rPr>
          <w:i/>
          <w:iCs/>
        </w:rPr>
        <w:t>Pareto chart</w:t>
      </w:r>
    </w:p>
    <w:p w14:paraId="59F3E9B8" w14:textId="2AD48F23" w:rsidR="00A90822" w:rsidRPr="00697D65" w:rsidRDefault="003D4C33" w:rsidP="001D382A">
      <w:pPr>
        <w:spacing w:before="120"/>
        <w:rPr>
          <w:rFonts w:cs="Arial"/>
        </w:rPr>
      </w:pPr>
      <w:r w:rsidRPr="00697D65">
        <w:rPr>
          <w:rFonts w:cs="Arial"/>
        </w:rPr>
        <w:t>Figure 2 shows that due to the constraints on the installation of two plants in a specific period and the intermittent nature of photovoltaic energy, it is necessary to install diesel plants and biomass gasifiers in the initial years to meet electricity demand. Furthermore, as CO</w:t>
      </w:r>
      <w:r w:rsidRPr="00697D65">
        <w:rPr>
          <w:rFonts w:cs="Arial"/>
          <w:vertAlign w:val="subscript"/>
        </w:rPr>
        <w:t>2</w:t>
      </w:r>
      <w:r w:rsidRPr="00697D65">
        <w:rPr>
          <w:rFonts w:cs="Arial"/>
        </w:rPr>
        <w:t xml:space="preserve"> emissions are minimized, the installed capacities of solar panels increase. Notably, Alternative 10 proposes the installation of solar panels, wind turbines, biomass gasifiers, and diesel plants with capacities of 25 kW, 15 kW, 7 kW, and 4 kW, respectively</w:t>
      </w:r>
      <w:r w:rsidR="00567855" w:rsidRPr="00697D65">
        <w:rPr>
          <w:rFonts w:cs="Arial"/>
        </w:rPr>
        <w:t>.</w:t>
      </w:r>
    </w:p>
    <w:p w14:paraId="2FED1931" w14:textId="77777777" w:rsidR="00A90822" w:rsidRPr="00697D65" w:rsidRDefault="00A90822" w:rsidP="00A90822">
      <w:pPr>
        <w:rPr>
          <w:rFonts w:cs="Arial"/>
        </w:rPr>
      </w:pPr>
      <w:r w:rsidRPr="00697D65">
        <w:rPr>
          <w:rFonts w:cs="Arial"/>
          <w:noProof/>
        </w:rPr>
        <w:drawing>
          <wp:inline distT="0" distB="0" distL="0" distR="0" wp14:anchorId="45110B3B" wp14:editId="3F1C1E64">
            <wp:extent cx="4181475" cy="2203770"/>
            <wp:effectExtent l="0" t="0" r="0" b="6350"/>
            <wp:docPr id="310426550" name="Imagen 4" descr="Imagen que contiene Interfaz de usuario gráf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426550" name="Imagen 4" descr="Imagen que contiene Interfaz de usuario gráfica"/>
                    <pic:cNvPicPr>
                      <a:picLocks noChangeAspect="1" noChangeArrowheads="1"/>
                    </pic:cNvPicPr>
                  </pic:nvPicPr>
                  <pic:blipFill rotWithShape="1">
                    <a:blip r:embed="rId15">
                      <a:extLst>
                        <a:ext uri="{28A0092B-C50C-407E-A947-70E740481C1C}">
                          <a14:useLocalDpi xmlns:a14="http://schemas.microsoft.com/office/drawing/2010/main" val="0"/>
                        </a:ext>
                      </a:extLst>
                    </a:blip>
                    <a:srcRect l="24172" r="20929"/>
                    <a:stretch/>
                  </pic:blipFill>
                  <pic:spPr bwMode="auto">
                    <a:xfrm>
                      <a:off x="0" y="0"/>
                      <a:ext cx="4229921" cy="2229303"/>
                    </a:xfrm>
                    <a:prstGeom prst="rect">
                      <a:avLst/>
                    </a:prstGeom>
                    <a:noFill/>
                    <a:ln>
                      <a:noFill/>
                    </a:ln>
                    <a:extLst>
                      <a:ext uri="{53640926-AAD7-44D8-BBD7-CCE9431645EC}">
                        <a14:shadowObscured xmlns:a14="http://schemas.microsoft.com/office/drawing/2010/main"/>
                      </a:ext>
                    </a:extLst>
                  </pic:spPr>
                </pic:pic>
              </a:graphicData>
            </a:graphic>
          </wp:inline>
        </w:drawing>
      </w:r>
    </w:p>
    <w:p w14:paraId="7236F1BB" w14:textId="6F041461" w:rsidR="00067FCD" w:rsidRPr="00697D65" w:rsidRDefault="00A90822" w:rsidP="0067795B">
      <w:pPr>
        <w:rPr>
          <w:i/>
          <w:iCs/>
        </w:rPr>
      </w:pPr>
      <w:r w:rsidRPr="00697D65">
        <w:rPr>
          <w:i/>
          <w:iCs/>
        </w:rPr>
        <w:t>Figur</w:t>
      </w:r>
      <w:r w:rsidR="003D4C33" w:rsidRPr="00697D65">
        <w:rPr>
          <w:i/>
          <w:iCs/>
        </w:rPr>
        <w:t>e</w:t>
      </w:r>
      <w:r w:rsidRPr="00697D65">
        <w:rPr>
          <w:i/>
          <w:iCs/>
        </w:rPr>
        <w:t xml:space="preserve"> 2. </w:t>
      </w:r>
      <w:r w:rsidR="003D4C33" w:rsidRPr="00697D65">
        <w:rPr>
          <w:i/>
          <w:iCs/>
        </w:rPr>
        <w:t>Added capacities for each alternative over the planning horizon</w:t>
      </w:r>
      <w:r w:rsidRPr="00697D65">
        <w:rPr>
          <w:i/>
          <w:iCs/>
        </w:rPr>
        <w:t>.</w:t>
      </w:r>
    </w:p>
    <w:p w14:paraId="41F5A5AA" w14:textId="657CA970" w:rsidR="003D4C33" w:rsidRPr="00697D65" w:rsidRDefault="003D4C33" w:rsidP="001D382A">
      <w:pPr>
        <w:spacing w:before="120"/>
        <w:rPr>
          <w:rFonts w:cs="Arial"/>
        </w:rPr>
      </w:pPr>
      <w:r w:rsidRPr="00697D65">
        <w:rPr>
          <w:rFonts w:cs="Arial"/>
        </w:rPr>
        <w:t xml:space="preserve">Additionally, Figure 2 demonstrates the linear </w:t>
      </w:r>
      <w:r w:rsidR="00D93F83" w:rsidRPr="00697D65">
        <w:rPr>
          <w:rFonts w:cs="Arial"/>
        </w:rPr>
        <w:t>behaviour</w:t>
      </w:r>
      <w:r w:rsidRPr="00697D65">
        <w:rPr>
          <w:rFonts w:cs="Arial"/>
        </w:rPr>
        <w:t xml:space="preserve"> of the Pareto front between alternatives A1:A9, which differ by the increase in the installed photovoltaic technology capacity. Alternative A10 does not follow this same linear pattern as it considers installing the minimum capacity of wind turbines allowed by wind speeds, leading to a significant increase in the total system cost.</w:t>
      </w:r>
    </w:p>
    <w:p w14:paraId="07D6EB77" w14:textId="73027DD0" w:rsidR="00B81943" w:rsidRPr="00697D65" w:rsidRDefault="003D4C33" w:rsidP="001D382A">
      <w:pPr>
        <w:spacing w:after="120"/>
        <w:rPr>
          <w:rFonts w:cs="Arial"/>
        </w:rPr>
      </w:pPr>
      <w:r w:rsidRPr="00697D65">
        <w:rPr>
          <w:rFonts w:cs="Arial"/>
        </w:rPr>
        <w:t xml:space="preserve">The energies generated by the added capacities are shown in Table </w:t>
      </w:r>
      <w:r w:rsidR="00176687" w:rsidRPr="00697D65">
        <w:rPr>
          <w:rFonts w:cs="Arial"/>
        </w:rPr>
        <w:t>2</w:t>
      </w:r>
      <w:r w:rsidRPr="00697D65">
        <w:rPr>
          <w:rFonts w:cs="Arial"/>
        </w:rPr>
        <w:t>. Biomass gasification plants generate the most energy up to alternative A8, as they ensure a constant energy supply and lower CO</w:t>
      </w:r>
      <w:r w:rsidRPr="00697D65">
        <w:rPr>
          <w:rFonts w:cs="Arial"/>
          <w:vertAlign w:val="subscript"/>
        </w:rPr>
        <w:t>2</w:t>
      </w:r>
      <w:r w:rsidRPr="00697D65">
        <w:rPr>
          <w:rFonts w:cs="Arial"/>
        </w:rPr>
        <w:t xml:space="preserve"> emissions compared to diesel plants. Diesel plants have a low share in energy generation due to their high CO</w:t>
      </w:r>
      <w:r w:rsidRPr="00697D65">
        <w:rPr>
          <w:rFonts w:cs="Arial"/>
          <w:vertAlign w:val="subscript"/>
        </w:rPr>
        <w:t xml:space="preserve">2 </w:t>
      </w:r>
      <w:r w:rsidRPr="00697D65">
        <w:rPr>
          <w:rFonts w:cs="Arial"/>
        </w:rPr>
        <w:t>emissions and are mainly installed to ensure energy supply during unforeseen interruptions in the electrical grid. The MOMILP model promotes the construction of photovoltaic panels as the goal is to reduce CO</w:t>
      </w:r>
      <w:r w:rsidRPr="00697D65">
        <w:rPr>
          <w:rFonts w:cs="Arial"/>
          <w:vertAlign w:val="subscript"/>
        </w:rPr>
        <w:t>2</w:t>
      </w:r>
      <w:r w:rsidRPr="00697D65">
        <w:rPr>
          <w:rFonts w:cs="Arial"/>
        </w:rPr>
        <w:t xml:space="preserve"> emissions. In alternatives A8 and A9, photovoltaic technology covers over 50% of the electrical demand, generating 200,976.3 </w:t>
      </w:r>
      <w:r w:rsidRPr="00697D65">
        <w:rPr>
          <w:rFonts w:cs="Arial"/>
        </w:rPr>
        <w:lastRenderedPageBreak/>
        <w:t>kWh and 218,452.5 kWh, respectively. Additionally, in alternative A10, due to the low wind speeds in the area, the energy generated by the wind resource is only 839.45 kWh.</w:t>
      </w:r>
    </w:p>
    <w:p w14:paraId="514A09F5" w14:textId="6AD882C9" w:rsidR="004D170B" w:rsidRPr="00697D65" w:rsidRDefault="00105650" w:rsidP="0067795B">
      <w:pPr>
        <w:rPr>
          <w:rFonts w:cs="Arial"/>
          <w:i/>
          <w:iCs/>
        </w:rPr>
      </w:pPr>
      <w:r w:rsidRPr="00697D65">
        <w:rPr>
          <w:rFonts w:cs="Arial"/>
          <w:i/>
          <w:iCs/>
        </w:rPr>
        <w:t>Tabl</w:t>
      </w:r>
      <w:r w:rsidR="00616254" w:rsidRPr="00697D65">
        <w:rPr>
          <w:rFonts w:cs="Arial"/>
          <w:i/>
          <w:iCs/>
        </w:rPr>
        <w:t>e</w:t>
      </w:r>
      <w:r w:rsidRPr="00697D65">
        <w:rPr>
          <w:rFonts w:cs="Arial"/>
          <w:i/>
          <w:iCs/>
        </w:rPr>
        <w:t xml:space="preserve"> </w:t>
      </w:r>
      <w:r w:rsidR="00176687" w:rsidRPr="00697D65">
        <w:rPr>
          <w:rFonts w:cs="Arial"/>
          <w:i/>
          <w:iCs/>
        </w:rPr>
        <w:t>2</w:t>
      </w:r>
      <w:r w:rsidRPr="00697D65">
        <w:rPr>
          <w:rFonts w:cs="Arial"/>
          <w:i/>
          <w:iCs/>
        </w:rPr>
        <w:t xml:space="preserve">. </w:t>
      </w:r>
      <w:r w:rsidR="00616254" w:rsidRPr="00697D65">
        <w:rPr>
          <w:rFonts w:cs="Arial"/>
          <w:i/>
          <w:iCs/>
        </w:rPr>
        <w:t>Total energy generated by installed plants</w:t>
      </w:r>
    </w:p>
    <w:tbl>
      <w:tblPr>
        <w:tblW w:w="5000" w:type="pct"/>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097"/>
        <w:gridCol w:w="2037"/>
        <w:gridCol w:w="1583"/>
        <w:gridCol w:w="2165"/>
        <w:gridCol w:w="1905"/>
      </w:tblGrid>
      <w:tr w:rsidR="0003536A" w:rsidRPr="00697D65" w14:paraId="6D6BB06C" w14:textId="77777777" w:rsidTr="0003536A">
        <w:tc>
          <w:tcPr>
            <w:tcW w:w="5000" w:type="pct"/>
            <w:gridSpan w:val="5"/>
            <w:tcBorders>
              <w:top w:val="single" w:sz="12" w:space="0" w:color="008000"/>
              <w:bottom w:val="single" w:sz="6" w:space="0" w:color="008000"/>
            </w:tcBorders>
            <w:shd w:val="clear" w:color="auto" w:fill="FFFFFF"/>
          </w:tcPr>
          <w:p w14:paraId="555D0A94" w14:textId="0F5EEFC0" w:rsidR="0003536A" w:rsidRPr="00697D65" w:rsidRDefault="00616254" w:rsidP="0003536A">
            <w:pPr>
              <w:pStyle w:val="CETBodytext"/>
              <w:jc w:val="center"/>
              <w:rPr>
                <w:lang w:val="en-GB"/>
              </w:rPr>
            </w:pPr>
            <w:r w:rsidRPr="00697D65">
              <w:rPr>
                <w:lang w:val="en-GB"/>
              </w:rPr>
              <w:t>Total energy generated by installed plants (kWh) (percentage</w:t>
            </w:r>
            <w:r w:rsidR="0003536A" w:rsidRPr="00697D65">
              <w:rPr>
                <w:lang w:val="en-GB"/>
              </w:rPr>
              <w:t>)</w:t>
            </w:r>
          </w:p>
        </w:tc>
      </w:tr>
      <w:tr w:rsidR="00871FCF" w:rsidRPr="00697D65" w14:paraId="3FD494FA" w14:textId="77777777" w:rsidTr="0003536A">
        <w:tc>
          <w:tcPr>
            <w:tcW w:w="624" w:type="pct"/>
            <w:shd w:val="clear" w:color="auto" w:fill="FFFFFF"/>
          </w:tcPr>
          <w:p w14:paraId="575C0536" w14:textId="6BAD8B16" w:rsidR="00871FCF" w:rsidRPr="00697D65" w:rsidRDefault="00871FCF" w:rsidP="00871FCF">
            <w:pPr>
              <w:pStyle w:val="CETBodytext"/>
              <w:rPr>
                <w:lang w:val="en-GB"/>
              </w:rPr>
            </w:pPr>
            <w:r w:rsidRPr="00697D65">
              <w:rPr>
                <w:rFonts w:cs="Arial"/>
                <w:szCs w:val="18"/>
                <w:lang w:val="en-GB"/>
              </w:rPr>
              <w:t>Alt</w:t>
            </w:r>
            <w:r w:rsidR="004447C7" w:rsidRPr="00697D65">
              <w:rPr>
                <w:rFonts w:cs="Arial"/>
                <w:szCs w:val="18"/>
                <w:lang w:val="en-GB"/>
              </w:rPr>
              <w:t>ernative</w:t>
            </w:r>
          </w:p>
        </w:tc>
        <w:tc>
          <w:tcPr>
            <w:tcW w:w="1159" w:type="pct"/>
            <w:shd w:val="clear" w:color="auto" w:fill="FFFFFF"/>
          </w:tcPr>
          <w:p w14:paraId="0040CAB4" w14:textId="0C64D88C" w:rsidR="00871FCF" w:rsidRPr="00697D65" w:rsidRDefault="004447C7" w:rsidP="00871FCF">
            <w:pPr>
              <w:pStyle w:val="CETBodytext"/>
              <w:rPr>
                <w:lang w:val="en-GB"/>
              </w:rPr>
            </w:pPr>
            <w:r w:rsidRPr="00697D65">
              <w:rPr>
                <w:rFonts w:cs="Arial"/>
                <w:szCs w:val="18"/>
                <w:lang w:val="en-GB"/>
              </w:rPr>
              <w:t>Photovoltaic</w:t>
            </w:r>
          </w:p>
        </w:tc>
        <w:tc>
          <w:tcPr>
            <w:tcW w:w="901" w:type="pct"/>
            <w:shd w:val="clear" w:color="auto" w:fill="FFFFFF"/>
          </w:tcPr>
          <w:p w14:paraId="50AD05F3" w14:textId="4BB866D3" w:rsidR="00871FCF" w:rsidRPr="00697D65" w:rsidRDefault="004447C7" w:rsidP="00871FCF">
            <w:pPr>
              <w:pStyle w:val="CETBodytext"/>
              <w:rPr>
                <w:lang w:val="en-GB"/>
              </w:rPr>
            </w:pPr>
            <w:r w:rsidRPr="00697D65">
              <w:rPr>
                <w:rFonts w:cs="Arial"/>
                <w:szCs w:val="18"/>
                <w:lang w:val="en-GB"/>
              </w:rPr>
              <w:t>Eolic</w:t>
            </w:r>
          </w:p>
        </w:tc>
        <w:tc>
          <w:tcPr>
            <w:tcW w:w="1232" w:type="pct"/>
            <w:shd w:val="clear" w:color="auto" w:fill="FFFFFF"/>
          </w:tcPr>
          <w:p w14:paraId="18CA1BB7" w14:textId="7E99389F" w:rsidR="00871FCF" w:rsidRPr="00697D65" w:rsidRDefault="004447C7" w:rsidP="00871FCF">
            <w:pPr>
              <w:pStyle w:val="CETBodytext"/>
              <w:ind w:right="-1"/>
              <w:rPr>
                <w:rFonts w:cs="Arial"/>
                <w:szCs w:val="18"/>
                <w:lang w:val="en-GB"/>
              </w:rPr>
            </w:pPr>
            <w:r w:rsidRPr="00697D65">
              <w:rPr>
                <w:rFonts w:cs="Arial"/>
                <w:szCs w:val="18"/>
                <w:lang w:val="en-GB"/>
              </w:rPr>
              <w:t>Biomass</w:t>
            </w:r>
          </w:p>
        </w:tc>
        <w:tc>
          <w:tcPr>
            <w:tcW w:w="1084" w:type="pct"/>
            <w:shd w:val="clear" w:color="auto" w:fill="FFFFFF"/>
          </w:tcPr>
          <w:p w14:paraId="1C95F494" w14:textId="7C16DEE4" w:rsidR="00871FCF" w:rsidRPr="00697D65" w:rsidRDefault="004447C7" w:rsidP="00871FCF">
            <w:pPr>
              <w:pStyle w:val="CETBodytext"/>
              <w:ind w:right="-1"/>
              <w:rPr>
                <w:rFonts w:cs="Arial"/>
                <w:szCs w:val="18"/>
                <w:lang w:val="en-GB"/>
              </w:rPr>
            </w:pPr>
            <w:r w:rsidRPr="00697D65">
              <w:rPr>
                <w:rFonts w:cs="Arial"/>
                <w:szCs w:val="18"/>
                <w:lang w:val="en-GB"/>
              </w:rPr>
              <w:t>Diesel</w:t>
            </w:r>
          </w:p>
        </w:tc>
      </w:tr>
      <w:tr w:rsidR="00871FCF" w:rsidRPr="00697D65" w14:paraId="089EDF85" w14:textId="77777777" w:rsidTr="0003536A">
        <w:tc>
          <w:tcPr>
            <w:tcW w:w="624" w:type="pct"/>
            <w:shd w:val="clear" w:color="auto" w:fill="FFFFFF"/>
          </w:tcPr>
          <w:p w14:paraId="59641209" w14:textId="1ED3C90C" w:rsidR="00871FCF" w:rsidRPr="00697D65" w:rsidRDefault="00871FCF" w:rsidP="00871FCF">
            <w:pPr>
              <w:pStyle w:val="CETBodytext"/>
              <w:ind w:right="-1"/>
              <w:rPr>
                <w:rFonts w:cs="Arial"/>
                <w:szCs w:val="18"/>
                <w:lang w:val="en-GB"/>
              </w:rPr>
            </w:pPr>
            <w:r w:rsidRPr="00697D65">
              <w:rPr>
                <w:rFonts w:cs="Arial"/>
                <w:szCs w:val="18"/>
                <w:lang w:val="en-GB"/>
              </w:rPr>
              <w:t>A1</w:t>
            </w:r>
          </w:p>
        </w:tc>
        <w:tc>
          <w:tcPr>
            <w:tcW w:w="1159" w:type="pct"/>
            <w:shd w:val="clear" w:color="auto" w:fill="FFFFFF"/>
          </w:tcPr>
          <w:p w14:paraId="6F14CD97" w14:textId="0ED6BD76" w:rsidR="00871FCF" w:rsidRPr="00697D65" w:rsidRDefault="00871FCF" w:rsidP="00871FCF">
            <w:pPr>
              <w:pStyle w:val="CETBodytext"/>
              <w:ind w:right="-1"/>
              <w:rPr>
                <w:rFonts w:cs="Arial"/>
                <w:szCs w:val="18"/>
                <w:lang w:val="en-GB"/>
              </w:rPr>
            </w:pPr>
            <w:r w:rsidRPr="00697D65">
              <w:rPr>
                <w:rFonts w:cs="Arial"/>
                <w:szCs w:val="18"/>
                <w:lang w:val="en-GB"/>
              </w:rPr>
              <w:t>0 (0</w:t>
            </w:r>
            <w:r w:rsidR="003A6F96" w:rsidRPr="00697D65">
              <w:rPr>
                <w:rFonts w:cs="Arial"/>
                <w:szCs w:val="18"/>
                <w:lang w:val="en-GB"/>
              </w:rPr>
              <w:t xml:space="preserve"> </w:t>
            </w:r>
            <w:r w:rsidRPr="00697D65">
              <w:rPr>
                <w:rFonts w:cs="Arial"/>
                <w:szCs w:val="18"/>
                <w:lang w:val="en-GB"/>
              </w:rPr>
              <w:t>%)</w:t>
            </w:r>
          </w:p>
        </w:tc>
        <w:tc>
          <w:tcPr>
            <w:tcW w:w="901" w:type="pct"/>
            <w:shd w:val="clear" w:color="auto" w:fill="FFFFFF"/>
          </w:tcPr>
          <w:p w14:paraId="0C201065" w14:textId="27E2B1B3" w:rsidR="00871FCF" w:rsidRPr="00697D65" w:rsidRDefault="00871FCF" w:rsidP="00871FCF">
            <w:pPr>
              <w:pStyle w:val="CETBodytext"/>
              <w:ind w:right="-1"/>
              <w:rPr>
                <w:rFonts w:cs="Arial"/>
                <w:szCs w:val="18"/>
                <w:lang w:val="en-GB"/>
              </w:rPr>
            </w:pPr>
            <w:r w:rsidRPr="00697D65">
              <w:rPr>
                <w:rFonts w:cs="Arial"/>
                <w:szCs w:val="18"/>
                <w:lang w:val="en-GB"/>
              </w:rPr>
              <w:t>0 (0</w:t>
            </w:r>
            <w:r w:rsidR="003A6F96" w:rsidRPr="00697D65">
              <w:rPr>
                <w:rFonts w:cs="Arial"/>
                <w:szCs w:val="18"/>
                <w:lang w:val="en-GB"/>
              </w:rPr>
              <w:t xml:space="preserve"> </w:t>
            </w:r>
            <w:r w:rsidRPr="00697D65">
              <w:rPr>
                <w:rFonts w:cs="Arial"/>
                <w:szCs w:val="18"/>
                <w:lang w:val="en-GB"/>
              </w:rPr>
              <w:t>%)</w:t>
            </w:r>
          </w:p>
        </w:tc>
        <w:tc>
          <w:tcPr>
            <w:tcW w:w="1232" w:type="pct"/>
            <w:shd w:val="clear" w:color="auto" w:fill="FFFFFF"/>
          </w:tcPr>
          <w:p w14:paraId="4521B3F4" w14:textId="3EC7D72D" w:rsidR="00871FCF" w:rsidRPr="00697D65" w:rsidRDefault="00871FCF" w:rsidP="00871FCF">
            <w:pPr>
              <w:pStyle w:val="CETBodytext"/>
              <w:ind w:right="-1"/>
              <w:rPr>
                <w:rFonts w:cs="Arial"/>
                <w:szCs w:val="18"/>
                <w:lang w:val="en-GB"/>
              </w:rPr>
            </w:pPr>
            <w:r w:rsidRPr="00697D65">
              <w:rPr>
                <w:rFonts w:cs="Arial"/>
                <w:szCs w:val="18"/>
                <w:lang w:val="en-GB"/>
              </w:rPr>
              <w:t>324,480.81 (91.16</w:t>
            </w:r>
            <w:r w:rsidR="003A6F96" w:rsidRPr="00697D65">
              <w:rPr>
                <w:rFonts w:cs="Arial"/>
                <w:szCs w:val="18"/>
                <w:lang w:val="en-GB"/>
              </w:rPr>
              <w:t xml:space="preserve"> </w:t>
            </w:r>
            <w:r w:rsidRPr="00697D65">
              <w:rPr>
                <w:rFonts w:cs="Arial"/>
                <w:szCs w:val="18"/>
                <w:lang w:val="en-GB"/>
              </w:rPr>
              <w:t>%)</w:t>
            </w:r>
          </w:p>
        </w:tc>
        <w:tc>
          <w:tcPr>
            <w:tcW w:w="1084" w:type="pct"/>
            <w:shd w:val="clear" w:color="auto" w:fill="FFFFFF"/>
          </w:tcPr>
          <w:p w14:paraId="3901797F" w14:textId="611AE46C" w:rsidR="00871FCF" w:rsidRPr="00697D65" w:rsidRDefault="00871FCF" w:rsidP="00871FCF">
            <w:pPr>
              <w:pStyle w:val="CETBodytext"/>
              <w:ind w:right="-1"/>
              <w:rPr>
                <w:rFonts w:cs="Arial"/>
                <w:szCs w:val="18"/>
                <w:lang w:val="en-GB"/>
              </w:rPr>
            </w:pPr>
            <w:r w:rsidRPr="00697D65">
              <w:rPr>
                <w:rFonts w:cs="Arial"/>
                <w:szCs w:val="18"/>
                <w:lang w:val="en-GB"/>
              </w:rPr>
              <w:t>31,482.24 (8.84</w:t>
            </w:r>
            <w:r w:rsidR="003A6F96" w:rsidRPr="00697D65">
              <w:rPr>
                <w:rFonts w:cs="Arial"/>
                <w:szCs w:val="18"/>
                <w:lang w:val="en-GB"/>
              </w:rPr>
              <w:t xml:space="preserve"> </w:t>
            </w:r>
            <w:r w:rsidRPr="00697D65">
              <w:rPr>
                <w:rFonts w:cs="Arial"/>
                <w:szCs w:val="18"/>
                <w:lang w:val="en-GB"/>
              </w:rPr>
              <w:t>%)</w:t>
            </w:r>
          </w:p>
        </w:tc>
      </w:tr>
      <w:tr w:rsidR="00871FCF" w:rsidRPr="00697D65" w14:paraId="2989B408" w14:textId="77777777" w:rsidTr="0003536A">
        <w:tc>
          <w:tcPr>
            <w:tcW w:w="624" w:type="pct"/>
            <w:shd w:val="clear" w:color="auto" w:fill="FFFFFF"/>
          </w:tcPr>
          <w:p w14:paraId="19D162D8" w14:textId="22CC504E" w:rsidR="00871FCF" w:rsidRPr="00697D65" w:rsidRDefault="00871FCF" w:rsidP="00871FCF">
            <w:pPr>
              <w:pStyle w:val="CETBodytext"/>
              <w:ind w:right="-1"/>
              <w:rPr>
                <w:rFonts w:cs="Arial"/>
                <w:szCs w:val="18"/>
                <w:lang w:val="en-GB"/>
              </w:rPr>
            </w:pPr>
            <w:r w:rsidRPr="00697D65">
              <w:rPr>
                <w:rFonts w:cs="Arial"/>
                <w:szCs w:val="18"/>
                <w:lang w:val="en-GB"/>
              </w:rPr>
              <w:t>A2</w:t>
            </w:r>
          </w:p>
        </w:tc>
        <w:tc>
          <w:tcPr>
            <w:tcW w:w="1159" w:type="pct"/>
            <w:shd w:val="clear" w:color="auto" w:fill="FFFFFF"/>
          </w:tcPr>
          <w:p w14:paraId="10C9AEF2" w14:textId="5F2F0772" w:rsidR="00871FCF" w:rsidRPr="00697D65" w:rsidRDefault="00871FCF" w:rsidP="00871FCF">
            <w:pPr>
              <w:pStyle w:val="CETBodytext"/>
              <w:ind w:right="-1"/>
              <w:rPr>
                <w:rFonts w:cs="Arial"/>
                <w:szCs w:val="18"/>
                <w:lang w:val="en-GB"/>
              </w:rPr>
            </w:pPr>
            <w:r w:rsidRPr="00697D65">
              <w:rPr>
                <w:rFonts w:cs="Arial"/>
                <w:szCs w:val="18"/>
                <w:lang w:val="en-GB"/>
              </w:rPr>
              <w:t>26,214.3 (7.36</w:t>
            </w:r>
            <w:r w:rsidR="003A6F96" w:rsidRPr="00697D65">
              <w:rPr>
                <w:rFonts w:cs="Arial"/>
                <w:szCs w:val="18"/>
                <w:lang w:val="en-GB"/>
              </w:rPr>
              <w:t xml:space="preserve"> </w:t>
            </w:r>
            <w:r w:rsidRPr="00697D65">
              <w:rPr>
                <w:rFonts w:cs="Arial"/>
                <w:szCs w:val="18"/>
                <w:lang w:val="en-GB"/>
              </w:rPr>
              <w:t>%)</w:t>
            </w:r>
          </w:p>
        </w:tc>
        <w:tc>
          <w:tcPr>
            <w:tcW w:w="901" w:type="pct"/>
            <w:shd w:val="clear" w:color="auto" w:fill="FFFFFF"/>
          </w:tcPr>
          <w:p w14:paraId="24492F6A" w14:textId="505D5715" w:rsidR="00871FCF" w:rsidRPr="00697D65" w:rsidRDefault="00871FCF" w:rsidP="00871FCF">
            <w:pPr>
              <w:pStyle w:val="CETBodytext"/>
              <w:ind w:right="-1"/>
              <w:rPr>
                <w:rFonts w:cs="Arial"/>
                <w:szCs w:val="18"/>
                <w:lang w:val="en-GB"/>
              </w:rPr>
            </w:pPr>
            <w:r w:rsidRPr="00697D65">
              <w:rPr>
                <w:rFonts w:cs="Arial"/>
                <w:szCs w:val="18"/>
                <w:lang w:val="en-GB"/>
              </w:rPr>
              <w:t>0 (0</w:t>
            </w:r>
            <w:r w:rsidR="003A6F96" w:rsidRPr="00697D65">
              <w:rPr>
                <w:rFonts w:cs="Arial"/>
                <w:szCs w:val="18"/>
                <w:lang w:val="en-GB"/>
              </w:rPr>
              <w:t xml:space="preserve"> </w:t>
            </w:r>
            <w:r w:rsidRPr="00697D65">
              <w:rPr>
                <w:rFonts w:cs="Arial"/>
                <w:szCs w:val="18"/>
                <w:lang w:val="en-GB"/>
              </w:rPr>
              <w:t>%)</w:t>
            </w:r>
          </w:p>
        </w:tc>
        <w:tc>
          <w:tcPr>
            <w:tcW w:w="1232" w:type="pct"/>
            <w:shd w:val="clear" w:color="auto" w:fill="FFFFFF"/>
          </w:tcPr>
          <w:p w14:paraId="26ACC383" w14:textId="1396A734" w:rsidR="00871FCF" w:rsidRPr="00697D65" w:rsidRDefault="00871FCF" w:rsidP="00871FCF">
            <w:pPr>
              <w:pStyle w:val="CETBodytext"/>
              <w:ind w:right="-1"/>
              <w:rPr>
                <w:rFonts w:cs="Arial"/>
                <w:szCs w:val="18"/>
                <w:lang w:val="en-GB"/>
              </w:rPr>
            </w:pPr>
            <w:r w:rsidRPr="00697D65">
              <w:rPr>
                <w:rFonts w:cs="Arial"/>
                <w:szCs w:val="18"/>
                <w:lang w:val="en-GB"/>
              </w:rPr>
              <w:t>302,465.45 (84.97</w:t>
            </w:r>
            <w:r w:rsidR="003A6F96" w:rsidRPr="00697D65">
              <w:rPr>
                <w:rFonts w:cs="Arial"/>
                <w:szCs w:val="18"/>
                <w:lang w:val="en-GB"/>
              </w:rPr>
              <w:t xml:space="preserve"> </w:t>
            </w:r>
            <w:r w:rsidRPr="00697D65">
              <w:rPr>
                <w:rFonts w:cs="Arial"/>
                <w:szCs w:val="18"/>
                <w:lang w:val="en-GB"/>
              </w:rPr>
              <w:t>%)</w:t>
            </w:r>
          </w:p>
        </w:tc>
        <w:tc>
          <w:tcPr>
            <w:tcW w:w="1084" w:type="pct"/>
            <w:shd w:val="clear" w:color="auto" w:fill="FFFFFF"/>
          </w:tcPr>
          <w:p w14:paraId="4CD52F70" w14:textId="138B4676" w:rsidR="00871FCF" w:rsidRPr="00697D65" w:rsidRDefault="00871FCF" w:rsidP="00871FCF">
            <w:pPr>
              <w:pStyle w:val="CETBodytext"/>
              <w:ind w:right="-1"/>
              <w:rPr>
                <w:rFonts w:cs="Arial"/>
                <w:szCs w:val="18"/>
                <w:lang w:val="en-GB"/>
              </w:rPr>
            </w:pPr>
            <w:r w:rsidRPr="00697D65">
              <w:rPr>
                <w:rFonts w:cs="Arial"/>
                <w:szCs w:val="18"/>
                <w:lang w:val="en-GB"/>
              </w:rPr>
              <w:t>27,283.31 (7.66</w:t>
            </w:r>
            <w:r w:rsidR="003A6F96" w:rsidRPr="00697D65">
              <w:rPr>
                <w:rFonts w:cs="Arial"/>
                <w:szCs w:val="18"/>
                <w:lang w:val="en-GB"/>
              </w:rPr>
              <w:t xml:space="preserve"> </w:t>
            </w:r>
            <w:r w:rsidRPr="00697D65">
              <w:rPr>
                <w:rFonts w:cs="Arial"/>
                <w:szCs w:val="18"/>
                <w:lang w:val="en-GB"/>
              </w:rPr>
              <w:t>%)</w:t>
            </w:r>
          </w:p>
        </w:tc>
      </w:tr>
      <w:tr w:rsidR="00871FCF" w:rsidRPr="00697D65" w14:paraId="0A7A8A98" w14:textId="77777777" w:rsidTr="0003536A">
        <w:tc>
          <w:tcPr>
            <w:tcW w:w="624" w:type="pct"/>
            <w:shd w:val="clear" w:color="auto" w:fill="FFFFFF"/>
          </w:tcPr>
          <w:p w14:paraId="6667B968" w14:textId="1A23ADC8" w:rsidR="00871FCF" w:rsidRPr="00697D65" w:rsidRDefault="00871FCF" w:rsidP="00871FCF">
            <w:pPr>
              <w:pStyle w:val="CETBodytext"/>
              <w:ind w:right="-1"/>
              <w:rPr>
                <w:rFonts w:cs="Arial"/>
                <w:szCs w:val="18"/>
                <w:lang w:val="en-GB"/>
              </w:rPr>
            </w:pPr>
            <w:r w:rsidRPr="00697D65">
              <w:rPr>
                <w:rFonts w:cs="Arial"/>
                <w:szCs w:val="18"/>
                <w:lang w:val="en-GB"/>
              </w:rPr>
              <w:t>A3</w:t>
            </w:r>
          </w:p>
        </w:tc>
        <w:tc>
          <w:tcPr>
            <w:tcW w:w="1159" w:type="pct"/>
            <w:shd w:val="clear" w:color="auto" w:fill="FFFFFF"/>
          </w:tcPr>
          <w:p w14:paraId="3440C451" w14:textId="2A3D875E" w:rsidR="00871FCF" w:rsidRPr="00697D65" w:rsidRDefault="00871FCF" w:rsidP="00871FCF">
            <w:pPr>
              <w:pStyle w:val="CETBodytext"/>
              <w:ind w:right="-1"/>
              <w:rPr>
                <w:rFonts w:cs="Arial"/>
                <w:szCs w:val="18"/>
                <w:lang w:val="en-GB"/>
              </w:rPr>
            </w:pPr>
            <w:r w:rsidRPr="00697D65">
              <w:rPr>
                <w:rFonts w:cs="Arial"/>
                <w:szCs w:val="18"/>
                <w:lang w:val="en-GB"/>
              </w:rPr>
              <w:t>52,428.6 (14.73</w:t>
            </w:r>
            <w:r w:rsidR="003A6F96" w:rsidRPr="00697D65">
              <w:rPr>
                <w:rFonts w:cs="Arial"/>
                <w:szCs w:val="18"/>
                <w:lang w:val="en-GB"/>
              </w:rPr>
              <w:t xml:space="preserve"> </w:t>
            </w:r>
            <w:r w:rsidRPr="00697D65">
              <w:rPr>
                <w:rFonts w:cs="Arial"/>
                <w:szCs w:val="18"/>
                <w:lang w:val="en-GB"/>
              </w:rPr>
              <w:t>%)</w:t>
            </w:r>
          </w:p>
        </w:tc>
        <w:tc>
          <w:tcPr>
            <w:tcW w:w="901" w:type="pct"/>
            <w:shd w:val="clear" w:color="auto" w:fill="FFFFFF"/>
          </w:tcPr>
          <w:p w14:paraId="33B822BB" w14:textId="3D49B97A" w:rsidR="00871FCF" w:rsidRPr="00697D65" w:rsidRDefault="00871FCF" w:rsidP="00871FCF">
            <w:pPr>
              <w:pStyle w:val="CETBodytext"/>
              <w:ind w:right="-1"/>
              <w:rPr>
                <w:rFonts w:cs="Arial"/>
                <w:szCs w:val="18"/>
                <w:lang w:val="en-GB"/>
              </w:rPr>
            </w:pPr>
            <w:r w:rsidRPr="00697D65">
              <w:rPr>
                <w:rFonts w:cs="Arial"/>
                <w:szCs w:val="18"/>
                <w:lang w:val="en-GB"/>
              </w:rPr>
              <w:t>0 (0</w:t>
            </w:r>
            <w:r w:rsidR="003A6F96" w:rsidRPr="00697D65">
              <w:rPr>
                <w:rFonts w:cs="Arial"/>
                <w:szCs w:val="18"/>
                <w:lang w:val="en-GB"/>
              </w:rPr>
              <w:t xml:space="preserve"> </w:t>
            </w:r>
            <w:r w:rsidRPr="00697D65">
              <w:rPr>
                <w:rFonts w:cs="Arial"/>
                <w:szCs w:val="18"/>
                <w:lang w:val="en-GB"/>
              </w:rPr>
              <w:t>%)</w:t>
            </w:r>
          </w:p>
        </w:tc>
        <w:tc>
          <w:tcPr>
            <w:tcW w:w="1232" w:type="pct"/>
            <w:shd w:val="clear" w:color="auto" w:fill="FFFFFF"/>
          </w:tcPr>
          <w:p w14:paraId="3A192877" w14:textId="15991ECE" w:rsidR="00871FCF" w:rsidRPr="00697D65" w:rsidRDefault="00871FCF" w:rsidP="00871FCF">
            <w:pPr>
              <w:pStyle w:val="CETBodytext"/>
              <w:ind w:right="-1"/>
              <w:rPr>
                <w:rFonts w:cs="Arial"/>
                <w:szCs w:val="18"/>
                <w:lang w:val="en-GB"/>
              </w:rPr>
            </w:pPr>
            <w:r w:rsidRPr="00697D65">
              <w:rPr>
                <w:rFonts w:cs="Arial"/>
                <w:szCs w:val="18"/>
                <w:lang w:val="en-GB"/>
              </w:rPr>
              <w:t>276,363.69 (77.64</w:t>
            </w:r>
            <w:r w:rsidR="003A6F96" w:rsidRPr="00697D65">
              <w:rPr>
                <w:rFonts w:cs="Arial"/>
                <w:szCs w:val="18"/>
                <w:lang w:val="en-GB"/>
              </w:rPr>
              <w:t xml:space="preserve"> </w:t>
            </w:r>
            <w:r w:rsidRPr="00697D65">
              <w:rPr>
                <w:rFonts w:cs="Arial"/>
                <w:szCs w:val="18"/>
                <w:lang w:val="en-GB"/>
              </w:rPr>
              <w:t>%)</w:t>
            </w:r>
          </w:p>
        </w:tc>
        <w:tc>
          <w:tcPr>
            <w:tcW w:w="1084" w:type="pct"/>
            <w:shd w:val="clear" w:color="auto" w:fill="FFFFFF"/>
          </w:tcPr>
          <w:p w14:paraId="72323079" w14:textId="6E642924" w:rsidR="00871FCF" w:rsidRPr="00697D65" w:rsidRDefault="00871FCF" w:rsidP="00871FCF">
            <w:pPr>
              <w:pStyle w:val="CETBodytext"/>
              <w:ind w:right="-1"/>
              <w:rPr>
                <w:rFonts w:cs="Arial"/>
                <w:szCs w:val="18"/>
                <w:lang w:val="en-GB"/>
              </w:rPr>
            </w:pPr>
            <w:r w:rsidRPr="00697D65">
              <w:rPr>
                <w:rFonts w:cs="Arial"/>
                <w:szCs w:val="18"/>
                <w:lang w:val="en-GB"/>
              </w:rPr>
              <w:t>27,170.77 (7.63</w:t>
            </w:r>
            <w:r w:rsidR="003A6F96" w:rsidRPr="00697D65">
              <w:rPr>
                <w:rFonts w:cs="Arial"/>
                <w:szCs w:val="18"/>
                <w:lang w:val="en-GB"/>
              </w:rPr>
              <w:t xml:space="preserve"> </w:t>
            </w:r>
            <w:r w:rsidRPr="00697D65">
              <w:rPr>
                <w:rFonts w:cs="Arial"/>
                <w:szCs w:val="18"/>
                <w:lang w:val="en-GB"/>
              </w:rPr>
              <w:t>%)</w:t>
            </w:r>
          </w:p>
        </w:tc>
      </w:tr>
      <w:tr w:rsidR="00871FCF" w:rsidRPr="00697D65" w14:paraId="42156612" w14:textId="77777777" w:rsidTr="0003536A">
        <w:tc>
          <w:tcPr>
            <w:tcW w:w="624" w:type="pct"/>
            <w:shd w:val="clear" w:color="auto" w:fill="FFFFFF"/>
          </w:tcPr>
          <w:p w14:paraId="1466CB3F" w14:textId="49F9A312" w:rsidR="00871FCF" w:rsidRPr="00697D65" w:rsidRDefault="00871FCF" w:rsidP="00871FCF">
            <w:pPr>
              <w:pStyle w:val="CETBodytext"/>
              <w:ind w:right="-1"/>
              <w:rPr>
                <w:rFonts w:cs="Arial"/>
                <w:szCs w:val="18"/>
                <w:lang w:val="en-GB"/>
              </w:rPr>
            </w:pPr>
            <w:r w:rsidRPr="00697D65">
              <w:rPr>
                <w:rFonts w:cs="Arial"/>
                <w:szCs w:val="18"/>
                <w:lang w:val="en-GB"/>
              </w:rPr>
              <w:t>A4</w:t>
            </w:r>
          </w:p>
        </w:tc>
        <w:tc>
          <w:tcPr>
            <w:tcW w:w="1159" w:type="pct"/>
            <w:shd w:val="clear" w:color="auto" w:fill="FFFFFF"/>
          </w:tcPr>
          <w:p w14:paraId="468FFB6A" w14:textId="157EEAA8" w:rsidR="00871FCF" w:rsidRPr="00697D65" w:rsidRDefault="00871FCF" w:rsidP="00871FCF">
            <w:pPr>
              <w:pStyle w:val="CETBodytext"/>
              <w:ind w:right="-1"/>
              <w:rPr>
                <w:rFonts w:cs="Arial"/>
                <w:szCs w:val="18"/>
                <w:lang w:val="en-GB"/>
              </w:rPr>
            </w:pPr>
            <w:r w:rsidRPr="00697D65">
              <w:rPr>
                <w:rFonts w:cs="Arial"/>
                <w:szCs w:val="18"/>
                <w:lang w:val="en-GB"/>
              </w:rPr>
              <w:t>78,642.9 (22.09</w:t>
            </w:r>
            <w:r w:rsidR="003A6F96" w:rsidRPr="00697D65">
              <w:rPr>
                <w:rFonts w:cs="Arial"/>
                <w:szCs w:val="18"/>
                <w:lang w:val="en-GB"/>
              </w:rPr>
              <w:t xml:space="preserve"> </w:t>
            </w:r>
            <w:r w:rsidRPr="00697D65">
              <w:rPr>
                <w:rFonts w:cs="Arial"/>
                <w:szCs w:val="18"/>
                <w:lang w:val="en-GB"/>
              </w:rPr>
              <w:t>%)</w:t>
            </w:r>
          </w:p>
        </w:tc>
        <w:tc>
          <w:tcPr>
            <w:tcW w:w="901" w:type="pct"/>
            <w:shd w:val="clear" w:color="auto" w:fill="FFFFFF"/>
          </w:tcPr>
          <w:p w14:paraId="1CACEEF2" w14:textId="0E4662D2" w:rsidR="00871FCF" w:rsidRPr="00697D65" w:rsidRDefault="00871FCF" w:rsidP="00871FCF">
            <w:pPr>
              <w:pStyle w:val="CETBodytext"/>
              <w:ind w:right="-1"/>
              <w:rPr>
                <w:rFonts w:cs="Arial"/>
                <w:szCs w:val="18"/>
                <w:lang w:val="en-GB"/>
              </w:rPr>
            </w:pPr>
            <w:r w:rsidRPr="00697D65">
              <w:rPr>
                <w:rFonts w:cs="Arial"/>
                <w:szCs w:val="18"/>
                <w:lang w:val="en-GB"/>
              </w:rPr>
              <w:t>0 (0</w:t>
            </w:r>
            <w:r w:rsidR="003A6F96" w:rsidRPr="00697D65">
              <w:rPr>
                <w:rFonts w:cs="Arial"/>
                <w:szCs w:val="18"/>
                <w:lang w:val="en-GB"/>
              </w:rPr>
              <w:t xml:space="preserve"> </w:t>
            </w:r>
            <w:r w:rsidRPr="00697D65">
              <w:rPr>
                <w:rFonts w:cs="Arial"/>
                <w:szCs w:val="18"/>
                <w:lang w:val="en-GB"/>
              </w:rPr>
              <w:t>%)</w:t>
            </w:r>
          </w:p>
        </w:tc>
        <w:tc>
          <w:tcPr>
            <w:tcW w:w="1232" w:type="pct"/>
            <w:shd w:val="clear" w:color="auto" w:fill="FFFFFF"/>
          </w:tcPr>
          <w:p w14:paraId="315780CC" w14:textId="2E3F7F0E" w:rsidR="00871FCF" w:rsidRPr="00697D65" w:rsidRDefault="00871FCF" w:rsidP="00871FCF">
            <w:pPr>
              <w:pStyle w:val="CETBodytext"/>
              <w:ind w:right="-1"/>
              <w:rPr>
                <w:rFonts w:cs="Arial"/>
                <w:szCs w:val="18"/>
                <w:lang w:val="en-GB"/>
              </w:rPr>
            </w:pPr>
            <w:r w:rsidRPr="00697D65">
              <w:rPr>
                <w:rFonts w:cs="Arial"/>
                <w:szCs w:val="18"/>
                <w:lang w:val="en-GB"/>
              </w:rPr>
              <w:t>250,149.39 (70.27</w:t>
            </w:r>
            <w:r w:rsidR="003A6F96" w:rsidRPr="00697D65">
              <w:rPr>
                <w:rFonts w:cs="Arial"/>
                <w:szCs w:val="18"/>
                <w:lang w:val="en-GB"/>
              </w:rPr>
              <w:t xml:space="preserve"> </w:t>
            </w:r>
            <w:r w:rsidRPr="00697D65">
              <w:rPr>
                <w:rFonts w:cs="Arial"/>
                <w:szCs w:val="18"/>
                <w:lang w:val="en-GB"/>
              </w:rPr>
              <w:t>%)</w:t>
            </w:r>
          </w:p>
        </w:tc>
        <w:tc>
          <w:tcPr>
            <w:tcW w:w="1084" w:type="pct"/>
            <w:shd w:val="clear" w:color="auto" w:fill="FFFFFF"/>
          </w:tcPr>
          <w:p w14:paraId="04F4E582" w14:textId="1713D1CB" w:rsidR="00871FCF" w:rsidRPr="00697D65" w:rsidRDefault="00871FCF" w:rsidP="00871FCF">
            <w:pPr>
              <w:pStyle w:val="CETBodytext"/>
              <w:ind w:right="-1"/>
              <w:rPr>
                <w:rFonts w:cs="Arial"/>
                <w:szCs w:val="18"/>
                <w:lang w:val="en-GB"/>
              </w:rPr>
            </w:pPr>
            <w:r w:rsidRPr="00697D65">
              <w:rPr>
                <w:rFonts w:cs="Arial"/>
                <w:szCs w:val="18"/>
                <w:lang w:val="en-GB"/>
              </w:rPr>
              <w:t>27,170.77 (7.63</w:t>
            </w:r>
            <w:r w:rsidR="003A6F96" w:rsidRPr="00697D65">
              <w:rPr>
                <w:rFonts w:cs="Arial"/>
                <w:szCs w:val="18"/>
                <w:lang w:val="en-GB"/>
              </w:rPr>
              <w:t xml:space="preserve"> </w:t>
            </w:r>
            <w:r w:rsidRPr="00697D65">
              <w:rPr>
                <w:rFonts w:cs="Arial"/>
                <w:szCs w:val="18"/>
                <w:lang w:val="en-GB"/>
              </w:rPr>
              <w:t>%)</w:t>
            </w:r>
          </w:p>
        </w:tc>
      </w:tr>
      <w:tr w:rsidR="00871FCF" w:rsidRPr="00697D65" w14:paraId="795A08EE" w14:textId="77777777" w:rsidTr="0003536A">
        <w:tc>
          <w:tcPr>
            <w:tcW w:w="624" w:type="pct"/>
            <w:shd w:val="clear" w:color="auto" w:fill="FFFFFF"/>
          </w:tcPr>
          <w:p w14:paraId="656A0456" w14:textId="0E159716" w:rsidR="00871FCF" w:rsidRPr="00697D65" w:rsidRDefault="00871FCF" w:rsidP="00871FCF">
            <w:pPr>
              <w:pStyle w:val="CETBodytext"/>
              <w:ind w:right="-1"/>
              <w:rPr>
                <w:rFonts w:cs="Arial"/>
                <w:szCs w:val="18"/>
                <w:lang w:val="en-GB"/>
              </w:rPr>
            </w:pPr>
            <w:r w:rsidRPr="00697D65">
              <w:rPr>
                <w:rFonts w:cs="Arial"/>
                <w:szCs w:val="18"/>
                <w:lang w:val="en-GB"/>
              </w:rPr>
              <w:t>A5</w:t>
            </w:r>
          </w:p>
        </w:tc>
        <w:tc>
          <w:tcPr>
            <w:tcW w:w="1159" w:type="pct"/>
            <w:shd w:val="clear" w:color="auto" w:fill="FFFFFF"/>
          </w:tcPr>
          <w:p w14:paraId="2F35362D" w14:textId="40FCE9C6" w:rsidR="00871FCF" w:rsidRPr="00697D65" w:rsidRDefault="00871FCF" w:rsidP="00871FCF">
            <w:pPr>
              <w:pStyle w:val="CETBodytext"/>
              <w:ind w:right="-1"/>
              <w:rPr>
                <w:rFonts w:cs="Arial"/>
                <w:szCs w:val="18"/>
                <w:lang w:val="en-GB"/>
              </w:rPr>
            </w:pPr>
            <w:r w:rsidRPr="00697D65">
              <w:rPr>
                <w:rFonts w:cs="Arial"/>
                <w:szCs w:val="18"/>
                <w:lang w:val="en-GB"/>
              </w:rPr>
              <w:t>104,857.2 (29.46</w:t>
            </w:r>
            <w:r w:rsidR="003A6F96" w:rsidRPr="00697D65">
              <w:rPr>
                <w:rFonts w:cs="Arial"/>
                <w:szCs w:val="18"/>
                <w:lang w:val="en-GB"/>
              </w:rPr>
              <w:t xml:space="preserve"> </w:t>
            </w:r>
            <w:r w:rsidRPr="00697D65">
              <w:rPr>
                <w:rFonts w:cs="Arial"/>
                <w:szCs w:val="18"/>
                <w:lang w:val="en-GB"/>
              </w:rPr>
              <w:t>%)</w:t>
            </w:r>
          </w:p>
        </w:tc>
        <w:tc>
          <w:tcPr>
            <w:tcW w:w="901" w:type="pct"/>
            <w:shd w:val="clear" w:color="auto" w:fill="FFFFFF"/>
          </w:tcPr>
          <w:p w14:paraId="276C3B82" w14:textId="550725EA" w:rsidR="00871FCF" w:rsidRPr="00697D65" w:rsidRDefault="00871FCF" w:rsidP="00871FCF">
            <w:pPr>
              <w:pStyle w:val="CETBodytext"/>
              <w:ind w:right="-1"/>
              <w:rPr>
                <w:rFonts w:cs="Arial"/>
                <w:szCs w:val="18"/>
                <w:lang w:val="en-GB"/>
              </w:rPr>
            </w:pPr>
            <w:r w:rsidRPr="00697D65">
              <w:rPr>
                <w:rFonts w:cs="Arial"/>
                <w:szCs w:val="18"/>
                <w:lang w:val="en-GB"/>
              </w:rPr>
              <w:t>0 (0</w:t>
            </w:r>
            <w:r w:rsidR="003A6F96" w:rsidRPr="00697D65">
              <w:rPr>
                <w:rFonts w:cs="Arial"/>
                <w:szCs w:val="18"/>
                <w:lang w:val="en-GB"/>
              </w:rPr>
              <w:t xml:space="preserve"> </w:t>
            </w:r>
            <w:r w:rsidRPr="00697D65">
              <w:rPr>
                <w:rFonts w:cs="Arial"/>
                <w:szCs w:val="18"/>
                <w:lang w:val="en-GB"/>
              </w:rPr>
              <w:t>%)</w:t>
            </w:r>
          </w:p>
        </w:tc>
        <w:tc>
          <w:tcPr>
            <w:tcW w:w="1232" w:type="pct"/>
            <w:shd w:val="clear" w:color="auto" w:fill="FFFFFF"/>
          </w:tcPr>
          <w:p w14:paraId="7E33B7EC" w14:textId="54FA1B18" w:rsidR="00871FCF" w:rsidRPr="00697D65" w:rsidRDefault="00871FCF" w:rsidP="00871FCF">
            <w:pPr>
              <w:pStyle w:val="CETBodytext"/>
              <w:ind w:right="-1"/>
              <w:rPr>
                <w:rFonts w:cs="Arial"/>
                <w:szCs w:val="18"/>
                <w:lang w:val="en-GB"/>
              </w:rPr>
            </w:pPr>
            <w:r w:rsidRPr="00697D65">
              <w:rPr>
                <w:rFonts w:cs="Arial"/>
                <w:szCs w:val="18"/>
                <w:lang w:val="en-GB"/>
              </w:rPr>
              <w:t>223,935.09 (62.91</w:t>
            </w:r>
            <w:r w:rsidR="003A6F96" w:rsidRPr="00697D65">
              <w:rPr>
                <w:rFonts w:cs="Arial"/>
                <w:szCs w:val="18"/>
                <w:lang w:val="en-GB"/>
              </w:rPr>
              <w:t xml:space="preserve"> </w:t>
            </w:r>
            <w:r w:rsidRPr="00697D65">
              <w:rPr>
                <w:rFonts w:cs="Arial"/>
                <w:szCs w:val="18"/>
                <w:lang w:val="en-GB"/>
              </w:rPr>
              <w:t>%)</w:t>
            </w:r>
          </w:p>
        </w:tc>
        <w:tc>
          <w:tcPr>
            <w:tcW w:w="1084" w:type="pct"/>
            <w:shd w:val="clear" w:color="auto" w:fill="FFFFFF"/>
          </w:tcPr>
          <w:p w14:paraId="2123E6CD" w14:textId="1A953D78" w:rsidR="00871FCF" w:rsidRPr="00697D65" w:rsidRDefault="00871FCF" w:rsidP="00871FCF">
            <w:pPr>
              <w:pStyle w:val="CETBodytext"/>
              <w:ind w:right="-1"/>
              <w:rPr>
                <w:rFonts w:cs="Arial"/>
                <w:szCs w:val="18"/>
                <w:lang w:val="en-GB"/>
              </w:rPr>
            </w:pPr>
            <w:r w:rsidRPr="00697D65">
              <w:rPr>
                <w:rFonts w:cs="Arial"/>
                <w:szCs w:val="18"/>
                <w:lang w:val="en-GB"/>
              </w:rPr>
              <w:t>27,170.77 (7.63</w:t>
            </w:r>
            <w:r w:rsidR="003A6F96" w:rsidRPr="00697D65">
              <w:rPr>
                <w:rFonts w:cs="Arial"/>
                <w:szCs w:val="18"/>
                <w:lang w:val="en-GB"/>
              </w:rPr>
              <w:t xml:space="preserve"> </w:t>
            </w:r>
            <w:r w:rsidRPr="00697D65">
              <w:rPr>
                <w:rFonts w:cs="Arial"/>
                <w:szCs w:val="18"/>
                <w:lang w:val="en-GB"/>
              </w:rPr>
              <w:t>%)</w:t>
            </w:r>
          </w:p>
        </w:tc>
      </w:tr>
      <w:tr w:rsidR="00871FCF" w:rsidRPr="00697D65" w14:paraId="2FC72377" w14:textId="77777777" w:rsidTr="0003536A">
        <w:tc>
          <w:tcPr>
            <w:tcW w:w="624" w:type="pct"/>
            <w:shd w:val="clear" w:color="auto" w:fill="FFFFFF"/>
          </w:tcPr>
          <w:p w14:paraId="696F0105" w14:textId="05A85165" w:rsidR="00871FCF" w:rsidRPr="00697D65" w:rsidRDefault="00871FCF" w:rsidP="00871FCF">
            <w:pPr>
              <w:pStyle w:val="CETBodytext"/>
              <w:ind w:right="-1"/>
              <w:rPr>
                <w:rFonts w:cs="Arial"/>
                <w:szCs w:val="18"/>
                <w:lang w:val="en-GB"/>
              </w:rPr>
            </w:pPr>
            <w:r w:rsidRPr="00697D65">
              <w:rPr>
                <w:rFonts w:cs="Arial"/>
                <w:szCs w:val="18"/>
                <w:lang w:val="en-GB"/>
              </w:rPr>
              <w:t>A6</w:t>
            </w:r>
          </w:p>
        </w:tc>
        <w:tc>
          <w:tcPr>
            <w:tcW w:w="1159" w:type="pct"/>
            <w:shd w:val="clear" w:color="auto" w:fill="FFFFFF"/>
          </w:tcPr>
          <w:p w14:paraId="6287191F" w14:textId="41A13A5B" w:rsidR="00871FCF" w:rsidRPr="00697D65" w:rsidRDefault="00871FCF" w:rsidP="00871FCF">
            <w:pPr>
              <w:pStyle w:val="CETBodytext"/>
              <w:ind w:right="-1"/>
              <w:rPr>
                <w:rFonts w:cs="Arial"/>
                <w:szCs w:val="18"/>
                <w:lang w:val="en-GB"/>
              </w:rPr>
            </w:pPr>
            <w:r w:rsidRPr="00697D65">
              <w:rPr>
                <w:rFonts w:cs="Arial"/>
                <w:szCs w:val="18"/>
                <w:lang w:val="en-GB"/>
              </w:rPr>
              <w:t>131,071.5 (36.82</w:t>
            </w:r>
            <w:r w:rsidR="003A6F96" w:rsidRPr="00697D65">
              <w:rPr>
                <w:rFonts w:cs="Arial"/>
                <w:szCs w:val="18"/>
                <w:lang w:val="en-GB"/>
              </w:rPr>
              <w:t xml:space="preserve"> </w:t>
            </w:r>
            <w:r w:rsidRPr="00697D65">
              <w:rPr>
                <w:rFonts w:cs="Arial"/>
                <w:szCs w:val="18"/>
                <w:lang w:val="en-GB"/>
              </w:rPr>
              <w:t>%)</w:t>
            </w:r>
          </w:p>
        </w:tc>
        <w:tc>
          <w:tcPr>
            <w:tcW w:w="901" w:type="pct"/>
            <w:shd w:val="clear" w:color="auto" w:fill="FFFFFF"/>
          </w:tcPr>
          <w:p w14:paraId="73DBA136" w14:textId="550251C0" w:rsidR="00871FCF" w:rsidRPr="00697D65" w:rsidRDefault="00871FCF" w:rsidP="00871FCF">
            <w:pPr>
              <w:pStyle w:val="CETBodytext"/>
              <w:ind w:right="-1"/>
              <w:rPr>
                <w:rFonts w:cs="Arial"/>
                <w:szCs w:val="18"/>
                <w:lang w:val="en-GB"/>
              </w:rPr>
            </w:pPr>
            <w:r w:rsidRPr="00697D65">
              <w:rPr>
                <w:rFonts w:cs="Arial"/>
                <w:szCs w:val="18"/>
                <w:lang w:val="en-GB"/>
              </w:rPr>
              <w:t>0 (0</w:t>
            </w:r>
            <w:r w:rsidR="003A6F96" w:rsidRPr="00697D65">
              <w:rPr>
                <w:rFonts w:cs="Arial"/>
                <w:szCs w:val="18"/>
                <w:lang w:val="en-GB"/>
              </w:rPr>
              <w:t xml:space="preserve"> </w:t>
            </w:r>
            <w:r w:rsidRPr="00697D65">
              <w:rPr>
                <w:rFonts w:cs="Arial"/>
                <w:szCs w:val="18"/>
                <w:lang w:val="en-GB"/>
              </w:rPr>
              <w:t>%)</w:t>
            </w:r>
          </w:p>
        </w:tc>
        <w:tc>
          <w:tcPr>
            <w:tcW w:w="1232" w:type="pct"/>
            <w:shd w:val="clear" w:color="auto" w:fill="FFFFFF"/>
          </w:tcPr>
          <w:p w14:paraId="4BC4847C" w14:textId="19EE4DD9" w:rsidR="00871FCF" w:rsidRPr="00697D65" w:rsidRDefault="00871FCF" w:rsidP="00871FCF">
            <w:pPr>
              <w:pStyle w:val="CETBodytext"/>
              <w:ind w:right="-1"/>
              <w:rPr>
                <w:rFonts w:cs="Arial"/>
                <w:szCs w:val="18"/>
                <w:lang w:val="en-GB"/>
              </w:rPr>
            </w:pPr>
            <w:r w:rsidRPr="00697D65">
              <w:rPr>
                <w:rFonts w:cs="Arial"/>
                <w:szCs w:val="18"/>
                <w:lang w:val="en-GB"/>
              </w:rPr>
              <w:t>197,720.79 (55.55</w:t>
            </w:r>
            <w:r w:rsidR="003A6F96" w:rsidRPr="00697D65">
              <w:rPr>
                <w:rFonts w:cs="Arial"/>
                <w:szCs w:val="18"/>
                <w:lang w:val="en-GB"/>
              </w:rPr>
              <w:t xml:space="preserve"> </w:t>
            </w:r>
            <w:r w:rsidRPr="00697D65">
              <w:rPr>
                <w:rFonts w:cs="Arial"/>
                <w:szCs w:val="18"/>
                <w:lang w:val="en-GB"/>
              </w:rPr>
              <w:t>%)</w:t>
            </w:r>
          </w:p>
        </w:tc>
        <w:tc>
          <w:tcPr>
            <w:tcW w:w="1084" w:type="pct"/>
            <w:shd w:val="clear" w:color="auto" w:fill="FFFFFF"/>
          </w:tcPr>
          <w:p w14:paraId="4D1B6A3A" w14:textId="6A63F0A5" w:rsidR="00871FCF" w:rsidRPr="00697D65" w:rsidRDefault="00871FCF" w:rsidP="00871FCF">
            <w:pPr>
              <w:pStyle w:val="CETBodytext"/>
              <w:ind w:right="-1"/>
              <w:rPr>
                <w:rFonts w:cs="Arial"/>
                <w:szCs w:val="18"/>
                <w:lang w:val="en-GB"/>
              </w:rPr>
            </w:pPr>
            <w:r w:rsidRPr="00697D65">
              <w:rPr>
                <w:rFonts w:cs="Arial"/>
                <w:szCs w:val="18"/>
                <w:lang w:val="en-GB"/>
              </w:rPr>
              <w:t>27,170.77 (7.63</w:t>
            </w:r>
            <w:r w:rsidR="003A6F96" w:rsidRPr="00697D65">
              <w:rPr>
                <w:rFonts w:cs="Arial"/>
                <w:szCs w:val="18"/>
                <w:lang w:val="en-GB"/>
              </w:rPr>
              <w:t xml:space="preserve"> </w:t>
            </w:r>
            <w:r w:rsidRPr="00697D65">
              <w:rPr>
                <w:rFonts w:cs="Arial"/>
                <w:szCs w:val="18"/>
                <w:lang w:val="en-GB"/>
              </w:rPr>
              <w:t>%)</w:t>
            </w:r>
          </w:p>
        </w:tc>
      </w:tr>
      <w:tr w:rsidR="00871FCF" w:rsidRPr="00697D65" w14:paraId="147F2604" w14:textId="77777777" w:rsidTr="0003536A">
        <w:tc>
          <w:tcPr>
            <w:tcW w:w="624" w:type="pct"/>
            <w:shd w:val="clear" w:color="auto" w:fill="FFFFFF"/>
          </w:tcPr>
          <w:p w14:paraId="05528B82" w14:textId="6CE21CA6" w:rsidR="00871FCF" w:rsidRPr="00697D65" w:rsidRDefault="00871FCF" w:rsidP="00871FCF">
            <w:pPr>
              <w:pStyle w:val="CETBodytext"/>
              <w:ind w:right="-1"/>
              <w:rPr>
                <w:rFonts w:cs="Arial"/>
                <w:szCs w:val="18"/>
                <w:lang w:val="en-GB"/>
              </w:rPr>
            </w:pPr>
            <w:r w:rsidRPr="00697D65">
              <w:rPr>
                <w:rFonts w:cs="Arial"/>
                <w:szCs w:val="18"/>
                <w:lang w:val="en-GB"/>
              </w:rPr>
              <w:t>A7</w:t>
            </w:r>
          </w:p>
        </w:tc>
        <w:tc>
          <w:tcPr>
            <w:tcW w:w="1159" w:type="pct"/>
            <w:shd w:val="clear" w:color="auto" w:fill="FFFFFF"/>
          </w:tcPr>
          <w:p w14:paraId="4ABEBE69" w14:textId="61487E56" w:rsidR="00871FCF" w:rsidRPr="00697D65" w:rsidRDefault="00871FCF" w:rsidP="00871FCF">
            <w:pPr>
              <w:pStyle w:val="CETBodytext"/>
              <w:ind w:right="-1"/>
              <w:rPr>
                <w:rFonts w:cs="Arial"/>
                <w:szCs w:val="18"/>
                <w:lang w:val="en-GB"/>
              </w:rPr>
            </w:pPr>
            <w:r w:rsidRPr="00697D65">
              <w:rPr>
                <w:rFonts w:cs="Arial"/>
                <w:szCs w:val="18"/>
                <w:lang w:val="en-GB"/>
              </w:rPr>
              <w:t>148,547.7 (41.73</w:t>
            </w:r>
            <w:r w:rsidR="003A6F96" w:rsidRPr="00697D65">
              <w:rPr>
                <w:rFonts w:cs="Arial"/>
                <w:szCs w:val="18"/>
                <w:lang w:val="en-GB"/>
              </w:rPr>
              <w:t xml:space="preserve"> </w:t>
            </w:r>
            <w:r w:rsidRPr="00697D65">
              <w:rPr>
                <w:rFonts w:cs="Arial"/>
                <w:szCs w:val="18"/>
                <w:lang w:val="en-GB"/>
              </w:rPr>
              <w:t>%)</w:t>
            </w:r>
          </w:p>
        </w:tc>
        <w:tc>
          <w:tcPr>
            <w:tcW w:w="901" w:type="pct"/>
            <w:shd w:val="clear" w:color="auto" w:fill="FFFFFF"/>
          </w:tcPr>
          <w:p w14:paraId="129BA73A" w14:textId="35749845" w:rsidR="00871FCF" w:rsidRPr="00697D65" w:rsidRDefault="00871FCF" w:rsidP="00871FCF">
            <w:pPr>
              <w:pStyle w:val="CETBodytext"/>
              <w:ind w:right="-1"/>
              <w:rPr>
                <w:rFonts w:cs="Arial"/>
                <w:szCs w:val="18"/>
                <w:lang w:val="en-GB"/>
              </w:rPr>
            </w:pPr>
            <w:r w:rsidRPr="00697D65">
              <w:rPr>
                <w:rFonts w:cs="Arial"/>
                <w:szCs w:val="18"/>
                <w:lang w:val="en-GB"/>
              </w:rPr>
              <w:t>0 (0</w:t>
            </w:r>
            <w:r w:rsidR="003A6F96" w:rsidRPr="00697D65">
              <w:rPr>
                <w:rFonts w:cs="Arial"/>
                <w:szCs w:val="18"/>
                <w:lang w:val="en-GB"/>
              </w:rPr>
              <w:t xml:space="preserve"> </w:t>
            </w:r>
            <w:r w:rsidRPr="00697D65">
              <w:rPr>
                <w:rFonts w:cs="Arial"/>
                <w:szCs w:val="18"/>
                <w:lang w:val="en-GB"/>
              </w:rPr>
              <w:t>%)</w:t>
            </w:r>
          </w:p>
        </w:tc>
        <w:tc>
          <w:tcPr>
            <w:tcW w:w="1232" w:type="pct"/>
            <w:shd w:val="clear" w:color="auto" w:fill="FFFFFF"/>
          </w:tcPr>
          <w:p w14:paraId="786B10D1" w14:textId="662D4769" w:rsidR="00871FCF" w:rsidRPr="00697D65" w:rsidRDefault="00871FCF" w:rsidP="00871FCF">
            <w:pPr>
              <w:pStyle w:val="CETBodytext"/>
              <w:ind w:right="-1"/>
              <w:rPr>
                <w:rFonts w:cs="Arial"/>
                <w:szCs w:val="18"/>
                <w:lang w:val="en-GB"/>
              </w:rPr>
            </w:pPr>
            <w:r w:rsidRPr="00697D65">
              <w:rPr>
                <w:rFonts w:cs="Arial"/>
                <w:szCs w:val="18"/>
                <w:lang w:val="en-GB"/>
              </w:rPr>
              <w:t>180,244.59 (50.64</w:t>
            </w:r>
            <w:r w:rsidR="003A6F96" w:rsidRPr="00697D65">
              <w:rPr>
                <w:rFonts w:cs="Arial"/>
                <w:szCs w:val="18"/>
                <w:lang w:val="en-GB"/>
              </w:rPr>
              <w:t xml:space="preserve"> </w:t>
            </w:r>
            <w:r w:rsidRPr="00697D65">
              <w:rPr>
                <w:rFonts w:cs="Arial"/>
                <w:szCs w:val="18"/>
                <w:lang w:val="en-GB"/>
              </w:rPr>
              <w:t>%)</w:t>
            </w:r>
          </w:p>
        </w:tc>
        <w:tc>
          <w:tcPr>
            <w:tcW w:w="1084" w:type="pct"/>
            <w:shd w:val="clear" w:color="auto" w:fill="FFFFFF"/>
          </w:tcPr>
          <w:p w14:paraId="3E711D55" w14:textId="7B6CDE33" w:rsidR="00871FCF" w:rsidRPr="00697D65" w:rsidRDefault="00871FCF" w:rsidP="00871FCF">
            <w:pPr>
              <w:pStyle w:val="CETBodytext"/>
              <w:ind w:right="-1"/>
              <w:rPr>
                <w:rFonts w:cs="Arial"/>
                <w:szCs w:val="18"/>
                <w:lang w:val="en-GB"/>
              </w:rPr>
            </w:pPr>
            <w:r w:rsidRPr="00697D65">
              <w:rPr>
                <w:rFonts w:cs="Arial"/>
                <w:szCs w:val="18"/>
                <w:lang w:val="en-GB"/>
              </w:rPr>
              <w:t>27,170.77 (7.63</w:t>
            </w:r>
            <w:r w:rsidR="003A6F96" w:rsidRPr="00697D65">
              <w:rPr>
                <w:rFonts w:cs="Arial"/>
                <w:szCs w:val="18"/>
                <w:lang w:val="en-GB"/>
              </w:rPr>
              <w:t xml:space="preserve"> </w:t>
            </w:r>
            <w:r w:rsidRPr="00697D65">
              <w:rPr>
                <w:rFonts w:cs="Arial"/>
                <w:szCs w:val="18"/>
                <w:lang w:val="en-GB"/>
              </w:rPr>
              <w:t>%)</w:t>
            </w:r>
          </w:p>
        </w:tc>
      </w:tr>
      <w:tr w:rsidR="00871FCF" w:rsidRPr="00697D65" w14:paraId="1A865FC4" w14:textId="77777777" w:rsidTr="0003536A">
        <w:tc>
          <w:tcPr>
            <w:tcW w:w="624" w:type="pct"/>
            <w:shd w:val="clear" w:color="auto" w:fill="FFFFFF"/>
          </w:tcPr>
          <w:p w14:paraId="65867598" w14:textId="3014B4A0" w:rsidR="00871FCF" w:rsidRPr="00697D65" w:rsidRDefault="00871FCF" w:rsidP="00871FCF">
            <w:pPr>
              <w:pStyle w:val="CETBodytext"/>
              <w:ind w:right="-1"/>
              <w:rPr>
                <w:rFonts w:cs="Arial"/>
                <w:szCs w:val="18"/>
                <w:lang w:val="en-GB"/>
              </w:rPr>
            </w:pPr>
            <w:r w:rsidRPr="00697D65">
              <w:rPr>
                <w:rFonts w:cs="Arial"/>
                <w:szCs w:val="18"/>
                <w:lang w:val="en-GB"/>
              </w:rPr>
              <w:t>A8</w:t>
            </w:r>
          </w:p>
        </w:tc>
        <w:tc>
          <w:tcPr>
            <w:tcW w:w="1159" w:type="pct"/>
            <w:shd w:val="clear" w:color="auto" w:fill="FFFFFF"/>
          </w:tcPr>
          <w:p w14:paraId="725A33E3" w14:textId="35239BCF" w:rsidR="00871FCF" w:rsidRPr="00697D65" w:rsidRDefault="00871FCF" w:rsidP="00871FCF">
            <w:pPr>
              <w:pStyle w:val="CETBodytext"/>
              <w:ind w:right="-1"/>
              <w:rPr>
                <w:rFonts w:cs="Arial"/>
                <w:szCs w:val="18"/>
                <w:lang w:val="en-GB"/>
              </w:rPr>
            </w:pPr>
            <w:r w:rsidRPr="00697D65">
              <w:rPr>
                <w:rFonts w:cs="Arial"/>
                <w:szCs w:val="18"/>
                <w:lang w:val="en-GB"/>
              </w:rPr>
              <w:t>174,762.0 (49.10</w:t>
            </w:r>
            <w:r w:rsidR="003A6F96" w:rsidRPr="00697D65">
              <w:rPr>
                <w:rFonts w:cs="Arial"/>
                <w:szCs w:val="18"/>
                <w:lang w:val="en-GB"/>
              </w:rPr>
              <w:t xml:space="preserve"> </w:t>
            </w:r>
            <w:r w:rsidRPr="00697D65">
              <w:rPr>
                <w:rFonts w:cs="Arial"/>
                <w:szCs w:val="18"/>
                <w:lang w:val="en-GB"/>
              </w:rPr>
              <w:t>%)</w:t>
            </w:r>
          </w:p>
        </w:tc>
        <w:tc>
          <w:tcPr>
            <w:tcW w:w="901" w:type="pct"/>
            <w:shd w:val="clear" w:color="auto" w:fill="FFFFFF"/>
          </w:tcPr>
          <w:p w14:paraId="09858C58" w14:textId="6497FA92" w:rsidR="00871FCF" w:rsidRPr="00697D65" w:rsidRDefault="00871FCF" w:rsidP="00871FCF">
            <w:pPr>
              <w:pStyle w:val="CETBodytext"/>
              <w:ind w:right="-1"/>
              <w:rPr>
                <w:rFonts w:cs="Arial"/>
                <w:szCs w:val="18"/>
                <w:lang w:val="en-GB"/>
              </w:rPr>
            </w:pPr>
            <w:r w:rsidRPr="00697D65">
              <w:rPr>
                <w:rFonts w:cs="Arial"/>
                <w:szCs w:val="18"/>
                <w:lang w:val="en-GB"/>
              </w:rPr>
              <w:t>0 (0</w:t>
            </w:r>
            <w:r w:rsidR="003A6F96" w:rsidRPr="00697D65">
              <w:rPr>
                <w:rFonts w:cs="Arial"/>
                <w:szCs w:val="18"/>
                <w:lang w:val="en-GB"/>
              </w:rPr>
              <w:t xml:space="preserve"> </w:t>
            </w:r>
            <w:r w:rsidRPr="00697D65">
              <w:rPr>
                <w:rFonts w:cs="Arial"/>
                <w:szCs w:val="18"/>
                <w:lang w:val="en-GB"/>
              </w:rPr>
              <w:t>%)</w:t>
            </w:r>
          </w:p>
        </w:tc>
        <w:tc>
          <w:tcPr>
            <w:tcW w:w="1232" w:type="pct"/>
            <w:shd w:val="clear" w:color="auto" w:fill="FFFFFF"/>
          </w:tcPr>
          <w:p w14:paraId="6365CFA1" w14:textId="72196F38" w:rsidR="00871FCF" w:rsidRPr="00697D65" w:rsidRDefault="00871FCF" w:rsidP="00871FCF">
            <w:pPr>
              <w:pStyle w:val="CETBodytext"/>
              <w:ind w:right="-1"/>
              <w:rPr>
                <w:rFonts w:cs="Arial"/>
                <w:szCs w:val="18"/>
                <w:lang w:val="en-GB"/>
              </w:rPr>
            </w:pPr>
            <w:r w:rsidRPr="00697D65">
              <w:rPr>
                <w:rFonts w:cs="Arial"/>
                <w:szCs w:val="18"/>
                <w:lang w:val="en-GB"/>
              </w:rPr>
              <w:t>154,030.29 (43.27</w:t>
            </w:r>
            <w:r w:rsidR="003A6F96" w:rsidRPr="00697D65">
              <w:rPr>
                <w:rFonts w:cs="Arial"/>
                <w:szCs w:val="18"/>
                <w:lang w:val="en-GB"/>
              </w:rPr>
              <w:t xml:space="preserve"> </w:t>
            </w:r>
            <w:r w:rsidRPr="00697D65">
              <w:rPr>
                <w:rFonts w:cs="Arial"/>
                <w:szCs w:val="18"/>
                <w:lang w:val="en-GB"/>
              </w:rPr>
              <w:t>%)</w:t>
            </w:r>
          </w:p>
        </w:tc>
        <w:tc>
          <w:tcPr>
            <w:tcW w:w="1084" w:type="pct"/>
            <w:shd w:val="clear" w:color="auto" w:fill="FFFFFF"/>
          </w:tcPr>
          <w:p w14:paraId="53DB2E27" w14:textId="45417686" w:rsidR="00871FCF" w:rsidRPr="00697D65" w:rsidRDefault="00871FCF" w:rsidP="00871FCF">
            <w:pPr>
              <w:pStyle w:val="CETBodytext"/>
              <w:ind w:right="-1"/>
              <w:rPr>
                <w:rFonts w:cs="Arial"/>
                <w:szCs w:val="18"/>
                <w:lang w:val="en-GB"/>
              </w:rPr>
            </w:pPr>
            <w:r w:rsidRPr="00697D65">
              <w:rPr>
                <w:rFonts w:cs="Arial"/>
                <w:szCs w:val="18"/>
                <w:lang w:val="en-GB"/>
              </w:rPr>
              <w:t>27,170.77 (7.63</w:t>
            </w:r>
            <w:r w:rsidR="003A6F96" w:rsidRPr="00697D65">
              <w:rPr>
                <w:rFonts w:cs="Arial"/>
                <w:szCs w:val="18"/>
                <w:lang w:val="en-GB"/>
              </w:rPr>
              <w:t xml:space="preserve"> </w:t>
            </w:r>
            <w:r w:rsidRPr="00697D65">
              <w:rPr>
                <w:rFonts w:cs="Arial"/>
                <w:szCs w:val="18"/>
                <w:lang w:val="en-GB"/>
              </w:rPr>
              <w:t>%)</w:t>
            </w:r>
          </w:p>
        </w:tc>
      </w:tr>
      <w:tr w:rsidR="00871FCF" w:rsidRPr="00697D65" w14:paraId="0F9FC5D5" w14:textId="77777777" w:rsidTr="0003536A">
        <w:tc>
          <w:tcPr>
            <w:tcW w:w="624" w:type="pct"/>
            <w:shd w:val="clear" w:color="auto" w:fill="FFFFFF"/>
          </w:tcPr>
          <w:p w14:paraId="1E4F70D1" w14:textId="7F7539E4" w:rsidR="00871FCF" w:rsidRPr="00697D65" w:rsidRDefault="00871FCF" w:rsidP="00871FCF">
            <w:pPr>
              <w:pStyle w:val="CETBodytext"/>
              <w:ind w:right="-1"/>
              <w:rPr>
                <w:rFonts w:cs="Arial"/>
                <w:szCs w:val="18"/>
                <w:lang w:val="en-GB"/>
              </w:rPr>
            </w:pPr>
            <w:r w:rsidRPr="00697D65">
              <w:rPr>
                <w:rFonts w:cs="Arial"/>
                <w:szCs w:val="18"/>
                <w:lang w:val="en-GB"/>
              </w:rPr>
              <w:t>A9</w:t>
            </w:r>
          </w:p>
        </w:tc>
        <w:tc>
          <w:tcPr>
            <w:tcW w:w="1159" w:type="pct"/>
            <w:shd w:val="clear" w:color="auto" w:fill="FFFFFF"/>
          </w:tcPr>
          <w:p w14:paraId="68A7CF66" w14:textId="321D23A0" w:rsidR="00871FCF" w:rsidRPr="00697D65" w:rsidRDefault="00871FCF" w:rsidP="00871FCF">
            <w:pPr>
              <w:pStyle w:val="CETBodytext"/>
              <w:ind w:right="-1"/>
              <w:rPr>
                <w:rFonts w:cs="Arial"/>
                <w:szCs w:val="18"/>
                <w:lang w:val="en-GB"/>
              </w:rPr>
            </w:pPr>
            <w:r w:rsidRPr="00697D65">
              <w:rPr>
                <w:rFonts w:cs="Arial"/>
                <w:szCs w:val="18"/>
                <w:lang w:val="en-GB"/>
              </w:rPr>
              <w:t>200,976.3 (56.46</w:t>
            </w:r>
            <w:r w:rsidR="003A6F96" w:rsidRPr="00697D65">
              <w:rPr>
                <w:rFonts w:cs="Arial"/>
                <w:szCs w:val="18"/>
                <w:lang w:val="en-GB"/>
              </w:rPr>
              <w:t xml:space="preserve"> </w:t>
            </w:r>
            <w:r w:rsidRPr="00697D65">
              <w:rPr>
                <w:rFonts w:cs="Arial"/>
                <w:szCs w:val="18"/>
                <w:lang w:val="en-GB"/>
              </w:rPr>
              <w:t>%)</w:t>
            </w:r>
          </w:p>
        </w:tc>
        <w:tc>
          <w:tcPr>
            <w:tcW w:w="901" w:type="pct"/>
            <w:shd w:val="clear" w:color="auto" w:fill="FFFFFF"/>
          </w:tcPr>
          <w:p w14:paraId="08CC7538" w14:textId="3C85659D" w:rsidR="00871FCF" w:rsidRPr="00697D65" w:rsidRDefault="00871FCF" w:rsidP="00871FCF">
            <w:pPr>
              <w:pStyle w:val="CETBodytext"/>
              <w:ind w:right="-1"/>
              <w:rPr>
                <w:rFonts w:cs="Arial"/>
                <w:szCs w:val="18"/>
                <w:lang w:val="en-GB"/>
              </w:rPr>
            </w:pPr>
            <w:r w:rsidRPr="00697D65">
              <w:rPr>
                <w:rFonts w:cs="Arial"/>
                <w:szCs w:val="18"/>
                <w:lang w:val="en-GB"/>
              </w:rPr>
              <w:t>0 (0</w:t>
            </w:r>
            <w:r w:rsidR="003A6F96" w:rsidRPr="00697D65">
              <w:rPr>
                <w:rFonts w:cs="Arial"/>
                <w:szCs w:val="18"/>
                <w:lang w:val="en-GB"/>
              </w:rPr>
              <w:t xml:space="preserve"> </w:t>
            </w:r>
            <w:r w:rsidRPr="00697D65">
              <w:rPr>
                <w:rFonts w:cs="Arial"/>
                <w:szCs w:val="18"/>
                <w:lang w:val="en-GB"/>
              </w:rPr>
              <w:t>%)</w:t>
            </w:r>
          </w:p>
        </w:tc>
        <w:tc>
          <w:tcPr>
            <w:tcW w:w="1232" w:type="pct"/>
            <w:shd w:val="clear" w:color="auto" w:fill="FFFFFF"/>
          </w:tcPr>
          <w:p w14:paraId="26B98DCF" w14:textId="54CC9CA5" w:rsidR="00871FCF" w:rsidRPr="00697D65" w:rsidRDefault="00871FCF" w:rsidP="00871FCF">
            <w:pPr>
              <w:pStyle w:val="CETBodytext"/>
              <w:ind w:right="-1"/>
              <w:rPr>
                <w:rFonts w:cs="Arial"/>
                <w:szCs w:val="18"/>
                <w:lang w:val="en-GB"/>
              </w:rPr>
            </w:pPr>
            <w:r w:rsidRPr="00697D65">
              <w:rPr>
                <w:rFonts w:cs="Arial"/>
                <w:szCs w:val="18"/>
                <w:lang w:val="en-GB"/>
              </w:rPr>
              <w:t>127,815.99 (35.91</w:t>
            </w:r>
            <w:r w:rsidR="003A6F96" w:rsidRPr="00697D65">
              <w:rPr>
                <w:rFonts w:cs="Arial"/>
                <w:szCs w:val="18"/>
                <w:lang w:val="en-GB"/>
              </w:rPr>
              <w:t xml:space="preserve"> </w:t>
            </w:r>
            <w:r w:rsidRPr="00697D65">
              <w:rPr>
                <w:rFonts w:cs="Arial"/>
                <w:szCs w:val="18"/>
                <w:lang w:val="en-GB"/>
              </w:rPr>
              <w:t>%)</w:t>
            </w:r>
          </w:p>
        </w:tc>
        <w:tc>
          <w:tcPr>
            <w:tcW w:w="1084" w:type="pct"/>
            <w:shd w:val="clear" w:color="auto" w:fill="FFFFFF"/>
          </w:tcPr>
          <w:p w14:paraId="3781F4F9" w14:textId="25F1B88B" w:rsidR="00871FCF" w:rsidRPr="00697D65" w:rsidRDefault="00871FCF" w:rsidP="00871FCF">
            <w:pPr>
              <w:pStyle w:val="CETBodytext"/>
              <w:ind w:right="-1"/>
              <w:rPr>
                <w:rFonts w:cs="Arial"/>
                <w:szCs w:val="18"/>
                <w:lang w:val="en-GB"/>
              </w:rPr>
            </w:pPr>
            <w:r w:rsidRPr="00697D65">
              <w:rPr>
                <w:rFonts w:cs="Arial"/>
                <w:szCs w:val="18"/>
                <w:lang w:val="en-GB"/>
              </w:rPr>
              <w:t>27,170.77 (7.63</w:t>
            </w:r>
            <w:r w:rsidR="003A6F96" w:rsidRPr="00697D65">
              <w:rPr>
                <w:rFonts w:cs="Arial"/>
                <w:szCs w:val="18"/>
                <w:lang w:val="en-GB"/>
              </w:rPr>
              <w:t xml:space="preserve"> </w:t>
            </w:r>
            <w:r w:rsidRPr="00697D65">
              <w:rPr>
                <w:rFonts w:cs="Arial"/>
                <w:szCs w:val="18"/>
                <w:lang w:val="en-GB"/>
              </w:rPr>
              <w:t>%)</w:t>
            </w:r>
          </w:p>
        </w:tc>
      </w:tr>
      <w:tr w:rsidR="00871FCF" w:rsidRPr="00697D65" w14:paraId="2564E91C" w14:textId="77777777" w:rsidTr="0003536A">
        <w:tc>
          <w:tcPr>
            <w:tcW w:w="624" w:type="pct"/>
            <w:shd w:val="clear" w:color="auto" w:fill="FFFFFF"/>
          </w:tcPr>
          <w:p w14:paraId="5F55B3AF" w14:textId="2B4F9C08" w:rsidR="00871FCF" w:rsidRPr="00697D65" w:rsidRDefault="00871FCF" w:rsidP="00871FCF">
            <w:pPr>
              <w:pStyle w:val="CETBodytext"/>
              <w:ind w:right="-1"/>
              <w:rPr>
                <w:rFonts w:cs="Arial"/>
                <w:szCs w:val="18"/>
                <w:lang w:val="en-GB"/>
              </w:rPr>
            </w:pPr>
            <w:r w:rsidRPr="00697D65">
              <w:rPr>
                <w:rFonts w:cs="Arial"/>
                <w:szCs w:val="18"/>
                <w:lang w:val="en-GB"/>
              </w:rPr>
              <w:t>A10</w:t>
            </w:r>
          </w:p>
        </w:tc>
        <w:tc>
          <w:tcPr>
            <w:tcW w:w="1159" w:type="pct"/>
            <w:shd w:val="clear" w:color="auto" w:fill="FFFFFF"/>
          </w:tcPr>
          <w:p w14:paraId="75DB36E2" w14:textId="22EC7948" w:rsidR="00871FCF" w:rsidRPr="00697D65" w:rsidRDefault="00871FCF" w:rsidP="00871FCF">
            <w:pPr>
              <w:pStyle w:val="CETBodytext"/>
              <w:ind w:right="-1"/>
              <w:rPr>
                <w:rFonts w:cs="Arial"/>
                <w:szCs w:val="18"/>
                <w:lang w:val="en-GB"/>
              </w:rPr>
            </w:pPr>
            <w:r w:rsidRPr="00697D65">
              <w:rPr>
                <w:rFonts w:cs="Arial"/>
                <w:szCs w:val="18"/>
                <w:lang w:val="en-GB"/>
              </w:rPr>
              <w:t>218,452.5 (61.37</w:t>
            </w:r>
            <w:r w:rsidR="003A6F96" w:rsidRPr="00697D65">
              <w:rPr>
                <w:rFonts w:cs="Arial"/>
                <w:szCs w:val="18"/>
                <w:lang w:val="en-GB"/>
              </w:rPr>
              <w:t xml:space="preserve"> </w:t>
            </w:r>
            <w:r w:rsidRPr="00697D65">
              <w:rPr>
                <w:rFonts w:cs="Arial"/>
                <w:szCs w:val="18"/>
                <w:lang w:val="en-GB"/>
              </w:rPr>
              <w:t>%)</w:t>
            </w:r>
          </w:p>
        </w:tc>
        <w:tc>
          <w:tcPr>
            <w:tcW w:w="901" w:type="pct"/>
            <w:shd w:val="clear" w:color="auto" w:fill="FFFFFF"/>
          </w:tcPr>
          <w:p w14:paraId="75D57508" w14:textId="64F595EC" w:rsidR="00871FCF" w:rsidRPr="00697D65" w:rsidRDefault="00871FCF" w:rsidP="00871FCF">
            <w:pPr>
              <w:pStyle w:val="CETBodytext"/>
              <w:ind w:right="-1"/>
              <w:rPr>
                <w:rFonts w:cs="Arial"/>
                <w:szCs w:val="18"/>
                <w:lang w:val="en-GB"/>
              </w:rPr>
            </w:pPr>
            <w:r w:rsidRPr="00697D65">
              <w:rPr>
                <w:rFonts w:cs="Arial"/>
                <w:szCs w:val="18"/>
                <w:lang w:val="en-GB"/>
              </w:rPr>
              <w:t>839.45 (0.24</w:t>
            </w:r>
            <w:r w:rsidR="003A6F96" w:rsidRPr="00697D65">
              <w:rPr>
                <w:rFonts w:cs="Arial"/>
                <w:szCs w:val="18"/>
                <w:lang w:val="en-GB"/>
              </w:rPr>
              <w:t xml:space="preserve"> </w:t>
            </w:r>
            <w:r w:rsidRPr="00697D65">
              <w:rPr>
                <w:rFonts w:cs="Arial"/>
                <w:szCs w:val="18"/>
                <w:lang w:val="en-GB"/>
              </w:rPr>
              <w:t>%)</w:t>
            </w:r>
          </w:p>
        </w:tc>
        <w:tc>
          <w:tcPr>
            <w:tcW w:w="1232" w:type="pct"/>
            <w:shd w:val="clear" w:color="auto" w:fill="FFFFFF"/>
          </w:tcPr>
          <w:p w14:paraId="18F7BAB4" w14:textId="48A255F6" w:rsidR="00871FCF" w:rsidRPr="00697D65" w:rsidRDefault="00871FCF" w:rsidP="00871FCF">
            <w:pPr>
              <w:pStyle w:val="CETBodytext"/>
              <w:ind w:right="-1"/>
              <w:rPr>
                <w:rFonts w:cs="Arial"/>
                <w:szCs w:val="18"/>
                <w:lang w:val="en-GB"/>
              </w:rPr>
            </w:pPr>
            <w:r w:rsidRPr="00697D65">
              <w:rPr>
                <w:rFonts w:cs="Arial"/>
                <w:szCs w:val="18"/>
                <w:lang w:val="en-GB"/>
              </w:rPr>
              <w:t>121,694.26 (34.19</w:t>
            </w:r>
            <w:r w:rsidR="003A6F96" w:rsidRPr="00697D65">
              <w:rPr>
                <w:rFonts w:cs="Arial"/>
                <w:szCs w:val="18"/>
                <w:lang w:val="en-GB"/>
              </w:rPr>
              <w:t xml:space="preserve"> </w:t>
            </w:r>
            <w:r w:rsidRPr="00697D65">
              <w:rPr>
                <w:rFonts w:cs="Arial"/>
                <w:szCs w:val="18"/>
                <w:lang w:val="en-GB"/>
              </w:rPr>
              <w:t>%)</w:t>
            </w:r>
          </w:p>
        </w:tc>
        <w:tc>
          <w:tcPr>
            <w:tcW w:w="1084" w:type="pct"/>
            <w:shd w:val="clear" w:color="auto" w:fill="FFFFFF"/>
          </w:tcPr>
          <w:p w14:paraId="72C25C89" w14:textId="16C8870D" w:rsidR="00871FCF" w:rsidRPr="00697D65" w:rsidRDefault="00871FCF" w:rsidP="00871FCF">
            <w:pPr>
              <w:pStyle w:val="CETBodytext"/>
              <w:ind w:right="-1"/>
              <w:rPr>
                <w:rFonts w:cs="Arial"/>
                <w:szCs w:val="18"/>
                <w:lang w:val="en-GB"/>
              </w:rPr>
            </w:pPr>
            <w:r w:rsidRPr="00697D65">
              <w:rPr>
                <w:rFonts w:cs="Arial"/>
                <w:szCs w:val="18"/>
                <w:lang w:val="en-GB"/>
              </w:rPr>
              <w:t>14,976.85 (4.21</w:t>
            </w:r>
            <w:r w:rsidR="003A6F96" w:rsidRPr="00697D65">
              <w:rPr>
                <w:rFonts w:cs="Arial"/>
                <w:szCs w:val="18"/>
                <w:lang w:val="en-GB"/>
              </w:rPr>
              <w:t xml:space="preserve"> </w:t>
            </w:r>
            <w:r w:rsidRPr="00697D65">
              <w:rPr>
                <w:rFonts w:cs="Arial"/>
                <w:szCs w:val="18"/>
                <w:lang w:val="en-GB"/>
              </w:rPr>
              <w:t>%)</w:t>
            </w:r>
          </w:p>
        </w:tc>
      </w:tr>
    </w:tbl>
    <w:p w14:paraId="187D33A6" w14:textId="3124E34A" w:rsidR="00CD1B67" w:rsidRPr="00697D65" w:rsidRDefault="00616254" w:rsidP="001D382A">
      <w:pPr>
        <w:pStyle w:val="CETBodytext"/>
        <w:spacing w:before="120"/>
        <w:rPr>
          <w:lang w:val="en-GB"/>
        </w:rPr>
      </w:pPr>
      <w:r w:rsidRPr="00697D65">
        <w:rPr>
          <w:lang w:val="en-GB"/>
        </w:rPr>
        <w:t xml:space="preserve">Table </w:t>
      </w:r>
      <w:r w:rsidR="0037303A" w:rsidRPr="00697D65">
        <w:rPr>
          <w:lang w:val="en-GB"/>
        </w:rPr>
        <w:t>2</w:t>
      </w:r>
      <w:r w:rsidRPr="00697D65">
        <w:rPr>
          <w:lang w:val="en-GB"/>
        </w:rPr>
        <w:t xml:space="preserve"> shows that due to the low wind speeds and an average radiation of 7 kWh/m² in the municipality of Pamplona, Colombia, the integration of renewable energy into the energy distribution system does not fully reduce CO</w:t>
      </w:r>
      <w:r w:rsidRPr="00697D65">
        <w:rPr>
          <w:rFonts w:ascii="Cambria Math" w:hAnsi="Cambria Math" w:cs="Cambria Math"/>
          <w:lang w:val="en-GB"/>
        </w:rPr>
        <w:t>₂</w:t>
      </w:r>
      <w:r w:rsidRPr="00697D65">
        <w:rPr>
          <w:lang w:val="en-GB"/>
        </w:rPr>
        <w:t xml:space="preserve"> emissions, as a high percentage of biomass gasifiers is required. Therefore, future research should explore the possibility of integrating renewable technologies such as batteries, small hydroelectric plants, cogeneration (CHP) plants, and hydrogen cells. Additionally, among the alternatives obtained in the Pareto front, it is necessary to select the most sustainable option using multicriteria selection methods, considering the opinions of experts influencing the region of interest</w:t>
      </w:r>
      <w:r w:rsidR="008427A9" w:rsidRPr="00697D65">
        <w:rPr>
          <w:lang w:val="en-GB"/>
        </w:rPr>
        <w:t>.</w:t>
      </w:r>
    </w:p>
    <w:p w14:paraId="68D26B83" w14:textId="77777777" w:rsidR="00600535" w:rsidRPr="00697D65" w:rsidRDefault="00600535" w:rsidP="001D382A">
      <w:pPr>
        <w:pStyle w:val="CETHeading1"/>
        <w:spacing w:before="120"/>
        <w:rPr>
          <w:lang w:val="en-GB"/>
        </w:rPr>
      </w:pPr>
      <w:commentRangeStart w:id="5"/>
      <w:r w:rsidRPr="00697D65">
        <w:rPr>
          <w:lang w:val="en-GB"/>
        </w:rPr>
        <w:t>Conclusions</w:t>
      </w:r>
      <w:commentRangeEnd w:id="5"/>
      <w:r w:rsidR="009F7C5F" w:rsidRPr="00697D65">
        <w:rPr>
          <w:rStyle w:val="Refdecomentario"/>
          <w:b w:val="0"/>
          <w:lang w:val="en-GB"/>
        </w:rPr>
        <w:commentReference w:id="5"/>
      </w:r>
    </w:p>
    <w:p w14:paraId="2422BE27" w14:textId="77777777" w:rsidR="00175764" w:rsidRPr="00697D65" w:rsidRDefault="009479AE" w:rsidP="00175764">
      <w:pPr>
        <w:pStyle w:val="CETHeadingxx"/>
        <w:spacing w:before="0" w:after="0" w:line="264" w:lineRule="auto"/>
        <w:jc w:val="both"/>
        <w:rPr>
          <w:b w:val="0"/>
          <w:lang w:val="en-GB"/>
        </w:rPr>
      </w:pPr>
      <w:r w:rsidRPr="00697D65">
        <w:rPr>
          <w:b w:val="0"/>
          <w:lang w:val="en-GB"/>
        </w:rPr>
        <w:t>The application of the Mixed Integer Multi-Objective Linear Optimization (MOMILP) model allowed to assess the integration of electricity generation plants, such as photovoltaic panels, wind turbines, biomass gasifiers and diesel plants, to the electrical grid of the municipality of Pamplona, Colombia.</w:t>
      </w:r>
      <w:r w:rsidR="00C84B9B" w:rsidRPr="00697D65">
        <w:rPr>
          <w:b w:val="0"/>
          <w:lang w:val="en-GB"/>
        </w:rPr>
        <w:t xml:space="preserve"> </w:t>
      </w:r>
    </w:p>
    <w:p w14:paraId="45BBB338" w14:textId="166E64EE" w:rsidR="009479AE" w:rsidRPr="00697D65" w:rsidRDefault="009479AE" w:rsidP="00175764">
      <w:pPr>
        <w:pStyle w:val="CETHeadingxx"/>
        <w:spacing w:before="0" w:after="0" w:line="264" w:lineRule="auto"/>
        <w:jc w:val="both"/>
        <w:rPr>
          <w:b w:val="0"/>
          <w:lang w:val="en-GB"/>
        </w:rPr>
      </w:pPr>
      <w:r w:rsidRPr="00697D65">
        <w:rPr>
          <w:b w:val="0"/>
          <w:lang w:val="en-GB"/>
        </w:rPr>
        <w:t>The resulting Pareto front shows that the alternative with the highest benefit, -$159,470, is also the one that generates the highest CO</w:t>
      </w:r>
      <w:r w:rsidRPr="00697D65">
        <w:rPr>
          <w:rFonts w:ascii="Cambria Math" w:hAnsi="Cambria Math" w:cs="Cambria Math"/>
          <w:b w:val="0"/>
          <w:lang w:val="en-GB"/>
        </w:rPr>
        <w:t>₂</w:t>
      </w:r>
      <w:r w:rsidRPr="00697D65">
        <w:rPr>
          <w:b w:val="0"/>
          <w:lang w:val="en-GB"/>
        </w:rPr>
        <w:t xml:space="preserve"> emissions, </w:t>
      </w:r>
      <w:r w:rsidR="00F868EC" w:rsidRPr="00697D65">
        <w:rPr>
          <w:b w:val="0"/>
          <w:lang w:val="en-GB"/>
        </w:rPr>
        <w:t>totalling</w:t>
      </w:r>
      <w:r w:rsidRPr="00697D65">
        <w:rPr>
          <w:b w:val="0"/>
          <w:lang w:val="en-GB"/>
        </w:rPr>
        <w:t xml:space="preserve"> 245.88 tons. In contrast, the alternative with the lowest benefit, -$121,370, produces lower CO</w:t>
      </w:r>
      <w:r w:rsidRPr="00697D65">
        <w:rPr>
          <w:rFonts w:ascii="Cambria Math" w:hAnsi="Cambria Math" w:cs="Cambria Math"/>
          <w:b w:val="0"/>
          <w:lang w:val="en-GB"/>
        </w:rPr>
        <w:t>₂</w:t>
      </w:r>
      <w:r w:rsidRPr="00697D65">
        <w:rPr>
          <w:b w:val="0"/>
          <w:lang w:val="en-GB"/>
        </w:rPr>
        <w:t xml:space="preserve"> emissions, </w:t>
      </w:r>
      <w:r w:rsidR="00F868EC" w:rsidRPr="00697D65">
        <w:rPr>
          <w:b w:val="0"/>
          <w:lang w:val="en-GB"/>
        </w:rPr>
        <w:t>totalling</w:t>
      </w:r>
      <w:r w:rsidRPr="00697D65">
        <w:rPr>
          <w:b w:val="0"/>
          <w:lang w:val="en-GB"/>
        </w:rPr>
        <w:t xml:space="preserve"> 94.72 tons.</w:t>
      </w:r>
      <w:r w:rsidR="00AD1EB1" w:rsidRPr="00697D65">
        <w:rPr>
          <w:b w:val="0"/>
          <w:lang w:val="en-GB"/>
        </w:rPr>
        <w:t xml:space="preserve"> </w:t>
      </w:r>
      <w:r w:rsidRPr="00697D65">
        <w:rPr>
          <w:b w:val="0"/>
          <w:lang w:val="en-GB"/>
        </w:rPr>
        <w:t>Alternative A1 generates the highest amount of CO</w:t>
      </w:r>
      <w:r w:rsidRPr="00697D65">
        <w:rPr>
          <w:rFonts w:ascii="Cambria Math" w:hAnsi="Cambria Math" w:cs="Cambria Math"/>
          <w:b w:val="0"/>
          <w:lang w:val="en-GB"/>
        </w:rPr>
        <w:t>₂</w:t>
      </w:r>
      <w:r w:rsidRPr="00697D65">
        <w:rPr>
          <w:b w:val="0"/>
          <w:lang w:val="en-GB"/>
        </w:rPr>
        <w:t xml:space="preserve"> emissions because the electricity demand can only be met by installing biomass gasifiers and diesel plants, which supply 324,480 kWh and 31,482 kWh of energy, respectively.</w:t>
      </w:r>
      <w:r w:rsidR="007B6296" w:rsidRPr="00697D65">
        <w:rPr>
          <w:b w:val="0"/>
          <w:lang w:val="en-GB"/>
        </w:rPr>
        <w:t xml:space="preserve"> </w:t>
      </w:r>
      <w:r w:rsidRPr="00697D65">
        <w:rPr>
          <w:b w:val="0"/>
          <w:lang w:val="en-GB"/>
        </w:rPr>
        <w:t>To reduce CO</w:t>
      </w:r>
      <w:r w:rsidRPr="00697D65">
        <w:rPr>
          <w:rFonts w:ascii="Cambria Math" w:hAnsi="Cambria Math" w:cs="Cambria Math"/>
          <w:b w:val="0"/>
          <w:lang w:val="en-GB"/>
        </w:rPr>
        <w:t>₂</w:t>
      </w:r>
      <w:r w:rsidRPr="00697D65">
        <w:rPr>
          <w:b w:val="0"/>
          <w:lang w:val="en-GB"/>
        </w:rPr>
        <w:t xml:space="preserve"> emissions, the model promotes the construction of photovoltaic plants, which become the dominant technology in alternative A10, with an electricity production of 218,452 kWh, supported by biomass gasifiers, diesel generators and wind turbines, producing 121,694 kWh, 14,976 kWh and 839.45 kWh respectively.</w:t>
      </w:r>
    </w:p>
    <w:p w14:paraId="13CB9D76" w14:textId="02B6ED47" w:rsidR="00F05C55" w:rsidRPr="00697D65" w:rsidRDefault="00F05C55" w:rsidP="00175764">
      <w:pPr>
        <w:spacing w:line="240" w:lineRule="auto"/>
        <w:rPr>
          <w:rFonts w:cs="Arial"/>
          <w:szCs w:val="18"/>
        </w:rPr>
      </w:pPr>
      <w:r w:rsidRPr="00697D65">
        <w:rPr>
          <w:rFonts w:cs="Arial"/>
          <w:szCs w:val="18"/>
        </w:rPr>
        <w:t>The optimization model implemented in the municipality of Pamplona demonstrates that it is possible to satisfy the energy demand of the population through a hybrid system of renewable energies, such as solar, wind and biomass. The alternatives obtained in the Pareto front allow stakeholders and others interested in integrating a hybrid system to the Pamplona power grid, to apply a Multi-Criteria Decision Method to select the alternative that best fits their needs and priorities, considering aspects such as investment, profitability and CO</w:t>
      </w:r>
      <w:r w:rsidRPr="00697D65">
        <w:rPr>
          <w:rFonts w:ascii="Cambria Math" w:hAnsi="Cambria Math" w:cs="Cambria Math"/>
          <w:szCs w:val="18"/>
        </w:rPr>
        <w:t>₂</w:t>
      </w:r>
      <w:r w:rsidRPr="00697D65">
        <w:rPr>
          <w:rFonts w:cs="Arial"/>
          <w:szCs w:val="18"/>
        </w:rPr>
        <w:t xml:space="preserve"> emissions.</w:t>
      </w:r>
    </w:p>
    <w:p w14:paraId="46BA665F" w14:textId="05648532" w:rsidR="009A7851" w:rsidRPr="00697D65" w:rsidRDefault="00F05C55" w:rsidP="00175764">
      <w:pPr>
        <w:spacing w:line="240" w:lineRule="auto"/>
        <w:rPr>
          <w:rFonts w:cs="Arial"/>
          <w:szCs w:val="18"/>
        </w:rPr>
      </w:pPr>
      <w:r w:rsidRPr="00697D65">
        <w:rPr>
          <w:rFonts w:cs="Arial"/>
          <w:szCs w:val="18"/>
        </w:rPr>
        <w:t>Furthermore, by proposing a robust optimization model that integrates wide technical and financial characteristics, this methodology can be adapted to other regions to assess the integration of renewable energies in their respective electricity grids, thus contributing to the sustainable expansion of these systems.</w:t>
      </w:r>
    </w:p>
    <w:p w14:paraId="778F7649" w14:textId="25347474" w:rsidR="003F0C55" w:rsidRPr="00697D65" w:rsidRDefault="000E66BE" w:rsidP="009479AE">
      <w:pPr>
        <w:pStyle w:val="CETHeadingxx"/>
        <w:rPr>
          <w:lang w:val="en-GB"/>
        </w:rPr>
        <w:sectPr w:rsidR="003F0C55" w:rsidRPr="00697D65" w:rsidSect="000E66BE">
          <w:type w:val="continuous"/>
          <w:pgSz w:w="11906" w:h="16838" w:code="9"/>
          <w:pgMar w:top="1701" w:right="1418" w:bottom="1701" w:left="1701" w:header="1701" w:footer="0" w:gutter="0"/>
          <w:cols w:space="708"/>
          <w:formProt w:val="0"/>
          <w:titlePg/>
          <w:docGrid w:linePitch="360"/>
        </w:sectPr>
      </w:pPr>
      <w:r w:rsidRPr="00697D65">
        <w:rPr>
          <w:lang w:val="en-GB"/>
        </w:rPr>
        <w:t>Nomenclature</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002"/>
      </w:tblGrid>
      <w:tr w:rsidR="000E66BE" w:rsidRPr="00697D65" w14:paraId="6611B0FE" w14:textId="77777777" w:rsidTr="000E66BE">
        <w:tc>
          <w:tcPr>
            <w:tcW w:w="4785" w:type="dxa"/>
            <w:vAlign w:val="center"/>
          </w:tcPr>
          <w:p w14:paraId="371F5416" w14:textId="77777777" w:rsidR="000E66BE" w:rsidRPr="00697D65" w:rsidRDefault="000E66BE" w:rsidP="009479AE">
            <w:pPr>
              <w:pStyle w:val="CETBodytext"/>
              <w:rPr>
                <w:b/>
                <w:bCs/>
                <w:lang w:val="en-GB"/>
              </w:rPr>
            </w:pPr>
            <w:r w:rsidRPr="00697D65">
              <w:rPr>
                <w:b/>
                <w:bCs/>
                <w:lang w:val="en-GB"/>
              </w:rPr>
              <w:t>Model parameters</w:t>
            </w:r>
          </w:p>
        </w:tc>
        <w:tc>
          <w:tcPr>
            <w:tcW w:w="4002" w:type="dxa"/>
            <w:vAlign w:val="center"/>
          </w:tcPr>
          <w:p w14:paraId="47E98EA2" w14:textId="29FC1C26" w:rsidR="000E66BE" w:rsidRPr="00697D65" w:rsidRDefault="00000000" w:rsidP="009479AE">
            <w:pPr>
              <w:pStyle w:val="CETBodytext"/>
              <w:rPr>
                <w:lang w:val="en-GB"/>
              </w:rPr>
            </w:pPr>
            <m:oMath>
              <m:sSub>
                <m:sSubPr>
                  <m:ctrlPr>
                    <w:rPr>
                      <w:rFonts w:ascii="Cambria Math" w:hAnsi="Cambria Math"/>
                      <w:i/>
                      <w:lang w:val="en-GB"/>
                    </w:rPr>
                  </m:ctrlPr>
                </m:sSubPr>
                <m:e>
                  <m:r>
                    <m:rPr>
                      <m:nor/>
                    </m:rPr>
                    <w:rPr>
                      <w:lang w:val="en-GB"/>
                    </w:rPr>
                    <m:t>ICa</m:t>
                  </m:r>
                </m:e>
                <m:sub>
                  <m:r>
                    <m:rPr>
                      <m:nor/>
                    </m:rPr>
                    <w:rPr>
                      <w:lang w:val="en-GB"/>
                    </w:rPr>
                    <m:t>p,t</m:t>
                  </m:r>
                </m:sub>
              </m:sSub>
            </m:oMath>
            <w:r w:rsidR="000E66BE" w:rsidRPr="00697D65">
              <w:rPr>
                <w:lang w:val="en-GB"/>
              </w:rPr>
              <w:t xml:space="preserve"> </w:t>
            </w:r>
            <w:r w:rsidR="00CB2E19" w:rsidRPr="00697D65">
              <w:rPr>
                <w:rFonts w:eastAsia="SimSun"/>
                <w:lang w:val="en-GB"/>
              </w:rPr>
              <w:t>–</w:t>
            </w:r>
            <w:r w:rsidR="000E66BE" w:rsidRPr="00697D65">
              <w:rPr>
                <w:lang w:val="en-GB"/>
              </w:rPr>
              <w:t xml:space="preserve"> Initial capacity available</w:t>
            </w:r>
            <w:r w:rsidR="000A35A8" w:rsidRPr="00697D65">
              <w:rPr>
                <w:lang w:val="en-GB"/>
              </w:rPr>
              <w:t>, -</w:t>
            </w:r>
          </w:p>
        </w:tc>
      </w:tr>
      <w:tr w:rsidR="000E66BE" w:rsidRPr="00697D65" w14:paraId="107B45A6" w14:textId="77777777" w:rsidTr="000E66BE">
        <w:tc>
          <w:tcPr>
            <w:tcW w:w="4785" w:type="dxa"/>
            <w:vAlign w:val="center"/>
          </w:tcPr>
          <w:p w14:paraId="4FBFFFCD" w14:textId="6C376C17" w:rsidR="000E66BE" w:rsidRPr="00697D65" w:rsidRDefault="000E66BE" w:rsidP="009479AE">
            <w:pPr>
              <w:pStyle w:val="CETBodytext"/>
              <w:rPr>
                <w:lang w:val="en-GB"/>
              </w:rPr>
            </w:pPr>
            <w:r w:rsidRPr="00697D65">
              <w:rPr>
                <w:lang w:val="en-GB"/>
              </w:rPr>
              <w:t>TD</w:t>
            </w:r>
            <w:r w:rsidR="00AF2441" w:rsidRPr="00697D65">
              <w:rPr>
                <w:lang w:val="en-GB"/>
              </w:rPr>
              <w:t xml:space="preserve"> </w:t>
            </w:r>
            <w:r w:rsidR="00CB2E19" w:rsidRPr="00697D65">
              <w:rPr>
                <w:rFonts w:eastAsia="SimSun"/>
                <w:lang w:val="en-GB"/>
              </w:rPr>
              <w:t>–</w:t>
            </w:r>
            <w:r w:rsidRPr="00697D65">
              <w:rPr>
                <w:lang w:val="en-GB"/>
              </w:rPr>
              <w:t xml:space="preserve"> Discount rate</w:t>
            </w:r>
            <w:r w:rsidR="000A35A8" w:rsidRPr="00697D65">
              <w:rPr>
                <w:lang w:val="en-GB"/>
              </w:rPr>
              <w:t>, -</w:t>
            </w:r>
          </w:p>
        </w:tc>
        <w:tc>
          <w:tcPr>
            <w:tcW w:w="4002" w:type="dxa"/>
            <w:vAlign w:val="center"/>
          </w:tcPr>
          <w:p w14:paraId="13C53B29" w14:textId="0A133ABA" w:rsidR="000E66BE" w:rsidRPr="00697D65" w:rsidRDefault="00000000" w:rsidP="009479AE">
            <w:pPr>
              <w:pStyle w:val="CETBodytext"/>
              <w:rPr>
                <w:lang w:val="en-GB"/>
              </w:rPr>
            </w:pPr>
            <m:oMath>
              <m:sSub>
                <m:sSubPr>
                  <m:ctrlPr>
                    <w:rPr>
                      <w:rFonts w:ascii="Cambria Math" w:hAnsi="Cambria Math"/>
                      <w:i/>
                      <w:lang w:val="en-GB"/>
                    </w:rPr>
                  </m:ctrlPr>
                </m:sSubPr>
                <m:e>
                  <m:r>
                    <m:rPr>
                      <m:nor/>
                    </m:rPr>
                    <w:rPr>
                      <w:lang w:val="en-GB"/>
                    </w:rPr>
                    <m:t>PriT</m:t>
                  </m:r>
                </m:e>
                <m:sub>
                  <m:r>
                    <m:rPr>
                      <m:nor/>
                    </m:rPr>
                    <w:rPr>
                      <w:lang w:val="en-GB"/>
                    </w:rPr>
                    <m:t>r,t</m:t>
                  </m:r>
                </m:sub>
              </m:sSub>
            </m:oMath>
            <w:r w:rsidR="000E66BE" w:rsidRPr="00697D65">
              <w:rPr>
                <w:lang w:val="en-GB"/>
              </w:rPr>
              <w:t xml:space="preserve"> </w:t>
            </w:r>
            <w:r w:rsidR="00CB2E19" w:rsidRPr="00697D65">
              <w:rPr>
                <w:rFonts w:eastAsia="SimSun"/>
                <w:lang w:val="en-GB"/>
              </w:rPr>
              <w:t>–</w:t>
            </w:r>
            <w:r w:rsidR="000E66BE" w:rsidRPr="00697D65">
              <w:rPr>
                <w:lang w:val="en-GB"/>
              </w:rPr>
              <w:t xml:space="preserve"> Total primary resources available</w:t>
            </w:r>
            <w:r w:rsidR="000A35A8" w:rsidRPr="00697D65">
              <w:rPr>
                <w:lang w:val="en-GB"/>
              </w:rPr>
              <w:t>, -</w:t>
            </w:r>
          </w:p>
        </w:tc>
      </w:tr>
      <w:tr w:rsidR="000E66BE" w:rsidRPr="00697D65" w14:paraId="73C9A3CA" w14:textId="77777777" w:rsidTr="000E66BE">
        <w:tc>
          <w:tcPr>
            <w:tcW w:w="4785" w:type="dxa"/>
            <w:vAlign w:val="center"/>
          </w:tcPr>
          <w:p w14:paraId="642BBC28" w14:textId="72993342" w:rsidR="000E66BE" w:rsidRPr="00697D65" w:rsidRDefault="00000000" w:rsidP="009479AE">
            <w:pPr>
              <w:pStyle w:val="CETBodytext"/>
              <w:rPr>
                <w:lang w:val="en-GB"/>
              </w:rPr>
            </w:pPr>
            <m:oMath>
              <m:sSub>
                <m:sSubPr>
                  <m:ctrlPr>
                    <w:rPr>
                      <w:rFonts w:ascii="Cambria Math" w:hAnsi="Cambria Math"/>
                      <w:i/>
                      <w:lang w:val="en-GB"/>
                    </w:rPr>
                  </m:ctrlPr>
                </m:sSubPr>
                <m:e>
                  <m:acc>
                    <m:accPr>
                      <m:ctrlPr>
                        <w:rPr>
                          <w:rFonts w:ascii="Cambria Math" w:hAnsi="Cambria Math"/>
                          <w:i/>
                          <w:lang w:val="en-GB"/>
                        </w:rPr>
                      </m:ctrlPr>
                    </m:accPr>
                    <m:e>
                      <m:r>
                        <m:rPr>
                          <m:nor/>
                        </m:rPr>
                        <w:rPr>
                          <w:lang w:val="en-GB"/>
                        </w:rPr>
                        <m:t>InvCo</m:t>
                      </m:r>
                    </m:e>
                  </m:acc>
                </m:e>
                <m:sub>
                  <m:r>
                    <m:rPr>
                      <m:nor/>
                    </m:rPr>
                    <w:rPr>
                      <w:lang w:val="en-GB"/>
                    </w:rPr>
                    <m:t>p,t</m:t>
                  </m:r>
                </m:sub>
              </m:sSub>
            </m:oMath>
            <w:r w:rsidR="000E66BE" w:rsidRPr="00697D65">
              <w:rPr>
                <w:lang w:val="en-GB"/>
              </w:rPr>
              <w:t xml:space="preserve"> </w:t>
            </w:r>
            <w:r w:rsidR="00CB2E19" w:rsidRPr="00697D65">
              <w:rPr>
                <w:rFonts w:eastAsia="SimSun"/>
                <w:lang w:val="en-GB"/>
              </w:rPr>
              <w:t>–</w:t>
            </w:r>
            <w:r w:rsidR="00CB2E19" w:rsidRPr="00697D65">
              <w:rPr>
                <w:lang w:val="en-GB"/>
              </w:rPr>
              <w:t xml:space="preserve"> </w:t>
            </w:r>
            <w:r w:rsidR="000E66BE" w:rsidRPr="00697D65">
              <w:rPr>
                <w:lang w:val="en-GB"/>
              </w:rPr>
              <w:t>Unit investment costs</w:t>
            </w:r>
            <w:r w:rsidR="000A35A8" w:rsidRPr="00697D65">
              <w:rPr>
                <w:lang w:val="en-GB"/>
              </w:rPr>
              <w:t xml:space="preserve">, </w:t>
            </w:r>
            <w:r w:rsidR="000E66BE" w:rsidRPr="00697D65">
              <w:rPr>
                <w:lang w:val="en-GB"/>
              </w:rPr>
              <w:t>USD/kW</w:t>
            </w:r>
          </w:p>
        </w:tc>
        <w:tc>
          <w:tcPr>
            <w:tcW w:w="4002" w:type="dxa"/>
            <w:vAlign w:val="center"/>
          </w:tcPr>
          <w:p w14:paraId="7CDE35FA" w14:textId="77777777" w:rsidR="000E66BE" w:rsidRPr="00697D65" w:rsidRDefault="000E66BE" w:rsidP="009479AE">
            <w:pPr>
              <w:pStyle w:val="CETBodytext"/>
              <w:rPr>
                <w:b/>
                <w:bCs/>
                <w:lang w:val="en-GB"/>
              </w:rPr>
            </w:pPr>
            <w:r w:rsidRPr="00697D65">
              <w:rPr>
                <w:b/>
                <w:bCs/>
                <w:lang w:val="en-GB"/>
              </w:rPr>
              <w:t>Sets</w:t>
            </w:r>
          </w:p>
        </w:tc>
      </w:tr>
      <w:tr w:rsidR="000E66BE" w:rsidRPr="00697D65" w14:paraId="19A136BC" w14:textId="77777777" w:rsidTr="000E66BE">
        <w:tc>
          <w:tcPr>
            <w:tcW w:w="4785" w:type="dxa"/>
            <w:vAlign w:val="center"/>
          </w:tcPr>
          <w:p w14:paraId="199D72D9" w14:textId="4F7944F3" w:rsidR="000E66BE" w:rsidRPr="00697D65" w:rsidRDefault="00000000" w:rsidP="009479AE">
            <w:pPr>
              <w:pStyle w:val="CETBodytext"/>
              <w:rPr>
                <w:lang w:val="en-GB"/>
              </w:rPr>
            </w:pPr>
            <m:oMath>
              <m:sSub>
                <m:sSubPr>
                  <m:ctrlPr>
                    <w:rPr>
                      <w:rFonts w:ascii="Cambria Math" w:hAnsi="Cambria Math"/>
                      <w:i/>
                      <w:lang w:val="en-GB"/>
                    </w:rPr>
                  </m:ctrlPr>
                </m:sSubPr>
                <m:e>
                  <m:acc>
                    <m:accPr>
                      <m:ctrlPr>
                        <w:rPr>
                          <w:rFonts w:ascii="Cambria Math" w:hAnsi="Cambria Math"/>
                          <w:i/>
                          <w:lang w:val="en-GB"/>
                        </w:rPr>
                      </m:ctrlPr>
                    </m:accPr>
                    <m:e>
                      <m:r>
                        <m:rPr>
                          <m:nor/>
                        </m:rPr>
                        <w:rPr>
                          <w:lang w:val="en-GB"/>
                        </w:rPr>
                        <m:t>FixCo</m:t>
                      </m:r>
                    </m:e>
                  </m:acc>
                </m:e>
                <m:sub>
                  <m:r>
                    <m:rPr>
                      <m:nor/>
                    </m:rPr>
                    <w:rPr>
                      <w:lang w:val="en-GB"/>
                    </w:rPr>
                    <m:t>p,t</m:t>
                  </m:r>
                </m:sub>
              </m:sSub>
            </m:oMath>
            <w:r w:rsidR="000E66BE" w:rsidRPr="00697D65">
              <w:rPr>
                <w:lang w:val="en-GB"/>
              </w:rPr>
              <w:t xml:space="preserve"> </w:t>
            </w:r>
            <w:r w:rsidR="00CB2E19" w:rsidRPr="00697D65">
              <w:rPr>
                <w:rFonts w:eastAsia="SimSun"/>
                <w:lang w:val="en-GB"/>
              </w:rPr>
              <w:t>–</w:t>
            </w:r>
            <w:r w:rsidR="000E66BE" w:rsidRPr="00697D65">
              <w:rPr>
                <w:lang w:val="en-GB"/>
              </w:rPr>
              <w:t xml:space="preserve"> Unit fixed costs</w:t>
            </w:r>
            <w:r w:rsidR="000A35A8" w:rsidRPr="00697D65">
              <w:rPr>
                <w:lang w:val="en-GB"/>
              </w:rPr>
              <w:t xml:space="preserve">, </w:t>
            </w:r>
            <w:r w:rsidR="000E66BE" w:rsidRPr="00697D65">
              <w:rPr>
                <w:lang w:val="en-GB"/>
              </w:rPr>
              <w:t>USD/kW</w:t>
            </w:r>
          </w:p>
        </w:tc>
        <w:tc>
          <w:tcPr>
            <w:tcW w:w="4002" w:type="dxa"/>
            <w:vAlign w:val="center"/>
          </w:tcPr>
          <w:p w14:paraId="484BA90D" w14:textId="72FA5FD1" w:rsidR="000E66BE" w:rsidRPr="00697D65" w:rsidRDefault="00CB2E19" w:rsidP="009479AE">
            <w:pPr>
              <w:pStyle w:val="CETBodytext"/>
              <w:rPr>
                <w:lang w:val="en-GB"/>
              </w:rPr>
            </w:pPr>
            <w:r w:rsidRPr="00697D65">
              <w:rPr>
                <w:lang w:val="en-GB"/>
              </w:rPr>
              <w:t xml:space="preserve">p </w:t>
            </w:r>
            <w:r w:rsidRPr="00697D65">
              <w:rPr>
                <w:rFonts w:eastAsia="SimSun"/>
                <w:lang w:val="en-GB"/>
              </w:rPr>
              <w:t>–</w:t>
            </w:r>
            <w:r w:rsidR="000E66BE" w:rsidRPr="00697D65">
              <w:rPr>
                <w:lang w:val="en-GB"/>
              </w:rPr>
              <w:t xml:space="preserve"> power generation plants</w:t>
            </w:r>
            <w:r w:rsidR="000A35A8" w:rsidRPr="00697D65">
              <w:rPr>
                <w:lang w:val="en-GB"/>
              </w:rPr>
              <w:t>, -</w:t>
            </w:r>
          </w:p>
        </w:tc>
      </w:tr>
      <w:tr w:rsidR="000E66BE" w:rsidRPr="00697D65" w14:paraId="424D5167" w14:textId="77777777" w:rsidTr="000E66BE">
        <w:tc>
          <w:tcPr>
            <w:tcW w:w="4785" w:type="dxa"/>
            <w:vAlign w:val="center"/>
          </w:tcPr>
          <w:p w14:paraId="58BD8A0F" w14:textId="193D1EC1" w:rsidR="000E66BE" w:rsidRPr="00697D65" w:rsidRDefault="00000000" w:rsidP="009479AE">
            <w:pPr>
              <w:pStyle w:val="CETBodytext"/>
              <w:rPr>
                <w:lang w:val="en-GB"/>
              </w:rPr>
            </w:pPr>
            <m:oMath>
              <m:sSub>
                <m:sSubPr>
                  <m:ctrlPr>
                    <w:rPr>
                      <w:rFonts w:ascii="Cambria Math" w:hAnsi="Cambria Math"/>
                      <w:i/>
                      <w:lang w:val="en-GB"/>
                    </w:rPr>
                  </m:ctrlPr>
                </m:sSubPr>
                <m:e>
                  <m:acc>
                    <m:accPr>
                      <m:ctrlPr>
                        <w:rPr>
                          <w:rFonts w:ascii="Cambria Math" w:hAnsi="Cambria Math"/>
                          <w:i/>
                          <w:lang w:val="en-GB"/>
                        </w:rPr>
                      </m:ctrlPr>
                    </m:accPr>
                    <m:e>
                      <m:r>
                        <m:rPr>
                          <m:nor/>
                        </m:rPr>
                        <w:rPr>
                          <w:lang w:val="en-GB"/>
                        </w:rPr>
                        <m:t>VarCo</m:t>
                      </m:r>
                    </m:e>
                  </m:acc>
                </m:e>
                <m:sub>
                  <m:r>
                    <m:rPr>
                      <m:nor/>
                    </m:rPr>
                    <w:rPr>
                      <w:lang w:val="en-GB"/>
                    </w:rPr>
                    <m:t>p,t</m:t>
                  </m:r>
                </m:sub>
              </m:sSub>
            </m:oMath>
            <w:r w:rsidR="000E66BE" w:rsidRPr="00697D65">
              <w:rPr>
                <w:lang w:val="en-GB"/>
              </w:rPr>
              <w:t xml:space="preserve"> </w:t>
            </w:r>
            <w:r w:rsidR="00CB2E19" w:rsidRPr="00697D65">
              <w:rPr>
                <w:rFonts w:eastAsia="SimSun"/>
                <w:lang w:val="en-GB"/>
              </w:rPr>
              <w:t>–</w:t>
            </w:r>
            <w:r w:rsidR="000E66BE" w:rsidRPr="00697D65">
              <w:rPr>
                <w:lang w:val="en-GB"/>
              </w:rPr>
              <w:t xml:space="preserve"> Unit variable costs</w:t>
            </w:r>
            <w:r w:rsidR="000A35A8" w:rsidRPr="00697D65">
              <w:rPr>
                <w:lang w:val="en-GB"/>
              </w:rPr>
              <w:t xml:space="preserve">, </w:t>
            </w:r>
            <w:r w:rsidR="000E66BE" w:rsidRPr="00697D65">
              <w:rPr>
                <w:lang w:val="en-GB"/>
              </w:rPr>
              <w:t>USD/kW</w:t>
            </w:r>
          </w:p>
        </w:tc>
        <w:tc>
          <w:tcPr>
            <w:tcW w:w="4002" w:type="dxa"/>
            <w:vAlign w:val="center"/>
          </w:tcPr>
          <w:p w14:paraId="7A665164" w14:textId="7B9E0884" w:rsidR="000E66BE" w:rsidRPr="00697D65" w:rsidRDefault="00CB2E19" w:rsidP="009479AE">
            <w:pPr>
              <w:pStyle w:val="CETBodytext"/>
              <w:rPr>
                <w:lang w:val="en-GB"/>
              </w:rPr>
            </w:pPr>
            <w:r w:rsidRPr="00697D65">
              <w:rPr>
                <w:lang w:val="en-GB"/>
              </w:rPr>
              <w:t xml:space="preserve">r </w:t>
            </w:r>
            <w:r w:rsidRPr="00697D65">
              <w:rPr>
                <w:rFonts w:eastAsia="SimSun"/>
                <w:lang w:val="en-GB"/>
              </w:rPr>
              <w:t>–</w:t>
            </w:r>
            <w:r w:rsidR="000E66BE" w:rsidRPr="00697D65">
              <w:rPr>
                <w:lang w:val="en-GB"/>
              </w:rPr>
              <w:t xml:space="preserve"> primary resources</w:t>
            </w:r>
            <w:r w:rsidR="000A35A8" w:rsidRPr="00697D65">
              <w:rPr>
                <w:lang w:val="en-GB"/>
              </w:rPr>
              <w:t>, -</w:t>
            </w:r>
          </w:p>
        </w:tc>
      </w:tr>
      <w:tr w:rsidR="000E66BE" w:rsidRPr="00697D65" w14:paraId="3F8413DB" w14:textId="77777777" w:rsidTr="000E66BE">
        <w:tc>
          <w:tcPr>
            <w:tcW w:w="4785" w:type="dxa"/>
            <w:vAlign w:val="center"/>
          </w:tcPr>
          <w:p w14:paraId="2B38C1CC" w14:textId="66F0AF13" w:rsidR="000E66BE" w:rsidRPr="00697D65" w:rsidRDefault="00000000" w:rsidP="009479AE">
            <w:pPr>
              <w:pStyle w:val="CETBodytext"/>
              <w:rPr>
                <w:lang w:val="en-GB"/>
              </w:rPr>
            </w:pPr>
            <m:oMath>
              <m:sSub>
                <m:sSubPr>
                  <m:ctrlPr>
                    <w:rPr>
                      <w:rFonts w:ascii="Cambria Math" w:hAnsi="Cambria Math"/>
                      <w:i/>
                      <w:lang w:val="en-GB"/>
                    </w:rPr>
                  </m:ctrlPr>
                </m:sSubPr>
                <m:e>
                  <m:acc>
                    <m:accPr>
                      <m:ctrlPr>
                        <w:rPr>
                          <w:rFonts w:ascii="Cambria Math" w:hAnsi="Cambria Math"/>
                          <w:i/>
                          <w:lang w:val="en-GB"/>
                        </w:rPr>
                      </m:ctrlPr>
                    </m:accPr>
                    <m:e>
                      <m:r>
                        <m:rPr>
                          <m:nor/>
                        </m:rPr>
                        <w:rPr>
                          <w:lang w:val="en-GB"/>
                        </w:rPr>
                        <m:t>FuCo</m:t>
                      </m:r>
                    </m:e>
                  </m:acc>
                </m:e>
                <m:sub>
                  <m:r>
                    <m:rPr>
                      <m:nor/>
                    </m:rPr>
                    <w:rPr>
                      <w:lang w:val="en-GB"/>
                    </w:rPr>
                    <m:t>p,t</m:t>
                  </m:r>
                </m:sub>
              </m:sSub>
            </m:oMath>
            <w:r w:rsidR="000E66BE" w:rsidRPr="00697D65">
              <w:rPr>
                <w:lang w:val="en-GB"/>
              </w:rPr>
              <w:t xml:space="preserve"> </w:t>
            </w:r>
            <w:r w:rsidR="00CB2E19" w:rsidRPr="00697D65">
              <w:rPr>
                <w:rFonts w:eastAsia="SimSun"/>
                <w:lang w:val="en-GB"/>
              </w:rPr>
              <w:t>–</w:t>
            </w:r>
            <w:r w:rsidR="000E66BE" w:rsidRPr="00697D65">
              <w:rPr>
                <w:lang w:val="en-GB"/>
              </w:rPr>
              <w:t xml:space="preserve"> Unit cost of fossil fuel</w:t>
            </w:r>
            <w:r w:rsidR="000A35A8" w:rsidRPr="00697D65">
              <w:rPr>
                <w:lang w:val="en-GB"/>
              </w:rPr>
              <w:t xml:space="preserve">, </w:t>
            </w:r>
            <w:r w:rsidR="000E66BE" w:rsidRPr="00697D65">
              <w:rPr>
                <w:lang w:val="en-GB"/>
              </w:rPr>
              <w:t>USD/</w:t>
            </w:r>
            <w:r w:rsidR="003F0C55" w:rsidRPr="00697D65">
              <w:rPr>
                <w:lang w:val="en-GB"/>
              </w:rPr>
              <w:t>fossil</w:t>
            </w:r>
            <w:r w:rsidR="000E66BE" w:rsidRPr="00697D65">
              <w:rPr>
                <w:lang w:val="en-GB"/>
              </w:rPr>
              <w:t xml:space="preserve"> fuel unit</w:t>
            </w:r>
          </w:p>
        </w:tc>
        <w:tc>
          <w:tcPr>
            <w:tcW w:w="4002" w:type="dxa"/>
            <w:vAlign w:val="center"/>
          </w:tcPr>
          <w:p w14:paraId="3B6F7FBC" w14:textId="3561903B" w:rsidR="000E66BE" w:rsidRPr="00697D65" w:rsidRDefault="000E66BE" w:rsidP="009479AE">
            <w:pPr>
              <w:pStyle w:val="CETBodytext"/>
              <w:rPr>
                <w:lang w:val="en-GB"/>
              </w:rPr>
            </w:pPr>
            <w:r w:rsidRPr="00697D65">
              <w:rPr>
                <w:lang w:val="en-GB"/>
              </w:rPr>
              <w:t xml:space="preserve">t,v </w:t>
            </w:r>
            <w:r w:rsidR="00CB2E19" w:rsidRPr="00697D65">
              <w:rPr>
                <w:rFonts w:eastAsia="SimSun"/>
                <w:lang w:val="en-GB"/>
              </w:rPr>
              <w:t>–</w:t>
            </w:r>
            <w:r w:rsidRPr="00697D65">
              <w:rPr>
                <w:lang w:val="en-GB"/>
              </w:rPr>
              <w:t xml:space="preserve"> Time period</w:t>
            </w:r>
            <w:r w:rsidR="000A35A8" w:rsidRPr="00697D65">
              <w:rPr>
                <w:lang w:val="en-GB"/>
              </w:rPr>
              <w:t xml:space="preserve">, </w:t>
            </w:r>
            <w:r w:rsidRPr="00697D65">
              <w:rPr>
                <w:lang w:val="en-GB"/>
              </w:rPr>
              <w:t>2024-2040</w:t>
            </w:r>
          </w:p>
        </w:tc>
      </w:tr>
      <w:tr w:rsidR="000E66BE" w:rsidRPr="00697D65" w14:paraId="371567B3" w14:textId="77777777" w:rsidTr="000E66BE">
        <w:tc>
          <w:tcPr>
            <w:tcW w:w="4785" w:type="dxa"/>
            <w:vAlign w:val="center"/>
          </w:tcPr>
          <w:p w14:paraId="48FA9A1D" w14:textId="6A763469" w:rsidR="000E66BE" w:rsidRPr="00697D65" w:rsidRDefault="00000000" w:rsidP="009479AE">
            <w:pPr>
              <w:pStyle w:val="CETBodytext"/>
              <w:rPr>
                <w:lang w:val="en-GB"/>
              </w:rPr>
            </w:pPr>
            <m:oMath>
              <m:sSub>
                <m:sSubPr>
                  <m:ctrlPr>
                    <w:rPr>
                      <w:rFonts w:ascii="Cambria Math" w:hAnsi="Cambria Math"/>
                      <w:i/>
                      <w:lang w:val="en-GB"/>
                    </w:rPr>
                  </m:ctrlPr>
                </m:sSubPr>
                <m:e>
                  <m:acc>
                    <m:accPr>
                      <m:ctrlPr>
                        <w:rPr>
                          <w:rFonts w:ascii="Cambria Math" w:hAnsi="Cambria Math"/>
                          <w:i/>
                          <w:lang w:val="en-GB"/>
                        </w:rPr>
                      </m:ctrlPr>
                    </m:accPr>
                    <m:e>
                      <m:r>
                        <m:rPr>
                          <m:nor/>
                        </m:rPr>
                        <w:rPr>
                          <w:lang w:val="en-GB"/>
                        </w:rPr>
                        <m:t>SellCo</m:t>
                      </m:r>
                    </m:e>
                  </m:acc>
                </m:e>
                <m:sub>
                  <m:r>
                    <m:rPr>
                      <m:nor/>
                    </m:rPr>
                    <w:rPr>
                      <w:lang w:val="en-GB"/>
                    </w:rPr>
                    <m:t>p,t</m:t>
                  </m:r>
                </m:sub>
              </m:sSub>
            </m:oMath>
            <w:r w:rsidR="00CB2E19" w:rsidRPr="00697D65">
              <w:rPr>
                <w:lang w:val="en-GB"/>
              </w:rPr>
              <w:t xml:space="preserve"> </w:t>
            </w:r>
            <w:r w:rsidR="00CB2E19" w:rsidRPr="00697D65">
              <w:rPr>
                <w:rFonts w:eastAsia="SimSun"/>
                <w:lang w:val="en-GB"/>
              </w:rPr>
              <w:t>–</w:t>
            </w:r>
            <w:r w:rsidR="000E66BE" w:rsidRPr="00697D65">
              <w:rPr>
                <w:lang w:val="en-GB"/>
              </w:rPr>
              <w:t xml:space="preserve"> Unit Price of electricity</w:t>
            </w:r>
            <w:r w:rsidR="000A35A8" w:rsidRPr="00697D65">
              <w:rPr>
                <w:lang w:val="en-GB"/>
              </w:rPr>
              <w:t xml:space="preserve">, </w:t>
            </w:r>
            <w:r w:rsidR="000E66BE" w:rsidRPr="00697D65">
              <w:rPr>
                <w:lang w:val="en-GB"/>
              </w:rPr>
              <w:t>USD/kW</w:t>
            </w:r>
          </w:p>
        </w:tc>
        <w:tc>
          <w:tcPr>
            <w:tcW w:w="4002" w:type="dxa"/>
            <w:vAlign w:val="center"/>
          </w:tcPr>
          <w:p w14:paraId="50F73768" w14:textId="2CC9ABD4" w:rsidR="000E66BE" w:rsidRPr="00697D65" w:rsidRDefault="000E66BE" w:rsidP="009479AE">
            <w:pPr>
              <w:pStyle w:val="CETBodytext"/>
              <w:rPr>
                <w:lang w:val="en-GB"/>
              </w:rPr>
            </w:pPr>
            <w:r w:rsidRPr="00697D65">
              <w:rPr>
                <w:lang w:val="en-GB"/>
              </w:rPr>
              <w:t>Tp</w:t>
            </w:r>
            <w:r w:rsidR="00CB2E19" w:rsidRPr="00697D65">
              <w:rPr>
                <w:lang w:val="en-GB"/>
              </w:rPr>
              <w:t xml:space="preserve"> </w:t>
            </w:r>
            <w:r w:rsidR="00CB2E19" w:rsidRPr="00697D65">
              <w:rPr>
                <w:rFonts w:eastAsia="SimSun"/>
                <w:lang w:val="en-GB"/>
              </w:rPr>
              <w:t>–</w:t>
            </w:r>
            <w:r w:rsidRPr="00697D65">
              <w:rPr>
                <w:lang w:val="en-GB"/>
              </w:rPr>
              <w:t xml:space="preserve"> construction time</w:t>
            </w:r>
            <w:r w:rsidR="000A35A8" w:rsidRPr="00697D65">
              <w:rPr>
                <w:lang w:val="en-GB"/>
              </w:rPr>
              <w:t>, -</w:t>
            </w:r>
          </w:p>
        </w:tc>
      </w:tr>
      <w:tr w:rsidR="000E66BE" w:rsidRPr="00697D65" w14:paraId="795150CB" w14:textId="77777777" w:rsidTr="000E66BE">
        <w:tc>
          <w:tcPr>
            <w:tcW w:w="4785" w:type="dxa"/>
            <w:vAlign w:val="center"/>
          </w:tcPr>
          <w:p w14:paraId="4B380C7A" w14:textId="5FD7B09D" w:rsidR="000E66BE" w:rsidRPr="00697D65" w:rsidRDefault="00000000" w:rsidP="009479AE">
            <w:pPr>
              <w:pStyle w:val="CETBodytext"/>
              <w:rPr>
                <w:lang w:val="en-GB"/>
              </w:rPr>
            </w:pPr>
            <m:oMath>
              <m:sSub>
                <m:sSubPr>
                  <m:ctrlPr>
                    <w:rPr>
                      <w:rFonts w:ascii="Cambria Math" w:hAnsi="Cambria Math"/>
                      <w:i/>
                      <w:lang w:val="en-GB"/>
                    </w:rPr>
                  </m:ctrlPr>
                </m:sSubPr>
                <m:e>
                  <m:acc>
                    <m:accPr>
                      <m:ctrlPr>
                        <w:rPr>
                          <w:rFonts w:ascii="Cambria Math" w:hAnsi="Cambria Math"/>
                          <w:i/>
                          <w:lang w:val="en-GB"/>
                        </w:rPr>
                      </m:ctrlPr>
                    </m:accPr>
                    <m:e>
                      <m:r>
                        <m:rPr>
                          <m:nor/>
                        </m:rPr>
                        <w:rPr>
                          <w:lang w:val="en-GB"/>
                        </w:rPr>
                        <m:t>Em</m:t>
                      </m:r>
                    </m:e>
                  </m:acc>
                </m:e>
                <m:sub>
                  <m:r>
                    <m:rPr>
                      <m:nor/>
                    </m:rPr>
                    <w:rPr>
                      <w:lang w:val="en-GB"/>
                    </w:rPr>
                    <m:t>p</m:t>
                  </m:r>
                </m:sub>
              </m:sSub>
            </m:oMath>
            <w:r w:rsidR="000E66BE" w:rsidRPr="00697D65">
              <w:rPr>
                <w:lang w:val="en-GB"/>
              </w:rPr>
              <w:t xml:space="preserve"> </w:t>
            </w:r>
            <w:r w:rsidR="00CB2E19" w:rsidRPr="00697D65">
              <w:rPr>
                <w:rFonts w:eastAsia="SimSun"/>
                <w:lang w:val="en-GB"/>
              </w:rPr>
              <w:t>–</w:t>
            </w:r>
            <w:r w:rsidR="000E66BE" w:rsidRPr="00697D65">
              <w:rPr>
                <w:lang w:val="en-GB"/>
              </w:rPr>
              <w:t xml:space="preserve"> CO</w:t>
            </w:r>
            <w:r w:rsidR="000E66BE" w:rsidRPr="00697D65">
              <w:rPr>
                <w:vertAlign w:val="subscript"/>
                <w:lang w:val="en-GB"/>
              </w:rPr>
              <w:t>2</w:t>
            </w:r>
            <w:r w:rsidR="000E66BE" w:rsidRPr="00697D65">
              <w:rPr>
                <w:lang w:val="en-GB"/>
              </w:rPr>
              <w:t xml:space="preserve"> emission factor</w:t>
            </w:r>
            <w:r w:rsidR="000A35A8" w:rsidRPr="00697D65">
              <w:rPr>
                <w:lang w:val="en-GB"/>
              </w:rPr>
              <w:t xml:space="preserve">, </w:t>
            </w:r>
            <w:r w:rsidR="000E66BE" w:rsidRPr="00697D65">
              <w:rPr>
                <w:lang w:val="en-GB"/>
              </w:rPr>
              <w:t>kgCO</w:t>
            </w:r>
            <w:r w:rsidR="000E66BE" w:rsidRPr="00697D65">
              <w:rPr>
                <w:vertAlign w:val="subscript"/>
                <w:lang w:val="en-GB"/>
              </w:rPr>
              <w:t>2</w:t>
            </w:r>
            <w:r w:rsidR="000E66BE" w:rsidRPr="00697D65">
              <w:rPr>
                <w:lang w:val="en-GB"/>
              </w:rPr>
              <w:t>/kWh</w:t>
            </w:r>
          </w:p>
        </w:tc>
        <w:tc>
          <w:tcPr>
            <w:tcW w:w="4002" w:type="dxa"/>
            <w:vAlign w:val="center"/>
          </w:tcPr>
          <w:p w14:paraId="404384FA" w14:textId="77777777" w:rsidR="000E66BE" w:rsidRPr="00697D65" w:rsidRDefault="000E66BE" w:rsidP="009479AE">
            <w:pPr>
              <w:pStyle w:val="CETBodytext"/>
              <w:rPr>
                <w:b/>
                <w:bCs/>
                <w:lang w:val="en-GB"/>
              </w:rPr>
            </w:pPr>
            <w:r w:rsidRPr="00697D65">
              <w:rPr>
                <w:b/>
                <w:bCs/>
                <w:lang w:val="en-GB"/>
              </w:rPr>
              <w:t>Decision variables</w:t>
            </w:r>
          </w:p>
        </w:tc>
      </w:tr>
      <w:tr w:rsidR="000E66BE" w:rsidRPr="00697D65" w14:paraId="4BFD5BC0" w14:textId="77777777" w:rsidTr="000E66BE">
        <w:tc>
          <w:tcPr>
            <w:tcW w:w="4785" w:type="dxa"/>
            <w:vAlign w:val="center"/>
          </w:tcPr>
          <w:p w14:paraId="3F95841E" w14:textId="2F3E9A37" w:rsidR="000E66BE" w:rsidRPr="00697D65" w:rsidRDefault="00000000" w:rsidP="009479AE">
            <w:pPr>
              <w:pStyle w:val="CETBodytext"/>
              <w:rPr>
                <w:lang w:val="en-GB"/>
              </w:rPr>
            </w:pPr>
            <m:oMath>
              <m:sSub>
                <m:sSubPr>
                  <m:ctrlPr>
                    <w:rPr>
                      <w:rFonts w:ascii="Cambria Math" w:hAnsi="Cambria Math"/>
                      <w:i/>
                      <w:lang w:val="en-GB"/>
                    </w:rPr>
                  </m:ctrlPr>
                </m:sSubPr>
                <m:e>
                  <m:acc>
                    <m:accPr>
                      <m:ctrlPr>
                        <w:rPr>
                          <w:rFonts w:ascii="Cambria Math" w:hAnsi="Cambria Math"/>
                          <w:i/>
                          <w:lang w:val="en-GB"/>
                        </w:rPr>
                      </m:ctrlPr>
                    </m:accPr>
                    <m:e>
                      <m:r>
                        <m:rPr>
                          <m:nor/>
                        </m:rPr>
                        <w:rPr>
                          <w:lang w:val="en-GB"/>
                        </w:rPr>
                        <m:t>DE</m:t>
                      </m:r>
                    </m:e>
                  </m:acc>
                </m:e>
                <m:sub>
                  <m:r>
                    <m:rPr>
                      <m:nor/>
                    </m:rPr>
                    <w:rPr>
                      <w:lang w:val="en-GB"/>
                    </w:rPr>
                    <m:t>t</m:t>
                  </m:r>
                </m:sub>
              </m:sSub>
            </m:oMath>
            <w:r w:rsidR="000E66BE" w:rsidRPr="00697D65">
              <w:rPr>
                <w:lang w:val="en-GB"/>
              </w:rPr>
              <w:t xml:space="preserve"> </w:t>
            </w:r>
            <w:r w:rsidR="00CB2E19" w:rsidRPr="00697D65">
              <w:rPr>
                <w:rFonts w:eastAsia="SimSun"/>
                <w:lang w:val="en-GB"/>
              </w:rPr>
              <w:t>–</w:t>
            </w:r>
            <w:r w:rsidR="000E66BE" w:rsidRPr="00697D65">
              <w:rPr>
                <w:lang w:val="en-GB"/>
              </w:rPr>
              <w:t xml:space="preserve"> Energy demand</w:t>
            </w:r>
            <w:r w:rsidR="000A35A8" w:rsidRPr="00697D65">
              <w:rPr>
                <w:lang w:val="en-GB"/>
              </w:rPr>
              <w:t xml:space="preserve">, </w:t>
            </w:r>
            <w:r w:rsidR="000E66BE" w:rsidRPr="00697D65">
              <w:rPr>
                <w:lang w:val="en-GB"/>
              </w:rPr>
              <w:t>kWh</w:t>
            </w:r>
          </w:p>
        </w:tc>
        <w:tc>
          <w:tcPr>
            <w:tcW w:w="4002" w:type="dxa"/>
            <w:vAlign w:val="center"/>
          </w:tcPr>
          <w:p w14:paraId="65FA3CDA" w14:textId="2016495C" w:rsidR="000E66BE" w:rsidRPr="00697D65" w:rsidRDefault="00000000" w:rsidP="009479AE">
            <w:pPr>
              <w:pStyle w:val="CETBodytext"/>
              <w:rPr>
                <w:lang w:val="en-GB"/>
              </w:rPr>
            </w:pPr>
            <m:oMath>
              <m:sSub>
                <m:sSubPr>
                  <m:ctrlPr>
                    <w:rPr>
                      <w:rFonts w:ascii="Cambria Math" w:hAnsi="Cambria Math"/>
                      <w:i/>
                      <w:lang w:val="en-GB"/>
                    </w:rPr>
                  </m:ctrlPr>
                </m:sSubPr>
                <m:e>
                  <m:r>
                    <m:rPr>
                      <m:nor/>
                    </m:rPr>
                    <w:rPr>
                      <w:lang w:val="en-GB"/>
                    </w:rPr>
                    <m:t>CaA</m:t>
                  </m:r>
                </m:e>
                <m:sub>
                  <m:r>
                    <m:rPr>
                      <m:nor/>
                    </m:rPr>
                    <w:rPr>
                      <w:lang w:val="en-GB"/>
                    </w:rPr>
                    <m:t>p,t</m:t>
                  </m:r>
                </m:sub>
              </m:sSub>
            </m:oMath>
            <w:r w:rsidR="000E66BE" w:rsidRPr="00697D65">
              <w:rPr>
                <w:lang w:val="en-GB"/>
              </w:rPr>
              <w:t xml:space="preserve"> </w:t>
            </w:r>
            <w:r w:rsidR="00CB2E19" w:rsidRPr="00697D65">
              <w:rPr>
                <w:rFonts w:eastAsia="SimSun"/>
                <w:lang w:val="en-GB"/>
              </w:rPr>
              <w:t>–</w:t>
            </w:r>
            <w:r w:rsidR="000E66BE" w:rsidRPr="00697D65">
              <w:rPr>
                <w:lang w:val="en-GB"/>
              </w:rPr>
              <w:t xml:space="preserve"> Capacity to be added</w:t>
            </w:r>
            <w:r w:rsidR="000A35A8" w:rsidRPr="00697D65">
              <w:rPr>
                <w:lang w:val="en-GB"/>
              </w:rPr>
              <w:t xml:space="preserve">, </w:t>
            </w:r>
            <w:r w:rsidR="000E66BE" w:rsidRPr="00697D65">
              <w:rPr>
                <w:lang w:val="en-GB"/>
              </w:rPr>
              <w:t>kW</w:t>
            </w:r>
          </w:p>
        </w:tc>
      </w:tr>
      <w:tr w:rsidR="000E66BE" w:rsidRPr="00697D65" w14:paraId="477AA5C5" w14:textId="77777777" w:rsidTr="000E66BE">
        <w:tc>
          <w:tcPr>
            <w:tcW w:w="4785" w:type="dxa"/>
            <w:vAlign w:val="center"/>
          </w:tcPr>
          <w:p w14:paraId="51B5A572" w14:textId="4B02329C" w:rsidR="000E66BE" w:rsidRPr="00697D65" w:rsidRDefault="000E66BE" w:rsidP="009479AE">
            <w:pPr>
              <w:pStyle w:val="CETBodytext"/>
              <w:rPr>
                <w:lang w:val="en-GB"/>
              </w:rPr>
            </w:pPr>
            <m:oMath>
              <m:r>
                <m:rPr>
                  <m:nor/>
                </m:rPr>
                <w:rPr>
                  <w:lang w:val="en-GB"/>
                </w:rPr>
                <m:t>ρ</m:t>
              </m:r>
            </m:oMath>
            <w:r w:rsidRPr="00697D65">
              <w:rPr>
                <w:lang w:val="en-GB"/>
              </w:rPr>
              <w:t xml:space="preserve"> </w:t>
            </w:r>
            <w:r w:rsidR="00CB2E19" w:rsidRPr="00697D65">
              <w:rPr>
                <w:rFonts w:eastAsia="SimSun"/>
                <w:lang w:val="en-GB"/>
              </w:rPr>
              <w:t>–</w:t>
            </w:r>
            <w:r w:rsidRPr="00697D65">
              <w:rPr>
                <w:lang w:val="en-GB"/>
              </w:rPr>
              <w:t xml:space="preserve"> Reserve margin</w:t>
            </w:r>
            <w:r w:rsidR="000A35A8" w:rsidRPr="00697D65">
              <w:rPr>
                <w:lang w:val="en-GB"/>
              </w:rPr>
              <w:t xml:space="preserve">, </w:t>
            </w:r>
            <w:r w:rsidRPr="00697D65">
              <w:rPr>
                <w:lang w:val="en-GB"/>
              </w:rPr>
              <w:t>kW</w:t>
            </w:r>
          </w:p>
        </w:tc>
        <w:tc>
          <w:tcPr>
            <w:tcW w:w="4002" w:type="dxa"/>
            <w:vAlign w:val="center"/>
          </w:tcPr>
          <w:p w14:paraId="4098F84E" w14:textId="5E9AAE64" w:rsidR="000E66BE" w:rsidRPr="00697D65" w:rsidRDefault="00000000" w:rsidP="009479AE">
            <w:pPr>
              <w:pStyle w:val="CETBodytext"/>
              <w:rPr>
                <w:lang w:val="en-GB"/>
              </w:rPr>
            </w:pPr>
            <m:oMath>
              <m:sSub>
                <m:sSubPr>
                  <m:ctrlPr>
                    <w:rPr>
                      <w:rFonts w:ascii="Cambria Math" w:hAnsi="Cambria Math"/>
                      <w:i/>
                      <w:lang w:val="en-GB"/>
                    </w:rPr>
                  </m:ctrlPr>
                </m:sSubPr>
                <m:e>
                  <m:r>
                    <m:rPr>
                      <m:nor/>
                    </m:rPr>
                    <w:rPr>
                      <w:lang w:val="en-GB"/>
                    </w:rPr>
                    <m:t>CaT</m:t>
                  </m:r>
                </m:e>
                <m:sub>
                  <m:r>
                    <m:rPr>
                      <m:nor/>
                    </m:rPr>
                    <w:rPr>
                      <w:lang w:val="en-GB"/>
                    </w:rPr>
                    <m:t>p,t</m:t>
                  </m:r>
                </m:sub>
              </m:sSub>
            </m:oMath>
            <w:r w:rsidR="000E66BE" w:rsidRPr="00697D65">
              <w:rPr>
                <w:lang w:val="en-GB"/>
              </w:rPr>
              <w:t xml:space="preserve"> </w:t>
            </w:r>
            <w:r w:rsidR="00CB2E19" w:rsidRPr="00697D65">
              <w:rPr>
                <w:rFonts w:eastAsia="SimSun"/>
                <w:lang w:val="en-GB"/>
              </w:rPr>
              <w:t>–</w:t>
            </w:r>
            <w:r w:rsidR="000E66BE" w:rsidRPr="00697D65">
              <w:rPr>
                <w:lang w:val="en-GB"/>
              </w:rPr>
              <w:t xml:space="preserve"> Total available capacity</w:t>
            </w:r>
            <w:r w:rsidR="000A35A8" w:rsidRPr="00697D65">
              <w:rPr>
                <w:lang w:val="en-GB"/>
              </w:rPr>
              <w:t xml:space="preserve">, </w:t>
            </w:r>
            <w:r w:rsidR="000E66BE" w:rsidRPr="00697D65">
              <w:rPr>
                <w:lang w:val="en-GB"/>
              </w:rPr>
              <w:t>kW</w:t>
            </w:r>
          </w:p>
        </w:tc>
      </w:tr>
      <w:tr w:rsidR="000E66BE" w:rsidRPr="00697D65" w14:paraId="6FAB9836" w14:textId="77777777" w:rsidTr="000E66BE">
        <w:tc>
          <w:tcPr>
            <w:tcW w:w="4785" w:type="dxa"/>
            <w:vAlign w:val="center"/>
          </w:tcPr>
          <w:p w14:paraId="473663D0" w14:textId="360FD516" w:rsidR="000E66BE" w:rsidRPr="00697D65" w:rsidRDefault="00000000" w:rsidP="009479AE">
            <w:pPr>
              <w:pStyle w:val="CETBodytext"/>
              <w:rPr>
                <w:lang w:val="en-GB"/>
              </w:rPr>
            </w:pPr>
            <m:oMath>
              <m:sSub>
                <m:sSubPr>
                  <m:ctrlPr>
                    <w:rPr>
                      <w:rFonts w:ascii="Cambria Math" w:hAnsi="Cambria Math"/>
                      <w:i/>
                      <w:lang w:val="en-GB"/>
                    </w:rPr>
                  </m:ctrlPr>
                </m:sSubPr>
                <m:e>
                  <m:acc>
                    <m:accPr>
                      <m:ctrlPr>
                        <w:rPr>
                          <w:rFonts w:ascii="Cambria Math" w:hAnsi="Cambria Math"/>
                          <w:i/>
                          <w:lang w:val="en-GB"/>
                        </w:rPr>
                      </m:ctrlPr>
                    </m:accPr>
                    <m:e>
                      <m:r>
                        <m:rPr>
                          <m:nor/>
                        </m:rPr>
                        <w:rPr>
                          <w:lang w:val="en-GB"/>
                        </w:rPr>
                        <m:t>DP</m:t>
                      </m:r>
                    </m:e>
                  </m:acc>
                </m:e>
                <m:sub>
                  <m:r>
                    <m:rPr>
                      <m:nor/>
                    </m:rPr>
                    <w:rPr>
                      <w:lang w:val="en-GB"/>
                    </w:rPr>
                    <m:t>t</m:t>
                  </m:r>
                </m:sub>
              </m:sSub>
            </m:oMath>
            <w:r w:rsidR="000E66BE" w:rsidRPr="00697D65">
              <w:rPr>
                <w:lang w:val="en-GB"/>
              </w:rPr>
              <w:t xml:space="preserve"> </w:t>
            </w:r>
            <w:r w:rsidR="00CB2E19" w:rsidRPr="00697D65">
              <w:rPr>
                <w:rFonts w:eastAsia="SimSun"/>
                <w:lang w:val="en-GB"/>
              </w:rPr>
              <w:t>–</w:t>
            </w:r>
            <w:r w:rsidR="000E66BE" w:rsidRPr="00697D65">
              <w:rPr>
                <w:lang w:val="en-GB"/>
              </w:rPr>
              <w:t xml:space="preserve"> Peak demand</w:t>
            </w:r>
            <w:r w:rsidR="000A35A8" w:rsidRPr="00697D65">
              <w:rPr>
                <w:lang w:val="en-GB"/>
              </w:rPr>
              <w:t xml:space="preserve">, </w:t>
            </w:r>
            <w:r w:rsidR="000E66BE" w:rsidRPr="00697D65">
              <w:rPr>
                <w:lang w:val="en-GB"/>
              </w:rPr>
              <w:t>kW</w:t>
            </w:r>
          </w:p>
        </w:tc>
        <w:tc>
          <w:tcPr>
            <w:tcW w:w="4002" w:type="dxa"/>
            <w:vAlign w:val="center"/>
          </w:tcPr>
          <w:p w14:paraId="0C9FF5F6" w14:textId="3F4E2E45" w:rsidR="000E66BE" w:rsidRPr="00697D65" w:rsidRDefault="00000000" w:rsidP="009479AE">
            <w:pPr>
              <w:pStyle w:val="CETBodytext"/>
              <w:rPr>
                <w:lang w:val="en-GB"/>
              </w:rPr>
            </w:pPr>
            <m:oMath>
              <m:sSub>
                <m:sSubPr>
                  <m:ctrlPr>
                    <w:rPr>
                      <w:rFonts w:ascii="Cambria Math" w:hAnsi="Cambria Math"/>
                      <w:i/>
                      <w:lang w:val="en-GB"/>
                    </w:rPr>
                  </m:ctrlPr>
                </m:sSubPr>
                <m:e>
                  <m:r>
                    <m:rPr>
                      <m:nor/>
                    </m:rPr>
                    <w:rPr>
                      <w:lang w:val="en-GB"/>
                    </w:rPr>
                    <m:t>EnG</m:t>
                  </m:r>
                </m:e>
                <m:sub>
                  <m:r>
                    <m:rPr>
                      <m:nor/>
                    </m:rPr>
                    <w:rPr>
                      <w:lang w:val="en-GB"/>
                    </w:rPr>
                    <m:t>p,t</m:t>
                  </m:r>
                </m:sub>
              </m:sSub>
            </m:oMath>
            <w:r w:rsidR="000E66BE" w:rsidRPr="00697D65">
              <w:rPr>
                <w:lang w:val="en-GB"/>
              </w:rPr>
              <w:t xml:space="preserve"> </w:t>
            </w:r>
            <w:r w:rsidR="00CB2E19" w:rsidRPr="00697D65">
              <w:rPr>
                <w:rFonts w:eastAsia="SimSun"/>
                <w:lang w:val="en-GB"/>
              </w:rPr>
              <w:t>–</w:t>
            </w:r>
            <w:r w:rsidR="000E66BE" w:rsidRPr="00697D65">
              <w:rPr>
                <w:lang w:val="en-GB"/>
              </w:rPr>
              <w:t xml:space="preserve"> Energy generated</w:t>
            </w:r>
            <w:r w:rsidR="000A35A8" w:rsidRPr="00697D65">
              <w:rPr>
                <w:lang w:val="en-GB"/>
              </w:rPr>
              <w:t xml:space="preserve">, </w:t>
            </w:r>
            <w:r w:rsidR="000E66BE" w:rsidRPr="00697D65">
              <w:rPr>
                <w:lang w:val="en-GB"/>
              </w:rPr>
              <w:t>kWh</w:t>
            </w:r>
          </w:p>
        </w:tc>
      </w:tr>
      <w:tr w:rsidR="000E66BE" w:rsidRPr="00697D65" w14:paraId="7BD955EC" w14:textId="77777777" w:rsidTr="000E66BE">
        <w:tc>
          <w:tcPr>
            <w:tcW w:w="4785" w:type="dxa"/>
            <w:vAlign w:val="center"/>
          </w:tcPr>
          <w:p w14:paraId="24FB3226" w14:textId="297B7926" w:rsidR="000E66BE" w:rsidRPr="00697D65" w:rsidRDefault="00000000" w:rsidP="009479AE">
            <w:pPr>
              <w:pStyle w:val="CETBodytext"/>
              <w:rPr>
                <w:lang w:val="en-GB"/>
              </w:rPr>
            </w:pPr>
            <m:oMath>
              <m:sSub>
                <m:sSubPr>
                  <m:ctrlPr>
                    <w:rPr>
                      <w:rFonts w:ascii="Cambria Math" w:hAnsi="Cambria Math"/>
                      <w:i/>
                      <w:lang w:val="en-GB"/>
                    </w:rPr>
                  </m:ctrlPr>
                </m:sSubPr>
                <m:e>
                  <m:r>
                    <m:rPr>
                      <m:nor/>
                    </m:rPr>
                    <w:rPr>
                      <w:lang w:val="en-GB"/>
                    </w:rPr>
                    <m:t>A</m:t>
                  </m:r>
                </m:e>
                <m:sub>
                  <m:r>
                    <m:rPr>
                      <m:nor/>
                    </m:rPr>
                    <w:rPr>
                      <w:lang w:val="en-GB"/>
                    </w:rPr>
                    <m:t>p</m:t>
                  </m:r>
                </m:sub>
              </m:sSub>
            </m:oMath>
            <w:r w:rsidR="000E66BE" w:rsidRPr="00697D65">
              <w:rPr>
                <w:lang w:val="en-GB"/>
              </w:rPr>
              <w:t xml:space="preserve"> </w:t>
            </w:r>
            <w:r w:rsidR="00CB2E19" w:rsidRPr="00697D65">
              <w:rPr>
                <w:rFonts w:eastAsia="SimSun"/>
                <w:lang w:val="en-GB"/>
              </w:rPr>
              <w:t>–</w:t>
            </w:r>
            <w:r w:rsidR="000E66BE" w:rsidRPr="00697D65">
              <w:rPr>
                <w:lang w:val="en-GB"/>
              </w:rPr>
              <w:t xml:space="preserve"> Availability factor</w:t>
            </w:r>
            <w:r w:rsidR="000A35A8" w:rsidRPr="00697D65">
              <w:rPr>
                <w:lang w:val="en-GB"/>
              </w:rPr>
              <w:t>, -</w:t>
            </w:r>
          </w:p>
        </w:tc>
        <w:tc>
          <w:tcPr>
            <w:tcW w:w="4002" w:type="dxa"/>
            <w:vAlign w:val="center"/>
          </w:tcPr>
          <w:p w14:paraId="53BFB03F" w14:textId="3B04EA62" w:rsidR="000E66BE" w:rsidRPr="00697D65" w:rsidRDefault="00000000" w:rsidP="009479AE">
            <w:pPr>
              <w:pStyle w:val="CETBodytext"/>
              <w:rPr>
                <w:lang w:val="en-GB"/>
              </w:rPr>
            </w:pPr>
            <m:oMath>
              <m:sSub>
                <m:sSubPr>
                  <m:ctrlPr>
                    <w:rPr>
                      <w:rFonts w:ascii="Cambria Math" w:hAnsi="Cambria Math"/>
                      <w:i/>
                      <w:lang w:val="en-GB"/>
                    </w:rPr>
                  </m:ctrlPr>
                </m:sSubPr>
                <m:e>
                  <m:r>
                    <m:rPr>
                      <m:nor/>
                    </m:rPr>
                    <w:rPr>
                      <w:lang w:val="en-GB"/>
                    </w:rPr>
                    <m:t>FuR</m:t>
                  </m:r>
                </m:e>
                <m:sub>
                  <m:r>
                    <m:rPr>
                      <m:nor/>
                    </m:rPr>
                    <w:rPr>
                      <w:lang w:val="en-GB"/>
                    </w:rPr>
                    <m:t>p,t</m:t>
                  </m:r>
                </m:sub>
              </m:sSub>
            </m:oMath>
            <w:r w:rsidR="000E66BE" w:rsidRPr="00697D65">
              <w:rPr>
                <w:lang w:val="en-GB"/>
              </w:rPr>
              <w:t xml:space="preserve"> </w:t>
            </w:r>
            <w:r w:rsidR="00CB2E19" w:rsidRPr="00697D65">
              <w:rPr>
                <w:rFonts w:eastAsia="SimSun"/>
                <w:lang w:val="en-GB"/>
              </w:rPr>
              <w:t>–</w:t>
            </w:r>
            <w:r w:rsidR="000E66BE" w:rsidRPr="00697D65">
              <w:rPr>
                <w:lang w:val="en-GB"/>
              </w:rPr>
              <w:t xml:space="preserve"> fossil fuel unit</w:t>
            </w:r>
            <w:r w:rsidR="000A35A8" w:rsidRPr="00697D65">
              <w:rPr>
                <w:lang w:val="en-GB"/>
              </w:rPr>
              <w:t>, -</w:t>
            </w:r>
          </w:p>
        </w:tc>
      </w:tr>
      <w:tr w:rsidR="000E66BE" w:rsidRPr="00697D65" w14:paraId="43D34AB5" w14:textId="77777777" w:rsidTr="000E66BE">
        <w:tc>
          <w:tcPr>
            <w:tcW w:w="4785" w:type="dxa"/>
            <w:vAlign w:val="center"/>
          </w:tcPr>
          <w:p w14:paraId="5BC2344C" w14:textId="036EA09D" w:rsidR="000E66BE" w:rsidRPr="00697D65" w:rsidRDefault="00000000" w:rsidP="009479AE">
            <w:pPr>
              <w:pStyle w:val="CETBodytext"/>
              <w:rPr>
                <w:lang w:val="en-GB"/>
              </w:rPr>
            </w:pPr>
            <m:oMath>
              <m:sSub>
                <m:sSubPr>
                  <m:ctrlPr>
                    <w:rPr>
                      <w:rFonts w:ascii="Cambria Math" w:hAnsi="Cambria Math"/>
                      <w:i/>
                      <w:lang w:val="en-GB"/>
                    </w:rPr>
                  </m:ctrlPr>
                </m:sSubPr>
                <m:e>
                  <m:r>
                    <m:rPr>
                      <m:nor/>
                    </m:rPr>
                    <w:rPr>
                      <w:lang w:val="en-GB"/>
                    </w:rPr>
                    <m:t>DB</m:t>
                  </m:r>
                </m:e>
                <m:sub>
                  <m:r>
                    <m:rPr>
                      <m:nor/>
                    </m:rPr>
                    <w:rPr>
                      <w:lang w:val="en-GB"/>
                    </w:rPr>
                    <m:t>t</m:t>
                  </m:r>
                </m:sub>
              </m:sSub>
            </m:oMath>
            <w:r w:rsidR="000E66BE" w:rsidRPr="00697D65">
              <w:rPr>
                <w:lang w:val="en-GB"/>
              </w:rPr>
              <w:t xml:space="preserve"> </w:t>
            </w:r>
            <w:r w:rsidR="00CB2E19" w:rsidRPr="00697D65">
              <w:rPr>
                <w:rFonts w:eastAsia="SimSun"/>
                <w:lang w:val="en-GB"/>
              </w:rPr>
              <w:t>–</w:t>
            </w:r>
            <w:r w:rsidR="000E66BE" w:rsidRPr="00697D65">
              <w:rPr>
                <w:lang w:val="en-GB"/>
              </w:rPr>
              <w:t xml:space="preserve"> Block duration</w:t>
            </w:r>
            <w:r w:rsidR="000A35A8" w:rsidRPr="00697D65">
              <w:rPr>
                <w:lang w:val="en-GB"/>
              </w:rPr>
              <w:t>, -</w:t>
            </w:r>
          </w:p>
        </w:tc>
        <w:tc>
          <w:tcPr>
            <w:tcW w:w="4002" w:type="dxa"/>
            <w:vAlign w:val="center"/>
          </w:tcPr>
          <w:p w14:paraId="445D214C" w14:textId="3613270C" w:rsidR="000E66BE" w:rsidRPr="00697D65" w:rsidRDefault="00000000" w:rsidP="009479AE">
            <w:pPr>
              <w:pStyle w:val="CETBodytext"/>
              <w:rPr>
                <w:lang w:val="en-GB"/>
              </w:rPr>
            </w:pPr>
            <m:oMath>
              <m:sSub>
                <m:sSubPr>
                  <m:ctrlPr>
                    <w:rPr>
                      <w:rFonts w:ascii="Cambria Math" w:hAnsi="Cambria Math"/>
                      <w:i/>
                      <w:lang w:val="en-GB"/>
                    </w:rPr>
                  </m:ctrlPr>
                </m:sSubPr>
                <m:e>
                  <m:r>
                    <m:rPr>
                      <m:nor/>
                    </m:rPr>
                    <w:rPr>
                      <w:lang w:val="en-GB"/>
                    </w:rPr>
                    <m:t>EnVe</m:t>
                  </m:r>
                </m:e>
                <m:sub>
                  <m:r>
                    <m:rPr>
                      <m:nor/>
                    </m:rPr>
                    <w:rPr>
                      <w:lang w:val="en-GB"/>
                    </w:rPr>
                    <m:t>p,t</m:t>
                  </m:r>
                </m:sub>
              </m:sSub>
            </m:oMath>
            <w:r w:rsidR="000E66BE" w:rsidRPr="00697D65">
              <w:rPr>
                <w:lang w:val="en-GB"/>
              </w:rPr>
              <w:t xml:space="preserve"> </w:t>
            </w:r>
            <w:r w:rsidR="00CB2E19" w:rsidRPr="00697D65">
              <w:rPr>
                <w:rFonts w:eastAsia="SimSun"/>
                <w:lang w:val="en-GB"/>
              </w:rPr>
              <w:t>–</w:t>
            </w:r>
            <w:r w:rsidR="000E66BE" w:rsidRPr="00697D65">
              <w:rPr>
                <w:lang w:val="en-GB"/>
              </w:rPr>
              <w:t xml:space="preserve"> Surplus energy sold</w:t>
            </w:r>
            <w:r w:rsidR="000A35A8" w:rsidRPr="00697D65">
              <w:rPr>
                <w:lang w:val="en-GB"/>
              </w:rPr>
              <w:t xml:space="preserve">, </w:t>
            </w:r>
            <w:r w:rsidR="000E66BE" w:rsidRPr="00697D65">
              <w:rPr>
                <w:lang w:val="en-GB"/>
              </w:rPr>
              <w:t>kWh</w:t>
            </w:r>
          </w:p>
        </w:tc>
      </w:tr>
      <w:tr w:rsidR="000E66BE" w:rsidRPr="00697D65" w14:paraId="0B7033DA" w14:textId="77777777" w:rsidTr="000E66BE">
        <w:tc>
          <w:tcPr>
            <w:tcW w:w="4785" w:type="dxa"/>
            <w:vAlign w:val="center"/>
          </w:tcPr>
          <w:p w14:paraId="1BE5E363" w14:textId="7543C3DE" w:rsidR="000E66BE" w:rsidRPr="00697D65" w:rsidRDefault="00000000" w:rsidP="009479AE">
            <w:pPr>
              <w:pStyle w:val="CETBodytext"/>
              <w:rPr>
                <w:lang w:val="en-GB"/>
              </w:rPr>
            </w:pPr>
            <m:oMath>
              <m:sSub>
                <m:sSubPr>
                  <m:ctrlPr>
                    <w:rPr>
                      <w:rFonts w:ascii="Cambria Math" w:hAnsi="Cambria Math"/>
                      <w:i/>
                      <w:lang w:val="en-GB"/>
                    </w:rPr>
                  </m:ctrlPr>
                </m:sSubPr>
                <m:e>
                  <m:r>
                    <m:rPr>
                      <m:nor/>
                    </m:rPr>
                    <w:rPr>
                      <w:lang w:val="en-GB"/>
                    </w:rPr>
                    <m:t>F</m:t>
                  </m:r>
                </m:e>
                <m:sub>
                  <m:r>
                    <m:rPr>
                      <m:nor/>
                    </m:rPr>
                    <w:rPr>
                      <w:lang w:val="en-GB"/>
                    </w:rPr>
                    <m:t>p</m:t>
                  </m:r>
                </m:sub>
              </m:sSub>
            </m:oMath>
            <w:r w:rsidR="000E66BE" w:rsidRPr="00697D65">
              <w:rPr>
                <w:lang w:val="en-GB"/>
              </w:rPr>
              <w:t xml:space="preserve"> </w:t>
            </w:r>
            <w:r w:rsidR="00CB2E19" w:rsidRPr="00697D65">
              <w:rPr>
                <w:rFonts w:eastAsia="SimSun"/>
                <w:lang w:val="en-GB"/>
              </w:rPr>
              <w:t>–</w:t>
            </w:r>
            <w:r w:rsidR="000E66BE" w:rsidRPr="00697D65">
              <w:rPr>
                <w:lang w:val="en-GB"/>
              </w:rPr>
              <w:t xml:space="preserve"> Capacity factor</w:t>
            </w:r>
            <w:r w:rsidR="000A35A8" w:rsidRPr="00697D65">
              <w:rPr>
                <w:lang w:val="en-GB"/>
              </w:rPr>
              <w:t>, -</w:t>
            </w:r>
          </w:p>
        </w:tc>
        <w:tc>
          <w:tcPr>
            <w:tcW w:w="4002" w:type="dxa"/>
            <w:vAlign w:val="center"/>
          </w:tcPr>
          <w:p w14:paraId="5D511A70" w14:textId="7B2BBB3E" w:rsidR="000E66BE" w:rsidRPr="00697D65" w:rsidRDefault="00000000" w:rsidP="009479AE">
            <w:pPr>
              <w:pStyle w:val="CETBodytext"/>
              <w:rPr>
                <w:lang w:val="en-GB"/>
              </w:rPr>
            </w:pPr>
            <m:oMath>
              <m:sSub>
                <m:sSubPr>
                  <m:ctrlPr>
                    <w:rPr>
                      <w:rFonts w:ascii="Cambria Math" w:hAnsi="Cambria Math"/>
                      <w:i/>
                      <w:lang w:val="en-GB"/>
                    </w:rPr>
                  </m:ctrlPr>
                </m:sSubPr>
                <m:e>
                  <m:r>
                    <m:rPr>
                      <m:nor/>
                    </m:rPr>
                    <w:rPr>
                      <w:lang w:val="en-GB"/>
                    </w:rPr>
                    <m:t>PoG</m:t>
                  </m:r>
                </m:e>
                <m:sub>
                  <m:r>
                    <m:rPr>
                      <m:nor/>
                    </m:rPr>
                    <w:rPr>
                      <w:lang w:val="en-GB"/>
                    </w:rPr>
                    <m:t>p,t</m:t>
                  </m:r>
                </m:sub>
              </m:sSub>
            </m:oMath>
            <w:r w:rsidR="000E66BE" w:rsidRPr="00697D65">
              <w:rPr>
                <w:lang w:val="en-GB"/>
              </w:rPr>
              <w:t xml:space="preserve"> </w:t>
            </w:r>
            <w:r w:rsidR="00CB2E19" w:rsidRPr="00697D65">
              <w:rPr>
                <w:rFonts w:eastAsia="SimSun"/>
                <w:lang w:val="en-GB"/>
              </w:rPr>
              <w:t>–</w:t>
            </w:r>
            <w:r w:rsidR="000E66BE" w:rsidRPr="00697D65">
              <w:rPr>
                <w:lang w:val="en-GB"/>
              </w:rPr>
              <w:t xml:space="preserve"> Power generated</w:t>
            </w:r>
            <w:r w:rsidR="000A35A8" w:rsidRPr="00697D65">
              <w:rPr>
                <w:lang w:val="en-GB"/>
              </w:rPr>
              <w:t xml:space="preserve">, </w:t>
            </w:r>
            <w:r w:rsidR="000E66BE" w:rsidRPr="00697D65">
              <w:rPr>
                <w:lang w:val="en-GB"/>
              </w:rPr>
              <w:t>kW</w:t>
            </w:r>
          </w:p>
        </w:tc>
      </w:tr>
      <w:tr w:rsidR="000E66BE" w:rsidRPr="00697D65" w14:paraId="41470EFE" w14:textId="77777777" w:rsidTr="000E66BE">
        <w:tc>
          <w:tcPr>
            <w:tcW w:w="4785" w:type="dxa"/>
            <w:vAlign w:val="center"/>
          </w:tcPr>
          <w:p w14:paraId="6A81DAA8" w14:textId="0E99DA18" w:rsidR="000E66BE" w:rsidRPr="00697D65" w:rsidRDefault="00000000" w:rsidP="009479AE">
            <w:pPr>
              <w:pStyle w:val="CETBodytext"/>
              <w:rPr>
                <w:lang w:val="en-GB"/>
              </w:rPr>
            </w:pPr>
            <m:oMath>
              <m:sSub>
                <m:sSubPr>
                  <m:ctrlPr>
                    <w:rPr>
                      <w:rFonts w:ascii="Cambria Math" w:hAnsi="Cambria Math"/>
                      <w:i/>
                      <w:lang w:val="en-GB"/>
                    </w:rPr>
                  </m:ctrlPr>
                </m:sSubPr>
                <m:e>
                  <m:acc>
                    <m:accPr>
                      <m:ctrlPr>
                        <w:rPr>
                          <w:rFonts w:ascii="Cambria Math" w:hAnsi="Cambria Math"/>
                          <w:i/>
                          <w:lang w:val="en-GB"/>
                        </w:rPr>
                      </m:ctrlPr>
                    </m:accPr>
                    <m:e>
                      <m:r>
                        <m:rPr>
                          <m:nor/>
                        </m:rPr>
                        <w:rPr>
                          <w:lang w:val="en-GB"/>
                        </w:rPr>
                        <m:t>Camin</m:t>
                      </m:r>
                    </m:e>
                  </m:acc>
                </m:e>
                <m:sub>
                  <m:r>
                    <m:rPr>
                      <m:nor/>
                    </m:rPr>
                    <w:rPr>
                      <w:lang w:val="en-GB"/>
                    </w:rPr>
                    <m:t>p</m:t>
                  </m:r>
                </m:sub>
              </m:sSub>
            </m:oMath>
            <w:r w:rsidR="000E66BE" w:rsidRPr="00697D65">
              <w:rPr>
                <w:lang w:val="en-GB"/>
              </w:rPr>
              <w:t xml:space="preserve"> </w:t>
            </w:r>
            <w:r w:rsidR="00CB2E19" w:rsidRPr="00697D65">
              <w:rPr>
                <w:rFonts w:eastAsia="SimSun"/>
                <w:lang w:val="en-GB"/>
              </w:rPr>
              <w:t>–</w:t>
            </w:r>
            <w:r w:rsidR="000E66BE" w:rsidRPr="00697D65">
              <w:rPr>
                <w:lang w:val="en-GB"/>
              </w:rPr>
              <w:t xml:space="preserve"> minimum capacity</w:t>
            </w:r>
            <w:r w:rsidR="000A35A8" w:rsidRPr="00697D65">
              <w:rPr>
                <w:lang w:val="en-GB"/>
              </w:rPr>
              <w:t xml:space="preserve">, </w:t>
            </w:r>
            <w:r w:rsidR="000E66BE" w:rsidRPr="00697D65">
              <w:rPr>
                <w:lang w:val="en-GB"/>
              </w:rPr>
              <w:t>kW</w:t>
            </w:r>
          </w:p>
        </w:tc>
        <w:tc>
          <w:tcPr>
            <w:tcW w:w="4002" w:type="dxa"/>
            <w:vAlign w:val="center"/>
          </w:tcPr>
          <w:p w14:paraId="12AE3C2C" w14:textId="77777777" w:rsidR="000E66BE" w:rsidRPr="00697D65" w:rsidRDefault="000E66BE" w:rsidP="009479AE">
            <w:pPr>
              <w:pStyle w:val="CETBodytext"/>
              <w:rPr>
                <w:b/>
                <w:bCs/>
                <w:lang w:val="en-GB"/>
              </w:rPr>
            </w:pPr>
            <w:r w:rsidRPr="00697D65">
              <w:rPr>
                <w:b/>
                <w:bCs/>
                <w:lang w:val="en-GB"/>
              </w:rPr>
              <w:t>Decision binary variables</w:t>
            </w:r>
          </w:p>
        </w:tc>
      </w:tr>
      <w:tr w:rsidR="000E66BE" w:rsidRPr="00697D65" w14:paraId="107779FF" w14:textId="77777777" w:rsidTr="000E66BE">
        <w:tc>
          <w:tcPr>
            <w:tcW w:w="4785" w:type="dxa"/>
            <w:vAlign w:val="center"/>
          </w:tcPr>
          <w:p w14:paraId="5E170A27" w14:textId="31AFBCCE" w:rsidR="000E66BE" w:rsidRPr="00697D65" w:rsidRDefault="00000000" w:rsidP="009479AE">
            <w:pPr>
              <w:pStyle w:val="CETBodytext"/>
              <w:rPr>
                <w:lang w:val="en-GB"/>
              </w:rPr>
            </w:pPr>
            <m:oMath>
              <m:sSub>
                <m:sSubPr>
                  <m:ctrlPr>
                    <w:rPr>
                      <w:rFonts w:ascii="Cambria Math" w:hAnsi="Cambria Math"/>
                      <w:i/>
                      <w:lang w:val="en-GB"/>
                    </w:rPr>
                  </m:ctrlPr>
                </m:sSubPr>
                <m:e>
                  <m:acc>
                    <m:accPr>
                      <m:ctrlPr>
                        <w:rPr>
                          <w:rFonts w:ascii="Cambria Math" w:hAnsi="Cambria Math"/>
                          <w:i/>
                          <w:lang w:val="en-GB"/>
                        </w:rPr>
                      </m:ctrlPr>
                    </m:accPr>
                    <m:e>
                      <m:r>
                        <m:rPr>
                          <m:nor/>
                        </m:rPr>
                        <w:rPr>
                          <w:lang w:val="en-GB"/>
                        </w:rPr>
                        <m:t>Camax</m:t>
                      </m:r>
                    </m:e>
                  </m:acc>
                </m:e>
                <m:sub>
                  <m:r>
                    <m:rPr>
                      <m:nor/>
                    </m:rPr>
                    <w:rPr>
                      <w:lang w:val="en-GB"/>
                    </w:rPr>
                    <m:t>p</m:t>
                  </m:r>
                </m:sub>
              </m:sSub>
            </m:oMath>
            <w:r w:rsidR="000E66BE" w:rsidRPr="00697D65">
              <w:rPr>
                <w:lang w:val="en-GB"/>
              </w:rPr>
              <w:t xml:space="preserve"> </w:t>
            </w:r>
            <w:r w:rsidR="00CB2E19" w:rsidRPr="00697D65">
              <w:rPr>
                <w:rFonts w:eastAsia="SimSun"/>
                <w:lang w:val="en-GB"/>
              </w:rPr>
              <w:t>–</w:t>
            </w:r>
            <w:r w:rsidR="000E66BE" w:rsidRPr="00697D65">
              <w:rPr>
                <w:lang w:val="en-GB"/>
              </w:rPr>
              <w:t xml:space="preserve"> maximum capacity</w:t>
            </w:r>
            <w:r w:rsidR="000A35A8" w:rsidRPr="00697D65">
              <w:rPr>
                <w:lang w:val="en-GB"/>
              </w:rPr>
              <w:t xml:space="preserve">, </w:t>
            </w:r>
            <w:r w:rsidR="000E66BE" w:rsidRPr="00697D65">
              <w:rPr>
                <w:lang w:val="en-GB"/>
              </w:rPr>
              <w:t>kW</w:t>
            </w:r>
          </w:p>
        </w:tc>
        <w:tc>
          <w:tcPr>
            <w:tcW w:w="4002" w:type="dxa"/>
            <w:vAlign w:val="center"/>
          </w:tcPr>
          <w:p w14:paraId="34ED58E1" w14:textId="56BA2917" w:rsidR="000E66BE" w:rsidRPr="00697D65" w:rsidRDefault="00000000" w:rsidP="009479AE">
            <w:pPr>
              <w:pStyle w:val="CETBodytext"/>
              <w:rPr>
                <w:lang w:val="en-GB"/>
              </w:rPr>
            </w:pPr>
            <m:oMath>
              <m:sSub>
                <m:sSubPr>
                  <m:ctrlPr>
                    <w:rPr>
                      <w:rFonts w:ascii="Cambria Math" w:hAnsi="Cambria Math"/>
                      <w:i/>
                      <w:lang w:val="en-GB"/>
                    </w:rPr>
                  </m:ctrlPr>
                </m:sSubPr>
                <m:e>
                  <m:r>
                    <m:rPr>
                      <m:nor/>
                    </m:rPr>
                    <w:rPr>
                      <w:lang w:val="en-GB"/>
                    </w:rPr>
                    <m:t>Op</m:t>
                  </m:r>
                </m:e>
                <m:sub>
                  <m:r>
                    <m:rPr>
                      <m:nor/>
                    </m:rPr>
                    <w:rPr>
                      <w:lang w:val="en-GB"/>
                    </w:rPr>
                    <m:t>p,t</m:t>
                  </m:r>
                </m:sub>
              </m:sSub>
            </m:oMath>
            <w:r w:rsidR="000E66BE" w:rsidRPr="00697D65">
              <w:rPr>
                <w:lang w:val="en-GB"/>
              </w:rPr>
              <w:t xml:space="preserve"> </w:t>
            </w:r>
            <w:r w:rsidR="00CB2E19" w:rsidRPr="00697D65">
              <w:rPr>
                <w:rFonts w:eastAsia="SimSun"/>
                <w:lang w:val="en-GB"/>
              </w:rPr>
              <w:t>–</w:t>
            </w:r>
            <w:r w:rsidR="000E66BE" w:rsidRPr="00697D65">
              <w:rPr>
                <w:lang w:val="en-GB"/>
              </w:rPr>
              <w:t xml:space="preserve"> If the installed capacity is operational</w:t>
            </w:r>
            <w:r w:rsidR="000A35A8" w:rsidRPr="00697D65">
              <w:rPr>
                <w:lang w:val="en-GB"/>
              </w:rPr>
              <w:t>, -</w:t>
            </w:r>
          </w:p>
        </w:tc>
      </w:tr>
      <w:tr w:rsidR="000E66BE" w:rsidRPr="00697D65" w14:paraId="32F96151" w14:textId="77777777" w:rsidTr="000E66BE">
        <w:tc>
          <w:tcPr>
            <w:tcW w:w="4785" w:type="dxa"/>
            <w:vAlign w:val="center"/>
          </w:tcPr>
          <w:p w14:paraId="528FDF56" w14:textId="21E86435" w:rsidR="000E66BE" w:rsidRPr="00697D65" w:rsidRDefault="00000000" w:rsidP="009479AE">
            <w:pPr>
              <w:pStyle w:val="CETBodytext"/>
              <w:rPr>
                <w:lang w:val="en-GB"/>
              </w:rPr>
            </w:pPr>
            <m:oMath>
              <m:sSub>
                <m:sSubPr>
                  <m:ctrlPr>
                    <w:rPr>
                      <w:rFonts w:ascii="Cambria Math" w:hAnsi="Cambria Math"/>
                      <w:i/>
                      <w:lang w:val="en-GB"/>
                    </w:rPr>
                  </m:ctrlPr>
                </m:sSubPr>
                <m:e>
                  <m:acc>
                    <m:accPr>
                      <m:ctrlPr>
                        <w:rPr>
                          <w:rFonts w:ascii="Cambria Math" w:hAnsi="Cambria Math"/>
                          <w:i/>
                          <w:lang w:val="en-GB"/>
                        </w:rPr>
                      </m:ctrlPr>
                    </m:accPr>
                    <m:e>
                      <m:r>
                        <m:rPr>
                          <m:nor/>
                        </m:rPr>
                        <w:rPr>
                          <w:lang w:val="en-GB"/>
                        </w:rPr>
                        <m:t>Rw</m:t>
                      </m:r>
                    </m:e>
                  </m:acc>
                </m:e>
                <m:sub>
                  <m:r>
                    <m:rPr>
                      <m:nor/>
                    </m:rPr>
                    <w:rPr>
                      <w:lang w:val="en-GB"/>
                    </w:rPr>
                    <m:t>r,p</m:t>
                  </m:r>
                </m:sub>
              </m:sSub>
            </m:oMath>
            <w:r w:rsidR="000E66BE" w:rsidRPr="00697D65">
              <w:rPr>
                <w:lang w:val="en-GB"/>
              </w:rPr>
              <w:t xml:space="preserve"> </w:t>
            </w:r>
            <w:r w:rsidR="00CB2E19" w:rsidRPr="00697D65">
              <w:rPr>
                <w:rFonts w:eastAsia="SimSun"/>
                <w:lang w:val="en-GB"/>
              </w:rPr>
              <w:t>–</w:t>
            </w:r>
            <w:r w:rsidR="000E66BE" w:rsidRPr="00697D65">
              <w:rPr>
                <w:lang w:val="en-GB"/>
              </w:rPr>
              <w:t xml:space="preserve"> Consumption factor of primary resources</w:t>
            </w:r>
            <w:r w:rsidR="000A35A8" w:rsidRPr="00697D65">
              <w:rPr>
                <w:lang w:val="en-GB"/>
              </w:rPr>
              <w:t xml:space="preserve">, </w:t>
            </w:r>
            <w:r w:rsidR="000E66BE" w:rsidRPr="00697D65">
              <w:rPr>
                <w:lang w:val="en-GB"/>
              </w:rPr>
              <w:t>primary resource units/kWh</w:t>
            </w:r>
          </w:p>
        </w:tc>
        <w:tc>
          <w:tcPr>
            <w:tcW w:w="4002" w:type="dxa"/>
            <w:vAlign w:val="center"/>
          </w:tcPr>
          <w:p w14:paraId="7477CCD1" w14:textId="79353EAA" w:rsidR="000E66BE" w:rsidRPr="00697D65" w:rsidRDefault="00000000" w:rsidP="009479AE">
            <w:pPr>
              <w:pStyle w:val="CETBodytext"/>
              <w:rPr>
                <w:lang w:val="en-GB"/>
              </w:rPr>
            </w:pPr>
            <m:oMath>
              <m:sSub>
                <m:sSubPr>
                  <m:ctrlPr>
                    <w:rPr>
                      <w:rFonts w:ascii="Cambria Math" w:hAnsi="Cambria Math"/>
                      <w:i/>
                      <w:lang w:val="en-GB"/>
                    </w:rPr>
                  </m:ctrlPr>
                </m:sSubPr>
                <m:e>
                  <m:r>
                    <m:rPr>
                      <m:nor/>
                    </m:rPr>
                    <w:rPr>
                      <w:lang w:val="en-GB"/>
                    </w:rPr>
                    <m:t>In</m:t>
                  </m:r>
                </m:e>
                <m:sub>
                  <m:r>
                    <m:rPr>
                      <m:nor/>
                    </m:rPr>
                    <w:rPr>
                      <w:lang w:val="en-GB"/>
                    </w:rPr>
                    <m:t>p,t</m:t>
                  </m:r>
                </m:sub>
              </m:sSub>
            </m:oMath>
            <w:r w:rsidR="000E66BE" w:rsidRPr="00697D65">
              <w:rPr>
                <w:lang w:val="en-GB"/>
              </w:rPr>
              <w:t xml:space="preserve"> </w:t>
            </w:r>
            <w:r w:rsidR="00CB2E19" w:rsidRPr="00697D65">
              <w:rPr>
                <w:rFonts w:eastAsia="SimSun"/>
                <w:lang w:val="en-GB"/>
              </w:rPr>
              <w:t>–</w:t>
            </w:r>
            <w:r w:rsidR="000E66BE" w:rsidRPr="00697D65">
              <w:rPr>
                <w:lang w:val="en-GB"/>
              </w:rPr>
              <w:t xml:space="preserve"> If new capacity is to be installed</w:t>
            </w:r>
            <w:r w:rsidR="000A35A8" w:rsidRPr="00697D65">
              <w:rPr>
                <w:lang w:val="en-GB"/>
              </w:rPr>
              <w:t>, -</w:t>
            </w:r>
          </w:p>
        </w:tc>
      </w:tr>
      <w:tr w:rsidR="000E66BE" w:rsidRPr="00697D65" w14:paraId="504F9792" w14:textId="77777777" w:rsidTr="000E66BE">
        <w:tc>
          <w:tcPr>
            <w:tcW w:w="4785" w:type="dxa"/>
            <w:vAlign w:val="center"/>
          </w:tcPr>
          <w:p w14:paraId="24172FC7" w14:textId="2D512F6E" w:rsidR="000E66BE" w:rsidRPr="00697D65" w:rsidRDefault="00000000" w:rsidP="009479AE">
            <w:pPr>
              <w:pStyle w:val="CETBodytext"/>
              <w:rPr>
                <w:lang w:val="en-GB"/>
              </w:rPr>
            </w:pPr>
            <m:oMath>
              <m:acc>
                <m:accPr>
                  <m:ctrlPr>
                    <w:rPr>
                      <w:rFonts w:ascii="Cambria Math" w:hAnsi="Cambria Math"/>
                      <w:i/>
                      <w:lang w:val="en-GB"/>
                    </w:rPr>
                  </m:ctrlPr>
                </m:accPr>
                <m:e>
                  <m:r>
                    <m:rPr>
                      <m:nor/>
                    </m:rPr>
                    <w:rPr>
                      <w:lang w:val="en-GB"/>
                    </w:rPr>
                    <m:t>BugCo</m:t>
                  </m:r>
                </m:e>
              </m:acc>
            </m:oMath>
            <w:r w:rsidR="000E66BE" w:rsidRPr="00697D65">
              <w:rPr>
                <w:lang w:val="en-GB"/>
              </w:rPr>
              <w:t xml:space="preserve"> </w:t>
            </w:r>
            <w:r w:rsidR="00CB2E19" w:rsidRPr="00697D65">
              <w:rPr>
                <w:rFonts w:eastAsia="SimSun"/>
                <w:lang w:val="en-GB"/>
              </w:rPr>
              <w:t>–</w:t>
            </w:r>
            <w:r w:rsidR="000E66BE" w:rsidRPr="00697D65">
              <w:rPr>
                <w:lang w:val="en-GB"/>
              </w:rPr>
              <w:t xml:space="preserve"> Total budget</w:t>
            </w:r>
            <w:r w:rsidR="000A35A8" w:rsidRPr="00697D65">
              <w:rPr>
                <w:lang w:val="en-GB"/>
              </w:rPr>
              <w:t xml:space="preserve">, </w:t>
            </w:r>
            <w:r w:rsidR="000E66BE" w:rsidRPr="00697D65">
              <w:rPr>
                <w:lang w:val="en-GB"/>
              </w:rPr>
              <w:t>USD</w:t>
            </w:r>
          </w:p>
        </w:tc>
        <w:tc>
          <w:tcPr>
            <w:tcW w:w="4002" w:type="dxa"/>
            <w:vAlign w:val="center"/>
          </w:tcPr>
          <w:p w14:paraId="2890A67B" w14:textId="77777777" w:rsidR="000E66BE" w:rsidRPr="00697D65" w:rsidRDefault="000E66BE" w:rsidP="009479AE">
            <w:pPr>
              <w:pStyle w:val="CETBodytext"/>
              <w:rPr>
                <w:lang w:val="en-GB"/>
              </w:rPr>
            </w:pPr>
          </w:p>
        </w:tc>
      </w:tr>
    </w:tbl>
    <w:p w14:paraId="459D05E6" w14:textId="77777777" w:rsidR="00600535" w:rsidRPr="00697D65" w:rsidRDefault="00600535" w:rsidP="00532E67">
      <w:pPr>
        <w:pStyle w:val="CETAcknowledgementstitle"/>
        <w:spacing w:before="120"/>
      </w:pPr>
      <w:r w:rsidRPr="00697D65">
        <w:t>Acknowledgments</w:t>
      </w:r>
    </w:p>
    <w:p w14:paraId="359D383C" w14:textId="598B534A" w:rsidR="00067EB8" w:rsidRPr="00697D65" w:rsidRDefault="00067EB8" w:rsidP="00532E67">
      <w:pPr>
        <w:pStyle w:val="CETReference"/>
        <w:spacing w:before="120"/>
        <w:jc w:val="both"/>
        <w:rPr>
          <w:b w:val="0"/>
        </w:rPr>
      </w:pPr>
      <w:r w:rsidRPr="00697D65">
        <w:rPr>
          <w:b w:val="0"/>
        </w:rPr>
        <w:t>The authors would like to acknowledge the financial support from the Ministry of Science, Technology, and Innovation of Colombia for the project "Development of a computational tool and renewable energy technologies for energy transition in high mountain areas post-pandemic" CD 82605 CT ICETEX 2022-0644.</w:t>
      </w:r>
    </w:p>
    <w:p w14:paraId="4F1327F8" w14:textId="2720EFD3" w:rsidR="00600535" w:rsidRPr="00697D65" w:rsidRDefault="00600535" w:rsidP="00532E67">
      <w:pPr>
        <w:pStyle w:val="CETReference"/>
        <w:spacing w:before="120"/>
      </w:pPr>
      <w:r w:rsidRPr="00697D65">
        <w:t>References</w:t>
      </w:r>
    </w:p>
    <w:p w14:paraId="155062AF" w14:textId="77777777" w:rsidR="003B72F2" w:rsidRPr="00697D65" w:rsidRDefault="003B72F2" w:rsidP="00A966D4">
      <w:pPr>
        <w:pStyle w:val="CETReferencetext"/>
      </w:pPr>
      <w:r w:rsidRPr="00697D65">
        <w:t xml:space="preserve">Comisión de Regulación de Energía y Gas - CREG, 2005, Definition of the electricity tariff formula for the next tariff period (In Spanish). </w:t>
      </w:r>
    </w:p>
    <w:p w14:paraId="47E68A0C" w14:textId="77777777" w:rsidR="003B72F2" w:rsidRPr="00697D65" w:rsidRDefault="003B72F2" w:rsidP="0015138D">
      <w:pPr>
        <w:pStyle w:val="CETReferencetext"/>
      </w:pPr>
      <w:r w:rsidRPr="00697D65">
        <w:t>Congress of Colombia, Law 1715 of 2014, Whereby the integration of non-conventional renewable energies to the National Energy System is regulated (In Spanish).</w:t>
      </w:r>
    </w:p>
    <w:p w14:paraId="724ACA38" w14:textId="77777777" w:rsidR="003B72F2" w:rsidRPr="00697D65" w:rsidRDefault="003B72F2" w:rsidP="0015138D">
      <w:pPr>
        <w:pStyle w:val="CETReferencetext"/>
      </w:pPr>
      <w:r w:rsidRPr="00697D65">
        <w:t>International Energy Agency – IEA, 2023, Climate change: Energy and climate are inextricably linked. &lt;www.iea.org/topics/climate-change&gt; accessed 24.11.2024</w:t>
      </w:r>
    </w:p>
    <w:p w14:paraId="3A3CBAB5" w14:textId="77777777" w:rsidR="003B72F2" w:rsidRPr="00697D65" w:rsidRDefault="003B72F2" w:rsidP="003532A0">
      <w:pPr>
        <w:pStyle w:val="CETReferencetext"/>
      </w:pPr>
      <w:r w:rsidRPr="00697D65">
        <w:t xml:space="preserve">International Renewable Energy Agency – IRENA, 2023, Renewable Power Generation Costos in 2023, Abu Dhabi. </w:t>
      </w:r>
    </w:p>
    <w:p w14:paraId="46D38F0A" w14:textId="77777777" w:rsidR="003B72F2" w:rsidRPr="00697D65" w:rsidRDefault="003B72F2" w:rsidP="0015138D">
      <w:pPr>
        <w:pStyle w:val="CETReferencetext"/>
      </w:pPr>
      <w:r w:rsidRPr="00697D65">
        <w:t>Lu Lu, Wenlin Yuan, Chengguo Su, Peilin Wang, Chuntian Cheng, Denghua Yan, Zening Wu, 2021, Optimization model for the short-term joint operation of a grid-connected wind-photovoltaic-hydro hybrid energy system with cascade hydropower plants, Energy Conversion and Management, Vol 236, 114055, doi:10.1016/j.enconman.2021.114055.</w:t>
      </w:r>
    </w:p>
    <w:p w14:paraId="3D2351F1" w14:textId="77777777" w:rsidR="003B72F2" w:rsidRPr="00697D65" w:rsidRDefault="003B72F2" w:rsidP="0015138D">
      <w:pPr>
        <w:pStyle w:val="CETReferencetext"/>
      </w:pPr>
      <w:r w:rsidRPr="00697D65">
        <w:t>M. Karmellos, G. Mavrotas, 2019, Multi-objective optimization and comparison framework for the design of Distributed Energy Systems, Energy Conversion and Management, Vol 180, 473-495, doi:10.1016/j.enconman.2018.10.083.</w:t>
      </w:r>
    </w:p>
    <w:p w14:paraId="0F0B6631" w14:textId="77777777" w:rsidR="003B72F2" w:rsidRPr="00697D65" w:rsidRDefault="003B72F2" w:rsidP="0015138D">
      <w:pPr>
        <w:pStyle w:val="CETReferencetext"/>
      </w:pPr>
      <w:r w:rsidRPr="00697D65">
        <w:t>Mahdi. Nozarian, Alireza Fereidunian and Masoud Barati, 2023, Reliability-Oriented Planning Framework for Smart Cities: From Interconnected Micro Energy Hubs to Macro Energy Hub Scale, IEEE Systems Journal, Vol. 17, 3798-3809, doi: 10.1109/JSYST.2023.3244498.</w:t>
      </w:r>
    </w:p>
    <w:p w14:paraId="435C1EE5" w14:textId="77777777" w:rsidR="003B72F2" w:rsidRPr="00697D65" w:rsidRDefault="003B72F2" w:rsidP="0015138D">
      <w:pPr>
        <w:pStyle w:val="CETReferencetext"/>
      </w:pPr>
      <w:r w:rsidRPr="00697D65">
        <w:t>Oladimeji Oyewole, Nnamdi Nwulu, Ewaoche John Okampo, 2024, Multi-objective optimal sizing and design of renewable and diesel-based autonomous microgrids with hydrogen storage considering economic, environmental, and social uncertainties, Renewable Energy, Vol 231,120987, doi:10.1016/j.renene.2024.120987.</w:t>
      </w:r>
    </w:p>
    <w:p w14:paraId="401A20C4" w14:textId="77777777" w:rsidR="003B72F2" w:rsidRPr="00697D65" w:rsidRDefault="003B72F2" w:rsidP="0015138D">
      <w:pPr>
        <w:pStyle w:val="CETReferencetext"/>
      </w:pPr>
      <w:r w:rsidRPr="00697D65">
        <w:t>Oscar Pupo-Roncallo, Javier Campillo, Derek Ingham, Kevin Hughes, Mohammed Pourkashanian, 2019, Large scale integration of renewable energy sources (RES) in the future Colombian energy system, Energy, Vol 186, 115805, doi:10.1016/j.energy.2019.07.135.</w:t>
      </w:r>
    </w:p>
    <w:p w14:paraId="4567D66B" w14:textId="77777777" w:rsidR="003B72F2" w:rsidRPr="00697D65" w:rsidRDefault="003B72F2" w:rsidP="00E129D2">
      <w:pPr>
        <w:pStyle w:val="CETReferencetext"/>
        <w:rPr>
          <w:color w:val="000000" w:themeColor="text1"/>
        </w:rPr>
      </w:pPr>
      <w:r w:rsidRPr="00697D65">
        <w:rPr>
          <w:color w:val="000000" w:themeColor="text1"/>
        </w:rPr>
        <w:t>Republic of Colombia, Decree 1403 of 2024, Energy Policy Guidelines on Self-Generation, Marginal Production and Remote Self-Generation (In Spanish)</w:t>
      </w:r>
    </w:p>
    <w:p w14:paraId="3B99B132" w14:textId="77777777" w:rsidR="003B72F2" w:rsidRPr="00697D65" w:rsidRDefault="003B72F2" w:rsidP="0015138D">
      <w:pPr>
        <w:pStyle w:val="CETReferencetext"/>
      </w:pPr>
      <w:r w:rsidRPr="00697D65">
        <w:t>Salah Alhashedi, Khalid A. Khan, Maad Alowaifeer and Muhammad Khalid, 2023, Multi-Period Optimization of Hybrid Energy Systems Using Mixed Integer Linear Programming, 2023 IEEE IAS Global Conference on Renewable Energy and Hydrogen Technologies (GlobConHT), Male, Maldives, 1-6, doi: 10.1109/GlobConHT56829.2023.10087807</w:t>
      </w:r>
    </w:p>
    <w:p w14:paraId="122F9B57" w14:textId="77777777" w:rsidR="003B72F2" w:rsidRPr="00697D65" w:rsidRDefault="003B72F2" w:rsidP="0015138D">
      <w:pPr>
        <w:pStyle w:val="CETReferencetext"/>
        <w:rPr>
          <w:color w:val="000000" w:themeColor="text1"/>
        </w:rPr>
      </w:pPr>
      <w:r w:rsidRPr="00697D65">
        <w:rPr>
          <w:color w:val="000000" w:themeColor="text1"/>
        </w:rPr>
        <w:t>Unidad de Planeación Minero Energético – UPME, 2024, Energy Communities, Analysis for the definition of the maximum power limit and dispersion of collective self-generation and collective distributed generation, Discussion Paper (In Spanish) &lt;https://www1.upme.gov.co/Documents/Enfoque-territorial/Paper_Mineria_Potencia_y_dispersion_CE.pdf&gt; accessed 02.12.2024</w:t>
      </w:r>
    </w:p>
    <w:p w14:paraId="459E6DE1" w14:textId="7376DE56" w:rsidR="001A68F6" w:rsidRPr="00697D65" w:rsidRDefault="003B72F2" w:rsidP="001A68F6">
      <w:pPr>
        <w:pStyle w:val="CETReferencetext"/>
      </w:pPr>
      <w:r w:rsidRPr="00697D65">
        <w:t>United Nations, The Sustainable Development Goals Report 2023: Special edition. &lt;unstats.un.org/sdgs/report/2023/The-Sustainable-Development-Goals-Report-2023.pdf&gt; accessed 15.10.2024</w:t>
      </w:r>
    </w:p>
    <w:p w14:paraId="554AAAEC" w14:textId="74BFF8FB" w:rsidR="00A966D4" w:rsidRPr="00697D65" w:rsidRDefault="003B72F2" w:rsidP="0015138D">
      <w:pPr>
        <w:pStyle w:val="CETReferencetext"/>
      </w:pPr>
      <w:r w:rsidRPr="00697D65">
        <w:t>Villamizar-Villamizar A.E., Rosso-Cerón A.M., Becerra-Rodriguez J., 2024, Post-pandemic Long-term Energy Demand Forecasting Using Leap Software in the Páramo De Santurbán: the Case of Pamplona North De Santander, Chemical Engineering Transactions, 109, 481-486. doi:10.3303/</w:t>
      </w:r>
      <w:commentRangeStart w:id="6"/>
      <w:r w:rsidRPr="00697D65">
        <w:t>CET24109081</w:t>
      </w:r>
      <w:commentRangeEnd w:id="6"/>
      <w:r w:rsidR="005434CE" w:rsidRPr="00697D65">
        <w:rPr>
          <w:rStyle w:val="Refdecomentario"/>
        </w:rPr>
        <w:commentReference w:id="6"/>
      </w:r>
    </w:p>
    <w:sectPr w:rsidR="00A966D4" w:rsidRPr="00697D65" w:rsidSect="00DC73EE">
      <w:type w:val="continuous"/>
      <w:pgSz w:w="11906" w:h="16838" w:code="9"/>
      <w:pgMar w:top="1701" w:right="1418" w:bottom="1701" w:left="1701" w:header="1701" w:footer="0" w:gutter="0"/>
      <w:cols w:space="708"/>
      <w:formProt w:val="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nicolas cabrera ruiz" w:date="2025-01-31T09:50:00Z" w:initials="nc">
    <w:p w14:paraId="53063305" w14:textId="77777777" w:rsidR="004B7D7B" w:rsidRDefault="00841AA0" w:rsidP="004B7D7B">
      <w:pPr>
        <w:pStyle w:val="Textocomentario"/>
        <w:jc w:val="left"/>
      </w:pPr>
      <w:r>
        <w:rPr>
          <w:rStyle w:val="Refdecomentario"/>
        </w:rPr>
        <w:annotationRef/>
      </w:r>
      <w:r w:rsidR="004B7D7B">
        <w:rPr>
          <w:lang w:val="es-CO"/>
        </w:rPr>
        <w:t>Information was added to highlight the importance of designing a hybrid system with renewable energies.</w:t>
      </w:r>
    </w:p>
  </w:comment>
  <w:comment w:id="2" w:author="nicolas cabrera ruiz" w:date="2025-01-29T10:18:00Z" w:initials="nc">
    <w:p w14:paraId="57B1228E" w14:textId="6DD52C40" w:rsidR="002F6DDB" w:rsidRDefault="00140E43" w:rsidP="002F6DDB">
      <w:pPr>
        <w:pStyle w:val="Textocomentario"/>
        <w:jc w:val="left"/>
      </w:pPr>
      <w:r>
        <w:rPr>
          <w:rStyle w:val="Refdecomentario"/>
        </w:rPr>
        <w:annotationRef/>
      </w:r>
      <w:r w:rsidR="002F6DDB">
        <w:rPr>
          <w:lang w:val="es-CO"/>
        </w:rPr>
        <w:t xml:space="preserve">Added information on another contribution of the paper to the literature. </w:t>
      </w:r>
    </w:p>
  </w:comment>
  <w:comment w:id="3" w:author="nicolas cabrera ruiz" w:date="2025-01-28T16:06:00Z" w:initials="nc">
    <w:p w14:paraId="1E1AE96A" w14:textId="77777777" w:rsidR="00987398" w:rsidRDefault="00E95564" w:rsidP="00987398">
      <w:pPr>
        <w:pStyle w:val="Textocomentario"/>
        <w:jc w:val="left"/>
      </w:pPr>
      <w:r>
        <w:rPr>
          <w:rStyle w:val="Refdecomentario"/>
        </w:rPr>
        <w:annotationRef/>
      </w:r>
      <w:r w:rsidR="00987398">
        <w:rPr>
          <w:lang w:val="es-CO"/>
        </w:rPr>
        <w:t>To show reliability and non-manipulation of data, information on the technical and financial parameters, the equation to project them over the entire planning horizon and the respective bibliographic references used were added.</w:t>
      </w:r>
    </w:p>
  </w:comment>
  <w:comment w:id="4" w:author="nicolas cabrera ruiz" w:date="2025-01-28T16:29:00Z" w:initials="nc">
    <w:p w14:paraId="02FD3750" w14:textId="77777777" w:rsidR="007019C3" w:rsidRDefault="00F15848" w:rsidP="007019C3">
      <w:pPr>
        <w:pStyle w:val="Textocomentario"/>
        <w:jc w:val="left"/>
      </w:pPr>
      <w:r>
        <w:rPr>
          <w:rStyle w:val="Refdecomentario"/>
        </w:rPr>
        <w:annotationRef/>
      </w:r>
      <w:r w:rsidR="007019C3">
        <w:rPr>
          <w:lang w:val="es-CO"/>
        </w:rPr>
        <w:t>It was clarified that in multi-objective models there is no single solution, so a Pareto front is obtained with the different alternatives to evaluate.</w:t>
      </w:r>
    </w:p>
  </w:comment>
  <w:comment w:id="5" w:author="nicolas cabrera ruiz" w:date="2025-01-28T16:30:00Z" w:initials="nc">
    <w:p w14:paraId="2DDA3FA4" w14:textId="67D0FE7E" w:rsidR="002661E3" w:rsidRDefault="009F7C5F" w:rsidP="002661E3">
      <w:pPr>
        <w:pStyle w:val="Textocomentario"/>
        <w:jc w:val="left"/>
      </w:pPr>
      <w:r>
        <w:rPr>
          <w:rStyle w:val="Refdecomentario"/>
        </w:rPr>
        <w:annotationRef/>
      </w:r>
      <w:r w:rsidR="002661E3">
        <w:rPr>
          <w:lang w:val="es-CO"/>
        </w:rPr>
        <w:t>The conclusions are extended to show the importance of the work as a guide for future decisions.</w:t>
      </w:r>
    </w:p>
  </w:comment>
  <w:comment w:id="6" w:author="nicolas cabrera ruiz" w:date="2025-01-28T16:33:00Z" w:initials="nc">
    <w:p w14:paraId="7EC245BD" w14:textId="77777777" w:rsidR="00BC4E18" w:rsidRDefault="005434CE" w:rsidP="00BC4E18">
      <w:pPr>
        <w:pStyle w:val="Textocomentario"/>
        <w:jc w:val="left"/>
      </w:pPr>
      <w:r>
        <w:rPr>
          <w:rStyle w:val="Refdecomentario"/>
        </w:rPr>
        <w:annotationRef/>
      </w:r>
      <w:r w:rsidR="00BC4E18">
        <w:rPr>
          <w:color w:val="333333"/>
          <w:highlight w:val="white"/>
          <w:lang w:val="es-CO"/>
        </w:rPr>
        <w:t>Reference Chemical Engineering Transactions (CET) </w:t>
      </w:r>
      <w:r w:rsidR="00BC4E18">
        <w:rPr>
          <w:lang w:val="es-CO"/>
        </w:rP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3063305" w15:done="0"/>
  <w15:commentEx w15:paraId="57B1228E" w15:done="0"/>
  <w15:commentEx w15:paraId="1E1AE96A" w15:done="0"/>
  <w15:commentEx w15:paraId="02FD3750" w15:done="0"/>
  <w15:commentEx w15:paraId="2DDA3FA4" w15:done="0"/>
  <w15:commentEx w15:paraId="7EC245B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01F1EA2" w16cex:dateUtc="2025-01-31T14:50:00Z"/>
  <w16cex:commentExtensible w16cex:durableId="6856C2CE" w16cex:dateUtc="2025-01-29T15:18:00Z"/>
  <w16cex:commentExtensible w16cex:durableId="59B78AC3" w16cex:dateUtc="2025-01-28T21:06:00Z"/>
  <w16cex:commentExtensible w16cex:durableId="324AA2B9" w16cex:dateUtc="2025-01-28T21:29:00Z"/>
  <w16cex:commentExtensible w16cex:durableId="71BDFF39" w16cex:dateUtc="2025-01-28T21:30:00Z"/>
  <w16cex:commentExtensible w16cex:durableId="49FCFE6F" w16cex:dateUtc="2025-01-28T21: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3063305" w16cid:durableId="301F1EA2"/>
  <w16cid:commentId w16cid:paraId="57B1228E" w16cid:durableId="6856C2CE"/>
  <w16cid:commentId w16cid:paraId="1E1AE96A" w16cid:durableId="59B78AC3"/>
  <w16cid:commentId w16cid:paraId="02FD3750" w16cid:durableId="324AA2B9"/>
  <w16cid:commentId w16cid:paraId="2DDA3FA4" w16cid:durableId="71BDFF39"/>
  <w16cid:commentId w16cid:paraId="7EC245BD" w16cid:durableId="49FCFE6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513329" w14:textId="77777777" w:rsidR="00943306" w:rsidRDefault="00943306" w:rsidP="004F5E36">
      <w:r>
        <w:separator/>
      </w:r>
    </w:p>
  </w:endnote>
  <w:endnote w:type="continuationSeparator" w:id="0">
    <w:p w14:paraId="60C09CBB" w14:textId="77777777" w:rsidR="00943306" w:rsidRDefault="00943306"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Inter">
    <w:charset w:val="00"/>
    <w:family w:val="auto"/>
    <w:pitch w:val="variable"/>
    <w:sig w:usb0="E00002FF" w:usb1="1200A1FF" w:usb2="00000001" w:usb3="00000000" w:csb0="0000019F" w:csb1="00000000"/>
  </w:font>
  <w:font w:name="Cormorant Medium">
    <w:altName w:val="Calibri"/>
    <w:charset w:val="00"/>
    <w:family w:val="auto"/>
    <w:pitch w:val="variable"/>
    <w:sig w:usb0="20000207" w:usb1="00000001" w:usb2="00000000" w:usb3="00000000" w:csb0="00000197" w:csb1="00000000"/>
  </w:font>
  <w:font w:name="Constantia">
    <w:panose1 w:val="02030602050306030303"/>
    <w:charset w:val="00"/>
    <w:family w:val="roman"/>
    <w:pitch w:val="variable"/>
    <w:sig w:usb0="A00002EF" w:usb1="4000204B" w:usb2="00000000"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B82D49" w14:textId="77777777" w:rsidR="00943306" w:rsidRDefault="00943306" w:rsidP="004F5E36">
      <w:r>
        <w:separator/>
      </w:r>
    </w:p>
  </w:footnote>
  <w:footnote w:type="continuationSeparator" w:id="0">
    <w:p w14:paraId="20BB7537" w14:textId="77777777" w:rsidR="00943306" w:rsidRDefault="00943306"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58AF15E"/>
    <w:lvl w:ilvl="0">
      <w:start w:val="1"/>
      <w:numFmt w:val="decimal"/>
      <w:pStyle w:val="Listaconnmeros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aconnmeros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aconnmeros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aconnmeros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aconvieta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aconvieta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aconvieta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aconvieta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aconvietas"/>
      <w:lvlText w:val=""/>
      <w:lvlJc w:val="left"/>
      <w:pPr>
        <w:tabs>
          <w:tab w:val="num" w:pos="360"/>
        </w:tabs>
        <w:ind w:left="360" w:hanging="360"/>
      </w:pPr>
      <w:rPr>
        <w:rFonts w:ascii="Symbol" w:hAnsi="Symbol" w:hint="default"/>
      </w:rPr>
    </w:lvl>
  </w:abstractNum>
  <w:abstractNum w:abstractNumId="10" w15:restartNumberingAfterBreak="0">
    <w:nsid w:val="12266B64"/>
    <w:multiLevelType w:val="hybridMultilevel"/>
    <w:tmpl w:val="059214A0"/>
    <w:lvl w:ilvl="0" w:tplc="04100003">
      <w:start w:val="1"/>
      <w:numFmt w:val="bullet"/>
      <w:lvlText w:val="o"/>
      <w:lvlJc w:val="left"/>
      <w:pPr>
        <w:tabs>
          <w:tab w:val="num" w:pos="1080"/>
        </w:tabs>
        <w:ind w:left="1080" w:hanging="360"/>
      </w:pPr>
      <w:rPr>
        <w:rFonts w:ascii="Courier New" w:hAnsi="Courier New" w:cs="Courier New" w:hint="default"/>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absica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9"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857619568">
    <w:abstractNumId w:val="11"/>
  </w:num>
  <w:num w:numId="2" w16cid:durableId="2086955565">
    <w:abstractNumId w:val="8"/>
  </w:num>
  <w:num w:numId="3" w16cid:durableId="933050218">
    <w:abstractNumId w:val="3"/>
  </w:num>
  <w:num w:numId="4" w16cid:durableId="481434446">
    <w:abstractNumId w:val="2"/>
  </w:num>
  <w:num w:numId="5" w16cid:durableId="1788229821">
    <w:abstractNumId w:val="1"/>
  </w:num>
  <w:num w:numId="6" w16cid:durableId="449127607">
    <w:abstractNumId w:val="0"/>
  </w:num>
  <w:num w:numId="7" w16cid:durableId="1631859036">
    <w:abstractNumId w:val="9"/>
  </w:num>
  <w:num w:numId="8" w16cid:durableId="240332277">
    <w:abstractNumId w:val="7"/>
  </w:num>
  <w:num w:numId="9" w16cid:durableId="1150825614">
    <w:abstractNumId w:val="6"/>
  </w:num>
  <w:num w:numId="10" w16cid:durableId="1942487856">
    <w:abstractNumId w:val="5"/>
  </w:num>
  <w:num w:numId="11" w16cid:durableId="1350764422">
    <w:abstractNumId w:val="4"/>
  </w:num>
  <w:num w:numId="12" w16cid:durableId="1090152503">
    <w:abstractNumId w:val="18"/>
  </w:num>
  <w:num w:numId="13" w16cid:durableId="1415008583">
    <w:abstractNumId w:val="13"/>
  </w:num>
  <w:num w:numId="14" w16cid:durableId="940457683">
    <w:abstractNumId w:val="19"/>
  </w:num>
  <w:num w:numId="15" w16cid:durableId="1370764307">
    <w:abstractNumId w:val="21"/>
  </w:num>
  <w:num w:numId="16" w16cid:durableId="316342959">
    <w:abstractNumId w:val="20"/>
  </w:num>
  <w:num w:numId="17" w16cid:durableId="1881165745">
    <w:abstractNumId w:val="12"/>
  </w:num>
  <w:num w:numId="18" w16cid:durableId="138307897">
    <w:abstractNumId w:val="13"/>
    <w:lvlOverride w:ilvl="0">
      <w:startOverride w:val="1"/>
    </w:lvlOverride>
  </w:num>
  <w:num w:numId="19" w16cid:durableId="1228147473">
    <w:abstractNumId w:val="17"/>
  </w:num>
  <w:num w:numId="20" w16cid:durableId="86466167">
    <w:abstractNumId w:val="16"/>
  </w:num>
  <w:num w:numId="21" w16cid:durableId="637495400">
    <w:abstractNumId w:val="15"/>
  </w:num>
  <w:num w:numId="22" w16cid:durableId="63063618">
    <w:abstractNumId w:val="14"/>
  </w:num>
  <w:num w:numId="23" w16cid:durableId="264657053">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icolas cabrera ruiz">
    <w15:presenceInfo w15:providerId="Windows Live" w15:userId="c044482a006f4e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0495"/>
    <w:rsid w:val="000027C0"/>
    <w:rsid w:val="00004177"/>
    <w:rsid w:val="000044B6"/>
    <w:rsid w:val="00004880"/>
    <w:rsid w:val="000052FB"/>
    <w:rsid w:val="00005A19"/>
    <w:rsid w:val="00006F42"/>
    <w:rsid w:val="000117CB"/>
    <w:rsid w:val="00012B64"/>
    <w:rsid w:val="000138BB"/>
    <w:rsid w:val="0001511A"/>
    <w:rsid w:val="0002228E"/>
    <w:rsid w:val="0002257E"/>
    <w:rsid w:val="00022BC0"/>
    <w:rsid w:val="000235F1"/>
    <w:rsid w:val="00025D06"/>
    <w:rsid w:val="0003148D"/>
    <w:rsid w:val="00031EEC"/>
    <w:rsid w:val="0003536A"/>
    <w:rsid w:val="00035BDC"/>
    <w:rsid w:val="000451E3"/>
    <w:rsid w:val="00046E67"/>
    <w:rsid w:val="00051566"/>
    <w:rsid w:val="000562A9"/>
    <w:rsid w:val="00062A9A"/>
    <w:rsid w:val="00063849"/>
    <w:rsid w:val="00063C4F"/>
    <w:rsid w:val="00065058"/>
    <w:rsid w:val="00067EB8"/>
    <w:rsid w:val="00067FCD"/>
    <w:rsid w:val="00070BFC"/>
    <w:rsid w:val="00070C62"/>
    <w:rsid w:val="00073510"/>
    <w:rsid w:val="00075396"/>
    <w:rsid w:val="00076304"/>
    <w:rsid w:val="0008375B"/>
    <w:rsid w:val="00086C39"/>
    <w:rsid w:val="00090A5D"/>
    <w:rsid w:val="00091ECA"/>
    <w:rsid w:val="00093AAA"/>
    <w:rsid w:val="00093C86"/>
    <w:rsid w:val="0009425F"/>
    <w:rsid w:val="000946C8"/>
    <w:rsid w:val="00097ECE"/>
    <w:rsid w:val="000A03B2"/>
    <w:rsid w:val="000A0F8F"/>
    <w:rsid w:val="000A35A8"/>
    <w:rsid w:val="000A530D"/>
    <w:rsid w:val="000B0F48"/>
    <w:rsid w:val="000B1F1D"/>
    <w:rsid w:val="000B4C43"/>
    <w:rsid w:val="000B7184"/>
    <w:rsid w:val="000B7DE9"/>
    <w:rsid w:val="000C090B"/>
    <w:rsid w:val="000C5114"/>
    <w:rsid w:val="000D0268"/>
    <w:rsid w:val="000D2846"/>
    <w:rsid w:val="000D34BE"/>
    <w:rsid w:val="000E0B3C"/>
    <w:rsid w:val="000E102F"/>
    <w:rsid w:val="000E36F1"/>
    <w:rsid w:val="000E3A73"/>
    <w:rsid w:val="000E414A"/>
    <w:rsid w:val="000E66BE"/>
    <w:rsid w:val="000E75FD"/>
    <w:rsid w:val="000F093C"/>
    <w:rsid w:val="000F0FB2"/>
    <w:rsid w:val="000F130B"/>
    <w:rsid w:val="000F294A"/>
    <w:rsid w:val="000F2D6B"/>
    <w:rsid w:val="000F3EAA"/>
    <w:rsid w:val="000F787B"/>
    <w:rsid w:val="001011FE"/>
    <w:rsid w:val="00101737"/>
    <w:rsid w:val="00105650"/>
    <w:rsid w:val="001076A8"/>
    <w:rsid w:val="00117F4D"/>
    <w:rsid w:val="0012091F"/>
    <w:rsid w:val="001209D9"/>
    <w:rsid w:val="001225E5"/>
    <w:rsid w:val="00123288"/>
    <w:rsid w:val="00126BC2"/>
    <w:rsid w:val="00127CFE"/>
    <w:rsid w:val="001308B6"/>
    <w:rsid w:val="0013121F"/>
    <w:rsid w:val="00131FE6"/>
    <w:rsid w:val="0013263F"/>
    <w:rsid w:val="001327BF"/>
    <w:rsid w:val="001331DF"/>
    <w:rsid w:val="00134909"/>
    <w:rsid w:val="00134DE4"/>
    <w:rsid w:val="001374A5"/>
    <w:rsid w:val="0014034D"/>
    <w:rsid w:val="00140E43"/>
    <w:rsid w:val="00140FE3"/>
    <w:rsid w:val="00143C17"/>
    <w:rsid w:val="00144D16"/>
    <w:rsid w:val="0014646D"/>
    <w:rsid w:val="0014682D"/>
    <w:rsid w:val="00150E59"/>
    <w:rsid w:val="0015138D"/>
    <w:rsid w:val="00152787"/>
    <w:rsid w:val="00152DE3"/>
    <w:rsid w:val="00153541"/>
    <w:rsid w:val="00154594"/>
    <w:rsid w:val="00157173"/>
    <w:rsid w:val="00160FA8"/>
    <w:rsid w:val="00161E03"/>
    <w:rsid w:val="001621C7"/>
    <w:rsid w:val="00164CF9"/>
    <w:rsid w:val="0016668E"/>
    <w:rsid w:val="001667A6"/>
    <w:rsid w:val="001750F0"/>
    <w:rsid w:val="00175764"/>
    <w:rsid w:val="00176687"/>
    <w:rsid w:val="0018171E"/>
    <w:rsid w:val="00182C1F"/>
    <w:rsid w:val="0018378D"/>
    <w:rsid w:val="0018496A"/>
    <w:rsid w:val="00184AD6"/>
    <w:rsid w:val="00186B2D"/>
    <w:rsid w:val="001939CE"/>
    <w:rsid w:val="00194DD9"/>
    <w:rsid w:val="00195AF6"/>
    <w:rsid w:val="001963BF"/>
    <w:rsid w:val="00196F09"/>
    <w:rsid w:val="001A0A03"/>
    <w:rsid w:val="001A4851"/>
    <w:rsid w:val="001A4AF7"/>
    <w:rsid w:val="001A5BAC"/>
    <w:rsid w:val="001A68F6"/>
    <w:rsid w:val="001A73A4"/>
    <w:rsid w:val="001B0349"/>
    <w:rsid w:val="001B0B50"/>
    <w:rsid w:val="001B1E93"/>
    <w:rsid w:val="001B4679"/>
    <w:rsid w:val="001B65C1"/>
    <w:rsid w:val="001C100D"/>
    <w:rsid w:val="001C260F"/>
    <w:rsid w:val="001C3B5A"/>
    <w:rsid w:val="001C44E3"/>
    <w:rsid w:val="001C5C3A"/>
    <w:rsid w:val="001C684B"/>
    <w:rsid w:val="001C763E"/>
    <w:rsid w:val="001D0CFB"/>
    <w:rsid w:val="001D0F2A"/>
    <w:rsid w:val="001D21AF"/>
    <w:rsid w:val="001D26E5"/>
    <w:rsid w:val="001D382A"/>
    <w:rsid w:val="001D3D32"/>
    <w:rsid w:val="001D53FC"/>
    <w:rsid w:val="001D6553"/>
    <w:rsid w:val="001E162B"/>
    <w:rsid w:val="001E7A5A"/>
    <w:rsid w:val="001E7BD1"/>
    <w:rsid w:val="001F0625"/>
    <w:rsid w:val="001F33B8"/>
    <w:rsid w:val="001F42A5"/>
    <w:rsid w:val="001F4D65"/>
    <w:rsid w:val="001F7B9D"/>
    <w:rsid w:val="00201C93"/>
    <w:rsid w:val="00202C4A"/>
    <w:rsid w:val="00203676"/>
    <w:rsid w:val="00205B9F"/>
    <w:rsid w:val="00207071"/>
    <w:rsid w:val="00211935"/>
    <w:rsid w:val="002218EA"/>
    <w:rsid w:val="002224A5"/>
    <w:rsid w:val="002224B4"/>
    <w:rsid w:val="002263D4"/>
    <w:rsid w:val="00227AB9"/>
    <w:rsid w:val="002304A0"/>
    <w:rsid w:val="00234D9D"/>
    <w:rsid w:val="0024030C"/>
    <w:rsid w:val="002447EF"/>
    <w:rsid w:val="002458AB"/>
    <w:rsid w:val="002508D4"/>
    <w:rsid w:val="00251550"/>
    <w:rsid w:val="00253818"/>
    <w:rsid w:val="00254E0D"/>
    <w:rsid w:val="00255070"/>
    <w:rsid w:val="0026396F"/>
    <w:rsid w:val="00263B05"/>
    <w:rsid w:val="002661E3"/>
    <w:rsid w:val="002678C3"/>
    <w:rsid w:val="00270BC9"/>
    <w:rsid w:val="0027221A"/>
    <w:rsid w:val="00274370"/>
    <w:rsid w:val="00275B61"/>
    <w:rsid w:val="002779DF"/>
    <w:rsid w:val="00280990"/>
    <w:rsid w:val="00280FAF"/>
    <w:rsid w:val="00282656"/>
    <w:rsid w:val="002851F8"/>
    <w:rsid w:val="00287487"/>
    <w:rsid w:val="00290329"/>
    <w:rsid w:val="00296B83"/>
    <w:rsid w:val="0029750F"/>
    <w:rsid w:val="002A593A"/>
    <w:rsid w:val="002B4015"/>
    <w:rsid w:val="002B536B"/>
    <w:rsid w:val="002B78CE"/>
    <w:rsid w:val="002C2FB6"/>
    <w:rsid w:val="002C72CE"/>
    <w:rsid w:val="002D1181"/>
    <w:rsid w:val="002D3E61"/>
    <w:rsid w:val="002D4FA1"/>
    <w:rsid w:val="002E09F2"/>
    <w:rsid w:val="002E3CDA"/>
    <w:rsid w:val="002E5FA7"/>
    <w:rsid w:val="002E6B75"/>
    <w:rsid w:val="002E7951"/>
    <w:rsid w:val="002F073C"/>
    <w:rsid w:val="002F3309"/>
    <w:rsid w:val="002F6BE5"/>
    <w:rsid w:val="002F6DDB"/>
    <w:rsid w:val="002F7286"/>
    <w:rsid w:val="003008CE"/>
    <w:rsid w:val="003009B7"/>
    <w:rsid w:val="00300E56"/>
    <w:rsid w:val="00301215"/>
    <w:rsid w:val="0030152C"/>
    <w:rsid w:val="00301838"/>
    <w:rsid w:val="0030469C"/>
    <w:rsid w:val="00304CE8"/>
    <w:rsid w:val="003057C2"/>
    <w:rsid w:val="0030738E"/>
    <w:rsid w:val="00310515"/>
    <w:rsid w:val="00312674"/>
    <w:rsid w:val="003133C1"/>
    <w:rsid w:val="00313A1A"/>
    <w:rsid w:val="00313C6C"/>
    <w:rsid w:val="00316551"/>
    <w:rsid w:val="00316BB0"/>
    <w:rsid w:val="00316DB4"/>
    <w:rsid w:val="00321CA6"/>
    <w:rsid w:val="00322990"/>
    <w:rsid w:val="00323763"/>
    <w:rsid w:val="00323C5F"/>
    <w:rsid w:val="00323F20"/>
    <w:rsid w:val="003278B7"/>
    <w:rsid w:val="00330838"/>
    <w:rsid w:val="00331C16"/>
    <w:rsid w:val="0033362A"/>
    <w:rsid w:val="00334C09"/>
    <w:rsid w:val="0033525B"/>
    <w:rsid w:val="003363D9"/>
    <w:rsid w:val="003404D8"/>
    <w:rsid w:val="003404F7"/>
    <w:rsid w:val="0034379C"/>
    <w:rsid w:val="00344F8D"/>
    <w:rsid w:val="003532A0"/>
    <w:rsid w:val="003552E5"/>
    <w:rsid w:val="00357F43"/>
    <w:rsid w:val="00367732"/>
    <w:rsid w:val="00370E09"/>
    <w:rsid w:val="003723D4"/>
    <w:rsid w:val="0037303A"/>
    <w:rsid w:val="00373528"/>
    <w:rsid w:val="00375B2E"/>
    <w:rsid w:val="00376CE1"/>
    <w:rsid w:val="00381905"/>
    <w:rsid w:val="00381950"/>
    <w:rsid w:val="003825F5"/>
    <w:rsid w:val="00384CC8"/>
    <w:rsid w:val="00385DF8"/>
    <w:rsid w:val="003861AF"/>
    <w:rsid w:val="003871FD"/>
    <w:rsid w:val="00390E9C"/>
    <w:rsid w:val="0039158B"/>
    <w:rsid w:val="003931DB"/>
    <w:rsid w:val="003940D9"/>
    <w:rsid w:val="003A1E30"/>
    <w:rsid w:val="003A2829"/>
    <w:rsid w:val="003A65CC"/>
    <w:rsid w:val="003A6F96"/>
    <w:rsid w:val="003A7D1C"/>
    <w:rsid w:val="003B304B"/>
    <w:rsid w:val="003B3146"/>
    <w:rsid w:val="003B49CD"/>
    <w:rsid w:val="003B5D11"/>
    <w:rsid w:val="003B72F2"/>
    <w:rsid w:val="003B79EA"/>
    <w:rsid w:val="003C5F68"/>
    <w:rsid w:val="003C713D"/>
    <w:rsid w:val="003D01EE"/>
    <w:rsid w:val="003D1E02"/>
    <w:rsid w:val="003D4C33"/>
    <w:rsid w:val="003E0BAC"/>
    <w:rsid w:val="003E5ED1"/>
    <w:rsid w:val="003E765F"/>
    <w:rsid w:val="003F015E"/>
    <w:rsid w:val="003F01D6"/>
    <w:rsid w:val="003F0BE8"/>
    <w:rsid w:val="003F0C55"/>
    <w:rsid w:val="003F29B0"/>
    <w:rsid w:val="003F2EDA"/>
    <w:rsid w:val="003F4CCE"/>
    <w:rsid w:val="00400414"/>
    <w:rsid w:val="00402458"/>
    <w:rsid w:val="00403446"/>
    <w:rsid w:val="00406194"/>
    <w:rsid w:val="00407564"/>
    <w:rsid w:val="00412F7F"/>
    <w:rsid w:val="0041446B"/>
    <w:rsid w:val="00415AF2"/>
    <w:rsid w:val="00416900"/>
    <w:rsid w:val="00425DE6"/>
    <w:rsid w:val="00427C2B"/>
    <w:rsid w:val="004336B4"/>
    <w:rsid w:val="00433C61"/>
    <w:rsid w:val="00434529"/>
    <w:rsid w:val="00437D0D"/>
    <w:rsid w:val="0044071E"/>
    <w:rsid w:val="0044329C"/>
    <w:rsid w:val="004447C7"/>
    <w:rsid w:val="004472D1"/>
    <w:rsid w:val="0045075F"/>
    <w:rsid w:val="00453E24"/>
    <w:rsid w:val="00454092"/>
    <w:rsid w:val="0045449D"/>
    <w:rsid w:val="0045593C"/>
    <w:rsid w:val="00457456"/>
    <w:rsid w:val="004577FE"/>
    <w:rsid w:val="00457B9C"/>
    <w:rsid w:val="0046164A"/>
    <w:rsid w:val="004628D2"/>
    <w:rsid w:val="00462DCD"/>
    <w:rsid w:val="004648AD"/>
    <w:rsid w:val="00467321"/>
    <w:rsid w:val="004703A9"/>
    <w:rsid w:val="004718B4"/>
    <w:rsid w:val="004754B7"/>
    <w:rsid w:val="004760DE"/>
    <w:rsid w:val="004763D7"/>
    <w:rsid w:val="00481D41"/>
    <w:rsid w:val="00482031"/>
    <w:rsid w:val="004836C0"/>
    <w:rsid w:val="004837FB"/>
    <w:rsid w:val="00484298"/>
    <w:rsid w:val="00484CF6"/>
    <w:rsid w:val="004918C4"/>
    <w:rsid w:val="00491CC5"/>
    <w:rsid w:val="004950AF"/>
    <w:rsid w:val="00495B00"/>
    <w:rsid w:val="004975C0"/>
    <w:rsid w:val="004A004E"/>
    <w:rsid w:val="004A24CF"/>
    <w:rsid w:val="004A530E"/>
    <w:rsid w:val="004A772E"/>
    <w:rsid w:val="004B0384"/>
    <w:rsid w:val="004B5DA5"/>
    <w:rsid w:val="004B5DE9"/>
    <w:rsid w:val="004B7D7B"/>
    <w:rsid w:val="004C3D1D"/>
    <w:rsid w:val="004C3D84"/>
    <w:rsid w:val="004C7913"/>
    <w:rsid w:val="004D170B"/>
    <w:rsid w:val="004D2E39"/>
    <w:rsid w:val="004D34E3"/>
    <w:rsid w:val="004D7104"/>
    <w:rsid w:val="004D7CA3"/>
    <w:rsid w:val="004E1410"/>
    <w:rsid w:val="004E2E41"/>
    <w:rsid w:val="004E3C23"/>
    <w:rsid w:val="004E41F4"/>
    <w:rsid w:val="004E4DD6"/>
    <w:rsid w:val="004E5312"/>
    <w:rsid w:val="004E6280"/>
    <w:rsid w:val="004E67AE"/>
    <w:rsid w:val="004E7133"/>
    <w:rsid w:val="004E75F3"/>
    <w:rsid w:val="004E7C27"/>
    <w:rsid w:val="004F5E36"/>
    <w:rsid w:val="004F6254"/>
    <w:rsid w:val="00500053"/>
    <w:rsid w:val="00500A64"/>
    <w:rsid w:val="005034FB"/>
    <w:rsid w:val="00507B47"/>
    <w:rsid w:val="00507BEF"/>
    <w:rsid w:val="00507CC9"/>
    <w:rsid w:val="005119A5"/>
    <w:rsid w:val="00513910"/>
    <w:rsid w:val="00514C77"/>
    <w:rsid w:val="005173D9"/>
    <w:rsid w:val="00520DC4"/>
    <w:rsid w:val="00520DFE"/>
    <w:rsid w:val="00521D94"/>
    <w:rsid w:val="00522D2D"/>
    <w:rsid w:val="0052364F"/>
    <w:rsid w:val="00523E8F"/>
    <w:rsid w:val="005278B7"/>
    <w:rsid w:val="005318CD"/>
    <w:rsid w:val="00532016"/>
    <w:rsid w:val="00532E67"/>
    <w:rsid w:val="00533682"/>
    <w:rsid w:val="005346C8"/>
    <w:rsid w:val="005420E0"/>
    <w:rsid w:val="00543099"/>
    <w:rsid w:val="005434CE"/>
    <w:rsid w:val="00543E7D"/>
    <w:rsid w:val="00547A68"/>
    <w:rsid w:val="00551E2E"/>
    <w:rsid w:val="005531C9"/>
    <w:rsid w:val="00554879"/>
    <w:rsid w:val="00554ED5"/>
    <w:rsid w:val="00554FB1"/>
    <w:rsid w:val="00562EC8"/>
    <w:rsid w:val="00566FED"/>
    <w:rsid w:val="00567855"/>
    <w:rsid w:val="00570C43"/>
    <w:rsid w:val="005718C7"/>
    <w:rsid w:val="0058127D"/>
    <w:rsid w:val="005846F4"/>
    <w:rsid w:val="005848EF"/>
    <w:rsid w:val="00592274"/>
    <w:rsid w:val="00592D3B"/>
    <w:rsid w:val="0059566E"/>
    <w:rsid w:val="005A079A"/>
    <w:rsid w:val="005A16C1"/>
    <w:rsid w:val="005A24EA"/>
    <w:rsid w:val="005A37C9"/>
    <w:rsid w:val="005A6CFD"/>
    <w:rsid w:val="005A7CFD"/>
    <w:rsid w:val="005B2110"/>
    <w:rsid w:val="005B2C5C"/>
    <w:rsid w:val="005B350B"/>
    <w:rsid w:val="005B3B7B"/>
    <w:rsid w:val="005B61E6"/>
    <w:rsid w:val="005C4EF0"/>
    <w:rsid w:val="005C5084"/>
    <w:rsid w:val="005C51FE"/>
    <w:rsid w:val="005C637C"/>
    <w:rsid w:val="005C77E1"/>
    <w:rsid w:val="005D1C51"/>
    <w:rsid w:val="005D5123"/>
    <w:rsid w:val="005D668A"/>
    <w:rsid w:val="005D6A2F"/>
    <w:rsid w:val="005D77C6"/>
    <w:rsid w:val="005E0592"/>
    <w:rsid w:val="005E0CE9"/>
    <w:rsid w:val="005E0FD2"/>
    <w:rsid w:val="005E1A82"/>
    <w:rsid w:val="005E1C65"/>
    <w:rsid w:val="005E1EA6"/>
    <w:rsid w:val="005E794C"/>
    <w:rsid w:val="005F0A28"/>
    <w:rsid w:val="005F0E5E"/>
    <w:rsid w:val="005F4DE7"/>
    <w:rsid w:val="005F52D3"/>
    <w:rsid w:val="00600535"/>
    <w:rsid w:val="00601254"/>
    <w:rsid w:val="006018B1"/>
    <w:rsid w:val="00604FDF"/>
    <w:rsid w:val="00610CD6"/>
    <w:rsid w:val="00616254"/>
    <w:rsid w:val="00616796"/>
    <w:rsid w:val="00620DEE"/>
    <w:rsid w:val="00621926"/>
    <w:rsid w:val="00621F92"/>
    <w:rsid w:val="00622728"/>
    <w:rsid w:val="00622747"/>
    <w:rsid w:val="0062280A"/>
    <w:rsid w:val="006231E1"/>
    <w:rsid w:val="00623A5D"/>
    <w:rsid w:val="00624D37"/>
    <w:rsid w:val="00625639"/>
    <w:rsid w:val="00626342"/>
    <w:rsid w:val="00626B71"/>
    <w:rsid w:val="00627FB3"/>
    <w:rsid w:val="00631B33"/>
    <w:rsid w:val="00633A18"/>
    <w:rsid w:val="00634374"/>
    <w:rsid w:val="006345E6"/>
    <w:rsid w:val="00635B6C"/>
    <w:rsid w:val="00640937"/>
    <w:rsid w:val="0064184D"/>
    <w:rsid w:val="006422CC"/>
    <w:rsid w:val="00647C64"/>
    <w:rsid w:val="00651D18"/>
    <w:rsid w:val="00651F50"/>
    <w:rsid w:val="006524AC"/>
    <w:rsid w:val="00652F32"/>
    <w:rsid w:val="0065620B"/>
    <w:rsid w:val="00657750"/>
    <w:rsid w:val="00660E3E"/>
    <w:rsid w:val="0066172C"/>
    <w:rsid w:val="00661D81"/>
    <w:rsid w:val="00662265"/>
    <w:rsid w:val="00662E74"/>
    <w:rsid w:val="0066473C"/>
    <w:rsid w:val="00665564"/>
    <w:rsid w:val="006659D7"/>
    <w:rsid w:val="006675DA"/>
    <w:rsid w:val="006703A3"/>
    <w:rsid w:val="00674F08"/>
    <w:rsid w:val="0067795B"/>
    <w:rsid w:val="00680C23"/>
    <w:rsid w:val="00682743"/>
    <w:rsid w:val="00683E23"/>
    <w:rsid w:val="006871AE"/>
    <w:rsid w:val="006872B0"/>
    <w:rsid w:val="00690FF5"/>
    <w:rsid w:val="00693766"/>
    <w:rsid w:val="0069509E"/>
    <w:rsid w:val="006979B1"/>
    <w:rsid w:val="00697D65"/>
    <w:rsid w:val="006A1BBB"/>
    <w:rsid w:val="006A3281"/>
    <w:rsid w:val="006A6DE5"/>
    <w:rsid w:val="006B4888"/>
    <w:rsid w:val="006B608A"/>
    <w:rsid w:val="006B7355"/>
    <w:rsid w:val="006C2E45"/>
    <w:rsid w:val="006C359C"/>
    <w:rsid w:val="006C4140"/>
    <w:rsid w:val="006C4222"/>
    <w:rsid w:val="006C5579"/>
    <w:rsid w:val="006D0F39"/>
    <w:rsid w:val="006D330D"/>
    <w:rsid w:val="006D6E8B"/>
    <w:rsid w:val="006D7209"/>
    <w:rsid w:val="006E030E"/>
    <w:rsid w:val="006E19F1"/>
    <w:rsid w:val="006E27C2"/>
    <w:rsid w:val="006E729B"/>
    <w:rsid w:val="006E737D"/>
    <w:rsid w:val="006F3B81"/>
    <w:rsid w:val="006F4CE0"/>
    <w:rsid w:val="006F5989"/>
    <w:rsid w:val="007019C3"/>
    <w:rsid w:val="0070630B"/>
    <w:rsid w:val="00707DD1"/>
    <w:rsid w:val="007102C9"/>
    <w:rsid w:val="00713973"/>
    <w:rsid w:val="00715717"/>
    <w:rsid w:val="00715F06"/>
    <w:rsid w:val="0071696E"/>
    <w:rsid w:val="00717474"/>
    <w:rsid w:val="00717FA5"/>
    <w:rsid w:val="00720A24"/>
    <w:rsid w:val="00720AEE"/>
    <w:rsid w:val="00722D6C"/>
    <w:rsid w:val="00725B1C"/>
    <w:rsid w:val="00725ECE"/>
    <w:rsid w:val="007320CD"/>
    <w:rsid w:val="00732386"/>
    <w:rsid w:val="0073514D"/>
    <w:rsid w:val="00735D53"/>
    <w:rsid w:val="007369BB"/>
    <w:rsid w:val="00736EE1"/>
    <w:rsid w:val="00743D6C"/>
    <w:rsid w:val="007447F3"/>
    <w:rsid w:val="007530F2"/>
    <w:rsid w:val="0075499F"/>
    <w:rsid w:val="00754D00"/>
    <w:rsid w:val="00757344"/>
    <w:rsid w:val="00761D7C"/>
    <w:rsid w:val="00762CB7"/>
    <w:rsid w:val="007661C8"/>
    <w:rsid w:val="00770213"/>
    <w:rsid w:val="0077029D"/>
    <w:rsid w:val="0077098D"/>
    <w:rsid w:val="007752CE"/>
    <w:rsid w:val="00776734"/>
    <w:rsid w:val="007767B1"/>
    <w:rsid w:val="00777A6F"/>
    <w:rsid w:val="00782FF2"/>
    <w:rsid w:val="00785A73"/>
    <w:rsid w:val="00785BF9"/>
    <w:rsid w:val="007931FA"/>
    <w:rsid w:val="007932EE"/>
    <w:rsid w:val="00797E31"/>
    <w:rsid w:val="007A0665"/>
    <w:rsid w:val="007A4861"/>
    <w:rsid w:val="007A61E2"/>
    <w:rsid w:val="007A7BBA"/>
    <w:rsid w:val="007B0C50"/>
    <w:rsid w:val="007B112C"/>
    <w:rsid w:val="007B45A9"/>
    <w:rsid w:val="007B48F9"/>
    <w:rsid w:val="007B5B44"/>
    <w:rsid w:val="007B6296"/>
    <w:rsid w:val="007C1A43"/>
    <w:rsid w:val="007C4DE0"/>
    <w:rsid w:val="007C576D"/>
    <w:rsid w:val="007C7F6F"/>
    <w:rsid w:val="007D018D"/>
    <w:rsid w:val="007D0258"/>
    <w:rsid w:val="007D038E"/>
    <w:rsid w:val="007D0951"/>
    <w:rsid w:val="007D0C0C"/>
    <w:rsid w:val="007D2754"/>
    <w:rsid w:val="007D3AF6"/>
    <w:rsid w:val="007D610D"/>
    <w:rsid w:val="007D615B"/>
    <w:rsid w:val="007E0284"/>
    <w:rsid w:val="007E19CD"/>
    <w:rsid w:val="007E6851"/>
    <w:rsid w:val="007E69B0"/>
    <w:rsid w:val="007E7F43"/>
    <w:rsid w:val="0080013E"/>
    <w:rsid w:val="00801759"/>
    <w:rsid w:val="00806498"/>
    <w:rsid w:val="00811160"/>
    <w:rsid w:val="00812947"/>
    <w:rsid w:val="00813288"/>
    <w:rsid w:val="008168FC"/>
    <w:rsid w:val="00830996"/>
    <w:rsid w:val="008327F6"/>
    <w:rsid w:val="0083280A"/>
    <w:rsid w:val="008345F1"/>
    <w:rsid w:val="00834821"/>
    <w:rsid w:val="00840583"/>
    <w:rsid w:val="00841220"/>
    <w:rsid w:val="00841AA0"/>
    <w:rsid w:val="008427A9"/>
    <w:rsid w:val="0084296E"/>
    <w:rsid w:val="008456C1"/>
    <w:rsid w:val="00847D87"/>
    <w:rsid w:val="00852CDB"/>
    <w:rsid w:val="00854588"/>
    <w:rsid w:val="00863055"/>
    <w:rsid w:val="00865B07"/>
    <w:rsid w:val="008667EA"/>
    <w:rsid w:val="00871FCF"/>
    <w:rsid w:val="0087520C"/>
    <w:rsid w:val="0087637F"/>
    <w:rsid w:val="00877805"/>
    <w:rsid w:val="00884EAB"/>
    <w:rsid w:val="00885A60"/>
    <w:rsid w:val="00887C09"/>
    <w:rsid w:val="00892AD5"/>
    <w:rsid w:val="00894300"/>
    <w:rsid w:val="00895699"/>
    <w:rsid w:val="008A1512"/>
    <w:rsid w:val="008A75E3"/>
    <w:rsid w:val="008A7672"/>
    <w:rsid w:val="008B0342"/>
    <w:rsid w:val="008B0682"/>
    <w:rsid w:val="008B2711"/>
    <w:rsid w:val="008B4799"/>
    <w:rsid w:val="008B5193"/>
    <w:rsid w:val="008B6510"/>
    <w:rsid w:val="008B7553"/>
    <w:rsid w:val="008C270B"/>
    <w:rsid w:val="008C647A"/>
    <w:rsid w:val="008C68EC"/>
    <w:rsid w:val="008C71E1"/>
    <w:rsid w:val="008D32B9"/>
    <w:rsid w:val="008D399C"/>
    <w:rsid w:val="008D3CEA"/>
    <w:rsid w:val="008D433B"/>
    <w:rsid w:val="008D4A16"/>
    <w:rsid w:val="008D5D26"/>
    <w:rsid w:val="008D653A"/>
    <w:rsid w:val="008E5401"/>
    <w:rsid w:val="008E566E"/>
    <w:rsid w:val="008F0702"/>
    <w:rsid w:val="008F23EE"/>
    <w:rsid w:val="008F27E2"/>
    <w:rsid w:val="008F77F9"/>
    <w:rsid w:val="00901218"/>
    <w:rsid w:val="0090161A"/>
    <w:rsid w:val="00901EB6"/>
    <w:rsid w:val="009041F8"/>
    <w:rsid w:val="0090438B"/>
    <w:rsid w:val="00904C62"/>
    <w:rsid w:val="009058EF"/>
    <w:rsid w:val="00907A59"/>
    <w:rsid w:val="009100BA"/>
    <w:rsid w:val="00910DA0"/>
    <w:rsid w:val="009117F4"/>
    <w:rsid w:val="00922481"/>
    <w:rsid w:val="00922BA8"/>
    <w:rsid w:val="00924387"/>
    <w:rsid w:val="00924D27"/>
    <w:rsid w:val="00924DAC"/>
    <w:rsid w:val="009254DD"/>
    <w:rsid w:val="0092588B"/>
    <w:rsid w:val="00926E0D"/>
    <w:rsid w:val="00927058"/>
    <w:rsid w:val="00931C81"/>
    <w:rsid w:val="009327DD"/>
    <w:rsid w:val="00932A58"/>
    <w:rsid w:val="0094171C"/>
    <w:rsid w:val="00942750"/>
    <w:rsid w:val="00942BC0"/>
    <w:rsid w:val="00943306"/>
    <w:rsid w:val="00943A36"/>
    <w:rsid w:val="009450CE"/>
    <w:rsid w:val="009459BB"/>
    <w:rsid w:val="00947179"/>
    <w:rsid w:val="00947423"/>
    <w:rsid w:val="009479AE"/>
    <w:rsid w:val="009511D1"/>
    <w:rsid w:val="0095164B"/>
    <w:rsid w:val="009518DB"/>
    <w:rsid w:val="00952652"/>
    <w:rsid w:val="00954090"/>
    <w:rsid w:val="009545CF"/>
    <w:rsid w:val="00954F18"/>
    <w:rsid w:val="009573E7"/>
    <w:rsid w:val="00963E05"/>
    <w:rsid w:val="00964A45"/>
    <w:rsid w:val="0096717E"/>
    <w:rsid w:val="00967843"/>
    <w:rsid w:val="00967D54"/>
    <w:rsid w:val="00971028"/>
    <w:rsid w:val="009752F1"/>
    <w:rsid w:val="009753F7"/>
    <w:rsid w:val="009765A7"/>
    <w:rsid w:val="009769F2"/>
    <w:rsid w:val="009834ED"/>
    <w:rsid w:val="00983561"/>
    <w:rsid w:val="00984A6C"/>
    <w:rsid w:val="0098602D"/>
    <w:rsid w:val="00986952"/>
    <w:rsid w:val="00987398"/>
    <w:rsid w:val="00987461"/>
    <w:rsid w:val="00993B84"/>
    <w:rsid w:val="00994C6A"/>
    <w:rsid w:val="00996483"/>
    <w:rsid w:val="00996F5A"/>
    <w:rsid w:val="0099769F"/>
    <w:rsid w:val="009A1D0F"/>
    <w:rsid w:val="009A25B4"/>
    <w:rsid w:val="009A4C03"/>
    <w:rsid w:val="009A75BD"/>
    <w:rsid w:val="009A7851"/>
    <w:rsid w:val="009B02F0"/>
    <w:rsid w:val="009B041A"/>
    <w:rsid w:val="009B1484"/>
    <w:rsid w:val="009B5C16"/>
    <w:rsid w:val="009B63E0"/>
    <w:rsid w:val="009B6E57"/>
    <w:rsid w:val="009B6F4F"/>
    <w:rsid w:val="009B7AE1"/>
    <w:rsid w:val="009C37C3"/>
    <w:rsid w:val="009C7C86"/>
    <w:rsid w:val="009D063B"/>
    <w:rsid w:val="009D2FF7"/>
    <w:rsid w:val="009D4654"/>
    <w:rsid w:val="009D6936"/>
    <w:rsid w:val="009D78ED"/>
    <w:rsid w:val="009E11D3"/>
    <w:rsid w:val="009E25B4"/>
    <w:rsid w:val="009E6045"/>
    <w:rsid w:val="009E7884"/>
    <w:rsid w:val="009E788A"/>
    <w:rsid w:val="009F0E08"/>
    <w:rsid w:val="009F1ABB"/>
    <w:rsid w:val="009F53CD"/>
    <w:rsid w:val="009F7653"/>
    <w:rsid w:val="009F7C5F"/>
    <w:rsid w:val="00A051F1"/>
    <w:rsid w:val="00A079AE"/>
    <w:rsid w:val="00A10C9B"/>
    <w:rsid w:val="00A11506"/>
    <w:rsid w:val="00A14AA6"/>
    <w:rsid w:val="00A14CF4"/>
    <w:rsid w:val="00A1763D"/>
    <w:rsid w:val="00A17CEC"/>
    <w:rsid w:val="00A25A45"/>
    <w:rsid w:val="00A2724B"/>
    <w:rsid w:val="00A27EF0"/>
    <w:rsid w:val="00A3120E"/>
    <w:rsid w:val="00A31BB6"/>
    <w:rsid w:val="00A31FE6"/>
    <w:rsid w:val="00A329BC"/>
    <w:rsid w:val="00A33F59"/>
    <w:rsid w:val="00A377DD"/>
    <w:rsid w:val="00A41C92"/>
    <w:rsid w:val="00A42361"/>
    <w:rsid w:val="00A433F9"/>
    <w:rsid w:val="00A468C1"/>
    <w:rsid w:val="00A4758A"/>
    <w:rsid w:val="00A4778B"/>
    <w:rsid w:val="00A50B20"/>
    <w:rsid w:val="00A51375"/>
    <w:rsid w:val="00A51390"/>
    <w:rsid w:val="00A60D13"/>
    <w:rsid w:val="00A61600"/>
    <w:rsid w:val="00A62ABB"/>
    <w:rsid w:val="00A6341A"/>
    <w:rsid w:val="00A63871"/>
    <w:rsid w:val="00A64198"/>
    <w:rsid w:val="00A6685E"/>
    <w:rsid w:val="00A7223D"/>
    <w:rsid w:val="00A72745"/>
    <w:rsid w:val="00A7333D"/>
    <w:rsid w:val="00A7462C"/>
    <w:rsid w:val="00A75503"/>
    <w:rsid w:val="00A75760"/>
    <w:rsid w:val="00A7682F"/>
    <w:rsid w:val="00A76EFC"/>
    <w:rsid w:val="00A77514"/>
    <w:rsid w:val="00A80B1D"/>
    <w:rsid w:val="00A818C1"/>
    <w:rsid w:val="00A81DCE"/>
    <w:rsid w:val="00A87D50"/>
    <w:rsid w:val="00A9059B"/>
    <w:rsid w:val="00A90822"/>
    <w:rsid w:val="00A91010"/>
    <w:rsid w:val="00A91F9F"/>
    <w:rsid w:val="00A93F86"/>
    <w:rsid w:val="00A93FD7"/>
    <w:rsid w:val="00A966D4"/>
    <w:rsid w:val="00A97F29"/>
    <w:rsid w:val="00AA2425"/>
    <w:rsid w:val="00AA3588"/>
    <w:rsid w:val="00AA69D1"/>
    <w:rsid w:val="00AA702E"/>
    <w:rsid w:val="00AA7D26"/>
    <w:rsid w:val="00AB0964"/>
    <w:rsid w:val="00AB4329"/>
    <w:rsid w:val="00AB5011"/>
    <w:rsid w:val="00AC0B5C"/>
    <w:rsid w:val="00AC2E7A"/>
    <w:rsid w:val="00AC39C6"/>
    <w:rsid w:val="00AC474D"/>
    <w:rsid w:val="00AC4B7E"/>
    <w:rsid w:val="00AC6CD1"/>
    <w:rsid w:val="00AC6E22"/>
    <w:rsid w:val="00AC7368"/>
    <w:rsid w:val="00AD0E8A"/>
    <w:rsid w:val="00AD16B9"/>
    <w:rsid w:val="00AD1EB1"/>
    <w:rsid w:val="00AD4FBC"/>
    <w:rsid w:val="00AD7B1A"/>
    <w:rsid w:val="00AE377D"/>
    <w:rsid w:val="00AE4D19"/>
    <w:rsid w:val="00AF0EBA"/>
    <w:rsid w:val="00AF18DD"/>
    <w:rsid w:val="00AF1F27"/>
    <w:rsid w:val="00AF2441"/>
    <w:rsid w:val="00AF2463"/>
    <w:rsid w:val="00B005DA"/>
    <w:rsid w:val="00B02C8A"/>
    <w:rsid w:val="00B049CE"/>
    <w:rsid w:val="00B05A0A"/>
    <w:rsid w:val="00B07ACC"/>
    <w:rsid w:val="00B13125"/>
    <w:rsid w:val="00B17FBD"/>
    <w:rsid w:val="00B20D3B"/>
    <w:rsid w:val="00B22305"/>
    <w:rsid w:val="00B22F18"/>
    <w:rsid w:val="00B2512D"/>
    <w:rsid w:val="00B30B86"/>
    <w:rsid w:val="00B315A6"/>
    <w:rsid w:val="00B31813"/>
    <w:rsid w:val="00B32876"/>
    <w:rsid w:val="00B33365"/>
    <w:rsid w:val="00B347B5"/>
    <w:rsid w:val="00B417C5"/>
    <w:rsid w:val="00B41BB3"/>
    <w:rsid w:val="00B42AE7"/>
    <w:rsid w:val="00B44FA0"/>
    <w:rsid w:val="00B477CF"/>
    <w:rsid w:val="00B47A93"/>
    <w:rsid w:val="00B52461"/>
    <w:rsid w:val="00B524DB"/>
    <w:rsid w:val="00B53A9E"/>
    <w:rsid w:val="00B55181"/>
    <w:rsid w:val="00B559B8"/>
    <w:rsid w:val="00B55A0A"/>
    <w:rsid w:val="00B57B36"/>
    <w:rsid w:val="00B57E6F"/>
    <w:rsid w:val="00B6124D"/>
    <w:rsid w:val="00B64A64"/>
    <w:rsid w:val="00B723AE"/>
    <w:rsid w:val="00B8073D"/>
    <w:rsid w:val="00B811E2"/>
    <w:rsid w:val="00B81943"/>
    <w:rsid w:val="00B822DC"/>
    <w:rsid w:val="00B82C93"/>
    <w:rsid w:val="00B832F9"/>
    <w:rsid w:val="00B8591E"/>
    <w:rsid w:val="00B8686D"/>
    <w:rsid w:val="00B86DD9"/>
    <w:rsid w:val="00B92592"/>
    <w:rsid w:val="00B93F69"/>
    <w:rsid w:val="00B97C09"/>
    <w:rsid w:val="00BA0076"/>
    <w:rsid w:val="00BA1D62"/>
    <w:rsid w:val="00BA2891"/>
    <w:rsid w:val="00BA3A98"/>
    <w:rsid w:val="00BB1DDC"/>
    <w:rsid w:val="00BB2D97"/>
    <w:rsid w:val="00BB5B6D"/>
    <w:rsid w:val="00BC30C9"/>
    <w:rsid w:val="00BC4E18"/>
    <w:rsid w:val="00BD042B"/>
    <w:rsid w:val="00BD077D"/>
    <w:rsid w:val="00BD3600"/>
    <w:rsid w:val="00BD4BDB"/>
    <w:rsid w:val="00BD651F"/>
    <w:rsid w:val="00BD7DE5"/>
    <w:rsid w:val="00BE3E58"/>
    <w:rsid w:val="00BE4A15"/>
    <w:rsid w:val="00BE70BA"/>
    <w:rsid w:val="00BF1291"/>
    <w:rsid w:val="00BF13CE"/>
    <w:rsid w:val="00BF2C89"/>
    <w:rsid w:val="00BF3DDD"/>
    <w:rsid w:val="00BF7FF2"/>
    <w:rsid w:val="00C00974"/>
    <w:rsid w:val="00C01616"/>
    <w:rsid w:val="00C0162B"/>
    <w:rsid w:val="00C06779"/>
    <w:rsid w:val="00C068ED"/>
    <w:rsid w:val="00C1323D"/>
    <w:rsid w:val="00C175E8"/>
    <w:rsid w:val="00C22C12"/>
    <w:rsid w:val="00C22E0C"/>
    <w:rsid w:val="00C247BB"/>
    <w:rsid w:val="00C2773C"/>
    <w:rsid w:val="00C27D53"/>
    <w:rsid w:val="00C335AD"/>
    <w:rsid w:val="00C345B1"/>
    <w:rsid w:val="00C40142"/>
    <w:rsid w:val="00C4287F"/>
    <w:rsid w:val="00C52C3C"/>
    <w:rsid w:val="00C5603F"/>
    <w:rsid w:val="00C5703F"/>
    <w:rsid w:val="00C57182"/>
    <w:rsid w:val="00C57863"/>
    <w:rsid w:val="00C61E7F"/>
    <w:rsid w:val="00C63A0D"/>
    <w:rsid w:val="00C640AF"/>
    <w:rsid w:val="00C64BC8"/>
    <w:rsid w:val="00C655FD"/>
    <w:rsid w:val="00C75407"/>
    <w:rsid w:val="00C77C8B"/>
    <w:rsid w:val="00C80397"/>
    <w:rsid w:val="00C82567"/>
    <w:rsid w:val="00C841C6"/>
    <w:rsid w:val="00C84B9B"/>
    <w:rsid w:val="00C84D67"/>
    <w:rsid w:val="00C870A8"/>
    <w:rsid w:val="00C94434"/>
    <w:rsid w:val="00C95347"/>
    <w:rsid w:val="00C96882"/>
    <w:rsid w:val="00C96A82"/>
    <w:rsid w:val="00C97DB9"/>
    <w:rsid w:val="00CA0D75"/>
    <w:rsid w:val="00CA1C95"/>
    <w:rsid w:val="00CA2636"/>
    <w:rsid w:val="00CA57D9"/>
    <w:rsid w:val="00CA5A9C"/>
    <w:rsid w:val="00CB2E19"/>
    <w:rsid w:val="00CB6734"/>
    <w:rsid w:val="00CC1A95"/>
    <w:rsid w:val="00CC36F3"/>
    <w:rsid w:val="00CC4C20"/>
    <w:rsid w:val="00CC508D"/>
    <w:rsid w:val="00CC637D"/>
    <w:rsid w:val="00CD0645"/>
    <w:rsid w:val="00CD1B67"/>
    <w:rsid w:val="00CD3517"/>
    <w:rsid w:val="00CD533E"/>
    <w:rsid w:val="00CD5FE2"/>
    <w:rsid w:val="00CD6775"/>
    <w:rsid w:val="00CE232F"/>
    <w:rsid w:val="00CE2751"/>
    <w:rsid w:val="00CE3027"/>
    <w:rsid w:val="00CE6D61"/>
    <w:rsid w:val="00CE7C68"/>
    <w:rsid w:val="00CF0998"/>
    <w:rsid w:val="00CF4889"/>
    <w:rsid w:val="00CF48DF"/>
    <w:rsid w:val="00CF72F5"/>
    <w:rsid w:val="00D027AB"/>
    <w:rsid w:val="00D02B4C"/>
    <w:rsid w:val="00D0346A"/>
    <w:rsid w:val="00D03C47"/>
    <w:rsid w:val="00D03F31"/>
    <w:rsid w:val="00D040C4"/>
    <w:rsid w:val="00D15306"/>
    <w:rsid w:val="00D20AD1"/>
    <w:rsid w:val="00D224B6"/>
    <w:rsid w:val="00D2582C"/>
    <w:rsid w:val="00D34006"/>
    <w:rsid w:val="00D40283"/>
    <w:rsid w:val="00D418D7"/>
    <w:rsid w:val="00D44C5C"/>
    <w:rsid w:val="00D45901"/>
    <w:rsid w:val="00D46B7E"/>
    <w:rsid w:val="00D47E80"/>
    <w:rsid w:val="00D51532"/>
    <w:rsid w:val="00D52D0E"/>
    <w:rsid w:val="00D57C84"/>
    <w:rsid w:val="00D6057D"/>
    <w:rsid w:val="00D6088B"/>
    <w:rsid w:val="00D61632"/>
    <w:rsid w:val="00D65546"/>
    <w:rsid w:val="00D70A01"/>
    <w:rsid w:val="00D71640"/>
    <w:rsid w:val="00D7462C"/>
    <w:rsid w:val="00D75DEA"/>
    <w:rsid w:val="00D75F53"/>
    <w:rsid w:val="00D836C5"/>
    <w:rsid w:val="00D84576"/>
    <w:rsid w:val="00D85896"/>
    <w:rsid w:val="00D85AC6"/>
    <w:rsid w:val="00D874BF"/>
    <w:rsid w:val="00D90E5F"/>
    <w:rsid w:val="00D93F83"/>
    <w:rsid w:val="00D96BFF"/>
    <w:rsid w:val="00DA1399"/>
    <w:rsid w:val="00DA24C6"/>
    <w:rsid w:val="00DA2594"/>
    <w:rsid w:val="00DA4D7B"/>
    <w:rsid w:val="00DA5D16"/>
    <w:rsid w:val="00DA7C05"/>
    <w:rsid w:val="00DB29E6"/>
    <w:rsid w:val="00DB3C4E"/>
    <w:rsid w:val="00DC17FB"/>
    <w:rsid w:val="00DC2840"/>
    <w:rsid w:val="00DC6A80"/>
    <w:rsid w:val="00DC73EE"/>
    <w:rsid w:val="00DD271C"/>
    <w:rsid w:val="00DD4367"/>
    <w:rsid w:val="00DD7934"/>
    <w:rsid w:val="00DD7C3E"/>
    <w:rsid w:val="00DE11F1"/>
    <w:rsid w:val="00DE1A11"/>
    <w:rsid w:val="00DE264A"/>
    <w:rsid w:val="00DE2F51"/>
    <w:rsid w:val="00DE4667"/>
    <w:rsid w:val="00DE71B2"/>
    <w:rsid w:val="00DF344D"/>
    <w:rsid w:val="00DF5072"/>
    <w:rsid w:val="00E014B6"/>
    <w:rsid w:val="00E01AA7"/>
    <w:rsid w:val="00E02D18"/>
    <w:rsid w:val="00E041E7"/>
    <w:rsid w:val="00E06148"/>
    <w:rsid w:val="00E1295D"/>
    <w:rsid w:val="00E129D2"/>
    <w:rsid w:val="00E15A76"/>
    <w:rsid w:val="00E224FC"/>
    <w:rsid w:val="00E23CA1"/>
    <w:rsid w:val="00E2429D"/>
    <w:rsid w:val="00E254BA"/>
    <w:rsid w:val="00E263E9"/>
    <w:rsid w:val="00E27407"/>
    <w:rsid w:val="00E310C0"/>
    <w:rsid w:val="00E32122"/>
    <w:rsid w:val="00E33649"/>
    <w:rsid w:val="00E355EA"/>
    <w:rsid w:val="00E361DE"/>
    <w:rsid w:val="00E37445"/>
    <w:rsid w:val="00E409A8"/>
    <w:rsid w:val="00E43A23"/>
    <w:rsid w:val="00E46FEA"/>
    <w:rsid w:val="00E50C12"/>
    <w:rsid w:val="00E514F0"/>
    <w:rsid w:val="00E53599"/>
    <w:rsid w:val="00E54468"/>
    <w:rsid w:val="00E55D98"/>
    <w:rsid w:val="00E657E1"/>
    <w:rsid w:val="00E65B91"/>
    <w:rsid w:val="00E676DB"/>
    <w:rsid w:val="00E7209D"/>
    <w:rsid w:val="00E72EAD"/>
    <w:rsid w:val="00E7692F"/>
    <w:rsid w:val="00E77223"/>
    <w:rsid w:val="00E80F02"/>
    <w:rsid w:val="00E84048"/>
    <w:rsid w:val="00E8528B"/>
    <w:rsid w:val="00E85B94"/>
    <w:rsid w:val="00E865BF"/>
    <w:rsid w:val="00E91249"/>
    <w:rsid w:val="00E91F30"/>
    <w:rsid w:val="00E94FD3"/>
    <w:rsid w:val="00E95564"/>
    <w:rsid w:val="00E962EA"/>
    <w:rsid w:val="00E978D0"/>
    <w:rsid w:val="00E97942"/>
    <w:rsid w:val="00EA0B69"/>
    <w:rsid w:val="00EA0BE1"/>
    <w:rsid w:val="00EA25CC"/>
    <w:rsid w:val="00EA4613"/>
    <w:rsid w:val="00EA6061"/>
    <w:rsid w:val="00EA66D4"/>
    <w:rsid w:val="00EA7F91"/>
    <w:rsid w:val="00EB1523"/>
    <w:rsid w:val="00EB1622"/>
    <w:rsid w:val="00EB2286"/>
    <w:rsid w:val="00EB3184"/>
    <w:rsid w:val="00EB4D1E"/>
    <w:rsid w:val="00EB615C"/>
    <w:rsid w:val="00EB623F"/>
    <w:rsid w:val="00EB6A33"/>
    <w:rsid w:val="00EC0E49"/>
    <w:rsid w:val="00EC101F"/>
    <w:rsid w:val="00EC1D9F"/>
    <w:rsid w:val="00ED2C67"/>
    <w:rsid w:val="00ED4CCC"/>
    <w:rsid w:val="00ED70F7"/>
    <w:rsid w:val="00EE0131"/>
    <w:rsid w:val="00EE17B0"/>
    <w:rsid w:val="00EE1CA0"/>
    <w:rsid w:val="00EE3684"/>
    <w:rsid w:val="00EE5B24"/>
    <w:rsid w:val="00EF06D9"/>
    <w:rsid w:val="00EF704A"/>
    <w:rsid w:val="00EF7F7B"/>
    <w:rsid w:val="00F046CB"/>
    <w:rsid w:val="00F05C55"/>
    <w:rsid w:val="00F1493B"/>
    <w:rsid w:val="00F15848"/>
    <w:rsid w:val="00F17B26"/>
    <w:rsid w:val="00F204E7"/>
    <w:rsid w:val="00F22F2A"/>
    <w:rsid w:val="00F253CB"/>
    <w:rsid w:val="00F2578B"/>
    <w:rsid w:val="00F2611E"/>
    <w:rsid w:val="00F3049E"/>
    <w:rsid w:val="00F30C64"/>
    <w:rsid w:val="00F326D6"/>
    <w:rsid w:val="00F32BA2"/>
    <w:rsid w:val="00F32CDB"/>
    <w:rsid w:val="00F35E37"/>
    <w:rsid w:val="00F40DC9"/>
    <w:rsid w:val="00F41EE4"/>
    <w:rsid w:val="00F43406"/>
    <w:rsid w:val="00F442F0"/>
    <w:rsid w:val="00F444BA"/>
    <w:rsid w:val="00F472C9"/>
    <w:rsid w:val="00F54282"/>
    <w:rsid w:val="00F56473"/>
    <w:rsid w:val="00F565FE"/>
    <w:rsid w:val="00F57BC5"/>
    <w:rsid w:val="00F63A70"/>
    <w:rsid w:val="00F63D8C"/>
    <w:rsid w:val="00F66FFC"/>
    <w:rsid w:val="00F7534E"/>
    <w:rsid w:val="00F77AA5"/>
    <w:rsid w:val="00F77E1A"/>
    <w:rsid w:val="00F84291"/>
    <w:rsid w:val="00F868EC"/>
    <w:rsid w:val="00F93EDF"/>
    <w:rsid w:val="00F93F8E"/>
    <w:rsid w:val="00F94514"/>
    <w:rsid w:val="00FA129D"/>
    <w:rsid w:val="00FA1802"/>
    <w:rsid w:val="00FA21D0"/>
    <w:rsid w:val="00FA2523"/>
    <w:rsid w:val="00FA2B38"/>
    <w:rsid w:val="00FA40B8"/>
    <w:rsid w:val="00FA5F5F"/>
    <w:rsid w:val="00FA68CD"/>
    <w:rsid w:val="00FA6D7E"/>
    <w:rsid w:val="00FB0253"/>
    <w:rsid w:val="00FB1DC3"/>
    <w:rsid w:val="00FB730C"/>
    <w:rsid w:val="00FC10DE"/>
    <w:rsid w:val="00FC2695"/>
    <w:rsid w:val="00FC3E03"/>
    <w:rsid w:val="00FC3F18"/>
    <w:rsid w:val="00FC3FC1"/>
    <w:rsid w:val="00FC6904"/>
    <w:rsid w:val="00FC74F9"/>
    <w:rsid w:val="00FD092B"/>
    <w:rsid w:val="00FD1FAE"/>
    <w:rsid w:val="00FD4A25"/>
    <w:rsid w:val="00FD6CB6"/>
    <w:rsid w:val="00FE754E"/>
    <w:rsid w:val="00FF2C0B"/>
    <w:rsid w:val="00FF775C"/>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tulo1">
    <w:name w:val="heading 1"/>
    <w:basedOn w:val="CETHeading1"/>
    <w:next w:val="Normal"/>
    <w:link w:val="Ttulo1Car"/>
    <w:uiPriority w:val="9"/>
    <w:rsid w:val="004F5E36"/>
    <w:pPr>
      <w:tabs>
        <w:tab w:val="clear" w:pos="360"/>
        <w:tab w:val="right" w:pos="7100"/>
      </w:tabs>
      <w:jc w:val="both"/>
      <w:outlineLvl w:val="0"/>
    </w:pPr>
    <w:rPr>
      <w:lang w:val="en-GB"/>
    </w:rPr>
  </w:style>
  <w:style w:type="paragraph" w:styleId="Ttulo2">
    <w:name w:val="heading 2"/>
    <w:basedOn w:val="Normal"/>
    <w:next w:val="Normal"/>
    <w:link w:val="Ttulo2C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tulo9">
    <w:name w:val="heading 9"/>
    <w:basedOn w:val="Normal"/>
    <w:next w:val="Normal"/>
    <w:link w:val="Ttulo9C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labsica1">
    <w:name w:val="Table Simple 1"/>
    <w:basedOn w:val="Tabla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efdecomentario">
    <w:name w:val="annotation reference"/>
    <w:basedOn w:val="Fuentedeprrafopredeter"/>
    <w:uiPriority w:val="99"/>
    <w:semiHidden/>
    <w:unhideWhenUsed/>
    <w:rsid w:val="004577FE"/>
    <w:rPr>
      <w:sz w:val="16"/>
      <w:szCs w:val="16"/>
    </w:rPr>
  </w:style>
  <w:style w:type="paragraph" w:styleId="Textodeglobo">
    <w:name w:val="Balloon Text"/>
    <w:basedOn w:val="Normal"/>
    <w:link w:val="TextodegloboCar"/>
    <w:uiPriority w:val="99"/>
    <w:semiHidden/>
    <w:unhideWhenUsed/>
    <w:rsid w:val="000D34BE"/>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D34BE"/>
    <w:rPr>
      <w:rFonts w:ascii="Tahoma" w:hAnsi="Tahoma" w:cs="Tahoma"/>
      <w:sz w:val="16"/>
      <w:szCs w:val="16"/>
    </w:rPr>
  </w:style>
  <w:style w:type="paragraph" w:styleId="Bibliografa">
    <w:name w:val="Bibliography"/>
    <w:basedOn w:val="CETReferencetext"/>
    <w:uiPriority w:val="37"/>
    <w:unhideWhenUsed/>
    <w:rsid w:val="00631B33"/>
    <w:pPr>
      <w:spacing w:line="240" w:lineRule="auto"/>
      <w:ind w:left="720" w:hanging="720"/>
    </w:pPr>
  </w:style>
  <w:style w:type="paragraph" w:styleId="Textoindependiente2">
    <w:name w:val="Body Text 2"/>
    <w:basedOn w:val="Normal"/>
    <w:link w:val="Textoindependiente2Car"/>
    <w:uiPriority w:val="99"/>
    <w:semiHidden/>
    <w:unhideWhenUsed/>
    <w:rsid w:val="0003148D"/>
    <w:pPr>
      <w:spacing w:after="120" w:line="480" w:lineRule="auto"/>
    </w:pPr>
  </w:style>
  <w:style w:type="character" w:customStyle="1" w:styleId="Textoindependiente2Car">
    <w:name w:val="Texto independiente 2 Car"/>
    <w:basedOn w:val="Fuentedeprrafopredeter"/>
    <w:link w:val="Textoindependiente2"/>
    <w:uiPriority w:val="99"/>
    <w:semiHidden/>
    <w:rsid w:val="0003148D"/>
  </w:style>
  <w:style w:type="paragraph" w:styleId="Textoindependiente3">
    <w:name w:val="Body Text 3"/>
    <w:basedOn w:val="Normal"/>
    <w:link w:val="Textoindependiente3Car"/>
    <w:uiPriority w:val="99"/>
    <w:semiHidden/>
    <w:unhideWhenUsed/>
    <w:rsid w:val="0003148D"/>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03148D"/>
    <w:rPr>
      <w:sz w:val="16"/>
      <w:szCs w:val="16"/>
    </w:rPr>
  </w:style>
  <w:style w:type="paragraph" w:styleId="Textoindependiente">
    <w:name w:val="Body Text"/>
    <w:basedOn w:val="Normal"/>
    <w:link w:val="TextoindependienteCar"/>
    <w:uiPriority w:val="99"/>
    <w:semiHidden/>
    <w:unhideWhenUsed/>
    <w:rsid w:val="0003148D"/>
    <w:pPr>
      <w:spacing w:after="120"/>
    </w:pPr>
  </w:style>
  <w:style w:type="character" w:customStyle="1" w:styleId="TextoindependienteCar">
    <w:name w:val="Texto independiente Car"/>
    <w:basedOn w:val="Fuentedeprrafopredeter"/>
    <w:link w:val="Textoindependiente"/>
    <w:uiPriority w:val="99"/>
    <w:semiHidden/>
    <w:rsid w:val="0003148D"/>
  </w:style>
  <w:style w:type="paragraph" w:styleId="Fecha">
    <w:name w:val="Date"/>
    <w:basedOn w:val="Normal"/>
    <w:next w:val="Normal"/>
    <w:link w:val="FechaCar"/>
    <w:uiPriority w:val="99"/>
    <w:semiHidden/>
    <w:unhideWhenUsed/>
    <w:rsid w:val="0003148D"/>
  </w:style>
  <w:style w:type="character" w:customStyle="1" w:styleId="FechaCar">
    <w:name w:val="Fecha Car"/>
    <w:basedOn w:val="Fuentedeprrafopredeter"/>
    <w:link w:val="Fecha"/>
    <w:uiPriority w:val="99"/>
    <w:semiHidden/>
    <w:rsid w:val="0003148D"/>
  </w:style>
  <w:style w:type="paragraph" w:styleId="Descripcin">
    <w:name w:val="caption"/>
    <w:basedOn w:val="Normal"/>
    <w:next w:val="Normal"/>
    <w:uiPriority w:val="35"/>
    <w:semiHidden/>
    <w:unhideWhenUsed/>
    <w:qFormat/>
    <w:rsid w:val="0003148D"/>
    <w:pPr>
      <w:spacing w:line="240" w:lineRule="auto"/>
    </w:pPr>
    <w:rPr>
      <w:b/>
      <w:bCs/>
      <w:color w:val="4F81BD" w:themeColor="accent1"/>
      <w:szCs w:val="18"/>
    </w:rPr>
  </w:style>
  <w:style w:type="paragraph" w:styleId="Lista">
    <w:name w:val="List"/>
    <w:basedOn w:val="Normal"/>
    <w:uiPriority w:val="99"/>
    <w:semiHidden/>
    <w:unhideWhenUsed/>
    <w:rsid w:val="0003148D"/>
    <w:pPr>
      <w:ind w:left="283" w:hanging="283"/>
      <w:contextualSpacing/>
    </w:pPr>
  </w:style>
  <w:style w:type="paragraph" w:styleId="Lista2">
    <w:name w:val="List 2"/>
    <w:basedOn w:val="Normal"/>
    <w:uiPriority w:val="99"/>
    <w:semiHidden/>
    <w:unhideWhenUsed/>
    <w:rsid w:val="0003148D"/>
    <w:pPr>
      <w:ind w:left="566" w:hanging="283"/>
      <w:contextualSpacing/>
    </w:pPr>
  </w:style>
  <w:style w:type="paragraph" w:styleId="Lista3">
    <w:name w:val="List 3"/>
    <w:basedOn w:val="Normal"/>
    <w:uiPriority w:val="99"/>
    <w:semiHidden/>
    <w:unhideWhenUsed/>
    <w:rsid w:val="0003148D"/>
    <w:pPr>
      <w:ind w:left="849" w:hanging="283"/>
      <w:contextualSpacing/>
    </w:pPr>
  </w:style>
  <w:style w:type="paragraph" w:styleId="Lista4">
    <w:name w:val="List 4"/>
    <w:basedOn w:val="Normal"/>
    <w:uiPriority w:val="99"/>
    <w:semiHidden/>
    <w:unhideWhenUsed/>
    <w:rsid w:val="0003148D"/>
    <w:pPr>
      <w:ind w:left="1132" w:hanging="283"/>
      <w:contextualSpacing/>
    </w:pPr>
  </w:style>
  <w:style w:type="paragraph" w:styleId="Lista5">
    <w:name w:val="List 5"/>
    <w:basedOn w:val="Normal"/>
    <w:uiPriority w:val="99"/>
    <w:semiHidden/>
    <w:unhideWhenUsed/>
    <w:rsid w:val="0003148D"/>
    <w:pPr>
      <w:ind w:left="1415" w:hanging="283"/>
      <w:contextualSpacing/>
    </w:pPr>
  </w:style>
  <w:style w:type="paragraph" w:styleId="Continuarlista">
    <w:name w:val="List Continue"/>
    <w:basedOn w:val="Normal"/>
    <w:uiPriority w:val="99"/>
    <w:semiHidden/>
    <w:unhideWhenUsed/>
    <w:rsid w:val="0003148D"/>
    <w:pPr>
      <w:spacing w:after="120"/>
      <w:ind w:left="283"/>
      <w:contextualSpacing/>
    </w:pPr>
  </w:style>
  <w:style w:type="paragraph" w:styleId="Continuarlista2">
    <w:name w:val="List Continue 2"/>
    <w:basedOn w:val="Normal"/>
    <w:uiPriority w:val="99"/>
    <w:semiHidden/>
    <w:unhideWhenUsed/>
    <w:rsid w:val="0003148D"/>
    <w:pPr>
      <w:spacing w:after="120"/>
      <w:ind w:left="566"/>
      <w:contextualSpacing/>
    </w:pPr>
  </w:style>
  <w:style w:type="paragraph" w:styleId="Continuarlista3">
    <w:name w:val="List Continue 3"/>
    <w:basedOn w:val="Normal"/>
    <w:uiPriority w:val="99"/>
    <w:semiHidden/>
    <w:unhideWhenUsed/>
    <w:rsid w:val="0003148D"/>
    <w:pPr>
      <w:spacing w:after="120"/>
      <w:ind w:left="849"/>
      <w:contextualSpacing/>
    </w:pPr>
  </w:style>
  <w:style w:type="paragraph" w:styleId="Continuarlista4">
    <w:name w:val="List Continue 4"/>
    <w:basedOn w:val="Normal"/>
    <w:uiPriority w:val="99"/>
    <w:semiHidden/>
    <w:unhideWhenUsed/>
    <w:rsid w:val="0003148D"/>
    <w:pPr>
      <w:spacing w:after="120"/>
      <w:ind w:left="1132"/>
      <w:contextualSpacing/>
    </w:pPr>
  </w:style>
  <w:style w:type="paragraph" w:styleId="Continuarlista5">
    <w:name w:val="List Continue 5"/>
    <w:basedOn w:val="Normal"/>
    <w:uiPriority w:val="99"/>
    <w:semiHidden/>
    <w:unhideWhenUsed/>
    <w:rsid w:val="0003148D"/>
    <w:pPr>
      <w:spacing w:after="120"/>
      <w:ind w:left="1415"/>
      <w:contextualSpacing/>
    </w:pPr>
  </w:style>
  <w:style w:type="paragraph" w:styleId="Firma">
    <w:name w:val="Signature"/>
    <w:basedOn w:val="Normal"/>
    <w:link w:val="FirmaCar"/>
    <w:uiPriority w:val="99"/>
    <w:semiHidden/>
    <w:unhideWhenUsed/>
    <w:rsid w:val="0003148D"/>
    <w:pPr>
      <w:spacing w:line="240" w:lineRule="auto"/>
      <w:ind w:left="4252"/>
    </w:pPr>
  </w:style>
  <w:style w:type="character" w:customStyle="1" w:styleId="FirmaCar">
    <w:name w:val="Firma Car"/>
    <w:basedOn w:val="Fuentedeprrafopredeter"/>
    <w:link w:val="Firma"/>
    <w:uiPriority w:val="99"/>
    <w:semiHidden/>
    <w:rsid w:val="0003148D"/>
  </w:style>
  <w:style w:type="paragraph" w:styleId="Firmadecorreoelectrnico">
    <w:name w:val="E-mail Signature"/>
    <w:basedOn w:val="Normal"/>
    <w:link w:val="FirmadecorreoelectrnicoCar"/>
    <w:uiPriority w:val="99"/>
    <w:semiHidden/>
    <w:unhideWhenUsed/>
    <w:rsid w:val="0003148D"/>
    <w:pPr>
      <w:spacing w:line="240" w:lineRule="auto"/>
    </w:pPr>
  </w:style>
  <w:style w:type="character" w:customStyle="1" w:styleId="FirmadecorreoelectrnicoCar">
    <w:name w:val="Firma de correo electrónico Car"/>
    <w:basedOn w:val="Fuentedeprrafopredeter"/>
    <w:link w:val="Firmadecorreoelectrnico"/>
    <w:uiPriority w:val="99"/>
    <w:semiHidden/>
    <w:rsid w:val="0003148D"/>
  </w:style>
  <w:style w:type="paragraph" w:styleId="Saludo">
    <w:name w:val="Salutation"/>
    <w:basedOn w:val="Normal"/>
    <w:next w:val="Normal"/>
    <w:link w:val="SaludoCar"/>
    <w:uiPriority w:val="99"/>
    <w:semiHidden/>
    <w:unhideWhenUsed/>
    <w:rsid w:val="0003148D"/>
  </w:style>
  <w:style w:type="character" w:customStyle="1" w:styleId="SaludoCar">
    <w:name w:val="Saludo Car"/>
    <w:basedOn w:val="Fuentedeprrafopredeter"/>
    <w:link w:val="Saludo"/>
    <w:uiPriority w:val="99"/>
    <w:semiHidden/>
    <w:rsid w:val="0003148D"/>
  </w:style>
  <w:style w:type="paragraph" w:styleId="Cierre">
    <w:name w:val="Closing"/>
    <w:basedOn w:val="Normal"/>
    <w:link w:val="CierreCar"/>
    <w:uiPriority w:val="99"/>
    <w:semiHidden/>
    <w:unhideWhenUsed/>
    <w:rsid w:val="0003148D"/>
    <w:pPr>
      <w:spacing w:line="240" w:lineRule="auto"/>
      <w:ind w:left="4252"/>
    </w:pPr>
  </w:style>
  <w:style w:type="character" w:customStyle="1" w:styleId="CierreCar">
    <w:name w:val="Cierre Car"/>
    <w:basedOn w:val="Fuentedeprrafopredeter"/>
    <w:link w:val="Cierre"/>
    <w:uiPriority w:val="99"/>
    <w:semiHidden/>
    <w:rsid w:val="0003148D"/>
  </w:style>
  <w:style w:type="paragraph" w:styleId="ndice1">
    <w:name w:val="index 1"/>
    <w:basedOn w:val="Normal"/>
    <w:next w:val="Normal"/>
    <w:autoRedefine/>
    <w:uiPriority w:val="99"/>
    <w:semiHidden/>
    <w:unhideWhenUsed/>
    <w:rsid w:val="0003148D"/>
    <w:pPr>
      <w:spacing w:line="240" w:lineRule="auto"/>
      <w:ind w:left="220" w:hanging="220"/>
    </w:pPr>
  </w:style>
  <w:style w:type="paragraph" w:styleId="ndice2">
    <w:name w:val="index 2"/>
    <w:basedOn w:val="Normal"/>
    <w:next w:val="Normal"/>
    <w:autoRedefine/>
    <w:uiPriority w:val="99"/>
    <w:semiHidden/>
    <w:unhideWhenUsed/>
    <w:rsid w:val="0003148D"/>
    <w:pPr>
      <w:spacing w:line="240" w:lineRule="auto"/>
      <w:ind w:left="440" w:hanging="220"/>
    </w:pPr>
  </w:style>
  <w:style w:type="paragraph" w:styleId="ndice3">
    <w:name w:val="index 3"/>
    <w:basedOn w:val="Normal"/>
    <w:next w:val="Normal"/>
    <w:autoRedefine/>
    <w:uiPriority w:val="99"/>
    <w:semiHidden/>
    <w:unhideWhenUsed/>
    <w:rsid w:val="0003148D"/>
    <w:pPr>
      <w:spacing w:line="240" w:lineRule="auto"/>
      <w:ind w:left="660" w:hanging="220"/>
    </w:pPr>
  </w:style>
  <w:style w:type="paragraph" w:styleId="ndice4">
    <w:name w:val="index 4"/>
    <w:basedOn w:val="Normal"/>
    <w:next w:val="Normal"/>
    <w:autoRedefine/>
    <w:uiPriority w:val="99"/>
    <w:semiHidden/>
    <w:unhideWhenUsed/>
    <w:rsid w:val="0003148D"/>
    <w:pPr>
      <w:spacing w:line="240" w:lineRule="auto"/>
      <w:ind w:left="880" w:hanging="220"/>
    </w:pPr>
  </w:style>
  <w:style w:type="paragraph" w:styleId="ndice5">
    <w:name w:val="index 5"/>
    <w:basedOn w:val="Normal"/>
    <w:next w:val="Normal"/>
    <w:autoRedefine/>
    <w:uiPriority w:val="99"/>
    <w:semiHidden/>
    <w:unhideWhenUsed/>
    <w:rsid w:val="0003148D"/>
    <w:pPr>
      <w:spacing w:line="240" w:lineRule="auto"/>
      <w:ind w:left="1100" w:hanging="220"/>
    </w:pPr>
  </w:style>
  <w:style w:type="paragraph" w:styleId="ndice6">
    <w:name w:val="index 6"/>
    <w:basedOn w:val="Normal"/>
    <w:next w:val="Normal"/>
    <w:autoRedefine/>
    <w:uiPriority w:val="99"/>
    <w:semiHidden/>
    <w:unhideWhenUsed/>
    <w:rsid w:val="0003148D"/>
    <w:pPr>
      <w:spacing w:line="240" w:lineRule="auto"/>
      <w:ind w:left="1320" w:hanging="220"/>
    </w:pPr>
  </w:style>
  <w:style w:type="paragraph" w:styleId="ndice7">
    <w:name w:val="index 7"/>
    <w:basedOn w:val="Normal"/>
    <w:next w:val="Normal"/>
    <w:autoRedefine/>
    <w:uiPriority w:val="99"/>
    <w:semiHidden/>
    <w:unhideWhenUsed/>
    <w:rsid w:val="0003148D"/>
    <w:pPr>
      <w:spacing w:line="240" w:lineRule="auto"/>
      <w:ind w:left="1540" w:hanging="220"/>
    </w:pPr>
  </w:style>
  <w:style w:type="paragraph" w:styleId="ndice8">
    <w:name w:val="index 8"/>
    <w:basedOn w:val="Normal"/>
    <w:next w:val="Normal"/>
    <w:autoRedefine/>
    <w:uiPriority w:val="99"/>
    <w:semiHidden/>
    <w:unhideWhenUsed/>
    <w:rsid w:val="0003148D"/>
    <w:pPr>
      <w:spacing w:line="240" w:lineRule="auto"/>
      <w:ind w:left="1760" w:hanging="220"/>
    </w:pPr>
  </w:style>
  <w:style w:type="paragraph" w:styleId="ndice9">
    <w:name w:val="index 9"/>
    <w:basedOn w:val="Normal"/>
    <w:next w:val="Normal"/>
    <w:autoRedefine/>
    <w:uiPriority w:val="99"/>
    <w:semiHidden/>
    <w:unhideWhenUsed/>
    <w:rsid w:val="0003148D"/>
    <w:pPr>
      <w:spacing w:line="240" w:lineRule="auto"/>
      <w:ind w:left="1980" w:hanging="220"/>
    </w:pPr>
  </w:style>
  <w:style w:type="paragraph" w:styleId="Tabladeilustraciones">
    <w:name w:val="table of figures"/>
    <w:basedOn w:val="Normal"/>
    <w:next w:val="Normal"/>
    <w:uiPriority w:val="99"/>
    <w:semiHidden/>
    <w:unhideWhenUsed/>
    <w:rsid w:val="0003148D"/>
  </w:style>
  <w:style w:type="paragraph" w:styleId="Textoconsangra">
    <w:name w:val="table of authorities"/>
    <w:basedOn w:val="Normal"/>
    <w:next w:val="Normal"/>
    <w:uiPriority w:val="99"/>
    <w:semiHidden/>
    <w:unhideWhenUsed/>
    <w:rsid w:val="0003148D"/>
    <w:pPr>
      <w:ind w:left="220" w:hanging="220"/>
    </w:pPr>
  </w:style>
  <w:style w:type="paragraph" w:styleId="Direccinsobre">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DireccinHTML">
    <w:name w:val="HTML Address"/>
    <w:basedOn w:val="Normal"/>
    <w:link w:val="DireccinHTMLCar"/>
    <w:uiPriority w:val="99"/>
    <w:semiHidden/>
    <w:unhideWhenUsed/>
    <w:rsid w:val="0003148D"/>
    <w:pPr>
      <w:spacing w:line="240" w:lineRule="auto"/>
    </w:pPr>
    <w:rPr>
      <w:i/>
      <w:iCs/>
    </w:rPr>
  </w:style>
  <w:style w:type="character" w:customStyle="1" w:styleId="DireccinHTMLCar">
    <w:name w:val="Dirección HTML Car"/>
    <w:basedOn w:val="Fuentedeprrafopredeter"/>
    <w:link w:val="DireccinHTML"/>
    <w:uiPriority w:val="99"/>
    <w:semiHidden/>
    <w:rsid w:val="0003148D"/>
    <w:rPr>
      <w:i/>
      <w:iCs/>
    </w:rPr>
  </w:style>
  <w:style w:type="paragraph" w:styleId="Remitedesobre">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Encabezadodemensaje">
    <w:name w:val="Message Header"/>
    <w:basedOn w:val="Normal"/>
    <w:link w:val="EncabezadodemensajeC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semiHidden/>
    <w:rsid w:val="0003148D"/>
    <w:rPr>
      <w:rFonts w:asciiTheme="majorHAnsi" w:eastAsiaTheme="majorEastAsia" w:hAnsiTheme="majorHAnsi" w:cstheme="majorBidi"/>
      <w:sz w:val="24"/>
      <w:szCs w:val="24"/>
      <w:shd w:val="pct20" w:color="auto" w:fill="auto"/>
    </w:rPr>
  </w:style>
  <w:style w:type="paragraph" w:styleId="Encabezadodenota">
    <w:name w:val="Note Heading"/>
    <w:basedOn w:val="Normal"/>
    <w:next w:val="Normal"/>
    <w:link w:val="EncabezadodenotaCar"/>
    <w:uiPriority w:val="99"/>
    <w:semiHidden/>
    <w:unhideWhenUsed/>
    <w:rsid w:val="0003148D"/>
    <w:pPr>
      <w:spacing w:line="240" w:lineRule="auto"/>
    </w:pPr>
  </w:style>
  <w:style w:type="character" w:customStyle="1" w:styleId="EncabezadodenotaCar">
    <w:name w:val="Encabezado de nota Car"/>
    <w:basedOn w:val="Fuentedeprrafopredeter"/>
    <w:link w:val="Encabezadodenota"/>
    <w:uiPriority w:val="99"/>
    <w:semiHidden/>
    <w:rsid w:val="0003148D"/>
  </w:style>
  <w:style w:type="paragraph" w:styleId="Mapadeldocumento">
    <w:name w:val="Document Map"/>
    <w:basedOn w:val="Normal"/>
    <w:link w:val="MapadeldocumentoCar"/>
    <w:uiPriority w:val="99"/>
    <w:semiHidden/>
    <w:unhideWhenUsed/>
    <w:rsid w:val="0003148D"/>
    <w:pPr>
      <w:spacing w:line="240" w:lineRule="auto"/>
    </w:pPr>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Listaconnmeros">
    <w:name w:val="List Number"/>
    <w:basedOn w:val="Normal"/>
    <w:uiPriority w:val="99"/>
    <w:semiHidden/>
    <w:unhideWhenUsed/>
    <w:rsid w:val="0003148D"/>
    <w:pPr>
      <w:numPr>
        <w:numId w:val="2"/>
      </w:numPr>
      <w:contextualSpacing/>
    </w:pPr>
  </w:style>
  <w:style w:type="paragraph" w:styleId="Listaconnmeros2">
    <w:name w:val="List Number 2"/>
    <w:basedOn w:val="Normal"/>
    <w:uiPriority w:val="99"/>
    <w:semiHidden/>
    <w:unhideWhenUsed/>
    <w:rsid w:val="0003148D"/>
    <w:pPr>
      <w:numPr>
        <w:numId w:val="3"/>
      </w:numPr>
      <w:contextualSpacing/>
    </w:pPr>
  </w:style>
  <w:style w:type="paragraph" w:styleId="Listaconnmeros3">
    <w:name w:val="List Number 3"/>
    <w:basedOn w:val="Normal"/>
    <w:uiPriority w:val="99"/>
    <w:semiHidden/>
    <w:unhideWhenUsed/>
    <w:rsid w:val="0003148D"/>
    <w:pPr>
      <w:numPr>
        <w:numId w:val="4"/>
      </w:numPr>
      <w:contextualSpacing/>
    </w:pPr>
  </w:style>
  <w:style w:type="paragraph" w:styleId="Listaconnmeros4">
    <w:name w:val="List Number 4"/>
    <w:basedOn w:val="Normal"/>
    <w:uiPriority w:val="99"/>
    <w:semiHidden/>
    <w:unhideWhenUsed/>
    <w:rsid w:val="0003148D"/>
    <w:pPr>
      <w:numPr>
        <w:numId w:val="5"/>
      </w:numPr>
      <w:contextualSpacing/>
    </w:pPr>
  </w:style>
  <w:style w:type="paragraph" w:styleId="Listaconnmeros5">
    <w:name w:val="List Number 5"/>
    <w:basedOn w:val="Normal"/>
    <w:uiPriority w:val="99"/>
    <w:semiHidden/>
    <w:unhideWhenUsed/>
    <w:rsid w:val="0003148D"/>
    <w:pPr>
      <w:numPr>
        <w:numId w:val="6"/>
      </w:numPr>
      <w:contextualSpacing/>
    </w:pPr>
  </w:style>
  <w:style w:type="paragraph" w:styleId="HTMLconformatoprevio">
    <w:name w:val="HTML Preformatted"/>
    <w:basedOn w:val="Normal"/>
    <w:link w:val="HTMLconformatoprevioCar"/>
    <w:uiPriority w:val="99"/>
    <w:semiHidden/>
    <w:unhideWhenUsed/>
    <w:rsid w:val="0003148D"/>
    <w:pPr>
      <w:spacing w:line="240" w:lineRule="auto"/>
    </w:pPr>
    <w:rPr>
      <w:rFonts w:ascii="Consolas" w:hAnsi="Consolas" w:cs="Consolas"/>
    </w:rPr>
  </w:style>
  <w:style w:type="character" w:customStyle="1" w:styleId="HTMLconformatoprevioCar">
    <w:name w:val="HTML con formato previo Car"/>
    <w:basedOn w:val="Fuentedeprrafopredeter"/>
    <w:link w:val="HTMLconformatoprevio"/>
    <w:uiPriority w:val="99"/>
    <w:semiHidden/>
    <w:rsid w:val="0003148D"/>
    <w:rPr>
      <w:rFonts w:ascii="Consolas" w:hAnsi="Consolas" w:cs="Consolas"/>
      <w:sz w:val="20"/>
      <w:szCs w:val="20"/>
    </w:rPr>
  </w:style>
  <w:style w:type="paragraph" w:styleId="Textoindependienteprimerasangra">
    <w:name w:val="Body Text First Indent"/>
    <w:basedOn w:val="Textoindependiente"/>
    <w:link w:val="TextoindependienteprimerasangraCar"/>
    <w:uiPriority w:val="99"/>
    <w:semiHidden/>
    <w:unhideWhenUsed/>
    <w:rsid w:val="0003148D"/>
    <w:pPr>
      <w:spacing w:after="200"/>
      <w:ind w:firstLine="360"/>
    </w:pPr>
  </w:style>
  <w:style w:type="character" w:customStyle="1" w:styleId="TextoindependienteprimerasangraCar">
    <w:name w:val="Texto independiente primera sangría Car"/>
    <w:basedOn w:val="TextoindependienteCar"/>
    <w:link w:val="Textoindependienteprimerasangra"/>
    <w:uiPriority w:val="99"/>
    <w:semiHidden/>
    <w:rsid w:val="0003148D"/>
  </w:style>
  <w:style w:type="paragraph" w:styleId="Sangradetextonormal">
    <w:name w:val="Body Text Indent"/>
    <w:basedOn w:val="Normal"/>
    <w:link w:val="SangradetextonormalCar"/>
    <w:uiPriority w:val="99"/>
    <w:semiHidden/>
    <w:unhideWhenUsed/>
    <w:rsid w:val="0003148D"/>
    <w:pPr>
      <w:spacing w:after="120"/>
      <w:ind w:left="283"/>
    </w:pPr>
  </w:style>
  <w:style w:type="character" w:customStyle="1" w:styleId="SangradetextonormalCar">
    <w:name w:val="Sangría de texto normal Car"/>
    <w:basedOn w:val="Fuentedeprrafopredeter"/>
    <w:link w:val="Sangradetextonormal"/>
    <w:uiPriority w:val="99"/>
    <w:semiHidden/>
    <w:rsid w:val="0003148D"/>
  </w:style>
  <w:style w:type="paragraph" w:styleId="Textoindependienteprimerasangra2">
    <w:name w:val="Body Text First Indent 2"/>
    <w:basedOn w:val="Sangradetextonormal"/>
    <w:link w:val="Textoindependienteprimerasangra2Car"/>
    <w:uiPriority w:val="99"/>
    <w:semiHidden/>
    <w:unhideWhenUsed/>
    <w:rsid w:val="0003148D"/>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03148D"/>
  </w:style>
  <w:style w:type="paragraph" w:styleId="Listaconvietas">
    <w:name w:val="List Bullet"/>
    <w:basedOn w:val="Normal"/>
    <w:uiPriority w:val="99"/>
    <w:semiHidden/>
    <w:unhideWhenUsed/>
    <w:rsid w:val="0003148D"/>
    <w:pPr>
      <w:numPr>
        <w:numId w:val="7"/>
      </w:numPr>
      <w:contextualSpacing/>
    </w:pPr>
  </w:style>
  <w:style w:type="paragraph" w:styleId="Listaconvietas2">
    <w:name w:val="List Bullet 2"/>
    <w:basedOn w:val="Normal"/>
    <w:uiPriority w:val="99"/>
    <w:semiHidden/>
    <w:unhideWhenUsed/>
    <w:rsid w:val="0003148D"/>
    <w:pPr>
      <w:numPr>
        <w:numId w:val="8"/>
      </w:numPr>
      <w:contextualSpacing/>
    </w:pPr>
  </w:style>
  <w:style w:type="paragraph" w:styleId="Listaconvietas3">
    <w:name w:val="List Bullet 3"/>
    <w:basedOn w:val="Normal"/>
    <w:uiPriority w:val="99"/>
    <w:semiHidden/>
    <w:unhideWhenUsed/>
    <w:rsid w:val="0003148D"/>
    <w:pPr>
      <w:numPr>
        <w:numId w:val="9"/>
      </w:numPr>
      <w:contextualSpacing/>
    </w:pPr>
  </w:style>
  <w:style w:type="paragraph" w:styleId="Listaconvietas4">
    <w:name w:val="List Bullet 4"/>
    <w:basedOn w:val="Normal"/>
    <w:uiPriority w:val="99"/>
    <w:semiHidden/>
    <w:unhideWhenUsed/>
    <w:rsid w:val="0003148D"/>
    <w:pPr>
      <w:numPr>
        <w:numId w:val="10"/>
      </w:numPr>
      <w:contextualSpacing/>
    </w:pPr>
  </w:style>
  <w:style w:type="paragraph" w:styleId="Listaconvietas5">
    <w:name w:val="List Bullet 5"/>
    <w:basedOn w:val="Normal"/>
    <w:uiPriority w:val="99"/>
    <w:semiHidden/>
    <w:unhideWhenUsed/>
    <w:rsid w:val="0003148D"/>
    <w:pPr>
      <w:numPr>
        <w:numId w:val="11"/>
      </w:numPr>
      <w:contextualSpacing/>
    </w:pPr>
  </w:style>
  <w:style w:type="paragraph" w:styleId="Sangra2detindependiente">
    <w:name w:val="Body Text Indent 2"/>
    <w:basedOn w:val="Normal"/>
    <w:link w:val="Sangra2detindependienteCar"/>
    <w:uiPriority w:val="99"/>
    <w:semiHidden/>
    <w:unhideWhenUsed/>
    <w:rsid w:val="0003148D"/>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03148D"/>
  </w:style>
  <w:style w:type="paragraph" w:styleId="Sangra3detindependiente">
    <w:name w:val="Body Text Indent 3"/>
    <w:basedOn w:val="Normal"/>
    <w:link w:val="Sangra3detindependienteCar"/>
    <w:uiPriority w:val="99"/>
    <w:semiHidden/>
    <w:unhideWhenUsed/>
    <w:rsid w:val="0003148D"/>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03148D"/>
    <w:rPr>
      <w:sz w:val="16"/>
      <w:szCs w:val="16"/>
    </w:rPr>
  </w:style>
  <w:style w:type="paragraph" w:styleId="Sangranormal">
    <w:name w:val="Normal Indent"/>
    <w:basedOn w:val="Normal"/>
    <w:uiPriority w:val="99"/>
    <w:semiHidden/>
    <w:unhideWhenUsed/>
    <w:rsid w:val="0003148D"/>
    <w:pPr>
      <w:ind w:left="720"/>
    </w:pPr>
  </w:style>
  <w:style w:type="paragraph" w:styleId="Textocomentario">
    <w:name w:val="annotation text"/>
    <w:basedOn w:val="Normal"/>
    <w:link w:val="TextocomentarioCar"/>
    <w:uiPriority w:val="99"/>
    <w:unhideWhenUsed/>
    <w:rsid w:val="0003148D"/>
    <w:pPr>
      <w:spacing w:line="240" w:lineRule="auto"/>
    </w:pPr>
  </w:style>
  <w:style w:type="character" w:customStyle="1" w:styleId="TextocomentarioCar">
    <w:name w:val="Texto comentario Car"/>
    <w:basedOn w:val="Fuentedeprrafopredeter"/>
    <w:link w:val="Textocomentario"/>
    <w:uiPriority w:val="99"/>
    <w:rsid w:val="0003148D"/>
    <w:rPr>
      <w:sz w:val="20"/>
      <w:szCs w:val="20"/>
    </w:rPr>
  </w:style>
  <w:style w:type="paragraph" w:styleId="Asuntodelcomentario">
    <w:name w:val="annotation subject"/>
    <w:basedOn w:val="Textocomentario"/>
    <w:next w:val="Textocomentario"/>
    <w:link w:val="AsuntodelcomentarioCar"/>
    <w:uiPriority w:val="99"/>
    <w:semiHidden/>
    <w:unhideWhenUsed/>
    <w:rsid w:val="0003148D"/>
    <w:rPr>
      <w:b/>
      <w:bCs/>
    </w:rPr>
  </w:style>
  <w:style w:type="character" w:customStyle="1" w:styleId="AsuntodelcomentarioCar">
    <w:name w:val="Asunto del comentario Car"/>
    <w:basedOn w:val="TextocomentarioCar"/>
    <w:link w:val="Asuntodelcomentario"/>
    <w:uiPriority w:val="99"/>
    <w:semiHidden/>
    <w:rsid w:val="0003148D"/>
    <w:rPr>
      <w:b/>
      <w:bCs/>
      <w:sz w:val="20"/>
      <w:szCs w:val="20"/>
    </w:rPr>
  </w:style>
  <w:style w:type="paragraph" w:styleId="TDC1">
    <w:name w:val="toc 1"/>
    <w:basedOn w:val="Normal"/>
    <w:next w:val="Normal"/>
    <w:autoRedefine/>
    <w:uiPriority w:val="39"/>
    <w:semiHidden/>
    <w:unhideWhenUsed/>
    <w:rsid w:val="0003148D"/>
    <w:pPr>
      <w:spacing w:after="100"/>
    </w:pPr>
  </w:style>
  <w:style w:type="paragraph" w:styleId="TDC2">
    <w:name w:val="toc 2"/>
    <w:basedOn w:val="Normal"/>
    <w:next w:val="Normal"/>
    <w:autoRedefine/>
    <w:uiPriority w:val="39"/>
    <w:semiHidden/>
    <w:unhideWhenUsed/>
    <w:rsid w:val="0003148D"/>
    <w:pPr>
      <w:spacing w:after="100"/>
      <w:ind w:left="220"/>
    </w:pPr>
  </w:style>
  <w:style w:type="paragraph" w:styleId="TDC3">
    <w:name w:val="toc 3"/>
    <w:basedOn w:val="Normal"/>
    <w:next w:val="Normal"/>
    <w:autoRedefine/>
    <w:uiPriority w:val="39"/>
    <w:semiHidden/>
    <w:unhideWhenUsed/>
    <w:rsid w:val="0003148D"/>
    <w:pPr>
      <w:spacing w:after="100"/>
      <w:ind w:left="440"/>
    </w:pPr>
  </w:style>
  <w:style w:type="paragraph" w:styleId="TDC4">
    <w:name w:val="toc 4"/>
    <w:basedOn w:val="Normal"/>
    <w:next w:val="Normal"/>
    <w:autoRedefine/>
    <w:uiPriority w:val="39"/>
    <w:semiHidden/>
    <w:unhideWhenUsed/>
    <w:rsid w:val="0003148D"/>
    <w:pPr>
      <w:spacing w:after="100"/>
      <w:ind w:left="660"/>
    </w:pPr>
  </w:style>
  <w:style w:type="paragraph" w:styleId="TDC5">
    <w:name w:val="toc 5"/>
    <w:basedOn w:val="Normal"/>
    <w:next w:val="Normal"/>
    <w:autoRedefine/>
    <w:uiPriority w:val="39"/>
    <w:semiHidden/>
    <w:unhideWhenUsed/>
    <w:rsid w:val="0003148D"/>
    <w:pPr>
      <w:spacing w:after="100"/>
      <w:ind w:left="880"/>
    </w:pPr>
  </w:style>
  <w:style w:type="paragraph" w:styleId="TDC6">
    <w:name w:val="toc 6"/>
    <w:basedOn w:val="Normal"/>
    <w:next w:val="Normal"/>
    <w:autoRedefine/>
    <w:uiPriority w:val="39"/>
    <w:semiHidden/>
    <w:unhideWhenUsed/>
    <w:rsid w:val="0003148D"/>
    <w:pPr>
      <w:spacing w:after="100"/>
      <w:ind w:left="1100"/>
    </w:pPr>
  </w:style>
  <w:style w:type="paragraph" w:styleId="TDC7">
    <w:name w:val="toc 7"/>
    <w:basedOn w:val="Normal"/>
    <w:next w:val="Normal"/>
    <w:autoRedefine/>
    <w:uiPriority w:val="39"/>
    <w:semiHidden/>
    <w:unhideWhenUsed/>
    <w:rsid w:val="0003148D"/>
    <w:pPr>
      <w:spacing w:after="100"/>
      <w:ind w:left="1320"/>
    </w:pPr>
  </w:style>
  <w:style w:type="paragraph" w:styleId="TDC8">
    <w:name w:val="toc 8"/>
    <w:basedOn w:val="Normal"/>
    <w:next w:val="Normal"/>
    <w:autoRedefine/>
    <w:uiPriority w:val="39"/>
    <w:semiHidden/>
    <w:unhideWhenUsed/>
    <w:rsid w:val="0003148D"/>
    <w:pPr>
      <w:spacing w:after="100"/>
      <w:ind w:left="1540"/>
    </w:pPr>
  </w:style>
  <w:style w:type="paragraph" w:styleId="TDC9">
    <w:name w:val="toc 9"/>
    <w:basedOn w:val="Normal"/>
    <w:next w:val="Normal"/>
    <w:autoRedefine/>
    <w:uiPriority w:val="39"/>
    <w:semiHidden/>
    <w:unhideWhenUsed/>
    <w:rsid w:val="0003148D"/>
    <w:pPr>
      <w:spacing w:after="100"/>
      <w:ind w:left="1760"/>
    </w:pPr>
  </w:style>
  <w:style w:type="paragraph" w:styleId="Textodebloque">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omacro">
    <w:name w:val="macro"/>
    <w:link w:val="TextomacroC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omacroCar">
    <w:name w:val="Texto macro Car"/>
    <w:basedOn w:val="Fuentedeprrafopredeter"/>
    <w:link w:val="Textomacro"/>
    <w:uiPriority w:val="99"/>
    <w:semiHidden/>
    <w:rsid w:val="0003148D"/>
    <w:rPr>
      <w:rFonts w:ascii="Consolas" w:hAnsi="Consolas" w:cs="Consolas"/>
      <w:sz w:val="20"/>
      <w:szCs w:val="20"/>
    </w:rPr>
  </w:style>
  <w:style w:type="paragraph" w:styleId="Textosinformato">
    <w:name w:val="Plain Text"/>
    <w:basedOn w:val="Normal"/>
    <w:link w:val="TextosinformatoCar"/>
    <w:uiPriority w:val="99"/>
    <w:semiHidden/>
    <w:unhideWhenUsed/>
    <w:rsid w:val="0003148D"/>
    <w:pPr>
      <w:spacing w:line="240" w:lineRule="auto"/>
    </w:pPr>
    <w:rPr>
      <w:rFonts w:ascii="Consolas" w:hAnsi="Consolas" w:cs="Consolas"/>
      <w:sz w:val="21"/>
      <w:szCs w:val="21"/>
    </w:rPr>
  </w:style>
  <w:style w:type="character" w:customStyle="1" w:styleId="TextosinformatoCar">
    <w:name w:val="Texto sin formato Car"/>
    <w:basedOn w:val="Fuentedeprrafopredeter"/>
    <w:link w:val="Textosinformato"/>
    <w:uiPriority w:val="99"/>
    <w:semiHidden/>
    <w:rsid w:val="0003148D"/>
    <w:rPr>
      <w:rFonts w:ascii="Consolas" w:hAnsi="Consolas" w:cs="Consolas"/>
      <w:sz w:val="21"/>
      <w:szCs w:val="21"/>
    </w:rPr>
  </w:style>
  <w:style w:type="paragraph" w:styleId="Textonotapie">
    <w:name w:val="footnote text"/>
    <w:basedOn w:val="Normal"/>
    <w:link w:val="TextonotapieCar"/>
    <w:uiPriority w:val="99"/>
    <w:semiHidden/>
    <w:unhideWhenUsed/>
    <w:rsid w:val="0003148D"/>
    <w:pPr>
      <w:spacing w:line="240" w:lineRule="auto"/>
    </w:pPr>
  </w:style>
  <w:style w:type="character" w:customStyle="1" w:styleId="TextonotapieCar">
    <w:name w:val="Texto nota pie Car"/>
    <w:basedOn w:val="Fuentedeprrafopredeter"/>
    <w:link w:val="Textonotapie"/>
    <w:uiPriority w:val="99"/>
    <w:semiHidden/>
    <w:rsid w:val="0003148D"/>
    <w:rPr>
      <w:sz w:val="20"/>
      <w:szCs w:val="20"/>
    </w:rPr>
  </w:style>
  <w:style w:type="paragraph" w:styleId="Textonotaalfinal">
    <w:name w:val="endnote text"/>
    <w:basedOn w:val="Normal"/>
    <w:link w:val="TextonotaalfinalCar"/>
    <w:uiPriority w:val="99"/>
    <w:semiHidden/>
    <w:unhideWhenUsed/>
    <w:rsid w:val="0003148D"/>
    <w:pPr>
      <w:spacing w:line="240" w:lineRule="auto"/>
    </w:pPr>
  </w:style>
  <w:style w:type="character" w:customStyle="1" w:styleId="TextonotaalfinalCar">
    <w:name w:val="Texto nota al final Car"/>
    <w:basedOn w:val="Fuentedeprrafopredeter"/>
    <w:link w:val="Textonotaalfinal"/>
    <w:uiPriority w:val="99"/>
    <w:semiHidden/>
    <w:rsid w:val="0003148D"/>
    <w:rPr>
      <w:sz w:val="20"/>
      <w:szCs w:val="20"/>
    </w:rPr>
  </w:style>
  <w:style w:type="character" w:customStyle="1" w:styleId="Ttulo1Car">
    <w:name w:val="Título 1 Car"/>
    <w:basedOn w:val="Fuentedeprrafopredeter"/>
    <w:link w:val="Ttulo1"/>
    <w:uiPriority w:val="9"/>
    <w:rsid w:val="004F5E36"/>
    <w:rPr>
      <w:rFonts w:ascii="Arial" w:eastAsia="Times New Roman" w:hAnsi="Arial" w:cs="Times New Roman"/>
      <w:b/>
      <w:sz w:val="20"/>
      <w:szCs w:val="20"/>
      <w:lang w:val="en-GB"/>
    </w:rPr>
  </w:style>
  <w:style w:type="character" w:customStyle="1" w:styleId="Ttulo2Car">
    <w:name w:val="Título 2 Car"/>
    <w:basedOn w:val="Fuentedeprrafopredeter"/>
    <w:link w:val="Ttu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03148D"/>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semiHidden/>
    <w:rsid w:val="0003148D"/>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03148D"/>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03148D"/>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03148D"/>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03148D"/>
    <w:rPr>
      <w:rFonts w:asciiTheme="majorHAnsi" w:eastAsiaTheme="majorEastAsia" w:hAnsiTheme="majorHAnsi" w:cstheme="majorBidi"/>
      <w:i/>
      <w:iCs/>
      <w:color w:val="404040" w:themeColor="text1" w:themeTint="BF"/>
      <w:sz w:val="20"/>
      <w:szCs w:val="20"/>
    </w:rPr>
  </w:style>
  <w:style w:type="paragraph" w:styleId="Ttulodendice">
    <w:name w:val="index heading"/>
    <w:basedOn w:val="Normal"/>
    <w:next w:val="ndice1"/>
    <w:uiPriority w:val="99"/>
    <w:semiHidden/>
    <w:unhideWhenUsed/>
    <w:rsid w:val="0003148D"/>
    <w:rPr>
      <w:rFonts w:asciiTheme="majorHAnsi" w:eastAsiaTheme="majorEastAsia" w:hAnsiTheme="majorHAnsi" w:cstheme="majorBidi"/>
      <w:b/>
      <w:bCs/>
    </w:rPr>
  </w:style>
  <w:style w:type="paragraph" w:styleId="Encabezadodelista">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TtuloTDC">
    <w:name w:val="TOC Heading"/>
    <w:basedOn w:val="Ttulo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Fuentedeprrafopredeter"/>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Encabezado">
    <w:name w:val="header"/>
    <w:basedOn w:val="Normal"/>
    <w:link w:val="EncabezadoCar"/>
    <w:uiPriority w:val="99"/>
    <w:unhideWhenUsed/>
    <w:rsid w:val="005278B7"/>
    <w:pPr>
      <w:tabs>
        <w:tab w:val="clear" w:pos="7100"/>
        <w:tab w:val="center" w:pos="4819"/>
        <w:tab w:val="right" w:pos="9638"/>
      </w:tabs>
      <w:spacing w:line="240" w:lineRule="auto"/>
    </w:pPr>
  </w:style>
  <w:style w:type="character" w:customStyle="1" w:styleId="EncabezadoCar">
    <w:name w:val="Encabezado Car"/>
    <w:basedOn w:val="Fuentedeprrafopredeter"/>
    <w:link w:val="Encabezado"/>
    <w:uiPriority w:val="99"/>
    <w:rsid w:val="005278B7"/>
    <w:rPr>
      <w:rFonts w:ascii="Arial" w:eastAsia="Times New Roman" w:hAnsi="Arial" w:cs="Times New Roman"/>
      <w:sz w:val="18"/>
      <w:szCs w:val="20"/>
      <w:lang w:val="en-GB"/>
    </w:rPr>
  </w:style>
  <w:style w:type="paragraph" w:styleId="Piedepgina">
    <w:name w:val="footer"/>
    <w:basedOn w:val="Normal"/>
    <w:link w:val="PiedepginaCar"/>
    <w:uiPriority w:val="99"/>
    <w:unhideWhenUsed/>
    <w:rsid w:val="005278B7"/>
    <w:pPr>
      <w:tabs>
        <w:tab w:val="clear" w:pos="7100"/>
        <w:tab w:val="center" w:pos="4819"/>
        <w:tab w:val="right" w:pos="9638"/>
      </w:tabs>
      <w:spacing w:line="240" w:lineRule="auto"/>
    </w:pPr>
  </w:style>
  <w:style w:type="character" w:customStyle="1" w:styleId="PiedepginaCar">
    <w:name w:val="Pie de página Car"/>
    <w:basedOn w:val="Fuentedeprrafopredeter"/>
    <w:link w:val="Piedepgina"/>
    <w:uiPriority w:val="99"/>
    <w:rsid w:val="005278B7"/>
    <w:rPr>
      <w:rFonts w:ascii="Arial" w:eastAsia="Times New Roman" w:hAnsi="Arial" w:cs="Times New Roman"/>
      <w:sz w:val="18"/>
      <w:szCs w:val="20"/>
      <w:lang w:val="en-GB"/>
    </w:rPr>
  </w:style>
  <w:style w:type="table" w:styleId="Tablaconcuadrcula">
    <w:name w:val="Table Grid"/>
    <w:basedOn w:val="Tablanormal"/>
    <w:uiPriority w:val="3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904C62"/>
    <w:rPr>
      <w:color w:val="0000FF" w:themeColor="hyperlink"/>
      <w:u w:val="single"/>
    </w:rPr>
  </w:style>
  <w:style w:type="character" w:customStyle="1" w:styleId="eudoraheader">
    <w:name w:val="eudoraheader"/>
    <w:basedOn w:val="Fuentedeprrafopredeter"/>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rrafodelista">
    <w:name w:val="List Paragraph"/>
    <w:basedOn w:val="Normal"/>
    <w:uiPriority w:val="34"/>
    <w:rsid w:val="00280FAF"/>
    <w:pPr>
      <w:ind w:left="720"/>
      <w:contextualSpacing/>
    </w:pPr>
  </w:style>
  <w:style w:type="character" w:customStyle="1" w:styleId="gmail-apple-converted-space">
    <w:name w:val="gmail-apple-converted-space"/>
    <w:basedOn w:val="Fuentedeprrafopredeter"/>
    <w:rsid w:val="00005A19"/>
  </w:style>
  <w:style w:type="character" w:customStyle="1" w:styleId="Mencinsinresolver1">
    <w:name w:val="Mención sin resolver1"/>
    <w:basedOn w:val="Fuentedeprrafopredeter"/>
    <w:uiPriority w:val="99"/>
    <w:semiHidden/>
    <w:unhideWhenUsed/>
    <w:rsid w:val="00CE6D61"/>
    <w:rPr>
      <w:color w:val="605E5C"/>
      <w:shd w:val="clear" w:color="auto" w:fill="E1DFDD"/>
    </w:rPr>
  </w:style>
  <w:style w:type="table" w:styleId="Tabladelista6concolores-nfasis3">
    <w:name w:val="List Table 6 Colorful Accent 3"/>
    <w:basedOn w:val="Tablanormal"/>
    <w:uiPriority w:val="51"/>
    <w:rsid w:val="00A33F59"/>
    <w:pPr>
      <w:spacing w:after="0" w:line="240" w:lineRule="auto"/>
    </w:pPr>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styleId="Textodelmarcadordeposicin">
    <w:name w:val="Placeholder Text"/>
    <w:basedOn w:val="Fuentedeprrafopredeter"/>
    <w:uiPriority w:val="99"/>
    <w:semiHidden/>
    <w:rsid w:val="0033525B"/>
    <w:rPr>
      <w:color w:val="666666"/>
    </w:rPr>
  </w:style>
  <w:style w:type="paragraph" w:customStyle="1" w:styleId="PSEFigureAndCaption">
    <w:name w:val="PSE_FigureAndCaption"/>
    <w:basedOn w:val="Normal"/>
    <w:qFormat/>
    <w:rsid w:val="00CD6775"/>
    <w:pPr>
      <w:widowControl w:val="0"/>
      <w:tabs>
        <w:tab w:val="clear" w:pos="7100"/>
        <w:tab w:val="left" w:pos="425"/>
      </w:tabs>
      <w:autoSpaceDE w:val="0"/>
      <w:autoSpaceDN w:val="0"/>
      <w:adjustRightInd w:val="0"/>
      <w:spacing w:before="240" w:after="240"/>
      <w:contextualSpacing/>
    </w:pPr>
    <w:rPr>
      <w:rFonts w:ascii="Inter" w:eastAsiaTheme="minorHAnsi" w:hAnsi="Inter" w:cs="Cormorant Medium"/>
      <w:noProof/>
      <w:color w:val="000000"/>
      <w:lang w:val="en-CA"/>
      <w14:numForm w14:val="lining"/>
    </w:rPr>
  </w:style>
  <w:style w:type="table" w:customStyle="1" w:styleId="PSETableFormat">
    <w:name w:val="PSE_TableFormat"/>
    <w:basedOn w:val="Tablanormal"/>
    <w:uiPriority w:val="99"/>
    <w:rsid w:val="00CD6775"/>
    <w:pPr>
      <w:widowControl w:val="0"/>
      <w:spacing w:after="0" w:line="240" w:lineRule="auto"/>
      <w:contextualSpacing/>
    </w:pPr>
    <w:rPr>
      <w:rFonts w:ascii="Constantia" w:hAnsi="Constantia"/>
      <w:sz w:val="18"/>
      <w:lang w:val="en-CA"/>
      <w14:numForm w14:val="lining"/>
      <w14:numSpacing w14:val="tabular"/>
    </w:rPr>
    <w:tblPr>
      <w:tblBorders>
        <w:top w:val="single" w:sz="4" w:space="0" w:color="auto"/>
        <w:bottom w:val="single" w:sz="12" w:space="0" w:color="auto"/>
      </w:tblBorders>
    </w:tblPr>
    <w:tblStylePr w:type="firstRow">
      <w:rPr>
        <w:rFonts w:ascii="Constantia" w:hAnsi="Constantia"/>
        <w:sz w:val="18"/>
      </w:rPr>
    </w:tblStylePr>
  </w:style>
  <w:style w:type="paragraph" w:customStyle="1" w:styleId="PSETableContent">
    <w:name w:val="PSE_TableContent"/>
    <w:basedOn w:val="Normal"/>
    <w:next w:val="Normal"/>
    <w:qFormat/>
    <w:rsid w:val="00CD6775"/>
    <w:pPr>
      <w:widowControl w:val="0"/>
      <w:tabs>
        <w:tab w:val="clear" w:pos="7100"/>
        <w:tab w:val="left" w:pos="425"/>
      </w:tabs>
      <w:autoSpaceDE w:val="0"/>
      <w:autoSpaceDN w:val="0"/>
      <w:adjustRightInd w:val="0"/>
      <w:contextualSpacing/>
      <w:jc w:val="left"/>
    </w:pPr>
    <w:rPr>
      <w:rFonts w:ascii="Inter" w:eastAsiaTheme="minorHAnsi" w:hAnsi="Inter" w:cs="Cormorant Medium"/>
      <w:color w:val="000000"/>
      <w:lang w:val="en-CA"/>
      <w14:numForm w14:val="lining"/>
      <w14:numSpacing w14:val="tabul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4490051">
      <w:bodyDiv w:val="1"/>
      <w:marLeft w:val="0"/>
      <w:marRight w:val="0"/>
      <w:marTop w:val="0"/>
      <w:marBottom w:val="0"/>
      <w:divBdr>
        <w:top w:val="none" w:sz="0" w:space="0" w:color="auto"/>
        <w:left w:val="none" w:sz="0" w:space="0" w:color="auto"/>
        <w:bottom w:val="none" w:sz="0" w:space="0" w:color="auto"/>
        <w:right w:val="none" w:sz="0" w:space="0" w:color="auto"/>
      </w:divBdr>
    </w:div>
    <w:div w:id="520123212">
      <w:bodyDiv w:val="1"/>
      <w:marLeft w:val="0"/>
      <w:marRight w:val="0"/>
      <w:marTop w:val="0"/>
      <w:marBottom w:val="0"/>
      <w:divBdr>
        <w:top w:val="none" w:sz="0" w:space="0" w:color="auto"/>
        <w:left w:val="none" w:sz="0" w:space="0" w:color="auto"/>
        <w:bottom w:val="none" w:sz="0" w:space="0" w:color="auto"/>
        <w:right w:val="none" w:sz="0" w:space="0" w:color="auto"/>
      </w:divBdr>
    </w:div>
    <w:div w:id="641889593">
      <w:bodyDiv w:val="1"/>
      <w:marLeft w:val="0"/>
      <w:marRight w:val="0"/>
      <w:marTop w:val="0"/>
      <w:marBottom w:val="0"/>
      <w:divBdr>
        <w:top w:val="none" w:sz="0" w:space="0" w:color="auto"/>
        <w:left w:val="none" w:sz="0" w:space="0" w:color="auto"/>
        <w:bottom w:val="none" w:sz="0" w:space="0" w:color="auto"/>
        <w:right w:val="none" w:sz="0" w:space="0" w:color="auto"/>
      </w:divBdr>
    </w:div>
    <w:div w:id="657028943">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9514497">
      <w:bodyDiv w:val="1"/>
      <w:marLeft w:val="0"/>
      <w:marRight w:val="0"/>
      <w:marTop w:val="0"/>
      <w:marBottom w:val="0"/>
      <w:divBdr>
        <w:top w:val="none" w:sz="0" w:space="0" w:color="auto"/>
        <w:left w:val="none" w:sz="0" w:space="0" w:color="auto"/>
        <w:bottom w:val="none" w:sz="0" w:space="0" w:color="auto"/>
        <w:right w:val="none" w:sz="0" w:space="0" w:color="auto"/>
      </w:divBdr>
      <w:divsChild>
        <w:div w:id="600145036">
          <w:marLeft w:val="0"/>
          <w:marRight w:val="0"/>
          <w:marTop w:val="0"/>
          <w:marBottom w:val="0"/>
          <w:divBdr>
            <w:top w:val="none" w:sz="0" w:space="0" w:color="auto"/>
            <w:left w:val="none" w:sz="0" w:space="0" w:color="auto"/>
            <w:bottom w:val="none" w:sz="0" w:space="0" w:color="auto"/>
            <w:right w:val="none" w:sz="0" w:space="0" w:color="auto"/>
          </w:divBdr>
          <w:divsChild>
            <w:div w:id="1071343664">
              <w:marLeft w:val="0"/>
              <w:marRight w:val="0"/>
              <w:marTop w:val="0"/>
              <w:marBottom w:val="0"/>
              <w:divBdr>
                <w:top w:val="none" w:sz="0" w:space="0" w:color="auto"/>
                <w:left w:val="none" w:sz="0" w:space="0" w:color="auto"/>
                <w:bottom w:val="none" w:sz="0" w:space="0" w:color="auto"/>
                <w:right w:val="none" w:sz="0" w:space="0" w:color="auto"/>
              </w:divBdr>
              <w:divsChild>
                <w:div w:id="1889106884">
                  <w:marLeft w:val="0"/>
                  <w:marRight w:val="0"/>
                  <w:marTop w:val="0"/>
                  <w:marBottom w:val="0"/>
                  <w:divBdr>
                    <w:top w:val="none" w:sz="0" w:space="0" w:color="auto"/>
                    <w:left w:val="none" w:sz="0" w:space="0" w:color="auto"/>
                    <w:bottom w:val="none" w:sz="0" w:space="0" w:color="auto"/>
                    <w:right w:val="none" w:sz="0" w:space="0" w:color="auto"/>
                  </w:divBdr>
                  <w:divsChild>
                    <w:div w:id="1690791893">
                      <w:marLeft w:val="0"/>
                      <w:marRight w:val="0"/>
                      <w:marTop w:val="0"/>
                      <w:marBottom w:val="0"/>
                      <w:divBdr>
                        <w:top w:val="none" w:sz="0" w:space="0" w:color="auto"/>
                        <w:left w:val="none" w:sz="0" w:space="0" w:color="auto"/>
                        <w:bottom w:val="none" w:sz="0" w:space="0" w:color="auto"/>
                        <w:right w:val="none" w:sz="0" w:space="0" w:color="auto"/>
                      </w:divBdr>
                      <w:divsChild>
                        <w:div w:id="1023743650">
                          <w:marLeft w:val="0"/>
                          <w:marRight w:val="0"/>
                          <w:marTop w:val="0"/>
                          <w:marBottom w:val="0"/>
                          <w:divBdr>
                            <w:top w:val="none" w:sz="0" w:space="0" w:color="auto"/>
                            <w:left w:val="none" w:sz="0" w:space="0" w:color="auto"/>
                            <w:bottom w:val="none" w:sz="0" w:space="0" w:color="auto"/>
                            <w:right w:val="none" w:sz="0" w:space="0" w:color="auto"/>
                          </w:divBdr>
                          <w:divsChild>
                            <w:div w:id="505244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831323">
      <w:bodyDiv w:val="1"/>
      <w:marLeft w:val="0"/>
      <w:marRight w:val="0"/>
      <w:marTop w:val="0"/>
      <w:marBottom w:val="0"/>
      <w:divBdr>
        <w:top w:val="none" w:sz="0" w:space="0" w:color="auto"/>
        <w:left w:val="none" w:sz="0" w:space="0" w:color="auto"/>
        <w:bottom w:val="none" w:sz="0" w:space="0" w:color="auto"/>
        <w:right w:val="none" w:sz="0" w:space="0" w:color="auto"/>
      </w:divBdr>
    </w:div>
    <w:div w:id="1368064460">
      <w:bodyDiv w:val="1"/>
      <w:marLeft w:val="0"/>
      <w:marRight w:val="0"/>
      <w:marTop w:val="0"/>
      <w:marBottom w:val="0"/>
      <w:divBdr>
        <w:top w:val="none" w:sz="0" w:space="0" w:color="auto"/>
        <w:left w:val="none" w:sz="0" w:space="0" w:color="auto"/>
        <w:bottom w:val="none" w:sz="0" w:space="0" w:color="auto"/>
        <w:right w:val="none" w:sz="0" w:space="0" w:color="auto"/>
      </w:divBdr>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5393842">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511600916">
      <w:bodyDiv w:val="1"/>
      <w:marLeft w:val="0"/>
      <w:marRight w:val="0"/>
      <w:marTop w:val="0"/>
      <w:marBottom w:val="0"/>
      <w:divBdr>
        <w:top w:val="none" w:sz="0" w:space="0" w:color="auto"/>
        <w:left w:val="none" w:sz="0" w:space="0" w:color="auto"/>
        <w:bottom w:val="none" w:sz="0" w:space="0" w:color="auto"/>
        <w:right w:val="none" w:sz="0" w:space="0" w:color="auto"/>
      </w:divBdr>
    </w:div>
    <w:div w:id="1515803939">
      <w:bodyDiv w:val="1"/>
      <w:marLeft w:val="0"/>
      <w:marRight w:val="0"/>
      <w:marTop w:val="0"/>
      <w:marBottom w:val="0"/>
      <w:divBdr>
        <w:top w:val="none" w:sz="0" w:space="0" w:color="auto"/>
        <w:left w:val="none" w:sz="0" w:space="0" w:color="auto"/>
        <w:bottom w:val="none" w:sz="0" w:space="0" w:color="auto"/>
        <w:right w:val="none" w:sz="0" w:space="0" w:color="auto"/>
      </w:divBdr>
    </w:div>
    <w:div w:id="1635795240">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491600">
      <w:bodyDiv w:val="1"/>
      <w:marLeft w:val="0"/>
      <w:marRight w:val="0"/>
      <w:marTop w:val="0"/>
      <w:marBottom w:val="0"/>
      <w:divBdr>
        <w:top w:val="none" w:sz="0" w:space="0" w:color="auto"/>
        <w:left w:val="none" w:sz="0" w:space="0" w:color="auto"/>
        <w:bottom w:val="none" w:sz="0" w:space="0" w:color="auto"/>
        <w:right w:val="none" w:sz="0" w:space="0" w:color="auto"/>
      </w:divBdr>
    </w:div>
    <w:div w:id="1861964761">
      <w:bodyDiv w:val="1"/>
      <w:marLeft w:val="0"/>
      <w:marRight w:val="0"/>
      <w:marTop w:val="0"/>
      <w:marBottom w:val="0"/>
      <w:divBdr>
        <w:top w:val="none" w:sz="0" w:space="0" w:color="auto"/>
        <w:left w:val="none" w:sz="0" w:space="0" w:color="auto"/>
        <w:bottom w:val="none" w:sz="0" w:space="0" w:color="auto"/>
        <w:right w:val="none" w:sz="0" w:space="0" w:color="auto"/>
      </w:divBdr>
      <w:divsChild>
        <w:div w:id="1731223458">
          <w:marLeft w:val="0"/>
          <w:marRight w:val="0"/>
          <w:marTop w:val="0"/>
          <w:marBottom w:val="0"/>
          <w:divBdr>
            <w:top w:val="none" w:sz="0" w:space="0" w:color="auto"/>
            <w:left w:val="none" w:sz="0" w:space="0" w:color="auto"/>
            <w:bottom w:val="none" w:sz="0" w:space="0" w:color="auto"/>
            <w:right w:val="none" w:sz="0" w:space="0" w:color="auto"/>
          </w:divBdr>
          <w:divsChild>
            <w:div w:id="581331257">
              <w:marLeft w:val="0"/>
              <w:marRight w:val="0"/>
              <w:marTop w:val="0"/>
              <w:marBottom w:val="0"/>
              <w:divBdr>
                <w:top w:val="none" w:sz="0" w:space="0" w:color="auto"/>
                <w:left w:val="none" w:sz="0" w:space="0" w:color="auto"/>
                <w:bottom w:val="none" w:sz="0" w:space="0" w:color="auto"/>
                <w:right w:val="none" w:sz="0" w:space="0" w:color="auto"/>
              </w:divBdr>
              <w:divsChild>
                <w:div w:id="1821385708">
                  <w:marLeft w:val="0"/>
                  <w:marRight w:val="0"/>
                  <w:marTop w:val="0"/>
                  <w:marBottom w:val="0"/>
                  <w:divBdr>
                    <w:top w:val="none" w:sz="0" w:space="0" w:color="auto"/>
                    <w:left w:val="none" w:sz="0" w:space="0" w:color="auto"/>
                    <w:bottom w:val="none" w:sz="0" w:space="0" w:color="auto"/>
                    <w:right w:val="none" w:sz="0" w:space="0" w:color="auto"/>
                  </w:divBdr>
                  <w:divsChild>
                    <w:div w:id="184248340">
                      <w:marLeft w:val="0"/>
                      <w:marRight w:val="0"/>
                      <w:marTop w:val="0"/>
                      <w:marBottom w:val="0"/>
                      <w:divBdr>
                        <w:top w:val="none" w:sz="0" w:space="0" w:color="auto"/>
                        <w:left w:val="none" w:sz="0" w:space="0" w:color="auto"/>
                        <w:bottom w:val="none" w:sz="0" w:space="0" w:color="auto"/>
                        <w:right w:val="none" w:sz="0" w:space="0" w:color="auto"/>
                      </w:divBdr>
                      <w:divsChild>
                        <w:div w:id="905843370">
                          <w:marLeft w:val="0"/>
                          <w:marRight w:val="0"/>
                          <w:marTop w:val="0"/>
                          <w:marBottom w:val="0"/>
                          <w:divBdr>
                            <w:top w:val="none" w:sz="0" w:space="0" w:color="auto"/>
                            <w:left w:val="none" w:sz="0" w:space="0" w:color="auto"/>
                            <w:bottom w:val="none" w:sz="0" w:space="0" w:color="auto"/>
                            <w:right w:val="none" w:sz="0" w:space="0" w:color="auto"/>
                          </w:divBdr>
                          <w:divsChild>
                            <w:div w:id="24376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0374651">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8/08/relationships/commentsExtensible" Target="commentsExtensible.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45A3DE-A78C-4BBA-AB7D-FD40DABD6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1966</TotalTime>
  <Pages>6</Pages>
  <Words>3592</Words>
  <Characters>19760</Characters>
  <Application>Microsoft Office Word</Application>
  <DocSecurity>0</DocSecurity>
  <Lines>164</Lines>
  <Paragraphs>46</Paragraphs>
  <ScaleCrop>false</ScaleCrop>
  <HeadingPairs>
    <vt:vector size="6" baseType="variant">
      <vt:variant>
        <vt:lpstr>Título</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Dipartimento CMIC - Politecnico di Milano</Company>
  <LinksUpToDate>false</LinksUpToDate>
  <CharactersWithSpaces>23306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nicolas cabrera ruiz</cp:lastModifiedBy>
  <cp:revision>921</cp:revision>
  <cp:lastPrinted>2015-05-12T18:31:00Z</cp:lastPrinted>
  <dcterms:created xsi:type="dcterms:W3CDTF">2024-02-20T10:29:00Z</dcterms:created>
  <dcterms:modified xsi:type="dcterms:W3CDTF">2025-01-31T15:08:00Z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