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9A7091">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F2D6FF" w:rsidR="000A03B2" w:rsidRPr="00B57B36" w:rsidRDefault="00472A57" w:rsidP="001D21AF">
            <w:pPr>
              <w:tabs>
                <w:tab w:val="left" w:pos="-108"/>
              </w:tabs>
              <w:ind w:left="-108"/>
              <w:rPr>
                <w:rFonts w:cs="Arial"/>
                <w:b/>
                <w:bCs/>
                <w:i/>
                <w:iCs/>
                <w:color w:val="000066"/>
                <w:sz w:val="22"/>
                <w:szCs w:val="22"/>
                <w:lang w:eastAsia="it-IT"/>
              </w:rPr>
            </w:pPr>
            <w:r w:rsidRPr="00472A57">
              <w:rPr>
                <w:rFonts w:cs="Arial"/>
                <w:b/>
                <w:bCs/>
                <w:i/>
                <w:iCs/>
                <w:color w:val="000066"/>
                <w:sz w:val="22"/>
                <w:szCs w:val="22"/>
                <w:lang w:eastAsia="it-IT"/>
              </w:rPr>
              <w:t>VOL. xxx, 2025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9A7091">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9A7091">
        <w:trPr>
          <w:trHeight w:val="68"/>
          <w:jc w:val="center"/>
        </w:trPr>
        <w:tc>
          <w:tcPr>
            <w:tcW w:w="8782" w:type="dxa"/>
            <w:gridSpan w:val="2"/>
          </w:tcPr>
          <w:p w14:paraId="7F081782" w14:textId="77777777" w:rsidR="00472A57" w:rsidRDefault="00472A57" w:rsidP="00472A57">
            <w:pPr>
              <w:ind w:left="-107"/>
              <w:jc w:val="left"/>
              <w:outlineLvl w:val="2"/>
              <w:rPr>
                <w:rFonts w:ascii="Tahoma" w:hAnsi="Tahoma" w:cs="Tahoma"/>
                <w:color w:val="000000"/>
                <w:sz w:val="14"/>
                <w:szCs w:val="14"/>
                <w:shd w:val="clear" w:color="auto" w:fill="FFFFFF"/>
                <w:lang w:val="it-IT"/>
              </w:rPr>
            </w:pPr>
            <w:r>
              <w:rPr>
                <w:rFonts w:ascii="Tahoma" w:hAnsi="Tahoma" w:cs="Tahoma"/>
                <w:iCs/>
                <w:color w:val="333333"/>
                <w:sz w:val="14"/>
                <w:szCs w:val="14"/>
                <w:lang w:val="it-IT" w:eastAsia="it-IT"/>
              </w:rPr>
              <w:t>Guest Editors:</w:t>
            </w:r>
            <w:r>
              <w:rPr>
                <w:rFonts w:ascii="Aptos" w:eastAsiaTheme="minorHAnsi" w:hAnsi="Aptos" w:cs="Aptos"/>
                <w:sz w:val="22"/>
                <w:szCs w:val="22"/>
                <w:lang w:val="it-IT"/>
                <w14:ligatures w14:val="standardContextual"/>
              </w:rPr>
              <w:t xml:space="preserve"> </w:t>
            </w:r>
            <w:r>
              <w:rPr>
                <w:rFonts w:ascii="Tahoma" w:hAnsi="Tahoma" w:cs="Tahoma"/>
                <w:color w:val="000000"/>
                <w:sz w:val="14"/>
                <w:szCs w:val="14"/>
                <w:shd w:val="clear" w:color="auto" w:fill="FFFFFF"/>
                <w:lang w:val="it-IT"/>
              </w:rPr>
              <w:t>Fabrizio Bezzo, Flavio Manenti, Gabriele Pannocchia, Almerinda di Benedetto</w:t>
            </w:r>
          </w:p>
          <w:p w14:paraId="1B0F1814" w14:textId="2858A216" w:rsidR="000A03B2" w:rsidRPr="00B57B36" w:rsidRDefault="00472A57" w:rsidP="00472A57">
            <w:pPr>
              <w:tabs>
                <w:tab w:val="left" w:pos="-108"/>
              </w:tabs>
              <w:spacing w:line="140" w:lineRule="atLeast"/>
              <w:ind w:left="-107"/>
              <w:jc w:val="left"/>
            </w:pPr>
            <w:r>
              <w:rPr>
                <w:rFonts w:ascii="Tahoma" w:hAnsi="Tahoma" w:cs="Tahoma"/>
                <w:iCs/>
                <w:color w:val="333333"/>
                <w:sz w:val="14"/>
                <w:szCs w:val="14"/>
                <w:lang w:eastAsia="it-IT"/>
              </w:rPr>
              <w:t xml:space="preserve">Copyright © 2025,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979-12-81206-17-5</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2E667253" w14:textId="5275B5F1" w:rsidR="00E978D0" w:rsidRPr="00FF22FE" w:rsidRDefault="009A7091" w:rsidP="009A7091">
      <w:pPr>
        <w:keepNext/>
        <w:keepLines/>
        <w:tabs>
          <w:tab w:val="clear" w:pos="7100"/>
        </w:tabs>
        <w:spacing w:before="360" w:after="80" w:line="256" w:lineRule="auto"/>
        <w:jc w:val="left"/>
        <w:outlineLvl w:val="0"/>
        <w:rPr>
          <w:rFonts w:cs="Arial"/>
          <w:sz w:val="32"/>
          <w:szCs w:val="32"/>
          <w:lang w:val="en-US"/>
        </w:rPr>
      </w:pPr>
      <w:r w:rsidRPr="00FF22FE">
        <w:rPr>
          <w:rFonts w:cs="Arial"/>
          <w:sz w:val="32"/>
          <w:szCs w:val="32"/>
          <w:lang w:val="en-US"/>
        </w:rPr>
        <w:t xml:space="preserve">Differential Evolution for </w:t>
      </w:r>
      <w:r w:rsidR="002176E7">
        <w:rPr>
          <w:rFonts w:cs="Arial"/>
          <w:sz w:val="32"/>
          <w:szCs w:val="32"/>
          <w:lang w:val="en-US"/>
        </w:rPr>
        <w:t>O</w:t>
      </w:r>
      <w:r w:rsidRPr="00FF22FE">
        <w:rPr>
          <w:rFonts w:cs="Arial"/>
          <w:sz w:val="32"/>
          <w:szCs w:val="32"/>
          <w:lang w:val="en-US"/>
        </w:rPr>
        <w:t xml:space="preserve">ptimizing </w:t>
      </w:r>
      <w:r w:rsidR="002176E7">
        <w:rPr>
          <w:rFonts w:cs="Arial"/>
          <w:sz w:val="32"/>
          <w:szCs w:val="32"/>
          <w:lang w:val="en-US"/>
        </w:rPr>
        <w:t>M</w:t>
      </w:r>
      <w:r w:rsidRPr="00FF22FE">
        <w:rPr>
          <w:rFonts w:cs="Arial"/>
          <w:sz w:val="32"/>
          <w:szCs w:val="32"/>
          <w:lang w:val="en-US"/>
        </w:rPr>
        <w:t xml:space="preserve">odel </w:t>
      </w:r>
      <w:r w:rsidR="002176E7">
        <w:rPr>
          <w:rFonts w:cs="Arial"/>
          <w:sz w:val="32"/>
          <w:szCs w:val="32"/>
          <w:lang w:val="en-US"/>
        </w:rPr>
        <w:t>P</w:t>
      </w:r>
      <w:r w:rsidRPr="00FF22FE">
        <w:rPr>
          <w:rFonts w:cs="Arial"/>
          <w:sz w:val="32"/>
          <w:szCs w:val="32"/>
          <w:lang w:val="en-US"/>
        </w:rPr>
        <w:t xml:space="preserve">arameters in </w:t>
      </w:r>
      <w:r w:rsidR="002176E7">
        <w:rPr>
          <w:rFonts w:cs="Arial"/>
          <w:sz w:val="32"/>
          <w:szCs w:val="32"/>
          <w:lang w:val="en-US"/>
        </w:rPr>
        <w:t>S</w:t>
      </w:r>
      <w:r w:rsidRPr="00FF22FE">
        <w:rPr>
          <w:rFonts w:cs="Arial"/>
          <w:sz w:val="32"/>
          <w:szCs w:val="32"/>
          <w:lang w:val="en-US"/>
        </w:rPr>
        <w:t xml:space="preserve">imulation of </w:t>
      </w:r>
      <w:r w:rsidR="002176E7">
        <w:rPr>
          <w:rFonts w:cs="Arial"/>
          <w:sz w:val="32"/>
          <w:szCs w:val="32"/>
          <w:lang w:val="en-US"/>
        </w:rPr>
        <w:t>D</w:t>
      </w:r>
      <w:r w:rsidRPr="00FF22FE">
        <w:rPr>
          <w:rFonts w:cs="Arial"/>
          <w:sz w:val="32"/>
          <w:szCs w:val="32"/>
          <w:lang w:val="en-US"/>
        </w:rPr>
        <w:t xml:space="preserve">irect </w:t>
      </w:r>
      <w:r w:rsidR="002176E7">
        <w:rPr>
          <w:rFonts w:cs="Arial"/>
          <w:sz w:val="32"/>
          <w:szCs w:val="32"/>
        </w:rPr>
        <w:t>D</w:t>
      </w:r>
      <w:r w:rsidR="00BE3763" w:rsidRPr="00BE3763">
        <w:rPr>
          <w:rFonts w:cs="Arial"/>
          <w:sz w:val="32"/>
          <w:szCs w:val="32"/>
        </w:rPr>
        <w:t xml:space="preserve">imethyl </w:t>
      </w:r>
      <w:r w:rsidR="002176E7">
        <w:rPr>
          <w:rFonts w:cs="Arial"/>
          <w:sz w:val="32"/>
          <w:szCs w:val="32"/>
        </w:rPr>
        <w:t>C</w:t>
      </w:r>
      <w:r w:rsidR="00BE3763" w:rsidRPr="00BE3763">
        <w:rPr>
          <w:rFonts w:cs="Arial"/>
          <w:sz w:val="32"/>
          <w:szCs w:val="32"/>
        </w:rPr>
        <w:t>arbonate</w:t>
      </w:r>
      <w:r w:rsidRPr="00FF22FE">
        <w:rPr>
          <w:rFonts w:cs="Arial"/>
          <w:sz w:val="32"/>
          <w:szCs w:val="32"/>
          <w:lang w:val="en-US"/>
        </w:rPr>
        <w:t xml:space="preserve"> </w:t>
      </w:r>
      <w:r w:rsidR="002176E7">
        <w:rPr>
          <w:rFonts w:cs="Arial"/>
          <w:sz w:val="32"/>
          <w:szCs w:val="32"/>
          <w:lang w:val="en-US"/>
        </w:rPr>
        <w:t>S</w:t>
      </w:r>
      <w:r w:rsidRPr="00FF22FE">
        <w:rPr>
          <w:rFonts w:cs="Arial"/>
          <w:sz w:val="32"/>
          <w:szCs w:val="32"/>
          <w:lang w:val="en-US"/>
        </w:rPr>
        <w:t>ynthesis</w:t>
      </w:r>
    </w:p>
    <w:p w14:paraId="0488FED2" w14:textId="15167636" w:rsidR="00B57E6F" w:rsidRPr="009A7091" w:rsidRDefault="009A7091" w:rsidP="00B57E6F">
      <w:pPr>
        <w:pStyle w:val="CETAuthors"/>
        <w:rPr>
          <w:lang w:val="fi-FI"/>
        </w:rPr>
      </w:pPr>
      <w:r w:rsidRPr="009A7091">
        <w:rPr>
          <w:lang w:val="fi-FI"/>
        </w:rPr>
        <w:t>Outi Ruu</w:t>
      </w:r>
      <w:r w:rsidR="00B57E6F" w:rsidRPr="009A7091">
        <w:rPr>
          <w:lang w:val="fi-FI"/>
        </w:rPr>
        <w:t>s</w:t>
      </w:r>
      <w:r w:rsidRPr="009A7091">
        <w:rPr>
          <w:lang w:val="fi-FI"/>
        </w:rPr>
        <w:t>unen</w:t>
      </w:r>
      <w:r w:rsidR="00B57E6F" w:rsidRPr="009A7091">
        <w:rPr>
          <w:vertAlign w:val="superscript"/>
          <w:lang w:val="fi-FI"/>
        </w:rPr>
        <w:t>a</w:t>
      </w:r>
      <w:r w:rsidR="001D061B">
        <w:rPr>
          <w:lang w:val="fi-FI"/>
        </w:rPr>
        <w:t>*</w:t>
      </w:r>
      <w:r w:rsidR="00B57E6F" w:rsidRPr="009A7091">
        <w:rPr>
          <w:lang w:val="fi-FI"/>
        </w:rPr>
        <w:t xml:space="preserve">, </w:t>
      </w:r>
      <w:r w:rsidRPr="009A7091">
        <w:rPr>
          <w:lang w:val="fi-FI"/>
        </w:rPr>
        <w:t>Riitta Keiski</w:t>
      </w:r>
      <w:r w:rsidRPr="009A7091">
        <w:rPr>
          <w:vertAlign w:val="superscript"/>
          <w:lang w:val="fi-FI"/>
        </w:rPr>
        <w:t>a</w:t>
      </w:r>
      <w:r w:rsidRPr="009A7091">
        <w:rPr>
          <w:lang w:val="fi-FI"/>
        </w:rPr>
        <w:t xml:space="preserve"> and Mika Ruusunen</w:t>
      </w:r>
      <w:r w:rsidRPr="009A7091">
        <w:rPr>
          <w:vertAlign w:val="superscript"/>
          <w:lang w:val="fi-FI"/>
        </w:rPr>
        <w:t>a</w:t>
      </w:r>
    </w:p>
    <w:p w14:paraId="6B2D21B3" w14:textId="09BBB7DF" w:rsidR="00B57E6F" w:rsidRPr="009A7091" w:rsidRDefault="00B57E6F" w:rsidP="00B57E6F">
      <w:pPr>
        <w:pStyle w:val="CETAddress"/>
        <w:rPr>
          <w:lang w:val="fi-FI"/>
        </w:rPr>
      </w:pPr>
      <w:r w:rsidRPr="009A7091">
        <w:rPr>
          <w:vertAlign w:val="superscript"/>
          <w:lang w:val="fi-FI"/>
        </w:rPr>
        <w:t>a</w:t>
      </w:r>
      <w:r w:rsidR="009A7091" w:rsidRPr="009A7091">
        <w:rPr>
          <w:lang w:val="fi-FI"/>
        </w:rPr>
        <w:t>University of Oulu</w:t>
      </w:r>
      <w:r w:rsidR="00BB7848">
        <w:rPr>
          <w:lang w:val="fi-FI"/>
        </w:rPr>
        <w:t>,</w:t>
      </w:r>
      <w:r w:rsidRPr="009A7091">
        <w:rPr>
          <w:lang w:val="fi-FI"/>
        </w:rPr>
        <w:t xml:space="preserve"> </w:t>
      </w:r>
      <w:r w:rsidR="009A7091" w:rsidRPr="009A7091">
        <w:rPr>
          <w:lang w:val="fi-FI"/>
        </w:rPr>
        <w:t xml:space="preserve">Pentti Kaiteran katu 1, </w:t>
      </w:r>
      <w:r w:rsidR="005B680F">
        <w:rPr>
          <w:lang w:val="fi-FI"/>
        </w:rPr>
        <w:t xml:space="preserve">90570 </w:t>
      </w:r>
      <w:r w:rsidR="009A7091" w:rsidRPr="009A7091">
        <w:rPr>
          <w:lang w:val="fi-FI"/>
        </w:rPr>
        <w:t>Oulu, Finland</w:t>
      </w:r>
      <w:r w:rsidRPr="009A7091">
        <w:rPr>
          <w:lang w:val="fi-FI"/>
        </w:rPr>
        <w:t xml:space="preserve"> </w:t>
      </w:r>
    </w:p>
    <w:p w14:paraId="73F1267A" w14:textId="1DA9C965" w:rsidR="00B57E6F" w:rsidRPr="00B57B36" w:rsidRDefault="00B57E6F" w:rsidP="00B57E6F">
      <w:pPr>
        <w:pStyle w:val="CETemail"/>
      </w:pPr>
      <w:r w:rsidRPr="00F22FC9">
        <w:rPr>
          <w:lang w:val="fi-FI"/>
        </w:rPr>
        <w:t xml:space="preserve"> </w:t>
      </w:r>
      <w:r w:rsidR="009A7091">
        <w:t>outi.ruusunen@oulu.fi</w:t>
      </w:r>
      <w:r w:rsidRPr="00B57B36">
        <w:t xml:space="preserve"> </w:t>
      </w:r>
    </w:p>
    <w:p w14:paraId="09540500" w14:textId="00C408F0" w:rsidR="00631FFE" w:rsidRDefault="00631FFE" w:rsidP="00BE3763">
      <w:pPr>
        <w:pStyle w:val="CETBodytext"/>
        <w:rPr>
          <w:lang w:val="en-GB"/>
        </w:rPr>
      </w:pPr>
      <w:bookmarkStart w:id="0" w:name="_Hlk195535044"/>
      <w:r w:rsidRPr="00631FFE">
        <w:rPr>
          <w:lang w:val="en-GB"/>
        </w:rPr>
        <w:t>Dimethyl carbonate</w:t>
      </w:r>
      <w:bookmarkEnd w:id="0"/>
      <w:r w:rsidRPr="00631FFE">
        <w:rPr>
          <w:lang w:val="en-GB"/>
        </w:rPr>
        <w:t xml:space="preserve"> (DMC) is a versatile, non-toxic chemical used as a solvent, fuel additive, and reagent in pharmaceuticals and agrochemicals. While traditional production methods </w:t>
      </w:r>
      <w:r w:rsidR="00AA37FE">
        <w:rPr>
          <w:lang w:val="en-GB"/>
        </w:rPr>
        <w:t xml:space="preserve">of DMC </w:t>
      </w:r>
      <w:r w:rsidRPr="00631FFE">
        <w:rPr>
          <w:lang w:val="en-GB"/>
        </w:rPr>
        <w:t>rely on toxic gases like chlorine and carbon monoxide,</w:t>
      </w:r>
      <w:r w:rsidR="00AA37FE">
        <w:rPr>
          <w:lang w:val="en-GB"/>
        </w:rPr>
        <w:t xml:space="preserve"> </w:t>
      </w:r>
      <w:r w:rsidR="00BB7848">
        <w:rPr>
          <w:lang w:val="en-GB"/>
        </w:rPr>
        <w:t xml:space="preserve">safer and </w:t>
      </w:r>
      <w:r w:rsidR="00AA37FE">
        <w:rPr>
          <w:lang w:val="en-GB"/>
        </w:rPr>
        <w:t xml:space="preserve">environmentally friendly alternatives are explored to </w:t>
      </w:r>
      <w:r w:rsidRPr="00631FFE">
        <w:rPr>
          <w:lang w:val="en-GB"/>
        </w:rPr>
        <w:t xml:space="preserve">meet </w:t>
      </w:r>
      <w:r w:rsidR="00BB7848">
        <w:rPr>
          <w:lang w:val="en-GB"/>
        </w:rPr>
        <w:t xml:space="preserve">the </w:t>
      </w:r>
      <w:r w:rsidRPr="00631FFE">
        <w:rPr>
          <w:lang w:val="en-GB"/>
        </w:rPr>
        <w:t>rising demand.</w:t>
      </w:r>
      <w:r w:rsidR="00F00EB6">
        <w:rPr>
          <w:lang w:val="en-GB"/>
        </w:rPr>
        <w:t xml:space="preserve"> </w:t>
      </w:r>
      <w:r w:rsidRPr="00631FFE">
        <w:rPr>
          <w:lang w:val="en-GB"/>
        </w:rPr>
        <w:t>The direct synthesis of DMC from CO</w:t>
      </w:r>
      <w:r w:rsidRPr="00631FFE">
        <w:rPr>
          <w:rFonts w:ascii="Cambria Math" w:hAnsi="Cambria Math" w:cs="Cambria Math"/>
          <w:lang w:val="en-GB"/>
        </w:rPr>
        <w:t>₂</w:t>
      </w:r>
      <w:r w:rsidRPr="00631FFE">
        <w:rPr>
          <w:lang w:val="en-GB"/>
        </w:rPr>
        <w:t xml:space="preserve"> and methanol provides a greener route but is hindered by CO</w:t>
      </w:r>
      <w:r w:rsidRPr="00631FFE">
        <w:rPr>
          <w:rFonts w:ascii="Cambria Math" w:hAnsi="Cambria Math" w:cs="Cambria Math"/>
          <w:lang w:val="en-GB"/>
        </w:rPr>
        <w:t>₂</w:t>
      </w:r>
      <w:r w:rsidRPr="00631FFE">
        <w:rPr>
          <w:rFonts w:cs="Arial"/>
          <w:lang w:val="en-GB"/>
        </w:rPr>
        <w:t>’</w:t>
      </w:r>
      <w:r w:rsidRPr="00631FFE">
        <w:rPr>
          <w:lang w:val="en-GB"/>
        </w:rPr>
        <w:t>s stability and water-induced catalyst deactivation. Advances in catalysts and water removal techniques, like natural convection systems, are essential for improving efficiency.</w:t>
      </w:r>
      <w:r w:rsidR="00F00EB6">
        <w:rPr>
          <w:lang w:val="en-GB"/>
        </w:rPr>
        <w:t xml:space="preserve"> </w:t>
      </w:r>
      <w:r w:rsidRPr="00631FFE">
        <w:rPr>
          <w:lang w:val="en-GB"/>
        </w:rPr>
        <w:t xml:space="preserve">This study employs a data-driven model </w:t>
      </w:r>
      <w:r w:rsidR="00AA37FE">
        <w:rPr>
          <w:lang w:val="en-GB"/>
        </w:rPr>
        <w:t>applying</w:t>
      </w:r>
      <w:r w:rsidRPr="00631FFE">
        <w:rPr>
          <w:lang w:val="en-GB"/>
        </w:rPr>
        <w:t xml:space="preserve"> differential equations and literature data to simulate DMC synthesis. The Differential Evolution (DE) algorithm</w:t>
      </w:r>
      <w:r w:rsidR="00F00EB6">
        <w:rPr>
          <w:lang w:val="en-GB"/>
        </w:rPr>
        <w:t xml:space="preserve"> was applied to</w:t>
      </w:r>
      <w:r w:rsidRPr="00631FFE">
        <w:rPr>
          <w:lang w:val="en-GB"/>
        </w:rPr>
        <w:t xml:space="preserve"> optimize parameters</w:t>
      </w:r>
      <w:r w:rsidR="00F00EB6">
        <w:rPr>
          <w:lang w:val="en-GB"/>
        </w:rPr>
        <w:t xml:space="preserve"> of the model. When v</w:t>
      </w:r>
      <w:r w:rsidRPr="00631FFE">
        <w:rPr>
          <w:lang w:val="en-GB"/>
        </w:rPr>
        <w:t xml:space="preserve">alidated </w:t>
      </w:r>
      <w:r w:rsidR="005B680F">
        <w:rPr>
          <w:lang w:val="en-GB"/>
        </w:rPr>
        <w:t>with</w:t>
      </w:r>
      <w:r w:rsidRPr="00631FFE">
        <w:rPr>
          <w:lang w:val="en-GB"/>
        </w:rPr>
        <w:t xml:space="preserve"> </w:t>
      </w:r>
      <w:r w:rsidR="007644BF">
        <w:rPr>
          <w:lang w:val="en-GB"/>
        </w:rPr>
        <w:t xml:space="preserve">data of a </w:t>
      </w:r>
      <w:r w:rsidR="006F0C40">
        <w:rPr>
          <w:lang w:val="en-GB"/>
        </w:rPr>
        <w:t xml:space="preserve">real-world </w:t>
      </w:r>
      <w:r w:rsidRPr="00631FFE">
        <w:rPr>
          <w:lang w:val="en-GB"/>
        </w:rPr>
        <w:t xml:space="preserve">batch </w:t>
      </w:r>
      <w:r w:rsidR="007644BF">
        <w:rPr>
          <w:lang w:val="en-GB"/>
        </w:rPr>
        <w:t>process</w:t>
      </w:r>
      <w:r w:rsidRPr="00631FFE">
        <w:rPr>
          <w:lang w:val="en-GB"/>
        </w:rPr>
        <w:t xml:space="preserve">, the model accurately predicted </w:t>
      </w:r>
      <w:r w:rsidR="00AA37FE">
        <w:rPr>
          <w:lang w:val="en-GB"/>
        </w:rPr>
        <w:t xml:space="preserve">evolution of </w:t>
      </w:r>
      <w:r w:rsidRPr="00631FFE">
        <w:rPr>
          <w:lang w:val="en-GB"/>
        </w:rPr>
        <w:t>reaction composition ratios</w:t>
      </w:r>
      <w:r w:rsidR="00AA37FE">
        <w:rPr>
          <w:lang w:val="en-GB"/>
        </w:rPr>
        <w:t xml:space="preserve"> in time</w:t>
      </w:r>
      <w:r w:rsidRPr="00631FFE">
        <w:rPr>
          <w:lang w:val="en-GB"/>
        </w:rPr>
        <w:t xml:space="preserve">, offering a tool for </w:t>
      </w:r>
      <w:r w:rsidR="007644BF">
        <w:rPr>
          <w:lang w:val="en-GB"/>
        </w:rPr>
        <w:t>predictive</w:t>
      </w:r>
      <w:r w:rsidRPr="00631FFE">
        <w:rPr>
          <w:lang w:val="en-GB"/>
        </w:rPr>
        <w:t xml:space="preserve"> optimization. This approach could also support </w:t>
      </w:r>
      <w:r w:rsidR="00BB7848">
        <w:rPr>
          <w:lang w:val="en-GB"/>
        </w:rPr>
        <w:t xml:space="preserve">the design of </w:t>
      </w:r>
      <w:r w:rsidRPr="00631FFE">
        <w:rPr>
          <w:lang w:val="en-GB"/>
        </w:rPr>
        <w:t>other chemical processes, advancing sustainable production methods.</w:t>
      </w:r>
    </w:p>
    <w:p w14:paraId="74A4429B" w14:textId="77777777" w:rsidR="00F22FC9" w:rsidRDefault="00F22FC9" w:rsidP="00F22FC9">
      <w:pPr>
        <w:pStyle w:val="CETHeading1"/>
        <w:rPr>
          <w:lang w:val="en-GB"/>
        </w:rPr>
      </w:pPr>
      <w:r w:rsidRPr="00B57B36">
        <w:rPr>
          <w:lang w:val="en-GB"/>
        </w:rPr>
        <w:t>Introduction</w:t>
      </w:r>
    </w:p>
    <w:p w14:paraId="5F2885BA" w14:textId="6855397E" w:rsidR="00227CCD" w:rsidRPr="00227CCD" w:rsidRDefault="00227CCD" w:rsidP="00227CCD">
      <w:pPr>
        <w:pStyle w:val="CETBodytext"/>
        <w:rPr>
          <w:lang w:val="en-GB"/>
        </w:rPr>
      </w:pPr>
      <w:r w:rsidRPr="00227CCD">
        <w:rPr>
          <w:lang w:val="en-GB"/>
        </w:rPr>
        <w:t xml:space="preserve">Dimethyl carbonate (DMC) is a versatile, low-toxicity chemical widely used as a solvent, methylating reagent, fuel additive, and reactant in polycarbonate production, as well as in agrochemical and pharmaceutical industries. It is </w:t>
      </w:r>
      <w:r w:rsidR="008D27B4" w:rsidRPr="00227CCD">
        <w:rPr>
          <w:lang w:val="en-GB"/>
        </w:rPr>
        <w:t>favoured</w:t>
      </w:r>
      <w:r w:rsidRPr="00227CCD">
        <w:rPr>
          <w:lang w:val="en-GB"/>
        </w:rPr>
        <w:t xml:space="preserve"> for its rapid biodegradability, good blending octane, and compatibility with water streams. DMC also serves as an electrolyte in lithium-ion batteries (Kohli et al., 2022) and offers a non-carcinogenic alternative to dichloromethane and dimethyl </w:t>
      </w:r>
      <w:r w:rsidR="008D27B4" w:rsidRPr="00227CCD">
        <w:rPr>
          <w:lang w:val="en-GB"/>
        </w:rPr>
        <w:t>sulphate</w:t>
      </w:r>
      <w:r w:rsidRPr="00227CCD">
        <w:rPr>
          <w:lang w:val="en-GB"/>
        </w:rPr>
        <w:t xml:space="preserve"> in carbonylation and transesterification reactions (Wei et al., 2023).</w:t>
      </w:r>
    </w:p>
    <w:p w14:paraId="611FC726" w14:textId="0E161F67" w:rsidR="00227CCD" w:rsidRPr="00227CCD" w:rsidRDefault="00227CCD" w:rsidP="00227CCD">
      <w:pPr>
        <w:pStyle w:val="CETBodytext"/>
        <w:rPr>
          <w:lang w:val="en-GB"/>
        </w:rPr>
      </w:pPr>
      <w:r w:rsidRPr="00227CCD">
        <w:rPr>
          <w:lang w:val="en-GB"/>
        </w:rPr>
        <w:t xml:space="preserve">Early synthesis methods, like </w:t>
      </w:r>
      <w:proofErr w:type="spellStart"/>
      <w:r w:rsidRPr="00227CCD">
        <w:rPr>
          <w:lang w:val="en-GB"/>
        </w:rPr>
        <w:t>phosgenation</w:t>
      </w:r>
      <w:proofErr w:type="spellEnd"/>
      <w:r w:rsidRPr="00227CCD">
        <w:rPr>
          <w:lang w:val="en-GB"/>
        </w:rPr>
        <w:t xml:space="preserve"> and oxidative carbonylation of methanol, relied on toxic gases like chlorine and carbon monoxide. Safer processes, such as </w:t>
      </w:r>
      <w:proofErr w:type="spellStart"/>
      <w:r w:rsidRPr="00227CCD">
        <w:rPr>
          <w:lang w:val="en-GB"/>
        </w:rPr>
        <w:t>ENiChem’s</w:t>
      </w:r>
      <w:proofErr w:type="spellEnd"/>
      <w:r w:rsidRPr="00227CCD">
        <w:rPr>
          <w:lang w:val="en-GB"/>
        </w:rPr>
        <w:t xml:space="preserve"> catalytic oxidative carbonylation, produce fewer byproducts but cannot meet </w:t>
      </w:r>
      <w:r w:rsidR="00BB7848">
        <w:rPr>
          <w:lang w:val="en-GB"/>
        </w:rPr>
        <w:t xml:space="preserve">the </w:t>
      </w:r>
      <w:r w:rsidRPr="00227CCD">
        <w:rPr>
          <w:lang w:val="en-GB"/>
        </w:rPr>
        <w:t xml:space="preserve">rising demand </w:t>
      </w:r>
      <w:r w:rsidR="00BB7848">
        <w:rPr>
          <w:lang w:val="en-GB"/>
        </w:rPr>
        <w:t xml:space="preserve">of DMC </w:t>
      </w:r>
      <w:r w:rsidRPr="00227CCD">
        <w:rPr>
          <w:lang w:val="en-GB"/>
        </w:rPr>
        <w:t xml:space="preserve">(Pyo et al., 2017; </w:t>
      </w:r>
      <w:proofErr w:type="spellStart"/>
      <w:r w:rsidRPr="00227CCD">
        <w:rPr>
          <w:lang w:val="en-GB"/>
        </w:rPr>
        <w:t>Bunsaksit</w:t>
      </w:r>
      <w:proofErr w:type="spellEnd"/>
      <w:r w:rsidRPr="00227CCD">
        <w:rPr>
          <w:lang w:val="en-GB"/>
        </w:rPr>
        <w:t xml:space="preserve"> et al., 2024). Emerging methods, including the direct conversion of CO</w:t>
      </w:r>
      <w:r w:rsidRPr="00227CCD">
        <w:rPr>
          <w:rFonts w:ascii="Cambria Math" w:hAnsi="Cambria Math" w:cs="Cambria Math"/>
          <w:lang w:val="en-GB"/>
        </w:rPr>
        <w:t>₂</w:t>
      </w:r>
      <w:r w:rsidRPr="00227CCD">
        <w:rPr>
          <w:lang w:val="en-GB"/>
        </w:rPr>
        <w:t xml:space="preserve"> with methanol and urea-based routes, show potential but face challenges like CO</w:t>
      </w:r>
      <w:r w:rsidRPr="00227CCD">
        <w:rPr>
          <w:rFonts w:ascii="Cambria Math" w:hAnsi="Cambria Math" w:cs="Cambria Math"/>
          <w:lang w:val="en-GB"/>
        </w:rPr>
        <w:t>₂</w:t>
      </w:r>
      <w:r w:rsidRPr="00227CCD">
        <w:rPr>
          <w:rFonts w:cs="Arial"/>
          <w:lang w:val="en-GB"/>
        </w:rPr>
        <w:t>’</w:t>
      </w:r>
      <w:r w:rsidRPr="00227CCD">
        <w:rPr>
          <w:lang w:val="en-GB"/>
        </w:rPr>
        <w:t>s stability and water-induced catalyst deactivation (Song, 2006</w:t>
      </w:r>
      <w:r w:rsidR="00AA37FE">
        <w:rPr>
          <w:lang w:val="en-GB"/>
        </w:rPr>
        <w:t>;</w:t>
      </w:r>
      <w:r w:rsidR="00937509">
        <w:rPr>
          <w:lang w:val="en-GB"/>
        </w:rPr>
        <w:t xml:space="preserve"> Kohli, 2022</w:t>
      </w:r>
      <w:r w:rsidRPr="00227CCD">
        <w:rPr>
          <w:lang w:val="en-GB"/>
        </w:rPr>
        <w:t>).</w:t>
      </w:r>
    </w:p>
    <w:p w14:paraId="1DD34872" w14:textId="7E0A7A3E" w:rsidR="00F22FC9" w:rsidRDefault="00227CCD" w:rsidP="00227CCD">
      <w:pPr>
        <w:pStyle w:val="CETBodytext"/>
        <w:rPr>
          <w:lang w:val="en-GB"/>
        </w:rPr>
      </w:pPr>
      <w:r w:rsidRPr="00227CCD">
        <w:rPr>
          <w:lang w:val="en-GB"/>
        </w:rPr>
        <w:t>Recent research focuses on novel catalysts and water management. Strategies like natural convection systems for water adsorption (Zheng et al., 2022) and kinetic studies using ceria nanorods (Marin et al., 2016) have improved yields. Fang and Cao (2000) presented a kinetic model for CO</w:t>
      </w:r>
      <w:r w:rsidRPr="00227CCD">
        <w:rPr>
          <w:rFonts w:ascii="Cambria Math" w:hAnsi="Cambria Math" w:cs="Cambria Math"/>
          <w:lang w:val="en-GB"/>
        </w:rPr>
        <w:t>₂</w:t>
      </w:r>
      <w:r w:rsidRPr="00227CCD">
        <w:rPr>
          <w:lang w:val="en-GB"/>
        </w:rPr>
        <w:t xml:space="preserve">, CO, and methanol reactions, while Eta et al. (2011) studied reaction kinetics for DMC synthesis. Further research on separation processes (Pinero et al., 2007; Camy and </w:t>
      </w:r>
      <w:proofErr w:type="spellStart"/>
      <w:r w:rsidRPr="00227CCD">
        <w:rPr>
          <w:lang w:val="en-GB"/>
        </w:rPr>
        <w:t>Condiret</w:t>
      </w:r>
      <w:proofErr w:type="spellEnd"/>
      <w:r w:rsidRPr="00227CCD">
        <w:rPr>
          <w:lang w:val="en-GB"/>
        </w:rPr>
        <w:t xml:space="preserve">, 2001; Li et al., 2009) and reaction mechanisms (Glaude et al., 2005; </w:t>
      </w:r>
      <w:proofErr w:type="spellStart"/>
      <w:r w:rsidRPr="00227CCD">
        <w:rPr>
          <w:lang w:val="en-GB"/>
        </w:rPr>
        <w:t>Tomishige</w:t>
      </w:r>
      <w:proofErr w:type="spellEnd"/>
      <w:r w:rsidRPr="00227CCD">
        <w:rPr>
          <w:lang w:val="en-GB"/>
        </w:rPr>
        <w:t xml:space="preserve"> and </w:t>
      </w:r>
      <w:proofErr w:type="spellStart"/>
      <w:r w:rsidRPr="00227CCD">
        <w:rPr>
          <w:lang w:val="en-GB"/>
        </w:rPr>
        <w:t>Kunimori</w:t>
      </w:r>
      <w:proofErr w:type="spellEnd"/>
      <w:r w:rsidRPr="00227CCD">
        <w:rPr>
          <w:lang w:val="en-GB"/>
        </w:rPr>
        <w:t>, 200</w:t>
      </w:r>
      <w:r w:rsidR="00C617F2">
        <w:rPr>
          <w:lang w:val="en-GB"/>
        </w:rPr>
        <w:t>2</w:t>
      </w:r>
      <w:r w:rsidRPr="00227CCD">
        <w:rPr>
          <w:lang w:val="en-GB"/>
        </w:rPr>
        <w:t xml:space="preserve">) is essential to address </w:t>
      </w:r>
      <w:r w:rsidR="00BB7848">
        <w:rPr>
          <w:lang w:val="en-GB"/>
        </w:rPr>
        <w:t xml:space="preserve">the </w:t>
      </w:r>
      <w:r w:rsidRPr="00227CCD">
        <w:rPr>
          <w:lang w:val="en-GB"/>
        </w:rPr>
        <w:t>remaining challenges.</w:t>
      </w:r>
    </w:p>
    <w:p w14:paraId="50AA1069" w14:textId="18560C02" w:rsidR="00253466" w:rsidRPr="00253466" w:rsidRDefault="00253466" w:rsidP="00253466">
      <w:pPr>
        <w:pStyle w:val="CETBodytext"/>
        <w:rPr>
          <w:lang w:val="en-GB"/>
        </w:rPr>
      </w:pPr>
      <w:r w:rsidRPr="00253466">
        <w:rPr>
          <w:lang w:val="en-GB"/>
        </w:rPr>
        <w:t>This simulation-based study models the direct synthesis of DMC from CO</w:t>
      </w:r>
      <w:r w:rsidRPr="00253466">
        <w:rPr>
          <w:rFonts w:ascii="Cambria Math" w:hAnsi="Cambria Math" w:cs="Cambria Math"/>
          <w:lang w:val="en-GB"/>
        </w:rPr>
        <w:t>₂</w:t>
      </w:r>
      <w:r w:rsidRPr="00253466">
        <w:rPr>
          <w:lang w:val="en-GB"/>
        </w:rPr>
        <w:t xml:space="preserve"> and methanol using a data</w:t>
      </w:r>
      <w:r w:rsidR="00AA37FE">
        <w:rPr>
          <w:lang w:val="en-GB"/>
        </w:rPr>
        <w:t xml:space="preserve"> </w:t>
      </w:r>
      <w:r w:rsidRPr="00253466">
        <w:rPr>
          <w:lang w:val="en-GB"/>
        </w:rPr>
        <w:t>set</w:t>
      </w:r>
      <w:r w:rsidR="00AA37FE">
        <w:rPr>
          <w:lang w:val="en-GB"/>
        </w:rPr>
        <w:t xml:space="preserve"> from </w:t>
      </w:r>
      <w:r w:rsidR="00BB7848">
        <w:rPr>
          <w:lang w:val="en-GB"/>
        </w:rPr>
        <w:t xml:space="preserve">the </w:t>
      </w:r>
      <w:r w:rsidR="00AA37FE">
        <w:rPr>
          <w:lang w:val="en-GB"/>
        </w:rPr>
        <w:t>literature</w:t>
      </w:r>
      <w:r w:rsidRPr="00253466">
        <w:rPr>
          <w:lang w:val="en-GB"/>
        </w:rPr>
        <w:t xml:space="preserve"> (Camy et al., 2003). Focusing on input-output relationships rather than specific reaction mechanisms, the model employs differential equations to simulate the dynamic </w:t>
      </w:r>
      <w:r w:rsidR="00BE3763" w:rsidRPr="00253466">
        <w:rPr>
          <w:lang w:val="en-GB"/>
        </w:rPr>
        <w:t>behaviour</w:t>
      </w:r>
      <w:r w:rsidRPr="00253466">
        <w:rPr>
          <w:lang w:val="en-GB"/>
        </w:rPr>
        <w:t xml:space="preserve"> of system components.</w:t>
      </w:r>
    </w:p>
    <w:p w14:paraId="27446191" w14:textId="00D1BE49" w:rsidR="00253466" w:rsidRPr="00253466" w:rsidRDefault="00253466" w:rsidP="00253466">
      <w:pPr>
        <w:pStyle w:val="CETBodytext"/>
        <w:rPr>
          <w:lang w:val="en-GB"/>
        </w:rPr>
      </w:pPr>
      <w:r w:rsidRPr="00253466">
        <w:rPr>
          <w:lang w:val="en-GB"/>
        </w:rPr>
        <w:t>The following sections outline the mode</w:t>
      </w:r>
      <w:r w:rsidR="00AA37FE">
        <w:rPr>
          <w:lang w:val="en-GB"/>
        </w:rPr>
        <w:t>l</w:t>
      </w:r>
      <w:r w:rsidRPr="00253466">
        <w:rPr>
          <w:lang w:val="en-GB"/>
        </w:rPr>
        <w:t>ling approach and present simulation results, offering insights into process dynamics and validating the model's applicability.</w:t>
      </w:r>
    </w:p>
    <w:p w14:paraId="5B5F36F1" w14:textId="77777777" w:rsidR="00227CCD" w:rsidRDefault="00227CCD" w:rsidP="00227CCD">
      <w:pPr>
        <w:pStyle w:val="CETBodytext"/>
        <w:rPr>
          <w:lang w:val="en-GB"/>
        </w:rPr>
      </w:pPr>
    </w:p>
    <w:p w14:paraId="0D16053C" w14:textId="7FF79B28" w:rsidR="001452E8" w:rsidRDefault="001452E8" w:rsidP="001452E8">
      <w:pPr>
        <w:pStyle w:val="CETHeading1"/>
        <w:rPr>
          <w:lang w:val="en-GB"/>
        </w:rPr>
      </w:pPr>
      <w:r>
        <w:rPr>
          <w:lang w:val="en-GB"/>
        </w:rPr>
        <w:lastRenderedPageBreak/>
        <w:t>Process description</w:t>
      </w:r>
      <w:r w:rsidR="007C1BF0">
        <w:rPr>
          <w:lang w:val="en-GB"/>
        </w:rPr>
        <w:t xml:space="preserve"> of direct DMC synthesis</w:t>
      </w:r>
    </w:p>
    <w:p w14:paraId="5D952E27" w14:textId="77777777" w:rsidR="0076105C" w:rsidRPr="00CB1D85" w:rsidRDefault="00253466" w:rsidP="0076105C">
      <w:pPr>
        <w:pStyle w:val="CETBodytext"/>
        <w:rPr>
          <w:lang w:val="en-GB"/>
        </w:rPr>
      </w:pPr>
      <w:r w:rsidRPr="00253466">
        <w:rPr>
          <w:lang w:val="en-GB"/>
        </w:rPr>
        <w:t>This study focuses exclusively on the kinetics of direct methanol synthesis, with other reaction rates intentionally excluded to maintain this focus.</w:t>
      </w:r>
      <w:r w:rsidR="00FB2FBB">
        <w:rPr>
          <w:lang w:val="en-GB"/>
        </w:rPr>
        <w:t xml:space="preserve"> </w:t>
      </w:r>
      <w:r w:rsidR="0076105C" w:rsidRPr="0076105C">
        <w:rPr>
          <w:lang w:val="en-GB"/>
        </w:rPr>
        <w:t xml:space="preserve">A comprehensive review of DMC production, including various reaction rates and catalysts, is provided by Kohli et al. </w:t>
      </w:r>
      <w:r w:rsidR="0076105C" w:rsidRPr="00CB1D85">
        <w:rPr>
          <w:lang w:val="en-GB"/>
        </w:rPr>
        <w:t>(2022).</w:t>
      </w:r>
    </w:p>
    <w:p w14:paraId="76D6C0B3" w14:textId="702FC16D" w:rsidR="00CB1D85" w:rsidRDefault="00CB1D85" w:rsidP="00CB1D85">
      <w:pPr>
        <w:pStyle w:val="CETBodytext"/>
        <w:rPr>
          <w:lang w:val="en-GB"/>
        </w:rPr>
      </w:pPr>
      <w:r w:rsidRPr="00CB1D85">
        <w:rPr>
          <w:lang w:val="en-GB"/>
        </w:rPr>
        <w:t>This reaction involves the conversion of methanol and CO</w:t>
      </w:r>
      <w:r w:rsidRPr="00CB1D85">
        <w:rPr>
          <w:rFonts w:ascii="Cambria Math" w:hAnsi="Cambria Math" w:cs="Cambria Math"/>
          <w:lang w:val="en-GB"/>
        </w:rPr>
        <w:t>₂</w:t>
      </w:r>
      <w:r w:rsidRPr="00CB1D85">
        <w:rPr>
          <w:lang w:val="en-GB"/>
        </w:rPr>
        <w:t xml:space="preserve"> into DMC with water as a byproduct, as shown by </w:t>
      </w:r>
      <w:proofErr w:type="spellStart"/>
      <w:proofErr w:type="gramStart"/>
      <w:r w:rsidRPr="00CB1D85">
        <w:rPr>
          <w:lang w:val="en-GB"/>
        </w:rPr>
        <w:t>Eq</w:t>
      </w:r>
      <w:proofErr w:type="spellEnd"/>
      <w:r w:rsidRPr="00CB1D85">
        <w:rPr>
          <w:lang w:val="en-GB"/>
        </w:rPr>
        <w:t>(</w:t>
      </w:r>
      <w:proofErr w:type="gramEnd"/>
      <w:r w:rsidRPr="00CB1D85">
        <w:rPr>
          <w:lang w:val="en-GB"/>
        </w:rPr>
        <w:t>1). The challenges include CO</w:t>
      </w:r>
      <w:r w:rsidRPr="00CB1D85">
        <w:rPr>
          <w:rFonts w:ascii="Cambria Math" w:hAnsi="Cambria Math" w:cs="Cambria Math"/>
          <w:lang w:val="en-GB"/>
        </w:rPr>
        <w:t>₂</w:t>
      </w:r>
      <w:r w:rsidRPr="00CB1D85">
        <w:rPr>
          <w:lang w:val="en-GB"/>
        </w:rPr>
        <w:t>'s high thermodynamic stability, low equilibrium constants, and catalyst deactivation due to water formation. Efficient water removal is essential to shift the reaction equilibrium toward DMC formation.</w:t>
      </w:r>
    </w:p>
    <w:p w14:paraId="36E3D6DE" w14:textId="77777777" w:rsidR="007C1BF0" w:rsidRPr="00B54B37" w:rsidRDefault="007C1BF0" w:rsidP="007C1BF0">
      <w:pPr>
        <w:pStyle w:val="CETEquation"/>
        <w:tabs>
          <w:tab w:val="left" w:pos="8222"/>
        </w:tabs>
      </w:pPr>
      <w:r w:rsidRPr="00B54B37">
        <w:t>2 CH</w:t>
      </w:r>
      <w:r w:rsidRPr="00385F8B">
        <w:rPr>
          <w:vertAlign w:val="subscript"/>
        </w:rPr>
        <w:t>3</w:t>
      </w:r>
      <w:r w:rsidRPr="00B54B37">
        <w:t>OH + CO</w:t>
      </w:r>
      <w:r w:rsidRPr="00385F8B">
        <w:rPr>
          <w:vertAlign w:val="subscript"/>
        </w:rPr>
        <w:t>2</w:t>
      </w:r>
      <w:r w:rsidRPr="00B54B37">
        <w:t xml:space="preserve"> </w:t>
      </w:r>
      <w:r w:rsidRPr="00B54B37">
        <w:sym w:font="Wingdings" w:char="F0F3"/>
      </w:r>
      <w:r w:rsidRPr="00B54B37">
        <w:t xml:space="preserve"> (CH</w:t>
      </w:r>
      <w:r w:rsidRPr="00385F8B">
        <w:rPr>
          <w:vertAlign w:val="subscript"/>
        </w:rPr>
        <w:t>3</w:t>
      </w:r>
      <w:r w:rsidRPr="00B54B37">
        <w:t>O)</w:t>
      </w:r>
      <w:r w:rsidRPr="00385F8B">
        <w:rPr>
          <w:vertAlign w:val="subscript"/>
        </w:rPr>
        <w:t>2</w:t>
      </w:r>
      <w:r w:rsidRPr="00B54B37">
        <w:t>CO + H</w:t>
      </w:r>
      <w:r w:rsidRPr="00385F8B">
        <w:rPr>
          <w:vertAlign w:val="subscript"/>
        </w:rPr>
        <w:t>2</w:t>
      </w:r>
      <w:r w:rsidRPr="00B54B37">
        <w:t>O</w:t>
      </w:r>
      <w:r>
        <w:tab/>
      </w:r>
      <w:r>
        <w:tab/>
        <w:t>(1)</w:t>
      </w:r>
    </w:p>
    <w:p w14:paraId="1C6AF066" w14:textId="48D026D6" w:rsidR="00CB1D85" w:rsidRPr="00CB1D85" w:rsidRDefault="00CB1D85" w:rsidP="00CB1D85">
      <w:pPr>
        <w:pStyle w:val="CETBodytext"/>
        <w:rPr>
          <w:lang w:val="en-GB"/>
        </w:rPr>
      </w:pPr>
      <w:r w:rsidRPr="00CB1D85">
        <w:rPr>
          <w:lang w:val="en-GB"/>
        </w:rPr>
        <w:t>The incorporation of dehydrating agents, such as 2-cyanopyridine, has been widely explored. These agents enable in situ water removal, significantly improving DMC yields (Wang et al., 2021). Alternatively, operating under supercritical CO</w:t>
      </w:r>
      <w:r w:rsidRPr="00CB1D85">
        <w:rPr>
          <w:rFonts w:ascii="Cambria Math" w:hAnsi="Cambria Math" w:cs="Cambria Math"/>
          <w:lang w:val="en-GB"/>
        </w:rPr>
        <w:t>₂</w:t>
      </w:r>
      <w:r w:rsidRPr="00CB1D85">
        <w:rPr>
          <w:lang w:val="en-GB"/>
        </w:rPr>
        <w:t xml:space="preserve"> conditions has been </w:t>
      </w:r>
      <w:r w:rsidR="0051589C">
        <w:rPr>
          <w:lang w:val="en-GB"/>
        </w:rPr>
        <w:t>presented</w:t>
      </w:r>
      <w:r w:rsidRPr="00CB1D85">
        <w:rPr>
          <w:lang w:val="en-GB"/>
        </w:rPr>
        <w:t xml:space="preserve"> to enhance reaction rates and selectivity (</w:t>
      </w:r>
      <w:r w:rsidR="0051589C">
        <w:rPr>
          <w:lang w:val="en-GB"/>
        </w:rPr>
        <w:t>Kohli</w:t>
      </w:r>
      <w:r w:rsidRPr="00CB1D85">
        <w:rPr>
          <w:lang w:val="en-GB"/>
        </w:rPr>
        <w:t xml:space="preserve"> et al., 202</w:t>
      </w:r>
      <w:r w:rsidR="0051589C">
        <w:rPr>
          <w:lang w:val="en-GB"/>
        </w:rPr>
        <w:t>2</w:t>
      </w:r>
      <w:r w:rsidRPr="00CB1D85">
        <w:rPr>
          <w:lang w:val="en-GB"/>
        </w:rPr>
        <w:t>).</w:t>
      </w:r>
      <w:r w:rsidR="00576139">
        <w:rPr>
          <w:lang w:val="en-GB"/>
        </w:rPr>
        <w:t xml:space="preserve"> </w:t>
      </w:r>
      <w:r w:rsidR="00576139" w:rsidRPr="00CB1D85">
        <w:rPr>
          <w:lang w:val="en-GB"/>
        </w:rPr>
        <w:t>Catalyst development has played a pivotal role in optimizing this process.</w:t>
      </w:r>
      <w:r w:rsidR="00576139">
        <w:rPr>
          <w:lang w:val="en-GB"/>
        </w:rPr>
        <w:t xml:space="preserve"> </w:t>
      </w:r>
      <w:r w:rsidRPr="00CB1D85">
        <w:rPr>
          <w:lang w:val="en-GB"/>
        </w:rPr>
        <w:t>Despite advancements, the direct synthesis route remains limited by the need for high-pressure conditions and complex water management strategies. Future research focuses on coupling reactions to consume water in situ and developing highly active and selective catalysts for scalable, cost-effective production</w:t>
      </w:r>
      <w:r w:rsidR="001D389C">
        <w:rPr>
          <w:lang w:val="en-GB"/>
        </w:rPr>
        <w:t>.</w:t>
      </w:r>
    </w:p>
    <w:p w14:paraId="751839A7" w14:textId="77777777" w:rsidR="001452E8" w:rsidRDefault="001452E8" w:rsidP="001452E8">
      <w:pPr>
        <w:pStyle w:val="CETheadingx"/>
      </w:pPr>
      <w:r>
        <w:t>Catalysts</w:t>
      </w:r>
    </w:p>
    <w:p w14:paraId="64765C63" w14:textId="7EE05C6C" w:rsidR="00F60C09" w:rsidRPr="00576139" w:rsidRDefault="00A353E3" w:rsidP="00F60C09">
      <w:pPr>
        <w:pStyle w:val="CETBodytext"/>
        <w:rPr>
          <w:lang w:val="en-GB"/>
        </w:rPr>
      </w:pPr>
      <w:r w:rsidRPr="00A353E3">
        <w:rPr>
          <w:lang w:val="en-GB"/>
        </w:rPr>
        <w:t>Catalysts play a critical role in addressing the challenges of direct DMC synthesis from methanol and CO</w:t>
      </w:r>
      <w:r w:rsidRPr="00A353E3">
        <w:rPr>
          <w:rFonts w:ascii="Cambria Math" w:hAnsi="Cambria Math" w:cs="Cambria Math"/>
          <w:lang w:val="en-GB"/>
        </w:rPr>
        <w:t>₂</w:t>
      </w:r>
      <w:r w:rsidRPr="00A353E3">
        <w:rPr>
          <w:lang w:val="en-GB"/>
        </w:rPr>
        <w:t>. Among them, metal oxides such as zirconia (</w:t>
      </w:r>
      <w:proofErr w:type="spellStart"/>
      <w:r w:rsidRPr="00A353E3">
        <w:rPr>
          <w:lang w:val="en-GB"/>
        </w:rPr>
        <w:t>ZrO</w:t>
      </w:r>
      <w:proofErr w:type="spellEnd"/>
      <w:r w:rsidRPr="00A353E3">
        <w:rPr>
          <w:rFonts w:ascii="Cambria Math" w:hAnsi="Cambria Math" w:cs="Cambria Math"/>
          <w:lang w:val="en-GB"/>
        </w:rPr>
        <w:t>₂</w:t>
      </w:r>
      <w:r w:rsidRPr="00A353E3">
        <w:rPr>
          <w:lang w:val="en-GB"/>
        </w:rPr>
        <w:t>) and ceria (</w:t>
      </w:r>
      <w:proofErr w:type="spellStart"/>
      <w:r w:rsidRPr="00A353E3">
        <w:rPr>
          <w:lang w:val="en-GB"/>
        </w:rPr>
        <w:t>CeO</w:t>
      </w:r>
      <w:proofErr w:type="spellEnd"/>
      <w:r w:rsidRPr="00A353E3">
        <w:rPr>
          <w:rFonts w:ascii="Cambria Math" w:hAnsi="Cambria Math" w:cs="Cambria Math"/>
          <w:lang w:val="en-GB"/>
        </w:rPr>
        <w:t>₂</w:t>
      </w:r>
      <w:r w:rsidRPr="00A353E3">
        <w:rPr>
          <w:lang w:val="en-GB"/>
        </w:rPr>
        <w:t>) are widely used due to their bifunctional</w:t>
      </w:r>
      <w:r w:rsidR="00B37BCC">
        <w:rPr>
          <w:lang w:val="en-GB"/>
        </w:rPr>
        <w:t>ity based on their</w:t>
      </w:r>
      <w:r w:rsidRPr="00A353E3">
        <w:rPr>
          <w:lang w:val="en-GB"/>
        </w:rPr>
        <w:t xml:space="preserve"> acidic and basic </w:t>
      </w:r>
      <w:r w:rsidR="009869AA">
        <w:rPr>
          <w:lang w:val="en-GB"/>
        </w:rPr>
        <w:t xml:space="preserve">surface </w:t>
      </w:r>
      <w:r w:rsidRPr="00A353E3">
        <w:rPr>
          <w:lang w:val="en-GB"/>
        </w:rPr>
        <w:t xml:space="preserve">sites. However, these catalysts are highly sensitive to water deactivation, which can limit their long-term effectiveness. </w:t>
      </w:r>
      <w:r w:rsidR="00F60C09" w:rsidRPr="00576139">
        <w:rPr>
          <w:lang w:val="en-GB"/>
        </w:rPr>
        <w:t xml:space="preserve">Akune et al. (2018) highlighted that the catalytic performance of </w:t>
      </w:r>
      <w:proofErr w:type="spellStart"/>
      <w:r w:rsidR="00F60C09" w:rsidRPr="00576139">
        <w:rPr>
          <w:lang w:val="en-GB"/>
        </w:rPr>
        <w:t>ZrO</w:t>
      </w:r>
      <w:proofErr w:type="spellEnd"/>
      <w:r w:rsidR="00F60C09" w:rsidRPr="00576139">
        <w:rPr>
          <w:rFonts w:ascii="Cambria Math" w:hAnsi="Cambria Math" w:cs="Cambria Math"/>
          <w:lang w:val="en-GB"/>
        </w:rPr>
        <w:t>₂</w:t>
      </w:r>
      <w:r w:rsidR="00F60C09" w:rsidRPr="00576139">
        <w:rPr>
          <w:lang w:val="en-GB"/>
        </w:rPr>
        <w:t xml:space="preserve"> nanocrystals is strongly dependent on their surface properties, particularly the presence of bidentate carbonate and bicarbonate species, which act as key intermediates.</w:t>
      </w:r>
      <w:r w:rsidR="00F60C09">
        <w:rPr>
          <w:lang w:val="en-GB"/>
        </w:rPr>
        <w:t xml:space="preserve"> </w:t>
      </w:r>
      <w:r w:rsidR="00F60C09" w:rsidRPr="00576139">
        <w:rPr>
          <w:lang w:val="en-GB"/>
        </w:rPr>
        <w:t>Heteropolyacids, such as H</w:t>
      </w:r>
      <w:r w:rsidR="00F60C09" w:rsidRPr="00576139">
        <w:rPr>
          <w:rFonts w:ascii="Cambria Math" w:hAnsi="Cambria Math" w:cs="Cambria Math"/>
          <w:lang w:val="en-GB"/>
        </w:rPr>
        <w:t>₃</w:t>
      </w:r>
      <w:r w:rsidR="00F60C09" w:rsidRPr="00576139">
        <w:rPr>
          <w:lang w:val="en-GB"/>
        </w:rPr>
        <w:t>PW</w:t>
      </w:r>
      <w:r w:rsidR="00F60C09" w:rsidRPr="00576139">
        <w:rPr>
          <w:rFonts w:ascii="Cambria Math" w:hAnsi="Cambria Math" w:cs="Cambria Math"/>
          <w:lang w:val="en-GB"/>
        </w:rPr>
        <w:t>₁₂</w:t>
      </w:r>
      <w:r w:rsidR="00F60C09" w:rsidRPr="00576139">
        <w:rPr>
          <w:lang w:val="en-GB"/>
        </w:rPr>
        <w:t>O</w:t>
      </w:r>
      <w:r w:rsidR="00F60C09" w:rsidRPr="00576139">
        <w:rPr>
          <w:rFonts w:ascii="Cambria Math" w:hAnsi="Cambria Math" w:cs="Cambria Math"/>
          <w:lang w:val="en-GB"/>
        </w:rPr>
        <w:t>₄₀</w:t>
      </w:r>
      <w:r w:rsidR="00F60C09" w:rsidRPr="00576139">
        <w:rPr>
          <w:lang w:val="en-GB"/>
        </w:rPr>
        <w:t xml:space="preserve"> supported on zirconia, offer effective bifunctional activity, while dehydrating agents like 2-cyanopyridine enhance yields by mitigating water’s inhibitory effects (Wang et al., 2021).</w:t>
      </w:r>
    </w:p>
    <w:p w14:paraId="3B35054F" w14:textId="524EA390" w:rsidR="00576139" w:rsidRPr="00576139" w:rsidRDefault="00A353E3" w:rsidP="00576139">
      <w:pPr>
        <w:pStyle w:val="CETBodytext"/>
        <w:rPr>
          <w:lang w:val="en-GB"/>
        </w:rPr>
      </w:pPr>
      <w:r w:rsidRPr="00A353E3">
        <w:rPr>
          <w:lang w:val="en-GB"/>
        </w:rPr>
        <w:t>Heterogeneous catalysts, like Cu-Ni bimetallic systems, excel at methanol activation but require precise metal dispersion to optimize their performance.</w:t>
      </w:r>
      <w:r w:rsidR="00F60C09">
        <w:rPr>
          <w:lang w:val="en-GB"/>
        </w:rPr>
        <w:t xml:space="preserve"> </w:t>
      </w:r>
      <w:r w:rsidR="00F60C09" w:rsidRPr="00576139">
        <w:rPr>
          <w:lang w:val="en-GB"/>
        </w:rPr>
        <w:t>Supported catalysts, such as Cu-Ni on thermally expanded graphite (TEG), have demonstrated high selectivity, achieving up to 89</w:t>
      </w:r>
      <w:r w:rsidR="008C2F5B">
        <w:rPr>
          <w:lang w:val="en-GB"/>
        </w:rPr>
        <w:t xml:space="preserve"> </w:t>
      </w:r>
      <w:r w:rsidR="00F60C09" w:rsidRPr="00576139">
        <w:rPr>
          <w:lang w:val="en-GB"/>
        </w:rPr>
        <w:t>% DMC yield under moderate reaction conditions (Bian et al., 2009).</w:t>
      </w:r>
      <w:r w:rsidR="00F60C09">
        <w:rPr>
          <w:lang w:val="en-GB"/>
        </w:rPr>
        <w:t xml:space="preserve"> </w:t>
      </w:r>
      <w:r w:rsidRPr="00A353E3">
        <w:rPr>
          <w:lang w:val="en-GB"/>
        </w:rPr>
        <w:t>Ionic liquids have also been explored for their ability to stabilize reaction intermediates and enhance CO</w:t>
      </w:r>
      <w:r w:rsidRPr="00A353E3">
        <w:rPr>
          <w:rFonts w:ascii="Cambria Math" w:hAnsi="Cambria Math" w:cs="Cambria Math"/>
          <w:lang w:val="en-GB"/>
        </w:rPr>
        <w:t>₂</w:t>
      </w:r>
      <w:r w:rsidRPr="00A353E3">
        <w:rPr>
          <w:lang w:val="en-GB"/>
        </w:rPr>
        <w:t xml:space="preserve"> solubility</w:t>
      </w:r>
      <w:r w:rsidR="00CE0A12">
        <w:rPr>
          <w:lang w:val="en-GB"/>
        </w:rPr>
        <w:t xml:space="preserve"> as presented by</w:t>
      </w:r>
      <w:r w:rsidR="00F60C09">
        <w:rPr>
          <w:lang w:val="en-GB"/>
        </w:rPr>
        <w:t xml:space="preserve"> </w:t>
      </w:r>
      <w:r w:rsidR="00CE0A12">
        <w:rPr>
          <w:lang w:val="en-GB"/>
        </w:rPr>
        <w:t xml:space="preserve">Zhao et </w:t>
      </w:r>
      <w:r w:rsidR="00F60C09" w:rsidRPr="00576139">
        <w:rPr>
          <w:lang w:val="en-GB"/>
        </w:rPr>
        <w:t>al.</w:t>
      </w:r>
      <w:r w:rsidR="00CE0A12">
        <w:rPr>
          <w:lang w:val="en-GB"/>
        </w:rPr>
        <w:t xml:space="preserve"> (</w:t>
      </w:r>
      <w:r w:rsidR="00F60C09" w:rsidRPr="00576139">
        <w:rPr>
          <w:lang w:val="en-GB"/>
        </w:rPr>
        <w:t>20</w:t>
      </w:r>
      <w:r w:rsidR="00CE0A12">
        <w:rPr>
          <w:lang w:val="en-GB"/>
        </w:rPr>
        <w:t>17</w:t>
      </w:r>
      <w:r w:rsidR="00F60C09" w:rsidRPr="00576139">
        <w:rPr>
          <w:lang w:val="en-GB"/>
        </w:rPr>
        <w:t>).</w:t>
      </w:r>
      <w:r w:rsidR="00764D8F">
        <w:rPr>
          <w:lang w:val="en-GB"/>
        </w:rPr>
        <w:t xml:space="preserve"> </w:t>
      </w:r>
      <w:r w:rsidR="00576139" w:rsidRPr="00576139">
        <w:rPr>
          <w:lang w:val="en-GB"/>
        </w:rPr>
        <w:t xml:space="preserve">Despite significant progress, challenges in scaling up and improving catalyst stability persist. Continued research </w:t>
      </w:r>
      <w:r w:rsidR="00FA45A4">
        <w:rPr>
          <w:lang w:val="en-GB"/>
        </w:rPr>
        <w:t>concerning</w:t>
      </w:r>
      <w:r w:rsidR="00FA45A4" w:rsidRPr="00576139">
        <w:rPr>
          <w:lang w:val="en-GB"/>
        </w:rPr>
        <w:t xml:space="preserve"> </w:t>
      </w:r>
      <w:r w:rsidR="00576139" w:rsidRPr="00576139">
        <w:rPr>
          <w:lang w:val="en-GB"/>
        </w:rPr>
        <w:t>bifunctional and nanostructured catalysts is essential for advancing efficient and sustainable DMC production (Kohli et al., 2022).</w:t>
      </w:r>
    </w:p>
    <w:p w14:paraId="043CD8A5" w14:textId="23850521" w:rsidR="00F22FC9" w:rsidRDefault="00F22FC9" w:rsidP="00F22FC9">
      <w:pPr>
        <w:pStyle w:val="CETHeading1"/>
        <w:rPr>
          <w:lang w:val="en-GB"/>
        </w:rPr>
      </w:pPr>
      <w:r>
        <w:rPr>
          <w:lang w:val="en-GB"/>
        </w:rPr>
        <w:t>Materials and methods</w:t>
      </w:r>
    </w:p>
    <w:p w14:paraId="25A00DA4" w14:textId="4029576A" w:rsidR="00F22FC9" w:rsidRDefault="00F22FC9" w:rsidP="00F22FC9">
      <w:pPr>
        <w:pStyle w:val="CETheadingx"/>
      </w:pPr>
      <w:r>
        <w:t>Data</w:t>
      </w:r>
    </w:p>
    <w:p w14:paraId="64736C0E" w14:textId="3B2CAEA4" w:rsidR="007530AA" w:rsidRDefault="007530AA" w:rsidP="007530AA">
      <w:pPr>
        <w:pStyle w:val="CETBodytext"/>
        <w:rPr>
          <w:lang w:val="en-GB"/>
        </w:rPr>
      </w:pPr>
      <w:r w:rsidRPr="007530AA">
        <w:rPr>
          <w:lang w:val="en-GB"/>
        </w:rPr>
        <w:t>The dataset used for the</w:t>
      </w:r>
      <w:r w:rsidR="00DE08AA">
        <w:rPr>
          <w:lang w:val="en-GB"/>
        </w:rPr>
        <w:t xml:space="preserve"> parameter</w:t>
      </w:r>
      <w:r w:rsidRPr="007530AA">
        <w:rPr>
          <w:lang w:val="en-GB"/>
        </w:rPr>
        <w:t xml:space="preserve"> optimization and model testing is summarized in Table 1. It includes five </w:t>
      </w:r>
      <w:r w:rsidR="00FA45A4">
        <w:rPr>
          <w:lang w:val="en-GB"/>
        </w:rPr>
        <w:t xml:space="preserve">reaction </w:t>
      </w:r>
      <w:r w:rsidRPr="007530AA">
        <w:rPr>
          <w:lang w:val="en-GB"/>
        </w:rPr>
        <w:t xml:space="preserve">mixtures, each with detailed input and </w:t>
      </w:r>
      <w:r w:rsidR="00385F8B" w:rsidRPr="007530AA">
        <w:rPr>
          <w:lang w:val="en-GB"/>
        </w:rPr>
        <w:t>out</w:t>
      </w:r>
      <w:r w:rsidR="00385F8B">
        <w:rPr>
          <w:lang w:val="en-GB"/>
        </w:rPr>
        <w:t>let</w:t>
      </w:r>
      <w:r w:rsidR="00385F8B" w:rsidRPr="007530AA">
        <w:rPr>
          <w:lang w:val="en-GB"/>
        </w:rPr>
        <w:t xml:space="preserve"> </w:t>
      </w:r>
      <w:r w:rsidRPr="007530AA">
        <w:rPr>
          <w:lang w:val="en-GB"/>
        </w:rPr>
        <w:t>composition values. Notably, the conversion factor is 0.6 for mixtures 1–4 and 1.0 for mixture 5. The original data source for these values is referenced in Camy et al. (2003).</w:t>
      </w:r>
    </w:p>
    <w:p w14:paraId="6690103E" w14:textId="79ED5951" w:rsidR="007530AA" w:rsidRPr="00B57B36" w:rsidRDefault="007530AA" w:rsidP="007530AA">
      <w:pPr>
        <w:pStyle w:val="CETTabletitle"/>
      </w:pPr>
      <w:r w:rsidRPr="00B57B36">
        <w:t xml:space="preserve">Table 1: </w:t>
      </w:r>
      <w:r w:rsidRPr="008249E7">
        <w:t>The data used in optimization and simulation</w:t>
      </w:r>
      <w:r w:rsidR="007644BF">
        <w:t xml:space="preserve"> (</w:t>
      </w:r>
      <w:r w:rsidR="007644BF" w:rsidRPr="007530AA">
        <w:t>Camy et al.</w:t>
      </w:r>
      <w:r w:rsidR="007644BF">
        <w:t xml:space="preserve">, </w:t>
      </w:r>
      <w:r w:rsidR="007644BF" w:rsidRPr="007530AA">
        <w:t>2003)</w:t>
      </w:r>
      <w:r w:rsidR="00444FD9">
        <w:t>.</w:t>
      </w:r>
      <w:r w:rsidRPr="00B57B36">
        <w:t xml:space="preserve"> </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134"/>
        <w:gridCol w:w="1134"/>
        <w:gridCol w:w="1134"/>
        <w:gridCol w:w="1134"/>
        <w:gridCol w:w="1134"/>
        <w:gridCol w:w="1134"/>
        <w:gridCol w:w="1134"/>
        <w:gridCol w:w="1134"/>
      </w:tblGrid>
      <w:tr w:rsidR="008A4E7A" w:rsidRPr="00B57B36" w14:paraId="036EB9F9" w14:textId="7ECB81A2" w:rsidTr="00DE7F11">
        <w:tc>
          <w:tcPr>
            <w:tcW w:w="1134" w:type="dxa"/>
            <w:tcBorders>
              <w:top w:val="single" w:sz="12" w:space="0" w:color="008000"/>
              <w:bottom w:val="single" w:sz="6" w:space="0" w:color="008000"/>
            </w:tcBorders>
            <w:shd w:val="clear" w:color="auto" w:fill="FFFFFF"/>
          </w:tcPr>
          <w:p w14:paraId="3FCC12DC" w14:textId="48461A1F" w:rsidR="008A4E7A" w:rsidRPr="00B57B36" w:rsidRDefault="008A4E7A" w:rsidP="000D1052">
            <w:pPr>
              <w:pStyle w:val="CETBodytext"/>
              <w:rPr>
                <w:lang w:val="en-GB"/>
              </w:rPr>
            </w:pPr>
            <w:r w:rsidRPr="008249E7">
              <w:t>Mixture</w:t>
            </w:r>
          </w:p>
        </w:tc>
        <w:tc>
          <w:tcPr>
            <w:tcW w:w="1134" w:type="dxa"/>
            <w:tcBorders>
              <w:top w:val="single" w:sz="12" w:space="0" w:color="008000"/>
              <w:bottom w:val="single" w:sz="6" w:space="0" w:color="008000"/>
            </w:tcBorders>
            <w:shd w:val="clear" w:color="auto" w:fill="FFFFFF"/>
          </w:tcPr>
          <w:p w14:paraId="12FC50D3" w14:textId="51A36589" w:rsidR="008A4E7A" w:rsidRPr="00B57B36" w:rsidRDefault="008A4E7A" w:rsidP="000D1052">
            <w:pPr>
              <w:pStyle w:val="CETBodytext"/>
              <w:rPr>
                <w:lang w:val="en-GB"/>
              </w:rPr>
            </w:pPr>
            <w:r w:rsidRPr="008249E7">
              <w:t>Conversion</w:t>
            </w:r>
          </w:p>
        </w:tc>
        <w:tc>
          <w:tcPr>
            <w:tcW w:w="1134" w:type="dxa"/>
            <w:gridSpan w:val="2"/>
            <w:tcBorders>
              <w:top w:val="single" w:sz="12" w:space="0" w:color="008000"/>
              <w:bottom w:val="single" w:sz="6" w:space="0" w:color="008000"/>
            </w:tcBorders>
            <w:shd w:val="clear" w:color="auto" w:fill="FFFFFF"/>
          </w:tcPr>
          <w:p w14:paraId="6F0C2BF1" w14:textId="474B2D23" w:rsidR="008A4E7A" w:rsidRPr="00B57B36" w:rsidRDefault="008A4E7A" w:rsidP="000D1052">
            <w:pPr>
              <w:pStyle w:val="CETBodytext"/>
              <w:ind w:right="-1"/>
              <w:rPr>
                <w:rFonts w:cs="Arial"/>
                <w:szCs w:val="18"/>
                <w:lang w:val="en-GB"/>
              </w:rPr>
            </w:pPr>
            <w:r w:rsidRPr="008249E7">
              <w:t>Feed mixture composition</w:t>
            </w:r>
          </w:p>
        </w:tc>
        <w:tc>
          <w:tcPr>
            <w:tcW w:w="1134" w:type="dxa"/>
            <w:gridSpan w:val="3"/>
            <w:tcBorders>
              <w:top w:val="single" w:sz="12" w:space="0" w:color="008000"/>
              <w:bottom w:val="single" w:sz="6" w:space="0" w:color="008000"/>
            </w:tcBorders>
            <w:shd w:val="clear" w:color="auto" w:fill="FFFFFF"/>
          </w:tcPr>
          <w:p w14:paraId="57275CF2" w14:textId="3A5EE608" w:rsidR="008A4E7A" w:rsidRPr="00B57B36" w:rsidRDefault="008A4E7A" w:rsidP="000D1052">
            <w:pPr>
              <w:pStyle w:val="CETBodytext"/>
              <w:ind w:right="-1"/>
              <w:rPr>
                <w:rFonts w:cs="Arial"/>
                <w:szCs w:val="18"/>
                <w:lang w:val="en-GB"/>
              </w:rPr>
            </w:pPr>
            <w:r w:rsidRPr="008249E7">
              <w:t>Reacting mixture composition</w:t>
            </w:r>
          </w:p>
        </w:tc>
        <w:tc>
          <w:tcPr>
            <w:tcW w:w="1134" w:type="dxa"/>
            <w:tcBorders>
              <w:top w:val="single" w:sz="12" w:space="0" w:color="008000"/>
              <w:bottom w:val="single" w:sz="6" w:space="0" w:color="008000"/>
            </w:tcBorders>
            <w:shd w:val="clear" w:color="auto" w:fill="FFFFFF"/>
          </w:tcPr>
          <w:p w14:paraId="60391631" w14:textId="77777777" w:rsidR="008A4E7A" w:rsidRPr="008249E7" w:rsidRDefault="008A4E7A" w:rsidP="000D1052">
            <w:pPr>
              <w:pStyle w:val="CETBodytext"/>
              <w:ind w:right="-1"/>
            </w:pPr>
          </w:p>
        </w:tc>
      </w:tr>
      <w:tr w:rsidR="008A4E7A" w:rsidRPr="00B57B36" w14:paraId="7CE2B0FF" w14:textId="091536D6" w:rsidTr="00DE7F11">
        <w:tc>
          <w:tcPr>
            <w:tcW w:w="1134" w:type="dxa"/>
            <w:shd w:val="clear" w:color="auto" w:fill="FFFFFF"/>
          </w:tcPr>
          <w:p w14:paraId="49E13DF4" w14:textId="220AB0AC" w:rsidR="008A4E7A" w:rsidRPr="00B57B36" w:rsidRDefault="008A4E7A" w:rsidP="000D1052">
            <w:pPr>
              <w:pStyle w:val="CETBodytext"/>
              <w:rPr>
                <w:lang w:val="en-GB"/>
              </w:rPr>
            </w:pPr>
          </w:p>
        </w:tc>
        <w:tc>
          <w:tcPr>
            <w:tcW w:w="1134" w:type="dxa"/>
            <w:shd w:val="clear" w:color="auto" w:fill="FFFFFF"/>
          </w:tcPr>
          <w:p w14:paraId="611291D4" w14:textId="77777777" w:rsidR="008A4E7A" w:rsidRPr="00B57B36" w:rsidRDefault="008A4E7A" w:rsidP="000D1052">
            <w:pPr>
              <w:pStyle w:val="CETBodytext"/>
              <w:rPr>
                <w:lang w:val="en-GB"/>
              </w:rPr>
            </w:pPr>
          </w:p>
        </w:tc>
        <w:tc>
          <w:tcPr>
            <w:tcW w:w="1134" w:type="dxa"/>
            <w:shd w:val="clear" w:color="auto" w:fill="FFFFFF"/>
          </w:tcPr>
          <w:p w14:paraId="20716A34" w14:textId="3FB74562" w:rsidR="008A4E7A" w:rsidRPr="00B57B36" w:rsidRDefault="008A4E7A" w:rsidP="000D1052">
            <w:pPr>
              <w:pStyle w:val="CETBodytext"/>
              <w:rPr>
                <w:lang w:val="en-GB"/>
              </w:rPr>
            </w:pPr>
            <w:proofErr w:type="spellStart"/>
            <w:r w:rsidRPr="008249E7">
              <w:rPr>
                <w:i/>
              </w:rPr>
              <w:t>x</w:t>
            </w:r>
            <w:r w:rsidRPr="008249E7">
              <w:rPr>
                <w:vertAlign w:val="subscript"/>
              </w:rPr>
              <w:t>MeOH</w:t>
            </w:r>
            <w:proofErr w:type="spellEnd"/>
          </w:p>
        </w:tc>
        <w:tc>
          <w:tcPr>
            <w:tcW w:w="1134" w:type="dxa"/>
            <w:shd w:val="clear" w:color="auto" w:fill="FFFFFF"/>
          </w:tcPr>
          <w:p w14:paraId="3A040DDB" w14:textId="513F08BE" w:rsidR="008A4E7A" w:rsidRPr="00B57B36" w:rsidRDefault="008A4E7A" w:rsidP="000D1052">
            <w:pPr>
              <w:pStyle w:val="CETBodytext"/>
              <w:ind w:right="-1"/>
              <w:rPr>
                <w:rFonts w:cs="Arial"/>
                <w:szCs w:val="18"/>
                <w:lang w:val="en-GB"/>
              </w:rPr>
            </w:pPr>
            <w:r w:rsidRPr="008249E7">
              <w:rPr>
                <w:i/>
              </w:rPr>
              <w:t>x</w:t>
            </w:r>
            <w:r w:rsidRPr="008249E7">
              <w:rPr>
                <w:vertAlign w:val="subscript"/>
              </w:rPr>
              <w:t>CO</w:t>
            </w:r>
            <w:r w:rsidRPr="008A4E7A">
              <w:rPr>
                <w:vertAlign w:val="subscript"/>
              </w:rPr>
              <w:t>2</w:t>
            </w:r>
          </w:p>
        </w:tc>
        <w:tc>
          <w:tcPr>
            <w:tcW w:w="1134" w:type="dxa"/>
            <w:shd w:val="clear" w:color="auto" w:fill="FFFFFF"/>
          </w:tcPr>
          <w:p w14:paraId="4894508B" w14:textId="17D3C358" w:rsidR="008A4E7A" w:rsidRPr="00B57B36" w:rsidRDefault="008A4E7A" w:rsidP="000D1052">
            <w:pPr>
              <w:pStyle w:val="CETBodytext"/>
              <w:ind w:right="-1"/>
              <w:rPr>
                <w:rFonts w:cs="Arial"/>
                <w:szCs w:val="18"/>
                <w:lang w:val="en-GB"/>
              </w:rPr>
            </w:pPr>
            <w:proofErr w:type="spellStart"/>
            <w:r w:rsidRPr="008249E7">
              <w:rPr>
                <w:i/>
              </w:rPr>
              <w:t>x</w:t>
            </w:r>
            <w:r w:rsidRPr="008249E7">
              <w:rPr>
                <w:vertAlign w:val="subscript"/>
              </w:rPr>
              <w:t>MeOH</w:t>
            </w:r>
            <w:proofErr w:type="spellEnd"/>
          </w:p>
        </w:tc>
        <w:tc>
          <w:tcPr>
            <w:tcW w:w="1134" w:type="dxa"/>
            <w:shd w:val="clear" w:color="auto" w:fill="FFFFFF"/>
          </w:tcPr>
          <w:p w14:paraId="5E6B4E04" w14:textId="7A3F3264" w:rsidR="008A4E7A" w:rsidRPr="00B57B36" w:rsidRDefault="008A4E7A" w:rsidP="000D1052">
            <w:pPr>
              <w:pStyle w:val="CETBodytext"/>
              <w:ind w:right="-1"/>
              <w:rPr>
                <w:rFonts w:cs="Arial"/>
                <w:szCs w:val="18"/>
                <w:lang w:val="en-GB"/>
              </w:rPr>
            </w:pPr>
            <w:r w:rsidRPr="008249E7">
              <w:rPr>
                <w:i/>
              </w:rPr>
              <w:t>x</w:t>
            </w:r>
            <w:r w:rsidRPr="008249E7">
              <w:t xml:space="preserve"> </w:t>
            </w:r>
            <w:r w:rsidRPr="008249E7">
              <w:rPr>
                <w:vertAlign w:val="subscript"/>
              </w:rPr>
              <w:t>CO2</w:t>
            </w:r>
          </w:p>
        </w:tc>
        <w:tc>
          <w:tcPr>
            <w:tcW w:w="1134" w:type="dxa"/>
            <w:shd w:val="clear" w:color="auto" w:fill="FFFFFF"/>
          </w:tcPr>
          <w:p w14:paraId="69EFB28E" w14:textId="2D08B9CE" w:rsidR="008A4E7A" w:rsidRPr="00B57B36" w:rsidRDefault="008A4E7A" w:rsidP="000D1052">
            <w:pPr>
              <w:pStyle w:val="CETBodytext"/>
              <w:ind w:right="-1"/>
              <w:rPr>
                <w:rFonts w:cs="Arial"/>
                <w:szCs w:val="18"/>
                <w:lang w:val="en-GB"/>
              </w:rPr>
            </w:pPr>
            <w:proofErr w:type="spellStart"/>
            <w:r w:rsidRPr="008249E7">
              <w:rPr>
                <w:i/>
              </w:rPr>
              <w:t>x</w:t>
            </w:r>
            <w:r w:rsidRPr="008249E7">
              <w:rPr>
                <w:vertAlign w:val="subscript"/>
              </w:rPr>
              <w:t>water</w:t>
            </w:r>
            <w:proofErr w:type="spellEnd"/>
          </w:p>
        </w:tc>
        <w:tc>
          <w:tcPr>
            <w:tcW w:w="1134" w:type="dxa"/>
            <w:shd w:val="clear" w:color="auto" w:fill="FFFFFF"/>
          </w:tcPr>
          <w:p w14:paraId="0DE56BD7" w14:textId="6504833E" w:rsidR="008A4E7A" w:rsidRPr="008249E7" w:rsidRDefault="00DE7F11" w:rsidP="000D1052">
            <w:pPr>
              <w:pStyle w:val="CETBodytext"/>
              <w:ind w:right="-1"/>
              <w:rPr>
                <w:i/>
              </w:rPr>
            </w:pPr>
            <w:proofErr w:type="spellStart"/>
            <w:r w:rsidRPr="008249E7">
              <w:rPr>
                <w:i/>
              </w:rPr>
              <w:t>x</w:t>
            </w:r>
            <w:r w:rsidRPr="008249E7">
              <w:rPr>
                <w:vertAlign w:val="subscript"/>
              </w:rPr>
              <w:t>DMC</w:t>
            </w:r>
            <w:proofErr w:type="spellEnd"/>
          </w:p>
        </w:tc>
      </w:tr>
      <w:tr w:rsidR="008A4E7A" w:rsidRPr="00B57B36" w14:paraId="6EDDE326" w14:textId="3566BE25" w:rsidTr="00DE7F11">
        <w:tc>
          <w:tcPr>
            <w:tcW w:w="1134" w:type="dxa"/>
            <w:shd w:val="clear" w:color="auto" w:fill="FFFFFF"/>
          </w:tcPr>
          <w:p w14:paraId="1FAD11F0" w14:textId="5BCBBBB5" w:rsidR="008A4E7A" w:rsidRPr="00B57B36" w:rsidRDefault="008A4E7A" w:rsidP="000D1052">
            <w:pPr>
              <w:pStyle w:val="CETBodytext"/>
              <w:ind w:right="-1"/>
              <w:rPr>
                <w:rFonts w:cs="Arial"/>
                <w:szCs w:val="18"/>
                <w:lang w:val="en-GB"/>
              </w:rPr>
            </w:pPr>
            <w:r>
              <w:rPr>
                <w:rFonts w:cs="Arial"/>
                <w:szCs w:val="18"/>
                <w:lang w:val="en-GB"/>
              </w:rPr>
              <w:t>1</w:t>
            </w:r>
          </w:p>
        </w:tc>
        <w:tc>
          <w:tcPr>
            <w:tcW w:w="1134" w:type="dxa"/>
            <w:shd w:val="clear" w:color="auto" w:fill="FFFFFF"/>
          </w:tcPr>
          <w:p w14:paraId="4D95DBDC" w14:textId="772F9BFB" w:rsidR="008A4E7A" w:rsidRPr="00B57B36" w:rsidRDefault="008A4E7A" w:rsidP="000D1052">
            <w:pPr>
              <w:pStyle w:val="CETBodytext"/>
              <w:ind w:right="-1"/>
              <w:rPr>
                <w:rFonts w:cs="Arial"/>
                <w:szCs w:val="18"/>
                <w:lang w:val="en-GB"/>
              </w:rPr>
            </w:pPr>
            <w:r>
              <w:rPr>
                <w:rFonts w:cs="Arial"/>
                <w:szCs w:val="18"/>
                <w:lang w:val="en-GB"/>
              </w:rPr>
              <w:t>0.6</w:t>
            </w:r>
          </w:p>
        </w:tc>
        <w:tc>
          <w:tcPr>
            <w:tcW w:w="1134" w:type="dxa"/>
            <w:shd w:val="clear" w:color="auto" w:fill="FFFFFF"/>
          </w:tcPr>
          <w:p w14:paraId="09205F31" w14:textId="4D44EE5F" w:rsidR="008A4E7A" w:rsidRPr="00B57B36" w:rsidRDefault="00732A39" w:rsidP="000D1052">
            <w:pPr>
              <w:pStyle w:val="CETBodytext"/>
              <w:ind w:right="-1"/>
              <w:rPr>
                <w:rFonts w:cs="Arial"/>
                <w:szCs w:val="18"/>
                <w:lang w:val="en-GB"/>
              </w:rPr>
            </w:pPr>
            <w:r>
              <w:rPr>
                <w:rFonts w:cs="Arial"/>
                <w:szCs w:val="18"/>
                <w:lang w:val="en-GB"/>
              </w:rPr>
              <w:t>0.667</w:t>
            </w:r>
          </w:p>
        </w:tc>
        <w:tc>
          <w:tcPr>
            <w:tcW w:w="1134" w:type="dxa"/>
            <w:shd w:val="clear" w:color="auto" w:fill="FFFFFF"/>
          </w:tcPr>
          <w:p w14:paraId="39F08D3A" w14:textId="63983569" w:rsidR="008A4E7A" w:rsidRPr="00B57B36" w:rsidRDefault="00732A39" w:rsidP="000D1052">
            <w:pPr>
              <w:pStyle w:val="CETBodytext"/>
              <w:ind w:right="-1"/>
              <w:rPr>
                <w:rFonts w:cs="Arial"/>
                <w:szCs w:val="18"/>
                <w:lang w:val="en-GB"/>
              </w:rPr>
            </w:pPr>
            <w:r>
              <w:rPr>
                <w:rFonts w:cs="Arial"/>
                <w:szCs w:val="18"/>
                <w:lang w:val="en-GB"/>
              </w:rPr>
              <w:t>0.333</w:t>
            </w:r>
          </w:p>
        </w:tc>
        <w:tc>
          <w:tcPr>
            <w:tcW w:w="1134" w:type="dxa"/>
            <w:shd w:val="clear" w:color="auto" w:fill="FFFFFF"/>
          </w:tcPr>
          <w:p w14:paraId="5C66CD46" w14:textId="47B27297" w:rsidR="008A4E7A" w:rsidRPr="00B57B36" w:rsidRDefault="00732A39" w:rsidP="000D1052">
            <w:pPr>
              <w:pStyle w:val="CETBodytext"/>
              <w:ind w:right="-1"/>
              <w:rPr>
                <w:rFonts w:cs="Arial"/>
                <w:szCs w:val="18"/>
                <w:lang w:val="en-GB"/>
              </w:rPr>
            </w:pPr>
            <w:r>
              <w:rPr>
                <w:rFonts w:cs="Arial"/>
                <w:szCs w:val="18"/>
                <w:lang w:val="en-GB"/>
              </w:rPr>
              <w:t>0.333</w:t>
            </w:r>
          </w:p>
        </w:tc>
        <w:tc>
          <w:tcPr>
            <w:tcW w:w="1134" w:type="dxa"/>
            <w:shd w:val="clear" w:color="auto" w:fill="FFFFFF"/>
          </w:tcPr>
          <w:p w14:paraId="7C392486" w14:textId="1092F857" w:rsidR="008A4E7A" w:rsidRPr="00B57B36" w:rsidRDefault="00732A39" w:rsidP="000D1052">
            <w:pPr>
              <w:pStyle w:val="CETBodytext"/>
              <w:ind w:right="-1"/>
              <w:rPr>
                <w:rFonts w:cs="Arial"/>
                <w:szCs w:val="18"/>
                <w:lang w:val="en-GB"/>
              </w:rPr>
            </w:pPr>
            <w:r>
              <w:rPr>
                <w:rFonts w:cs="Arial"/>
                <w:szCs w:val="18"/>
                <w:lang w:val="en-GB"/>
              </w:rPr>
              <w:t>0.167</w:t>
            </w:r>
          </w:p>
        </w:tc>
        <w:tc>
          <w:tcPr>
            <w:tcW w:w="1134" w:type="dxa"/>
            <w:shd w:val="clear" w:color="auto" w:fill="FFFFFF"/>
          </w:tcPr>
          <w:p w14:paraId="7A9E13E7" w14:textId="179D6BD4" w:rsidR="008A4E7A" w:rsidRPr="00B57B36" w:rsidRDefault="00732A39" w:rsidP="000D1052">
            <w:pPr>
              <w:pStyle w:val="CETBodytext"/>
              <w:ind w:right="-1"/>
              <w:rPr>
                <w:rFonts w:cs="Arial"/>
                <w:szCs w:val="18"/>
                <w:lang w:val="en-GB"/>
              </w:rPr>
            </w:pPr>
            <w:r>
              <w:rPr>
                <w:rFonts w:cs="Arial"/>
                <w:szCs w:val="18"/>
                <w:lang w:val="en-GB"/>
              </w:rPr>
              <w:t>0.250</w:t>
            </w:r>
          </w:p>
        </w:tc>
        <w:tc>
          <w:tcPr>
            <w:tcW w:w="1134" w:type="dxa"/>
            <w:shd w:val="clear" w:color="auto" w:fill="FFFFFF"/>
          </w:tcPr>
          <w:p w14:paraId="41995D45" w14:textId="54ADF1F4" w:rsidR="008A4E7A" w:rsidRPr="00B57B36" w:rsidRDefault="00732A39" w:rsidP="000D1052">
            <w:pPr>
              <w:pStyle w:val="CETBodytext"/>
              <w:ind w:right="-1"/>
              <w:rPr>
                <w:rFonts w:cs="Arial"/>
                <w:szCs w:val="18"/>
                <w:lang w:val="en-GB"/>
              </w:rPr>
            </w:pPr>
            <w:r>
              <w:rPr>
                <w:rFonts w:cs="Arial"/>
                <w:szCs w:val="18"/>
                <w:lang w:val="en-GB"/>
              </w:rPr>
              <w:t>0.250</w:t>
            </w:r>
          </w:p>
        </w:tc>
      </w:tr>
      <w:tr w:rsidR="008A4E7A" w:rsidRPr="00B57B36" w14:paraId="68B36453" w14:textId="339BF303" w:rsidTr="00DE7F11">
        <w:tc>
          <w:tcPr>
            <w:tcW w:w="1134" w:type="dxa"/>
            <w:shd w:val="clear" w:color="auto" w:fill="FFFFFF"/>
          </w:tcPr>
          <w:p w14:paraId="13EEABD5" w14:textId="03B46F5D" w:rsidR="008A4E7A" w:rsidRPr="00B57B36" w:rsidRDefault="008A4E7A" w:rsidP="000D1052">
            <w:pPr>
              <w:pStyle w:val="CETBodytext"/>
              <w:ind w:right="-1"/>
              <w:rPr>
                <w:rFonts w:cs="Arial"/>
                <w:szCs w:val="18"/>
                <w:lang w:val="en-GB"/>
              </w:rPr>
            </w:pPr>
            <w:r>
              <w:rPr>
                <w:rFonts w:cs="Arial"/>
                <w:szCs w:val="18"/>
                <w:lang w:val="en-GB"/>
              </w:rPr>
              <w:t>2</w:t>
            </w:r>
          </w:p>
        </w:tc>
        <w:tc>
          <w:tcPr>
            <w:tcW w:w="1134" w:type="dxa"/>
            <w:shd w:val="clear" w:color="auto" w:fill="FFFFFF"/>
          </w:tcPr>
          <w:p w14:paraId="4642CEDD" w14:textId="41186121" w:rsidR="008A4E7A" w:rsidRPr="00B57B36" w:rsidRDefault="008A4E7A" w:rsidP="000D1052">
            <w:pPr>
              <w:pStyle w:val="CETBodytext"/>
              <w:ind w:right="-1"/>
              <w:rPr>
                <w:rFonts w:cs="Arial"/>
                <w:szCs w:val="18"/>
                <w:lang w:val="en-GB"/>
              </w:rPr>
            </w:pPr>
            <w:r>
              <w:rPr>
                <w:rFonts w:cs="Arial"/>
                <w:szCs w:val="18"/>
                <w:lang w:val="en-GB"/>
              </w:rPr>
              <w:t>0.6</w:t>
            </w:r>
          </w:p>
        </w:tc>
        <w:tc>
          <w:tcPr>
            <w:tcW w:w="1134" w:type="dxa"/>
            <w:shd w:val="clear" w:color="auto" w:fill="FFFFFF"/>
          </w:tcPr>
          <w:p w14:paraId="0C06CEE1" w14:textId="6F34D89F" w:rsidR="008A4E7A" w:rsidRPr="00B57B36" w:rsidRDefault="00732A39" w:rsidP="000D1052">
            <w:pPr>
              <w:pStyle w:val="CETBodytext"/>
              <w:ind w:right="-1"/>
              <w:rPr>
                <w:rFonts w:cs="Arial"/>
                <w:szCs w:val="18"/>
                <w:lang w:val="en-GB"/>
              </w:rPr>
            </w:pPr>
            <w:r>
              <w:rPr>
                <w:rFonts w:cs="Arial"/>
                <w:szCs w:val="18"/>
                <w:lang w:val="en-GB"/>
              </w:rPr>
              <w:t>0.500</w:t>
            </w:r>
          </w:p>
        </w:tc>
        <w:tc>
          <w:tcPr>
            <w:tcW w:w="1134" w:type="dxa"/>
            <w:shd w:val="clear" w:color="auto" w:fill="FFFFFF"/>
          </w:tcPr>
          <w:p w14:paraId="7C3B3200" w14:textId="7024AD13" w:rsidR="008A4E7A" w:rsidRPr="00B57B36" w:rsidRDefault="00732A39" w:rsidP="000D1052">
            <w:pPr>
              <w:pStyle w:val="CETBodytext"/>
              <w:ind w:right="-1"/>
              <w:rPr>
                <w:rFonts w:cs="Arial"/>
                <w:szCs w:val="18"/>
                <w:lang w:val="en-GB"/>
              </w:rPr>
            </w:pPr>
            <w:r>
              <w:rPr>
                <w:rFonts w:cs="Arial"/>
                <w:szCs w:val="18"/>
                <w:lang w:val="en-GB"/>
              </w:rPr>
              <w:t>0.500</w:t>
            </w:r>
          </w:p>
        </w:tc>
        <w:tc>
          <w:tcPr>
            <w:tcW w:w="1134" w:type="dxa"/>
            <w:shd w:val="clear" w:color="auto" w:fill="FFFFFF"/>
          </w:tcPr>
          <w:p w14:paraId="05FA26E9" w14:textId="4BF55979" w:rsidR="008A4E7A" w:rsidRPr="00B57B36" w:rsidRDefault="00732A39" w:rsidP="000D1052">
            <w:pPr>
              <w:pStyle w:val="CETBodytext"/>
              <w:ind w:right="-1"/>
              <w:rPr>
                <w:rFonts w:cs="Arial"/>
                <w:szCs w:val="18"/>
                <w:lang w:val="en-GB"/>
              </w:rPr>
            </w:pPr>
            <w:r>
              <w:rPr>
                <w:rFonts w:cs="Arial"/>
                <w:szCs w:val="18"/>
                <w:lang w:val="en-GB"/>
              </w:rPr>
              <w:t>0.236</w:t>
            </w:r>
          </w:p>
        </w:tc>
        <w:tc>
          <w:tcPr>
            <w:tcW w:w="1134" w:type="dxa"/>
            <w:shd w:val="clear" w:color="auto" w:fill="FFFFFF"/>
          </w:tcPr>
          <w:p w14:paraId="74CA0A31" w14:textId="1E561207" w:rsidR="008A4E7A" w:rsidRPr="00B57B36" w:rsidRDefault="00732A39" w:rsidP="000D1052">
            <w:pPr>
              <w:pStyle w:val="CETBodytext"/>
              <w:ind w:right="-1"/>
              <w:rPr>
                <w:rFonts w:cs="Arial"/>
                <w:szCs w:val="18"/>
                <w:lang w:val="en-GB"/>
              </w:rPr>
            </w:pPr>
            <w:r>
              <w:rPr>
                <w:rFonts w:cs="Arial"/>
                <w:szCs w:val="18"/>
                <w:lang w:val="en-GB"/>
              </w:rPr>
              <w:t>0.412</w:t>
            </w:r>
          </w:p>
        </w:tc>
        <w:tc>
          <w:tcPr>
            <w:tcW w:w="1134" w:type="dxa"/>
            <w:shd w:val="clear" w:color="auto" w:fill="FFFFFF"/>
          </w:tcPr>
          <w:p w14:paraId="326ED999" w14:textId="02415F9A" w:rsidR="008A4E7A" w:rsidRPr="00B57B36" w:rsidRDefault="00732A39" w:rsidP="000D1052">
            <w:pPr>
              <w:pStyle w:val="CETBodytext"/>
              <w:ind w:right="-1"/>
              <w:rPr>
                <w:rFonts w:cs="Arial"/>
                <w:szCs w:val="18"/>
                <w:lang w:val="en-GB"/>
              </w:rPr>
            </w:pPr>
            <w:r>
              <w:rPr>
                <w:rFonts w:cs="Arial"/>
                <w:szCs w:val="18"/>
                <w:lang w:val="en-GB"/>
              </w:rPr>
              <w:t>0.176</w:t>
            </w:r>
          </w:p>
        </w:tc>
        <w:tc>
          <w:tcPr>
            <w:tcW w:w="1134" w:type="dxa"/>
            <w:shd w:val="clear" w:color="auto" w:fill="FFFFFF"/>
          </w:tcPr>
          <w:p w14:paraId="00C696DB" w14:textId="57DCCF62" w:rsidR="008A4E7A" w:rsidRPr="00B57B36" w:rsidRDefault="00732A39" w:rsidP="000D1052">
            <w:pPr>
              <w:pStyle w:val="CETBodytext"/>
              <w:ind w:right="-1"/>
              <w:rPr>
                <w:rFonts w:cs="Arial"/>
                <w:szCs w:val="18"/>
                <w:lang w:val="en-GB"/>
              </w:rPr>
            </w:pPr>
            <w:r>
              <w:rPr>
                <w:rFonts w:cs="Arial"/>
                <w:szCs w:val="18"/>
                <w:lang w:val="en-GB"/>
              </w:rPr>
              <w:t>0.176</w:t>
            </w:r>
          </w:p>
        </w:tc>
      </w:tr>
      <w:tr w:rsidR="008A4E7A" w:rsidRPr="00B57B36" w14:paraId="578AC4EF" w14:textId="5D95FE16" w:rsidTr="00DE7F11">
        <w:tc>
          <w:tcPr>
            <w:tcW w:w="1134" w:type="dxa"/>
            <w:shd w:val="clear" w:color="auto" w:fill="FFFFFF"/>
          </w:tcPr>
          <w:p w14:paraId="1BCA6CEB" w14:textId="3C20F390" w:rsidR="008A4E7A" w:rsidRPr="00B57B36" w:rsidRDefault="008A4E7A" w:rsidP="000D1052">
            <w:pPr>
              <w:pStyle w:val="CETBodytext"/>
              <w:ind w:right="-1"/>
              <w:rPr>
                <w:rFonts w:cs="Arial"/>
                <w:szCs w:val="18"/>
                <w:lang w:val="en-GB"/>
              </w:rPr>
            </w:pPr>
            <w:r>
              <w:rPr>
                <w:rFonts w:cs="Arial"/>
                <w:szCs w:val="18"/>
                <w:lang w:val="en-GB"/>
              </w:rPr>
              <w:t>3</w:t>
            </w:r>
          </w:p>
        </w:tc>
        <w:tc>
          <w:tcPr>
            <w:tcW w:w="1134" w:type="dxa"/>
            <w:shd w:val="clear" w:color="auto" w:fill="FFFFFF"/>
          </w:tcPr>
          <w:p w14:paraId="3FC12F2B" w14:textId="54FF0C19" w:rsidR="008A4E7A" w:rsidRPr="00B57B36" w:rsidRDefault="008A4E7A" w:rsidP="000D1052">
            <w:pPr>
              <w:pStyle w:val="CETBodytext"/>
              <w:ind w:right="-1"/>
              <w:rPr>
                <w:rFonts w:cs="Arial"/>
                <w:szCs w:val="18"/>
                <w:lang w:val="en-GB"/>
              </w:rPr>
            </w:pPr>
            <w:r>
              <w:rPr>
                <w:rFonts w:cs="Arial"/>
                <w:szCs w:val="18"/>
                <w:lang w:val="en-GB"/>
              </w:rPr>
              <w:t>0.6</w:t>
            </w:r>
          </w:p>
        </w:tc>
        <w:tc>
          <w:tcPr>
            <w:tcW w:w="1134" w:type="dxa"/>
            <w:shd w:val="clear" w:color="auto" w:fill="FFFFFF"/>
          </w:tcPr>
          <w:p w14:paraId="713B4D26" w14:textId="1218DE6F" w:rsidR="008A4E7A" w:rsidRPr="00B57B36" w:rsidRDefault="00732A39" w:rsidP="000D1052">
            <w:pPr>
              <w:pStyle w:val="CETBodytext"/>
              <w:ind w:right="-1"/>
              <w:rPr>
                <w:rFonts w:cs="Arial"/>
                <w:szCs w:val="18"/>
                <w:lang w:val="en-GB"/>
              </w:rPr>
            </w:pPr>
            <w:r>
              <w:rPr>
                <w:rFonts w:cs="Arial"/>
                <w:szCs w:val="18"/>
                <w:lang w:val="en-GB"/>
              </w:rPr>
              <w:t>0.167</w:t>
            </w:r>
          </w:p>
        </w:tc>
        <w:tc>
          <w:tcPr>
            <w:tcW w:w="1134" w:type="dxa"/>
            <w:shd w:val="clear" w:color="auto" w:fill="FFFFFF"/>
          </w:tcPr>
          <w:p w14:paraId="0B0BA46B" w14:textId="7506BB1F" w:rsidR="008A4E7A" w:rsidRPr="00B57B36" w:rsidRDefault="00732A39" w:rsidP="000D1052">
            <w:pPr>
              <w:pStyle w:val="CETBodytext"/>
              <w:ind w:right="-1"/>
              <w:rPr>
                <w:rFonts w:cs="Arial"/>
                <w:szCs w:val="18"/>
                <w:lang w:val="en-GB"/>
              </w:rPr>
            </w:pPr>
            <w:r>
              <w:rPr>
                <w:rFonts w:cs="Arial"/>
                <w:szCs w:val="18"/>
                <w:lang w:val="en-GB"/>
              </w:rPr>
              <w:t>0.833</w:t>
            </w:r>
          </w:p>
        </w:tc>
        <w:tc>
          <w:tcPr>
            <w:tcW w:w="1134" w:type="dxa"/>
            <w:shd w:val="clear" w:color="auto" w:fill="FFFFFF"/>
          </w:tcPr>
          <w:p w14:paraId="58AF48DA" w14:textId="5534E454" w:rsidR="008A4E7A" w:rsidRPr="00B57B36" w:rsidRDefault="00732A39" w:rsidP="000D1052">
            <w:pPr>
              <w:pStyle w:val="CETBodytext"/>
              <w:ind w:right="-1"/>
              <w:rPr>
                <w:rFonts w:cs="Arial"/>
                <w:szCs w:val="18"/>
                <w:lang w:val="en-GB"/>
              </w:rPr>
            </w:pPr>
            <w:r>
              <w:rPr>
                <w:rFonts w:cs="Arial"/>
                <w:szCs w:val="18"/>
                <w:lang w:val="en-GB"/>
              </w:rPr>
              <w:t>0.070</w:t>
            </w:r>
          </w:p>
        </w:tc>
        <w:tc>
          <w:tcPr>
            <w:tcW w:w="1134" w:type="dxa"/>
            <w:shd w:val="clear" w:color="auto" w:fill="FFFFFF"/>
          </w:tcPr>
          <w:p w14:paraId="46D87D74" w14:textId="3D29A8DB" w:rsidR="008A4E7A" w:rsidRPr="00B57B36" w:rsidRDefault="00732A39" w:rsidP="000D1052">
            <w:pPr>
              <w:pStyle w:val="CETBodytext"/>
              <w:ind w:right="-1"/>
              <w:rPr>
                <w:rFonts w:cs="Arial"/>
                <w:szCs w:val="18"/>
                <w:lang w:val="en-GB"/>
              </w:rPr>
            </w:pPr>
            <w:r>
              <w:rPr>
                <w:rFonts w:cs="Arial"/>
                <w:szCs w:val="18"/>
                <w:lang w:val="en-GB"/>
              </w:rPr>
              <w:t>0.824</w:t>
            </w:r>
          </w:p>
        </w:tc>
        <w:tc>
          <w:tcPr>
            <w:tcW w:w="1134" w:type="dxa"/>
            <w:shd w:val="clear" w:color="auto" w:fill="FFFFFF"/>
          </w:tcPr>
          <w:p w14:paraId="1B9EDB86" w14:textId="487AD591" w:rsidR="008A4E7A" w:rsidRPr="00B57B36" w:rsidRDefault="00732A39" w:rsidP="000D1052">
            <w:pPr>
              <w:pStyle w:val="CETBodytext"/>
              <w:ind w:right="-1"/>
              <w:rPr>
                <w:rFonts w:cs="Arial"/>
                <w:szCs w:val="18"/>
                <w:lang w:val="en-GB"/>
              </w:rPr>
            </w:pPr>
            <w:r>
              <w:rPr>
                <w:rFonts w:cs="Arial"/>
                <w:szCs w:val="18"/>
                <w:lang w:val="en-GB"/>
              </w:rPr>
              <w:t>0.053</w:t>
            </w:r>
          </w:p>
        </w:tc>
        <w:tc>
          <w:tcPr>
            <w:tcW w:w="1134" w:type="dxa"/>
            <w:shd w:val="clear" w:color="auto" w:fill="FFFFFF"/>
          </w:tcPr>
          <w:p w14:paraId="5E418A7A" w14:textId="33D6BF9F" w:rsidR="008A4E7A" w:rsidRPr="00B57B36" w:rsidRDefault="00732A39" w:rsidP="000D1052">
            <w:pPr>
              <w:pStyle w:val="CETBodytext"/>
              <w:ind w:right="-1"/>
              <w:rPr>
                <w:rFonts w:cs="Arial"/>
                <w:szCs w:val="18"/>
                <w:lang w:val="en-GB"/>
              </w:rPr>
            </w:pPr>
            <w:r>
              <w:rPr>
                <w:rFonts w:cs="Arial"/>
                <w:szCs w:val="18"/>
                <w:lang w:val="en-GB"/>
              </w:rPr>
              <w:t>0.053</w:t>
            </w:r>
          </w:p>
        </w:tc>
      </w:tr>
      <w:tr w:rsidR="008A4E7A" w:rsidRPr="00B57B36" w14:paraId="295736B5" w14:textId="136A52A0" w:rsidTr="00DE7F11">
        <w:tc>
          <w:tcPr>
            <w:tcW w:w="1134" w:type="dxa"/>
            <w:shd w:val="clear" w:color="auto" w:fill="FFFFFF"/>
          </w:tcPr>
          <w:p w14:paraId="1E0ADCC7" w14:textId="572CBEAB" w:rsidR="008A4E7A" w:rsidRPr="00B57B36" w:rsidRDefault="008A4E7A" w:rsidP="000D1052">
            <w:pPr>
              <w:pStyle w:val="CETBodytext"/>
              <w:ind w:right="-1"/>
              <w:rPr>
                <w:rFonts w:cs="Arial"/>
                <w:szCs w:val="18"/>
                <w:lang w:val="en-GB"/>
              </w:rPr>
            </w:pPr>
            <w:r>
              <w:rPr>
                <w:rFonts w:cs="Arial"/>
                <w:szCs w:val="18"/>
                <w:lang w:val="en-GB"/>
              </w:rPr>
              <w:t>4</w:t>
            </w:r>
          </w:p>
        </w:tc>
        <w:tc>
          <w:tcPr>
            <w:tcW w:w="1134" w:type="dxa"/>
            <w:shd w:val="clear" w:color="auto" w:fill="FFFFFF"/>
          </w:tcPr>
          <w:p w14:paraId="21C4743E" w14:textId="242470F4" w:rsidR="008A4E7A" w:rsidRPr="00B57B36" w:rsidRDefault="008A4E7A" w:rsidP="000D1052">
            <w:pPr>
              <w:pStyle w:val="CETBodytext"/>
              <w:ind w:right="-1"/>
              <w:rPr>
                <w:rFonts w:cs="Arial"/>
                <w:szCs w:val="18"/>
                <w:lang w:val="en-GB"/>
              </w:rPr>
            </w:pPr>
            <w:r>
              <w:rPr>
                <w:rFonts w:cs="Arial"/>
                <w:szCs w:val="18"/>
                <w:lang w:val="en-GB"/>
              </w:rPr>
              <w:t>0.6</w:t>
            </w:r>
          </w:p>
        </w:tc>
        <w:tc>
          <w:tcPr>
            <w:tcW w:w="1134" w:type="dxa"/>
            <w:shd w:val="clear" w:color="auto" w:fill="FFFFFF"/>
          </w:tcPr>
          <w:p w14:paraId="08AC3FF9" w14:textId="06E2ADD2" w:rsidR="008A4E7A" w:rsidRPr="00B57B36" w:rsidRDefault="00732A39" w:rsidP="000D1052">
            <w:pPr>
              <w:pStyle w:val="CETBodytext"/>
              <w:ind w:right="-1"/>
              <w:rPr>
                <w:rFonts w:cs="Arial"/>
                <w:szCs w:val="18"/>
                <w:lang w:val="en-GB"/>
              </w:rPr>
            </w:pPr>
            <w:r>
              <w:rPr>
                <w:rFonts w:cs="Arial"/>
                <w:szCs w:val="18"/>
                <w:lang w:val="en-GB"/>
              </w:rPr>
              <w:t>0.091</w:t>
            </w:r>
          </w:p>
        </w:tc>
        <w:tc>
          <w:tcPr>
            <w:tcW w:w="1134" w:type="dxa"/>
            <w:shd w:val="clear" w:color="auto" w:fill="FFFFFF"/>
          </w:tcPr>
          <w:p w14:paraId="531EF7F1" w14:textId="74315811" w:rsidR="008A4E7A" w:rsidRPr="00B57B36" w:rsidRDefault="00732A39" w:rsidP="000D1052">
            <w:pPr>
              <w:pStyle w:val="CETBodytext"/>
              <w:ind w:right="-1"/>
              <w:rPr>
                <w:rFonts w:cs="Arial"/>
                <w:szCs w:val="18"/>
                <w:lang w:val="en-GB"/>
              </w:rPr>
            </w:pPr>
            <w:r>
              <w:rPr>
                <w:rFonts w:cs="Arial"/>
                <w:szCs w:val="18"/>
                <w:lang w:val="en-GB"/>
              </w:rPr>
              <w:t>0.909</w:t>
            </w:r>
          </w:p>
        </w:tc>
        <w:tc>
          <w:tcPr>
            <w:tcW w:w="1134" w:type="dxa"/>
            <w:shd w:val="clear" w:color="auto" w:fill="FFFFFF"/>
          </w:tcPr>
          <w:p w14:paraId="661AB323" w14:textId="5A41687B" w:rsidR="008A4E7A" w:rsidRPr="00B57B36" w:rsidRDefault="00732A39" w:rsidP="000D1052">
            <w:pPr>
              <w:pStyle w:val="CETBodytext"/>
              <w:ind w:right="-1"/>
              <w:rPr>
                <w:rFonts w:cs="Arial"/>
                <w:szCs w:val="18"/>
                <w:lang w:val="en-GB"/>
              </w:rPr>
            </w:pPr>
            <w:r>
              <w:rPr>
                <w:rFonts w:cs="Arial"/>
                <w:szCs w:val="18"/>
                <w:lang w:val="en-GB"/>
              </w:rPr>
              <w:t>0.037</w:t>
            </w:r>
          </w:p>
        </w:tc>
        <w:tc>
          <w:tcPr>
            <w:tcW w:w="1134" w:type="dxa"/>
            <w:shd w:val="clear" w:color="auto" w:fill="FFFFFF"/>
          </w:tcPr>
          <w:p w14:paraId="2B410B31" w14:textId="1FB2C9E2" w:rsidR="008A4E7A" w:rsidRPr="00B57B36" w:rsidRDefault="00732A39" w:rsidP="000D1052">
            <w:pPr>
              <w:pStyle w:val="CETBodytext"/>
              <w:ind w:right="-1"/>
              <w:rPr>
                <w:rFonts w:cs="Arial"/>
                <w:szCs w:val="18"/>
                <w:lang w:val="en-GB"/>
              </w:rPr>
            </w:pPr>
            <w:r>
              <w:rPr>
                <w:rFonts w:cs="Arial"/>
                <w:szCs w:val="18"/>
                <w:lang w:val="en-GB"/>
              </w:rPr>
              <w:t>0.907</w:t>
            </w:r>
          </w:p>
        </w:tc>
        <w:tc>
          <w:tcPr>
            <w:tcW w:w="1134" w:type="dxa"/>
            <w:shd w:val="clear" w:color="auto" w:fill="FFFFFF"/>
          </w:tcPr>
          <w:p w14:paraId="30CF42CC" w14:textId="04071D05" w:rsidR="008A4E7A" w:rsidRPr="00B57B36" w:rsidRDefault="00732A39" w:rsidP="000D1052">
            <w:pPr>
              <w:pStyle w:val="CETBodytext"/>
              <w:ind w:right="-1"/>
              <w:rPr>
                <w:rFonts w:cs="Arial"/>
                <w:szCs w:val="18"/>
                <w:lang w:val="en-GB"/>
              </w:rPr>
            </w:pPr>
            <w:r>
              <w:rPr>
                <w:rFonts w:cs="Arial"/>
                <w:szCs w:val="18"/>
                <w:lang w:val="en-GB"/>
              </w:rPr>
              <w:t>0.028</w:t>
            </w:r>
          </w:p>
        </w:tc>
        <w:tc>
          <w:tcPr>
            <w:tcW w:w="1134" w:type="dxa"/>
            <w:shd w:val="clear" w:color="auto" w:fill="FFFFFF"/>
          </w:tcPr>
          <w:p w14:paraId="70F0719B" w14:textId="72A0EF16" w:rsidR="008A4E7A" w:rsidRPr="00B57B36" w:rsidRDefault="00732A39" w:rsidP="000D1052">
            <w:pPr>
              <w:pStyle w:val="CETBodytext"/>
              <w:ind w:right="-1"/>
              <w:rPr>
                <w:rFonts w:cs="Arial"/>
                <w:szCs w:val="18"/>
                <w:lang w:val="en-GB"/>
              </w:rPr>
            </w:pPr>
            <w:r>
              <w:rPr>
                <w:rFonts w:cs="Arial"/>
                <w:szCs w:val="18"/>
                <w:lang w:val="en-GB"/>
              </w:rPr>
              <w:t>0.028</w:t>
            </w:r>
          </w:p>
        </w:tc>
      </w:tr>
      <w:tr w:rsidR="008A4E7A" w:rsidRPr="00B57B36" w14:paraId="3A474A17" w14:textId="53432AF6" w:rsidTr="00DE7F11">
        <w:tc>
          <w:tcPr>
            <w:tcW w:w="1134" w:type="dxa"/>
            <w:shd w:val="clear" w:color="auto" w:fill="FFFFFF"/>
          </w:tcPr>
          <w:p w14:paraId="517EAA93" w14:textId="6A9B7A6A" w:rsidR="008A4E7A" w:rsidRPr="00B57B36" w:rsidRDefault="008A4E7A" w:rsidP="000D1052">
            <w:pPr>
              <w:pStyle w:val="CETBodytext"/>
              <w:ind w:right="-1"/>
              <w:rPr>
                <w:rFonts w:cs="Arial"/>
                <w:szCs w:val="18"/>
                <w:lang w:val="en-GB"/>
              </w:rPr>
            </w:pPr>
            <w:r>
              <w:rPr>
                <w:rFonts w:cs="Arial"/>
                <w:szCs w:val="18"/>
                <w:lang w:val="en-GB"/>
              </w:rPr>
              <w:t>5</w:t>
            </w:r>
          </w:p>
        </w:tc>
        <w:tc>
          <w:tcPr>
            <w:tcW w:w="1134" w:type="dxa"/>
            <w:shd w:val="clear" w:color="auto" w:fill="FFFFFF"/>
          </w:tcPr>
          <w:p w14:paraId="0362A87E" w14:textId="3252CF4A" w:rsidR="008A4E7A" w:rsidRPr="00B57B36" w:rsidRDefault="008A4E7A" w:rsidP="000D1052">
            <w:pPr>
              <w:pStyle w:val="CETBodytext"/>
              <w:ind w:right="-1"/>
              <w:rPr>
                <w:rFonts w:cs="Arial"/>
                <w:szCs w:val="18"/>
                <w:lang w:val="en-GB"/>
              </w:rPr>
            </w:pPr>
            <w:r>
              <w:rPr>
                <w:rFonts w:cs="Arial"/>
                <w:szCs w:val="18"/>
                <w:lang w:val="en-GB"/>
              </w:rPr>
              <w:t>1.0</w:t>
            </w:r>
          </w:p>
        </w:tc>
        <w:tc>
          <w:tcPr>
            <w:tcW w:w="1134" w:type="dxa"/>
            <w:shd w:val="clear" w:color="auto" w:fill="FFFFFF"/>
          </w:tcPr>
          <w:p w14:paraId="7AE68A24" w14:textId="3A560ABA" w:rsidR="008A4E7A" w:rsidRPr="00B57B36" w:rsidRDefault="00732A39" w:rsidP="000D1052">
            <w:pPr>
              <w:pStyle w:val="CETBodytext"/>
              <w:ind w:right="-1"/>
              <w:rPr>
                <w:rFonts w:cs="Arial"/>
                <w:szCs w:val="18"/>
                <w:lang w:val="en-GB"/>
              </w:rPr>
            </w:pPr>
            <w:r>
              <w:rPr>
                <w:rFonts w:cs="Arial"/>
                <w:szCs w:val="18"/>
                <w:lang w:val="en-GB"/>
              </w:rPr>
              <w:t>0.091</w:t>
            </w:r>
          </w:p>
        </w:tc>
        <w:tc>
          <w:tcPr>
            <w:tcW w:w="1134" w:type="dxa"/>
            <w:shd w:val="clear" w:color="auto" w:fill="FFFFFF"/>
          </w:tcPr>
          <w:p w14:paraId="794E72E6" w14:textId="320422C8" w:rsidR="008A4E7A" w:rsidRPr="00B57B36" w:rsidRDefault="00732A39" w:rsidP="000D1052">
            <w:pPr>
              <w:pStyle w:val="CETBodytext"/>
              <w:ind w:right="-1"/>
              <w:rPr>
                <w:rFonts w:cs="Arial"/>
                <w:szCs w:val="18"/>
                <w:lang w:val="en-GB"/>
              </w:rPr>
            </w:pPr>
            <w:r>
              <w:rPr>
                <w:rFonts w:cs="Arial"/>
                <w:szCs w:val="18"/>
                <w:lang w:val="en-GB"/>
              </w:rPr>
              <w:t>0.909</w:t>
            </w:r>
          </w:p>
        </w:tc>
        <w:tc>
          <w:tcPr>
            <w:tcW w:w="1134" w:type="dxa"/>
            <w:shd w:val="clear" w:color="auto" w:fill="FFFFFF"/>
          </w:tcPr>
          <w:p w14:paraId="519ACA14" w14:textId="5B27041C" w:rsidR="008A4E7A" w:rsidRPr="00B57B36" w:rsidRDefault="00732A39" w:rsidP="000D1052">
            <w:pPr>
              <w:pStyle w:val="CETBodytext"/>
              <w:ind w:right="-1"/>
              <w:rPr>
                <w:rFonts w:cs="Arial"/>
                <w:szCs w:val="18"/>
                <w:lang w:val="en-GB"/>
              </w:rPr>
            </w:pPr>
            <w:r>
              <w:rPr>
                <w:rFonts w:cs="Arial"/>
                <w:szCs w:val="18"/>
                <w:lang w:val="en-GB"/>
              </w:rPr>
              <w:t>0.000</w:t>
            </w:r>
          </w:p>
        </w:tc>
        <w:tc>
          <w:tcPr>
            <w:tcW w:w="1134" w:type="dxa"/>
            <w:shd w:val="clear" w:color="auto" w:fill="FFFFFF"/>
          </w:tcPr>
          <w:p w14:paraId="1D1AC17B" w14:textId="66942342" w:rsidR="008A4E7A" w:rsidRPr="00B57B36" w:rsidRDefault="00732A39" w:rsidP="000D1052">
            <w:pPr>
              <w:pStyle w:val="CETBodytext"/>
              <w:ind w:right="-1"/>
              <w:rPr>
                <w:rFonts w:cs="Arial"/>
                <w:szCs w:val="18"/>
                <w:lang w:val="en-GB"/>
              </w:rPr>
            </w:pPr>
            <w:r>
              <w:rPr>
                <w:rFonts w:cs="Arial"/>
                <w:szCs w:val="18"/>
                <w:lang w:val="en-GB"/>
              </w:rPr>
              <w:t>0.904</w:t>
            </w:r>
          </w:p>
        </w:tc>
        <w:tc>
          <w:tcPr>
            <w:tcW w:w="1134" w:type="dxa"/>
            <w:shd w:val="clear" w:color="auto" w:fill="FFFFFF"/>
          </w:tcPr>
          <w:p w14:paraId="00568C91" w14:textId="16D07209" w:rsidR="008A4E7A" w:rsidRPr="00B57B36" w:rsidRDefault="00732A39" w:rsidP="000D1052">
            <w:pPr>
              <w:pStyle w:val="CETBodytext"/>
              <w:ind w:right="-1"/>
              <w:rPr>
                <w:rFonts w:cs="Arial"/>
                <w:szCs w:val="18"/>
                <w:lang w:val="en-GB"/>
              </w:rPr>
            </w:pPr>
            <w:r>
              <w:rPr>
                <w:rFonts w:cs="Arial"/>
                <w:szCs w:val="18"/>
                <w:lang w:val="en-GB"/>
              </w:rPr>
              <w:t>0.048</w:t>
            </w:r>
          </w:p>
        </w:tc>
        <w:tc>
          <w:tcPr>
            <w:tcW w:w="1134" w:type="dxa"/>
            <w:shd w:val="clear" w:color="auto" w:fill="FFFFFF"/>
          </w:tcPr>
          <w:p w14:paraId="52D40FAF" w14:textId="60CD6EE1" w:rsidR="008A4E7A" w:rsidRPr="00B57B36" w:rsidRDefault="00732A39" w:rsidP="000D1052">
            <w:pPr>
              <w:pStyle w:val="CETBodytext"/>
              <w:ind w:right="-1"/>
              <w:rPr>
                <w:rFonts w:cs="Arial"/>
                <w:szCs w:val="18"/>
                <w:lang w:val="en-GB"/>
              </w:rPr>
            </w:pPr>
            <w:r>
              <w:rPr>
                <w:rFonts w:cs="Arial"/>
                <w:szCs w:val="18"/>
                <w:lang w:val="en-GB"/>
              </w:rPr>
              <w:t>0.048</w:t>
            </w:r>
          </w:p>
        </w:tc>
      </w:tr>
    </w:tbl>
    <w:p w14:paraId="12F14DFD" w14:textId="36F81744" w:rsidR="001452E8" w:rsidRDefault="001452E8" w:rsidP="001452E8">
      <w:pPr>
        <w:pStyle w:val="CETheadingx"/>
      </w:pPr>
      <w:r w:rsidRPr="001452E8">
        <w:t>Model structure</w:t>
      </w:r>
      <w:r w:rsidR="00583450">
        <w:t xml:space="preserve"> and parameter </w:t>
      </w:r>
      <w:r w:rsidR="00FA45A4">
        <w:t>identification</w:t>
      </w:r>
    </w:p>
    <w:p w14:paraId="7977E31D" w14:textId="5F5E6F57" w:rsidR="00237383" w:rsidRDefault="00472A57" w:rsidP="00472A57">
      <w:pPr>
        <w:pStyle w:val="CETBodytext"/>
      </w:pPr>
      <w:r>
        <w:t xml:space="preserve">The initial model structure relies on kinetic equations, allowing decomposition and formation rates to differ during the simulation. </w:t>
      </w:r>
      <w:r w:rsidR="00D6057F" w:rsidRPr="00D6057F">
        <w:rPr>
          <w:lang w:val="en-GB"/>
        </w:rPr>
        <w:t xml:space="preserve">This assumption is especially relevant for capturing scenarios like the decline in catalyst activity during synthesis. The corresponding kinetic equations for the model structure are detailed in </w:t>
      </w:r>
      <w:proofErr w:type="spellStart"/>
      <w:proofErr w:type="gramStart"/>
      <w:r w:rsidR="00D6057F" w:rsidRPr="00D6057F">
        <w:rPr>
          <w:lang w:val="en-GB"/>
        </w:rPr>
        <w:t>Eq</w:t>
      </w:r>
      <w:proofErr w:type="spellEnd"/>
      <w:r w:rsidR="00D6057F" w:rsidRPr="00D6057F">
        <w:rPr>
          <w:lang w:val="en-GB"/>
        </w:rPr>
        <w:t>(</w:t>
      </w:r>
      <w:proofErr w:type="gramEnd"/>
      <w:r w:rsidR="00D6057F" w:rsidRPr="00D6057F">
        <w:rPr>
          <w:lang w:val="en-GB"/>
        </w:rPr>
        <w:t>2)</w:t>
      </w:r>
      <w:r w:rsidR="00A8784A">
        <w:rPr>
          <w:lang w:val="en-GB"/>
        </w:rPr>
        <w:t xml:space="preserve"> </w:t>
      </w:r>
      <w:r w:rsidR="00A8784A" w:rsidRPr="00D6057F">
        <w:rPr>
          <w:lang w:val="en-GB"/>
        </w:rPr>
        <w:t xml:space="preserve">– </w:t>
      </w:r>
      <w:proofErr w:type="spellStart"/>
      <w:proofErr w:type="gramStart"/>
      <w:r w:rsidR="00333AA5">
        <w:rPr>
          <w:lang w:val="en-GB"/>
        </w:rPr>
        <w:t>Eq</w:t>
      </w:r>
      <w:proofErr w:type="spellEnd"/>
      <w:r w:rsidR="00A8784A" w:rsidRPr="00D6057F">
        <w:rPr>
          <w:lang w:val="en-GB"/>
        </w:rPr>
        <w:t>(</w:t>
      </w:r>
      <w:proofErr w:type="gramEnd"/>
      <w:r w:rsidR="00D6057F" w:rsidRPr="00D6057F">
        <w:rPr>
          <w:lang w:val="en-GB"/>
        </w:rPr>
        <w:t>5).</w:t>
      </w:r>
    </w:p>
    <w:p w14:paraId="0750BBBC" w14:textId="77777777" w:rsidR="00237383" w:rsidRDefault="00237383" w:rsidP="00237383">
      <w:pPr>
        <w:pStyle w:val="CETBodytext"/>
      </w:pPr>
    </w:p>
    <w:p w14:paraId="49B93633" w14:textId="22743F9B" w:rsidR="00D65B5E" w:rsidRPr="008249E7" w:rsidRDefault="00556535" w:rsidP="00D65B5E">
      <w:pPr>
        <w:tabs>
          <w:tab w:val="left" w:pos="7938"/>
        </w:tabs>
      </w:p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MeOH</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sSub>
          <m:sSubPr>
            <m:ctrlPr>
              <w:rPr>
                <w:rFonts w:ascii="Cambria Math" w:hAnsi="Cambria Math"/>
                <w:i/>
              </w:rPr>
            </m:ctrlPr>
          </m:sSubPr>
          <m:e>
            <m:r>
              <w:rPr>
                <w:rFonts w:ascii="Cambria Math" w:hAnsi="Cambria Math"/>
              </w:rPr>
              <m:t>C</m:t>
            </m:r>
          </m:e>
          <m:sub>
            <m:r>
              <w:rPr>
                <w:rFonts w:ascii="Cambria Math" w:hAnsi="Cambria Math"/>
              </w:rPr>
              <m:t>DMC</m:t>
            </m:r>
          </m:sub>
        </m:sSub>
        <m:r>
          <w:rPr>
            <w:rFonts w:ascii="Cambria Math" w:hAnsi="Cambria Math"/>
          </w:rPr>
          <m: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oMath>
      <w:r w:rsidR="00D65B5E" w:rsidRPr="008249E7">
        <w:tab/>
      </w:r>
      <w:r w:rsidR="00D65B5E">
        <w:tab/>
      </w:r>
      <w:r w:rsidR="00D65B5E" w:rsidRPr="008249E7">
        <w:t>(</w:t>
      </w:r>
      <w:r w:rsidR="00D65B5E">
        <w:t>2</w:t>
      </w:r>
      <w:r w:rsidR="00D65B5E" w:rsidRPr="008249E7">
        <w:t>)</w:t>
      </w:r>
    </w:p>
    <w:p w14:paraId="65F74EE7" w14:textId="3DFE3931" w:rsidR="00D65B5E" w:rsidRPr="008249E7" w:rsidRDefault="00556535" w:rsidP="00D65B5E">
      <w:pPr>
        <w:tabs>
          <w:tab w:val="left" w:pos="7938"/>
        </w:tabs>
      </w:p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MeOH</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3</m:t>
            </m:r>
          </m:sub>
        </m:sSub>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MeOH</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4</m:t>
            </m:r>
          </m:sub>
        </m:sSub>
        <m:sSub>
          <m:sSubPr>
            <m:ctrlPr>
              <w:rPr>
                <w:rFonts w:ascii="Cambria Math" w:hAnsi="Cambria Math"/>
                <w:i/>
              </w:rPr>
            </m:ctrlPr>
          </m:sSubPr>
          <m:e>
            <m:r>
              <w:rPr>
                <w:rFonts w:ascii="Cambria Math" w:hAnsi="Cambria Math"/>
              </w:rPr>
              <m:t>C</m:t>
            </m:r>
          </m:e>
          <m:sub>
            <m:r>
              <w:rPr>
                <w:rFonts w:ascii="Cambria Math" w:hAnsi="Cambria Math"/>
              </w:rPr>
              <m:t>DMC</m:t>
            </m:r>
          </m:sub>
        </m:sSub>
        <m:r>
          <w:rPr>
            <w:rFonts w:ascii="Cambria Math" w:hAnsi="Cambria Math"/>
          </w:rPr>
          <m: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oMath>
      <w:r w:rsidR="00D65B5E" w:rsidRPr="008249E7">
        <w:tab/>
      </w:r>
      <w:r w:rsidR="00D65B5E">
        <w:tab/>
      </w:r>
      <w:r w:rsidR="00D65B5E" w:rsidRPr="008249E7">
        <w:t>(</w:t>
      </w:r>
      <w:r w:rsidR="00D65B5E">
        <w:t>3</w:t>
      </w:r>
      <w:r w:rsidR="00D65B5E" w:rsidRPr="008249E7">
        <w:t>)</w:t>
      </w:r>
    </w:p>
    <w:p w14:paraId="620A2124" w14:textId="59C77A55" w:rsidR="00D65B5E" w:rsidRPr="008249E7" w:rsidRDefault="00556535" w:rsidP="00D65B5E">
      <w:pPr>
        <w:tabs>
          <w:tab w:val="left" w:pos="7938"/>
        </w:tabs>
      </w:p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H2O</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5</m:t>
            </m:r>
          </m:sub>
        </m:sSub>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MeOH</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6</m:t>
            </m:r>
          </m:sub>
        </m:sSub>
        <m:sSub>
          <m:sSubPr>
            <m:ctrlPr>
              <w:rPr>
                <w:rFonts w:ascii="Cambria Math" w:hAnsi="Cambria Math"/>
                <w:i/>
              </w:rPr>
            </m:ctrlPr>
          </m:sSubPr>
          <m:e>
            <m:r>
              <w:rPr>
                <w:rFonts w:ascii="Cambria Math" w:hAnsi="Cambria Math"/>
              </w:rPr>
              <m:t>C</m:t>
            </m:r>
          </m:e>
          <m:sub>
            <m:r>
              <w:rPr>
                <w:rFonts w:ascii="Cambria Math" w:hAnsi="Cambria Math"/>
              </w:rPr>
              <m:t>DMC</m:t>
            </m:r>
          </m:sub>
        </m:sSub>
        <m:r>
          <w:rPr>
            <w:rFonts w:ascii="Cambria Math" w:hAnsi="Cambria Math"/>
          </w:rPr>
          <m: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oMath>
      <w:r w:rsidR="00D65B5E" w:rsidRPr="008249E7">
        <w:tab/>
      </w:r>
      <w:r w:rsidR="00D65B5E">
        <w:tab/>
      </w:r>
      <w:r w:rsidR="00D65B5E" w:rsidRPr="008249E7">
        <w:t>(</w:t>
      </w:r>
      <w:r w:rsidR="00D65B5E">
        <w:t>4</w:t>
      </w:r>
      <w:r w:rsidR="00D65B5E" w:rsidRPr="008249E7">
        <w:t>)</w:t>
      </w:r>
    </w:p>
    <w:p w14:paraId="3A2A2E79" w14:textId="58422EA3" w:rsidR="00D65B5E" w:rsidRDefault="00556535" w:rsidP="00D65B5E">
      <w:pPr>
        <w:tabs>
          <w:tab w:val="left" w:pos="7938"/>
        </w:tabs>
      </w:p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C</m:t>
                </m:r>
              </m:e>
              <m:sub>
                <m:r>
                  <w:rPr>
                    <w:rFonts w:ascii="Cambria Math" w:hAnsi="Cambria Math"/>
                  </w:rPr>
                  <m:t>DMC</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7</m:t>
            </m:r>
          </m:sub>
        </m:sSub>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CO</m:t>
                </m:r>
              </m:e>
              <m:sub>
                <m:r>
                  <w:rPr>
                    <w:rFonts w:ascii="Cambria Math" w:hAnsi="Cambria Math"/>
                  </w:rPr>
                  <m:t>2</m:t>
                </m:r>
              </m:sub>
            </m:sSub>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MeOH</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8</m:t>
            </m:r>
          </m:sub>
        </m:sSub>
        <m:sSub>
          <m:sSubPr>
            <m:ctrlPr>
              <w:rPr>
                <w:rFonts w:ascii="Cambria Math" w:hAnsi="Cambria Math"/>
                <w:i/>
              </w:rPr>
            </m:ctrlPr>
          </m:sSubPr>
          <m:e>
            <m:r>
              <w:rPr>
                <w:rFonts w:ascii="Cambria Math" w:hAnsi="Cambria Math"/>
              </w:rPr>
              <m:t>C</m:t>
            </m:r>
          </m:e>
          <m:sub>
            <m:r>
              <w:rPr>
                <w:rFonts w:ascii="Cambria Math" w:hAnsi="Cambria Math"/>
              </w:rPr>
              <m:t>DMC</m:t>
            </m:r>
          </m:sub>
        </m:sSub>
        <m:r>
          <w:rPr>
            <w:rFonts w:ascii="Cambria Math" w:hAnsi="Cambria Math"/>
          </w:rPr>
          <m:t>∙</m:t>
        </m:r>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m:t>
            </m:r>
          </m:sub>
        </m:sSub>
      </m:oMath>
      <w:r w:rsidR="00D65B5E" w:rsidRPr="008249E7">
        <w:tab/>
      </w:r>
      <w:r w:rsidR="00D65B5E">
        <w:tab/>
      </w:r>
      <w:r w:rsidR="00D65B5E" w:rsidRPr="008249E7">
        <w:t>(</w:t>
      </w:r>
      <w:r w:rsidR="00864855">
        <w:t>5</w:t>
      </w:r>
      <w:r w:rsidR="00D65B5E" w:rsidRPr="008249E7">
        <w:t>)</w:t>
      </w:r>
    </w:p>
    <w:p w14:paraId="3AC15B09" w14:textId="77777777" w:rsidR="00092DF9" w:rsidRPr="008249E7" w:rsidRDefault="00092DF9" w:rsidP="00D65B5E">
      <w:pPr>
        <w:tabs>
          <w:tab w:val="left" w:pos="7938"/>
        </w:tabs>
      </w:pPr>
    </w:p>
    <w:p w14:paraId="60107A27" w14:textId="0BF6B609" w:rsidR="00D6057F" w:rsidRDefault="00D6057F" w:rsidP="00D6057F">
      <w:pPr>
        <w:pStyle w:val="CETBodytext"/>
        <w:rPr>
          <w:lang w:val="en-GB"/>
        </w:rPr>
      </w:pPr>
      <w:r w:rsidRPr="00D6057F">
        <w:rPr>
          <w:lang w:val="en-GB"/>
        </w:rPr>
        <w:t xml:space="preserve">The pressure is assumed to remain constant, and the reaction rate </w:t>
      </w:r>
      <w:r w:rsidR="00FA45A4">
        <w:rPr>
          <w:lang w:val="en-GB"/>
        </w:rPr>
        <w:t>constant</w:t>
      </w:r>
      <w:r w:rsidR="00FF563E">
        <w:rPr>
          <w:lang w:val="en-GB"/>
        </w:rPr>
        <w:t>s</w:t>
      </w:r>
      <w:r w:rsidR="00FA45A4">
        <w:rPr>
          <w:lang w:val="en-GB"/>
        </w:rPr>
        <w:t xml:space="preserve"> </w:t>
      </w:r>
      <w:r w:rsidRPr="00D6057F">
        <w:rPr>
          <w:lang w:val="en-GB"/>
        </w:rPr>
        <w:t>(</w:t>
      </w:r>
      <w:r w:rsidRPr="0058166A">
        <w:rPr>
          <w:i/>
          <w:iCs/>
          <w:lang w:val="en-GB"/>
        </w:rPr>
        <w:t>k</w:t>
      </w:r>
      <w:r w:rsidRPr="00D6057F">
        <w:rPr>
          <w:lang w:val="en-GB"/>
        </w:rPr>
        <w:t xml:space="preserve">) </w:t>
      </w:r>
      <w:r w:rsidR="00FF563E">
        <w:rPr>
          <w:lang w:val="en-GB"/>
        </w:rPr>
        <w:t>are</w:t>
      </w:r>
      <w:r w:rsidRPr="00D6057F">
        <w:rPr>
          <w:lang w:val="en-GB"/>
        </w:rPr>
        <w:t xml:space="preserve"> model</w:t>
      </w:r>
      <w:r>
        <w:rPr>
          <w:lang w:val="en-GB"/>
        </w:rPr>
        <w:t>l</w:t>
      </w:r>
      <w:r w:rsidRPr="00D6057F">
        <w:rPr>
          <w:lang w:val="en-GB"/>
        </w:rPr>
        <w:t>ed using the Arrhenius equation</w:t>
      </w:r>
      <w:r w:rsidR="00FF563E">
        <w:rPr>
          <w:lang w:val="en-GB"/>
        </w:rPr>
        <w:t xml:space="preserve"> as</w:t>
      </w:r>
      <w:r w:rsidRPr="00D6057F">
        <w:rPr>
          <w:lang w:val="en-GB"/>
        </w:rPr>
        <w:t>:</w:t>
      </w:r>
    </w:p>
    <w:p w14:paraId="6E47BD97" w14:textId="5C7C3029" w:rsidR="00D6057F" w:rsidRDefault="00D6057F" w:rsidP="00D6057F">
      <w:pPr>
        <w:tabs>
          <w:tab w:val="left" w:pos="7938"/>
        </w:tabs>
      </w:pPr>
      <m:oMath>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RT</m:t>
                </m:r>
              </m:den>
            </m:f>
          </m:sup>
        </m:sSup>
      </m:oMath>
      <w:r w:rsidRPr="008249E7">
        <w:t>,</w:t>
      </w:r>
      <w:r w:rsidRPr="008249E7">
        <w:tab/>
      </w:r>
      <w:r>
        <w:tab/>
      </w:r>
      <w:r w:rsidRPr="008249E7">
        <w:t>(</w:t>
      </w:r>
      <w:r>
        <w:t>6</w:t>
      </w:r>
      <w:r w:rsidRPr="008249E7">
        <w:t>)</w:t>
      </w:r>
    </w:p>
    <w:p w14:paraId="2B2D8524" w14:textId="718F2B0A" w:rsidR="00D6057F" w:rsidRPr="00D6057F" w:rsidRDefault="00D6057F" w:rsidP="00D6057F">
      <w:pPr>
        <w:pStyle w:val="CETBodytext"/>
        <w:rPr>
          <w:lang w:val="en-GB"/>
        </w:rPr>
      </w:pPr>
      <w:r w:rsidRPr="00D6057F">
        <w:rPr>
          <w:lang w:val="en-GB"/>
        </w:rPr>
        <w:t xml:space="preserve">where </w:t>
      </w:r>
      <w:r w:rsidRPr="00D6057F">
        <w:rPr>
          <w:i/>
          <w:iCs/>
          <w:lang w:val="en-GB"/>
        </w:rPr>
        <w:t>k</w:t>
      </w:r>
      <w:r w:rsidRPr="00D6057F">
        <w:rPr>
          <w:i/>
          <w:iCs/>
          <w:vertAlign w:val="subscript"/>
          <w:lang w:val="en-GB"/>
        </w:rPr>
        <w:t>0</w:t>
      </w:r>
      <w:r w:rsidRPr="00D6057F">
        <w:rPr>
          <w:lang w:val="en-GB"/>
        </w:rPr>
        <w:t xml:space="preserve"> is the pre-exponential factor</w:t>
      </w:r>
      <w:r>
        <w:rPr>
          <w:lang w:val="en-GB"/>
        </w:rPr>
        <w:t xml:space="preserve">, </w:t>
      </w:r>
      <w:r w:rsidRPr="00D6057F">
        <w:rPr>
          <w:i/>
          <w:iCs/>
          <w:lang w:val="en-GB"/>
        </w:rPr>
        <w:t>E</w:t>
      </w:r>
      <w:r w:rsidRPr="00D6057F">
        <w:rPr>
          <w:i/>
          <w:iCs/>
          <w:vertAlign w:val="subscript"/>
          <w:lang w:val="en-GB"/>
        </w:rPr>
        <w:t>A</w:t>
      </w:r>
      <w:r w:rsidRPr="00D6057F">
        <w:rPr>
          <w:vertAlign w:val="subscript"/>
          <w:lang w:val="en-GB"/>
        </w:rPr>
        <w:t xml:space="preserve"> </w:t>
      </w:r>
      <w:r w:rsidRPr="00D6057F">
        <w:rPr>
          <w:lang w:val="en-GB"/>
        </w:rPr>
        <w:t xml:space="preserve">is the activation energy, </w:t>
      </w:r>
      <w:r w:rsidRPr="00D6057F">
        <w:rPr>
          <w:i/>
          <w:iCs/>
          <w:lang w:val="en-GB"/>
        </w:rPr>
        <w:t>R</w:t>
      </w:r>
      <w:r>
        <w:rPr>
          <w:lang w:val="en-GB"/>
        </w:rPr>
        <w:t xml:space="preserve"> </w:t>
      </w:r>
      <w:r w:rsidRPr="00D6057F">
        <w:rPr>
          <w:lang w:val="en-GB"/>
        </w:rPr>
        <w:t xml:space="preserve">is the universal gas constant, and </w:t>
      </w:r>
      <w:r w:rsidRPr="00D6057F">
        <w:rPr>
          <w:i/>
          <w:iCs/>
          <w:lang w:val="en-GB"/>
        </w:rPr>
        <w:t>T</w:t>
      </w:r>
      <w:r w:rsidRPr="00D6057F">
        <w:rPr>
          <w:lang w:val="en-GB"/>
        </w:rPr>
        <w:t xml:space="preserve"> is the </w:t>
      </w:r>
      <w:r w:rsidR="0058166A">
        <w:rPr>
          <w:lang w:val="en-GB"/>
        </w:rPr>
        <w:t xml:space="preserve">process </w:t>
      </w:r>
      <w:r w:rsidRPr="00D6057F">
        <w:rPr>
          <w:lang w:val="en-GB"/>
        </w:rPr>
        <w:t>temperature.</w:t>
      </w:r>
    </w:p>
    <w:p w14:paraId="56275EDF" w14:textId="77777777" w:rsidR="00D6057F" w:rsidRDefault="00D6057F" w:rsidP="00D6057F">
      <w:pPr>
        <w:pStyle w:val="CETBodytext"/>
        <w:rPr>
          <w:lang w:val="en-GB"/>
        </w:rPr>
      </w:pPr>
    </w:p>
    <w:p w14:paraId="689B2E2A" w14:textId="4968DB9B" w:rsidR="00E34850" w:rsidRPr="00C71F8B" w:rsidRDefault="00D6057F" w:rsidP="00E34850">
      <w:pPr>
        <w:pStyle w:val="CETBodytext"/>
        <w:rPr>
          <w:lang w:val="en-GB"/>
        </w:rPr>
      </w:pPr>
      <w:r w:rsidRPr="00D6057F">
        <w:rPr>
          <w:lang w:val="en-GB"/>
        </w:rPr>
        <w:t xml:space="preserve">The sixteen free parameters in </w:t>
      </w:r>
      <w:proofErr w:type="spellStart"/>
      <w:proofErr w:type="gramStart"/>
      <w:r w:rsidRPr="00D6057F">
        <w:rPr>
          <w:lang w:val="en-GB"/>
        </w:rPr>
        <w:t>Eq</w:t>
      </w:r>
      <w:proofErr w:type="spellEnd"/>
      <w:r w:rsidRPr="00D6057F">
        <w:rPr>
          <w:lang w:val="en-GB"/>
        </w:rPr>
        <w:t>(</w:t>
      </w:r>
      <w:proofErr w:type="gramEnd"/>
      <w:r w:rsidRPr="00D6057F">
        <w:rPr>
          <w:lang w:val="en-GB"/>
        </w:rPr>
        <w:t>2)</w:t>
      </w:r>
      <w:r w:rsidR="00B8012E">
        <w:rPr>
          <w:lang w:val="en-GB"/>
        </w:rPr>
        <w:t xml:space="preserve"> </w:t>
      </w:r>
      <w:r w:rsidR="00B8012E" w:rsidRPr="00D6057F">
        <w:rPr>
          <w:lang w:val="en-GB"/>
        </w:rPr>
        <w:t xml:space="preserve">– </w:t>
      </w:r>
      <w:proofErr w:type="spellStart"/>
      <w:proofErr w:type="gramStart"/>
      <w:r w:rsidR="00333AA5">
        <w:rPr>
          <w:lang w:val="en-GB"/>
        </w:rPr>
        <w:t>Eq</w:t>
      </w:r>
      <w:proofErr w:type="spellEnd"/>
      <w:r w:rsidR="00B8012E" w:rsidRPr="00D6057F">
        <w:rPr>
          <w:lang w:val="en-GB"/>
        </w:rPr>
        <w:t>(</w:t>
      </w:r>
      <w:proofErr w:type="gramEnd"/>
      <w:r w:rsidRPr="00D6057F">
        <w:rPr>
          <w:lang w:val="en-GB"/>
        </w:rPr>
        <w:t>5) were optimized using the Differential Evolution (DE) algorithm, a robust parallel direct search method</w:t>
      </w:r>
      <w:r w:rsidR="00E34850">
        <w:rPr>
          <w:lang w:val="en-GB"/>
        </w:rPr>
        <w:t xml:space="preserve"> (</w:t>
      </w:r>
      <w:proofErr w:type="spellStart"/>
      <w:r w:rsidR="00E34850" w:rsidRPr="00D6057F">
        <w:rPr>
          <w:lang w:val="en-GB"/>
        </w:rPr>
        <w:t>Storn</w:t>
      </w:r>
      <w:proofErr w:type="spellEnd"/>
      <w:r w:rsidR="00E34850" w:rsidRPr="00D6057F">
        <w:rPr>
          <w:lang w:val="en-GB"/>
        </w:rPr>
        <w:t xml:space="preserve"> and Price</w:t>
      </w:r>
      <w:r w:rsidR="00FF563E">
        <w:rPr>
          <w:lang w:val="en-GB"/>
        </w:rPr>
        <w:t>,</w:t>
      </w:r>
      <w:r w:rsidR="00E34850" w:rsidRPr="00D6057F">
        <w:rPr>
          <w:lang w:val="en-GB"/>
        </w:rPr>
        <w:t xml:space="preserve"> 1997</w:t>
      </w:r>
      <w:r w:rsidR="00FF563E">
        <w:rPr>
          <w:lang w:val="en-GB"/>
        </w:rPr>
        <w:t>; Tiiro et al., 2025</w:t>
      </w:r>
      <w:r w:rsidR="00E34850" w:rsidRPr="00D6057F">
        <w:rPr>
          <w:lang w:val="en-GB"/>
        </w:rPr>
        <w:t>)</w:t>
      </w:r>
      <w:r w:rsidRPr="00D6057F">
        <w:rPr>
          <w:lang w:val="en-GB"/>
        </w:rPr>
        <w:t xml:space="preserve">. </w:t>
      </w:r>
      <w:r w:rsidR="00E34850">
        <w:rPr>
          <w:lang w:val="en-GB"/>
        </w:rPr>
        <w:t xml:space="preserve">It </w:t>
      </w:r>
      <w:r w:rsidR="002F33C5">
        <w:rPr>
          <w:lang w:val="en-GB"/>
        </w:rPr>
        <w:t xml:space="preserve">is </w:t>
      </w:r>
      <w:r w:rsidR="00E34850">
        <w:t>inspired by biological evolution, employing processes such as mutation, crossover, and selection. During the mutation phase, new parameter vectors are generated by adding a weighted difference of two population vectors to a third vector. These mutated vectors are then combined with a predetermined target vector in the crossover phase to create a trial vector.</w:t>
      </w:r>
      <w:r w:rsidR="00583450">
        <w:t xml:space="preserve"> </w:t>
      </w:r>
      <w:r w:rsidRPr="00D6057F">
        <w:rPr>
          <w:lang w:val="en-GB"/>
        </w:rPr>
        <w:t>DE operates with</w:t>
      </w:r>
      <w:r w:rsidR="00385F8B">
        <w:rPr>
          <w:lang w:val="en-GB"/>
        </w:rPr>
        <w:t xml:space="preserve"> population </w:t>
      </w:r>
      <w:r w:rsidR="00385F8B" w:rsidRPr="00385F8B">
        <w:rPr>
          <w:lang w:val="en-GB"/>
        </w:rPr>
        <w:t>size (</w:t>
      </w:r>
      <w:r w:rsidRPr="00385F8B">
        <w:rPr>
          <w:i/>
          <w:iCs/>
          <w:lang w:val="en-GB"/>
        </w:rPr>
        <w:t>NP</w:t>
      </w:r>
      <w:r w:rsidR="00385F8B" w:rsidRPr="00385F8B">
        <w:rPr>
          <w:i/>
          <w:iCs/>
          <w:lang w:val="en-GB"/>
        </w:rPr>
        <w:t>)</w:t>
      </w:r>
      <w:r w:rsidRPr="00385F8B">
        <w:rPr>
          <w:lang w:val="en-GB"/>
        </w:rPr>
        <w:t xml:space="preserve"> </w:t>
      </w:r>
      <w:r w:rsidRPr="00385F8B">
        <w:rPr>
          <w:i/>
          <w:iCs/>
          <w:lang w:val="en-GB"/>
        </w:rPr>
        <w:t>D</w:t>
      </w:r>
      <w:r w:rsidRPr="00385F8B">
        <w:rPr>
          <w:lang w:val="en-GB"/>
        </w:rPr>
        <w:t>-dimensional</w:t>
      </w:r>
      <w:r w:rsidRPr="00D6057F">
        <w:rPr>
          <w:lang w:val="en-GB"/>
        </w:rPr>
        <w:t xml:space="preserve"> parameter vectors </w:t>
      </w:r>
      <w:proofErr w:type="spellStart"/>
      <w:proofErr w:type="gramStart"/>
      <w:r w:rsidRPr="008249E7">
        <w:rPr>
          <w:i/>
        </w:rPr>
        <w:t>x</w:t>
      </w:r>
      <w:r w:rsidRPr="008249E7">
        <w:rPr>
          <w:i/>
          <w:vertAlign w:val="subscript"/>
        </w:rPr>
        <w:t>i,</w:t>
      </w:r>
      <w:r w:rsidRPr="008249E7">
        <w:rPr>
          <w:i/>
        </w:rPr>
        <w:t>G</w:t>
      </w:r>
      <w:r w:rsidRPr="008249E7">
        <w:rPr>
          <w:i/>
          <w:vertAlign w:val="subscript"/>
        </w:rPr>
        <w:t>i</w:t>
      </w:r>
      <w:proofErr w:type="spellEnd"/>
      <w:proofErr w:type="gramEnd"/>
      <w:r w:rsidRPr="008249E7">
        <w:rPr>
          <w:i/>
        </w:rPr>
        <w:t>,</w:t>
      </w:r>
      <w:r w:rsidR="00F66030">
        <w:rPr>
          <w:i/>
        </w:rPr>
        <w:t xml:space="preserve"> </w:t>
      </w:r>
      <w:r>
        <w:rPr>
          <w:i/>
        </w:rPr>
        <w:t>{</w:t>
      </w:r>
      <w:proofErr w:type="spellStart"/>
      <w:r w:rsidRPr="008249E7">
        <w:rPr>
          <w:i/>
        </w:rPr>
        <w:t>i</w:t>
      </w:r>
      <w:proofErr w:type="spellEnd"/>
      <w:r w:rsidRPr="008249E7">
        <w:rPr>
          <w:i/>
        </w:rPr>
        <w:t xml:space="preserve"> = </w:t>
      </w:r>
      <w:proofErr w:type="gramStart"/>
      <w:r w:rsidRPr="008249E7">
        <w:t>1,2,...</w:t>
      </w:r>
      <w:proofErr w:type="gramEnd"/>
      <w:r w:rsidRPr="008249E7">
        <w:t>,NP</w:t>
      </w:r>
      <w:r w:rsidR="00F66030">
        <w:t>}</w:t>
      </w:r>
      <w:r w:rsidRPr="00D6057F">
        <w:rPr>
          <w:lang w:val="en-GB"/>
        </w:rPr>
        <w:t xml:space="preserve"> as the population for each generation </w:t>
      </w:r>
      <w:r w:rsidR="00F66030" w:rsidRPr="00F66030">
        <w:rPr>
          <w:i/>
          <w:iCs/>
          <w:lang w:val="en-GB"/>
        </w:rPr>
        <w:t>G</w:t>
      </w:r>
      <w:r w:rsidRPr="00D6057F">
        <w:rPr>
          <w:lang w:val="en-GB"/>
        </w:rPr>
        <w:t xml:space="preserve">. </w:t>
      </w:r>
      <w:r w:rsidR="0058166A">
        <w:rPr>
          <w:lang w:val="en-GB"/>
        </w:rPr>
        <w:t xml:space="preserve">In </w:t>
      </w:r>
      <w:r w:rsidR="002F33C5">
        <w:rPr>
          <w:lang w:val="en-GB"/>
        </w:rPr>
        <w:t xml:space="preserve">the </w:t>
      </w:r>
      <w:r w:rsidR="0058166A">
        <w:rPr>
          <w:lang w:val="en-GB"/>
        </w:rPr>
        <w:t>original algorithm, t</w:t>
      </w:r>
      <w:r w:rsidRPr="00D6057F">
        <w:rPr>
          <w:lang w:val="en-GB"/>
        </w:rPr>
        <w:t xml:space="preserve">he </w:t>
      </w:r>
      <w:r w:rsidRPr="00385F8B">
        <w:rPr>
          <w:lang w:val="en-GB"/>
        </w:rPr>
        <w:t>population size</w:t>
      </w:r>
      <w:r w:rsidRPr="00D6057F">
        <w:rPr>
          <w:lang w:val="en-GB"/>
        </w:rPr>
        <w:t xml:space="preserve"> remains constant throughout the optimization process.</w:t>
      </w:r>
      <w:r w:rsidR="00F66030">
        <w:rPr>
          <w:lang w:val="en-GB"/>
        </w:rPr>
        <w:t xml:space="preserve"> </w:t>
      </w:r>
      <w:r w:rsidRPr="00D6057F">
        <w:rPr>
          <w:lang w:val="en-GB"/>
        </w:rPr>
        <w:t>The initial population is generated randomly to ensure coverage of the entire parameter space. Unless otherwise specified, a uniform probability distribution is assumed for all random decisions</w:t>
      </w:r>
      <w:r w:rsidR="00583450">
        <w:rPr>
          <w:lang w:val="en-GB"/>
        </w:rPr>
        <w:t xml:space="preserve"> (</w:t>
      </w:r>
      <w:proofErr w:type="spellStart"/>
      <w:r w:rsidRPr="00D6057F">
        <w:rPr>
          <w:lang w:val="en-GB"/>
        </w:rPr>
        <w:t>Storn</w:t>
      </w:r>
      <w:proofErr w:type="spellEnd"/>
      <w:r w:rsidRPr="00D6057F">
        <w:rPr>
          <w:lang w:val="en-GB"/>
        </w:rPr>
        <w:t xml:space="preserve"> and Price 1997).</w:t>
      </w:r>
      <w:r w:rsidR="00583450">
        <w:rPr>
          <w:lang w:val="en-GB"/>
        </w:rPr>
        <w:t xml:space="preserve"> </w:t>
      </w:r>
      <w:r w:rsidR="007074DB" w:rsidRPr="007074DB">
        <w:rPr>
          <w:lang w:val="en-GB"/>
        </w:rPr>
        <w:t>The model parameters were optimized using equilibrium data from</w:t>
      </w:r>
      <w:r w:rsidR="002F33C5">
        <w:rPr>
          <w:lang w:val="en-GB"/>
        </w:rPr>
        <w:t xml:space="preserve"> the</w:t>
      </w:r>
      <w:r w:rsidR="007074DB" w:rsidRPr="007074DB">
        <w:rPr>
          <w:lang w:val="en-GB"/>
        </w:rPr>
        <w:t xml:space="preserve"> direct DMC synthesis (Camy et al., 2003), with the stoichiometric mixture composition (mixture 1, Table 1) serving as the </w:t>
      </w:r>
      <w:r w:rsidR="00583450">
        <w:rPr>
          <w:lang w:val="en-GB"/>
        </w:rPr>
        <w:t>training data</w:t>
      </w:r>
      <w:r w:rsidR="007074DB" w:rsidRPr="007074DB">
        <w:rPr>
          <w:lang w:val="en-GB"/>
        </w:rPr>
        <w:t>. The remaining dataset (mixtures 2–5, Table 1) was reserved for model testing</w:t>
      </w:r>
      <w:r w:rsidR="00583450">
        <w:rPr>
          <w:lang w:val="en-GB"/>
        </w:rPr>
        <w:t xml:space="preserve"> (Figure 1)</w:t>
      </w:r>
      <w:r w:rsidR="007074DB" w:rsidRPr="007074DB">
        <w:rPr>
          <w:lang w:val="en-GB"/>
        </w:rPr>
        <w:t xml:space="preserve">. </w:t>
      </w:r>
    </w:p>
    <w:p w14:paraId="53B96AED" w14:textId="2BFE305D" w:rsidR="00C71F8B" w:rsidRPr="00C71F8B" w:rsidRDefault="00C71F8B" w:rsidP="00C71F8B">
      <w:pPr>
        <w:pStyle w:val="CETBodytext"/>
        <w:rPr>
          <w:lang w:val="en-GB"/>
        </w:rPr>
      </w:pPr>
    </w:p>
    <w:p w14:paraId="1D0FC272" w14:textId="77777777" w:rsidR="006A52DE" w:rsidRDefault="006A52DE" w:rsidP="00D6057F">
      <w:pPr>
        <w:pStyle w:val="CETBodytext"/>
        <w:rPr>
          <w:lang w:val="en-GB"/>
        </w:rPr>
      </w:pPr>
    </w:p>
    <w:p w14:paraId="3A8F31CE" w14:textId="491E0A4F" w:rsidR="00EA249A" w:rsidRDefault="00EA249A" w:rsidP="00D6057F">
      <w:pPr>
        <w:pStyle w:val="CETBodytext"/>
        <w:rPr>
          <w:lang w:val="en-GB"/>
        </w:rPr>
      </w:pPr>
      <w:r w:rsidRPr="00EA249A">
        <w:rPr>
          <w:noProof/>
        </w:rPr>
        <w:drawing>
          <wp:inline distT="0" distB="0" distL="0" distR="0" wp14:anchorId="25BF7BF0" wp14:editId="0F0212DD">
            <wp:extent cx="2775600" cy="3189600"/>
            <wp:effectExtent l="0" t="0" r="5715" b="0"/>
            <wp:docPr id="300113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5600" cy="3189600"/>
                    </a:xfrm>
                    <a:prstGeom prst="rect">
                      <a:avLst/>
                    </a:prstGeom>
                    <a:noFill/>
                    <a:ln>
                      <a:noFill/>
                    </a:ln>
                  </pic:spPr>
                </pic:pic>
              </a:graphicData>
            </a:graphic>
          </wp:inline>
        </w:drawing>
      </w:r>
    </w:p>
    <w:p w14:paraId="353B6ED1" w14:textId="66907543" w:rsidR="00EA249A" w:rsidRDefault="00EA249A" w:rsidP="00EA249A">
      <w:pPr>
        <w:pStyle w:val="CETCaption"/>
      </w:pPr>
      <w:r w:rsidRPr="00EA249A">
        <w:t xml:space="preserve">Figure 1. </w:t>
      </w:r>
      <w:r w:rsidR="0058166A">
        <w:t>Parameter o</w:t>
      </w:r>
      <w:r w:rsidRPr="00EA249A">
        <w:t>ptimization procedure</w:t>
      </w:r>
      <w:r w:rsidR="0058166A">
        <w:t>.</w:t>
      </w:r>
    </w:p>
    <w:p w14:paraId="4E123F2C" w14:textId="2487BC55" w:rsidR="00E34850" w:rsidRDefault="00E34850" w:rsidP="00E34850">
      <w:pPr>
        <w:pStyle w:val="CETBodytext"/>
        <w:rPr>
          <w:lang w:val="en-GB"/>
        </w:rPr>
      </w:pPr>
      <w:r w:rsidRPr="007074DB">
        <w:rPr>
          <w:lang w:val="en-GB"/>
        </w:rPr>
        <w:t>The objective function</w:t>
      </w:r>
      <w:r w:rsidR="00333AA5">
        <w:rPr>
          <w:lang w:val="en-GB"/>
        </w:rPr>
        <w:t>,</w:t>
      </w:r>
      <w:r>
        <w:rPr>
          <w:lang w:val="en-GB"/>
        </w:rPr>
        <w:t xml:space="preserve"> </w:t>
      </w:r>
      <w:proofErr w:type="spellStart"/>
      <w:proofErr w:type="gramStart"/>
      <w:r>
        <w:rPr>
          <w:lang w:val="en-GB"/>
        </w:rPr>
        <w:t>Eq</w:t>
      </w:r>
      <w:proofErr w:type="spellEnd"/>
      <w:r w:rsidR="00333AA5">
        <w:rPr>
          <w:lang w:val="en-GB"/>
        </w:rPr>
        <w:t>(</w:t>
      </w:r>
      <w:proofErr w:type="gramEnd"/>
      <w:r>
        <w:rPr>
          <w:lang w:val="en-GB"/>
        </w:rPr>
        <w:t>7)</w:t>
      </w:r>
      <w:r w:rsidR="00333AA5">
        <w:rPr>
          <w:lang w:val="en-GB"/>
        </w:rPr>
        <w:t>,</w:t>
      </w:r>
      <w:r w:rsidRPr="007074DB">
        <w:rPr>
          <w:lang w:val="en-GB"/>
        </w:rPr>
        <w:t xml:space="preserve"> </w:t>
      </w:r>
      <w:r w:rsidR="00583450">
        <w:rPr>
          <w:lang w:val="en-GB"/>
        </w:rPr>
        <w:t xml:space="preserve">for </w:t>
      </w:r>
      <w:r w:rsidR="002F33C5">
        <w:rPr>
          <w:lang w:val="en-GB"/>
        </w:rPr>
        <w:t xml:space="preserve">the </w:t>
      </w:r>
      <w:r w:rsidR="00583450">
        <w:rPr>
          <w:lang w:val="en-GB"/>
        </w:rPr>
        <w:t xml:space="preserve">DE-algorithm is here </w:t>
      </w:r>
      <w:r w:rsidRPr="007074DB">
        <w:rPr>
          <w:lang w:val="en-GB"/>
        </w:rPr>
        <w:t>defined as the sum of the absolute relative errors for the three reacting components</w:t>
      </w:r>
      <w:r>
        <w:rPr>
          <w:lang w:val="en-GB"/>
        </w:rPr>
        <w:t>:</w:t>
      </w:r>
    </w:p>
    <w:p w14:paraId="2D0E5114" w14:textId="77777777" w:rsidR="00E34850" w:rsidRDefault="00E34850" w:rsidP="00E34850">
      <w:pPr>
        <w:pStyle w:val="CETBodytext"/>
        <w:rPr>
          <w:lang w:val="en-GB"/>
        </w:rPr>
      </w:pPr>
    </w:p>
    <w:p w14:paraId="19493ACB" w14:textId="701F6002" w:rsidR="00E34850" w:rsidRDefault="00556535" w:rsidP="00E34850">
      <w:pPr>
        <w:pStyle w:val="CETBodytext"/>
        <w:rPr>
          <w:lang w:val="en-GB"/>
        </w:rPr>
      </w:pPr>
      <m:oMath>
        <m:f>
          <m:fPr>
            <m:type m:val="noBar"/>
            <m:ctrlPr>
              <w:rPr>
                <w:rFonts w:ascii="Cambria Math" w:hAnsi="Cambria Math"/>
                <w:i/>
                <w:lang w:val="en-GB"/>
              </w:rPr>
            </m:ctrlPr>
          </m:fPr>
          <m:num>
            <m:r>
              <w:rPr>
                <w:rFonts w:ascii="Cambria Math" w:hAnsi="Cambria Math"/>
                <w:lang w:val="en-GB"/>
              </w:rPr>
              <m:t>min</m:t>
            </m:r>
          </m:num>
          <m:den>
            <m:r>
              <w:rPr>
                <w:rFonts w:ascii="Cambria Math" w:hAnsi="Cambria Math"/>
                <w:lang w:val="en-GB"/>
              </w:rPr>
              <m:t>x</m:t>
            </m:r>
            <m:r>
              <m:rPr>
                <m:scr m:val="double-struck"/>
              </m:rPr>
              <w:rPr>
                <w:rFonts w:ascii="Cambria Math" w:hAnsi="Cambria Math"/>
                <w:lang w:val="en-GB"/>
              </w:rPr>
              <m:t>∈R</m:t>
            </m:r>
          </m:den>
        </m:f>
        <m:d>
          <m:dPr>
            <m:ctrlPr>
              <w:rPr>
                <w:rFonts w:ascii="Cambria Math" w:hAnsi="Cambria Math"/>
                <w:i/>
                <w:lang w:val="en-GB"/>
              </w:rPr>
            </m:ctrlPr>
          </m:dPr>
          <m:e>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f</m:t>
                    </m:r>
                    <m:sSub>
                      <m:sSubPr>
                        <m:ctrlPr>
                          <w:rPr>
                            <w:rFonts w:ascii="Cambria Math" w:hAnsi="Cambria Math"/>
                            <w:i/>
                            <w:lang w:val="en-GB"/>
                          </w:rPr>
                        </m:ctrlPr>
                      </m:sSubPr>
                      <m:e>
                        <m:r>
                          <w:rPr>
                            <w:rFonts w:ascii="Cambria Math" w:hAnsi="Cambria Math"/>
                            <w:lang w:val="en-GB"/>
                          </w:rPr>
                          <m:t>(</m:t>
                        </m:r>
                        <m:r>
                          <m:rPr>
                            <m:nor/>
                          </m:rPr>
                          <w:rPr>
                            <w:rFonts w:ascii="Cambria Math" w:hAnsi="Cambria Math"/>
                            <w:b/>
                            <w:bCs/>
                            <w:lang w:val="en-GB"/>
                          </w:rPr>
                          <m:t>x</m:t>
                        </m:r>
                        <m:r>
                          <w:rPr>
                            <w:rFonts w:ascii="Cambria Math" w:hAnsi="Cambria Math"/>
                            <w:lang w:val="en-GB"/>
                          </w:rPr>
                          <m:t>)</m:t>
                        </m:r>
                      </m:e>
                      <m:sub>
                        <m:sSub>
                          <m:sSubPr>
                            <m:ctrlPr>
                              <w:rPr>
                                <w:rFonts w:ascii="Cambria Math" w:hAnsi="Cambria Math"/>
                                <w:i/>
                                <w:lang w:val="en-GB"/>
                              </w:rPr>
                            </m:ctrlPr>
                          </m:sSubPr>
                          <m:e>
                            <m:r>
                              <w:rPr>
                                <w:rFonts w:ascii="Cambria Math" w:hAnsi="Cambria Math"/>
                                <w:lang w:val="en-GB"/>
                              </w:rPr>
                              <m:t>CO</m:t>
                            </m:r>
                          </m:e>
                          <m:sub>
                            <m:r>
                              <w:rPr>
                                <w:rFonts w:ascii="Cambria Math" w:hAnsi="Cambria Math"/>
                                <w:lang w:val="en-GB"/>
                              </w:rPr>
                              <m:t>2</m:t>
                            </m:r>
                          </m:sub>
                        </m:sSub>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sSub>
                          <m:sSubPr>
                            <m:ctrlPr>
                              <w:rPr>
                                <w:rFonts w:ascii="Cambria Math" w:hAnsi="Cambria Math"/>
                                <w:i/>
                                <w:lang w:val="en-GB"/>
                              </w:rPr>
                            </m:ctrlPr>
                          </m:sSubPr>
                          <m:e>
                            <m:r>
                              <w:rPr>
                                <w:rFonts w:ascii="Cambria Math" w:hAnsi="Cambria Math"/>
                                <w:lang w:val="en-GB"/>
                              </w:rPr>
                              <m:t>CO</m:t>
                            </m:r>
                          </m:e>
                          <m:sub>
                            <m:r>
                              <w:rPr>
                                <w:rFonts w:ascii="Cambria Math" w:hAnsi="Cambria Math"/>
                                <w:lang w:val="en-GB"/>
                              </w:rPr>
                              <m:t>2</m:t>
                            </m:r>
                          </m:sub>
                        </m:sSub>
                      </m:sub>
                    </m:sSub>
                  </m:num>
                  <m:den>
                    <m:sSub>
                      <m:sSubPr>
                        <m:ctrlPr>
                          <w:rPr>
                            <w:rFonts w:ascii="Cambria Math" w:hAnsi="Cambria Math"/>
                            <w:i/>
                            <w:lang w:val="en-GB"/>
                          </w:rPr>
                        </m:ctrlPr>
                      </m:sSubPr>
                      <m:e>
                        <m:r>
                          <w:rPr>
                            <w:rFonts w:ascii="Cambria Math" w:hAnsi="Cambria Math"/>
                            <w:lang w:val="en-GB"/>
                          </w:rPr>
                          <m:t>x</m:t>
                        </m:r>
                      </m:e>
                      <m:sub>
                        <m:sSub>
                          <m:sSubPr>
                            <m:ctrlPr>
                              <w:rPr>
                                <w:rFonts w:ascii="Cambria Math" w:hAnsi="Cambria Math"/>
                                <w:i/>
                                <w:lang w:val="en-GB"/>
                              </w:rPr>
                            </m:ctrlPr>
                          </m:sSubPr>
                          <m:e>
                            <m:r>
                              <w:rPr>
                                <w:rFonts w:ascii="Cambria Math" w:hAnsi="Cambria Math"/>
                                <w:lang w:val="en-GB"/>
                              </w:rPr>
                              <m:t>CO</m:t>
                            </m:r>
                          </m:e>
                          <m:sub>
                            <m:r>
                              <w:rPr>
                                <w:rFonts w:ascii="Cambria Math" w:hAnsi="Cambria Math"/>
                                <w:lang w:val="en-GB"/>
                              </w:rPr>
                              <m:t>2</m:t>
                            </m:r>
                          </m:sub>
                        </m:sSub>
                      </m:sub>
                    </m:sSub>
                  </m:den>
                </m:f>
              </m:e>
            </m:d>
            <m:r>
              <w:rPr>
                <w:rFonts w:ascii="Cambria Math" w:hAnsi="Cambria Math"/>
                <w:lang w:val="en-GB"/>
              </w:rPr>
              <m:t>+</m:t>
            </m:r>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f</m:t>
                    </m:r>
                    <m:sSub>
                      <m:sSubPr>
                        <m:ctrlPr>
                          <w:rPr>
                            <w:rFonts w:ascii="Cambria Math" w:hAnsi="Cambria Math"/>
                            <w:i/>
                            <w:lang w:val="en-GB"/>
                          </w:rPr>
                        </m:ctrlPr>
                      </m:sSubPr>
                      <m:e>
                        <m:r>
                          <w:rPr>
                            <w:rFonts w:ascii="Cambria Math" w:hAnsi="Cambria Math"/>
                            <w:lang w:val="en-GB"/>
                          </w:rPr>
                          <m:t>(</m:t>
                        </m:r>
                        <m:r>
                          <m:rPr>
                            <m:nor/>
                          </m:rPr>
                          <w:rPr>
                            <w:rFonts w:ascii="Cambria Math" w:hAnsi="Cambria Math"/>
                            <w:b/>
                            <w:bCs/>
                            <w:lang w:val="en-GB"/>
                          </w:rPr>
                          <m:t>x</m:t>
                        </m:r>
                        <m:r>
                          <w:rPr>
                            <w:rFonts w:ascii="Cambria Math" w:hAnsi="Cambria Math"/>
                            <w:lang w:val="en-GB"/>
                          </w:rPr>
                          <m:t>)</m:t>
                        </m:r>
                      </m:e>
                      <m:sub>
                        <m:r>
                          <w:rPr>
                            <w:rFonts w:ascii="Cambria Math" w:hAnsi="Cambria Math"/>
                            <w:lang w:val="en-GB"/>
                          </w:rPr>
                          <m:t>water</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water</m:t>
                        </m:r>
                      </m:sub>
                    </m:sSub>
                  </m:num>
                  <m:den>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water</m:t>
                        </m:r>
                      </m:sub>
                    </m:sSub>
                  </m:den>
                </m:f>
              </m:e>
            </m:d>
            <m:r>
              <w:rPr>
                <w:rFonts w:ascii="Cambria Math" w:hAnsi="Cambria Math"/>
                <w:lang w:val="en-GB"/>
              </w:rPr>
              <m:t>+</m:t>
            </m:r>
            <m:d>
              <m:dPr>
                <m:begChr m:val="|"/>
                <m:endChr m:val="|"/>
                <m:ctrlPr>
                  <w:rPr>
                    <w:rFonts w:ascii="Cambria Math" w:hAnsi="Cambria Math"/>
                    <w:i/>
                    <w:lang w:val="en-GB"/>
                  </w:rPr>
                </m:ctrlPr>
              </m:dPr>
              <m:e>
                <m:f>
                  <m:fPr>
                    <m:ctrlPr>
                      <w:rPr>
                        <w:rFonts w:ascii="Cambria Math" w:hAnsi="Cambria Math"/>
                        <w:i/>
                        <w:lang w:val="en-GB"/>
                      </w:rPr>
                    </m:ctrlPr>
                  </m:fPr>
                  <m:num>
                    <m:r>
                      <w:rPr>
                        <w:rFonts w:ascii="Cambria Math" w:hAnsi="Cambria Math"/>
                        <w:lang w:val="en-GB"/>
                      </w:rPr>
                      <m:t>f</m:t>
                    </m:r>
                    <m:sSub>
                      <m:sSubPr>
                        <m:ctrlPr>
                          <w:rPr>
                            <w:rFonts w:ascii="Cambria Math" w:hAnsi="Cambria Math"/>
                            <w:i/>
                            <w:lang w:val="en-GB"/>
                          </w:rPr>
                        </m:ctrlPr>
                      </m:sSubPr>
                      <m:e>
                        <m:r>
                          <w:rPr>
                            <w:rFonts w:ascii="Cambria Math" w:hAnsi="Cambria Math"/>
                            <w:lang w:val="en-GB"/>
                          </w:rPr>
                          <m:t>(</m:t>
                        </m:r>
                        <m:r>
                          <m:rPr>
                            <m:nor/>
                          </m:rPr>
                          <w:rPr>
                            <w:rFonts w:ascii="Cambria Math" w:hAnsi="Cambria Math"/>
                            <w:b/>
                            <w:bCs/>
                            <w:lang w:val="en-GB"/>
                          </w:rPr>
                          <m:t>x</m:t>
                        </m:r>
                        <m:r>
                          <w:rPr>
                            <w:rFonts w:ascii="Cambria Math" w:hAnsi="Cambria Math"/>
                            <w:lang w:val="en-GB"/>
                          </w:rPr>
                          <m:t>)</m:t>
                        </m:r>
                      </m:e>
                      <m:sub>
                        <m:r>
                          <w:rPr>
                            <w:rFonts w:ascii="Cambria Math" w:hAnsi="Cambria Math"/>
                            <w:lang w:val="en-GB"/>
                          </w:rPr>
                          <m:t>DMC</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DMC</m:t>
                        </m:r>
                      </m:sub>
                    </m:sSub>
                  </m:num>
                  <m:den>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DMC</m:t>
                        </m:r>
                      </m:sub>
                    </m:sSub>
                  </m:den>
                </m:f>
              </m:e>
            </m:d>
          </m:e>
        </m:d>
      </m:oMath>
      <w:r w:rsidR="00E34850">
        <w:rPr>
          <w:lang w:val="en-GB"/>
        </w:rPr>
        <w:t xml:space="preserve"> ,</w:t>
      </w:r>
      <w:r w:rsidR="00E34850">
        <w:rPr>
          <w:lang w:val="en-GB"/>
        </w:rPr>
        <w:tab/>
      </w:r>
      <w:r w:rsidR="00E34850">
        <w:rPr>
          <w:lang w:val="en-GB"/>
        </w:rPr>
        <w:tab/>
        <w:t>(7)</w:t>
      </w:r>
    </w:p>
    <w:p w14:paraId="3603E26D" w14:textId="3C349D80" w:rsidR="00E34850" w:rsidRPr="00E34850" w:rsidRDefault="00E34850" w:rsidP="00E34850">
      <w:pPr>
        <w:pStyle w:val="CETCaption"/>
        <w:rPr>
          <w:i w:val="0"/>
          <w:iCs/>
        </w:rPr>
      </w:pPr>
      <w:r w:rsidRPr="00E34850">
        <w:rPr>
          <w:i w:val="0"/>
          <w:iCs/>
        </w:rPr>
        <w:lastRenderedPageBreak/>
        <w:t xml:space="preserve">where, </w:t>
      </w:r>
      <w:r w:rsidRPr="00333AA5">
        <w:rPr>
          <w:b/>
          <w:bCs/>
          <w:i w:val="0"/>
          <w:iCs/>
        </w:rPr>
        <w:t>x</w:t>
      </w:r>
      <w:r w:rsidRPr="00E34850">
        <w:rPr>
          <w:i w:val="0"/>
          <w:iCs/>
        </w:rPr>
        <w:t xml:space="preserve"> represents the real-valued parameter vector of the model, </w:t>
      </w:r>
      <w:r w:rsidRPr="00DE08AA">
        <w:t>f</w:t>
      </w:r>
      <w:r w:rsidRPr="00E34850">
        <w:rPr>
          <w:i w:val="0"/>
          <w:iCs/>
        </w:rPr>
        <w:t>(</w:t>
      </w:r>
      <w:r w:rsidRPr="00E34850">
        <w:rPr>
          <w:b/>
          <w:i w:val="0"/>
          <w:iCs/>
        </w:rPr>
        <w:t>x</w:t>
      </w:r>
      <w:r w:rsidRPr="00E34850">
        <w:rPr>
          <w:i w:val="0"/>
          <w:iCs/>
        </w:rPr>
        <w:t>)</w:t>
      </w:r>
      <w:r w:rsidRPr="00E34850">
        <w:rPr>
          <w:i w:val="0"/>
          <w:iCs/>
          <w:vertAlign w:val="subscript"/>
        </w:rPr>
        <w:t>(.)</w:t>
      </w:r>
      <w:r w:rsidRPr="00E34850">
        <w:rPr>
          <w:i w:val="0"/>
          <w:iCs/>
        </w:rPr>
        <w:t xml:space="preserve"> denotes the model output for each of the three components at </w:t>
      </w:r>
      <w:r w:rsidR="002F33C5">
        <w:rPr>
          <w:i w:val="0"/>
          <w:iCs/>
        </w:rPr>
        <w:t>the</w:t>
      </w:r>
      <w:r w:rsidRPr="00E34850">
        <w:rPr>
          <w:i w:val="0"/>
          <w:iCs/>
        </w:rPr>
        <w:t xml:space="preserve"> methanol conversion of 0.6 based on mixture 1 after 120 </w:t>
      </w:r>
      <w:r w:rsidRPr="0022191D">
        <w:rPr>
          <w:i w:val="0"/>
          <w:iCs/>
        </w:rPr>
        <w:t xml:space="preserve">minutes, and </w:t>
      </w:r>
      <w:r w:rsidRPr="00DE08AA">
        <w:t>x</w:t>
      </w:r>
      <w:r w:rsidRPr="0022191D">
        <w:rPr>
          <w:i w:val="0"/>
          <w:iCs/>
          <w:vertAlign w:val="subscript"/>
        </w:rPr>
        <w:t>(.)</w:t>
      </w:r>
      <w:r w:rsidRPr="0022191D">
        <w:rPr>
          <w:i w:val="0"/>
          <w:iCs/>
        </w:rPr>
        <w:t xml:space="preserve"> refers</w:t>
      </w:r>
      <w:r w:rsidRPr="00E34850">
        <w:rPr>
          <w:i w:val="0"/>
          <w:iCs/>
        </w:rPr>
        <w:t xml:space="preserve"> to the corresponding </w:t>
      </w:r>
      <w:r w:rsidR="00583450">
        <w:rPr>
          <w:i w:val="0"/>
          <w:iCs/>
        </w:rPr>
        <w:t>true</w:t>
      </w:r>
      <w:r w:rsidRPr="00E34850">
        <w:rPr>
          <w:i w:val="0"/>
          <w:iCs/>
        </w:rPr>
        <w:t xml:space="preserve"> values</w:t>
      </w:r>
      <w:r w:rsidR="00106F32">
        <w:rPr>
          <w:i w:val="0"/>
          <w:iCs/>
        </w:rPr>
        <w:t xml:space="preserve"> of outlet components as presented</w:t>
      </w:r>
      <w:r w:rsidR="0022191D">
        <w:rPr>
          <w:i w:val="0"/>
          <w:iCs/>
        </w:rPr>
        <w:t xml:space="preserve"> </w:t>
      </w:r>
      <w:r w:rsidR="00106F32">
        <w:rPr>
          <w:i w:val="0"/>
          <w:iCs/>
        </w:rPr>
        <w:t>in</w:t>
      </w:r>
      <w:r w:rsidRPr="00E34850">
        <w:rPr>
          <w:i w:val="0"/>
          <w:iCs/>
        </w:rPr>
        <w:t xml:space="preserve"> Camy et al. (2003) at the same conversion level.</w:t>
      </w:r>
    </w:p>
    <w:p w14:paraId="45640FCE" w14:textId="31AEB552" w:rsidR="00F22FC9" w:rsidRDefault="00F22FC9" w:rsidP="00F22FC9">
      <w:pPr>
        <w:pStyle w:val="CETHeading1"/>
        <w:rPr>
          <w:lang w:val="en-GB"/>
        </w:rPr>
      </w:pPr>
      <w:r>
        <w:rPr>
          <w:lang w:val="en-GB"/>
        </w:rPr>
        <w:t>Results and discussion</w:t>
      </w:r>
    </w:p>
    <w:p w14:paraId="548028DC" w14:textId="5199914A" w:rsidR="00BE0884" w:rsidRPr="00BE0884" w:rsidRDefault="00BE0884" w:rsidP="00BE0884">
      <w:pPr>
        <w:pStyle w:val="CETBodytext"/>
        <w:rPr>
          <w:lang w:val="en-GB"/>
        </w:rPr>
      </w:pPr>
      <w:r w:rsidRPr="00BE0884">
        <w:rPr>
          <w:lang w:val="en-GB"/>
        </w:rPr>
        <w:t xml:space="preserve">The optimization process began with a population of 600 members, each with random values for four or sixteen model parameters. </w:t>
      </w:r>
      <w:r w:rsidRPr="002F33C5">
        <w:rPr>
          <w:lang w:val="en-GB"/>
        </w:rPr>
        <w:t xml:space="preserve">Constraints ensure </w:t>
      </w:r>
      <w:r w:rsidR="002F33C5">
        <w:rPr>
          <w:lang w:val="en-GB"/>
        </w:rPr>
        <w:t xml:space="preserve">that </w:t>
      </w:r>
      <w:r w:rsidR="000A7E5A" w:rsidRPr="002F33C5">
        <w:rPr>
          <w:lang w:val="en-GB"/>
        </w:rPr>
        <w:t>only positive</w:t>
      </w:r>
      <w:r w:rsidRPr="002F33C5">
        <w:rPr>
          <w:lang w:val="en-GB"/>
        </w:rPr>
        <w:t xml:space="preserve"> values</w:t>
      </w:r>
      <w:r w:rsidR="000A7E5A" w:rsidRPr="002F33C5">
        <w:rPr>
          <w:lang w:val="en-GB"/>
        </w:rPr>
        <w:t xml:space="preserve"> were accepted to population</w:t>
      </w:r>
      <w:r w:rsidRPr="002F33C5">
        <w:rPr>
          <w:lang w:val="en-GB"/>
        </w:rPr>
        <w:t xml:space="preserve"> (Paavola, 2011).</w:t>
      </w:r>
      <w:r w:rsidRPr="00BE0884">
        <w:rPr>
          <w:lang w:val="en-GB"/>
        </w:rPr>
        <w:t xml:space="preserve"> Pre-exponential factors in the Arrhenius equation were set between 0.1 and 2, and activation energies ranged from 1000 to 90,000.</w:t>
      </w:r>
    </w:p>
    <w:p w14:paraId="196ED7D0" w14:textId="3BF0FEC7" w:rsidR="00BE0884" w:rsidRPr="00BE0884" w:rsidRDefault="00BE0884" w:rsidP="00BE0884">
      <w:pPr>
        <w:pStyle w:val="CETBodytext"/>
        <w:rPr>
          <w:lang w:val="en-GB"/>
        </w:rPr>
      </w:pPr>
      <w:r w:rsidRPr="00BE0884">
        <w:rPr>
          <w:lang w:val="en-GB"/>
        </w:rPr>
        <w:t>A pre-simulation using the stiff solver ode23s in MATLAB</w:t>
      </w:r>
      <w:r w:rsidRPr="009B48E2">
        <w:rPr>
          <w:vertAlign w:val="superscript"/>
          <w:lang w:val="en-GB"/>
        </w:rPr>
        <w:t>®</w:t>
      </w:r>
      <w:r w:rsidRPr="00BE0884">
        <w:rPr>
          <w:lang w:val="en-GB"/>
        </w:rPr>
        <w:t xml:space="preserve"> </w:t>
      </w:r>
      <w:r w:rsidR="00647B97">
        <w:rPr>
          <w:lang w:val="en-GB"/>
        </w:rPr>
        <w:t>technical computing</w:t>
      </w:r>
      <w:r w:rsidR="009B48E2">
        <w:rPr>
          <w:lang w:val="en-GB"/>
        </w:rPr>
        <w:t xml:space="preserve"> environment </w:t>
      </w:r>
      <w:r w:rsidRPr="00BE0884">
        <w:rPr>
          <w:lang w:val="en-GB"/>
        </w:rPr>
        <w:t xml:space="preserve">was conducted to identify non-converging cases, penalizing solutions with an objective function value of 10 if the summed composition exceeded 1 after </w:t>
      </w:r>
      <w:r w:rsidR="00B8012E" w:rsidRPr="00BE0884">
        <w:rPr>
          <w:lang w:val="en-GB"/>
        </w:rPr>
        <w:t>50</w:t>
      </w:r>
      <w:r w:rsidR="00B8012E">
        <w:rPr>
          <w:lang w:val="en-GB"/>
        </w:rPr>
        <w:t>-time</w:t>
      </w:r>
      <w:r w:rsidRPr="00BE0884">
        <w:rPr>
          <w:lang w:val="en-GB"/>
        </w:rPr>
        <w:t xml:space="preserve"> steps. Converging cases were further simulated with ode45, stopping at the methanol conversion level from Camy et al. (2003). The resulting component proportions were used to calculate the objective function </w:t>
      </w:r>
      <w:r w:rsidR="00333AA5">
        <w:rPr>
          <w:lang w:val="en-GB"/>
        </w:rPr>
        <w:t xml:space="preserve">in </w:t>
      </w:r>
      <w:proofErr w:type="spellStart"/>
      <w:proofErr w:type="gramStart"/>
      <w:r w:rsidRPr="00BE0884">
        <w:rPr>
          <w:lang w:val="en-GB"/>
        </w:rPr>
        <w:t>Eq</w:t>
      </w:r>
      <w:proofErr w:type="spellEnd"/>
      <w:r w:rsidR="00333AA5">
        <w:rPr>
          <w:lang w:val="en-GB"/>
        </w:rPr>
        <w:t>(</w:t>
      </w:r>
      <w:proofErr w:type="gramEnd"/>
      <w:r w:rsidRPr="00BE0884">
        <w:rPr>
          <w:lang w:val="en-GB"/>
        </w:rPr>
        <w:t>7).</w:t>
      </w:r>
    </w:p>
    <w:p w14:paraId="32E882A9" w14:textId="1F047874" w:rsidR="00BE0884" w:rsidRPr="00BE0884" w:rsidRDefault="00BE0884" w:rsidP="00BE0884">
      <w:pPr>
        <w:pStyle w:val="CETBodytext"/>
        <w:rPr>
          <w:lang w:val="en-GB"/>
        </w:rPr>
      </w:pPr>
      <w:r w:rsidRPr="00BE0884">
        <w:rPr>
          <w:lang w:val="en-GB"/>
        </w:rPr>
        <w:t xml:space="preserve">The DE algorithm was run with a stopping criterion of 0.01, 1000 generations, scale factor of 0.8, crossover probability of 0.8, and the strategy DE/rand-to-best/1/exp, following Paavola (2011). The best objective function value (0.0141) was reached </w:t>
      </w:r>
      <w:r w:rsidR="00CB1D47">
        <w:rPr>
          <w:lang w:val="en-GB"/>
        </w:rPr>
        <w:t>at</w:t>
      </w:r>
      <w:r w:rsidRPr="00BE0884">
        <w:rPr>
          <w:lang w:val="en-GB"/>
        </w:rPr>
        <w:t xml:space="preserve"> generation 1000, with 232,026 population members generated and mutated during the optimization.</w:t>
      </w:r>
    </w:p>
    <w:p w14:paraId="28F543EF" w14:textId="417B357E" w:rsidR="00BE0884" w:rsidRDefault="00BE0884" w:rsidP="00BE0884">
      <w:pPr>
        <w:pStyle w:val="CETBodytext"/>
        <w:rPr>
          <w:lang w:val="en-GB"/>
        </w:rPr>
      </w:pPr>
      <w:r w:rsidRPr="00BE0884">
        <w:rPr>
          <w:lang w:val="en-GB"/>
        </w:rPr>
        <w:t>The 16 free parameters were identified using the composition values of mixture 1</w:t>
      </w:r>
      <w:r w:rsidR="00CB1D47">
        <w:rPr>
          <w:lang w:val="en-GB"/>
        </w:rPr>
        <w:t xml:space="preserve"> data</w:t>
      </w:r>
      <w:r w:rsidRPr="00BE0884">
        <w:rPr>
          <w:lang w:val="en-GB"/>
        </w:rPr>
        <w:t xml:space="preserve">. The reaction rate parameters </w:t>
      </w:r>
      <w:r>
        <w:rPr>
          <w:lang w:val="en-GB"/>
        </w:rPr>
        <w:t>(</w:t>
      </w:r>
      <w:r w:rsidRPr="00BE0884">
        <w:rPr>
          <w:i/>
          <w:iCs/>
          <w:lang w:val="en-GB"/>
        </w:rPr>
        <w:t>k</w:t>
      </w:r>
      <w:r w:rsidRPr="00BE0884">
        <w:rPr>
          <w:i/>
          <w:iCs/>
          <w:vertAlign w:val="subscript"/>
          <w:lang w:val="en-GB"/>
        </w:rPr>
        <w:t>0</w:t>
      </w:r>
      <w:r>
        <w:rPr>
          <w:lang w:val="en-GB"/>
        </w:rPr>
        <w:t xml:space="preserve">) </w:t>
      </w:r>
      <w:r w:rsidRPr="00BE0884">
        <w:rPr>
          <w:lang w:val="en-GB"/>
        </w:rPr>
        <w:t>and activation energies (</w:t>
      </w:r>
      <w:r w:rsidR="00580CD7" w:rsidRPr="00580CD7">
        <w:rPr>
          <w:i/>
          <w:iCs/>
          <w:lang w:val="en-GB"/>
        </w:rPr>
        <w:t>E</w:t>
      </w:r>
      <w:r w:rsidR="00580CD7" w:rsidRPr="00580CD7">
        <w:rPr>
          <w:i/>
          <w:iCs/>
          <w:vertAlign w:val="subscript"/>
          <w:lang w:val="en-GB"/>
        </w:rPr>
        <w:t>A</w:t>
      </w:r>
      <w:r w:rsidRPr="00BE0884">
        <w:rPr>
          <w:lang w:val="en-GB"/>
        </w:rPr>
        <w:t xml:space="preserve">) were consistent across </w:t>
      </w:r>
      <w:r w:rsidR="00E82A6D">
        <w:rPr>
          <w:lang w:val="en-GB"/>
        </w:rPr>
        <w:t xml:space="preserve">the </w:t>
      </w:r>
      <w:r w:rsidRPr="00BE0884">
        <w:rPr>
          <w:lang w:val="en-GB"/>
        </w:rPr>
        <w:t>compositions. The best</w:t>
      </w:r>
      <w:r w:rsidR="009B48E2">
        <w:rPr>
          <w:lang w:val="en-GB"/>
        </w:rPr>
        <w:t xml:space="preserve"> identified</w:t>
      </w:r>
      <w:r w:rsidRPr="00BE0884">
        <w:rPr>
          <w:lang w:val="en-GB"/>
        </w:rPr>
        <w:t xml:space="preserve"> </w:t>
      </w:r>
      <w:r w:rsidR="009B48E2">
        <w:rPr>
          <w:lang w:val="en-GB"/>
        </w:rPr>
        <w:t xml:space="preserve">model </w:t>
      </w:r>
      <w:r w:rsidRPr="00BE0884">
        <w:rPr>
          <w:lang w:val="en-GB"/>
        </w:rPr>
        <w:t>parameters are listed in Table 2.</w:t>
      </w:r>
    </w:p>
    <w:p w14:paraId="003FC668" w14:textId="75A7F9AF" w:rsidR="00D83753" w:rsidRPr="00B57B36" w:rsidRDefault="00D83753" w:rsidP="00D83753">
      <w:pPr>
        <w:pStyle w:val="CETTabletitle"/>
      </w:pPr>
      <w:r w:rsidRPr="00B57B36">
        <w:t xml:space="preserve">Table </w:t>
      </w:r>
      <w:r w:rsidR="00E40437">
        <w:t>2</w:t>
      </w:r>
      <w:r w:rsidRPr="00B57B36">
        <w:t xml:space="preserve">: </w:t>
      </w:r>
      <w:r w:rsidR="00D62F8D" w:rsidRPr="008249E7">
        <w:t xml:space="preserve">The </w:t>
      </w:r>
      <w:r w:rsidR="00CB1D47">
        <w:t>optimized</w:t>
      </w:r>
      <w:r w:rsidR="00D62F8D" w:rsidRPr="008249E7">
        <w:t xml:space="preserve"> parameters for the </w:t>
      </w:r>
      <w:r w:rsidR="00CB1D47">
        <w:t>DMC-</w:t>
      </w:r>
      <w:r w:rsidR="00D62F8D" w:rsidRPr="008249E7">
        <w:t>model</w:t>
      </w:r>
      <w:r w:rsidR="009B48E2">
        <w:t>ling</w:t>
      </w:r>
      <w:r w:rsidR="00D62F8D" w:rsidRPr="008249E7">
        <w:t xml:space="preserve"> </w:t>
      </w:r>
      <w:r w:rsidR="00CB1D47">
        <w:t>with</w:t>
      </w:r>
      <w:r w:rsidR="00D62F8D" w:rsidRPr="008249E7">
        <w:t xml:space="preserve"> </w:t>
      </w:r>
      <w:proofErr w:type="spellStart"/>
      <w:proofErr w:type="gramStart"/>
      <w:r w:rsidR="00D62F8D" w:rsidRPr="008249E7">
        <w:t>Eq</w:t>
      </w:r>
      <w:proofErr w:type="spellEnd"/>
      <w:r w:rsidR="00D62F8D" w:rsidRPr="008249E7">
        <w:t>(</w:t>
      </w:r>
      <w:proofErr w:type="gramEnd"/>
      <w:r w:rsidR="00D62F8D">
        <w:t>2</w:t>
      </w:r>
      <w:r w:rsidR="00D62F8D" w:rsidRPr="008249E7">
        <w:t xml:space="preserve">) – </w:t>
      </w:r>
      <w:proofErr w:type="spellStart"/>
      <w:proofErr w:type="gramStart"/>
      <w:r w:rsidR="00333AA5">
        <w:t>Eq</w:t>
      </w:r>
      <w:proofErr w:type="spellEnd"/>
      <w:r w:rsidR="00D62F8D" w:rsidRPr="008249E7">
        <w:t>(</w:t>
      </w:r>
      <w:proofErr w:type="gramEnd"/>
      <w:r w:rsidR="00D62F8D">
        <w:t>5</w:t>
      </w:r>
      <w:r w:rsidR="00D62F8D" w:rsidRPr="008249E7">
        <w:t>)</w:t>
      </w:r>
      <w:r w:rsidR="00E82A6D">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134"/>
        <w:gridCol w:w="1134"/>
        <w:gridCol w:w="1134"/>
      </w:tblGrid>
      <w:tr w:rsidR="0041738F" w:rsidRPr="00B57B36" w14:paraId="0DFF8DC5" w14:textId="77777777" w:rsidTr="00737FBC">
        <w:tc>
          <w:tcPr>
            <w:tcW w:w="1134" w:type="dxa"/>
            <w:tcBorders>
              <w:top w:val="single" w:sz="12" w:space="0" w:color="008000"/>
              <w:bottom w:val="single" w:sz="6" w:space="0" w:color="008000"/>
            </w:tcBorders>
            <w:shd w:val="clear" w:color="auto" w:fill="FFFFFF"/>
          </w:tcPr>
          <w:p w14:paraId="29AB2F77" w14:textId="4A614E26" w:rsidR="0041738F" w:rsidRPr="00B57B36" w:rsidRDefault="0041738F" w:rsidP="0041738F">
            <w:pPr>
              <w:pStyle w:val="CETBodytext"/>
              <w:rPr>
                <w:lang w:val="en-GB"/>
              </w:rPr>
            </w:pPr>
          </w:p>
        </w:tc>
        <w:tc>
          <w:tcPr>
            <w:tcW w:w="2268" w:type="dxa"/>
            <w:gridSpan w:val="2"/>
            <w:tcBorders>
              <w:top w:val="single" w:sz="12" w:space="0" w:color="008000"/>
              <w:bottom w:val="single" w:sz="6" w:space="0" w:color="008000"/>
            </w:tcBorders>
            <w:shd w:val="clear" w:color="auto" w:fill="FFFFFF"/>
          </w:tcPr>
          <w:p w14:paraId="2CB1B374" w14:textId="7BB3A1C1" w:rsidR="0041738F" w:rsidRPr="00B57B36" w:rsidRDefault="0041738F" w:rsidP="0041738F">
            <w:pPr>
              <w:pStyle w:val="CETBodytext"/>
              <w:rPr>
                <w:lang w:val="en-GB"/>
              </w:rPr>
            </w:pPr>
            <w:r w:rsidRPr="008249E7">
              <w:t>Forward reaction</w:t>
            </w:r>
          </w:p>
        </w:tc>
        <w:tc>
          <w:tcPr>
            <w:tcW w:w="2268" w:type="dxa"/>
            <w:gridSpan w:val="2"/>
            <w:tcBorders>
              <w:top w:val="single" w:sz="12" w:space="0" w:color="008000"/>
              <w:bottom w:val="single" w:sz="6" w:space="0" w:color="008000"/>
            </w:tcBorders>
            <w:shd w:val="clear" w:color="auto" w:fill="FFFFFF"/>
          </w:tcPr>
          <w:p w14:paraId="450FE636" w14:textId="33787D67" w:rsidR="0041738F" w:rsidRPr="00B57B36" w:rsidRDefault="0041738F" w:rsidP="0041738F">
            <w:pPr>
              <w:pStyle w:val="CETBodytext"/>
              <w:ind w:right="-1"/>
              <w:rPr>
                <w:rFonts w:cs="Arial"/>
                <w:szCs w:val="18"/>
                <w:lang w:val="en-GB"/>
              </w:rPr>
            </w:pPr>
            <w:r w:rsidRPr="008249E7">
              <w:t>Reverse reaction</w:t>
            </w:r>
          </w:p>
        </w:tc>
      </w:tr>
      <w:tr w:rsidR="0041738F" w:rsidRPr="00B57B36" w14:paraId="6999E83F" w14:textId="77777777" w:rsidTr="000D1052">
        <w:tc>
          <w:tcPr>
            <w:tcW w:w="1134" w:type="dxa"/>
            <w:shd w:val="clear" w:color="auto" w:fill="FFFFFF"/>
          </w:tcPr>
          <w:p w14:paraId="1FEE847A" w14:textId="306F9A48" w:rsidR="0041738F" w:rsidRPr="00B57B36" w:rsidRDefault="0041738F" w:rsidP="0041738F">
            <w:pPr>
              <w:pStyle w:val="CETBodytext"/>
              <w:rPr>
                <w:lang w:val="en-GB"/>
              </w:rPr>
            </w:pPr>
          </w:p>
        </w:tc>
        <w:tc>
          <w:tcPr>
            <w:tcW w:w="1134" w:type="dxa"/>
            <w:shd w:val="clear" w:color="auto" w:fill="FFFFFF"/>
          </w:tcPr>
          <w:p w14:paraId="1C5D01DB" w14:textId="6A033558" w:rsidR="0041738F" w:rsidRPr="00B57B36" w:rsidRDefault="0041738F" w:rsidP="0041738F">
            <w:pPr>
              <w:pStyle w:val="CETBodytext"/>
              <w:rPr>
                <w:lang w:val="en-GB"/>
              </w:rPr>
            </w:pPr>
            <w:r w:rsidRPr="008249E7">
              <w:rPr>
                <w:b/>
              </w:rPr>
              <w:t>k</w:t>
            </w:r>
            <w:r w:rsidRPr="008249E7">
              <w:rPr>
                <w:b/>
                <w:vertAlign w:val="subscript"/>
              </w:rPr>
              <w:t>0</w:t>
            </w:r>
          </w:p>
        </w:tc>
        <w:tc>
          <w:tcPr>
            <w:tcW w:w="1134" w:type="dxa"/>
            <w:shd w:val="clear" w:color="auto" w:fill="FFFFFF"/>
          </w:tcPr>
          <w:p w14:paraId="371CF79D" w14:textId="1812394D" w:rsidR="0041738F" w:rsidRPr="00B57B36" w:rsidRDefault="0041738F" w:rsidP="0041738F">
            <w:pPr>
              <w:pStyle w:val="CETBodytext"/>
              <w:rPr>
                <w:lang w:val="en-GB"/>
              </w:rPr>
            </w:pPr>
            <w:r w:rsidRPr="008249E7">
              <w:rPr>
                <w:b/>
              </w:rPr>
              <w:t>E</w:t>
            </w:r>
            <w:r w:rsidRPr="008249E7">
              <w:rPr>
                <w:b/>
                <w:vertAlign w:val="subscript"/>
              </w:rPr>
              <w:t>A</w:t>
            </w:r>
          </w:p>
        </w:tc>
        <w:tc>
          <w:tcPr>
            <w:tcW w:w="1134" w:type="dxa"/>
            <w:shd w:val="clear" w:color="auto" w:fill="FFFFFF"/>
          </w:tcPr>
          <w:p w14:paraId="6D541FB1" w14:textId="2CCBF709" w:rsidR="0041738F" w:rsidRPr="00B57B36" w:rsidRDefault="0041738F" w:rsidP="0041738F">
            <w:pPr>
              <w:pStyle w:val="CETBodytext"/>
              <w:ind w:right="-1"/>
              <w:rPr>
                <w:rFonts w:cs="Arial"/>
                <w:szCs w:val="18"/>
                <w:lang w:val="en-GB"/>
              </w:rPr>
            </w:pPr>
            <w:r w:rsidRPr="008249E7">
              <w:rPr>
                <w:b/>
              </w:rPr>
              <w:t>k</w:t>
            </w:r>
            <w:r w:rsidRPr="008249E7">
              <w:rPr>
                <w:b/>
                <w:vertAlign w:val="subscript"/>
              </w:rPr>
              <w:t>0</w:t>
            </w:r>
          </w:p>
        </w:tc>
        <w:tc>
          <w:tcPr>
            <w:tcW w:w="1134" w:type="dxa"/>
            <w:shd w:val="clear" w:color="auto" w:fill="FFFFFF"/>
          </w:tcPr>
          <w:p w14:paraId="4F50CB73" w14:textId="315C2E83" w:rsidR="0041738F" w:rsidRPr="00B57B36" w:rsidRDefault="0041738F" w:rsidP="0041738F">
            <w:pPr>
              <w:pStyle w:val="CETBodytext"/>
              <w:ind w:right="-1"/>
              <w:rPr>
                <w:rFonts w:cs="Arial"/>
                <w:szCs w:val="18"/>
                <w:lang w:val="en-GB"/>
              </w:rPr>
            </w:pPr>
            <w:r w:rsidRPr="008249E7">
              <w:rPr>
                <w:b/>
              </w:rPr>
              <w:t>E</w:t>
            </w:r>
            <w:r w:rsidRPr="008249E7">
              <w:rPr>
                <w:b/>
                <w:vertAlign w:val="subscript"/>
              </w:rPr>
              <w:t>A</w:t>
            </w:r>
          </w:p>
        </w:tc>
      </w:tr>
      <w:tr w:rsidR="0041738F" w:rsidRPr="00B57B36" w14:paraId="4DEBD424" w14:textId="77777777" w:rsidTr="000D1052">
        <w:tc>
          <w:tcPr>
            <w:tcW w:w="1134" w:type="dxa"/>
            <w:shd w:val="clear" w:color="auto" w:fill="FFFFFF"/>
          </w:tcPr>
          <w:p w14:paraId="506FA130" w14:textId="06CC9F79" w:rsidR="0041738F" w:rsidRPr="00B57B36" w:rsidRDefault="0041738F" w:rsidP="0041738F">
            <w:pPr>
              <w:pStyle w:val="CETBodytext"/>
              <w:ind w:right="-1"/>
              <w:rPr>
                <w:rFonts w:cs="Arial"/>
                <w:szCs w:val="18"/>
                <w:lang w:val="en-GB"/>
              </w:rPr>
            </w:pPr>
            <w:r>
              <w:rPr>
                <w:rFonts w:cs="Arial"/>
                <w:szCs w:val="18"/>
                <w:lang w:val="en-GB"/>
              </w:rPr>
              <w:t>MeOH</w:t>
            </w:r>
          </w:p>
        </w:tc>
        <w:tc>
          <w:tcPr>
            <w:tcW w:w="1134" w:type="dxa"/>
            <w:shd w:val="clear" w:color="auto" w:fill="FFFFFF"/>
          </w:tcPr>
          <w:p w14:paraId="65878248" w14:textId="16BB7182" w:rsidR="0041738F" w:rsidRPr="00B57B36" w:rsidRDefault="0041738F" w:rsidP="0041738F">
            <w:pPr>
              <w:pStyle w:val="CETBodytext"/>
              <w:ind w:right="-1"/>
              <w:rPr>
                <w:rFonts w:cs="Arial"/>
                <w:szCs w:val="18"/>
                <w:lang w:val="en-GB"/>
              </w:rPr>
            </w:pPr>
            <w:r>
              <w:rPr>
                <w:rFonts w:cs="Arial"/>
                <w:szCs w:val="18"/>
                <w:lang w:val="en-GB"/>
              </w:rPr>
              <w:t>1.6</w:t>
            </w:r>
          </w:p>
        </w:tc>
        <w:tc>
          <w:tcPr>
            <w:tcW w:w="1134" w:type="dxa"/>
            <w:shd w:val="clear" w:color="auto" w:fill="FFFFFF"/>
          </w:tcPr>
          <w:p w14:paraId="1A9DE7D0" w14:textId="3F77E552" w:rsidR="0041738F" w:rsidRPr="00B57B36" w:rsidRDefault="0041738F" w:rsidP="0041738F">
            <w:pPr>
              <w:pStyle w:val="CETBodytext"/>
              <w:ind w:right="-1"/>
              <w:rPr>
                <w:rFonts w:cs="Arial"/>
                <w:szCs w:val="18"/>
                <w:lang w:val="en-GB"/>
              </w:rPr>
            </w:pPr>
            <w:r w:rsidRPr="008249E7">
              <w:t>1.1922x10</w:t>
            </w:r>
            <w:r w:rsidRPr="008249E7">
              <w:rPr>
                <w:vertAlign w:val="superscript"/>
              </w:rPr>
              <w:t>4</w:t>
            </w:r>
          </w:p>
        </w:tc>
        <w:tc>
          <w:tcPr>
            <w:tcW w:w="1134" w:type="dxa"/>
            <w:shd w:val="clear" w:color="auto" w:fill="FFFFFF"/>
          </w:tcPr>
          <w:p w14:paraId="36D2E05E" w14:textId="00D68EDC" w:rsidR="0041738F" w:rsidRPr="00B57B36" w:rsidRDefault="0041738F" w:rsidP="0041738F">
            <w:pPr>
              <w:pStyle w:val="CETBodytext"/>
              <w:ind w:right="-1"/>
              <w:rPr>
                <w:rFonts w:cs="Arial"/>
                <w:szCs w:val="18"/>
                <w:lang w:val="en-GB"/>
              </w:rPr>
            </w:pPr>
            <w:r>
              <w:rPr>
                <w:rFonts w:cs="Arial"/>
                <w:szCs w:val="18"/>
                <w:lang w:val="en-GB"/>
              </w:rPr>
              <w:t>1.06</w:t>
            </w:r>
          </w:p>
        </w:tc>
        <w:tc>
          <w:tcPr>
            <w:tcW w:w="1134" w:type="dxa"/>
            <w:shd w:val="clear" w:color="auto" w:fill="FFFFFF"/>
          </w:tcPr>
          <w:p w14:paraId="52F64CC4" w14:textId="06798EF5" w:rsidR="0041738F" w:rsidRPr="00B57B36" w:rsidRDefault="0041738F" w:rsidP="0041738F">
            <w:pPr>
              <w:pStyle w:val="CETBodytext"/>
              <w:ind w:right="-1"/>
              <w:rPr>
                <w:rFonts w:cs="Arial"/>
                <w:szCs w:val="18"/>
                <w:lang w:val="en-GB"/>
              </w:rPr>
            </w:pPr>
            <w:r w:rsidRPr="008249E7">
              <w:t>8.2827x10</w:t>
            </w:r>
            <w:r w:rsidRPr="008249E7">
              <w:rPr>
                <w:vertAlign w:val="superscript"/>
              </w:rPr>
              <w:t>4</w:t>
            </w:r>
          </w:p>
        </w:tc>
      </w:tr>
      <w:tr w:rsidR="0041738F" w:rsidRPr="00B57B36" w14:paraId="7AAB0A27" w14:textId="77777777" w:rsidTr="000D1052">
        <w:tc>
          <w:tcPr>
            <w:tcW w:w="1134" w:type="dxa"/>
            <w:shd w:val="clear" w:color="auto" w:fill="FFFFFF"/>
          </w:tcPr>
          <w:p w14:paraId="45978324" w14:textId="4F79539A" w:rsidR="0041738F" w:rsidRDefault="0041738F" w:rsidP="0041738F">
            <w:pPr>
              <w:pStyle w:val="CETBodytext"/>
              <w:ind w:right="-1"/>
              <w:rPr>
                <w:rFonts w:cs="Arial"/>
                <w:szCs w:val="18"/>
                <w:lang w:val="en-GB"/>
              </w:rPr>
            </w:pPr>
            <w:r>
              <w:rPr>
                <w:rFonts w:cs="Arial"/>
                <w:szCs w:val="18"/>
                <w:lang w:val="en-GB"/>
              </w:rPr>
              <w:t>CO</w:t>
            </w:r>
            <w:r w:rsidRPr="0041738F">
              <w:rPr>
                <w:rFonts w:cs="Arial"/>
                <w:szCs w:val="18"/>
                <w:vertAlign w:val="subscript"/>
                <w:lang w:val="en-GB"/>
              </w:rPr>
              <w:t>2</w:t>
            </w:r>
          </w:p>
        </w:tc>
        <w:tc>
          <w:tcPr>
            <w:tcW w:w="1134" w:type="dxa"/>
            <w:shd w:val="clear" w:color="auto" w:fill="FFFFFF"/>
          </w:tcPr>
          <w:p w14:paraId="608ECB47" w14:textId="172B0E44" w:rsidR="0041738F" w:rsidRPr="00B57B36" w:rsidRDefault="0041738F" w:rsidP="0041738F">
            <w:pPr>
              <w:pStyle w:val="CETBodytext"/>
              <w:ind w:right="-1"/>
              <w:rPr>
                <w:rFonts w:cs="Arial"/>
                <w:szCs w:val="18"/>
                <w:lang w:val="en-GB"/>
              </w:rPr>
            </w:pPr>
            <w:r>
              <w:rPr>
                <w:rFonts w:cs="Arial"/>
                <w:szCs w:val="18"/>
                <w:lang w:val="en-GB"/>
              </w:rPr>
              <w:t>1.54</w:t>
            </w:r>
          </w:p>
        </w:tc>
        <w:tc>
          <w:tcPr>
            <w:tcW w:w="1134" w:type="dxa"/>
            <w:shd w:val="clear" w:color="auto" w:fill="FFFFFF"/>
          </w:tcPr>
          <w:p w14:paraId="61193C68" w14:textId="2021F07C" w:rsidR="0041738F" w:rsidRPr="00B57B36" w:rsidRDefault="0041738F" w:rsidP="0041738F">
            <w:pPr>
              <w:pStyle w:val="CETBodytext"/>
              <w:ind w:right="-1"/>
              <w:rPr>
                <w:rFonts w:cs="Arial"/>
                <w:szCs w:val="18"/>
                <w:lang w:val="en-GB"/>
              </w:rPr>
            </w:pPr>
            <w:r w:rsidRPr="008249E7">
              <w:t>1.4202x10</w:t>
            </w:r>
            <w:r w:rsidRPr="008249E7">
              <w:rPr>
                <w:vertAlign w:val="superscript"/>
              </w:rPr>
              <w:t>4</w:t>
            </w:r>
          </w:p>
        </w:tc>
        <w:tc>
          <w:tcPr>
            <w:tcW w:w="1134" w:type="dxa"/>
            <w:shd w:val="clear" w:color="auto" w:fill="FFFFFF"/>
          </w:tcPr>
          <w:p w14:paraId="202F44EA" w14:textId="68FFCFCC" w:rsidR="0041738F" w:rsidRPr="00B57B36" w:rsidRDefault="0041738F" w:rsidP="0041738F">
            <w:pPr>
              <w:pStyle w:val="CETBodytext"/>
              <w:ind w:right="-1"/>
              <w:rPr>
                <w:rFonts w:cs="Arial"/>
                <w:szCs w:val="18"/>
                <w:lang w:val="en-GB"/>
              </w:rPr>
            </w:pPr>
            <w:r>
              <w:rPr>
                <w:rFonts w:cs="Arial"/>
                <w:szCs w:val="18"/>
                <w:lang w:val="en-GB"/>
              </w:rPr>
              <w:t>0.68</w:t>
            </w:r>
          </w:p>
        </w:tc>
        <w:tc>
          <w:tcPr>
            <w:tcW w:w="1134" w:type="dxa"/>
            <w:shd w:val="clear" w:color="auto" w:fill="FFFFFF"/>
          </w:tcPr>
          <w:p w14:paraId="50738465" w14:textId="7E73D9A6" w:rsidR="0041738F" w:rsidRPr="00B57B36" w:rsidRDefault="0041738F" w:rsidP="0041738F">
            <w:pPr>
              <w:pStyle w:val="CETBodytext"/>
              <w:ind w:right="-1"/>
              <w:rPr>
                <w:rFonts w:cs="Arial"/>
                <w:szCs w:val="18"/>
                <w:lang w:val="en-GB"/>
              </w:rPr>
            </w:pPr>
            <w:r w:rsidRPr="008249E7">
              <w:t>8.1597x10</w:t>
            </w:r>
            <w:r w:rsidRPr="008249E7">
              <w:rPr>
                <w:vertAlign w:val="superscript"/>
              </w:rPr>
              <w:t>4</w:t>
            </w:r>
          </w:p>
        </w:tc>
      </w:tr>
      <w:tr w:rsidR="0041738F" w:rsidRPr="00B57B36" w14:paraId="16A6793E" w14:textId="77777777" w:rsidTr="000D1052">
        <w:tc>
          <w:tcPr>
            <w:tcW w:w="1134" w:type="dxa"/>
            <w:shd w:val="clear" w:color="auto" w:fill="FFFFFF"/>
          </w:tcPr>
          <w:p w14:paraId="50E95099" w14:textId="71E1C8CF" w:rsidR="0041738F" w:rsidRDefault="0041738F" w:rsidP="0041738F">
            <w:pPr>
              <w:pStyle w:val="CETBodytext"/>
              <w:ind w:right="-1"/>
              <w:rPr>
                <w:rFonts w:cs="Arial"/>
                <w:szCs w:val="18"/>
                <w:lang w:val="en-GB"/>
              </w:rPr>
            </w:pPr>
            <w:r>
              <w:rPr>
                <w:rFonts w:cs="Arial"/>
                <w:szCs w:val="18"/>
                <w:lang w:val="en-GB"/>
              </w:rPr>
              <w:t>Water</w:t>
            </w:r>
          </w:p>
        </w:tc>
        <w:tc>
          <w:tcPr>
            <w:tcW w:w="1134" w:type="dxa"/>
            <w:shd w:val="clear" w:color="auto" w:fill="FFFFFF"/>
          </w:tcPr>
          <w:p w14:paraId="21C5D780" w14:textId="12B9BB69" w:rsidR="0041738F" w:rsidRPr="00B57B36" w:rsidRDefault="0041738F" w:rsidP="0041738F">
            <w:pPr>
              <w:pStyle w:val="CETBodytext"/>
              <w:ind w:right="-1"/>
              <w:rPr>
                <w:rFonts w:cs="Arial"/>
                <w:szCs w:val="18"/>
                <w:lang w:val="en-GB"/>
              </w:rPr>
            </w:pPr>
            <w:r>
              <w:rPr>
                <w:rFonts w:cs="Arial"/>
                <w:szCs w:val="18"/>
                <w:lang w:val="en-GB"/>
              </w:rPr>
              <w:t>5.4</w:t>
            </w:r>
          </w:p>
        </w:tc>
        <w:tc>
          <w:tcPr>
            <w:tcW w:w="1134" w:type="dxa"/>
            <w:shd w:val="clear" w:color="auto" w:fill="FFFFFF"/>
          </w:tcPr>
          <w:p w14:paraId="3DE8FBC7" w14:textId="66E1CC82" w:rsidR="0041738F" w:rsidRPr="00B57B36" w:rsidRDefault="0041738F" w:rsidP="0041738F">
            <w:pPr>
              <w:pStyle w:val="CETBodytext"/>
              <w:ind w:right="-1"/>
              <w:rPr>
                <w:rFonts w:cs="Arial"/>
                <w:szCs w:val="18"/>
                <w:lang w:val="en-GB"/>
              </w:rPr>
            </w:pPr>
            <w:r w:rsidRPr="008249E7">
              <w:t>1.7204x10</w:t>
            </w:r>
            <w:r w:rsidRPr="008249E7">
              <w:rPr>
                <w:vertAlign w:val="superscript"/>
              </w:rPr>
              <w:t>4</w:t>
            </w:r>
          </w:p>
        </w:tc>
        <w:tc>
          <w:tcPr>
            <w:tcW w:w="1134" w:type="dxa"/>
            <w:shd w:val="clear" w:color="auto" w:fill="FFFFFF"/>
          </w:tcPr>
          <w:p w14:paraId="2E0FD690" w14:textId="34E90526" w:rsidR="0041738F" w:rsidRPr="00B57B36" w:rsidRDefault="0041738F" w:rsidP="0041738F">
            <w:pPr>
              <w:pStyle w:val="CETBodytext"/>
              <w:ind w:right="-1"/>
              <w:rPr>
                <w:rFonts w:cs="Arial"/>
                <w:szCs w:val="18"/>
                <w:lang w:val="en-GB"/>
              </w:rPr>
            </w:pPr>
            <w:r>
              <w:rPr>
                <w:rFonts w:cs="Arial"/>
                <w:szCs w:val="18"/>
                <w:lang w:val="en-GB"/>
              </w:rPr>
              <w:t>2.03</w:t>
            </w:r>
          </w:p>
        </w:tc>
        <w:tc>
          <w:tcPr>
            <w:tcW w:w="1134" w:type="dxa"/>
            <w:shd w:val="clear" w:color="auto" w:fill="FFFFFF"/>
          </w:tcPr>
          <w:p w14:paraId="30A720EA" w14:textId="1E13D6AC" w:rsidR="0041738F" w:rsidRPr="00B57B36" w:rsidRDefault="0041738F" w:rsidP="0041738F">
            <w:pPr>
              <w:pStyle w:val="CETBodytext"/>
              <w:ind w:right="-1"/>
              <w:rPr>
                <w:rFonts w:cs="Arial"/>
                <w:szCs w:val="18"/>
                <w:lang w:val="en-GB"/>
              </w:rPr>
            </w:pPr>
            <w:r w:rsidRPr="008249E7">
              <w:t>1.96795x10</w:t>
            </w:r>
            <w:r w:rsidRPr="008249E7">
              <w:rPr>
                <w:vertAlign w:val="superscript"/>
              </w:rPr>
              <w:t>5</w:t>
            </w:r>
          </w:p>
        </w:tc>
      </w:tr>
      <w:tr w:rsidR="0041738F" w:rsidRPr="00B57B36" w14:paraId="54B4F21F" w14:textId="77777777" w:rsidTr="000D1052">
        <w:tc>
          <w:tcPr>
            <w:tcW w:w="1134" w:type="dxa"/>
            <w:shd w:val="clear" w:color="auto" w:fill="FFFFFF"/>
          </w:tcPr>
          <w:p w14:paraId="4391CCAA" w14:textId="27DA9B5A" w:rsidR="0041738F" w:rsidRDefault="0041738F" w:rsidP="0041738F">
            <w:pPr>
              <w:pStyle w:val="CETBodytext"/>
              <w:ind w:right="-1"/>
              <w:rPr>
                <w:rFonts w:cs="Arial"/>
                <w:szCs w:val="18"/>
                <w:lang w:val="en-GB"/>
              </w:rPr>
            </w:pPr>
            <w:r>
              <w:rPr>
                <w:rFonts w:cs="Arial"/>
                <w:szCs w:val="18"/>
                <w:lang w:val="en-GB"/>
              </w:rPr>
              <w:t>DMC</w:t>
            </w:r>
          </w:p>
        </w:tc>
        <w:tc>
          <w:tcPr>
            <w:tcW w:w="1134" w:type="dxa"/>
            <w:shd w:val="clear" w:color="auto" w:fill="FFFFFF"/>
          </w:tcPr>
          <w:p w14:paraId="4B657BE2" w14:textId="387081C6" w:rsidR="0041738F" w:rsidRPr="00B57B36" w:rsidRDefault="0041738F" w:rsidP="0041738F">
            <w:pPr>
              <w:pStyle w:val="CETBodytext"/>
              <w:ind w:right="-1"/>
              <w:rPr>
                <w:rFonts w:cs="Arial"/>
                <w:szCs w:val="18"/>
                <w:lang w:val="en-GB"/>
              </w:rPr>
            </w:pPr>
            <w:r>
              <w:rPr>
                <w:rFonts w:cs="Arial"/>
                <w:szCs w:val="18"/>
                <w:lang w:val="en-GB"/>
              </w:rPr>
              <w:t>2.6</w:t>
            </w:r>
          </w:p>
        </w:tc>
        <w:tc>
          <w:tcPr>
            <w:tcW w:w="1134" w:type="dxa"/>
            <w:shd w:val="clear" w:color="auto" w:fill="FFFFFF"/>
          </w:tcPr>
          <w:p w14:paraId="0F4E7D0C" w14:textId="236B27C2" w:rsidR="0041738F" w:rsidRPr="00B57B36" w:rsidRDefault="0041738F" w:rsidP="0041738F">
            <w:pPr>
              <w:pStyle w:val="CETBodytext"/>
              <w:ind w:right="-1"/>
              <w:rPr>
                <w:rFonts w:cs="Arial"/>
                <w:szCs w:val="18"/>
                <w:lang w:val="en-GB"/>
              </w:rPr>
            </w:pPr>
            <w:r w:rsidRPr="008249E7">
              <w:t>1.4643x10</w:t>
            </w:r>
            <w:r w:rsidRPr="008249E7">
              <w:rPr>
                <w:vertAlign w:val="superscript"/>
              </w:rPr>
              <w:t>4</w:t>
            </w:r>
          </w:p>
        </w:tc>
        <w:tc>
          <w:tcPr>
            <w:tcW w:w="1134" w:type="dxa"/>
            <w:shd w:val="clear" w:color="auto" w:fill="FFFFFF"/>
          </w:tcPr>
          <w:p w14:paraId="511FF712" w14:textId="6130FC8E" w:rsidR="0041738F" w:rsidRPr="00B57B36" w:rsidRDefault="0041738F" w:rsidP="0041738F">
            <w:pPr>
              <w:pStyle w:val="CETBodytext"/>
              <w:ind w:right="-1"/>
              <w:rPr>
                <w:rFonts w:cs="Arial"/>
                <w:szCs w:val="18"/>
                <w:lang w:val="en-GB"/>
              </w:rPr>
            </w:pPr>
            <w:r>
              <w:rPr>
                <w:rFonts w:cs="Arial"/>
                <w:szCs w:val="18"/>
                <w:lang w:val="en-GB"/>
              </w:rPr>
              <w:t>0.62</w:t>
            </w:r>
          </w:p>
        </w:tc>
        <w:tc>
          <w:tcPr>
            <w:tcW w:w="1134" w:type="dxa"/>
            <w:shd w:val="clear" w:color="auto" w:fill="FFFFFF"/>
          </w:tcPr>
          <w:p w14:paraId="525652D7" w14:textId="76439108" w:rsidR="0041738F" w:rsidRPr="00B57B36" w:rsidRDefault="0041738F" w:rsidP="0041738F">
            <w:pPr>
              <w:pStyle w:val="CETBodytext"/>
              <w:ind w:right="-1"/>
              <w:rPr>
                <w:rFonts w:cs="Arial"/>
                <w:szCs w:val="18"/>
                <w:lang w:val="en-GB"/>
              </w:rPr>
            </w:pPr>
            <w:r w:rsidRPr="008249E7">
              <w:t>4.5014x10</w:t>
            </w:r>
            <w:r w:rsidRPr="008249E7">
              <w:rPr>
                <w:vertAlign w:val="superscript"/>
              </w:rPr>
              <w:t>4</w:t>
            </w:r>
          </w:p>
        </w:tc>
      </w:tr>
    </w:tbl>
    <w:p w14:paraId="3970B423" w14:textId="77777777" w:rsidR="00580CD7" w:rsidRDefault="00580CD7" w:rsidP="00BE0884">
      <w:pPr>
        <w:pStyle w:val="CETBodytext"/>
        <w:rPr>
          <w:lang w:val="en-GB"/>
        </w:rPr>
      </w:pPr>
    </w:p>
    <w:p w14:paraId="29B56110" w14:textId="62BBCB6C" w:rsidR="009400FA" w:rsidRDefault="009400FA" w:rsidP="00BE0884">
      <w:pPr>
        <w:pStyle w:val="CETBodytext"/>
        <w:rPr>
          <w:lang w:val="en-GB"/>
        </w:rPr>
      </w:pPr>
      <w:r>
        <w:t>The model parameters (</w:t>
      </w:r>
      <w:r w:rsidRPr="009400FA">
        <w:rPr>
          <w:i/>
          <w:iCs/>
        </w:rPr>
        <w:t>k</w:t>
      </w:r>
      <w:r w:rsidRPr="009400FA">
        <w:rPr>
          <w:i/>
          <w:iCs/>
          <w:vertAlign w:val="subscript"/>
        </w:rPr>
        <w:t>1</w:t>
      </w:r>
      <w:r w:rsidRPr="009400FA">
        <w:rPr>
          <w:i/>
          <w:iCs/>
        </w:rPr>
        <w:t xml:space="preserve"> – k</w:t>
      </w:r>
      <w:r w:rsidRPr="009400FA">
        <w:rPr>
          <w:i/>
          <w:iCs/>
          <w:vertAlign w:val="subscript"/>
        </w:rPr>
        <w:t>8</w:t>
      </w:r>
      <w:r>
        <w:t xml:space="preserve">) were derived by applying the </w:t>
      </w:r>
      <w:r w:rsidRPr="009400FA">
        <w:rPr>
          <w:rStyle w:val="katex-mathml"/>
          <w:i/>
          <w:iCs/>
        </w:rPr>
        <w:t>k</w:t>
      </w:r>
      <w:r w:rsidRPr="009400FA">
        <w:rPr>
          <w:rStyle w:val="katex-mathml"/>
          <w:i/>
          <w:iCs/>
          <w:vertAlign w:val="subscript"/>
        </w:rPr>
        <w:t>0</w:t>
      </w:r>
      <w:r>
        <w:rPr>
          <w:rStyle w:val="katex-mathml"/>
        </w:rPr>
        <w:t xml:space="preserve"> and </w:t>
      </w:r>
      <w:r w:rsidRPr="009400FA">
        <w:rPr>
          <w:rStyle w:val="katex-mathml"/>
          <w:i/>
          <w:iCs/>
        </w:rPr>
        <w:t>E</w:t>
      </w:r>
      <w:r w:rsidRPr="009400FA">
        <w:rPr>
          <w:rStyle w:val="katex-mathml"/>
          <w:i/>
          <w:iCs/>
          <w:vertAlign w:val="subscript"/>
        </w:rPr>
        <w:t>A</w:t>
      </w:r>
      <w:r>
        <w:t xml:space="preserve"> values from Table 2 to the Arrhenius equation </w:t>
      </w:r>
      <w:r w:rsidR="00333AA5">
        <w:t xml:space="preserve">as in </w:t>
      </w:r>
      <w:proofErr w:type="gramStart"/>
      <w:r>
        <w:t>Eq</w:t>
      </w:r>
      <w:r w:rsidR="00333AA5">
        <w:t>(</w:t>
      </w:r>
      <w:proofErr w:type="gramEnd"/>
      <w:r>
        <w:t>6). The model was tested using the feed compositions of mixtures 2–5 (Table 1) to predict reacting mixture compositions. The results at the reported conversion stages are compared with equilibrium values from the literature (Camy et al., 2003) in Figure 2, where Figure 2a shows DMC values and Figure 2b depicts CO</w:t>
      </w:r>
      <w:r>
        <w:rPr>
          <w:rFonts w:ascii="Cambria Math" w:hAnsi="Cambria Math" w:cs="Cambria Math"/>
        </w:rPr>
        <w:t>₂</w:t>
      </w:r>
      <w:r>
        <w:t xml:space="preserve"> values.</w:t>
      </w:r>
    </w:p>
    <w:p w14:paraId="1455EBB9" w14:textId="5E9D10E3" w:rsidR="00ED643C" w:rsidRDefault="009964A9" w:rsidP="00BE0884">
      <w:pPr>
        <w:pStyle w:val="CETBodytext"/>
        <w:rPr>
          <w:lang w:val="en-GB"/>
        </w:rPr>
      </w:pPr>
      <w:r w:rsidRPr="009964A9">
        <w:rPr>
          <w:noProof/>
        </w:rPr>
        <w:drawing>
          <wp:inline distT="0" distB="0" distL="0" distR="0" wp14:anchorId="0F5285B7" wp14:editId="4A9DAD2E">
            <wp:extent cx="3301200" cy="1677600"/>
            <wp:effectExtent l="0" t="0" r="0" b="0"/>
            <wp:docPr id="3116617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1200" cy="1677600"/>
                    </a:xfrm>
                    <a:prstGeom prst="rect">
                      <a:avLst/>
                    </a:prstGeom>
                    <a:noFill/>
                    <a:ln>
                      <a:noFill/>
                    </a:ln>
                  </pic:spPr>
                </pic:pic>
              </a:graphicData>
            </a:graphic>
          </wp:inline>
        </w:drawing>
      </w:r>
    </w:p>
    <w:p w14:paraId="7CBF57D3" w14:textId="407A3D86" w:rsidR="009400FA" w:rsidRDefault="009400FA" w:rsidP="009400FA">
      <w:pPr>
        <w:pStyle w:val="CETCaption"/>
      </w:pPr>
      <w:r w:rsidRPr="00EA249A">
        <w:t xml:space="preserve">Figure </w:t>
      </w:r>
      <w:r>
        <w:t>2</w:t>
      </w:r>
      <w:r w:rsidRPr="00EA249A">
        <w:t xml:space="preserve">. </w:t>
      </w:r>
      <w:r w:rsidRPr="008249E7">
        <w:t xml:space="preserve">The simulated output data and the </w:t>
      </w:r>
      <w:r w:rsidR="009B48E2">
        <w:t>true</w:t>
      </w:r>
      <w:r w:rsidRPr="008249E7">
        <w:t xml:space="preserve"> values of</w:t>
      </w:r>
      <w:r w:rsidR="009B48E2">
        <w:t xml:space="preserve"> a) DMC and b) CO</w:t>
      </w:r>
      <w:r w:rsidR="009B48E2">
        <w:rPr>
          <w:rFonts w:ascii="Cambria Math" w:hAnsi="Cambria Math" w:cs="Cambria Math"/>
        </w:rPr>
        <w:t>₂</w:t>
      </w:r>
      <w:r w:rsidRPr="008249E7">
        <w:t xml:space="preserve"> </w:t>
      </w:r>
      <w:r w:rsidR="0058166A">
        <w:t xml:space="preserve">in </w:t>
      </w:r>
      <w:r w:rsidRPr="008249E7">
        <w:t>the mixtures 1–5.</w:t>
      </w:r>
    </w:p>
    <w:p w14:paraId="7A82059A" w14:textId="38E90F3D" w:rsidR="00176392" w:rsidRDefault="00176392" w:rsidP="00176392">
      <w:pPr>
        <w:pStyle w:val="CETBodytext"/>
        <w:rPr>
          <w:lang w:val="en-GB"/>
        </w:rPr>
      </w:pPr>
      <w:r w:rsidRPr="00176392">
        <w:rPr>
          <w:lang w:val="en-GB"/>
        </w:rPr>
        <w:t>The dynamic behavio</w:t>
      </w:r>
      <w:r>
        <w:rPr>
          <w:lang w:val="en-GB"/>
        </w:rPr>
        <w:t>u</w:t>
      </w:r>
      <w:r w:rsidRPr="00176392">
        <w:rPr>
          <w:lang w:val="en-GB"/>
        </w:rPr>
        <w:t xml:space="preserve">r of the reaction components </w:t>
      </w:r>
      <w:r>
        <w:rPr>
          <w:lang w:val="en-GB"/>
        </w:rPr>
        <w:t>was</w:t>
      </w:r>
      <w:r w:rsidRPr="00176392">
        <w:rPr>
          <w:lang w:val="en-GB"/>
        </w:rPr>
        <w:t xml:space="preserve"> simulated using the stoichiometric feed composition (mixture 1). At </w:t>
      </w:r>
      <w:r w:rsidRPr="00176392">
        <w:rPr>
          <w:rFonts w:ascii="Cambria Math" w:hAnsi="Cambria Math" w:cs="Cambria Math"/>
          <w:lang w:val="en-GB"/>
        </w:rPr>
        <w:t>𝑡</w:t>
      </w:r>
      <w:r w:rsidRPr="00176392">
        <w:rPr>
          <w:lang w:val="en-GB"/>
        </w:rPr>
        <w:t>=120</w:t>
      </w:r>
      <w:r w:rsidR="009B48E2">
        <w:rPr>
          <w:lang w:val="en-GB"/>
        </w:rPr>
        <w:t xml:space="preserve"> minutes</w:t>
      </w:r>
      <w:r w:rsidRPr="00176392">
        <w:rPr>
          <w:lang w:val="en-GB"/>
        </w:rPr>
        <w:t xml:space="preserve"> (conversion 0.6), the simulated reacti</w:t>
      </w:r>
      <w:r w:rsidR="00E82A6D">
        <w:rPr>
          <w:lang w:val="en-GB"/>
        </w:rPr>
        <w:t>on</w:t>
      </w:r>
      <w:r w:rsidRPr="00176392">
        <w:rPr>
          <w:lang w:val="en-GB"/>
        </w:rPr>
        <w:t xml:space="preserve"> mixture composition matches the values in Table 1. These results are presented in Figure 3</w:t>
      </w:r>
      <w:r>
        <w:rPr>
          <w:lang w:val="en-GB"/>
        </w:rPr>
        <w:t>a</w:t>
      </w:r>
      <w:r w:rsidRPr="00176392">
        <w:rPr>
          <w:lang w:val="en-GB"/>
        </w:rPr>
        <w:t>.</w:t>
      </w:r>
      <w:r>
        <w:rPr>
          <w:lang w:val="en-GB"/>
        </w:rPr>
        <w:t xml:space="preserve"> </w:t>
      </w:r>
      <w:r w:rsidRPr="00176392">
        <w:rPr>
          <w:lang w:val="en-GB"/>
        </w:rPr>
        <w:t xml:space="preserve">The developed model was </w:t>
      </w:r>
      <w:r>
        <w:rPr>
          <w:lang w:val="en-GB"/>
        </w:rPr>
        <w:t xml:space="preserve">further </w:t>
      </w:r>
      <w:r w:rsidRPr="00176392">
        <w:rPr>
          <w:lang w:val="en-GB"/>
        </w:rPr>
        <w:t>used to simulate the effect of temperature on DMC synthesis. Simulations were performed at 393.15 K, 423.15 K, and 453.15 K for a reaction time of 120</w:t>
      </w:r>
      <w:r w:rsidR="000A7E5A">
        <w:rPr>
          <w:lang w:val="en-GB"/>
        </w:rPr>
        <w:t xml:space="preserve"> minutes</w:t>
      </w:r>
      <w:r w:rsidRPr="00176392">
        <w:rPr>
          <w:lang w:val="en-GB"/>
        </w:rPr>
        <w:t xml:space="preserve">, corresponding to a methanol conversion of 0.6. The results show that the </w:t>
      </w:r>
      <w:r w:rsidRPr="00176392">
        <w:rPr>
          <w:lang w:val="en-GB"/>
        </w:rPr>
        <w:lastRenderedPageBreak/>
        <w:t>proportion of DMC in the mixture increases with temperature but plateaus at higher values. These results are shown in Figure 3</w:t>
      </w:r>
      <w:r>
        <w:rPr>
          <w:lang w:val="en-GB"/>
        </w:rPr>
        <w:t>b</w:t>
      </w:r>
      <w:r w:rsidRPr="00176392">
        <w:rPr>
          <w:lang w:val="en-GB"/>
        </w:rPr>
        <w:t>.</w:t>
      </w:r>
    </w:p>
    <w:p w14:paraId="65C975F6" w14:textId="1E91BC95" w:rsidR="009400FA" w:rsidRDefault="00F65C50" w:rsidP="00BE0884">
      <w:pPr>
        <w:pStyle w:val="CETBodytext"/>
        <w:rPr>
          <w:lang w:val="en-GB"/>
        </w:rPr>
      </w:pPr>
      <w:r w:rsidRPr="00F65C50">
        <w:rPr>
          <w:noProof/>
        </w:rPr>
        <w:drawing>
          <wp:inline distT="0" distB="0" distL="0" distR="0" wp14:anchorId="7CB79F5E" wp14:editId="3351158C">
            <wp:extent cx="5029200" cy="1587600"/>
            <wp:effectExtent l="0" t="0" r="0" b="0"/>
            <wp:docPr id="1946850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1587600"/>
                    </a:xfrm>
                    <a:prstGeom prst="rect">
                      <a:avLst/>
                    </a:prstGeom>
                    <a:noFill/>
                    <a:ln>
                      <a:noFill/>
                    </a:ln>
                  </pic:spPr>
                </pic:pic>
              </a:graphicData>
            </a:graphic>
          </wp:inline>
        </w:drawing>
      </w:r>
    </w:p>
    <w:p w14:paraId="2C9B6F4B" w14:textId="18F6A1FA" w:rsidR="00176392" w:rsidRPr="00F00EB6" w:rsidRDefault="00F00EB6" w:rsidP="00BE0884">
      <w:pPr>
        <w:pStyle w:val="CETBodytext"/>
        <w:rPr>
          <w:i/>
          <w:iCs/>
          <w:lang w:val="en-GB"/>
        </w:rPr>
      </w:pPr>
      <w:r w:rsidRPr="00F00EB6">
        <w:rPr>
          <w:i/>
          <w:iCs/>
          <w:lang w:val="en-GB"/>
        </w:rPr>
        <w:t xml:space="preserve">Figure 3. Simulation </w:t>
      </w:r>
      <w:r w:rsidR="000A7E5A">
        <w:rPr>
          <w:i/>
          <w:iCs/>
          <w:lang w:val="en-GB"/>
        </w:rPr>
        <w:t>in time (0–120 minutes): product</w:t>
      </w:r>
      <w:r w:rsidRPr="00F00EB6">
        <w:rPr>
          <w:i/>
          <w:iCs/>
          <w:lang w:val="en-GB"/>
        </w:rPr>
        <w:t xml:space="preserve">s (3a) and </w:t>
      </w:r>
      <w:r w:rsidR="00E82A6D">
        <w:rPr>
          <w:i/>
          <w:iCs/>
          <w:lang w:val="en-GB"/>
        </w:rPr>
        <w:t xml:space="preserve">the </w:t>
      </w:r>
      <w:r w:rsidRPr="00F00EB6">
        <w:rPr>
          <w:i/>
          <w:iCs/>
          <w:lang w:val="en-GB"/>
        </w:rPr>
        <w:t xml:space="preserve">effect of </w:t>
      </w:r>
      <w:r w:rsidR="000A7E5A">
        <w:rPr>
          <w:i/>
          <w:iCs/>
          <w:lang w:val="en-GB"/>
        </w:rPr>
        <w:t xml:space="preserve">process </w:t>
      </w:r>
      <w:r w:rsidRPr="00F00EB6">
        <w:rPr>
          <w:i/>
          <w:iCs/>
          <w:lang w:val="en-GB"/>
        </w:rPr>
        <w:t>temperature</w:t>
      </w:r>
      <w:r w:rsidR="00333AA5">
        <w:rPr>
          <w:i/>
          <w:iCs/>
          <w:lang w:val="en-GB"/>
        </w:rPr>
        <w:t xml:space="preserve"> (3b)</w:t>
      </w:r>
      <w:r w:rsidRPr="00F00EB6">
        <w:rPr>
          <w:i/>
          <w:iCs/>
          <w:lang w:val="en-GB"/>
        </w:rPr>
        <w:t xml:space="preserve"> </w:t>
      </w:r>
      <w:r w:rsidR="00E82A6D">
        <w:rPr>
          <w:i/>
          <w:iCs/>
          <w:lang w:val="en-GB"/>
        </w:rPr>
        <w:t>on the</w:t>
      </w:r>
      <w:r w:rsidR="00E82A6D" w:rsidRPr="00F00EB6">
        <w:rPr>
          <w:i/>
          <w:iCs/>
          <w:lang w:val="en-GB"/>
        </w:rPr>
        <w:t xml:space="preserve"> </w:t>
      </w:r>
      <w:r w:rsidR="000A7E5A">
        <w:rPr>
          <w:i/>
          <w:iCs/>
          <w:lang w:val="en-GB"/>
        </w:rPr>
        <w:t>proportion</w:t>
      </w:r>
      <w:r w:rsidRPr="00F00EB6">
        <w:rPr>
          <w:i/>
          <w:iCs/>
          <w:lang w:val="en-GB"/>
        </w:rPr>
        <w:t xml:space="preserve"> of DMC.</w:t>
      </w:r>
    </w:p>
    <w:p w14:paraId="77F200A6" w14:textId="77777777" w:rsidR="00F00EB6" w:rsidRDefault="00F00EB6" w:rsidP="00BE0884">
      <w:pPr>
        <w:pStyle w:val="CETBodytext"/>
        <w:rPr>
          <w:lang w:val="en-GB"/>
        </w:rPr>
      </w:pPr>
    </w:p>
    <w:p w14:paraId="06ADFEAC" w14:textId="61FAE1D5" w:rsidR="00176392" w:rsidRDefault="00176392" w:rsidP="00BE0884">
      <w:pPr>
        <w:pStyle w:val="CETBodytext"/>
        <w:rPr>
          <w:lang w:val="en-GB"/>
        </w:rPr>
      </w:pPr>
      <w:r w:rsidRPr="00176392">
        <w:rPr>
          <w:lang w:val="en-GB"/>
        </w:rPr>
        <w:t xml:space="preserve">The DMC yield for different feed mixture compositions was simulated, with results presented in Table 3 alongside reference values from the literature and the </w:t>
      </w:r>
      <w:r w:rsidR="008D27B4" w:rsidRPr="00176392">
        <w:rPr>
          <w:lang w:val="en-GB"/>
        </w:rPr>
        <w:t>modelling</w:t>
      </w:r>
      <w:r w:rsidRPr="00176392">
        <w:rPr>
          <w:lang w:val="en-GB"/>
        </w:rPr>
        <w:t xml:space="preserve"> errors. For mixtures 1–4, the methanol conversion is 0.6, while for mixture 5, it is 1.0. The </w:t>
      </w:r>
      <w:r w:rsidR="008D27B4" w:rsidRPr="00176392">
        <w:rPr>
          <w:lang w:val="en-GB"/>
        </w:rPr>
        <w:t>modelling</w:t>
      </w:r>
      <w:r w:rsidRPr="00176392">
        <w:rPr>
          <w:lang w:val="en-GB"/>
        </w:rPr>
        <w:t xml:space="preserve"> error was calculated as</w:t>
      </w:r>
      <w:r w:rsidR="00E82A6D">
        <w:rPr>
          <w:lang w:val="en-GB"/>
        </w:rPr>
        <w:t xml:space="preserve"> the</w:t>
      </w:r>
      <w:r w:rsidR="000A7E5A">
        <w:rPr>
          <w:lang w:val="en-GB"/>
        </w:rPr>
        <w:t xml:space="preserve"> difference between </w:t>
      </w:r>
      <w:r w:rsidR="00AA623B">
        <w:rPr>
          <w:lang w:val="en-GB"/>
        </w:rPr>
        <w:t xml:space="preserve">the </w:t>
      </w:r>
      <w:r w:rsidR="000A7E5A">
        <w:rPr>
          <w:lang w:val="en-GB"/>
        </w:rPr>
        <w:t xml:space="preserve">measured and simulated values of modelled variables </w:t>
      </w:r>
      <w:r w:rsidR="000A7E5A" w:rsidRPr="000A7E5A">
        <w:rPr>
          <w:i/>
          <w:iCs/>
          <w:lang w:val="en-GB"/>
        </w:rPr>
        <w:t>x</w:t>
      </w:r>
      <w:r w:rsidRPr="00176392">
        <w:rPr>
          <w:lang w:val="en-GB"/>
        </w:rPr>
        <w:t>:</w:t>
      </w:r>
    </w:p>
    <w:p w14:paraId="4AACFCE0" w14:textId="77777777" w:rsidR="00176392" w:rsidRDefault="00176392" w:rsidP="00BE0884">
      <w:pPr>
        <w:pStyle w:val="CETBodytext"/>
        <w:rPr>
          <w:lang w:val="en-GB"/>
        </w:rPr>
      </w:pPr>
    </w:p>
    <w:p w14:paraId="06CC90FE" w14:textId="62E548CC" w:rsidR="00176392" w:rsidRDefault="00556535" w:rsidP="00BE0884">
      <w:pPr>
        <w:pStyle w:val="CETBodytext"/>
      </w:pPr>
      <m:oMath>
        <m:sSub>
          <m:sSubPr>
            <m:ctrlPr>
              <w:rPr>
                <w:rFonts w:ascii="Cambria Math" w:hAnsi="Cambria Math"/>
                <w:i/>
              </w:rPr>
            </m:ctrlPr>
          </m:sSubPr>
          <m:e>
            <m:r>
              <w:rPr>
                <w:rFonts w:ascii="Cambria Math" w:hAnsi="Cambria Math"/>
              </w:rPr>
              <m:t>χ</m:t>
            </m:r>
          </m:e>
          <m:sub>
            <m:r>
              <w:rPr>
                <w:rFonts w:ascii="Cambria Math" w:hAnsi="Cambria Math"/>
                <w:vertAlign w:val="subscript"/>
              </w:rPr>
              <m:t>simulated</m:t>
            </m:r>
          </m:sub>
        </m:sSub>
        <m:r>
          <w:rPr>
            <w:rFonts w:ascii="Cambria Math" w:hAnsi="Cambria Math"/>
          </w:rPr>
          <m:t xml:space="preserve">- </m:t>
        </m:r>
        <m:sSub>
          <m:sSubPr>
            <m:ctrlPr>
              <w:rPr>
                <w:rFonts w:ascii="Cambria Math" w:hAnsi="Cambria Math"/>
                <w:i/>
              </w:rPr>
            </m:ctrlPr>
          </m:sSubPr>
          <m:e>
            <m:r>
              <w:rPr>
                <w:rFonts w:ascii="Cambria Math" w:hAnsi="Cambria Math"/>
              </w:rPr>
              <m:t>χ</m:t>
            </m:r>
          </m:e>
          <m:sub>
            <m:r>
              <w:rPr>
                <w:rFonts w:ascii="Cambria Math" w:hAnsi="Cambria Math"/>
              </w:rPr>
              <m:t>ref</m:t>
            </m:r>
          </m:sub>
        </m:sSub>
        <m:r>
          <w:rPr>
            <w:rFonts w:ascii="Cambria Math" w:hAnsi="Cambria Math"/>
          </w:rPr>
          <m:t>=modelling error</m:t>
        </m:r>
      </m:oMath>
      <w:r w:rsidR="00176392">
        <w:tab/>
      </w:r>
      <w:r w:rsidR="00176392">
        <w:tab/>
        <w:t>(8)</w:t>
      </w:r>
    </w:p>
    <w:p w14:paraId="4642F259" w14:textId="77777777" w:rsidR="00631FFE" w:rsidRDefault="00631FFE" w:rsidP="00BE0884">
      <w:pPr>
        <w:pStyle w:val="CETBodytext"/>
      </w:pPr>
    </w:p>
    <w:p w14:paraId="3A1691A3" w14:textId="7BC68518" w:rsidR="00176392" w:rsidRDefault="00631FFE" w:rsidP="00BE0884">
      <w:pPr>
        <w:pStyle w:val="CETBodytext"/>
        <w:rPr>
          <w:lang w:val="en-GB"/>
        </w:rPr>
      </w:pPr>
      <w:r w:rsidRPr="00631FFE">
        <w:rPr>
          <w:lang w:val="en-GB"/>
        </w:rPr>
        <w:t xml:space="preserve">The </w:t>
      </w:r>
      <w:r w:rsidR="008D27B4" w:rsidRPr="00631FFE">
        <w:rPr>
          <w:lang w:val="en-GB"/>
        </w:rPr>
        <w:t>modelling</w:t>
      </w:r>
      <w:r w:rsidRPr="00631FFE">
        <w:rPr>
          <w:lang w:val="en-GB"/>
        </w:rPr>
        <w:t xml:space="preserve"> error is minimal for mixture 1, which was used as the training data. In mixtures 2–5, the model shows a slight positive bias for </w:t>
      </w:r>
      <w:r w:rsidR="00E82A6D">
        <w:rPr>
          <w:lang w:val="en-GB"/>
        </w:rPr>
        <w:t xml:space="preserve">the </w:t>
      </w:r>
      <w:r w:rsidRPr="00631FFE">
        <w:rPr>
          <w:lang w:val="en-GB"/>
        </w:rPr>
        <w:t xml:space="preserve">DMC values and a negative bias for </w:t>
      </w:r>
      <w:r w:rsidR="00E82A6D">
        <w:rPr>
          <w:lang w:val="en-GB"/>
        </w:rPr>
        <w:t xml:space="preserve">the </w:t>
      </w:r>
      <w:r w:rsidRPr="00631FFE">
        <w:rPr>
          <w:lang w:val="en-GB"/>
        </w:rPr>
        <w:t>CO</w:t>
      </w:r>
      <w:r w:rsidRPr="00631FFE">
        <w:rPr>
          <w:rFonts w:ascii="Cambria Math" w:hAnsi="Cambria Math" w:cs="Cambria Math"/>
          <w:lang w:val="en-GB"/>
        </w:rPr>
        <w:t>₂</w:t>
      </w:r>
      <w:r w:rsidRPr="00631FFE">
        <w:rPr>
          <w:lang w:val="en-GB"/>
        </w:rPr>
        <w:t xml:space="preserve"> values.</w:t>
      </w:r>
    </w:p>
    <w:p w14:paraId="4B39A111" w14:textId="19A97E6D" w:rsidR="000C6735" w:rsidRPr="000C6735" w:rsidRDefault="000C6735" w:rsidP="000C6735">
      <w:pPr>
        <w:pStyle w:val="CETTabletitle"/>
      </w:pPr>
      <w:r w:rsidRPr="00B57B36">
        <w:t xml:space="preserve">Table </w:t>
      </w:r>
      <w:r>
        <w:t>3</w:t>
      </w:r>
      <w:r w:rsidRPr="00B57B36">
        <w:t xml:space="preserve">: </w:t>
      </w:r>
      <w:r w:rsidRPr="000C6735">
        <w:t>Proportions of DMC and CO</w:t>
      </w:r>
      <w:r w:rsidRPr="000C6735">
        <w:rPr>
          <w:rFonts w:ascii="Cambria Math" w:hAnsi="Cambria Math" w:cs="Cambria Math"/>
        </w:rPr>
        <w:t>₂</w:t>
      </w:r>
      <w:r w:rsidRPr="000C6735">
        <w:t xml:space="preserve"> in reacti</w:t>
      </w:r>
      <w:r w:rsidR="00E82A6D">
        <w:t>on</w:t>
      </w:r>
      <w:r w:rsidRPr="000C6735">
        <w:t xml:space="preserve"> mixtures: comparison of</w:t>
      </w:r>
      <w:r w:rsidR="00E82A6D">
        <w:t xml:space="preserve"> the</w:t>
      </w:r>
      <w:r w:rsidRPr="000C6735">
        <w:t xml:space="preserve"> </w:t>
      </w:r>
      <w:r w:rsidR="00F24C1A">
        <w:t>real measured</w:t>
      </w:r>
      <w:r w:rsidRPr="000C6735">
        <w:t xml:space="preserve"> values (ref.)</w:t>
      </w:r>
      <w:r w:rsidR="00F24C1A">
        <w:t xml:space="preserve"> to</w:t>
      </w:r>
      <w:r w:rsidRPr="000C6735">
        <w:t xml:space="preserve"> simulation results</w:t>
      </w:r>
      <w:r w:rsidR="00F24C1A">
        <w:t xml:space="preserve"> (simulated)</w:t>
      </w:r>
      <w:r w:rsidRPr="000C6735">
        <w:t xml:space="preserve">, and corresponding </w:t>
      </w:r>
      <w:r w:rsidR="008D27B4" w:rsidRPr="000C6735">
        <w:t>modelling</w:t>
      </w:r>
      <w:r w:rsidRPr="000C6735">
        <w:t xml:space="preserve"> errors.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879"/>
        <w:gridCol w:w="1021"/>
        <w:gridCol w:w="1021"/>
        <w:gridCol w:w="1021"/>
        <w:gridCol w:w="1021"/>
      </w:tblGrid>
      <w:tr w:rsidR="00E40437" w:rsidRPr="001A425F" w14:paraId="1C5571F7" w14:textId="77503163" w:rsidTr="00C749DD">
        <w:tc>
          <w:tcPr>
            <w:tcW w:w="1276" w:type="dxa"/>
            <w:tcBorders>
              <w:top w:val="single" w:sz="12" w:space="0" w:color="008000"/>
              <w:bottom w:val="single" w:sz="6" w:space="0" w:color="008000"/>
            </w:tcBorders>
            <w:shd w:val="clear" w:color="auto" w:fill="FFFFFF"/>
          </w:tcPr>
          <w:p w14:paraId="7D62C971" w14:textId="48F8BA7C" w:rsidR="00E40437" w:rsidRPr="001A425F" w:rsidRDefault="00E40437" w:rsidP="000D1052">
            <w:pPr>
              <w:pStyle w:val="CETBodytext"/>
              <w:rPr>
                <w:lang w:val="en-GB"/>
              </w:rPr>
            </w:pPr>
            <w:r w:rsidRPr="001A425F">
              <w:rPr>
                <w:lang w:val="en-GB"/>
              </w:rPr>
              <w:t>Mixture</w:t>
            </w:r>
          </w:p>
        </w:tc>
        <w:tc>
          <w:tcPr>
            <w:tcW w:w="879" w:type="dxa"/>
            <w:tcBorders>
              <w:top w:val="single" w:sz="12" w:space="0" w:color="008000"/>
              <w:bottom w:val="single" w:sz="6" w:space="0" w:color="008000"/>
            </w:tcBorders>
            <w:shd w:val="clear" w:color="auto" w:fill="FFFFFF"/>
          </w:tcPr>
          <w:p w14:paraId="6830930B" w14:textId="519B40DF" w:rsidR="00E40437" w:rsidRPr="001A425F" w:rsidRDefault="00E40437" w:rsidP="000C6735">
            <w:pPr>
              <w:pStyle w:val="CETBodytext"/>
              <w:jc w:val="center"/>
              <w:rPr>
                <w:lang w:val="en-GB"/>
              </w:rPr>
            </w:pPr>
            <w:r w:rsidRPr="001A425F">
              <w:t>1</w:t>
            </w:r>
          </w:p>
        </w:tc>
        <w:tc>
          <w:tcPr>
            <w:tcW w:w="1021" w:type="dxa"/>
            <w:tcBorders>
              <w:top w:val="single" w:sz="12" w:space="0" w:color="008000"/>
              <w:bottom w:val="single" w:sz="6" w:space="0" w:color="008000"/>
            </w:tcBorders>
            <w:shd w:val="clear" w:color="auto" w:fill="FFFFFF"/>
          </w:tcPr>
          <w:p w14:paraId="006B965B" w14:textId="7070C9EB" w:rsidR="00E40437" w:rsidRPr="001A425F" w:rsidRDefault="00E40437" w:rsidP="000C6735">
            <w:pPr>
              <w:pStyle w:val="CETBodytext"/>
              <w:ind w:right="-1"/>
              <w:jc w:val="center"/>
              <w:rPr>
                <w:rFonts w:cs="Arial"/>
                <w:szCs w:val="18"/>
                <w:lang w:val="en-GB"/>
              </w:rPr>
            </w:pPr>
            <w:r w:rsidRPr="001A425F">
              <w:t>2</w:t>
            </w:r>
          </w:p>
        </w:tc>
        <w:tc>
          <w:tcPr>
            <w:tcW w:w="1021" w:type="dxa"/>
            <w:tcBorders>
              <w:top w:val="single" w:sz="12" w:space="0" w:color="008000"/>
              <w:bottom w:val="single" w:sz="6" w:space="0" w:color="008000"/>
            </w:tcBorders>
            <w:shd w:val="clear" w:color="auto" w:fill="FFFFFF"/>
          </w:tcPr>
          <w:p w14:paraId="3A73D685" w14:textId="31FF41AB" w:rsidR="00E40437" w:rsidRPr="001A425F" w:rsidRDefault="00E40437" w:rsidP="000C6735">
            <w:pPr>
              <w:pStyle w:val="CETBodytext"/>
              <w:ind w:right="-1"/>
              <w:jc w:val="center"/>
              <w:rPr>
                <w:rFonts w:cs="Arial"/>
                <w:szCs w:val="18"/>
                <w:lang w:val="en-GB"/>
              </w:rPr>
            </w:pPr>
            <w:r w:rsidRPr="001A425F">
              <w:rPr>
                <w:rFonts w:cs="Arial"/>
                <w:szCs w:val="18"/>
                <w:lang w:val="en-GB"/>
              </w:rPr>
              <w:t>3</w:t>
            </w:r>
          </w:p>
        </w:tc>
        <w:tc>
          <w:tcPr>
            <w:tcW w:w="1021" w:type="dxa"/>
            <w:tcBorders>
              <w:top w:val="single" w:sz="12" w:space="0" w:color="008000"/>
              <w:bottom w:val="single" w:sz="6" w:space="0" w:color="008000"/>
            </w:tcBorders>
            <w:shd w:val="clear" w:color="auto" w:fill="FFFFFF"/>
          </w:tcPr>
          <w:p w14:paraId="3D73BE39" w14:textId="28871C5B" w:rsidR="00E40437" w:rsidRPr="001A425F" w:rsidRDefault="00E40437" w:rsidP="000C6735">
            <w:pPr>
              <w:pStyle w:val="CETBodytext"/>
              <w:ind w:right="-1"/>
              <w:jc w:val="center"/>
              <w:rPr>
                <w:rFonts w:cs="Arial"/>
                <w:szCs w:val="18"/>
                <w:lang w:val="en-GB"/>
              </w:rPr>
            </w:pPr>
            <w:r w:rsidRPr="001A425F">
              <w:rPr>
                <w:rFonts w:cs="Arial"/>
                <w:szCs w:val="18"/>
                <w:lang w:val="en-GB"/>
              </w:rPr>
              <w:t>4</w:t>
            </w:r>
          </w:p>
        </w:tc>
        <w:tc>
          <w:tcPr>
            <w:tcW w:w="1021" w:type="dxa"/>
            <w:tcBorders>
              <w:top w:val="single" w:sz="12" w:space="0" w:color="008000"/>
              <w:bottom w:val="single" w:sz="6" w:space="0" w:color="008000"/>
            </w:tcBorders>
            <w:shd w:val="clear" w:color="auto" w:fill="FFFFFF"/>
          </w:tcPr>
          <w:p w14:paraId="5A839C0C" w14:textId="3F17FC6D" w:rsidR="00E40437" w:rsidRPr="001A425F" w:rsidRDefault="00E40437" w:rsidP="000C6735">
            <w:pPr>
              <w:pStyle w:val="CETBodytext"/>
              <w:ind w:right="-1"/>
              <w:jc w:val="center"/>
              <w:rPr>
                <w:rFonts w:cs="Arial"/>
                <w:szCs w:val="18"/>
                <w:lang w:val="en-GB"/>
              </w:rPr>
            </w:pPr>
            <w:r w:rsidRPr="001A425F">
              <w:rPr>
                <w:rFonts w:cs="Arial"/>
                <w:szCs w:val="18"/>
                <w:lang w:val="en-GB"/>
              </w:rPr>
              <w:t>5</w:t>
            </w:r>
          </w:p>
        </w:tc>
      </w:tr>
      <w:tr w:rsidR="00E40437" w:rsidRPr="001A425F" w14:paraId="5A7E7F35" w14:textId="06066695" w:rsidTr="00C749DD">
        <w:tc>
          <w:tcPr>
            <w:tcW w:w="1276" w:type="dxa"/>
            <w:shd w:val="clear" w:color="auto" w:fill="FFFFFF"/>
          </w:tcPr>
          <w:p w14:paraId="1501E1BB" w14:textId="527B3CD8" w:rsidR="00E40437" w:rsidRPr="001A425F" w:rsidRDefault="001A425F" w:rsidP="000D1052">
            <w:pPr>
              <w:pStyle w:val="CETBodytext"/>
              <w:rPr>
                <w:lang w:val="en-GB"/>
              </w:rPr>
            </w:pPr>
            <w:r w:rsidRPr="001A425F">
              <w:rPr>
                <w:lang w:val="en-GB"/>
              </w:rPr>
              <w:t>DMC</w:t>
            </w:r>
            <w:r>
              <w:rPr>
                <w:lang w:val="en-GB"/>
              </w:rPr>
              <w:t xml:space="preserve">, </w:t>
            </w:r>
            <w:r w:rsidRPr="00333AA5">
              <w:rPr>
                <w:i/>
                <w:iCs/>
                <w:vertAlign w:val="subscript"/>
                <w:lang w:val="en-GB"/>
              </w:rPr>
              <w:t>ref</w:t>
            </w:r>
          </w:p>
        </w:tc>
        <w:tc>
          <w:tcPr>
            <w:tcW w:w="879" w:type="dxa"/>
            <w:shd w:val="clear" w:color="auto" w:fill="FFFFFF"/>
          </w:tcPr>
          <w:p w14:paraId="043D83FA" w14:textId="0D74BA1D" w:rsidR="00E40437" w:rsidRPr="001A425F" w:rsidRDefault="001A425F" w:rsidP="000C6735">
            <w:pPr>
              <w:pStyle w:val="CETBodytext"/>
              <w:jc w:val="center"/>
              <w:rPr>
                <w:lang w:val="en-GB"/>
              </w:rPr>
            </w:pPr>
            <w:r>
              <w:t>0.250</w:t>
            </w:r>
          </w:p>
        </w:tc>
        <w:tc>
          <w:tcPr>
            <w:tcW w:w="1021" w:type="dxa"/>
            <w:shd w:val="clear" w:color="auto" w:fill="FFFFFF"/>
          </w:tcPr>
          <w:p w14:paraId="46FCB469" w14:textId="191FC879" w:rsidR="00E40437" w:rsidRPr="001A425F" w:rsidRDefault="00C749DD" w:rsidP="000C6735">
            <w:pPr>
              <w:pStyle w:val="CETBodytext"/>
              <w:jc w:val="center"/>
              <w:rPr>
                <w:lang w:val="en-GB"/>
              </w:rPr>
            </w:pPr>
            <w:r>
              <w:t>0.176</w:t>
            </w:r>
          </w:p>
        </w:tc>
        <w:tc>
          <w:tcPr>
            <w:tcW w:w="1021" w:type="dxa"/>
            <w:shd w:val="clear" w:color="auto" w:fill="FFFFFF"/>
          </w:tcPr>
          <w:p w14:paraId="67A1E886" w14:textId="23C42936" w:rsidR="00E40437" w:rsidRPr="001A425F" w:rsidRDefault="00C749DD" w:rsidP="000C6735">
            <w:pPr>
              <w:pStyle w:val="CETBodytext"/>
              <w:ind w:right="-1"/>
              <w:jc w:val="center"/>
              <w:rPr>
                <w:rFonts w:cs="Arial"/>
                <w:szCs w:val="18"/>
                <w:lang w:val="en-GB"/>
              </w:rPr>
            </w:pPr>
            <w:r>
              <w:t>0.053</w:t>
            </w:r>
          </w:p>
        </w:tc>
        <w:tc>
          <w:tcPr>
            <w:tcW w:w="1021" w:type="dxa"/>
            <w:shd w:val="clear" w:color="auto" w:fill="FFFFFF"/>
          </w:tcPr>
          <w:p w14:paraId="4962485A" w14:textId="3D0F3DC0" w:rsidR="00E40437" w:rsidRPr="001A425F" w:rsidRDefault="00C749DD" w:rsidP="000C6735">
            <w:pPr>
              <w:pStyle w:val="CETBodytext"/>
              <w:ind w:right="-1"/>
              <w:jc w:val="center"/>
              <w:rPr>
                <w:rFonts w:cs="Arial"/>
                <w:szCs w:val="18"/>
                <w:lang w:val="en-GB"/>
              </w:rPr>
            </w:pPr>
            <w:r>
              <w:t>0.028</w:t>
            </w:r>
          </w:p>
        </w:tc>
        <w:tc>
          <w:tcPr>
            <w:tcW w:w="1021" w:type="dxa"/>
            <w:shd w:val="clear" w:color="auto" w:fill="FFFFFF"/>
          </w:tcPr>
          <w:p w14:paraId="3E9A1D06" w14:textId="79E95D90" w:rsidR="00E40437" w:rsidRPr="001A425F" w:rsidRDefault="00C749DD" w:rsidP="000C6735">
            <w:pPr>
              <w:pStyle w:val="CETBodytext"/>
              <w:ind w:right="-1"/>
              <w:jc w:val="center"/>
            </w:pPr>
            <w:r>
              <w:t>0.048</w:t>
            </w:r>
          </w:p>
        </w:tc>
      </w:tr>
      <w:tr w:rsidR="00E40437" w:rsidRPr="001A425F" w14:paraId="05E47505" w14:textId="3958402E" w:rsidTr="00C749DD">
        <w:tc>
          <w:tcPr>
            <w:tcW w:w="1276" w:type="dxa"/>
            <w:shd w:val="clear" w:color="auto" w:fill="FFFFFF"/>
          </w:tcPr>
          <w:p w14:paraId="41E2FE47" w14:textId="36C0EFE2" w:rsidR="00E40437" w:rsidRPr="001A425F" w:rsidRDefault="001A425F" w:rsidP="000D1052">
            <w:pPr>
              <w:pStyle w:val="CETBodytext"/>
              <w:ind w:right="-1"/>
              <w:rPr>
                <w:rFonts w:cs="Arial"/>
                <w:szCs w:val="18"/>
                <w:lang w:val="en-GB"/>
              </w:rPr>
            </w:pPr>
            <w:r w:rsidRPr="001A425F">
              <w:rPr>
                <w:lang w:val="en-GB"/>
              </w:rPr>
              <w:t>DMC</w:t>
            </w:r>
            <w:r>
              <w:rPr>
                <w:lang w:val="en-GB"/>
              </w:rPr>
              <w:t xml:space="preserve">, </w:t>
            </w:r>
            <w:r w:rsidRPr="00333AA5">
              <w:rPr>
                <w:i/>
                <w:iCs/>
                <w:vertAlign w:val="subscript"/>
                <w:lang w:val="en-GB"/>
              </w:rPr>
              <w:t>simulated</w:t>
            </w:r>
          </w:p>
        </w:tc>
        <w:tc>
          <w:tcPr>
            <w:tcW w:w="879" w:type="dxa"/>
            <w:shd w:val="clear" w:color="auto" w:fill="FFFFFF"/>
          </w:tcPr>
          <w:p w14:paraId="3C41C475" w14:textId="4F91B5F2" w:rsidR="00E40437" w:rsidRPr="001A425F" w:rsidRDefault="001A425F" w:rsidP="000C6735">
            <w:pPr>
              <w:pStyle w:val="CETBodytext"/>
              <w:ind w:right="-1"/>
              <w:jc w:val="center"/>
              <w:rPr>
                <w:rFonts w:cs="Arial"/>
                <w:szCs w:val="18"/>
                <w:lang w:val="en-GB"/>
              </w:rPr>
            </w:pPr>
            <w:r>
              <w:rPr>
                <w:rFonts w:cs="Arial"/>
                <w:szCs w:val="18"/>
                <w:lang w:val="en-GB"/>
              </w:rPr>
              <w:t>0.252</w:t>
            </w:r>
          </w:p>
        </w:tc>
        <w:tc>
          <w:tcPr>
            <w:tcW w:w="1021" w:type="dxa"/>
            <w:shd w:val="clear" w:color="auto" w:fill="FFFFFF"/>
          </w:tcPr>
          <w:p w14:paraId="421A8E1A" w14:textId="5561F83A" w:rsidR="00E40437" w:rsidRPr="001A425F" w:rsidRDefault="00C749DD" w:rsidP="000C6735">
            <w:pPr>
              <w:pStyle w:val="CETBodytext"/>
              <w:ind w:right="-1"/>
              <w:jc w:val="center"/>
              <w:rPr>
                <w:rFonts w:cs="Arial"/>
                <w:szCs w:val="18"/>
                <w:lang w:val="en-GB"/>
              </w:rPr>
            </w:pPr>
            <w:r>
              <w:t>0.198</w:t>
            </w:r>
          </w:p>
        </w:tc>
        <w:tc>
          <w:tcPr>
            <w:tcW w:w="1021" w:type="dxa"/>
            <w:shd w:val="clear" w:color="auto" w:fill="FFFFFF"/>
          </w:tcPr>
          <w:p w14:paraId="0FCA4DDF" w14:textId="268416EA" w:rsidR="00E40437" w:rsidRPr="001A425F" w:rsidRDefault="00C749DD" w:rsidP="000C6735">
            <w:pPr>
              <w:pStyle w:val="CETBodytext"/>
              <w:ind w:right="-1"/>
              <w:jc w:val="center"/>
              <w:rPr>
                <w:rFonts w:cs="Arial"/>
                <w:szCs w:val="18"/>
                <w:lang w:val="en-GB"/>
              </w:rPr>
            </w:pPr>
            <w:r>
              <w:rPr>
                <w:rFonts w:cs="Arial"/>
                <w:szCs w:val="18"/>
                <w:lang w:val="en-GB"/>
              </w:rPr>
              <w:t>0.073</w:t>
            </w:r>
          </w:p>
        </w:tc>
        <w:tc>
          <w:tcPr>
            <w:tcW w:w="1021" w:type="dxa"/>
            <w:shd w:val="clear" w:color="auto" w:fill="FFFFFF"/>
          </w:tcPr>
          <w:p w14:paraId="5F1A0FFE" w14:textId="33124BB3" w:rsidR="00E40437" w:rsidRPr="001A425F" w:rsidRDefault="00C749DD" w:rsidP="000C6735">
            <w:pPr>
              <w:pStyle w:val="CETBodytext"/>
              <w:ind w:right="-1"/>
              <w:jc w:val="center"/>
              <w:rPr>
                <w:rFonts w:cs="Arial"/>
                <w:szCs w:val="18"/>
                <w:lang w:val="en-GB"/>
              </w:rPr>
            </w:pPr>
            <w:r>
              <w:t>0.040</w:t>
            </w:r>
          </w:p>
        </w:tc>
        <w:tc>
          <w:tcPr>
            <w:tcW w:w="1021" w:type="dxa"/>
            <w:shd w:val="clear" w:color="auto" w:fill="FFFFFF"/>
          </w:tcPr>
          <w:p w14:paraId="09A2E5C1" w14:textId="1B5F505D" w:rsidR="00E40437" w:rsidRPr="001A425F" w:rsidRDefault="00C749DD" w:rsidP="000C6735">
            <w:pPr>
              <w:pStyle w:val="CETBodytext"/>
              <w:ind w:right="-1"/>
              <w:jc w:val="center"/>
            </w:pPr>
            <w:r>
              <w:t>0.067</w:t>
            </w:r>
          </w:p>
        </w:tc>
      </w:tr>
      <w:tr w:rsidR="00E40437" w:rsidRPr="001A425F" w14:paraId="292699A6" w14:textId="4954C3B3" w:rsidTr="00C749DD">
        <w:tc>
          <w:tcPr>
            <w:tcW w:w="1276" w:type="dxa"/>
            <w:shd w:val="clear" w:color="auto" w:fill="FFFFFF"/>
          </w:tcPr>
          <w:p w14:paraId="2869E9F4" w14:textId="4C65072F" w:rsidR="00E40437" w:rsidRPr="001A425F" w:rsidRDefault="001A425F" w:rsidP="000D1052">
            <w:pPr>
              <w:pStyle w:val="CETBodytext"/>
              <w:ind w:right="-1"/>
              <w:rPr>
                <w:rFonts w:cs="Arial"/>
                <w:szCs w:val="18"/>
                <w:lang w:val="en-GB"/>
              </w:rPr>
            </w:pPr>
            <w:r>
              <w:rPr>
                <w:rFonts w:cs="Arial"/>
                <w:szCs w:val="18"/>
                <w:lang w:val="en-GB"/>
              </w:rPr>
              <w:t>Modelling</w:t>
            </w:r>
            <w:r w:rsidR="00F00EB6">
              <w:rPr>
                <w:rFonts w:cs="Arial"/>
                <w:szCs w:val="18"/>
                <w:lang w:val="en-GB"/>
              </w:rPr>
              <w:t xml:space="preserve"> e</w:t>
            </w:r>
            <w:r>
              <w:rPr>
                <w:rFonts w:cs="Arial"/>
                <w:szCs w:val="18"/>
                <w:lang w:val="en-GB"/>
              </w:rPr>
              <w:t>rror</w:t>
            </w:r>
          </w:p>
        </w:tc>
        <w:tc>
          <w:tcPr>
            <w:tcW w:w="879" w:type="dxa"/>
            <w:shd w:val="clear" w:color="auto" w:fill="FFFFFF"/>
          </w:tcPr>
          <w:p w14:paraId="024104C5" w14:textId="004E4B6B" w:rsidR="00E40437" w:rsidRPr="001A425F" w:rsidRDefault="001A425F" w:rsidP="000C6735">
            <w:pPr>
              <w:pStyle w:val="CETBodytext"/>
              <w:ind w:right="-1"/>
              <w:jc w:val="center"/>
              <w:rPr>
                <w:rFonts w:cs="Arial"/>
                <w:szCs w:val="18"/>
                <w:lang w:val="en-GB"/>
              </w:rPr>
            </w:pPr>
            <w:r>
              <w:rPr>
                <w:rFonts w:cs="Arial"/>
                <w:szCs w:val="18"/>
                <w:lang w:val="en-GB"/>
              </w:rPr>
              <w:t>0.002</w:t>
            </w:r>
          </w:p>
        </w:tc>
        <w:tc>
          <w:tcPr>
            <w:tcW w:w="1021" w:type="dxa"/>
            <w:shd w:val="clear" w:color="auto" w:fill="FFFFFF"/>
          </w:tcPr>
          <w:p w14:paraId="1360A5DA" w14:textId="0822CED7" w:rsidR="00E40437" w:rsidRPr="001A425F" w:rsidRDefault="00C749DD" w:rsidP="000C6735">
            <w:pPr>
              <w:pStyle w:val="CETBodytext"/>
              <w:ind w:right="-1"/>
              <w:jc w:val="center"/>
              <w:rPr>
                <w:rFonts w:cs="Arial"/>
                <w:szCs w:val="18"/>
                <w:lang w:val="en-GB"/>
              </w:rPr>
            </w:pPr>
            <w:r>
              <w:t>0.022</w:t>
            </w:r>
          </w:p>
        </w:tc>
        <w:tc>
          <w:tcPr>
            <w:tcW w:w="1021" w:type="dxa"/>
            <w:shd w:val="clear" w:color="auto" w:fill="FFFFFF"/>
          </w:tcPr>
          <w:p w14:paraId="7DC75D15" w14:textId="08AE5926" w:rsidR="00E40437" w:rsidRPr="001A425F" w:rsidRDefault="00C749DD" w:rsidP="000C6735">
            <w:pPr>
              <w:pStyle w:val="CETBodytext"/>
              <w:ind w:right="-1"/>
              <w:jc w:val="center"/>
              <w:rPr>
                <w:rFonts w:cs="Arial"/>
                <w:szCs w:val="18"/>
                <w:lang w:val="en-GB"/>
              </w:rPr>
            </w:pPr>
            <w:r>
              <w:rPr>
                <w:rFonts w:cs="Arial"/>
                <w:szCs w:val="18"/>
                <w:lang w:val="en-GB"/>
              </w:rPr>
              <w:t>0.020</w:t>
            </w:r>
          </w:p>
        </w:tc>
        <w:tc>
          <w:tcPr>
            <w:tcW w:w="1021" w:type="dxa"/>
            <w:shd w:val="clear" w:color="auto" w:fill="FFFFFF"/>
          </w:tcPr>
          <w:p w14:paraId="644AEB02" w14:textId="1D4D803F" w:rsidR="00E40437" w:rsidRPr="001A425F" w:rsidRDefault="00C749DD" w:rsidP="000C6735">
            <w:pPr>
              <w:pStyle w:val="CETBodytext"/>
              <w:ind w:right="-1"/>
              <w:jc w:val="center"/>
              <w:rPr>
                <w:rFonts w:cs="Arial"/>
                <w:szCs w:val="18"/>
                <w:lang w:val="en-GB"/>
              </w:rPr>
            </w:pPr>
            <w:r>
              <w:t>0.012</w:t>
            </w:r>
          </w:p>
        </w:tc>
        <w:tc>
          <w:tcPr>
            <w:tcW w:w="1021" w:type="dxa"/>
            <w:shd w:val="clear" w:color="auto" w:fill="FFFFFF"/>
          </w:tcPr>
          <w:p w14:paraId="53E498C5" w14:textId="1F0F150B" w:rsidR="00E40437" w:rsidRPr="001A425F" w:rsidRDefault="00C749DD" w:rsidP="000C6735">
            <w:pPr>
              <w:pStyle w:val="CETBodytext"/>
              <w:ind w:right="-1"/>
              <w:jc w:val="center"/>
            </w:pPr>
            <w:r>
              <w:t>0.019</w:t>
            </w:r>
          </w:p>
        </w:tc>
      </w:tr>
      <w:tr w:rsidR="00E40437" w:rsidRPr="001A425F" w14:paraId="472A0CCD" w14:textId="03C5A93E" w:rsidTr="00C749DD">
        <w:tc>
          <w:tcPr>
            <w:tcW w:w="1276" w:type="dxa"/>
            <w:shd w:val="clear" w:color="auto" w:fill="FFFFFF"/>
          </w:tcPr>
          <w:p w14:paraId="48E13AB0" w14:textId="463E89B0" w:rsidR="00E40437" w:rsidRPr="001A425F" w:rsidRDefault="001A425F" w:rsidP="000D1052">
            <w:pPr>
              <w:pStyle w:val="CETBodytext"/>
              <w:ind w:right="-1"/>
              <w:rPr>
                <w:rFonts w:cs="Arial"/>
                <w:szCs w:val="18"/>
                <w:lang w:val="en-GB"/>
              </w:rPr>
            </w:pPr>
            <w:r>
              <w:rPr>
                <w:rFonts w:cs="Arial"/>
                <w:szCs w:val="18"/>
                <w:lang w:val="en-GB"/>
              </w:rPr>
              <w:t>CO</w:t>
            </w:r>
            <w:r w:rsidRPr="001A425F">
              <w:rPr>
                <w:rFonts w:cs="Arial"/>
                <w:szCs w:val="18"/>
                <w:vertAlign w:val="subscript"/>
                <w:lang w:val="en-GB"/>
              </w:rPr>
              <w:t xml:space="preserve">2, </w:t>
            </w:r>
            <w:r w:rsidRPr="00333AA5">
              <w:rPr>
                <w:rFonts w:cs="Arial"/>
                <w:i/>
                <w:iCs/>
                <w:szCs w:val="18"/>
                <w:vertAlign w:val="subscript"/>
                <w:lang w:val="en-GB"/>
              </w:rPr>
              <w:t>ref</w:t>
            </w:r>
          </w:p>
        </w:tc>
        <w:tc>
          <w:tcPr>
            <w:tcW w:w="879" w:type="dxa"/>
            <w:shd w:val="clear" w:color="auto" w:fill="FFFFFF"/>
          </w:tcPr>
          <w:p w14:paraId="0395536C" w14:textId="54F19320" w:rsidR="00E40437" w:rsidRPr="001A425F" w:rsidRDefault="00C749DD" w:rsidP="000C6735">
            <w:pPr>
              <w:pStyle w:val="CETBodytext"/>
              <w:ind w:right="-1"/>
              <w:jc w:val="center"/>
              <w:rPr>
                <w:rFonts w:cs="Arial"/>
                <w:szCs w:val="18"/>
                <w:lang w:val="en-GB"/>
              </w:rPr>
            </w:pPr>
            <w:r>
              <w:rPr>
                <w:rFonts w:cs="Arial"/>
                <w:szCs w:val="18"/>
                <w:lang w:val="en-GB"/>
              </w:rPr>
              <w:t>0.167</w:t>
            </w:r>
          </w:p>
        </w:tc>
        <w:tc>
          <w:tcPr>
            <w:tcW w:w="1021" w:type="dxa"/>
            <w:shd w:val="clear" w:color="auto" w:fill="FFFFFF"/>
          </w:tcPr>
          <w:p w14:paraId="12AE15C7" w14:textId="5635ACA1" w:rsidR="00E40437" w:rsidRPr="001A425F" w:rsidRDefault="00C749DD" w:rsidP="000C6735">
            <w:pPr>
              <w:pStyle w:val="CETBodytext"/>
              <w:ind w:right="-1"/>
              <w:jc w:val="center"/>
              <w:rPr>
                <w:rFonts w:cs="Arial"/>
                <w:szCs w:val="18"/>
                <w:lang w:val="en-GB"/>
              </w:rPr>
            </w:pPr>
            <w:r>
              <w:t>0.412</w:t>
            </w:r>
          </w:p>
        </w:tc>
        <w:tc>
          <w:tcPr>
            <w:tcW w:w="1021" w:type="dxa"/>
            <w:shd w:val="clear" w:color="auto" w:fill="FFFFFF"/>
          </w:tcPr>
          <w:p w14:paraId="3B8627F8" w14:textId="6997D444" w:rsidR="00E40437" w:rsidRPr="001A425F" w:rsidRDefault="00C749DD" w:rsidP="000C6735">
            <w:pPr>
              <w:pStyle w:val="CETBodytext"/>
              <w:ind w:right="-1"/>
              <w:jc w:val="center"/>
              <w:rPr>
                <w:rFonts w:cs="Arial"/>
                <w:szCs w:val="18"/>
                <w:lang w:val="en-GB"/>
              </w:rPr>
            </w:pPr>
            <w:r>
              <w:rPr>
                <w:rFonts w:cs="Arial"/>
                <w:szCs w:val="18"/>
                <w:lang w:val="en-GB"/>
              </w:rPr>
              <w:t>0.824</w:t>
            </w:r>
          </w:p>
        </w:tc>
        <w:tc>
          <w:tcPr>
            <w:tcW w:w="1021" w:type="dxa"/>
            <w:shd w:val="clear" w:color="auto" w:fill="FFFFFF"/>
          </w:tcPr>
          <w:p w14:paraId="24B8232C" w14:textId="44DCC5E3" w:rsidR="00E40437" w:rsidRPr="001A425F" w:rsidRDefault="00C749DD" w:rsidP="000C6735">
            <w:pPr>
              <w:pStyle w:val="CETBodytext"/>
              <w:ind w:right="-1"/>
              <w:jc w:val="center"/>
              <w:rPr>
                <w:rFonts w:cs="Arial"/>
                <w:szCs w:val="18"/>
                <w:lang w:val="en-GB"/>
              </w:rPr>
            </w:pPr>
            <w:r>
              <w:t>0.907</w:t>
            </w:r>
          </w:p>
        </w:tc>
        <w:tc>
          <w:tcPr>
            <w:tcW w:w="1021" w:type="dxa"/>
            <w:shd w:val="clear" w:color="auto" w:fill="FFFFFF"/>
          </w:tcPr>
          <w:p w14:paraId="50FA63AC" w14:textId="6A51F59A" w:rsidR="00E40437" w:rsidRPr="001A425F" w:rsidRDefault="00C749DD" w:rsidP="000C6735">
            <w:pPr>
              <w:pStyle w:val="CETBodytext"/>
              <w:ind w:right="-1"/>
              <w:jc w:val="center"/>
            </w:pPr>
            <w:r>
              <w:t>0.904</w:t>
            </w:r>
          </w:p>
        </w:tc>
      </w:tr>
      <w:tr w:rsidR="00E40437" w:rsidRPr="001A425F" w14:paraId="696ABB15" w14:textId="30CEA782" w:rsidTr="00C749DD">
        <w:tc>
          <w:tcPr>
            <w:tcW w:w="1276" w:type="dxa"/>
            <w:shd w:val="clear" w:color="auto" w:fill="FFFFFF"/>
          </w:tcPr>
          <w:p w14:paraId="3339E8B1" w14:textId="798414A3" w:rsidR="00E40437" w:rsidRPr="001A425F" w:rsidRDefault="001A425F" w:rsidP="000D1052">
            <w:pPr>
              <w:pStyle w:val="CETBodytext"/>
              <w:ind w:right="-1"/>
              <w:rPr>
                <w:rFonts w:cs="Arial"/>
                <w:szCs w:val="18"/>
                <w:lang w:val="en-GB"/>
              </w:rPr>
            </w:pPr>
            <w:r>
              <w:rPr>
                <w:rFonts w:cs="Arial"/>
                <w:szCs w:val="18"/>
                <w:lang w:val="en-GB"/>
              </w:rPr>
              <w:t>CO</w:t>
            </w:r>
            <w:r w:rsidRPr="001A425F">
              <w:rPr>
                <w:rFonts w:cs="Arial"/>
                <w:szCs w:val="18"/>
                <w:vertAlign w:val="subscript"/>
                <w:lang w:val="en-GB"/>
              </w:rPr>
              <w:t xml:space="preserve">2, </w:t>
            </w:r>
            <w:r w:rsidRPr="00333AA5">
              <w:rPr>
                <w:rFonts w:cs="Arial"/>
                <w:i/>
                <w:iCs/>
                <w:szCs w:val="18"/>
                <w:vertAlign w:val="subscript"/>
                <w:lang w:val="en-GB"/>
              </w:rPr>
              <w:t>simulated</w:t>
            </w:r>
          </w:p>
        </w:tc>
        <w:tc>
          <w:tcPr>
            <w:tcW w:w="879" w:type="dxa"/>
            <w:shd w:val="clear" w:color="auto" w:fill="FFFFFF"/>
          </w:tcPr>
          <w:p w14:paraId="4FA0AE6F" w14:textId="419473A1" w:rsidR="00E40437" w:rsidRPr="001A425F" w:rsidRDefault="00C749DD" w:rsidP="000C6735">
            <w:pPr>
              <w:pStyle w:val="CETBodytext"/>
              <w:ind w:right="-1"/>
              <w:jc w:val="center"/>
              <w:rPr>
                <w:rFonts w:cs="Arial"/>
                <w:szCs w:val="18"/>
                <w:lang w:val="en-GB"/>
              </w:rPr>
            </w:pPr>
            <w:r>
              <w:rPr>
                <w:rFonts w:cs="Arial"/>
                <w:szCs w:val="18"/>
                <w:lang w:val="en-GB"/>
              </w:rPr>
              <w:t>0.164</w:t>
            </w:r>
          </w:p>
        </w:tc>
        <w:tc>
          <w:tcPr>
            <w:tcW w:w="1021" w:type="dxa"/>
            <w:shd w:val="clear" w:color="auto" w:fill="FFFFFF"/>
          </w:tcPr>
          <w:p w14:paraId="6250B3E3" w14:textId="2AB49B29" w:rsidR="00E40437" w:rsidRPr="001A425F" w:rsidRDefault="00C749DD" w:rsidP="000C6735">
            <w:pPr>
              <w:pStyle w:val="CETBodytext"/>
              <w:ind w:right="-1"/>
              <w:jc w:val="center"/>
              <w:rPr>
                <w:rFonts w:cs="Arial"/>
                <w:szCs w:val="18"/>
                <w:lang w:val="en-GB"/>
              </w:rPr>
            </w:pPr>
            <w:r>
              <w:t>0.367</w:t>
            </w:r>
          </w:p>
        </w:tc>
        <w:tc>
          <w:tcPr>
            <w:tcW w:w="1021" w:type="dxa"/>
            <w:shd w:val="clear" w:color="auto" w:fill="FFFFFF"/>
          </w:tcPr>
          <w:p w14:paraId="4D11E3F4" w14:textId="5B612922" w:rsidR="00E40437" w:rsidRPr="001A425F" w:rsidRDefault="00C749DD" w:rsidP="000C6735">
            <w:pPr>
              <w:pStyle w:val="CETBodytext"/>
              <w:ind w:right="-1"/>
              <w:jc w:val="center"/>
              <w:rPr>
                <w:rFonts w:cs="Arial"/>
                <w:szCs w:val="18"/>
                <w:lang w:val="en-GB"/>
              </w:rPr>
            </w:pPr>
            <w:r>
              <w:rPr>
                <w:rFonts w:cs="Arial"/>
                <w:szCs w:val="18"/>
                <w:lang w:val="en-GB"/>
              </w:rPr>
              <w:t>0.784</w:t>
            </w:r>
          </w:p>
        </w:tc>
        <w:tc>
          <w:tcPr>
            <w:tcW w:w="1021" w:type="dxa"/>
            <w:shd w:val="clear" w:color="auto" w:fill="FFFFFF"/>
          </w:tcPr>
          <w:p w14:paraId="4262F556" w14:textId="772D581A" w:rsidR="00E40437" w:rsidRPr="001A425F" w:rsidRDefault="00C749DD" w:rsidP="000C6735">
            <w:pPr>
              <w:pStyle w:val="CETBodytext"/>
              <w:ind w:right="-1"/>
              <w:jc w:val="center"/>
              <w:rPr>
                <w:rFonts w:cs="Arial"/>
                <w:szCs w:val="18"/>
                <w:lang w:val="en-GB"/>
              </w:rPr>
            </w:pPr>
            <w:r>
              <w:t>0.882</w:t>
            </w:r>
          </w:p>
        </w:tc>
        <w:tc>
          <w:tcPr>
            <w:tcW w:w="1021" w:type="dxa"/>
            <w:shd w:val="clear" w:color="auto" w:fill="FFFFFF"/>
          </w:tcPr>
          <w:p w14:paraId="02FD00E5" w14:textId="2B5D58B2" w:rsidR="00E40437" w:rsidRPr="001A425F" w:rsidRDefault="00C749DD" w:rsidP="000C6735">
            <w:pPr>
              <w:pStyle w:val="CETBodytext"/>
              <w:ind w:right="-1"/>
              <w:jc w:val="center"/>
            </w:pPr>
            <w:r>
              <w:t>0.864</w:t>
            </w:r>
          </w:p>
        </w:tc>
      </w:tr>
      <w:tr w:rsidR="001A425F" w:rsidRPr="001A425F" w14:paraId="017419A9" w14:textId="77777777" w:rsidTr="00C749DD">
        <w:tc>
          <w:tcPr>
            <w:tcW w:w="1276" w:type="dxa"/>
            <w:shd w:val="clear" w:color="auto" w:fill="FFFFFF"/>
          </w:tcPr>
          <w:p w14:paraId="14546498" w14:textId="71EBD3B9" w:rsidR="001A425F" w:rsidRDefault="001A425F" w:rsidP="000D1052">
            <w:pPr>
              <w:pStyle w:val="CETBodytext"/>
              <w:ind w:right="-1"/>
              <w:rPr>
                <w:rFonts w:cs="Arial"/>
                <w:szCs w:val="18"/>
                <w:lang w:val="en-GB"/>
              </w:rPr>
            </w:pPr>
            <w:r>
              <w:rPr>
                <w:rFonts w:cs="Arial"/>
                <w:szCs w:val="18"/>
                <w:lang w:val="en-GB"/>
              </w:rPr>
              <w:t xml:space="preserve">Modelling </w:t>
            </w:r>
            <w:r w:rsidR="00F00EB6">
              <w:rPr>
                <w:rFonts w:cs="Arial"/>
                <w:szCs w:val="18"/>
                <w:lang w:val="en-GB"/>
              </w:rPr>
              <w:t>e</w:t>
            </w:r>
            <w:r>
              <w:rPr>
                <w:rFonts w:cs="Arial"/>
                <w:szCs w:val="18"/>
                <w:lang w:val="en-GB"/>
              </w:rPr>
              <w:t>rror</w:t>
            </w:r>
          </w:p>
        </w:tc>
        <w:tc>
          <w:tcPr>
            <w:tcW w:w="879" w:type="dxa"/>
            <w:shd w:val="clear" w:color="auto" w:fill="FFFFFF"/>
          </w:tcPr>
          <w:p w14:paraId="04A3C542" w14:textId="225ED5E0" w:rsidR="001A425F" w:rsidRPr="001A425F" w:rsidRDefault="00C749DD" w:rsidP="000C6735">
            <w:pPr>
              <w:pStyle w:val="CETBodytext"/>
              <w:ind w:right="-1"/>
              <w:jc w:val="center"/>
              <w:rPr>
                <w:rFonts w:cs="Arial"/>
                <w:szCs w:val="18"/>
                <w:lang w:val="en-GB"/>
              </w:rPr>
            </w:pPr>
            <w:r>
              <w:rPr>
                <w:rFonts w:cs="Arial"/>
                <w:szCs w:val="18"/>
                <w:lang w:val="en-GB"/>
              </w:rPr>
              <w:t>-0.003</w:t>
            </w:r>
          </w:p>
        </w:tc>
        <w:tc>
          <w:tcPr>
            <w:tcW w:w="1021" w:type="dxa"/>
            <w:shd w:val="clear" w:color="auto" w:fill="FFFFFF"/>
          </w:tcPr>
          <w:p w14:paraId="19D324A2" w14:textId="0FF3730F" w:rsidR="001A425F" w:rsidRPr="001A425F" w:rsidRDefault="00C749DD" w:rsidP="000C6735">
            <w:pPr>
              <w:pStyle w:val="CETBodytext"/>
              <w:ind w:right="-1"/>
              <w:jc w:val="center"/>
            </w:pPr>
            <w:r>
              <w:t>-0.045</w:t>
            </w:r>
          </w:p>
        </w:tc>
        <w:tc>
          <w:tcPr>
            <w:tcW w:w="1021" w:type="dxa"/>
            <w:shd w:val="clear" w:color="auto" w:fill="FFFFFF"/>
          </w:tcPr>
          <w:p w14:paraId="54312268" w14:textId="6189F5FE" w:rsidR="001A425F" w:rsidRPr="001A425F" w:rsidRDefault="00C749DD" w:rsidP="000C6735">
            <w:pPr>
              <w:pStyle w:val="CETBodytext"/>
              <w:ind w:right="-1"/>
              <w:jc w:val="center"/>
              <w:rPr>
                <w:rFonts w:cs="Arial"/>
                <w:szCs w:val="18"/>
                <w:lang w:val="en-GB"/>
              </w:rPr>
            </w:pPr>
            <w:r>
              <w:rPr>
                <w:rFonts w:cs="Arial"/>
                <w:szCs w:val="18"/>
                <w:lang w:val="en-GB"/>
              </w:rPr>
              <w:t>-0.040</w:t>
            </w:r>
          </w:p>
        </w:tc>
        <w:tc>
          <w:tcPr>
            <w:tcW w:w="1021" w:type="dxa"/>
            <w:shd w:val="clear" w:color="auto" w:fill="FFFFFF"/>
          </w:tcPr>
          <w:p w14:paraId="7C01DB86" w14:textId="0C8D15CF" w:rsidR="001A425F" w:rsidRPr="001A425F" w:rsidRDefault="00C749DD" w:rsidP="000C6735">
            <w:pPr>
              <w:pStyle w:val="CETBodytext"/>
              <w:ind w:right="-1"/>
              <w:jc w:val="center"/>
            </w:pPr>
            <w:r>
              <w:t>-0</w:t>
            </w:r>
            <w:r w:rsidR="005B680F">
              <w:t>.</w:t>
            </w:r>
            <w:r>
              <w:t>025</w:t>
            </w:r>
          </w:p>
        </w:tc>
        <w:tc>
          <w:tcPr>
            <w:tcW w:w="1021" w:type="dxa"/>
            <w:shd w:val="clear" w:color="auto" w:fill="FFFFFF"/>
          </w:tcPr>
          <w:p w14:paraId="6E4FAB86" w14:textId="32F18FAA" w:rsidR="001A425F" w:rsidRPr="001A425F" w:rsidRDefault="00C749DD" w:rsidP="000C6735">
            <w:pPr>
              <w:pStyle w:val="CETBodytext"/>
              <w:ind w:right="-1"/>
              <w:jc w:val="center"/>
            </w:pPr>
            <w:r>
              <w:t>-0.040</w:t>
            </w:r>
          </w:p>
        </w:tc>
      </w:tr>
    </w:tbl>
    <w:p w14:paraId="4C3E5263" w14:textId="718B8DB1" w:rsidR="00026BE6" w:rsidRPr="00026BE6" w:rsidRDefault="00026BE6" w:rsidP="00FF563E">
      <w:pPr>
        <w:pStyle w:val="CETHeading1"/>
        <w:numPr>
          <w:ilvl w:val="0"/>
          <w:numId w:val="0"/>
        </w:numPr>
        <w:jc w:val="both"/>
      </w:pPr>
      <w:bookmarkStart w:id="1" w:name="_Hlk195542230"/>
      <w:r w:rsidRPr="00026BE6">
        <w:rPr>
          <w:b w:val="0"/>
          <w:sz w:val="18"/>
          <w:lang w:val="en-GB"/>
        </w:rPr>
        <w:t>The DMC synthesis model</w:t>
      </w:r>
      <w:r w:rsidR="008C2F5B">
        <w:rPr>
          <w:b w:val="0"/>
          <w:sz w:val="18"/>
          <w:lang w:val="en-GB"/>
        </w:rPr>
        <w:t xml:space="preserve"> has been</w:t>
      </w:r>
      <w:r w:rsidRPr="00026BE6">
        <w:rPr>
          <w:b w:val="0"/>
          <w:sz w:val="18"/>
          <w:lang w:val="en-GB"/>
        </w:rPr>
        <w:t xml:space="preserve"> utilized in the study by Tiiro et al. (202</w:t>
      </w:r>
      <w:r w:rsidR="004D0A20">
        <w:rPr>
          <w:b w:val="0"/>
          <w:sz w:val="18"/>
          <w:lang w:val="en-GB"/>
        </w:rPr>
        <w:t>5</w:t>
      </w:r>
      <w:r w:rsidRPr="00026BE6">
        <w:rPr>
          <w:b w:val="0"/>
          <w:sz w:val="18"/>
          <w:lang w:val="en-GB"/>
        </w:rPr>
        <w:t xml:space="preserve">), where it </w:t>
      </w:r>
      <w:r w:rsidR="008C2F5B">
        <w:rPr>
          <w:b w:val="0"/>
          <w:sz w:val="18"/>
          <w:lang w:val="en-GB"/>
        </w:rPr>
        <w:t>is</w:t>
      </w:r>
      <w:r w:rsidRPr="00026BE6">
        <w:rPr>
          <w:b w:val="0"/>
          <w:sz w:val="18"/>
          <w:lang w:val="en-GB"/>
        </w:rPr>
        <w:t xml:space="preserve"> integrated into a </w:t>
      </w:r>
      <w:r w:rsidR="00FF563E">
        <w:rPr>
          <w:b w:val="0"/>
          <w:sz w:val="18"/>
          <w:lang w:val="en-GB"/>
        </w:rPr>
        <w:t xml:space="preserve">model of </w:t>
      </w:r>
      <w:r w:rsidRPr="00026BE6">
        <w:rPr>
          <w:b w:val="0"/>
          <w:sz w:val="18"/>
          <w:lang w:val="en-GB"/>
        </w:rPr>
        <w:t xml:space="preserve">carbon capture and utilization (CCU) process chain. In that context, the model </w:t>
      </w:r>
      <w:r w:rsidR="008C2F5B">
        <w:rPr>
          <w:b w:val="0"/>
          <w:sz w:val="18"/>
          <w:lang w:val="en-GB"/>
        </w:rPr>
        <w:t>is</w:t>
      </w:r>
      <w:r w:rsidRPr="00026BE6">
        <w:rPr>
          <w:b w:val="0"/>
          <w:sz w:val="18"/>
          <w:lang w:val="en-GB"/>
        </w:rPr>
        <w:t xml:space="preserve"> used to simulate </w:t>
      </w:r>
      <w:r w:rsidR="008C2F5B">
        <w:rPr>
          <w:b w:val="0"/>
          <w:sz w:val="18"/>
          <w:lang w:val="en-GB"/>
        </w:rPr>
        <w:t>DMC-</w:t>
      </w:r>
      <w:r w:rsidRPr="00026BE6">
        <w:rPr>
          <w:b w:val="0"/>
          <w:sz w:val="18"/>
          <w:lang w:val="en-GB"/>
        </w:rPr>
        <w:t xml:space="preserve">subprocess performance under varying </w:t>
      </w:r>
      <w:r w:rsidR="00FF563E">
        <w:rPr>
          <w:b w:val="0"/>
          <w:sz w:val="18"/>
          <w:lang w:val="en-GB"/>
        </w:rPr>
        <w:t xml:space="preserve">dynamic operating </w:t>
      </w:r>
      <w:r w:rsidRPr="00026BE6">
        <w:rPr>
          <w:b w:val="0"/>
          <w:sz w:val="18"/>
          <w:lang w:val="en-GB"/>
        </w:rPr>
        <w:t xml:space="preserve">conditions, </w:t>
      </w:r>
      <w:r w:rsidR="00FF563E">
        <w:rPr>
          <w:b w:val="0"/>
          <w:sz w:val="18"/>
          <w:lang w:val="en-GB"/>
        </w:rPr>
        <w:t xml:space="preserve">thus </w:t>
      </w:r>
      <w:r w:rsidRPr="00026BE6">
        <w:rPr>
          <w:b w:val="0"/>
          <w:sz w:val="18"/>
          <w:lang w:val="en-GB"/>
        </w:rPr>
        <w:t>supporting system identification.</w:t>
      </w:r>
    </w:p>
    <w:bookmarkEnd w:id="1"/>
    <w:p w14:paraId="23EAF467" w14:textId="3F5F75FD" w:rsidR="00BD15F4" w:rsidRPr="00BD15F4" w:rsidRDefault="00F22FC9" w:rsidP="00BD15F4">
      <w:pPr>
        <w:pStyle w:val="CETHeading1"/>
      </w:pPr>
      <w:r w:rsidRPr="00BD15F4">
        <w:t>Conclusions</w:t>
      </w:r>
    </w:p>
    <w:p w14:paraId="6C9FB15C" w14:textId="63E3F5E0" w:rsidR="00F22FC9" w:rsidRDefault="00631FFE" w:rsidP="00631FFE">
      <w:pPr>
        <w:pStyle w:val="CETBodytext"/>
        <w:rPr>
          <w:lang w:val="en-GB"/>
        </w:rPr>
      </w:pPr>
      <w:r w:rsidRPr="00631FFE">
        <w:rPr>
          <w:lang w:val="en-GB"/>
        </w:rPr>
        <w:t xml:space="preserve">This article provides a brief overview of DMC synthesis, its background, and key research interests. A model structure for direct DMC synthesis was developed and tested </w:t>
      </w:r>
      <w:r w:rsidR="00DD0173">
        <w:rPr>
          <w:lang w:val="en-GB"/>
        </w:rPr>
        <w:t>with</w:t>
      </w:r>
      <w:r w:rsidRPr="00631FFE">
        <w:rPr>
          <w:lang w:val="en-GB"/>
        </w:rPr>
        <w:t xml:space="preserve"> a </w:t>
      </w:r>
      <w:r w:rsidR="00DD0173">
        <w:rPr>
          <w:lang w:val="en-GB"/>
        </w:rPr>
        <w:t xml:space="preserve">real </w:t>
      </w:r>
      <w:r w:rsidRPr="00631FFE">
        <w:rPr>
          <w:lang w:val="en-GB"/>
        </w:rPr>
        <w:t xml:space="preserve">dataset. The model, based on differential equations representing the main reaction, was optimized </w:t>
      </w:r>
      <w:r w:rsidR="00DD0173">
        <w:rPr>
          <w:lang w:val="en-GB"/>
        </w:rPr>
        <w:t>using</w:t>
      </w:r>
      <w:r w:rsidRPr="00631FFE">
        <w:rPr>
          <w:lang w:val="en-GB"/>
        </w:rPr>
        <w:t xml:space="preserve"> the Differential Evolution (DE) algorithm.</w:t>
      </w:r>
      <w:r w:rsidR="009B48E2">
        <w:rPr>
          <w:lang w:val="en-GB"/>
        </w:rPr>
        <w:t xml:space="preserve"> </w:t>
      </w:r>
      <w:r w:rsidRPr="00631FFE">
        <w:rPr>
          <w:lang w:val="en-GB"/>
        </w:rPr>
        <w:t xml:space="preserve">The 16-parameter model </w:t>
      </w:r>
      <w:r w:rsidR="00FF563E">
        <w:rPr>
          <w:lang w:val="en-GB"/>
        </w:rPr>
        <w:t xml:space="preserve">was applied to </w:t>
      </w:r>
      <w:r w:rsidRPr="00631FFE">
        <w:rPr>
          <w:lang w:val="en-GB"/>
        </w:rPr>
        <w:t>accurately predic</w:t>
      </w:r>
      <w:r w:rsidR="00FF563E">
        <w:rPr>
          <w:lang w:val="en-GB"/>
        </w:rPr>
        <w:t>t</w:t>
      </w:r>
      <w:r w:rsidRPr="00631FFE">
        <w:rPr>
          <w:lang w:val="en-GB"/>
        </w:rPr>
        <w:t xml:space="preserve"> reacting mixture compositions, closely matching</w:t>
      </w:r>
      <w:r w:rsidR="00E82A6D">
        <w:rPr>
          <w:lang w:val="en-GB"/>
        </w:rPr>
        <w:t xml:space="preserve"> the</w:t>
      </w:r>
      <w:r w:rsidRPr="00631FFE">
        <w:rPr>
          <w:lang w:val="en-GB"/>
        </w:rPr>
        <w:t xml:space="preserve"> </w:t>
      </w:r>
      <w:r w:rsidR="00FF563E">
        <w:rPr>
          <w:lang w:val="en-GB"/>
        </w:rPr>
        <w:t>measured</w:t>
      </w:r>
      <w:r w:rsidRPr="00631FFE">
        <w:rPr>
          <w:lang w:val="en-GB"/>
        </w:rPr>
        <w:t xml:space="preserve"> values. Notably, the output of this </w:t>
      </w:r>
      <w:r w:rsidR="009B48E2">
        <w:rPr>
          <w:lang w:val="en-GB"/>
        </w:rPr>
        <w:t>straightforward</w:t>
      </w:r>
      <w:r w:rsidRPr="00631FFE">
        <w:rPr>
          <w:lang w:val="en-GB"/>
        </w:rPr>
        <w:t xml:space="preserve"> model aligns with results from a more complex physical model structure. </w:t>
      </w:r>
      <w:bookmarkStart w:id="2" w:name="_Hlk195542302"/>
      <w:r w:rsidR="00FF563E">
        <w:rPr>
          <w:lang w:val="en-GB"/>
        </w:rPr>
        <w:t>T</w:t>
      </w:r>
      <w:r w:rsidRPr="00631FFE">
        <w:rPr>
          <w:lang w:val="en-GB"/>
        </w:rPr>
        <w:t xml:space="preserve">he dynamic model enables real-time monitoring and </w:t>
      </w:r>
      <w:r w:rsidR="00FF563E">
        <w:rPr>
          <w:lang w:val="en-GB"/>
        </w:rPr>
        <w:t xml:space="preserve">predictive </w:t>
      </w:r>
      <w:r w:rsidRPr="00631FFE">
        <w:rPr>
          <w:lang w:val="en-GB"/>
        </w:rPr>
        <w:t>optimization of the formation and decomposition of mixture components in direct DMC synthesis.</w:t>
      </w:r>
      <w:r w:rsidR="009B48E2">
        <w:rPr>
          <w:lang w:val="en-GB"/>
        </w:rPr>
        <w:t xml:space="preserve"> </w:t>
      </w:r>
      <w:bookmarkEnd w:id="2"/>
      <w:r w:rsidRPr="00631FFE">
        <w:rPr>
          <w:lang w:val="en-GB"/>
        </w:rPr>
        <w:t>The simulation results suggest that this data-driven mode</w:t>
      </w:r>
      <w:r w:rsidR="009B48E2">
        <w:rPr>
          <w:lang w:val="en-GB"/>
        </w:rPr>
        <w:t>l</w:t>
      </w:r>
      <w:r w:rsidRPr="00631FFE">
        <w:rPr>
          <w:lang w:val="en-GB"/>
        </w:rPr>
        <w:t>ling approach could be extended to other chemical synthesis processes, providing a versatile tool for improving process efficiency and sustainability</w:t>
      </w:r>
      <w:r w:rsidR="009B48E2">
        <w:rPr>
          <w:lang w:val="en-GB"/>
        </w:rPr>
        <w:t xml:space="preserve"> in real-time operations</w:t>
      </w:r>
      <w:r w:rsidRPr="00631FFE">
        <w:rPr>
          <w:lang w:val="en-GB"/>
        </w:rPr>
        <w:t>.</w:t>
      </w:r>
    </w:p>
    <w:p w14:paraId="42BA73DB" w14:textId="74F84A4B" w:rsidR="00E51779" w:rsidRPr="00DD0173" w:rsidRDefault="00CC7E67" w:rsidP="005B680F">
      <w:pPr>
        <w:pStyle w:val="CETAcknowledgementstitle"/>
      </w:pPr>
      <w:r w:rsidRPr="00DD0173">
        <w:t>Acknowledgement</w:t>
      </w:r>
    </w:p>
    <w:p w14:paraId="63ECE9D2" w14:textId="406378D7" w:rsidR="00CC7E67" w:rsidRDefault="00CC7E67" w:rsidP="005C40E3">
      <w:pPr>
        <w:pStyle w:val="CETReference"/>
        <w:rPr>
          <w:b w:val="0"/>
          <w:bCs/>
        </w:rPr>
      </w:pPr>
      <w:r w:rsidRPr="00CC7E67">
        <w:rPr>
          <w:b w:val="0"/>
          <w:bCs/>
        </w:rPr>
        <w:t xml:space="preserve">This work was </w:t>
      </w:r>
      <w:r>
        <w:rPr>
          <w:b w:val="0"/>
          <w:bCs/>
        </w:rPr>
        <w:t xml:space="preserve">partly </w:t>
      </w:r>
      <w:r w:rsidRPr="00CC7E67">
        <w:rPr>
          <w:b w:val="0"/>
          <w:bCs/>
        </w:rPr>
        <w:t>funded by Business Finland via project ‘Bio-CCU - Creating sustainable value of the bio-based CO</w:t>
      </w:r>
      <w:r w:rsidRPr="00CC7E67">
        <w:rPr>
          <w:b w:val="0"/>
          <w:bCs/>
          <w:vertAlign w:val="subscript"/>
        </w:rPr>
        <w:t>2</w:t>
      </w:r>
      <w:r w:rsidRPr="00CC7E67">
        <w:rPr>
          <w:b w:val="0"/>
          <w:bCs/>
        </w:rPr>
        <w:t>’</w:t>
      </w:r>
      <w:r>
        <w:rPr>
          <w:b w:val="0"/>
          <w:bCs/>
        </w:rPr>
        <w:t>, decision number</w:t>
      </w:r>
      <w:r w:rsidRPr="00CC7E67">
        <w:rPr>
          <w:b w:val="0"/>
          <w:bCs/>
        </w:rPr>
        <w:t xml:space="preserve"> 2352/31/2022.</w:t>
      </w:r>
    </w:p>
    <w:p w14:paraId="7A343D2B" w14:textId="77777777" w:rsidR="00F24C1A" w:rsidRDefault="00F24C1A" w:rsidP="005C40E3">
      <w:pPr>
        <w:pStyle w:val="CETReference"/>
        <w:rPr>
          <w:b w:val="0"/>
          <w:bCs/>
        </w:rPr>
      </w:pPr>
    </w:p>
    <w:p w14:paraId="7B630977" w14:textId="12D305BE" w:rsidR="005C40E3" w:rsidRPr="005B680F" w:rsidRDefault="005C40E3" w:rsidP="005B680F">
      <w:pPr>
        <w:pStyle w:val="CETReference"/>
      </w:pPr>
      <w:r w:rsidRPr="005B680F">
        <w:lastRenderedPageBreak/>
        <w:t>References</w:t>
      </w:r>
    </w:p>
    <w:p w14:paraId="65AE0D11" w14:textId="7E72C70F" w:rsidR="00507E00" w:rsidRPr="00EE06DB" w:rsidRDefault="00507E00" w:rsidP="00507E00">
      <w:pPr>
        <w:pStyle w:val="CETReferencetext"/>
      </w:pPr>
      <w:bookmarkStart w:id="3" w:name="_Hlk167358425"/>
      <w:r w:rsidRPr="002176E7">
        <w:rPr>
          <w:lang w:val="en-US"/>
        </w:rPr>
        <w:t>Akune T., Morita Y., Shirakawa S., Katagiri K.</w:t>
      </w:r>
      <w:r w:rsidR="00041FAA">
        <w:rPr>
          <w:lang w:val="en-US"/>
        </w:rPr>
        <w:t>,</w:t>
      </w:r>
      <w:r w:rsidRPr="002176E7">
        <w:rPr>
          <w:lang w:val="en-US"/>
        </w:rPr>
        <w:t xml:space="preserve"> </w:t>
      </w:r>
      <w:proofErr w:type="spellStart"/>
      <w:r w:rsidRPr="00EE06DB">
        <w:t>Inumaru</w:t>
      </w:r>
      <w:proofErr w:type="spellEnd"/>
      <w:r w:rsidRPr="00EE06DB">
        <w:t xml:space="preserve"> K.</w:t>
      </w:r>
      <w:r w:rsidR="002E4D37" w:rsidRPr="00EE06DB">
        <w:t xml:space="preserve">, </w:t>
      </w:r>
      <w:r w:rsidRPr="00EE06DB">
        <w:t>2018</w:t>
      </w:r>
      <w:r w:rsidR="002E4D37" w:rsidRPr="00EE06DB">
        <w:t>,</w:t>
      </w:r>
      <w:r w:rsidRPr="00EE06DB">
        <w:t xml:space="preserve"> ZrO</w:t>
      </w:r>
      <w:r w:rsidRPr="00EE06DB">
        <w:rPr>
          <w:vertAlign w:val="subscript"/>
        </w:rPr>
        <w:t>2</w:t>
      </w:r>
      <w:r w:rsidRPr="00EE06DB">
        <w:t xml:space="preserve"> Nanocrystals </w:t>
      </w:r>
      <w:proofErr w:type="gramStart"/>
      <w:r w:rsidRPr="00EE06DB">
        <w:t>As</w:t>
      </w:r>
      <w:proofErr w:type="gramEnd"/>
      <w:r w:rsidRPr="00EE06DB">
        <w:t xml:space="preserve"> Catalyst for Synthesis of </w:t>
      </w:r>
      <w:proofErr w:type="spellStart"/>
      <w:r w:rsidRPr="00EE06DB">
        <w:t>Dimethylcarbonate</w:t>
      </w:r>
      <w:proofErr w:type="spellEnd"/>
      <w:r w:rsidRPr="00EE06DB">
        <w:t xml:space="preserve"> from Methanol and Carbon Dioxide: Catalytic Activity and Elucidation of Active Sites. Langmuir, 34(1), 23–29. </w:t>
      </w:r>
    </w:p>
    <w:p w14:paraId="4BFF78D6" w14:textId="333241E6" w:rsidR="005E4BCA" w:rsidRPr="00EE06DB" w:rsidRDefault="005E4BCA" w:rsidP="005E4BCA">
      <w:pPr>
        <w:pStyle w:val="CETReferencetext"/>
      </w:pPr>
      <w:r w:rsidRPr="00EE06DB">
        <w:t>Bian J., Xiao M., Wang S. J., Lu Y. X.</w:t>
      </w:r>
      <w:r w:rsidR="00041FAA">
        <w:t>,</w:t>
      </w:r>
      <w:r w:rsidRPr="00EE06DB">
        <w:t xml:space="preserve"> Meng Y. Z.</w:t>
      </w:r>
      <w:r w:rsidR="002E4D37" w:rsidRPr="00EE06DB">
        <w:t>,</w:t>
      </w:r>
      <w:r w:rsidRPr="00EE06DB">
        <w:t xml:space="preserve"> 2009</w:t>
      </w:r>
      <w:r w:rsidR="002E4D37" w:rsidRPr="00EE06DB">
        <w:t>,</w:t>
      </w:r>
      <w:r w:rsidRPr="00EE06DB">
        <w:t xml:space="preserve"> Novel application of thermally expanded graphite as the support of catalysts for direct synthesis of DMC from CH</w:t>
      </w:r>
      <w:r w:rsidRPr="00EE06DB">
        <w:rPr>
          <w:vertAlign w:val="subscript"/>
        </w:rPr>
        <w:t>3</w:t>
      </w:r>
      <w:r w:rsidRPr="00EE06DB">
        <w:t>OH and CO</w:t>
      </w:r>
      <w:r w:rsidRPr="00EE06DB">
        <w:rPr>
          <w:vertAlign w:val="subscript"/>
        </w:rPr>
        <w:t>2</w:t>
      </w:r>
      <w:r w:rsidRPr="00EE06DB">
        <w:t>. Journal of Colloid and Interface Science,</w:t>
      </w:r>
      <w:r w:rsidR="002E4D37" w:rsidRPr="00EE06DB">
        <w:t xml:space="preserve"> Vol</w:t>
      </w:r>
      <w:r w:rsidRPr="00EE06DB">
        <w:t xml:space="preserve"> 334(1), </w:t>
      </w:r>
      <w:r w:rsidR="002E4D37" w:rsidRPr="00EE06DB">
        <w:t xml:space="preserve">p. </w:t>
      </w:r>
      <w:r w:rsidRPr="00EE06DB">
        <w:t>50–57.</w:t>
      </w:r>
    </w:p>
    <w:p w14:paraId="1034F3C0" w14:textId="4AF59F2F" w:rsidR="008269CD" w:rsidRPr="00EE06DB" w:rsidRDefault="008269CD" w:rsidP="008269CD">
      <w:pPr>
        <w:pStyle w:val="CETReferencetext"/>
        <w:rPr>
          <w:lang w:val="en-US"/>
        </w:rPr>
      </w:pPr>
      <w:proofErr w:type="spellStart"/>
      <w:r w:rsidRPr="002176E7">
        <w:rPr>
          <w:lang w:val="en-US"/>
        </w:rPr>
        <w:t>Bunsaksit</w:t>
      </w:r>
      <w:bookmarkEnd w:id="3"/>
      <w:proofErr w:type="spellEnd"/>
      <w:r w:rsidRPr="002176E7">
        <w:rPr>
          <w:lang w:val="en-US"/>
        </w:rPr>
        <w:t xml:space="preserve"> C., </w:t>
      </w:r>
      <w:proofErr w:type="spellStart"/>
      <w:r w:rsidRPr="002176E7">
        <w:rPr>
          <w:lang w:val="en-US"/>
        </w:rPr>
        <w:t>Methaapanon</w:t>
      </w:r>
      <w:proofErr w:type="spellEnd"/>
      <w:r w:rsidRPr="002176E7">
        <w:rPr>
          <w:lang w:val="en-US"/>
        </w:rPr>
        <w:t xml:space="preserve"> R., </w:t>
      </w:r>
      <w:proofErr w:type="spellStart"/>
      <w:r w:rsidRPr="002176E7">
        <w:rPr>
          <w:lang w:val="en-US"/>
        </w:rPr>
        <w:t>Bumroongsakulsawat</w:t>
      </w:r>
      <w:proofErr w:type="spellEnd"/>
      <w:r w:rsidRPr="002176E7">
        <w:rPr>
          <w:lang w:val="en-US"/>
        </w:rPr>
        <w:t xml:space="preserve"> P., </w:t>
      </w:r>
      <w:proofErr w:type="spellStart"/>
      <w:r w:rsidRPr="002176E7">
        <w:rPr>
          <w:lang w:val="en-US"/>
        </w:rPr>
        <w:t>Bumroongsri</w:t>
      </w:r>
      <w:proofErr w:type="spellEnd"/>
      <w:r w:rsidRPr="002176E7">
        <w:rPr>
          <w:lang w:val="en-US"/>
        </w:rPr>
        <w:t xml:space="preserve"> P.</w:t>
      </w:r>
      <w:r w:rsidR="00041FAA">
        <w:rPr>
          <w:lang w:val="en-US"/>
        </w:rPr>
        <w:t>,</w:t>
      </w:r>
      <w:r w:rsidRPr="002176E7">
        <w:rPr>
          <w:lang w:val="en-US"/>
        </w:rPr>
        <w:t xml:space="preserve"> </w:t>
      </w:r>
      <w:r w:rsidRPr="00EE06DB">
        <w:rPr>
          <w:lang w:val="en-US"/>
        </w:rPr>
        <w:t>Kim-</w:t>
      </w:r>
      <w:proofErr w:type="spellStart"/>
      <w:r w:rsidRPr="00EE06DB">
        <w:rPr>
          <w:lang w:val="en-US"/>
        </w:rPr>
        <w:t>Lohsoontorn</w:t>
      </w:r>
      <w:proofErr w:type="spellEnd"/>
      <w:r w:rsidRPr="00EE06DB">
        <w:rPr>
          <w:lang w:val="en-US"/>
        </w:rPr>
        <w:t xml:space="preserve"> P.</w:t>
      </w:r>
      <w:r w:rsidR="002E4D37" w:rsidRPr="00EE06DB">
        <w:rPr>
          <w:lang w:val="en-US"/>
        </w:rPr>
        <w:t>,</w:t>
      </w:r>
      <w:r w:rsidRPr="00EE06DB">
        <w:rPr>
          <w:lang w:val="en-US"/>
        </w:rPr>
        <w:t xml:space="preserve"> 2024</w:t>
      </w:r>
      <w:r w:rsidR="002E4D37" w:rsidRPr="00EE06DB">
        <w:rPr>
          <w:lang w:val="en-US"/>
        </w:rPr>
        <w:t>,</w:t>
      </w:r>
      <w:r w:rsidRPr="00EE06DB">
        <w:rPr>
          <w:lang w:val="en-US"/>
        </w:rPr>
        <w:t xml:space="preserve"> Exploring the possibility of carbon neutral dimethyl carbonate production through urea alcoholysis processes. Journal of Cleaner Production, </w:t>
      </w:r>
      <w:r w:rsidR="002E4D37" w:rsidRPr="00EE06DB">
        <w:rPr>
          <w:lang w:val="en-US"/>
        </w:rPr>
        <w:t xml:space="preserve">Vol </w:t>
      </w:r>
      <w:r w:rsidRPr="00EE06DB">
        <w:rPr>
          <w:lang w:val="en-US"/>
        </w:rPr>
        <w:t xml:space="preserve">434, 139586. </w:t>
      </w:r>
      <w:hyperlink r:id="rId13" w:history="1"/>
    </w:p>
    <w:p w14:paraId="79CE540D" w14:textId="582E873E" w:rsidR="00C617F2" w:rsidRPr="00EE06DB" w:rsidRDefault="00C617F2" w:rsidP="00C617F2">
      <w:pPr>
        <w:pStyle w:val="CETReferencetext"/>
        <w:rPr>
          <w:lang w:val="en-US"/>
        </w:rPr>
      </w:pPr>
      <w:r w:rsidRPr="00EE06DB">
        <w:rPr>
          <w:lang w:val="en-US"/>
        </w:rPr>
        <w:t>Camy S.</w:t>
      </w:r>
      <w:r w:rsidR="00041FAA">
        <w:rPr>
          <w:lang w:val="en-US"/>
        </w:rPr>
        <w:t>,</w:t>
      </w:r>
      <w:r w:rsidRPr="00EE06DB">
        <w:rPr>
          <w:lang w:val="en-US"/>
        </w:rPr>
        <w:t xml:space="preserve"> </w:t>
      </w:r>
      <w:proofErr w:type="spellStart"/>
      <w:r w:rsidRPr="00EE06DB">
        <w:rPr>
          <w:lang w:val="en-US"/>
        </w:rPr>
        <w:t>Condoret</w:t>
      </w:r>
      <w:proofErr w:type="spellEnd"/>
      <w:r w:rsidRPr="00EE06DB">
        <w:rPr>
          <w:lang w:val="en-US"/>
        </w:rPr>
        <w:t xml:space="preserve"> J.-S.</w:t>
      </w:r>
      <w:r w:rsidR="00540E5F" w:rsidRPr="00EE06DB">
        <w:rPr>
          <w:lang w:val="en-US"/>
        </w:rPr>
        <w:t>,</w:t>
      </w:r>
      <w:r w:rsidRPr="00EE06DB">
        <w:rPr>
          <w:lang w:val="en-US"/>
        </w:rPr>
        <w:t xml:space="preserve"> 2001</w:t>
      </w:r>
      <w:r w:rsidR="00540E5F" w:rsidRPr="00EE06DB">
        <w:rPr>
          <w:lang w:val="en-US"/>
        </w:rPr>
        <w:t>,</w:t>
      </w:r>
      <w:r w:rsidRPr="00EE06DB">
        <w:rPr>
          <w:lang w:val="en-US"/>
        </w:rPr>
        <w:t xml:space="preserve"> Dynamic modeling of a fraction process for a liquid mixture using supercritical carbon dioxide. Chemical Engineering and Processing, vol. 40, p. 499</w:t>
      </w:r>
      <w:r w:rsidR="002176E7">
        <w:rPr>
          <w:lang w:val="en-US"/>
        </w:rPr>
        <w:t>–</w:t>
      </w:r>
      <w:r w:rsidRPr="00EE06DB">
        <w:rPr>
          <w:lang w:val="en-US"/>
        </w:rPr>
        <w:t xml:space="preserve">509. </w:t>
      </w:r>
    </w:p>
    <w:p w14:paraId="49DBFBDD" w14:textId="655A5926" w:rsidR="00C617F2" w:rsidRPr="00EE06DB" w:rsidRDefault="00C617F2" w:rsidP="00C617F2">
      <w:pPr>
        <w:pStyle w:val="CETReferencetext"/>
        <w:rPr>
          <w:lang w:val="en-US"/>
        </w:rPr>
      </w:pPr>
      <w:r w:rsidRPr="00EE06DB">
        <w:rPr>
          <w:lang w:val="en-US"/>
        </w:rPr>
        <w:t xml:space="preserve">Camy S., Pic J.-S., </w:t>
      </w:r>
      <w:proofErr w:type="spellStart"/>
      <w:r w:rsidRPr="00EE06DB">
        <w:rPr>
          <w:lang w:val="en-US"/>
        </w:rPr>
        <w:t>Badens</w:t>
      </w:r>
      <w:proofErr w:type="spellEnd"/>
      <w:r w:rsidRPr="00EE06DB">
        <w:rPr>
          <w:lang w:val="en-US"/>
        </w:rPr>
        <w:t xml:space="preserve"> E.</w:t>
      </w:r>
      <w:r w:rsidR="00041FAA">
        <w:rPr>
          <w:lang w:val="en-US"/>
        </w:rPr>
        <w:t>,</w:t>
      </w:r>
      <w:r w:rsidRPr="00EE06DB">
        <w:rPr>
          <w:lang w:val="en-US"/>
        </w:rPr>
        <w:t xml:space="preserve"> </w:t>
      </w:r>
      <w:proofErr w:type="spellStart"/>
      <w:r w:rsidRPr="00EE06DB">
        <w:rPr>
          <w:lang w:val="en-US"/>
        </w:rPr>
        <w:t>Condoret</w:t>
      </w:r>
      <w:proofErr w:type="spellEnd"/>
      <w:r w:rsidRPr="00EE06DB">
        <w:rPr>
          <w:lang w:val="en-US"/>
        </w:rPr>
        <w:t xml:space="preserve"> J.-S.</w:t>
      </w:r>
      <w:r w:rsidR="00540E5F" w:rsidRPr="00EE06DB">
        <w:rPr>
          <w:lang w:val="en-US"/>
        </w:rPr>
        <w:t>,</w:t>
      </w:r>
      <w:r w:rsidRPr="00EE06DB">
        <w:rPr>
          <w:lang w:val="en-US"/>
        </w:rPr>
        <w:t xml:space="preserve"> 2003</w:t>
      </w:r>
      <w:r w:rsidR="00540E5F" w:rsidRPr="00EE06DB">
        <w:rPr>
          <w:lang w:val="en-US"/>
        </w:rPr>
        <w:t>,</w:t>
      </w:r>
      <w:r w:rsidRPr="00EE06DB">
        <w:rPr>
          <w:lang w:val="en-US"/>
        </w:rPr>
        <w:t xml:space="preserve"> Fluid phase equilibria of the reacting mixture in the dimethyl carbonate synthesis from supercritical CO</w:t>
      </w:r>
      <w:r w:rsidRPr="00EE06DB">
        <w:rPr>
          <w:vertAlign w:val="subscript"/>
          <w:lang w:val="en-US"/>
        </w:rPr>
        <w:t>2</w:t>
      </w:r>
      <w:r w:rsidRPr="00EE06DB">
        <w:rPr>
          <w:lang w:val="en-US"/>
        </w:rPr>
        <w:t>. Journal of Supercritical Fluids, vol. 25, p. 19</w:t>
      </w:r>
      <w:r w:rsidR="00856A79">
        <w:rPr>
          <w:lang w:val="en-US"/>
        </w:rPr>
        <w:t>–</w:t>
      </w:r>
      <w:r w:rsidRPr="00EE06DB">
        <w:rPr>
          <w:lang w:val="en-US"/>
        </w:rPr>
        <w:t>32.</w:t>
      </w:r>
    </w:p>
    <w:p w14:paraId="661F5EA8" w14:textId="44DF86D3" w:rsidR="00C617F2" w:rsidRPr="00EE06DB" w:rsidRDefault="00C617F2" w:rsidP="00C617F2">
      <w:pPr>
        <w:pStyle w:val="CETReferencetext"/>
        <w:rPr>
          <w:lang w:val="en-US"/>
        </w:rPr>
      </w:pPr>
      <w:r w:rsidRPr="00EE06DB">
        <w:rPr>
          <w:lang w:val="en-US"/>
        </w:rPr>
        <w:t>Eta V., Mäki-</w:t>
      </w:r>
      <w:proofErr w:type="spellStart"/>
      <w:r w:rsidRPr="00EE06DB">
        <w:rPr>
          <w:lang w:val="en-US"/>
        </w:rPr>
        <w:t>Arvela</w:t>
      </w:r>
      <w:proofErr w:type="spellEnd"/>
      <w:r w:rsidRPr="00EE06DB">
        <w:rPr>
          <w:lang w:val="en-US"/>
        </w:rPr>
        <w:t xml:space="preserve"> P., </w:t>
      </w:r>
      <w:proofErr w:type="spellStart"/>
      <w:r w:rsidRPr="00EE06DB">
        <w:rPr>
          <w:lang w:val="en-US"/>
        </w:rPr>
        <w:t>Wärnå</w:t>
      </w:r>
      <w:proofErr w:type="spellEnd"/>
      <w:r w:rsidRPr="00EE06DB">
        <w:rPr>
          <w:lang w:val="en-US"/>
        </w:rPr>
        <w:t xml:space="preserve"> J., Salmi T., Mikkola J.-P.</w:t>
      </w:r>
      <w:r w:rsidR="00041FAA">
        <w:rPr>
          <w:lang w:val="en-US"/>
        </w:rPr>
        <w:t>,</w:t>
      </w:r>
      <w:r w:rsidRPr="00EE06DB">
        <w:rPr>
          <w:lang w:val="en-US"/>
        </w:rPr>
        <w:t xml:space="preserve"> Murzin D. Y.</w:t>
      </w:r>
      <w:r w:rsidR="00540E5F" w:rsidRPr="00EE06DB">
        <w:rPr>
          <w:lang w:val="en-US"/>
        </w:rPr>
        <w:t>,</w:t>
      </w:r>
      <w:r w:rsidRPr="00EE06DB">
        <w:rPr>
          <w:lang w:val="en-US"/>
        </w:rPr>
        <w:t xml:space="preserve"> 2011</w:t>
      </w:r>
      <w:r w:rsidR="00540E5F" w:rsidRPr="00EE06DB">
        <w:rPr>
          <w:lang w:val="en-US"/>
        </w:rPr>
        <w:t>,</w:t>
      </w:r>
      <w:r w:rsidRPr="00EE06DB">
        <w:rPr>
          <w:lang w:val="en-US"/>
        </w:rPr>
        <w:t xml:space="preserve"> Kinetics of dimethyl carbonate synthesis from methanol and carbon dioxide over ZrO</w:t>
      </w:r>
      <w:r w:rsidRPr="00EE06DB">
        <w:rPr>
          <w:vertAlign w:val="subscript"/>
          <w:lang w:val="en-US"/>
        </w:rPr>
        <w:t>2</w:t>
      </w:r>
      <w:r w:rsidRPr="00EE06DB">
        <w:rPr>
          <w:lang w:val="en-US"/>
        </w:rPr>
        <w:t>-MgO catalyst in the presence of the butylene oxide as addictive. Applied Catalysis A: General, vol. 404, p. 39</w:t>
      </w:r>
      <w:r w:rsidR="00856A79">
        <w:rPr>
          <w:lang w:val="en-US"/>
        </w:rPr>
        <w:t>–</w:t>
      </w:r>
      <w:r w:rsidRPr="00EE06DB">
        <w:rPr>
          <w:lang w:val="en-US"/>
        </w:rPr>
        <w:t xml:space="preserve">46. </w:t>
      </w:r>
    </w:p>
    <w:p w14:paraId="18927A09" w14:textId="4502C2D1" w:rsidR="00C617F2" w:rsidRPr="00EE06DB" w:rsidRDefault="00C617F2" w:rsidP="00C617F2">
      <w:pPr>
        <w:pStyle w:val="CETReferencetext"/>
        <w:rPr>
          <w:lang w:val="en-US"/>
        </w:rPr>
      </w:pPr>
      <w:r w:rsidRPr="00EE06DB">
        <w:rPr>
          <w:lang w:val="en-US"/>
        </w:rPr>
        <w:t>Fang D.</w:t>
      </w:r>
      <w:r w:rsidR="00041FAA">
        <w:rPr>
          <w:lang w:val="en-US"/>
        </w:rPr>
        <w:t>,</w:t>
      </w:r>
      <w:r w:rsidRPr="00EE06DB">
        <w:rPr>
          <w:lang w:val="en-US"/>
        </w:rPr>
        <w:t xml:space="preserve"> Cao F.</w:t>
      </w:r>
      <w:r w:rsidR="00540E5F" w:rsidRPr="00EE06DB">
        <w:rPr>
          <w:lang w:val="en-US"/>
        </w:rPr>
        <w:t xml:space="preserve">, </w:t>
      </w:r>
      <w:r w:rsidRPr="00EE06DB">
        <w:rPr>
          <w:lang w:val="en-US"/>
        </w:rPr>
        <w:t>2000</w:t>
      </w:r>
      <w:r w:rsidR="00540E5F" w:rsidRPr="00EE06DB">
        <w:rPr>
          <w:lang w:val="en-US"/>
        </w:rPr>
        <w:t>,</w:t>
      </w:r>
      <w:r w:rsidRPr="00EE06DB">
        <w:rPr>
          <w:lang w:val="en-US"/>
        </w:rPr>
        <w:t xml:space="preserve"> Intrinsic kinetics of direct oxidative carbonylation of </w:t>
      </w:r>
      <w:proofErr w:type="spellStart"/>
      <w:r w:rsidRPr="00EE06DB">
        <w:rPr>
          <w:lang w:val="en-US"/>
        </w:rPr>
        <w:t>vapour</w:t>
      </w:r>
      <w:proofErr w:type="spellEnd"/>
      <w:r w:rsidRPr="00EE06DB">
        <w:rPr>
          <w:lang w:val="en-US"/>
        </w:rPr>
        <w:t xml:space="preserve"> phase methanol to dimethyl carbonate over Cu-based catalysts. Chemical Engineering Journal, vol. 78, p. 237</w:t>
      </w:r>
      <w:r w:rsidR="00856A79">
        <w:rPr>
          <w:lang w:val="en-US"/>
        </w:rPr>
        <w:t>–</w:t>
      </w:r>
      <w:r w:rsidRPr="00EE06DB">
        <w:rPr>
          <w:lang w:val="en-US"/>
        </w:rPr>
        <w:t xml:space="preserve">241. </w:t>
      </w:r>
    </w:p>
    <w:p w14:paraId="4B44DFE1" w14:textId="7E89270B" w:rsidR="00C617F2" w:rsidRPr="00EE06DB" w:rsidRDefault="00C617F2" w:rsidP="00C617F2">
      <w:pPr>
        <w:pStyle w:val="CETReferencetext"/>
        <w:rPr>
          <w:lang w:val="en-US"/>
        </w:rPr>
      </w:pPr>
      <w:r w:rsidRPr="00EE06DB">
        <w:rPr>
          <w:lang w:val="en-US"/>
        </w:rPr>
        <w:t>Glaude A.P., Pitz W.J.</w:t>
      </w:r>
      <w:r w:rsidR="00041FAA">
        <w:rPr>
          <w:lang w:val="en-US"/>
        </w:rPr>
        <w:t>,</w:t>
      </w:r>
      <w:r w:rsidRPr="00EE06DB">
        <w:rPr>
          <w:lang w:val="en-US"/>
        </w:rPr>
        <w:t xml:space="preserve"> Thomson M.J.</w:t>
      </w:r>
      <w:r w:rsidR="00540E5F" w:rsidRPr="00EE06DB">
        <w:rPr>
          <w:lang w:val="en-US"/>
        </w:rPr>
        <w:t>,</w:t>
      </w:r>
      <w:r w:rsidRPr="00EE06DB">
        <w:rPr>
          <w:lang w:val="en-US"/>
        </w:rPr>
        <w:t xml:space="preserve"> 2005</w:t>
      </w:r>
      <w:r w:rsidR="00540E5F" w:rsidRPr="00EE06DB">
        <w:rPr>
          <w:lang w:val="en-US"/>
        </w:rPr>
        <w:t>,</w:t>
      </w:r>
      <w:r w:rsidRPr="00EE06DB">
        <w:rPr>
          <w:lang w:val="en-US"/>
        </w:rPr>
        <w:t xml:space="preserve"> Chemical kinetic Modeling of Dimethyl Carbonate in an Opposed-Flow Diffusion Flame. Proceedings of the Combustion Institute, vol. 30, Issue 1, p. 1111</w:t>
      </w:r>
      <w:r w:rsidR="00856A79">
        <w:rPr>
          <w:lang w:val="en-US"/>
        </w:rPr>
        <w:t>–</w:t>
      </w:r>
      <w:r w:rsidRPr="00EE06DB">
        <w:rPr>
          <w:lang w:val="en-US"/>
        </w:rPr>
        <w:t>1118.</w:t>
      </w:r>
    </w:p>
    <w:p w14:paraId="204FCF79" w14:textId="5CF32C4D" w:rsidR="00FA5F86" w:rsidRPr="00EE06DB" w:rsidRDefault="00FA5F86" w:rsidP="00FA5F86">
      <w:pPr>
        <w:pStyle w:val="CETReferencetext"/>
        <w:rPr>
          <w:lang w:val="en-US"/>
        </w:rPr>
      </w:pPr>
      <w:r w:rsidRPr="00EE06DB">
        <w:rPr>
          <w:lang w:val="en-US"/>
        </w:rPr>
        <w:t>Kohli K., Sharma B. K.</w:t>
      </w:r>
      <w:r w:rsidR="00041FAA">
        <w:rPr>
          <w:lang w:val="en-US"/>
        </w:rPr>
        <w:t>,</w:t>
      </w:r>
      <w:r w:rsidRPr="00EE06DB">
        <w:rPr>
          <w:lang w:val="en-US"/>
        </w:rPr>
        <w:t xml:space="preserve"> Panchal C. B.</w:t>
      </w:r>
      <w:r w:rsidR="00540E5F" w:rsidRPr="00EE06DB">
        <w:rPr>
          <w:lang w:val="en-US"/>
        </w:rPr>
        <w:t>,</w:t>
      </w:r>
      <w:r w:rsidRPr="00EE06DB">
        <w:rPr>
          <w:lang w:val="en-US"/>
        </w:rPr>
        <w:t xml:space="preserve"> 2022</w:t>
      </w:r>
      <w:r w:rsidR="00540E5F" w:rsidRPr="00EE06DB">
        <w:rPr>
          <w:lang w:val="en-US"/>
        </w:rPr>
        <w:t>,</w:t>
      </w:r>
      <w:r w:rsidRPr="00EE06DB">
        <w:rPr>
          <w:lang w:val="en-US"/>
        </w:rPr>
        <w:t xml:space="preserve"> Dimethyl Carbonate: Review of Synthesis Routes and Catalysts Used. Energies, 15(14), 5133. </w:t>
      </w:r>
    </w:p>
    <w:p w14:paraId="2D630F9B" w14:textId="3FB85C9A" w:rsidR="00C617F2" w:rsidRPr="00EE06DB" w:rsidRDefault="00C617F2" w:rsidP="00C617F2">
      <w:pPr>
        <w:pStyle w:val="CETReferencetext"/>
        <w:rPr>
          <w:lang w:val="en-US"/>
        </w:rPr>
      </w:pPr>
      <w:r w:rsidRPr="00EE06DB">
        <w:rPr>
          <w:lang w:val="en-US"/>
        </w:rPr>
        <w:t>Li C., Zhang X., Zhang S.</w:t>
      </w:r>
      <w:r w:rsidR="00041FAA">
        <w:rPr>
          <w:lang w:val="en-US"/>
        </w:rPr>
        <w:t>,</w:t>
      </w:r>
      <w:r w:rsidRPr="00EE06DB">
        <w:rPr>
          <w:lang w:val="en-US"/>
        </w:rPr>
        <w:t xml:space="preserve"> Suzuki K.</w:t>
      </w:r>
      <w:r w:rsidR="001C49C5" w:rsidRPr="00EE06DB">
        <w:rPr>
          <w:lang w:val="en-US"/>
        </w:rPr>
        <w:t>,</w:t>
      </w:r>
      <w:r w:rsidRPr="00EE06DB">
        <w:rPr>
          <w:lang w:val="en-US"/>
        </w:rPr>
        <w:t xml:space="preserve"> 2009</w:t>
      </w:r>
      <w:r w:rsidR="001C49C5" w:rsidRPr="00EE06DB">
        <w:rPr>
          <w:lang w:val="en-US"/>
        </w:rPr>
        <w:t>,</w:t>
      </w:r>
      <w:r w:rsidRPr="00EE06DB">
        <w:rPr>
          <w:lang w:val="en-US"/>
        </w:rPr>
        <w:t xml:space="preserve"> Environmentally conscious design of chemical processes and products: Multi-optimization method. Chemical Engineering Research and Design, vol. 87, p. 233</w:t>
      </w:r>
      <w:r w:rsidR="00856A79">
        <w:rPr>
          <w:lang w:val="en-US"/>
        </w:rPr>
        <w:t>–</w:t>
      </w:r>
      <w:r w:rsidRPr="00EE06DB">
        <w:rPr>
          <w:lang w:val="en-US"/>
        </w:rPr>
        <w:t>243.</w:t>
      </w:r>
    </w:p>
    <w:p w14:paraId="5C238A82" w14:textId="29C0FFEB" w:rsidR="008269CD" w:rsidRPr="00EE06DB" w:rsidRDefault="008269CD" w:rsidP="008269CD">
      <w:pPr>
        <w:pStyle w:val="CETReferencetext"/>
      </w:pPr>
      <w:r w:rsidRPr="00EE06DB">
        <w:rPr>
          <w:lang w:val="en-US"/>
        </w:rPr>
        <w:t xml:space="preserve">Marin C. M., Li L., </w:t>
      </w:r>
      <w:proofErr w:type="spellStart"/>
      <w:r w:rsidRPr="00EE06DB">
        <w:rPr>
          <w:lang w:val="en-US"/>
        </w:rPr>
        <w:t>Bhalkikar</w:t>
      </w:r>
      <w:proofErr w:type="spellEnd"/>
      <w:r w:rsidRPr="00EE06DB">
        <w:rPr>
          <w:lang w:val="en-US"/>
        </w:rPr>
        <w:t xml:space="preserve"> A., Doyle J. E., Zeng X. C.</w:t>
      </w:r>
      <w:r w:rsidR="00041FAA">
        <w:rPr>
          <w:lang w:val="en-US"/>
        </w:rPr>
        <w:t>,</w:t>
      </w:r>
      <w:r w:rsidRPr="00EE06DB">
        <w:rPr>
          <w:lang w:val="en-US"/>
        </w:rPr>
        <w:t xml:space="preserve"> Cheung C. L.</w:t>
      </w:r>
      <w:r w:rsidR="001C49C5" w:rsidRPr="00EE06DB">
        <w:rPr>
          <w:lang w:val="en-US"/>
        </w:rPr>
        <w:t>,</w:t>
      </w:r>
      <w:r w:rsidRPr="00EE06DB">
        <w:rPr>
          <w:lang w:val="en-US"/>
        </w:rPr>
        <w:t xml:space="preserve"> 2016</w:t>
      </w:r>
      <w:r w:rsidR="001C49C5" w:rsidRPr="00EE06DB">
        <w:rPr>
          <w:lang w:val="en-US"/>
        </w:rPr>
        <w:t>,</w:t>
      </w:r>
      <w:r w:rsidRPr="00EE06DB">
        <w:rPr>
          <w:lang w:val="en-US"/>
        </w:rPr>
        <w:t xml:space="preserve"> Kinetic and mechanistic investigations of the direct synthesis of dimethyl carbonate from carbon dioxide over ceria nanorod catalysts. </w:t>
      </w:r>
      <w:r w:rsidRPr="00EE06DB">
        <w:t xml:space="preserve">Journal of Catalysis, 340, 295–301. </w:t>
      </w:r>
    </w:p>
    <w:p w14:paraId="2FDC2E25" w14:textId="379B4221" w:rsidR="007C0D77" w:rsidRPr="00EE06DB" w:rsidRDefault="007C0D77" w:rsidP="007C0D77">
      <w:pPr>
        <w:pStyle w:val="CETReferencetext"/>
        <w:rPr>
          <w:lang w:val="en-US"/>
        </w:rPr>
      </w:pPr>
      <w:r w:rsidRPr="00EE06DB">
        <w:rPr>
          <w:lang w:val="en-US"/>
        </w:rPr>
        <w:t>Paavola M.</w:t>
      </w:r>
      <w:r w:rsidR="001C49C5" w:rsidRPr="00EE06DB">
        <w:rPr>
          <w:lang w:val="en-US"/>
        </w:rPr>
        <w:t xml:space="preserve">, </w:t>
      </w:r>
      <w:r w:rsidRPr="00EE06DB">
        <w:rPr>
          <w:lang w:val="en-US"/>
        </w:rPr>
        <w:t>2011</w:t>
      </w:r>
      <w:r w:rsidR="001C49C5" w:rsidRPr="00EE06DB">
        <w:rPr>
          <w:lang w:val="en-US"/>
        </w:rPr>
        <w:t>,</w:t>
      </w:r>
      <w:r w:rsidRPr="00EE06DB">
        <w:rPr>
          <w:lang w:val="en-US"/>
        </w:rPr>
        <w:t xml:space="preserve"> An efficient entropy estimation approach. Ph</w:t>
      </w:r>
      <w:r w:rsidR="00585ED8" w:rsidRPr="00EE06DB">
        <w:rPr>
          <w:lang w:val="en-US"/>
        </w:rPr>
        <w:t>D</w:t>
      </w:r>
      <w:r w:rsidRPr="00EE06DB">
        <w:rPr>
          <w:lang w:val="en-US"/>
        </w:rPr>
        <w:t xml:space="preserve"> Thesis, University of Oulu, Series C, Technica 394.</w:t>
      </w:r>
    </w:p>
    <w:p w14:paraId="71128D73" w14:textId="7463A171" w:rsidR="00C617F2" w:rsidRPr="00EE06DB" w:rsidRDefault="00C617F2" w:rsidP="00C617F2">
      <w:pPr>
        <w:pStyle w:val="CETReferencetext"/>
        <w:rPr>
          <w:lang w:val="en-US"/>
        </w:rPr>
      </w:pPr>
      <w:r w:rsidRPr="00EE06DB">
        <w:rPr>
          <w:lang w:val="en-US"/>
        </w:rPr>
        <w:t xml:space="preserve">Piñero R., </w:t>
      </w:r>
      <w:proofErr w:type="spellStart"/>
      <w:r w:rsidRPr="00EE06DB">
        <w:rPr>
          <w:lang w:val="en-US"/>
        </w:rPr>
        <w:t>Garcĩa</w:t>
      </w:r>
      <w:proofErr w:type="spellEnd"/>
      <w:r w:rsidRPr="00EE06DB">
        <w:rPr>
          <w:lang w:val="en-US"/>
        </w:rPr>
        <w:t xml:space="preserve"> J., Sokolova M.</w:t>
      </w:r>
      <w:r w:rsidR="00041FAA">
        <w:rPr>
          <w:lang w:val="en-US"/>
        </w:rPr>
        <w:t>,</w:t>
      </w:r>
      <w:r w:rsidRPr="00EE06DB">
        <w:rPr>
          <w:lang w:val="en-US"/>
        </w:rPr>
        <w:t xml:space="preserve"> </w:t>
      </w:r>
      <w:proofErr w:type="spellStart"/>
      <w:r w:rsidRPr="00EE06DB">
        <w:rPr>
          <w:lang w:val="en-US"/>
        </w:rPr>
        <w:t>Cocero</w:t>
      </w:r>
      <w:proofErr w:type="spellEnd"/>
      <w:r w:rsidRPr="00EE06DB">
        <w:rPr>
          <w:lang w:val="en-US"/>
        </w:rPr>
        <w:t xml:space="preserve"> M. J.</w:t>
      </w:r>
      <w:r w:rsidR="001C49C5" w:rsidRPr="00EE06DB">
        <w:rPr>
          <w:lang w:val="en-US"/>
        </w:rPr>
        <w:t>,</w:t>
      </w:r>
      <w:r w:rsidRPr="00EE06DB">
        <w:rPr>
          <w:lang w:val="en-US"/>
        </w:rPr>
        <w:t xml:space="preserve"> 2007</w:t>
      </w:r>
      <w:r w:rsidR="001C49C5" w:rsidRPr="00EE06DB">
        <w:rPr>
          <w:lang w:val="en-US"/>
        </w:rPr>
        <w:t>,</w:t>
      </w:r>
      <w:r w:rsidRPr="00EE06DB">
        <w:rPr>
          <w:lang w:val="en-US"/>
        </w:rPr>
        <w:t xml:space="preserve"> Modelling of the phase behavior for the direct synthesis of dimethyl carbonate from CO</w:t>
      </w:r>
      <w:r w:rsidRPr="00EE06DB">
        <w:rPr>
          <w:vertAlign w:val="subscript"/>
          <w:lang w:val="en-US"/>
        </w:rPr>
        <w:t>2</w:t>
      </w:r>
      <w:r w:rsidRPr="00EE06DB">
        <w:rPr>
          <w:lang w:val="en-US"/>
        </w:rPr>
        <w:t xml:space="preserve"> and methanol at supercritical or near critical conditions. Journal of Chemical Thermodynamics, vol. 39, p. 536</w:t>
      </w:r>
      <w:r w:rsidR="00856A79">
        <w:rPr>
          <w:lang w:val="en-US"/>
        </w:rPr>
        <w:t>–</w:t>
      </w:r>
      <w:r w:rsidRPr="00EE06DB">
        <w:rPr>
          <w:lang w:val="en-US"/>
        </w:rPr>
        <w:t xml:space="preserve">549. </w:t>
      </w:r>
    </w:p>
    <w:p w14:paraId="66F5552E" w14:textId="59D4239A" w:rsidR="008269CD" w:rsidRPr="00EE06DB" w:rsidRDefault="008269CD" w:rsidP="008269CD">
      <w:pPr>
        <w:pStyle w:val="CETReferencetext"/>
        <w:rPr>
          <w:lang w:val="en-US"/>
        </w:rPr>
      </w:pPr>
      <w:r w:rsidRPr="00EE06DB">
        <w:rPr>
          <w:lang w:val="en-US"/>
        </w:rPr>
        <w:t>Pyo S.-H., Park J. H., Chang T.-S.</w:t>
      </w:r>
      <w:r w:rsidR="00041FAA">
        <w:rPr>
          <w:lang w:val="en-US"/>
        </w:rPr>
        <w:t>,</w:t>
      </w:r>
      <w:r w:rsidRPr="00EE06DB">
        <w:rPr>
          <w:lang w:val="en-US"/>
        </w:rPr>
        <w:t xml:space="preserve"> Hatti-Kaul R.</w:t>
      </w:r>
      <w:r w:rsidR="001C49C5" w:rsidRPr="00EE06DB">
        <w:rPr>
          <w:lang w:val="en-US"/>
        </w:rPr>
        <w:t>,</w:t>
      </w:r>
      <w:r w:rsidRPr="00EE06DB">
        <w:rPr>
          <w:lang w:val="en-US"/>
        </w:rPr>
        <w:t xml:space="preserve"> 2017</w:t>
      </w:r>
      <w:r w:rsidR="001C49C5" w:rsidRPr="00EE06DB">
        <w:rPr>
          <w:lang w:val="en-US"/>
        </w:rPr>
        <w:t>,</w:t>
      </w:r>
      <w:r w:rsidRPr="00EE06DB">
        <w:rPr>
          <w:lang w:val="en-US"/>
        </w:rPr>
        <w:t xml:space="preserve"> Dimethyl carbonate as a green chemical. Current Opinion in Green and Sustainable Chemistry, 5, 61–66. </w:t>
      </w:r>
    </w:p>
    <w:p w14:paraId="13637CF6" w14:textId="5DAA2758" w:rsidR="00A71BE1" w:rsidRPr="00EE06DB" w:rsidRDefault="008269CD" w:rsidP="00A71BE1">
      <w:pPr>
        <w:pStyle w:val="CETReferencetext"/>
        <w:rPr>
          <w:lang w:val="en-US"/>
        </w:rPr>
      </w:pPr>
      <w:r w:rsidRPr="00EE06DB">
        <w:rPr>
          <w:lang w:val="en-US"/>
        </w:rPr>
        <w:t>Song C.</w:t>
      </w:r>
      <w:r w:rsidR="001C49C5" w:rsidRPr="00EE06DB">
        <w:rPr>
          <w:lang w:val="en-US"/>
        </w:rPr>
        <w:t xml:space="preserve">, </w:t>
      </w:r>
      <w:r w:rsidRPr="00EE06DB">
        <w:rPr>
          <w:lang w:val="en-US"/>
        </w:rPr>
        <w:t>2006</w:t>
      </w:r>
      <w:r w:rsidR="001C49C5" w:rsidRPr="00EE06DB">
        <w:rPr>
          <w:lang w:val="en-US"/>
        </w:rPr>
        <w:t>,</w:t>
      </w:r>
      <w:r w:rsidRPr="00EE06DB">
        <w:rPr>
          <w:lang w:val="en-US"/>
        </w:rPr>
        <w:t xml:space="preserve"> Global challenges and strategies for control, conversion and utilization of CO</w:t>
      </w:r>
      <w:r w:rsidRPr="00EE06DB">
        <w:rPr>
          <w:vertAlign w:val="subscript"/>
          <w:lang w:val="en-US"/>
        </w:rPr>
        <w:t>2</w:t>
      </w:r>
      <w:r w:rsidRPr="00EE06DB">
        <w:rPr>
          <w:lang w:val="en-US"/>
        </w:rPr>
        <w:t xml:space="preserve"> for sustainable development involving energy, catalysis, adsorption and chemical processing. Catalysis today, vol. 115, p. 2</w:t>
      </w:r>
      <w:r w:rsidR="00856A79">
        <w:rPr>
          <w:lang w:val="en-US"/>
        </w:rPr>
        <w:t>–</w:t>
      </w:r>
      <w:r w:rsidRPr="00EE06DB">
        <w:rPr>
          <w:lang w:val="en-US"/>
        </w:rPr>
        <w:t>32.</w:t>
      </w:r>
    </w:p>
    <w:p w14:paraId="78662EF3" w14:textId="0CC50C6F" w:rsidR="00A71BE1" w:rsidRDefault="00A71BE1" w:rsidP="00A71BE1">
      <w:pPr>
        <w:pStyle w:val="CETReferencetext"/>
        <w:rPr>
          <w:lang w:val="en-US"/>
        </w:rPr>
      </w:pPr>
      <w:proofErr w:type="spellStart"/>
      <w:r w:rsidRPr="00EE06DB">
        <w:rPr>
          <w:lang w:val="en-US"/>
        </w:rPr>
        <w:t>Storn</w:t>
      </w:r>
      <w:proofErr w:type="spellEnd"/>
      <w:r w:rsidRPr="00EE06DB">
        <w:rPr>
          <w:lang w:val="en-US"/>
        </w:rPr>
        <w:t xml:space="preserve"> R</w:t>
      </w:r>
      <w:r w:rsidR="002176E7">
        <w:rPr>
          <w:lang w:val="en-US"/>
        </w:rPr>
        <w:t>.</w:t>
      </w:r>
      <w:r w:rsidR="00041FAA">
        <w:rPr>
          <w:lang w:val="en-US"/>
        </w:rPr>
        <w:t>,</w:t>
      </w:r>
      <w:r w:rsidRPr="00EE06DB">
        <w:rPr>
          <w:lang w:val="en-US"/>
        </w:rPr>
        <w:t xml:space="preserve"> Price K.</w:t>
      </w:r>
      <w:r w:rsidR="001C49C5" w:rsidRPr="00EE06DB">
        <w:rPr>
          <w:lang w:val="en-US"/>
        </w:rPr>
        <w:t xml:space="preserve">, </w:t>
      </w:r>
      <w:r w:rsidRPr="00EE06DB">
        <w:rPr>
          <w:lang w:val="en-US"/>
        </w:rPr>
        <w:t>1997</w:t>
      </w:r>
      <w:r w:rsidR="001C49C5" w:rsidRPr="00EE06DB">
        <w:rPr>
          <w:lang w:val="en-US"/>
        </w:rPr>
        <w:t>,</w:t>
      </w:r>
      <w:r w:rsidRPr="00EE06DB">
        <w:rPr>
          <w:lang w:val="en-US"/>
        </w:rPr>
        <w:t xml:space="preserve"> Differential Evolution – A simple and Efficient Heuristic for Global Optimization over Continuous Space. Journal of Global Optimization, vol. 11, p. 341</w:t>
      </w:r>
      <w:r w:rsidR="00856A79">
        <w:rPr>
          <w:lang w:val="en-US"/>
        </w:rPr>
        <w:t>–</w:t>
      </w:r>
      <w:r w:rsidRPr="00EE06DB">
        <w:rPr>
          <w:lang w:val="en-US"/>
        </w:rPr>
        <w:t xml:space="preserve">359. </w:t>
      </w:r>
    </w:p>
    <w:p w14:paraId="03AF44AC" w14:textId="3DF6E64C" w:rsidR="00026BE6" w:rsidRPr="00026BE6" w:rsidRDefault="00026BE6" w:rsidP="00026BE6">
      <w:pPr>
        <w:pStyle w:val="CETReferencetext"/>
      </w:pPr>
      <w:r w:rsidRPr="002176E7">
        <w:rPr>
          <w:lang w:val="en-US"/>
        </w:rPr>
        <w:t>Tiiro K., Ohenoja M., Ruusunen O., Keiski R.</w:t>
      </w:r>
      <w:r w:rsidR="00041FAA">
        <w:rPr>
          <w:lang w:val="en-US"/>
        </w:rPr>
        <w:t>,</w:t>
      </w:r>
      <w:r w:rsidRPr="002176E7">
        <w:rPr>
          <w:lang w:val="en-US"/>
        </w:rPr>
        <w:t xml:space="preserve"> </w:t>
      </w:r>
      <w:r w:rsidRPr="00026BE6">
        <w:t xml:space="preserve">Ruusunen M., 2025, </w:t>
      </w:r>
      <w:r w:rsidRPr="00026BE6">
        <w:rPr>
          <w:i/>
          <w:iCs/>
        </w:rPr>
        <w:t>Simulation of Biogenic Carbon Capture and Utilization Process Chain</w:t>
      </w:r>
      <w:r w:rsidRPr="00026BE6">
        <w:t>. Proceedings of the Second SIMS EUROSIM Conference on Modelling and Simulation, SIMS EUROSIM 2024.</w:t>
      </w:r>
    </w:p>
    <w:p w14:paraId="1F1B6139" w14:textId="5332EC69" w:rsidR="00C617F2" w:rsidRPr="00EE06DB" w:rsidRDefault="00C617F2" w:rsidP="00C617F2">
      <w:pPr>
        <w:pStyle w:val="CETReferencetext"/>
        <w:rPr>
          <w:lang w:val="en-US"/>
        </w:rPr>
      </w:pPr>
      <w:proofErr w:type="spellStart"/>
      <w:r w:rsidRPr="00EE06DB">
        <w:rPr>
          <w:lang w:val="en-US"/>
        </w:rPr>
        <w:t>Tomishige</w:t>
      </w:r>
      <w:proofErr w:type="spellEnd"/>
      <w:r w:rsidRPr="00EE06DB">
        <w:rPr>
          <w:lang w:val="en-US"/>
        </w:rPr>
        <w:t xml:space="preserve"> K.</w:t>
      </w:r>
      <w:r w:rsidR="00041FAA">
        <w:rPr>
          <w:lang w:val="en-US"/>
        </w:rPr>
        <w:t>,</w:t>
      </w:r>
      <w:r w:rsidRPr="00EE06DB">
        <w:rPr>
          <w:lang w:val="en-US"/>
        </w:rPr>
        <w:t xml:space="preserve"> </w:t>
      </w:r>
      <w:proofErr w:type="spellStart"/>
      <w:r w:rsidRPr="00EE06DB">
        <w:rPr>
          <w:lang w:val="en-US"/>
        </w:rPr>
        <w:t>Kunimori</w:t>
      </w:r>
      <w:proofErr w:type="spellEnd"/>
      <w:r w:rsidRPr="00EE06DB">
        <w:rPr>
          <w:lang w:val="en-US"/>
        </w:rPr>
        <w:t xml:space="preserve"> K.</w:t>
      </w:r>
      <w:r w:rsidR="001C49C5" w:rsidRPr="00EE06DB">
        <w:rPr>
          <w:lang w:val="en-US"/>
        </w:rPr>
        <w:t xml:space="preserve">, </w:t>
      </w:r>
      <w:r w:rsidRPr="00EE06DB">
        <w:rPr>
          <w:lang w:val="en-US"/>
        </w:rPr>
        <w:t>2002</w:t>
      </w:r>
      <w:r w:rsidR="001C49C5" w:rsidRPr="00EE06DB">
        <w:rPr>
          <w:lang w:val="en-US"/>
        </w:rPr>
        <w:t>,</w:t>
      </w:r>
      <w:r w:rsidRPr="00EE06DB">
        <w:rPr>
          <w:lang w:val="en-US"/>
        </w:rPr>
        <w:t xml:space="preserve"> Catalytic and direct synthesis of dimethyl carbonate starting from carbon dioxide using CeO</w:t>
      </w:r>
      <w:r w:rsidRPr="00EE06DB">
        <w:rPr>
          <w:vertAlign w:val="subscript"/>
          <w:lang w:val="en-US"/>
        </w:rPr>
        <w:t>2</w:t>
      </w:r>
      <w:r w:rsidRPr="00EE06DB">
        <w:rPr>
          <w:lang w:val="en-US"/>
        </w:rPr>
        <w:t>-ZrO</w:t>
      </w:r>
      <w:r w:rsidRPr="00EE06DB">
        <w:rPr>
          <w:vertAlign w:val="subscript"/>
          <w:lang w:val="en-US"/>
        </w:rPr>
        <w:t>2</w:t>
      </w:r>
      <w:r w:rsidRPr="00EE06DB">
        <w:rPr>
          <w:lang w:val="en-US"/>
        </w:rPr>
        <w:t xml:space="preserve"> solid solution heterogeneous catalyst: effect of H</w:t>
      </w:r>
      <w:r w:rsidRPr="00EE06DB">
        <w:rPr>
          <w:vertAlign w:val="subscript"/>
          <w:lang w:val="en-US"/>
        </w:rPr>
        <w:t>2</w:t>
      </w:r>
      <w:r w:rsidRPr="00EE06DB">
        <w:rPr>
          <w:lang w:val="en-US"/>
        </w:rPr>
        <w:t>O removal from the reaction system. Applied Catalysis A: General, vol. 237, p.103</w:t>
      </w:r>
      <w:r w:rsidR="00856A79">
        <w:rPr>
          <w:lang w:val="en-US"/>
        </w:rPr>
        <w:t>–</w:t>
      </w:r>
      <w:r w:rsidRPr="00EE06DB">
        <w:rPr>
          <w:lang w:val="en-US"/>
        </w:rPr>
        <w:t>109.</w:t>
      </w:r>
    </w:p>
    <w:p w14:paraId="30C61B41" w14:textId="6435234D" w:rsidR="006820A0" w:rsidRPr="00EE06DB" w:rsidRDefault="006820A0" w:rsidP="006820A0">
      <w:pPr>
        <w:pStyle w:val="CETReferencetext"/>
      </w:pPr>
      <w:r w:rsidRPr="00EE06DB">
        <w:rPr>
          <w:lang w:val="en-US"/>
        </w:rPr>
        <w:t>Wang X., Zhao J., Li Y., Huang S., An J., Shi R., Pei Y., Li Z.</w:t>
      </w:r>
      <w:r w:rsidR="00041FAA">
        <w:rPr>
          <w:lang w:val="en-US"/>
        </w:rPr>
        <w:t>,</w:t>
      </w:r>
      <w:r w:rsidRPr="00EE06DB">
        <w:rPr>
          <w:lang w:val="en-US"/>
        </w:rPr>
        <w:t xml:space="preserve"> Ren J.</w:t>
      </w:r>
      <w:r w:rsidR="001C49C5" w:rsidRPr="00EE06DB">
        <w:rPr>
          <w:lang w:val="en-US"/>
        </w:rPr>
        <w:t>,</w:t>
      </w:r>
      <w:r w:rsidRPr="00EE06DB">
        <w:rPr>
          <w:lang w:val="en-US"/>
        </w:rPr>
        <w:t xml:space="preserve"> 2021</w:t>
      </w:r>
      <w:r w:rsidR="001C49C5" w:rsidRPr="00EE06DB">
        <w:rPr>
          <w:lang w:val="en-US"/>
        </w:rPr>
        <w:t>,</w:t>
      </w:r>
      <w:r w:rsidRPr="00EE06DB">
        <w:rPr>
          <w:lang w:val="en-US"/>
        </w:rPr>
        <w:t xml:space="preserve"> </w:t>
      </w:r>
      <w:r w:rsidRPr="00EE06DB">
        <w:t>Effects of surface acid–base properties of ZrO</w:t>
      </w:r>
      <w:r w:rsidRPr="00EE06DB">
        <w:rPr>
          <w:vertAlign w:val="subscript"/>
        </w:rPr>
        <w:t>2</w:t>
      </w:r>
      <w:r w:rsidRPr="00EE06DB">
        <w:t xml:space="preserve"> on the direct synthesis of DMC from CO</w:t>
      </w:r>
      <w:r w:rsidRPr="00EE06DB">
        <w:rPr>
          <w:vertAlign w:val="subscript"/>
        </w:rPr>
        <w:t>2</w:t>
      </w:r>
      <w:r w:rsidRPr="00EE06DB">
        <w:t xml:space="preserve"> and methanol: A combined DFT and experimental study. Chemical Engineering Science,</w:t>
      </w:r>
      <w:r w:rsidR="001C49C5" w:rsidRPr="00EE06DB">
        <w:t xml:space="preserve"> Vol</w:t>
      </w:r>
      <w:r w:rsidRPr="00EE06DB">
        <w:t xml:space="preserve"> 229, 116018. </w:t>
      </w:r>
    </w:p>
    <w:p w14:paraId="28A433B0" w14:textId="46A83D3B" w:rsidR="00170814" w:rsidRPr="00EE06DB" w:rsidRDefault="00170814" w:rsidP="00170814">
      <w:pPr>
        <w:pStyle w:val="CETReferencetext"/>
        <w:rPr>
          <w:lang w:val="en-US"/>
        </w:rPr>
      </w:pPr>
      <w:r w:rsidRPr="00EE06DB">
        <w:rPr>
          <w:lang w:val="en-US"/>
        </w:rPr>
        <w:t>Wei W., Wang Y., Yan Z., Hou J., Xu G.</w:t>
      </w:r>
      <w:r w:rsidR="00041FAA">
        <w:rPr>
          <w:lang w:val="en-US"/>
        </w:rPr>
        <w:t>,</w:t>
      </w:r>
      <w:r w:rsidRPr="00EE06DB">
        <w:rPr>
          <w:lang w:val="en-US"/>
        </w:rPr>
        <w:t xml:space="preserve"> Shi L.</w:t>
      </w:r>
      <w:r w:rsidR="001C49C5" w:rsidRPr="00EE06DB">
        <w:rPr>
          <w:lang w:val="en-US"/>
        </w:rPr>
        <w:t>,</w:t>
      </w:r>
      <w:r w:rsidRPr="00EE06DB">
        <w:rPr>
          <w:lang w:val="en-US"/>
        </w:rPr>
        <w:t xml:space="preserve"> 2023</w:t>
      </w:r>
      <w:r w:rsidR="001C49C5" w:rsidRPr="00EE06DB">
        <w:rPr>
          <w:lang w:val="en-US"/>
        </w:rPr>
        <w:t>,</w:t>
      </w:r>
      <w:r w:rsidRPr="00EE06DB">
        <w:rPr>
          <w:lang w:val="en-US"/>
        </w:rPr>
        <w:t xml:space="preserve"> One-step DMC synthesis from CO</w:t>
      </w:r>
      <w:r w:rsidRPr="00EE06DB">
        <w:rPr>
          <w:vertAlign w:val="subscript"/>
          <w:lang w:val="en-US"/>
        </w:rPr>
        <w:t>2</w:t>
      </w:r>
      <w:r w:rsidRPr="00EE06DB">
        <w:rPr>
          <w:lang w:val="en-US"/>
        </w:rPr>
        <w:t xml:space="preserve"> under catalysis of ionic liquids prepared with 1,2-propylene glycol. Catalysis Today,</w:t>
      </w:r>
      <w:r w:rsidR="001C49C5" w:rsidRPr="00EE06DB">
        <w:rPr>
          <w:lang w:val="en-US"/>
        </w:rPr>
        <w:t xml:space="preserve"> Vol</w:t>
      </w:r>
      <w:r w:rsidRPr="00EE06DB">
        <w:rPr>
          <w:lang w:val="en-US"/>
        </w:rPr>
        <w:t xml:space="preserve"> 418, 114052. </w:t>
      </w:r>
    </w:p>
    <w:p w14:paraId="0371DCCC" w14:textId="0472E502" w:rsidR="00CE0A12" w:rsidRPr="00EE06DB" w:rsidRDefault="00CE0A12" w:rsidP="00CE0A12">
      <w:pPr>
        <w:pStyle w:val="CETReferencetext"/>
      </w:pPr>
      <w:r w:rsidRPr="00EE06DB">
        <w:rPr>
          <w:lang w:val="en-US"/>
        </w:rPr>
        <w:t>Zhao T., Hu X., Wu D., Li R., Yang G.</w:t>
      </w:r>
      <w:r w:rsidR="00041FAA">
        <w:rPr>
          <w:lang w:val="en-US"/>
        </w:rPr>
        <w:t>,</w:t>
      </w:r>
      <w:r w:rsidRPr="00EE06DB">
        <w:rPr>
          <w:lang w:val="en-US"/>
        </w:rPr>
        <w:t xml:space="preserve"> Wu Y.</w:t>
      </w:r>
      <w:r w:rsidR="001C49C5" w:rsidRPr="00EE06DB">
        <w:rPr>
          <w:lang w:val="en-US"/>
        </w:rPr>
        <w:t xml:space="preserve">, </w:t>
      </w:r>
      <w:r w:rsidRPr="00EE06DB">
        <w:rPr>
          <w:lang w:val="en-US"/>
        </w:rPr>
        <w:t>2017</w:t>
      </w:r>
      <w:r w:rsidR="001C49C5" w:rsidRPr="00EE06DB">
        <w:rPr>
          <w:lang w:val="en-US"/>
        </w:rPr>
        <w:t>,</w:t>
      </w:r>
      <w:r w:rsidRPr="00EE06DB">
        <w:rPr>
          <w:lang w:val="en-US"/>
        </w:rPr>
        <w:t xml:space="preserve"> </w:t>
      </w:r>
      <w:r w:rsidRPr="00EE06DB">
        <w:t xml:space="preserve">Direct Synthesis of Dimethyl Carbonate from Carbon Dioxide and Methanol at Room Temperature Using Imidazolium Hydrogen Carbonate Ionic Liquid as a Recyclable Catalyst and Dehydrant. </w:t>
      </w:r>
      <w:proofErr w:type="spellStart"/>
      <w:r w:rsidRPr="00EE06DB">
        <w:t>ChemSusChem</w:t>
      </w:r>
      <w:proofErr w:type="spellEnd"/>
      <w:r w:rsidRPr="00EE06DB">
        <w:t xml:space="preserve">, </w:t>
      </w:r>
      <w:r w:rsidR="00EE06DB" w:rsidRPr="00EE06DB">
        <w:t xml:space="preserve">Vol </w:t>
      </w:r>
      <w:r w:rsidRPr="00EE06DB">
        <w:t xml:space="preserve">10, 2046–2052. </w:t>
      </w:r>
    </w:p>
    <w:p w14:paraId="19C4FC68" w14:textId="704F0D00" w:rsidR="004628D2" w:rsidRDefault="008269CD" w:rsidP="00092DF9">
      <w:pPr>
        <w:pStyle w:val="CETReferencetext"/>
      </w:pPr>
      <w:r w:rsidRPr="002176E7">
        <w:rPr>
          <w:lang w:val="en-US"/>
        </w:rPr>
        <w:t>Zheng Q., Nishimura R., Sato Y., Inomata H., Ota M., Watanabe M.</w:t>
      </w:r>
      <w:r w:rsidR="00041FAA">
        <w:rPr>
          <w:lang w:val="en-US"/>
        </w:rPr>
        <w:t>,</w:t>
      </w:r>
      <w:r w:rsidRPr="002176E7">
        <w:rPr>
          <w:lang w:val="en-US"/>
        </w:rPr>
        <w:t xml:space="preserve"> </w:t>
      </w:r>
      <w:r w:rsidRPr="00EE06DB">
        <w:t>Camy S.</w:t>
      </w:r>
      <w:r w:rsidR="00EE06DB" w:rsidRPr="00EE06DB">
        <w:t xml:space="preserve">, </w:t>
      </w:r>
      <w:r w:rsidRPr="00EE06DB">
        <w:t>2022</w:t>
      </w:r>
      <w:r w:rsidR="00EE06DB" w:rsidRPr="00EE06DB">
        <w:t>,</w:t>
      </w:r>
      <w:r w:rsidRPr="00EE06DB">
        <w:t xml:space="preserve"> </w:t>
      </w:r>
      <w:r w:rsidRPr="00EE06DB">
        <w:rPr>
          <w:lang w:val="en-US"/>
        </w:rPr>
        <w:t>Dimethyl carbonate (DMC) synthesis from methanol and carbon dioxide in the presence of ZrO</w:t>
      </w:r>
      <w:r w:rsidRPr="00EE06DB">
        <w:rPr>
          <w:vertAlign w:val="subscript"/>
          <w:lang w:val="en-US"/>
        </w:rPr>
        <w:t>2</w:t>
      </w:r>
      <w:r w:rsidRPr="00EE06DB">
        <w:rPr>
          <w:lang w:val="en-US"/>
        </w:rPr>
        <w:t xml:space="preserve"> solid solutions and yield improvement by applying a natural convection circulation system. Chemical Engineering Journal, </w:t>
      </w:r>
      <w:r w:rsidR="00EE06DB" w:rsidRPr="00EE06DB">
        <w:rPr>
          <w:lang w:val="en-US"/>
        </w:rPr>
        <w:t xml:space="preserve">Vol </w:t>
      </w:r>
      <w:r w:rsidRPr="00EE06DB">
        <w:rPr>
          <w:lang w:val="en-US"/>
        </w:rPr>
        <w:t>429, 132378.</w:t>
      </w:r>
    </w:p>
    <w:sectPr w:rsidR="004628D2" w:rsidSect="00CA2DF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BDC73" w14:textId="77777777" w:rsidR="00EF3717" w:rsidRDefault="00EF3717" w:rsidP="004F5E36">
      <w:r>
        <w:separator/>
      </w:r>
    </w:p>
  </w:endnote>
  <w:endnote w:type="continuationSeparator" w:id="0">
    <w:p w14:paraId="45F30078" w14:textId="77777777" w:rsidR="00EF3717" w:rsidRDefault="00EF371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5F786" w14:textId="77777777" w:rsidR="00EF3717" w:rsidRDefault="00EF3717" w:rsidP="004F5E36">
      <w:r>
        <w:separator/>
      </w:r>
    </w:p>
  </w:footnote>
  <w:footnote w:type="continuationSeparator" w:id="0">
    <w:p w14:paraId="198D07E9" w14:textId="77777777" w:rsidR="00EF3717" w:rsidRDefault="00EF371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141"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7E0A6F"/>
    <w:multiLevelType w:val="hybridMultilevel"/>
    <w:tmpl w:val="CD7812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6605501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7584"/>
    <w:rsid w:val="00026BE6"/>
    <w:rsid w:val="0003148D"/>
    <w:rsid w:val="00031EEC"/>
    <w:rsid w:val="00041FAA"/>
    <w:rsid w:val="00051566"/>
    <w:rsid w:val="00054288"/>
    <w:rsid w:val="000559D2"/>
    <w:rsid w:val="000562A9"/>
    <w:rsid w:val="00062A9A"/>
    <w:rsid w:val="00065058"/>
    <w:rsid w:val="0006683E"/>
    <w:rsid w:val="000678AC"/>
    <w:rsid w:val="00086C39"/>
    <w:rsid w:val="00092DF9"/>
    <w:rsid w:val="000A03B2"/>
    <w:rsid w:val="000A7E5A"/>
    <w:rsid w:val="000C6735"/>
    <w:rsid w:val="000D0268"/>
    <w:rsid w:val="000D34BE"/>
    <w:rsid w:val="000E102F"/>
    <w:rsid w:val="000E36F1"/>
    <w:rsid w:val="000E3A73"/>
    <w:rsid w:val="000E414A"/>
    <w:rsid w:val="000E6301"/>
    <w:rsid w:val="000F093C"/>
    <w:rsid w:val="000F787B"/>
    <w:rsid w:val="00106F32"/>
    <w:rsid w:val="00110745"/>
    <w:rsid w:val="0012091F"/>
    <w:rsid w:val="00126BC2"/>
    <w:rsid w:val="001308B6"/>
    <w:rsid w:val="0013121F"/>
    <w:rsid w:val="00131FE6"/>
    <w:rsid w:val="0013263F"/>
    <w:rsid w:val="001331DF"/>
    <w:rsid w:val="00134DE4"/>
    <w:rsid w:val="0014034D"/>
    <w:rsid w:val="00144D16"/>
    <w:rsid w:val="001452E8"/>
    <w:rsid w:val="00150E59"/>
    <w:rsid w:val="00152DE3"/>
    <w:rsid w:val="00164CF9"/>
    <w:rsid w:val="001667A6"/>
    <w:rsid w:val="00170814"/>
    <w:rsid w:val="00176392"/>
    <w:rsid w:val="00184AD6"/>
    <w:rsid w:val="001A425F"/>
    <w:rsid w:val="001A4AF7"/>
    <w:rsid w:val="001B0349"/>
    <w:rsid w:val="001B1E93"/>
    <w:rsid w:val="001B2104"/>
    <w:rsid w:val="001B65C1"/>
    <w:rsid w:val="001C49C5"/>
    <w:rsid w:val="001C684B"/>
    <w:rsid w:val="001D061B"/>
    <w:rsid w:val="001D0CFB"/>
    <w:rsid w:val="001D21AF"/>
    <w:rsid w:val="001D389C"/>
    <w:rsid w:val="001D53FC"/>
    <w:rsid w:val="001F42A5"/>
    <w:rsid w:val="001F7B9D"/>
    <w:rsid w:val="00201C93"/>
    <w:rsid w:val="002176E7"/>
    <w:rsid w:val="0022191D"/>
    <w:rsid w:val="002224B4"/>
    <w:rsid w:val="00227CCD"/>
    <w:rsid w:val="00237383"/>
    <w:rsid w:val="002447EF"/>
    <w:rsid w:val="00251550"/>
    <w:rsid w:val="00253466"/>
    <w:rsid w:val="00263B05"/>
    <w:rsid w:val="0027221A"/>
    <w:rsid w:val="00275B61"/>
    <w:rsid w:val="00280FAF"/>
    <w:rsid w:val="00282656"/>
    <w:rsid w:val="00296B83"/>
    <w:rsid w:val="002B4015"/>
    <w:rsid w:val="002B5A0A"/>
    <w:rsid w:val="002B78CE"/>
    <w:rsid w:val="002C2FB6"/>
    <w:rsid w:val="002D4BC2"/>
    <w:rsid w:val="002E4D37"/>
    <w:rsid w:val="002E5FA7"/>
    <w:rsid w:val="002F3309"/>
    <w:rsid w:val="002F33C5"/>
    <w:rsid w:val="003008CE"/>
    <w:rsid w:val="003009B7"/>
    <w:rsid w:val="00300E56"/>
    <w:rsid w:val="0030152C"/>
    <w:rsid w:val="003015C1"/>
    <w:rsid w:val="0030469C"/>
    <w:rsid w:val="00321CA6"/>
    <w:rsid w:val="00323763"/>
    <w:rsid w:val="00323C5F"/>
    <w:rsid w:val="00325CDC"/>
    <w:rsid w:val="00333AA5"/>
    <w:rsid w:val="00334C09"/>
    <w:rsid w:val="00371628"/>
    <w:rsid w:val="00371A70"/>
    <w:rsid w:val="003723D4"/>
    <w:rsid w:val="00373961"/>
    <w:rsid w:val="00374F0E"/>
    <w:rsid w:val="00381905"/>
    <w:rsid w:val="00384CC8"/>
    <w:rsid w:val="00385F8B"/>
    <w:rsid w:val="003871FD"/>
    <w:rsid w:val="003A1E30"/>
    <w:rsid w:val="003A2829"/>
    <w:rsid w:val="003A7D1C"/>
    <w:rsid w:val="003B304B"/>
    <w:rsid w:val="003B3146"/>
    <w:rsid w:val="003C15CC"/>
    <w:rsid w:val="003D0E38"/>
    <w:rsid w:val="003D6742"/>
    <w:rsid w:val="003F015E"/>
    <w:rsid w:val="00400414"/>
    <w:rsid w:val="0041446B"/>
    <w:rsid w:val="0041738F"/>
    <w:rsid w:val="00431D67"/>
    <w:rsid w:val="0044071E"/>
    <w:rsid w:val="0044329C"/>
    <w:rsid w:val="00444FD9"/>
    <w:rsid w:val="00453E24"/>
    <w:rsid w:val="00457456"/>
    <w:rsid w:val="004577FE"/>
    <w:rsid w:val="00457B9C"/>
    <w:rsid w:val="0046164A"/>
    <w:rsid w:val="004628D2"/>
    <w:rsid w:val="00462B0E"/>
    <w:rsid w:val="00462DCD"/>
    <w:rsid w:val="004648AD"/>
    <w:rsid w:val="004703A9"/>
    <w:rsid w:val="00472A57"/>
    <w:rsid w:val="004760DE"/>
    <w:rsid w:val="004763D7"/>
    <w:rsid w:val="00484918"/>
    <w:rsid w:val="00494665"/>
    <w:rsid w:val="004A004E"/>
    <w:rsid w:val="004A24CF"/>
    <w:rsid w:val="004C3D1D"/>
    <w:rsid w:val="004C3D84"/>
    <w:rsid w:val="004C7913"/>
    <w:rsid w:val="004D0A20"/>
    <w:rsid w:val="004E4DD6"/>
    <w:rsid w:val="004F5E36"/>
    <w:rsid w:val="004F66A5"/>
    <w:rsid w:val="00507B47"/>
    <w:rsid w:val="00507BEF"/>
    <w:rsid w:val="00507CC9"/>
    <w:rsid w:val="00507E00"/>
    <w:rsid w:val="005119A5"/>
    <w:rsid w:val="0051589C"/>
    <w:rsid w:val="005278B7"/>
    <w:rsid w:val="00532016"/>
    <w:rsid w:val="005346C8"/>
    <w:rsid w:val="00540E5F"/>
    <w:rsid w:val="00543E7D"/>
    <w:rsid w:val="00547A68"/>
    <w:rsid w:val="005531C9"/>
    <w:rsid w:val="00556535"/>
    <w:rsid w:val="00557E00"/>
    <w:rsid w:val="00570C43"/>
    <w:rsid w:val="00576139"/>
    <w:rsid w:val="00580CD7"/>
    <w:rsid w:val="0058166A"/>
    <w:rsid w:val="00583450"/>
    <w:rsid w:val="00585ED8"/>
    <w:rsid w:val="005B04BF"/>
    <w:rsid w:val="005B2110"/>
    <w:rsid w:val="005B61E6"/>
    <w:rsid w:val="005B6599"/>
    <w:rsid w:val="005B680F"/>
    <w:rsid w:val="005C40E3"/>
    <w:rsid w:val="005C77E1"/>
    <w:rsid w:val="005D668A"/>
    <w:rsid w:val="005D6A2F"/>
    <w:rsid w:val="005E1A82"/>
    <w:rsid w:val="005E4BCA"/>
    <w:rsid w:val="005E794C"/>
    <w:rsid w:val="005F0A28"/>
    <w:rsid w:val="005F0E5E"/>
    <w:rsid w:val="00600535"/>
    <w:rsid w:val="00610CD6"/>
    <w:rsid w:val="006164BB"/>
    <w:rsid w:val="00620DEE"/>
    <w:rsid w:val="00621F92"/>
    <w:rsid w:val="0062280A"/>
    <w:rsid w:val="00625639"/>
    <w:rsid w:val="00631B33"/>
    <w:rsid w:val="00631FFE"/>
    <w:rsid w:val="0064184D"/>
    <w:rsid w:val="006422CC"/>
    <w:rsid w:val="00647B97"/>
    <w:rsid w:val="00660E3E"/>
    <w:rsid w:val="00662E74"/>
    <w:rsid w:val="00677721"/>
    <w:rsid w:val="00680C23"/>
    <w:rsid w:val="006820A0"/>
    <w:rsid w:val="006916C9"/>
    <w:rsid w:val="00693470"/>
    <w:rsid w:val="00693766"/>
    <w:rsid w:val="006973CE"/>
    <w:rsid w:val="006A3281"/>
    <w:rsid w:val="006A52DE"/>
    <w:rsid w:val="006B4888"/>
    <w:rsid w:val="006C2E45"/>
    <w:rsid w:val="006C359C"/>
    <w:rsid w:val="006C5579"/>
    <w:rsid w:val="006D6E8B"/>
    <w:rsid w:val="006E737D"/>
    <w:rsid w:val="006F0C40"/>
    <w:rsid w:val="0070581D"/>
    <w:rsid w:val="007074DB"/>
    <w:rsid w:val="00707DD1"/>
    <w:rsid w:val="00713973"/>
    <w:rsid w:val="00720A24"/>
    <w:rsid w:val="00732386"/>
    <w:rsid w:val="00732A39"/>
    <w:rsid w:val="0073514D"/>
    <w:rsid w:val="00743B24"/>
    <w:rsid w:val="007447F3"/>
    <w:rsid w:val="007530AA"/>
    <w:rsid w:val="0075499F"/>
    <w:rsid w:val="00756549"/>
    <w:rsid w:val="0076105C"/>
    <w:rsid w:val="007643B2"/>
    <w:rsid w:val="007644BF"/>
    <w:rsid w:val="00764CA1"/>
    <w:rsid w:val="00764D8F"/>
    <w:rsid w:val="007661C8"/>
    <w:rsid w:val="0077098D"/>
    <w:rsid w:val="007931FA"/>
    <w:rsid w:val="007A4861"/>
    <w:rsid w:val="007A7BBA"/>
    <w:rsid w:val="007B0C50"/>
    <w:rsid w:val="007B48F9"/>
    <w:rsid w:val="007C0D77"/>
    <w:rsid w:val="007C1A43"/>
    <w:rsid w:val="007C1BF0"/>
    <w:rsid w:val="007D0951"/>
    <w:rsid w:val="0080013E"/>
    <w:rsid w:val="00813288"/>
    <w:rsid w:val="008168FC"/>
    <w:rsid w:val="008269CD"/>
    <w:rsid w:val="00830996"/>
    <w:rsid w:val="00833B6E"/>
    <w:rsid w:val="008345F1"/>
    <w:rsid w:val="00840255"/>
    <w:rsid w:val="00856A79"/>
    <w:rsid w:val="00864855"/>
    <w:rsid w:val="00865B07"/>
    <w:rsid w:val="008667EA"/>
    <w:rsid w:val="0087067A"/>
    <w:rsid w:val="0087637F"/>
    <w:rsid w:val="00892AD5"/>
    <w:rsid w:val="008A1512"/>
    <w:rsid w:val="008A4E7A"/>
    <w:rsid w:val="008C2F5B"/>
    <w:rsid w:val="008D0CBC"/>
    <w:rsid w:val="008D27B4"/>
    <w:rsid w:val="008D32B9"/>
    <w:rsid w:val="008D42D4"/>
    <w:rsid w:val="008D433B"/>
    <w:rsid w:val="008D4A16"/>
    <w:rsid w:val="008D589B"/>
    <w:rsid w:val="008E566E"/>
    <w:rsid w:val="008F5C71"/>
    <w:rsid w:val="0090161A"/>
    <w:rsid w:val="00901EB6"/>
    <w:rsid w:val="00904C62"/>
    <w:rsid w:val="00922BA8"/>
    <w:rsid w:val="0092375F"/>
    <w:rsid w:val="00924DAC"/>
    <w:rsid w:val="00927058"/>
    <w:rsid w:val="00931DFD"/>
    <w:rsid w:val="00933C7A"/>
    <w:rsid w:val="00937509"/>
    <w:rsid w:val="009400FA"/>
    <w:rsid w:val="00942750"/>
    <w:rsid w:val="009450CE"/>
    <w:rsid w:val="009459BB"/>
    <w:rsid w:val="00947179"/>
    <w:rsid w:val="0095164B"/>
    <w:rsid w:val="00954090"/>
    <w:rsid w:val="009573E7"/>
    <w:rsid w:val="00963E05"/>
    <w:rsid w:val="00964A45"/>
    <w:rsid w:val="00967843"/>
    <w:rsid w:val="00967D54"/>
    <w:rsid w:val="00971028"/>
    <w:rsid w:val="00985D2A"/>
    <w:rsid w:val="009869AA"/>
    <w:rsid w:val="00993B84"/>
    <w:rsid w:val="00996483"/>
    <w:rsid w:val="009964A9"/>
    <w:rsid w:val="00996F5A"/>
    <w:rsid w:val="009A7091"/>
    <w:rsid w:val="009B041A"/>
    <w:rsid w:val="009B48E2"/>
    <w:rsid w:val="009C37C3"/>
    <w:rsid w:val="009C7C86"/>
    <w:rsid w:val="009D2FF7"/>
    <w:rsid w:val="009D7FF3"/>
    <w:rsid w:val="009E7884"/>
    <w:rsid w:val="009E788A"/>
    <w:rsid w:val="009F0E08"/>
    <w:rsid w:val="00A0071C"/>
    <w:rsid w:val="00A12D01"/>
    <w:rsid w:val="00A1763D"/>
    <w:rsid w:val="00A17CEC"/>
    <w:rsid w:val="00A27EF0"/>
    <w:rsid w:val="00A353E3"/>
    <w:rsid w:val="00A41BBF"/>
    <w:rsid w:val="00A42361"/>
    <w:rsid w:val="00A47B08"/>
    <w:rsid w:val="00A50B20"/>
    <w:rsid w:val="00A51241"/>
    <w:rsid w:val="00A51390"/>
    <w:rsid w:val="00A60D13"/>
    <w:rsid w:val="00A714EF"/>
    <w:rsid w:val="00A71BE1"/>
    <w:rsid w:val="00A7223D"/>
    <w:rsid w:val="00A72745"/>
    <w:rsid w:val="00A76EFC"/>
    <w:rsid w:val="00A8784A"/>
    <w:rsid w:val="00A87D50"/>
    <w:rsid w:val="00A91010"/>
    <w:rsid w:val="00A97F29"/>
    <w:rsid w:val="00AA37FE"/>
    <w:rsid w:val="00AA623B"/>
    <w:rsid w:val="00AA702E"/>
    <w:rsid w:val="00AA7D26"/>
    <w:rsid w:val="00AB0964"/>
    <w:rsid w:val="00AB3CBA"/>
    <w:rsid w:val="00AB5011"/>
    <w:rsid w:val="00AC7368"/>
    <w:rsid w:val="00AD16B9"/>
    <w:rsid w:val="00AE04C7"/>
    <w:rsid w:val="00AE377D"/>
    <w:rsid w:val="00AF0EBA"/>
    <w:rsid w:val="00B02C8A"/>
    <w:rsid w:val="00B17FBD"/>
    <w:rsid w:val="00B315A6"/>
    <w:rsid w:val="00B31813"/>
    <w:rsid w:val="00B33365"/>
    <w:rsid w:val="00B37BCC"/>
    <w:rsid w:val="00B54B37"/>
    <w:rsid w:val="00B57B36"/>
    <w:rsid w:val="00B57E6F"/>
    <w:rsid w:val="00B657C8"/>
    <w:rsid w:val="00B8012E"/>
    <w:rsid w:val="00B8686D"/>
    <w:rsid w:val="00B93F69"/>
    <w:rsid w:val="00B9670E"/>
    <w:rsid w:val="00BA6C68"/>
    <w:rsid w:val="00BB1DDC"/>
    <w:rsid w:val="00BB7848"/>
    <w:rsid w:val="00BC30C9"/>
    <w:rsid w:val="00BD077D"/>
    <w:rsid w:val="00BD15F4"/>
    <w:rsid w:val="00BE0884"/>
    <w:rsid w:val="00BE3763"/>
    <w:rsid w:val="00BE3E58"/>
    <w:rsid w:val="00C01616"/>
    <w:rsid w:val="00C0162B"/>
    <w:rsid w:val="00C068ED"/>
    <w:rsid w:val="00C22E0C"/>
    <w:rsid w:val="00C32CD6"/>
    <w:rsid w:val="00C345B1"/>
    <w:rsid w:val="00C40142"/>
    <w:rsid w:val="00C47CE4"/>
    <w:rsid w:val="00C52C3C"/>
    <w:rsid w:val="00C57182"/>
    <w:rsid w:val="00C57863"/>
    <w:rsid w:val="00C617F2"/>
    <w:rsid w:val="00C640AF"/>
    <w:rsid w:val="00C655FD"/>
    <w:rsid w:val="00C71F8B"/>
    <w:rsid w:val="00C749DD"/>
    <w:rsid w:val="00C75407"/>
    <w:rsid w:val="00C841C6"/>
    <w:rsid w:val="00C870A8"/>
    <w:rsid w:val="00C94434"/>
    <w:rsid w:val="00CA0D75"/>
    <w:rsid w:val="00CA1C95"/>
    <w:rsid w:val="00CA2DFE"/>
    <w:rsid w:val="00CA5A9C"/>
    <w:rsid w:val="00CB1D47"/>
    <w:rsid w:val="00CB1D85"/>
    <w:rsid w:val="00CC4C20"/>
    <w:rsid w:val="00CC7E67"/>
    <w:rsid w:val="00CD3517"/>
    <w:rsid w:val="00CD5FE2"/>
    <w:rsid w:val="00CE0A12"/>
    <w:rsid w:val="00CE7C68"/>
    <w:rsid w:val="00D02B4C"/>
    <w:rsid w:val="00D040C4"/>
    <w:rsid w:val="00D20AD1"/>
    <w:rsid w:val="00D212CC"/>
    <w:rsid w:val="00D2582C"/>
    <w:rsid w:val="00D315A3"/>
    <w:rsid w:val="00D46B7E"/>
    <w:rsid w:val="00D57C84"/>
    <w:rsid w:val="00D6057D"/>
    <w:rsid w:val="00D6057F"/>
    <w:rsid w:val="00D62F8D"/>
    <w:rsid w:val="00D65B5E"/>
    <w:rsid w:val="00D71640"/>
    <w:rsid w:val="00D836C5"/>
    <w:rsid w:val="00D83753"/>
    <w:rsid w:val="00D84576"/>
    <w:rsid w:val="00DA1399"/>
    <w:rsid w:val="00DA24C6"/>
    <w:rsid w:val="00DA4D7B"/>
    <w:rsid w:val="00DD0173"/>
    <w:rsid w:val="00DD271C"/>
    <w:rsid w:val="00DE08AA"/>
    <w:rsid w:val="00DE264A"/>
    <w:rsid w:val="00DE7F11"/>
    <w:rsid w:val="00DF5072"/>
    <w:rsid w:val="00E02D18"/>
    <w:rsid w:val="00E041E7"/>
    <w:rsid w:val="00E06D46"/>
    <w:rsid w:val="00E23CA1"/>
    <w:rsid w:val="00E34850"/>
    <w:rsid w:val="00E40437"/>
    <w:rsid w:val="00E409A8"/>
    <w:rsid w:val="00E50C12"/>
    <w:rsid w:val="00E51779"/>
    <w:rsid w:val="00E51985"/>
    <w:rsid w:val="00E62C2F"/>
    <w:rsid w:val="00E65B91"/>
    <w:rsid w:val="00E7209D"/>
    <w:rsid w:val="00E72EAD"/>
    <w:rsid w:val="00E77223"/>
    <w:rsid w:val="00E82A6D"/>
    <w:rsid w:val="00E8528B"/>
    <w:rsid w:val="00E85B94"/>
    <w:rsid w:val="00E978D0"/>
    <w:rsid w:val="00EA249A"/>
    <w:rsid w:val="00EA4613"/>
    <w:rsid w:val="00EA7F91"/>
    <w:rsid w:val="00EB1523"/>
    <w:rsid w:val="00EB75FE"/>
    <w:rsid w:val="00EC0E49"/>
    <w:rsid w:val="00EC101F"/>
    <w:rsid w:val="00EC1D9F"/>
    <w:rsid w:val="00ED643C"/>
    <w:rsid w:val="00EE0131"/>
    <w:rsid w:val="00EE06DB"/>
    <w:rsid w:val="00EE17B0"/>
    <w:rsid w:val="00EF06D9"/>
    <w:rsid w:val="00EF3717"/>
    <w:rsid w:val="00F00EB6"/>
    <w:rsid w:val="00F127B2"/>
    <w:rsid w:val="00F22DA1"/>
    <w:rsid w:val="00F22FC9"/>
    <w:rsid w:val="00F24C1A"/>
    <w:rsid w:val="00F3049E"/>
    <w:rsid w:val="00F30C64"/>
    <w:rsid w:val="00F32BA2"/>
    <w:rsid w:val="00F32CDB"/>
    <w:rsid w:val="00F565FE"/>
    <w:rsid w:val="00F60C09"/>
    <w:rsid w:val="00F63A70"/>
    <w:rsid w:val="00F63D8C"/>
    <w:rsid w:val="00F65C50"/>
    <w:rsid w:val="00F66030"/>
    <w:rsid w:val="00F66807"/>
    <w:rsid w:val="00F7534E"/>
    <w:rsid w:val="00F924A0"/>
    <w:rsid w:val="00F93EDF"/>
    <w:rsid w:val="00FA1802"/>
    <w:rsid w:val="00FA21D0"/>
    <w:rsid w:val="00FA45A4"/>
    <w:rsid w:val="00FA5F5F"/>
    <w:rsid w:val="00FA5F86"/>
    <w:rsid w:val="00FB12E0"/>
    <w:rsid w:val="00FB2FBB"/>
    <w:rsid w:val="00FB730C"/>
    <w:rsid w:val="00FC2695"/>
    <w:rsid w:val="00FC3E03"/>
    <w:rsid w:val="00FC3FC1"/>
    <w:rsid w:val="00FF203F"/>
    <w:rsid w:val="00FF22FE"/>
    <w:rsid w:val="00FF563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8269CD"/>
    <w:rPr>
      <w:color w:val="605E5C"/>
      <w:shd w:val="clear" w:color="auto" w:fill="E1DFDD"/>
    </w:rPr>
  </w:style>
  <w:style w:type="character" w:styleId="PlaceholderText">
    <w:name w:val="Placeholder Text"/>
    <w:basedOn w:val="DefaultParagraphFont"/>
    <w:uiPriority w:val="99"/>
    <w:semiHidden/>
    <w:rsid w:val="007074DB"/>
    <w:rPr>
      <w:color w:val="666666"/>
    </w:rPr>
  </w:style>
  <w:style w:type="character" w:customStyle="1" w:styleId="katex-mathml">
    <w:name w:val="katex-mathml"/>
    <w:basedOn w:val="DefaultParagraphFont"/>
    <w:rsid w:val="009400FA"/>
  </w:style>
  <w:style w:type="character" w:customStyle="1" w:styleId="mord">
    <w:name w:val="mord"/>
    <w:basedOn w:val="DefaultParagraphFont"/>
    <w:rsid w:val="009400FA"/>
  </w:style>
  <w:style w:type="character" w:customStyle="1" w:styleId="vlist-s">
    <w:name w:val="vlist-s"/>
    <w:basedOn w:val="DefaultParagraphFont"/>
    <w:rsid w:val="009400FA"/>
  </w:style>
  <w:style w:type="paragraph" w:styleId="Revision">
    <w:name w:val="Revision"/>
    <w:hidden/>
    <w:uiPriority w:val="99"/>
    <w:semiHidden/>
    <w:rsid w:val="00F00EB6"/>
    <w:pPr>
      <w:spacing w:after="0" w:line="240" w:lineRule="auto"/>
    </w:pPr>
    <w:rPr>
      <w:rFonts w:ascii="Arial" w:eastAsia="Times New Roman" w:hAnsi="Arial" w:cs="Times New Roman"/>
      <w:sz w:val="18"/>
      <w:szCs w:val="20"/>
      <w:lang w:val="en-GB"/>
    </w:rPr>
  </w:style>
  <w:style w:type="character" w:styleId="FollowedHyperlink">
    <w:name w:val="FollowedHyperlink"/>
    <w:basedOn w:val="DefaultParagraphFont"/>
    <w:uiPriority w:val="99"/>
    <w:semiHidden/>
    <w:unhideWhenUsed/>
    <w:rsid w:val="002E4D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7619">
      <w:bodyDiv w:val="1"/>
      <w:marLeft w:val="0"/>
      <w:marRight w:val="0"/>
      <w:marTop w:val="0"/>
      <w:marBottom w:val="0"/>
      <w:divBdr>
        <w:top w:val="none" w:sz="0" w:space="0" w:color="auto"/>
        <w:left w:val="none" w:sz="0" w:space="0" w:color="auto"/>
        <w:bottom w:val="none" w:sz="0" w:space="0" w:color="auto"/>
        <w:right w:val="none" w:sz="0" w:space="0" w:color="auto"/>
      </w:divBdr>
      <w:divsChild>
        <w:div w:id="1735353655">
          <w:marLeft w:val="0"/>
          <w:marRight w:val="0"/>
          <w:marTop w:val="0"/>
          <w:marBottom w:val="0"/>
          <w:divBdr>
            <w:top w:val="none" w:sz="0" w:space="0" w:color="auto"/>
            <w:left w:val="none" w:sz="0" w:space="0" w:color="auto"/>
            <w:bottom w:val="none" w:sz="0" w:space="0" w:color="auto"/>
            <w:right w:val="none" w:sz="0" w:space="0" w:color="auto"/>
          </w:divBdr>
          <w:divsChild>
            <w:div w:id="201113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5760">
      <w:bodyDiv w:val="1"/>
      <w:marLeft w:val="0"/>
      <w:marRight w:val="0"/>
      <w:marTop w:val="0"/>
      <w:marBottom w:val="0"/>
      <w:divBdr>
        <w:top w:val="none" w:sz="0" w:space="0" w:color="auto"/>
        <w:left w:val="none" w:sz="0" w:space="0" w:color="auto"/>
        <w:bottom w:val="none" w:sz="0" w:space="0" w:color="auto"/>
        <w:right w:val="none" w:sz="0" w:space="0" w:color="auto"/>
      </w:divBdr>
    </w:div>
    <w:div w:id="267929983">
      <w:bodyDiv w:val="1"/>
      <w:marLeft w:val="0"/>
      <w:marRight w:val="0"/>
      <w:marTop w:val="0"/>
      <w:marBottom w:val="0"/>
      <w:divBdr>
        <w:top w:val="none" w:sz="0" w:space="0" w:color="auto"/>
        <w:left w:val="none" w:sz="0" w:space="0" w:color="auto"/>
        <w:bottom w:val="none" w:sz="0" w:space="0" w:color="auto"/>
        <w:right w:val="none" w:sz="0" w:space="0" w:color="auto"/>
      </w:divBdr>
    </w:div>
    <w:div w:id="313031625">
      <w:bodyDiv w:val="1"/>
      <w:marLeft w:val="0"/>
      <w:marRight w:val="0"/>
      <w:marTop w:val="0"/>
      <w:marBottom w:val="0"/>
      <w:divBdr>
        <w:top w:val="none" w:sz="0" w:space="0" w:color="auto"/>
        <w:left w:val="none" w:sz="0" w:space="0" w:color="auto"/>
        <w:bottom w:val="none" w:sz="0" w:space="0" w:color="auto"/>
        <w:right w:val="none" w:sz="0" w:space="0" w:color="auto"/>
      </w:divBdr>
      <w:divsChild>
        <w:div w:id="2092118884">
          <w:marLeft w:val="0"/>
          <w:marRight w:val="0"/>
          <w:marTop w:val="0"/>
          <w:marBottom w:val="0"/>
          <w:divBdr>
            <w:top w:val="none" w:sz="0" w:space="0" w:color="auto"/>
            <w:left w:val="none" w:sz="0" w:space="0" w:color="auto"/>
            <w:bottom w:val="none" w:sz="0" w:space="0" w:color="auto"/>
            <w:right w:val="none" w:sz="0" w:space="0" w:color="auto"/>
          </w:divBdr>
          <w:divsChild>
            <w:div w:id="10025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6944">
      <w:bodyDiv w:val="1"/>
      <w:marLeft w:val="0"/>
      <w:marRight w:val="0"/>
      <w:marTop w:val="0"/>
      <w:marBottom w:val="0"/>
      <w:divBdr>
        <w:top w:val="none" w:sz="0" w:space="0" w:color="auto"/>
        <w:left w:val="none" w:sz="0" w:space="0" w:color="auto"/>
        <w:bottom w:val="none" w:sz="0" w:space="0" w:color="auto"/>
        <w:right w:val="none" w:sz="0" w:space="0" w:color="auto"/>
      </w:divBdr>
    </w:div>
    <w:div w:id="575089942">
      <w:bodyDiv w:val="1"/>
      <w:marLeft w:val="0"/>
      <w:marRight w:val="0"/>
      <w:marTop w:val="0"/>
      <w:marBottom w:val="0"/>
      <w:divBdr>
        <w:top w:val="none" w:sz="0" w:space="0" w:color="auto"/>
        <w:left w:val="none" w:sz="0" w:space="0" w:color="auto"/>
        <w:bottom w:val="none" w:sz="0" w:space="0" w:color="auto"/>
        <w:right w:val="none" w:sz="0" w:space="0" w:color="auto"/>
      </w:divBdr>
    </w:div>
    <w:div w:id="640429255">
      <w:bodyDiv w:val="1"/>
      <w:marLeft w:val="0"/>
      <w:marRight w:val="0"/>
      <w:marTop w:val="0"/>
      <w:marBottom w:val="0"/>
      <w:divBdr>
        <w:top w:val="none" w:sz="0" w:space="0" w:color="auto"/>
        <w:left w:val="none" w:sz="0" w:space="0" w:color="auto"/>
        <w:bottom w:val="none" w:sz="0" w:space="0" w:color="auto"/>
        <w:right w:val="none" w:sz="0" w:space="0" w:color="auto"/>
      </w:divBdr>
    </w:div>
    <w:div w:id="657005388">
      <w:bodyDiv w:val="1"/>
      <w:marLeft w:val="0"/>
      <w:marRight w:val="0"/>
      <w:marTop w:val="0"/>
      <w:marBottom w:val="0"/>
      <w:divBdr>
        <w:top w:val="none" w:sz="0" w:space="0" w:color="auto"/>
        <w:left w:val="none" w:sz="0" w:space="0" w:color="auto"/>
        <w:bottom w:val="none" w:sz="0" w:space="0" w:color="auto"/>
        <w:right w:val="none" w:sz="0" w:space="0" w:color="auto"/>
      </w:divBdr>
    </w:div>
    <w:div w:id="692194276">
      <w:bodyDiv w:val="1"/>
      <w:marLeft w:val="0"/>
      <w:marRight w:val="0"/>
      <w:marTop w:val="0"/>
      <w:marBottom w:val="0"/>
      <w:divBdr>
        <w:top w:val="none" w:sz="0" w:space="0" w:color="auto"/>
        <w:left w:val="none" w:sz="0" w:space="0" w:color="auto"/>
        <w:bottom w:val="none" w:sz="0" w:space="0" w:color="auto"/>
        <w:right w:val="none" w:sz="0" w:space="0" w:color="auto"/>
      </w:divBdr>
    </w:div>
    <w:div w:id="70217468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68027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8661">
      <w:bodyDiv w:val="1"/>
      <w:marLeft w:val="0"/>
      <w:marRight w:val="0"/>
      <w:marTop w:val="0"/>
      <w:marBottom w:val="0"/>
      <w:divBdr>
        <w:top w:val="none" w:sz="0" w:space="0" w:color="auto"/>
        <w:left w:val="none" w:sz="0" w:space="0" w:color="auto"/>
        <w:bottom w:val="none" w:sz="0" w:space="0" w:color="auto"/>
        <w:right w:val="none" w:sz="0" w:space="0" w:color="auto"/>
      </w:divBdr>
    </w:div>
    <w:div w:id="1159006835">
      <w:bodyDiv w:val="1"/>
      <w:marLeft w:val="0"/>
      <w:marRight w:val="0"/>
      <w:marTop w:val="0"/>
      <w:marBottom w:val="0"/>
      <w:divBdr>
        <w:top w:val="none" w:sz="0" w:space="0" w:color="auto"/>
        <w:left w:val="none" w:sz="0" w:space="0" w:color="auto"/>
        <w:bottom w:val="none" w:sz="0" w:space="0" w:color="auto"/>
        <w:right w:val="none" w:sz="0" w:space="0" w:color="auto"/>
      </w:divBdr>
    </w:div>
    <w:div w:id="1260404370">
      <w:bodyDiv w:val="1"/>
      <w:marLeft w:val="0"/>
      <w:marRight w:val="0"/>
      <w:marTop w:val="0"/>
      <w:marBottom w:val="0"/>
      <w:divBdr>
        <w:top w:val="none" w:sz="0" w:space="0" w:color="auto"/>
        <w:left w:val="none" w:sz="0" w:space="0" w:color="auto"/>
        <w:bottom w:val="none" w:sz="0" w:space="0" w:color="auto"/>
        <w:right w:val="none" w:sz="0" w:space="0" w:color="auto"/>
      </w:divBdr>
      <w:divsChild>
        <w:div w:id="1679699299">
          <w:marLeft w:val="0"/>
          <w:marRight w:val="0"/>
          <w:marTop w:val="0"/>
          <w:marBottom w:val="0"/>
          <w:divBdr>
            <w:top w:val="none" w:sz="0" w:space="0" w:color="auto"/>
            <w:left w:val="none" w:sz="0" w:space="0" w:color="auto"/>
            <w:bottom w:val="none" w:sz="0" w:space="0" w:color="auto"/>
            <w:right w:val="none" w:sz="0" w:space="0" w:color="auto"/>
          </w:divBdr>
          <w:divsChild>
            <w:div w:id="11827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31622">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50090005">
      <w:bodyDiv w:val="1"/>
      <w:marLeft w:val="0"/>
      <w:marRight w:val="0"/>
      <w:marTop w:val="0"/>
      <w:marBottom w:val="0"/>
      <w:divBdr>
        <w:top w:val="none" w:sz="0" w:space="0" w:color="auto"/>
        <w:left w:val="none" w:sz="0" w:space="0" w:color="auto"/>
        <w:bottom w:val="none" w:sz="0" w:space="0" w:color="auto"/>
        <w:right w:val="none" w:sz="0" w:space="0" w:color="auto"/>
      </w:divBdr>
      <w:divsChild>
        <w:div w:id="1221944103">
          <w:marLeft w:val="0"/>
          <w:marRight w:val="0"/>
          <w:marTop w:val="0"/>
          <w:marBottom w:val="0"/>
          <w:divBdr>
            <w:top w:val="none" w:sz="0" w:space="0" w:color="auto"/>
            <w:left w:val="none" w:sz="0" w:space="0" w:color="auto"/>
            <w:bottom w:val="none" w:sz="0" w:space="0" w:color="auto"/>
            <w:right w:val="none" w:sz="0" w:space="0" w:color="auto"/>
          </w:divBdr>
          <w:divsChild>
            <w:div w:id="6610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2591">
      <w:bodyDiv w:val="1"/>
      <w:marLeft w:val="0"/>
      <w:marRight w:val="0"/>
      <w:marTop w:val="0"/>
      <w:marBottom w:val="0"/>
      <w:divBdr>
        <w:top w:val="none" w:sz="0" w:space="0" w:color="auto"/>
        <w:left w:val="none" w:sz="0" w:space="0" w:color="auto"/>
        <w:bottom w:val="none" w:sz="0" w:space="0" w:color="auto"/>
        <w:right w:val="none" w:sz="0" w:space="0" w:color="auto"/>
      </w:divBdr>
    </w:div>
    <w:div w:id="1927184195">
      <w:bodyDiv w:val="1"/>
      <w:marLeft w:val="0"/>
      <w:marRight w:val="0"/>
      <w:marTop w:val="0"/>
      <w:marBottom w:val="0"/>
      <w:divBdr>
        <w:top w:val="none" w:sz="0" w:space="0" w:color="auto"/>
        <w:left w:val="none" w:sz="0" w:space="0" w:color="auto"/>
        <w:bottom w:val="none" w:sz="0" w:space="0" w:color="auto"/>
        <w:right w:val="none" w:sz="0" w:space="0" w:color="auto"/>
      </w:divBdr>
      <w:divsChild>
        <w:div w:id="871385770">
          <w:marLeft w:val="0"/>
          <w:marRight w:val="0"/>
          <w:marTop w:val="0"/>
          <w:marBottom w:val="0"/>
          <w:divBdr>
            <w:top w:val="none" w:sz="0" w:space="0" w:color="auto"/>
            <w:left w:val="none" w:sz="0" w:space="0" w:color="auto"/>
            <w:bottom w:val="none" w:sz="0" w:space="0" w:color="auto"/>
            <w:right w:val="none" w:sz="0" w:space="0" w:color="auto"/>
          </w:divBdr>
          <w:divsChild>
            <w:div w:id="21018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3805">
      <w:bodyDiv w:val="1"/>
      <w:marLeft w:val="0"/>
      <w:marRight w:val="0"/>
      <w:marTop w:val="0"/>
      <w:marBottom w:val="0"/>
      <w:divBdr>
        <w:top w:val="none" w:sz="0" w:space="0" w:color="auto"/>
        <w:left w:val="none" w:sz="0" w:space="0" w:color="auto"/>
        <w:bottom w:val="none" w:sz="0" w:space="0" w:color="auto"/>
        <w:right w:val="none" w:sz="0" w:space="0" w:color="auto"/>
      </w:divBdr>
      <w:divsChild>
        <w:div w:id="365788071">
          <w:marLeft w:val="0"/>
          <w:marRight w:val="0"/>
          <w:marTop w:val="0"/>
          <w:marBottom w:val="0"/>
          <w:divBdr>
            <w:top w:val="none" w:sz="0" w:space="0" w:color="auto"/>
            <w:left w:val="none" w:sz="0" w:space="0" w:color="auto"/>
            <w:bottom w:val="none" w:sz="0" w:space="0" w:color="auto"/>
            <w:right w:val="none" w:sz="0" w:space="0" w:color="auto"/>
          </w:divBdr>
          <w:divsChild>
            <w:div w:id="2019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499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jclepro.2023.1395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2352</Words>
  <Characters>19052</Characters>
  <Application>Microsoft Office Word</Application>
  <DocSecurity>0</DocSecurity>
  <Lines>158</Lines>
  <Paragraphs>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Outi Ruusunen</cp:lastModifiedBy>
  <cp:revision>2</cp:revision>
  <cp:lastPrinted>2015-05-12T18:31:00Z</cp:lastPrinted>
  <dcterms:created xsi:type="dcterms:W3CDTF">2025-04-14T19:26:00Z</dcterms:created>
  <dcterms:modified xsi:type="dcterms:W3CDTF">2025-04-14T19:26:00Z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