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57E68" w:rsidRPr="00B57B36" w14:paraId="0EA3943C" w14:textId="77777777" w:rsidTr="00AA4795">
        <w:trPr>
          <w:trHeight w:val="852"/>
          <w:jc w:val="center"/>
        </w:trPr>
        <w:tc>
          <w:tcPr>
            <w:tcW w:w="6946" w:type="dxa"/>
            <w:vMerge w:val="restart"/>
            <w:tcBorders>
              <w:right w:val="single" w:sz="4" w:space="0" w:color="auto"/>
            </w:tcBorders>
          </w:tcPr>
          <w:p w14:paraId="6C3FCCEC" w14:textId="77777777" w:rsidR="00657E68" w:rsidRPr="00B57B36" w:rsidRDefault="00657E68" w:rsidP="00AA4795">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1649ADB" wp14:editId="7B9597B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6A5670D" w14:textId="77777777" w:rsidR="00657E68" w:rsidRPr="00B57B36" w:rsidRDefault="00657E68" w:rsidP="00AA4795">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92, 2022</w:t>
            </w:r>
          </w:p>
        </w:tc>
        <w:tc>
          <w:tcPr>
            <w:tcW w:w="1843" w:type="dxa"/>
            <w:tcBorders>
              <w:left w:val="single" w:sz="4" w:space="0" w:color="auto"/>
              <w:bottom w:val="nil"/>
              <w:right w:val="single" w:sz="4" w:space="0" w:color="auto"/>
            </w:tcBorders>
          </w:tcPr>
          <w:p w14:paraId="726F5E86" w14:textId="77777777" w:rsidR="00657E68" w:rsidRPr="00B57B36" w:rsidRDefault="00657E68" w:rsidP="00AA4795">
            <w:pPr>
              <w:spacing w:line="140" w:lineRule="atLeast"/>
              <w:jc w:val="right"/>
              <w:rPr>
                <w:rFonts w:cs="Arial"/>
                <w:sz w:val="14"/>
                <w:szCs w:val="14"/>
              </w:rPr>
            </w:pPr>
            <w:r w:rsidRPr="00B57B36">
              <w:rPr>
                <w:rFonts w:cs="Arial"/>
                <w:sz w:val="14"/>
                <w:szCs w:val="14"/>
              </w:rPr>
              <w:t>A publication of</w:t>
            </w:r>
          </w:p>
          <w:p w14:paraId="358A1DBC" w14:textId="77777777" w:rsidR="00657E68" w:rsidRPr="00B57B36" w:rsidRDefault="00657E68" w:rsidP="00AA4795">
            <w:pPr>
              <w:jc w:val="right"/>
            </w:pPr>
            <w:r w:rsidRPr="00B57B36">
              <w:rPr>
                <w:noProof/>
                <w:lang w:val="it-IT" w:eastAsia="it-IT"/>
              </w:rPr>
              <w:drawing>
                <wp:inline distT="0" distB="0" distL="0" distR="0" wp14:anchorId="34E9AD8E" wp14:editId="03B4006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57E68" w:rsidRPr="00B57B36" w14:paraId="6FD8F20B" w14:textId="77777777" w:rsidTr="00AA4795">
        <w:trPr>
          <w:trHeight w:val="567"/>
          <w:jc w:val="center"/>
        </w:trPr>
        <w:tc>
          <w:tcPr>
            <w:tcW w:w="6946" w:type="dxa"/>
            <w:vMerge/>
            <w:tcBorders>
              <w:right w:val="single" w:sz="4" w:space="0" w:color="auto"/>
            </w:tcBorders>
          </w:tcPr>
          <w:p w14:paraId="347A7A98" w14:textId="77777777" w:rsidR="00657E68" w:rsidRPr="00B57B36" w:rsidRDefault="00657E68" w:rsidP="00AA4795">
            <w:pPr>
              <w:tabs>
                <w:tab w:val="left" w:pos="-108"/>
              </w:tabs>
            </w:pPr>
          </w:p>
        </w:tc>
        <w:tc>
          <w:tcPr>
            <w:tcW w:w="1843" w:type="dxa"/>
            <w:tcBorders>
              <w:left w:val="single" w:sz="4" w:space="0" w:color="auto"/>
              <w:bottom w:val="nil"/>
              <w:right w:val="single" w:sz="4" w:space="0" w:color="auto"/>
            </w:tcBorders>
          </w:tcPr>
          <w:p w14:paraId="59BDE6EB" w14:textId="77777777" w:rsidR="00657E68" w:rsidRPr="00B57B36" w:rsidRDefault="00657E68" w:rsidP="00AA4795">
            <w:pPr>
              <w:spacing w:line="140" w:lineRule="atLeast"/>
              <w:jc w:val="right"/>
              <w:rPr>
                <w:rFonts w:cs="Arial"/>
                <w:sz w:val="14"/>
                <w:szCs w:val="14"/>
              </w:rPr>
            </w:pPr>
            <w:r w:rsidRPr="00B57B36">
              <w:rPr>
                <w:rFonts w:cs="Arial"/>
                <w:sz w:val="14"/>
                <w:szCs w:val="14"/>
              </w:rPr>
              <w:t>The Italian Association</w:t>
            </w:r>
          </w:p>
          <w:p w14:paraId="6550AD12" w14:textId="77777777" w:rsidR="00657E68" w:rsidRPr="00B57B36" w:rsidRDefault="00657E68" w:rsidP="00AA4795">
            <w:pPr>
              <w:spacing w:line="140" w:lineRule="atLeast"/>
              <w:jc w:val="right"/>
              <w:rPr>
                <w:rFonts w:cs="Arial"/>
                <w:sz w:val="14"/>
                <w:szCs w:val="14"/>
              </w:rPr>
            </w:pPr>
            <w:r w:rsidRPr="00B57B36">
              <w:rPr>
                <w:rFonts w:cs="Arial"/>
                <w:sz w:val="14"/>
                <w:szCs w:val="14"/>
              </w:rPr>
              <w:t>of Chemical Engineering</w:t>
            </w:r>
          </w:p>
          <w:p w14:paraId="630C745D" w14:textId="77777777" w:rsidR="00657E68" w:rsidRPr="000D0268" w:rsidRDefault="00657E68" w:rsidP="00AA4795">
            <w:pPr>
              <w:spacing w:line="140" w:lineRule="atLeast"/>
              <w:jc w:val="right"/>
              <w:rPr>
                <w:rFonts w:cs="Arial"/>
                <w:sz w:val="13"/>
                <w:szCs w:val="13"/>
              </w:rPr>
            </w:pPr>
            <w:r w:rsidRPr="000D0268">
              <w:rPr>
                <w:rFonts w:cs="Arial"/>
                <w:sz w:val="13"/>
                <w:szCs w:val="13"/>
              </w:rPr>
              <w:t>Online at www.cetjournal.it</w:t>
            </w:r>
          </w:p>
        </w:tc>
      </w:tr>
      <w:tr w:rsidR="00657E68" w:rsidRPr="00B57B36" w14:paraId="1C883BA3" w14:textId="77777777" w:rsidTr="00AA4795">
        <w:trPr>
          <w:trHeight w:val="68"/>
          <w:jc w:val="center"/>
        </w:trPr>
        <w:tc>
          <w:tcPr>
            <w:tcW w:w="8789" w:type="dxa"/>
            <w:gridSpan w:val="2"/>
          </w:tcPr>
          <w:p w14:paraId="70CA7D2A" w14:textId="77777777" w:rsidR="00657E68" w:rsidRPr="0044071E" w:rsidRDefault="00657E68" w:rsidP="00AA4795">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w:t>
            </w:r>
            <w:proofErr w:type="spellStart"/>
            <w:r w:rsidRPr="0044071E">
              <w:rPr>
                <w:rFonts w:ascii="Tahoma" w:hAnsi="Tahoma" w:cs="Tahoma"/>
                <w:color w:val="000000"/>
                <w:sz w:val="14"/>
                <w:szCs w:val="14"/>
                <w:shd w:val="clear" w:color="auto" w:fill="FFFFFF"/>
                <w:lang w:val="it-IT"/>
              </w:rPr>
              <w:t>Filho</w:t>
            </w:r>
            <w:proofErr w:type="spellEnd"/>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xml:space="preserve">, Leonardo </w:t>
            </w:r>
            <w:proofErr w:type="spellStart"/>
            <w:r>
              <w:rPr>
                <w:rFonts w:ascii="Tahoma" w:hAnsi="Tahoma" w:cs="Tahoma"/>
                <w:color w:val="000000"/>
                <w:sz w:val="14"/>
                <w:szCs w:val="14"/>
                <w:shd w:val="clear" w:color="auto" w:fill="FFFFFF"/>
                <w:lang w:val="it-IT"/>
              </w:rPr>
              <w:t>Tognotti</w:t>
            </w:r>
            <w:proofErr w:type="spellEnd"/>
          </w:p>
          <w:p w14:paraId="2330A720" w14:textId="77777777" w:rsidR="00657E68" w:rsidRPr="00B57B36" w:rsidRDefault="00657E68" w:rsidP="00AA4795">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06F7985A" w14:textId="62392B61" w:rsidR="00657E68" w:rsidRPr="00657E68" w:rsidRDefault="00657E68" w:rsidP="00657E68">
      <w:pPr>
        <w:pStyle w:val="CETTitle"/>
      </w:pPr>
      <w:r w:rsidRPr="00657E68">
        <w:t xml:space="preserve">Innovative strategy for </w:t>
      </w:r>
      <w:proofErr w:type="spellStart"/>
      <w:r w:rsidRPr="00657E68">
        <w:t>polyhydroxyalkanoates</w:t>
      </w:r>
      <w:proofErr w:type="spellEnd"/>
      <w:r w:rsidRPr="00657E68">
        <w:t xml:space="preserve"> recovery from mixed microbial cultures: effects of aqueous</w:t>
      </w:r>
      <w:r>
        <w:t xml:space="preserve"> </w:t>
      </w:r>
      <w:r w:rsidRPr="00657E68">
        <w:t>phase and solvent extraction on polymer properties</w:t>
      </w:r>
    </w:p>
    <w:p w14:paraId="2B3CA35C" w14:textId="4B090D1C" w:rsidR="00E978D0" w:rsidRPr="00FC1FEB" w:rsidRDefault="00FC1FEB" w:rsidP="00AB5011">
      <w:pPr>
        <w:pStyle w:val="CETAuthors"/>
        <w:rPr>
          <w:lang w:val="it-IT"/>
        </w:rPr>
      </w:pPr>
      <w:r w:rsidRPr="00FC1FEB">
        <w:rPr>
          <w:lang w:val="it-IT"/>
        </w:rPr>
        <w:t>L. Lorini</w:t>
      </w:r>
      <w:r w:rsidRPr="00FC1FEB">
        <w:rPr>
          <w:vertAlign w:val="superscript"/>
          <w:lang w:val="it-IT"/>
        </w:rPr>
        <w:t>a</w:t>
      </w:r>
      <w:r w:rsidRPr="00FC1FEB">
        <w:rPr>
          <w:lang w:val="it-IT"/>
        </w:rPr>
        <w:t xml:space="preserve">, </w:t>
      </w:r>
      <w:r w:rsidR="00657E68">
        <w:rPr>
          <w:lang w:val="it-IT"/>
        </w:rPr>
        <w:t>G. Salvatori</w:t>
      </w:r>
      <w:r w:rsidR="00657E68">
        <w:rPr>
          <w:vertAlign w:val="superscript"/>
          <w:lang w:val="it-IT"/>
        </w:rPr>
        <w:t>a</w:t>
      </w:r>
      <w:r w:rsidRPr="00FC1FEB">
        <w:rPr>
          <w:lang w:val="it-IT"/>
        </w:rPr>
        <w:t xml:space="preserve">, </w:t>
      </w:r>
      <w:r w:rsidR="00657E68">
        <w:rPr>
          <w:lang w:val="it-IT"/>
        </w:rPr>
        <w:t>L. Nguemna Tayou</w:t>
      </w:r>
      <w:r w:rsidR="00657E68">
        <w:rPr>
          <w:vertAlign w:val="superscript"/>
          <w:lang w:val="it-IT"/>
        </w:rPr>
        <w:t>a</w:t>
      </w:r>
      <w:r w:rsidRPr="00FC1FEB">
        <w:rPr>
          <w:lang w:val="it-IT"/>
        </w:rPr>
        <w:t xml:space="preserve">, </w:t>
      </w:r>
      <w:r w:rsidR="00A87A73" w:rsidRPr="00FC1FEB">
        <w:rPr>
          <w:lang w:val="it-IT"/>
        </w:rPr>
        <w:t>F. Valentino</w:t>
      </w:r>
      <w:r w:rsidR="00657E68">
        <w:rPr>
          <w:vertAlign w:val="superscript"/>
          <w:lang w:val="it-IT"/>
        </w:rPr>
        <w:t>b</w:t>
      </w:r>
      <w:r w:rsidR="00A87A73" w:rsidRPr="00FC1FEB">
        <w:rPr>
          <w:lang w:val="it-IT"/>
        </w:rPr>
        <w:t>,</w:t>
      </w:r>
      <w:r w:rsidR="00A87A73">
        <w:rPr>
          <w:lang w:val="it-IT"/>
        </w:rPr>
        <w:t xml:space="preserve"> M. Villano</w:t>
      </w:r>
      <w:r w:rsidR="00657E68" w:rsidRPr="00FC1FEB">
        <w:rPr>
          <w:vertAlign w:val="superscript"/>
          <w:lang w:val="it-IT"/>
        </w:rPr>
        <w:t>a</w:t>
      </w:r>
    </w:p>
    <w:p w14:paraId="6B1A56C3" w14:textId="6FC4C13A" w:rsidR="00FC1FEB" w:rsidRPr="00C03F09" w:rsidRDefault="00E978D0" w:rsidP="00FC1FEB">
      <w:pPr>
        <w:autoSpaceDE w:val="0"/>
        <w:autoSpaceDN w:val="0"/>
        <w:adjustRightInd w:val="0"/>
        <w:spacing w:line="240" w:lineRule="auto"/>
        <w:rPr>
          <w:rFonts w:ascii="TimesNewRomanPSMT" w:hAnsi="TimesNewRomanPSMT" w:cs="TimesNewRomanPSMT"/>
          <w:sz w:val="19"/>
          <w:szCs w:val="19"/>
          <w:lang w:val="en-US"/>
        </w:rPr>
      </w:pPr>
      <w:r w:rsidRPr="00B57B36">
        <w:rPr>
          <w:vertAlign w:val="superscript"/>
        </w:rPr>
        <w:t>a</w:t>
      </w:r>
      <w:r w:rsidR="00FC1FEB" w:rsidRPr="00FC1FEB">
        <w:rPr>
          <w:rFonts w:ascii="TimesNewRomanPSMT" w:hAnsi="TimesNewRomanPSMT" w:cs="TimesNewRomanPSMT"/>
          <w:sz w:val="19"/>
          <w:szCs w:val="19"/>
          <w:lang w:val="en-US"/>
        </w:rPr>
        <w:t xml:space="preserve"> </w:t>
      </w:r>
      <w:r w:rsidR="00FC1FEB" w:rsidRPr="00FC1FEB">
        <w:rPr>
          <w:noProof/>
          <w:sz w:val="16"/>
        </w:rPr>
        <w:t>Department of Chemistry, “La Sapienza” University of Rome, P.le Aldo Moro 5, 00185 Rome, IT</w:t>
      </w:r>
    </w:p>
    <w:p w14:paraId="42A57ADC" w14:textId="20F644F7" w:rsidR="00FC1FEB" w:rsidRDefault="00E978D0" w:rsidP="00FC1FEB">
      <w:pPr>
        <w:autoSpaceDE w:val="0"/>
        <w:autoSpaceDN w:val="0"/>
        <w:adjustRightInd w:val="0"/>
        <w:spacing w:line="240" w:lineRule="auto"/>
        <w:rPr>
          <w:noProof/>
          <w:sz w:val="16"/>
        </w:rPr>
      </w:pPr>
      <w:r w:rsidRPr="00B57B36">
        <w:rPr>
          <w:vertAlign w:val="superscript"/>
        </w:rPr>
        <w:t>b</w:t>
      </w:r>
      <w:r w:rsidR="00FC1FEB" w:rsidRPr="00FC1FEB">
        <w:rPr>
          <w:rFonts w:ascii="TimesNewRomanPSMT" w:hAnsi="TimesNewRomanPSMT" w:cs="TimesNewRomanPSMT"/>
          <w:sz w:val="19"/>
          <w:szCs w:val="19"/>
          <w:lang w:val="en-US"/>
        </w:rPr>
        <w:t xml:space="preserve"> </w:t>
      </w:r>
      <w:r w:rsidR="00FC1FEB" w:rsidRPr="00FC1FEB">
        <w:rPr>
          <w:noProof/>
          <w:sz w:val="16"/>
        </w:rPr>
        <w:t>Department of Environmental Science, Informatics and Statistics, Via Torino 155, 30170 Venezia Mestre, IT</w:t>
      </w:r>
    </w:p>
    <w:p w14:paraId="22C07519" w14:textId="77777777" w:rsidR="00FC1FEB" w:rsidRPr="00FC1FEB" w:rsidRDefault="00FC1FEB" w:rsidP="00FC1FEB">
      <w:pPr>
        <w:autoSpaceDE w:val="0"/>
        <w:autoSpaceDN w:val="0"/>
        <w:adjustRightInd w:val="0"/>
        <w:spacing w:line="240" w:lineRule="auto"/>
        <w:rPr>
          <w:noProof/>
          <w:sz w:val="16"/>
        </w:rPr>
      </w:pPr>
    </w:p>
    <w:p w14:paraId="0127A28D" w14:textId="2FA598E8" w:rsidR="00E978D0" w:rsidRPr="00B57B36" w:rsidRDefault="00AB5011" w:rsidP="00FC1FEB">
      <w:pPr>
        <w:pStyle w:val="CETAddress"/>
      </w:pPr>
      <w:r>
        <w:t xml:space="preserve"> </w:t>
      </w:r>
      <w:hyperlink r:id="rId10" w:history="1">
        <w:r w:rsidR="00657E68" w:rsidRPr="00B720FD">
          <w:rPr>
            <w:rStyle w:val="Collegamentoipertestuale"/>
          </w:rPr>
          <w:t>laura.lorini@uniroma1.it</w:t>
        </w:r>
      </w:hyperlink>
      <w:r w:rsidR="00FC1FEB">
        <w:t xml:space="preserve"> </w:t>
      </w:r>
    </w:p>
    <w:p w14:paraId="738B8CDC" w14:textId="77777777" w:rsidR="00FC1FEB" w:rsidRDefault="00FC1FEB" w:rsidP="00600535">
      <w:pPr>
        <w:pStyle w:val="CETBodytext"/>
        <w:rPr>
          <w:lang w:val="en-GB"/>
        </w:rPr>
      </w:pPr>
      <w:bookmarkStart w:id="0" w:name="_Hlk495475023"/>
    </w:p>
    <w:p w14:paraId="04B319EE" w14:textId="3E9A7F42" w:rsidR="00600535" w:rsidRPr="00B57B36" w:rsidRDefault="00CF737F" w:rsidP="002101F7">
      <w:pPr>
        <w:pStyle w:val="CETBodytext"/>
        <w:rPr>
          <w:lang w:val="en-GB"/>
        </w:rPr>
      </w:pPr>
      <w:r>
        <w:rPr>
          <w:lang w:val="en-GB"/>
        </w:rPr>
        <w:t>T</w:t>
      </w:r>
      <w:r w:rsidR="002101F7" w:rsidRPr="002101F7">
        <w:rPr>
          <w:lang w:val="en-GB"/>
        </w:rPr>
        <w:t xml:space="preserve">his work </w:t>
      </w:r>
      <w:r>
        <w:rPr>
          <w:lang w:val="en-GB"/>
        </w:rPr>
        <w:t>aimed</w:t>
      </w:r>
      <w:r w:rsidR="002101F7" w:rsidRPr="002101F7">
        <w:rPr>
          <w:lang w:val="en-GB"/>
        </w:rPr>
        <w:t xml:space="preserve"> to investigate various methods</w:t>
      </w:r>
      <w:r w:rsidR="002101F7">
        <w:rPr>
          <w:lang w:val="en-GB"/>
        </w:rPr>
        <w:t xml:space="preserve"> </w:t>
      </w:r>
      <w:r w:rsidR="002101F7" w:rsidRPr="002101F7">
        <w:rPr>
          <w:lang w:val="en-GB"/>
        </w:rPr>
        <w:t>of</w:t>
      </w:r>
      <w:r w:rsidR="002B3CA9">
        <w:rPr>
          <w:lang w:val="en-GB"/>
        </w:rPr>
        <w:t xml:space="preserve"> </w:t>
      </w:r>
      <w:proofErr w:type="spellStart"/>
      <w:r w:rsidR="002B3CA9">
        <w:rPr>
          <w:lang w:val="en-GB"/>
        </w:rPr>
        <w:t>polyhydroxyalkanoates</w:t>
      </w:r>
      <w:proofErr w:type="spellEnd"/>
      <w:r w:rsidR="002B3CA9">
        <w:rPr>
          <w:lang w:val="en-GB"/>
        </w:rPr>
        <w:t xml:space="preserve"> (PHA)</w:t>
      </w:r>
      <w:r w:rsidR="002101F7" w:rsidRPr="002101F7">
        <w:rPr>
          <w:lang w:val="en-GB"/>
        </w:rPr>
        <w:t xml:space="preserve"> extraction and to optimize the recovery in the view of reducing solvents’ use and waste. The extraction</w:t>
      </w:r>
      <w:r w:rsidR="002101F7">
        <w:rPr>
          <w:lang w:val="en-GB"/>
        </w:rPr>
        <w:t xml:space="preserve"> </w:t>
      </w:r>
      <w:r w:rsidR="002101F7" w:rsidRPr="002101F7">
        <w:rPr>
          <w:lang w:val="en-GB"/>
        </w:rPr>
        <w:t>tests were applied on PHA-rich biomass collected at the end of the accumulation step, conducted both at</w:t>
      </w:r>
      <w:r w:rsidR="002101F7">
        <w:rPr>
          <w:lang w:val="en-GB"/>
        </w:rPr>
        <w:t xml:space="preserve"> </w:t>
      </w:r>
      <w:r w:rsidR="002101F7" w:rsidRPr="002101F7">
        <w:rPr>
          <w:lang w:val="en-GB"/>
        </w:rPr>
        <w:t>pilot and lab scale. PHA-rich biomass obtained from the lab scale process was produced from synthetic</w:t>
      </w:r>
      <w:r w:rsidR="002101F7">
        <w:rPr>
          <w:lang w:val="en-GB"/>
        </w:rPr>
        <w:t xml:space="preserve"> </w:t>
      </w:r>
      <w:r w:rsidR="002101F7" w:rsidRPr="002101F7">
        <w:rPr>
          <w:lang w:val="en-GB"/>
        </w:rPr>
        <w:t>feedstock (mixture of acetic and propionic acids), while fermented organic waste w</w:t>
      </w:r>
      <w:r>
        <w:rPr>
          <w:lang w:val="en-GB"/>
        </w:rPr>
        <w:t>as</w:t>
      </w:r>
      <w:r w:rsidR="002101F7" w:rsidRPr="002101F7">
        <w:rPr>
          <w:lang w:val="en-GB"/>
        </w:rPr>
        <w:t xml:space="preserve"> used for PHA</w:t>
      </w:r>
      <w:r w:rsidR="002101F7">
        <w:rPr>
          <w:lang w:val="en-GB"/>
        </w:rPr>
        <w:t xml:space="preserve"> </w:t>
      </w:r>
      <w:r w:rsidR="002101F7" w:rsidRPr="002101F7">
        <w:rPr>
          <w:lang w:val="en-GB"/>
        </w:rPr>
        <w:t>production at pilot scale. In the extraction tests,</w:t>
      </w:r>
      <w:r w:rsidR="002101F7">
        <w:rPr>
          <w:lang w:val="en-GB"/>
        </w:rPr>
        <w:t xml:space="preserve"> different solutions of</w:t>
      </w:r>
      <w:r w:rsidR="002101F7" w:rsidRPr="002101F7">
        <w:rPr>
          <w:lang w:val="en-GB"/>
        </w:rPr>
        <w:t xml:space="preserve"> NaOH,</w:t>
      </w:r>
      <w:r w:rsidR="002101F7">
        <w:rPr>
          <w:lang w:val="en-GB"/>
        </w:rPr>
        <w:t xml:space="preserve"> </w:t>
      </w:r>
      <w:r w:rsidR="002101F7" w:rsidRPr="002101F7">
        <w:rPr>
          <w:lang w:val="en-GB"/>
        </w:rPr>
        <w:t xml:space="preserve">also in combination with a </w:t>
      </w:r>
      <w:r>
        <w:rPr>
          <w:lang w:val="en-GB"/>
        </w:rPr>
        <w:t>surfactant</w:t>
      </w:r>
      <w:r w:rsidR="002101F7" w:rsidRPr="002101F7">
        <w:rPr>
          <w:lang w:val="en-GB"/>
        </w:rPr>
        <w:t xml:space="preserve"> (sodium dodecyl </w:t>
      </w:r>
      <w:proofErr w:type="spellStart"/>
      <w:r w:rsidR="002101F7" w:rsidRPr="002101F7">
        <w:rPr>
          <w:lang w:val="en-GB"/>
        </w:rPr>
        <w:t>sulfate</w:t>
      </w:r>
      <w:proofErr w:type="spellEnd"/>
      <w:r w:rsidR="002101F7" w:rsidRPr="002101F7">
        <w:rPr>
          <w:lang w:val="en-GB"/>
        </w:rPr>
        <w:t>, SDS), were used to recover the polymer</w:t>
      </w:r>
      <w:r w:rsidR="002101F7">
        <w:rPr>
          <w:lang w:val="en-GB"/>
        </w:rPr>
        <w:t xml:space="preserve"> </w:t>
      </w:r>
      <w:r w:rsidR="002101F7" w:rsidRPr="002101F7">
        <w:rPr>
          <w:lang w:val="en-GB"/>
        </w:rPr>
        <w:t>from the non-polymeric cellular material (NPCM). Different time</w:t>
      </w:r>
      <w:r>
        <w:rPr>
          <w:lang w:val="en-GB"/>
        </w:rPr>
        <w:t>s</w:t>
      </w:r>
      <w:r w:rsidR="002101F7" w:rsidRPr="002101F7">
        <w:rPr>
          <w:lang w:val="en-GB"/>
        </w:rPr>
        <w:t xml:space="preserve"> (3, 6 and 24 h) and concentrations (0.05 – </w:t>
      </w:r>
      <w:r w:rsidR="002101F7">
        <w:rPr>
          <w:lang w:val="en-GB"/>
        </w:rPr>
        <w:t xml:space="preserve">1 </w:t>
      </w:r>
      <w:r w:rsidR="002101F7" w:rsidRPr="002101F7">
        <w:rPr>
          <w:lang w:val="en-GB"/>
        </w:rPr>
        <w:t xml:space="preserve">M) were tested, </w:t>
      </w:r>
      <w:proofErr w:type="gramStart"/>
      <w:r w:rsidR="002101F7" w:rsidRPr="002101F7">
        <w:rPr>
          <w:lang w:val="en-GB"/>
        </w:rPr>
        <w:t>evaluating also</w:t>
      </w:r>
      <w:proofErr w:type="gramEnd"/>
      <w:r w:rsidR="002101F7" w:rsidRPr="002101F7">
        <w:rPr>
          <w:lang w:val="en-GB"/>
        </w:rPr>
        <w:t xml:space="preserve"> the effect of adding SDS (0.1 % w/v). As a benchmark, solvent extraction with</w:t>
      </w:r>
      <w:r w:rsidR="002101F7">
        <w:rPr>
          <w:lang w:val="en-GB"/>
        </w:rPr>
        <w:t xml:space="preserve"> </w:t>
      </w:r>
      <w:r w:rsidR="002101F7" w:rsidRPr="002101F7">
        <w:rPr>
          <w:lang w:val="en-GB"/>
        </w:rPr>
        <w:t xml:space="preserve">chloroform and oxidation with </w:t>
      </w:r>
      <w:proofErr w:type="spellStart"/>
      <w:r w:rsidR="002101F7" w:rsidRPr="002101F7">
        <w:rPr>
          <w:lang w:val="en-GB"/>
        </w:rPr>
        <w:t>NaClO</w:t>
      </w:r>
      <w:proofErr w:type="spellEnd"/>
      <w:r w:rsidR="002101F7" w:rsidRPr="002101F7">
        <w:rPr>
          <w:lang w:val="en-GB"/>
        </w:rPr>
        <w:t xml:space="preserve"> were also conducted. Finally, extracted samples were characterized</w:t>
      </w:r>
      <w:r w:rsidR="002101F7">
        <w:rPr>
          <w:lang w:val="en-GB"/>
        </w:rPr>
        <w:t xml:space="preserve"> </w:t>
      </w:r>
      <w:r w:rsidR="002101F7" w:rsidRPr="002101F7">
        <w:rPr>
          <w:lang w:val="en-GB"/>
        </w:rPr>
        <w:t xml:space="preserve">through several techniques: DSC, TGA, GC-FID, capillary </w:t>
      </w:r>
      <w:proofErr w:type="spellStart"/>
      <w:r w:rsidR="002101F7" w:rsidRPr="002101F7">
        <w:rPr>
          <w:lang w:val="en-GB"/>
        </w:rPr>
        <w:t>viscosimetry</w:t>
      </w:r>
      <w:proofErr w:type="spellEnd"/>
      <w:r w:rsidR="002101F7" w:rsidRPr="002101F7">
        <w:rPr>
          <w:lang w:val="en-GB"/>
        </w:rPr>
        <w:t>. Alkaline treatment at short times</w:t>
      </w:r>
      <w:r w:rsidR="002101F7">
        <w:rPr>
          <w:lang w:val="en-GB"/>
        </w:rPr>
        <w:t xml:space="preserve"> </w:t>
      </w:r>
      <w:r w:rsidR="002101F7" w:rsidRPr="002101F7">
        <w:rPr>
          <w:lang w:val="en-GB"/>
        </w:rPr>
        <w:t>and low concentrations resulted to be more efficient in terms of purity (85 – 99 % w/w PHA) and recovery</w:t>
      </w:r>
      <w:r w:rsidR="002101F7">
        <w:rPr>
          <w:lang w:val="en-GB"/>
        </w:rPr>
        <w:t xml:space="preserve"> </w:t>
      </w:r>
      <w:r w:rsidR="002101F7" w:rsidRPr="002101F7">
        <w:rPr>
          <w:lang w:val="en-GB"/>
        </w:rPr>
        <w:t>(higher than 80 % w/w), than higher concentration</w:t>
      </w:r>
      <w:r w:rsidR="001D5031">
        <w:rPr>
          <w:lang w:val="en-GB"/>
        </w:rPr>
        <w:t>.</w:t>
      </w:r>
      <w:r w:rsidR="002101F7" w:rsidRPr="001D5031">
        <w:rPr>
          <w:lang w:val="en-GB"/>
        </w:rPr>
        <w:t xml:space="preserve"> On</w:t>
      </w:r>
      <w:r w:rsidR="002101F7" w:rsidRPr="002101F7">
        <w:rPr>
          <w:lang w:val="en-GB"/>
        </w:rPr>
        <w:t xml:space="preserve"> the other hand, the presence of SDS had dramatic effects on the recovery (lower than 50 %</w:t>
      </w:r>
      <w:r w:rsidR="002101F7">
        <w:rPr>
          <w:lang w:val="en-GB"/>
        </w:rPr>
        <w:t xml:space="preserve"> </w:t>
      </w:r>
      <w:r w:rsidR="002101F7" w:rsidRPr="002101F7">
        <w:rPr>
          <w:lang w:val="en-GB"/>
        </w:rPr>
        <w:t xml:space="preserve">w/w) </w:t>
      </w:r>
      <w:proofErr w:type="gramStart"/>
      <w:r w:rsidR="002101F7" w:rsidRPr="002101F7">
        <w:rPr>
          <w:lang w:val="en-GB"/>
        </w:rPr>
        <w:t>and also</w:t>
      </w:r>
      <w:proofErr w:type="gramEnd"/>
      <w:r w:rsidR="002101F7" w:rsidRPr="002101F7">
        <w:rPr>
          <w:lang w:val="en-GB"/>
        </w:rPr>
        <w:t xml:space="preserve"> on the molecular weight, which was two folds lower than that obtained from alkaline</w:t>
      </w:r>
      <w:r w:rsidR="002101F7">
        <w:rPr>
          <w:lang w:val="en-GB"/>
        </w:rPr>
        <w:t xml:space="preserve"> </w:t>
      </w:r>
      <w:r w:rsidR="002101F7" w:rsidRPr="002101F7">
        <w:rPr>
          <w:lang w:val="en-GB"/>
        </w:rPr>
        <w:t>extraction. Overall, extraction with aqueous phase reagents had no effects on thermal properties, which</w:t>
      </w:r>
      <w:r w:rsidR="002101F7">
        <w:rPr>
          <w:lang w:val="en-GB"/>
        </w:rPr>
        <w:t xml:space="preserve"> </w:t>
      </w:r>
      <w:r w:rsidR="002101F7" w:rsidRPr="002101F7">
        <w:rPr>
          <w:lang w:val="en-GB"/>
        </w:rPr>
        <w:t>resulted to be in the range of those reported in literature</w:t>
      </w:r>
      <w:r w:rsidR="002101F7">
        <w:rPr>
          <w:lang w:val="en-GB"/>
        </w:rPr>
        <w:t>.</w:t>
      </w:r>
    </w:p>
    <w:bookmarkEnd w:id="0"/>
    <w:p w14:paraId="476B2F2E" w14:textId="1511454E" w:rsidR="00600535" w:rsidRDefault="00600535" w:rsidP="00600535">
      <w:pPr>
        <w:pStyle w:val="CETHeading1"/>
        <w:rPr>
          <w:lang w:val="en-GB"/>
        </w:rPr>
      </w:pPr>
      <w:r w:rsidRPr="00B57B36">
        <w:rPr>
          <w:lang w:val="en-GB"/>
        </w:rPr>
        <w:t>Introduction</w:t>
      </w:r>
    </w:p>
    <w:p w14:paraId="529C7D21" w14:textId="37D7840E" w:rsidR="007B5DDE" w:rsidRPr="007B5DDE" w:rsidRDefault="007B5DDE" w:rsidP="007B5DDE">
      <w:pPr>
        <w:pStyle w:val="CETBodytext"/>
        <w:rPr>
          <w:lang w:val="en-GB"/>
        </w:rPr>
      </w:pPr>
      <w:proofErr w:type="spellStart"/>
      <w:r w:rsidRPr="007B5DDE">
        <w:rPr>
          <w:lang w:val="en-GB"/>
        </w:rPr>
        <w:t>Polyhydroxyalkanoates</w:t>
      </w:r>
      <w:proofErr w:type="spellEnd"/>
      <w:r w:rsidRPr="007B5DDE">
        <w:rPr>
          <w:lang w:val="en-GB"/>
        </w:rPr>
        <w:t xml:space="preserve"> (PHA) are </w:t>
      </w:r>
      <w:r w:rsidR="007C0C4D">
        <w:rPr>
          <w:lang w:val="en-GB"/>
        </w:rPr>
        <w:t>among</w:t>
      </w:r>
      <w:r w:rsidRPr="007B5DDE">
        <w:rPr>
          <w:lang w:val="en-GB"/>
        </w:rPr>
        <w:t xml:space="preserve"> the most interesting </w:t>
      </w:r>
      <w:r w:rsidR="007C0C4D">
        <w:rPr>
          <w:lang w:val="en-GB"/>
        </w:rPr>
        <w:t xml:space="preserve">and promising </w:t>
      </w:r>
      <w:r w:rsidRPr="007B5DDE">
        <w:rPr>
          <w:lang w:val="en-GB"/>
        </w:rPr>
        <w:t xml:space="preserve">biopolymers due to their complete biodegradability and the possibility to be synthetized by several microbial species exploiting </w:t>
      </w:r>
      <w:r w:rsidR="00EA0924">
        <w:rPr>
          <w:lang w:val="en-GB"/>
        </w:rPr>
        <w:t xml:space="preserve">various </w:t>
      </w:r>
      <w:r w:rsidRPr="007B5DDE">
        <w:rPr>
          <w:lang w:val="en-GB"/>
        </w:rPr>
        <w:t xml:space="preserve">organic wastes as feedstock. Indeed, PHA can be produced from renewable organic resources using mixed microbial cultures (MMC) instead of pure cultures (current industrial production process) </w:t>
      </w:r>
      <w:r w:rsidRPr="007B5DDE">
        <w:rPr>
          <w:lang w:val="en-GB"/>
        </w:rPr>
        <w:fldChar w:fldCharType="begin" w:fldLock="1"/>
      </w:r>
      <w:r w:rsidR="00DE1DC3">
        <w:rPr>
          <w:lang w:val="en-GB"/>
        </w:rPr>
        <w:instrText>ADDIN CSL_CITATION {"citationItems":[{"id":"ITEM-1","itemData":{"DOI":"10.1016/B978-0-08-088504-9.00464-5","ISBN":"9780080885049","abstract":"Polyhydroxyalkanoates (PHAs) are a group of biologically synthesized polyesters that are considered promising eco-efficient bioplastics because they are both biobased and biodegradable, thus meeting the criteria of a closed loop life cycle. In the past decades, industrial biotechnology has devoted a considerable effort to PHA production by bacterial pure culture fermentation. However, PHAs have not yet entered bulk materials markets due to high production costs. The combined use of mixed microbial cultures (MMCs) and low-value feedstocks is currently under investigation in order to decrease operating costs. For the sake of enhanced PHA production, mixed cultures have to be preliminarily enriched in PHA-accumulating organisms. This is usually carried out under dynamic feeding of suitable carbon sources to create transient conditions of excess and lack of carbon availability, designated as feast and famine. PHA production is then usually carried out in a subsequent PHA accumulation stage. To make waste- and surplus-based feedstocks suitable for PHA production, acidogenic fermentation is used to convert their organic fraction into volatile fatty acids, which are viable precursors for mixed culture PHA synthesis. The main issues of the three-stage PHA production process from surplus-based feedstocks using MMCs are here described and discussed.","author":[{"dropping-particle":"","family":"Reis","given":"M.A.M.","non-dropping-particle":"","parse-names":false,"suffix":""},{"dropping-particle":"","family":"Albuquerque","given":"M.","non-dropping-particle":"","parse-names":false,"suffix":""},{"dropping-particle":"","family":"Villano","given":"M.","non-dropping-particle":"","parse-names":false,"suffix":""},{"dropping-particle":"","family":"Majone","given":"M.","non-dropping-particle":"","parse-names":false,"suffix":""}],"container-title":"Comprehensive Biotechnology","id":"ITEM-1","issued":{"date-parts":[["2011","1","1"]]},"page":"669-683","publisher":"Academic Press","title":"Mixed Culture Processes for Polyhydroxyalkanoate Production from Agro-Industrial Surplus/Wastes as Feedstocks","type":"article-journal"},"uris":["http://www.mendeley.com/documents/?uuid=3d6b6797-667d-3402-b6b7-ab0d426a97ee"]},{"id":"ITEM-2","itemData":{"DOI":"https://doi.org/10.1016/j.nbt.2016.05.007","ISSN":"1871-6784","abstract":"Polyhydroxyalkanoates (PHA) are biodegradable polyesters that can be produced in bioprocesses from renewable resources in contrast to fossil-based bio-recalcitrant polymers. Research efforts have been directed towards establishing technical feasibility in the use of mixed microbial cultures (MMC) for PHA production using residuals as feedstock, mainly consisting of industrial process effluent waters and wastewaters. In this context, PHA production can be integrated with waste and wastewater biological treatment, with concurrent benefits of resource recovery and sludge minimization. Over the past 15 years, much of the research on MMC PHA production has been performed at laboratory scale in three process elements as follows: (1) acidogenic fermentation to obtain a volatile fatty acid (VFA)-rich stream, (2) a dedicated biomass production yielding MMCs enriched with PHA-storing potential, and (3) a PHA accumulation step where (1) and (2) outputs are combined in a final biopolymer production bioprocess. This paper reviews the recent developments on MMC PHA production from synthetic and real wastewaters. The goals of the critical review are: a) to highlight the progress of the three-steps in MMC PHA production, and as well to recommend room for improvements, and b) to explore the ideas and developments of integration of PHA production within existing infrastructure of municipal and industrial wastewaters treatment. There has been much technical advancement of ideas and results in the MMC PHA rich biomass production. However, clear demonstration of production and recovery of the polymers within a context of product quality over an extended period of time, within an up-scalable commercially viable context of regional material supply, and with well-defined quality demands for specific intent of material use, is a hill that still needs to be climbed in order to truly spur on innovations for this field of research and development.","author":[{"dropping-particle":"","family":"Valentino","given":"F.","non-dropping-particle":"","parse-names":false,"suffix":""},{"dropping-particle":"","family":"Morgan-Sagastume","given":"F.","non-dropping-particle":"","parse-names":false,"suffix":""},{"dropping-particle":"","family":"Campanari","given":"S.","non-dropping-particle":"","parse-names":false,"suffix":""},{"dropping-particle":"","family":"Villano","given":"M.","non-dropping-particle":"","parse-names":false,"suffix":""},{"dropping-particle":"","family":"Werker","given":"A.","non-dropping-particle":"","parse-names":false,"suffix":""},{"dropping-particle":"","family":"Majone","given":"M.","non-dropping-particle":"","parse-names":false,"suffix":""}],"container-title":"New Biotechnology","id":"ITEM-2","issued":{"date-parts":[["2017"]]},"page":"9-23","title":"Carbon recovery from wastewater through bioconversion into biodegradable polymers","type":"article-journal","volume":"37"},"uris":["http://www.mendeley.com/documents/?uuid=ae6696f2-379b-4293-93b5-7eb3568d4bfa"]}],"mendeley":{"formattedCitation":"(Reis et al. 2011; F. Valentino et al. 2017)","manualFormatting":"(Reis et al. 2011; Valentino et al. 2017)","plainTextFormattedCitation":"(Reis et al. 2011; F. Valentino et al. 2017)","previouslyFormattedCitation":"(Reis et al. 2011; F. Valentino et al. 2017)"},"properties":{"noteIndex":0},"schema":"https://github.com/citation-style-language/schema/raw/master/csl-citation.json"}</w:instrText>
      </w:r>
      <w:r w:rsidRPr="007B5DDE">
        <w:rPr>
          <w:lang w:val="en-GB"/>
        </w:rPr>
        <w:fldChar w:fldCharType="separate"/>
      </w:r>
      <w:r w:rsidR="00774C94" w:rsidRPr="00774C94">
        <w:rPr>
          <w:noProof/>
          <w:lang w:val="en-GB"/>
        </w:rPr>
        <w:t>(Reis et al. 2011; Valentino et al. 2017)</w:t>
      </w:r>
      <w:r w:rsidRPr="007B5DDE">
        <w:rPr>
          <w:lang w:val="en-GB"/>
        </w:rPr>
        <w:fldChar w:fldCharType="end"/>
      </w:r>
      <w:r w:rsidRPr="007B5DDE">
        <w:rPr>
          <w:lang w:val="en-GB"/>
        </w:rPr>
        <w:t xml:space="preserve">. MMC technology </w:t>
      </w:r>
      <w:r w:rsidR="007C0C4D">
        <w:rPr>
          <w:lang w:val="en-GB"/>
        </w:rPr>
        <w:t>is generally coupled to</w:t>
      </w:r>
      <w:r w:rsidRPr="007B5DDE">
        <w:rPr>
          <w:lang w:val="en-GB"/>
        </w:rPr>
        <w:t xml:space="preserve"> the use of waste</w:t>
      </w:r>
      <w:r w:rsidR="00CF737F">
        <w:rPr>
          <w:lang w:val="en-GB"/>
        </w:rPr>
        <w:t>-</w:t>
      </w:r>
      <w:r w:rsidRPr="007B5DDE">
        <w:rPr>
          <w:lang w:val="en-GB"/>
        </w:rPr>
        <w:t xml:space="preserve">activated sludge (available in municipal wastewater treatment plants; WWTPs) as inoculum, that </w:t>
      </w:r>
      <w:r w:rsidR="007C0C4D">
        <w:rPr>
          <w:lang w:val="en-GB"/>
        </w:rPr>
        <w:t>is then</w:t>
      </w:r>
      <w:r w:rsidRPr="007B5DDE">
        <w:rPr>
          <w:lang w:val="en-GB"/>
        </w:rPr>
        <w:t xml:space="preserve"> enriched in </w:t>
      </w:r>
      <w:r w:rsidR="007C0C4D">
        <w:rPr>
          <w:lang w:val="en-GB"/>
        </w:rPr>
        <w:t xml:space="preserve">PHA-accumulating </w:t>
      </w:r>
      <w:r w:rsidRPr="007B5DDE">
        <w:rPr>
          <w:lang w:val="en-GB"/>
        </w:rPr>
        <w:t xml:space="preserve">microorganisms. </w:t>
      </w:r>
      <w:r w:rsidR="007C0C4D">
        <w:rPr>
          <w:lang w:val="en-GB"/>
        </w:rPr>
        <w:t>These species are selected</w:t>
      </w:r>
      <w:r w:rsidRPr="007B5DDE">
        <w:rPr>
          <w:lang w:val="en-GB"/>
        </w:rPr>
        <w:t xml:space="preserve"> by applying aerobic dynamic feeding conditions (ADF) through the </w:t>
      </w:r>
      <w:r w:rsidR="007C0C4D">
        <w:rPr>
          <w:lang w:val="en-GB"/>
        </w:rPr>
        <w:t>consolidated</w:t>
      </w:r>
      <w:r w:rsidRPr="007B5DDE">
        <w:rPr>
          <w:lang w:val="en-GB"/>
        </w:rPr>
        <w:t xml:space="preserve"> feast-famine regime </w:t>
      </w:r>
      <w:r w:rsidRPr="007B5DDE">
        <w:rPr>
          <w:lang w:val="en-GB"/>
        </w:rPr>
        <w:fldChar w:fldCharType="begin" w:fldLock="1"/>
      </w:r>
      <w:r w:rsidR="00774C94">
        <w:rPr>
          <w:lang w:val="en-GB"/>
        </w:rPr>
        <w:instrText>ADDIN CSL_CITATION {"citationItems":[{"id":"ITEM-1","itemData":{"DOI":"10.1002/bit.20683","author":[{"dropping-particle":"","family":"Dionisi","given":"D.","non-dropping-particle":"","parse-names":false,"suffix":""},{"dropping-particle":"","family":"Majone","given":"M","non-dropping-particle":"","parse-names":false,"suffix":""},{"dropping-particle":"","family":"Vallini","given":"G.","non-dropping-particle":"","parse-names":false,"suffix":""},{"dropping-particle":"","family":"Gregorio","given":"S.","non-dropping-particle":"Di","parse-names":false,"suffix":""},{"dropping-particle":"","family":"Beccari","given":"M.","non-dropping-particle":"","parse-names":false,"suffix":""}],"container-title":"Biotechnology and bioengineering","id":"ITEM-1","issued":{"date-parts":[["2006","1","5"]]},"number-of-pages":"76-88","title":"Effect of the applied organic load rate on biodegradable polymer production by mixed microbial cultures in a sequencing batch reactor","type":"book","volume":"93"},"uris":["http://www.mendeley.com/documents/?uuid=8e681cd6-c7b5-4cce-8ec5-5018f2dc0105"]}],"mendeley":{"formattedCitation":"(Dionisi et al. 2006)","manualFormatting":"(Valentino et al., 2017)","plainTextFormattedCitation":"(Dionisi et al. 2006)","previouslyFormattedCitation":"(Dionisi et al. 2006)"},"properties":{"noteIndex":0},"schema":"https://github.com/citation-style-language/schema/raw/master/csl-citation.json"}</w:instrText>
      </w:r>
      <w:r w:rsidRPr="007B5DDE">
        <w:rPr>
          <w:lang w:val="en-GB"/>
        </w:rPr>
        <w:fldChar w:fldCharType="separate"/>
      </w:r>
      <w:r w:rsidRPr="007B5DDE">
        <w:rPr>
          <w:noProof/>
          <w:lang w:val="en-GB"/>
        </w:rPr>
        <w:t>(Valentino et al., 2017)</w:t>
      </w:r>
      <w:r w:rsidRPr="007B5DDE">
        <w:rPr>
          <w:lang w:val="en-GB"/>
        </w:rPr>
        <w:fldChar w:fldCharType="end"/>
      </w:r>
      <w:r w:rsidRPr="007B5DDE">
        <w:rPr>
          <w:lang w:val="en-GB"/>
        </w:rPr>
        <w:t xml:space="preserve">. In the last decade, MMC-PHA production using different types of waste has been the topic of several applied </w:t>
      </w:r>
      <w:r w:rsidR="007C0C4D">
        <w:rPr>
          <w:lang w:val="en-GB"/>
        </w:rPr>
        <w:t>studies and more</w:t>
      </w:r>
      <w:r w:rsidRPr="007B5DDE">
        <w:rPr>
          <w:lang w:val="en-GB"/>
        </w:rPr>
        <w:t xml:space="preserve"> recent investigation</w:t>
      </w:r>
      <w:r w:rsidR="00446930">
        <w:rPr>
          <w:lang w:val="en-GB"/>
        </w:rPr>
        <w:t>s</w:t>
      </w:r>
      <w:r w:rsidRPr="007B5DDE">
        <w:rPr>
          <w:lang w:val="en-GB"/>
        </w:rPr>
        <w:t xml:space="preserve"> h</w:t>
      </w:r>
      <w:r w:rsidR="00446930">
        <w:rPr>
          <w:lang w:val="en-GB"/>
        </w:rPr>
        <w:t>ave</w:t>
      </w:r>
      <w:r w:rsidRPr="007B5DDE">
        <w:rPr>
          <w:lang w:val="en-GB"/>
        </w:rPr>
        <w:t xml:space="preserve"> been conducted at pilot-scale to demonstrate the technical feasibility of the technology. </w:t>
      </w:r>
      <w:r w:rsidR="00C02060">
        <w:rPr>
          <w:lang w:val="en-GB"/>
        </w:rPr>
        <w:t>More in detail</w:t>
      </w:r>
      <w:r w:rsidRPr="007B5DDE">
        <w:rPr>
          <w:lang w:val="en-GB"/>
        </w:rPr>
        <w:t xml:space="preserve">, PHA production from the organic fraction of municipal solid waste (OFMSW) has been </w:t>
      </w:r>
      <w:r w:rsidR="00C02060">
        <w:rPr>
          <w:lang w:val="en-GB"/>
        </w:rPr>
        <w:t>developed</w:t>
      </w:r>
      <w:r w:rsidRPr="007B5DDE">
        <w:rPr>
          <w:lang w:val="en-GB"/>
        </w:rPr>
        <w:t xml:space="preserve"> to quantify a reasonable range of PHA productivity and final polymer quality, also in consideration of a possible integration in the existing WWT</w:t>
      </w:r>
      <w:r w:rsidR="00C904AA">
        <w:rPr>
          <w:lang w:val="en-GB"/>
        </w:rPr>
        <w:t>P</w:t>
      </w:r>
      <w:r w:rsidR="00177176">
        <w:rPr>
          <w:lang w:val="en-GB"/>
        </w:rPr>
        <w:t xml:space="preserve"> </w:t>
      </w:r>
      <w:r w:rsidR="00177176">
        <w:rPr>
          <w:lang w:val="en-GB"/>
        </w:rPr>
        <w:fldChar w:fldCharType="begin" w:fldLock="1"/>
      </w:r>
      <w:r w:rsidR="00177176">
        <w:rPr>
          <w:lang w:val="en-GB"/>
        </w:rPr>
        <w:instrText>ADDIN CSL_CITATION {"citationItems":[{"id":"ITEM-1","itemData":{"DOI":"10.1021/acs.iecr.9b01831","ISSN":"0888-5885","author":[{"dropping-particle":"","family":"Valentino","given":"Francesco","non-dropping-particle":"","parse-names":false,"suffix":""},{"dropping-particle":"","family":"Moretto","given":"Giulia","non-dropping-particle":"","parse-names":false,"suffix":""},{"dropping-particle":"","family":"Lorini","given":"Laura","non-dropping-particle":"","parse-names":false,"suffix":""},{"dropping-particle":"","family":"Bolzonella","given":"David","non-dropping-particle":"","parse-names":false,"suffix":""},{"dropping-particle":"","family":"Pavan","given":"Paolo","non-dropping-particle":"","parse-names":false,"suffix":""},{"dropping-particle":"","family":"Majone","given":"Mauro","non-dropping-particle":"","parse-names":false,"suffix":""}],"container-title":"Industrial &amp; Engineering Chemistry Research","id":"ITEM-1","issue":"27","issued":{"date-parts":[["2019","7"]]},"page":"12149-12158","title":"Pilot-Scale Polyhydroxyalkanoate Production from Combined Treatment of Organic Fraction of Municipal Solid Waste and Sewage Sludge","type":"article-journal","volume":"58"},"uris":["http://www.mendeley.com/documents/?uuid=5fb2ef72-b1a3-48ce-ab22-c55aece739f1"]},{"id":"ITEM-2","itemData":{"DOI":"10.3303/CET2186003","ISBN":"9788895608846","ISSN":"22839216","abstract":"This study focuses on the application of the circular economy approach, with generation of energy and production of added-value products from organic waste, while minimizing environmental impacts. Within this purpose, an urban biorefinery technology chain has been designed at pilot scale for the production of biogas and biopolymers (polyhydroxyalkanoates, PHA). The pilot system (100-400 L) comprised different units: a) biowaste acidogenic fermentation; b) solid/liquid separation unit (a coaxial centrifuge and a tubular ultrafiltration membrane); c) a Sequencing Batch Reactor (SBR) for the production of aerobic PHA-storing biomass; d) aerobic fed-batch PHA accumulation reactor and e) anaerobic co-digestion (ACoD). The thermal pre-treatment of the biowaste before mesophilic fermentation increased the carbon conversion into volatile fatty acids (VFA), being the final VFA/CODSOL (soluble COD) higher than 0.80. The VFA-rich stream was utilized in a high-rate SBR for the enrichment of PHA-accumulating biomass, at short solid retention time (SRT of 1 d), 12 h of cycle length and 4.0 gCOD/L d as organic loading rate (OLR). The aerobic biomass was characterized by a high accumulating capacity (with PHA content around 60% on cell dry weight). The global PHA yield of 0.1 kg PHA/kg VS (volatile solids) was estimated as the best scenario. The excess sludge and the solid-rich biorefinery overflows were utilized for biogas production in a dedicated anaerobic digestion section to sustain a closed loop approach and to prevent secondary wastes production.","author":[{"dropping-particle":"","family":"Valentino","given":"Francesco","non-dropping-particle":"","parse-names":false,"suffix":""},{"dropping-particle":"","family":"Lorini","given":"Laura","non-dropping-particle":"","parse-names":false,"suffix":""},{"dropping-particle":"","family":"Pavan","given":"Paolo","non-dropping-particle":"","parse-names":false,"suffix":""},{"dropping-particle":"","family":"Majone","given":"Mauro","non-dropping-particle":"","parse-names":false,"suffix":""}],"container-title":"Chemical Engineering Transactions","id":"ITEM-2","issue":"August 2020","issued":{"date-parts":[["2021"]]},"page":"13-18","title":"Development of a biorefinery platform for urban waste valorisation into biogas and added-value products","type":"article-journal","volume":"86"},"uris":["http://www.mendeley.com/documents/?uuid=d54e266d-c779-4468-8b9d-f26514d34dc0"]}],"mendeley":{"formattedCitation":"(Francesco Valentino et al. 2019; 2021)","manualFormatting":"(Valentino et al. 2019; 2021)","plainTextFormattedCitation":"(Francesco Valentino et al. 2019; 2021)"},"properties":{"noteIndex":0},"schema":"https://github.com/citation-style-language/schema/raw/master/csl-citation.json"}</w:instrText>
      </w:r>
      <w:r w:rsidR="00177176">
        <w:rPr>
          <w:lang w:val="en-GB"/>
        </w:rPr>
        <w:fldChar w:fldCharType="separate"/>
      </w:r>
      <w:r w:rsidR="00177176" w:rsidRPr="00177176">
        <w:rPr>
          <w:noProof/>
          <w:lang w:val="en-GB"/>
        </w:rPr>
        <w:t>(Valentino et al. 2019; 2021)</w:t>
      </w:r>
      <w:r w:rsidR="00177176">
        <w:rPr>
          <w:lang w:val="en-GB"/>
        </w:rPr>
        <w:fldChar w:fldCharType="end"/>
      </w:r>
      <w:r w:rsidRPr="007B5DDE">
        <w:rPr>
          <w:lang w:val="en-GB"/>
        </w:rPr>
        <w:t>.</w:t>
      </w:r>
      <w:r>
        <w:rPr>
          <w:lang w:val="en-GB"/>
        </w:rPr>
        <w:t xml:space="preserve"> </w:t>
      </w:r>
      <w:r w:rsidRPr="007B5DDE">
        <w:rPr>
          <w:lang w:val="en-GB"/>
        </w:rPr>
        <w:t>However, polymer extraction</w:t>
      </w:r>
      <w:r w:rsidR="00C02060">
        <w:rPr>
          <w:lang w:val="en-GB"/>
        </w:rPr>
        <w:t xml:space="preserve"> is still</w:t>
      </w:r>
      <w:r w:rsidRPr="007B5DDE">
        <w:rPr>
          <w:lang w:val="en-GB"/>
        </w:rPr>
        <w:t xml:space="preserve"> among the most important factors affecting the overall PHA production cost and need</w:t>
      </w:r>
      <w:r w:rsidR="00CA0EE8">
        <w:rPr>
          <w:lang w:val="en-GB"/>
        </w:rPr>
        <w:t>s</w:t>
      </w:r>
      <w:r w:rsidRPr="007B5DDE">
        <w:rPr>
          <w:lang w:val="en-GB"/>
        </w:rPr>
        <w:t xml:space="preserve"> to be optimized for pilot scale</w:t>
      </w:r>
      <w:r w:rsidR="00C02060">
        <w:rPr>
          <w:lang w:val="en-GB"/>
        </w:rPr>
        <w:t xml:space="preserve"> processes</w:t>
      </w:r>
      <w:r w:rsidRPr="007B5DDE">
        <w:rPr>
          <w:lang w:val="en-GB"/>
        </w:rPr>
        <w:t xml:space="preserve">. </w:t>
      </w:r>
      <w:r w:rsidR="00C02060">
        <w:rPr>
          <w:lang w:val="en-GB"/>
        </w:rPr>
        <w:t>Currently, t</w:t>
      </w:r>
      <w:r w:rsidRPr="007B5DDE">
        <w:rPr>
          <w:lang w:val="en-GB"/>
        </w:rPr>
        <w:t xml:space="preserve">he most studied methods for recovering PHAs </w:t>
      </w:r>
      <w:r w:rsidR="00355949" w:rsidRPr="007B5DDE">
        <w:rPr>
          <w:lang w:val="en-GB"/>
        </w:rPr>
        <w:t xml:space="preserve">can be grouped into two main categories: solvent extraction and digestion of the NPCM (non-PHA cellular material) </w:t>
      </w:r>
      <w:r w:rsidRPr="007B5DDE">
        <w:rPr>
          <w:lang w:val="en-GB"/>
        </w:rPr>
        <w:fldChar w:fldCharType="begin" w:fldLock="1"/>
      </w:r>
      <w:r w:rsidR="00177176">
        <w:rPr>
          <w:lang w:val="en-GB"/>
        </w:rPr>
        <w:instrText>ADDIN CSL_CITATION {"citationItems":[{"id":"ITEM-1","itemData":{"DOI":"10.1016/j.ijbiomac.2017.09.054","ISSN":"18790003","PMID":"28928063","abstract":"The aim of the current review is to analyze trends in development of an efficient technology for polyhydroxyalkanoate (PHA) biomanufacture highlighting the up-to-date progress on PHA biosynthesis and focusing on the downstream processing. Three main production pathways were identified: through microbial, enzymic, or plant routes. Microbial fermentation processes were predominant, with a wide range of microorganisms, starting materials and culture conditions reported. Largely, two schemes for recovering PHAs from the reaction medium post fermentation were identified: dissolving biomass to separate PHAs granules with strong oxidants, and extracting PHAs directly from the biomass using suitable solvents. For the valuable industrial scale biosynthesis of PHA several technological elements need to be applied such as robust whole-cell microbial catalyst with its optimal culturing conditions, suitable carbon source, proper mode of process operation, as well as economical and ecological purification methods.","author":[{"dropping-particle":"","family":"Kosseva","given":"Maria R.","non-dropping-particle":"","parse-names":false,"suffix":""},{"dropping-particle":"","family":"Rusbandi","given":"Edy","non-dropping-particle":"","parse-names":false,"suffix":""}],"container-title":"International Journal of Biological Macromolecules","id":"ITEM-1","issued":{"date-parts":[["2018"]]},"title":"Trends in the biomanufacture of polyhydroxyalkanoates with focus on downstream processing","type":"article"},"uris":["http://www.mendeley.com/documents/?uuid=e581f448-b47a-4810-9901-da1b52cc48fb"]},{"id":"ITEM-2","itemData":{"DOI":"10.1016/j.bej.2019.107283","ISSN":"1873295X","abstract":"Bioplastics have emerged as a platform to reduce our dependence on fossil fuels. Polyhydroxyalkanoates (PHAs) are a family of biodegradable polyesters with large potential in consumer goods and medical applications. These polymers accumulate in prokaryotic microbes and their recovery is a challenging, often under explored, operation. In the past, oil-derived solvents and chemicals have been widely used as extracting agents, compromising the “environmentally-friendly” claim of bioplastics. Furthermore, the large amount of chemicals and solvents required at the industrial level would negatively impact the economics of the process. The present review presents the latest advances in the field of downstream operations for PHA recovery emphasizing those green technologies with scaling-up feasibility. As for the upstream and fermentation stages, the extraction process needs to be carefully optimized to accomplish a competitive production of PHAs.","author":[{"dropping-particle":"","family":"Pérez-Rivero","given":"Cristina","non-dropping-particle":"","parse-names":false,"suffix":""},{"dropping-particle":"","family":"López-Gómez","given":"J. Pablo","non-dropping-particle":"","parse-names":false,"suffix":""},{"dropping-particle":"","family":"Roy","given":"Ipsita","non-dropping-particle":"","parse-names":false,"suffix":""}],"container-title":"Biochemical Engineering Journal","id":"ITEM-2","issued":{"date-parts":[["2019"]]},"title":"A sustainable approach for the downstream processing of bacterial polyhydroxyalkanoates: State-of-the-art and latest developments","type":"article-journal"},"uris":["http://www.mendeley.com/documents/?uuid=f88d1e78-5223-4853-9d32-9ad571f92a6c"]}],"mendeley":{"formattedCitation":"(Kosseva et al. 2018; Pérez-Rivero et al. 2019)","plainTextFormattedCitation":"(Kosseva et al. 2018; Pérez-Rivero et al. 2019)","previouslyFormattedCitation":"(Kosseva et al. 2018; Pérez-Rivero et al. 2019)"},"properties":{"noteIndex":0},"schema":"https://github.com/citation-style-language/schema/raw/master/csl-citation.json"}</w:instrText>
      </w:r>
      <w:r w:rsidRPr="007B5DDE">
        <w:rPr>
          <w:lang w:val="en-GB"/>
        </w:rPr>
        <w:fldChar w:fldCharType="separate"/>
      </w:r>
      <w:r w:rsidR="00DE1DC3" w:rsidRPr="00DE1DC3">
        <w:rPr>
          <w:noProof/>
          <w:lang w:val="en-GB"/>
        </w:rPr>
        <w:t>(Kosseva et al. 2018; Pérez-Rivero et al. 2019)</w:t>
      </w:r>
      <w:r w:rsidRPr="007B5DDE">
        <w:rPr>
          <w:lang w:val="en-GB"/>
        </w:rPr>
        <w:fldChar w:fldCharType="end"/>
      </w:r>
      <w:r w:rsidR="00355949">
        <w:rPr>
          <w:lang w:val="en-GB"/>
        </w:rPr>
        <w:t>.</w:t>
      </w:r>
      <w:r w:rsidRPr="007B5DDE">
        <w:rPr>
          <w:lang w:val="en-GB"/>
        </w:rPr>
        <w:t xml:space="preserve"> Up to now, regarding the MMC PHA-rich biomass, the use of several non-chlorinated solvents </w:t>
      </w:r>
      <w:r w:rsidRPr="007B5DDE">
        <w:rPr>
          <w:lang w:val="en-GB"/>
        </w:rPr>
        <w:fldChar w:fldCharType="begin" w:fldLock="1"/>
      </w:r>
      <w:r w:rsidR="00774C94">
        <w:rPr>
          <w:lang w:val="en-GB"/>
        </w:rPr>
        <w:instrText>ADDIN CSL_CITATION {"citationItems":[{"id":"ITEM-1","itemData":{"abstract":"An industrial scale batch or semi-continuous batch PHA extraction process wherein the process operating conditions and control may be quantitatively tuned to batch-to-batch variations based on a practical bench scale assessment but more preferably by means of a calibrated chemometric assessment of the biomass quality. Tuning involves the selection of biomass loading conditions that are commensurate with process solvent and PHA type. Batch operating times and temperatures are matched to modelled and monitored extraction kinetics. PHA-rich solvent gelation is exploited by controlling PHA-rich solvent gel formation. In combination a process Is disclosed that permits for robust and consistent recovered product quality control while at the same time enabling to improve overall process economics.","author":[{"dropping-particle":"","family":"Werker","given":"Alan Gideon","non-dropping-particle":"","parse-names":false,"suffix":""},{"dropping-particle":"","family":"Johansson","given":"Peter Stig Tomas","non-dropping-particle":"","parse-names":false,"suffix":""},{"dropping-particle":"","family":"Magnusson","given":"Per Olof Gosta","non-dropping-particle":"","parse-names":false,"suffix":""}],"container-title":"Patent","id":"ITEM-1","issued":{"date-parts":[["2014"]]},"title":"Process for the extraction of polyhydroxyalkanoates from biomass","type":"article-journal"},"uris":["http://www.mendeley.com/documents/?uuid=f734d6a3-82b1-43b3-96dc-96c8e9ecee5e"]},{"id":"ITEM-2","itemData":{"DOI":"10.1016/j.biortech.2015.03.062","ISSN":"18732976","abstract":"Polyhydroxyalkanoates (PHAs) can be extracted from mixed microbial cultures (MMCs) by means of dimethyl carbonate (DMC) or combination of DMC and sodium hypochlorite (NaClO). The protocol based on DMC, a green solvent never used before for the extraction of PHAs from MMC, allows an overall polymer recovery of 63%; also the purity and the molecular weight of the recovered polymers are good (98% and 1.2. MDa, respectively). The use of NaClO pretreatment before DMC extraction increases the overall PHA recovery (82%) but lowers the mean molecular weight to 0.6-0.2. MDa. A double extraction with DMC results to be the method of choice for the recovery of high quality PHAs from attractive but challenging MMCs.","author":[{"dropping-particle":"","family":"Samorì","given":"Chiara","non-dropping-particle":"","parse-names":false,"suffix":""},{"dropping-particle":"","family":"Abbondanzi","given":"Federica","non-dropping-particle":"","parse-names":false,"suffix":""},{"dropping-particle":"","family":"Galletti","given":"Paola","non-dropping-particle":"","parse-names":false,"suffix":""},{"dropping-particle":"","family":"Giorgini","given":"Loris","non-dropping-particle":"","parse-names":false,"suffix":""},{"dropping-particle":"","family":"Mazzocchetti","given":"Laura","non-dropping-particle":"","parse-names":false,"suffix":""},{"dropping-particle":"","family":"Torri","given":"Cristian","non-dropping-particle":"","parse-names":false,"suffix":""},{"dropping-particle":"","family":"Tagliavini","given":"Emilio","non-dropping-particle":"","parse-names":false,"suffix":""}],"container-title":"Bioresource Technology","id":"ITEM-2","issued":{"date-parts":[["2015"]]},"title":"Extraction of polyhydroxyalkanoates from mixed microbial cultures: Impact on polymer quality and recovery","type":"article-journal"},"uris":["http://www.mendeley.com/documents/?uuid=f0ca09ef-9bfa-49e9-b0e6-afa5db09e447"]}],"mendeley":{"formattedCitation":"(Werker et al. 2014; Samorì et al. 2015)","manualFormatting":"(Samorì et al. 2015)","plainTextFormattedCitation":"(Werker et al. 2014; Samorì et al. 2015)","previouslyFormattedCitation":"(Werker et al. 2014; Samorì et al. 2015)"},"properties":{"noteIndex":0},"schema":"https://github.com/citation-style-language/schema/raw/master/csl-citation.json"}</w:instrText>
      </w:r>
      <w:r w:rsidRPr="007B5DDE">
        <w:rPr>
          <w:lang w:val="en-GB"/>
        </w:rPr>
        <w:fldChar w:fldCharType="separate"/>
      </w:r>
      <w:r w:rsidRPr="007B5DDE">
        <w:rPr>
          <w:noProof/>
          <w:lang w:val="en-GB"/>
        </w:rPr>
        <w:t>(Samorì et al. 2015)</w:t>
      </w:r>
      <w:r w:rsidRPr="007B5DDE">
        <w:rPr>
          <w:lang w:val="en-GB"/>
        </w:rPr>
        <w:fldChar w:fldCharType="end"/>
      </w:r>
      <w:r w:rsidRPr="007B5DDE">
        <w:rPr>
          <w:lang w:val="en-GB"/>
        </w:rPr>
        <w:t xml:space="preserve"> and, </w:t>
      </w:r>
      <w:r w:rsidR="00C02060">
        <w:rPr>
          <w:lang w:val="en-GB"/>
        </w:rPr>
        <w:t>very</w:t>
      </w:r>
      <w:r w:rsidRPr="007B5DDE">
        <w:rPr>
          <w:lang w:val="en-GB"/>
        </w:rPr>
        <w:t xml:space="preserve"> recently, </w:t>
      </w:r>
      <w:r w:rsidRPr="007B5DDE">
        <w:rPr>
          <w:lang w:val="en-GB"/>
        </w:rPr>
        <w:lastRenderedPageBreak/>
        <w:t xml:space="preserve">the disruption of NPCM through chemical agents and surfactants </w:t>
      </w:r>
      <w:r w:rsidRPr="007B5DDE">
        <w:rPr>
          <w:lang w:val="en-GB"/>
        </w:rPr>
        <w:fldChar w:fldCharType="begin" w:fldLock="1"/>
      </w:r>
      <w:r w:rsidRPr="007B5DDE">
        <w:rPr>
          <w:lang w:val="en-GB"/>
        </w:rPr>
        <w:instrText>ADDIN CSL_CITATION {"citationItems":[{"id":"ITEM-1","itemData":{"DOI":"10.1016/j.seppur.2020.117521","ISSN":"18733794","abstract":"Polyhydroxyalkanoates (PHA) are biodegradable plastics of microbial origin, whose biodegradability and thermochemical properties make them greener alternatives to conventional plastics. Despite their high industrial potential, the PHA’ high production costs still hinder their application. Mixed microbial biomass combined with agro-industrial wastes are being used to strategically reduce these costs. However, it is still necessary to optimize the downstream processing, where the extraction process amounts to 30–50% of the total costs. Conventional processes apply chlorinated solvents to recover PHA from microbial biomass but cannot be implemented industrially due to environmental regulations. Alternative solvents, with good results of purity and recovery yields, usually have a negative impact on the molecular weight of the final polymer. In this work, the addition of a pre-treatment based on non-ionic surfactants (Tween® 20, Brij® L4, and Triton™ X-114) to extract PHA from mixed microbial biomass selected on fermented agro-industrial wastes was investigated. The best results were obtained with Tween® 20 allowing for an increase in 50% compared with the use of dimethylcarbonate without any pre-treatment (from 38.4 ± 0.8% to 53 ± 2%) and very close to those obtained with chloroform (63%). The extracted polymer was analysed and characterized, revealing a PHA of high purity (&gt;90%) and low molecular weight loss (under 24%). Additionally, a material-focused economic and a carbon footprint analysis were performed and supported the selection of the method as one of the cheapest options and with the lowest carbon footprint.","author":[{"dropping-particle":"","family":"Colombo","given":"Bianca","non-dropping-particle":"","parse-names":false,"suffix":""},{"dropping-particle":"","family":"Pereira","given":"Joana","non-dropping-particle":"","parse-names":false,"suffix":""},{"dropping-particle":"","family":"Martins","given":"Margarida","non-dropping-particle":"","parse-names":false,"suffix":""},{"dropping-particle":"","family":"Torres-Acosta","given":"Mario A.","non-dropping-particle":"","parse-names":false,"suffix":""},{"dropping-particle":"","family":"Dias","given":"Ana C.R.V.","non-dropping-particle":"","parse-names":false,"suffix":""},{"dropping-particle":"","family":"Lemos","given":"Paulo C.","non-dropping-particle":"","parse-names":false,"suffix":""},{"dropping-particle":"","family":"Ventura","given":"Sónia P.M.","non-dropping-particle":"","parse-names":false,"suffix":""},{"dropping-particle":"","family":"Eisele","given":"Giorgio","non-dropping-particle":"","parse-names":false,"suffix":""},{"dropping-particle":"","family":"Alekseeva","given":"Anna","non-dropping-particle":"","parse-names":false,"suffix":""},{"dropping-particle":"","family":"Adani","given":"Fabrizio","non-dropping-particle":"","parse-names":false,"suffix":""},{"dropping-particle":"","family":"Serafim","given":"Luísa S.","non-dropping-particle":"","parse-names":false,"suffix":""}],"container-title":"Separation and Purification Technology","id":"ITEM-1","issued":{"date-parts":[["2020"]]},"title":"Recovering PHA from mixed microbial biomass: Using non-ionic surfactants as a pretreatment step","type":"article-journal"},"uris":["http://www.mendeley.com/documents/?uuid=9dffa6d4-50e3-4629-a95d-223169631e51"]}],"mendeley":{"formattedCitation":"(Colombo et al. 2020)","plainTextFormattedCitation":"(Colombo et al. 2020)","previouslyFormattedCitation":"(Colombo et al. 2020)"},"properties":{"noteIndex":0},"schema":"https://github.com/citation-style-language/schema/raw/master/csl-citation.json"}</w:instrText>
      </w:r>
      <w:r w:rsidRPr="007B5DDE">
        <w:rPr>
          <w:lang w:val="en-GB"/>
        </w:rPr>
        <w:fldChar w:fldCharType="separate"/>
      </w:r>
      <w:r w:rsidRPr="007B5DDE">
        <w:rPr>
          <w:noProof/>
          <w:lang w:val="en-GB"/>
        </w:rPr>
        <w:t>(Colombo et al. 2020)</w:t>
      </w:r>
      <w:r w:rsidRPr="007B5DDE">
        <w:rPr>
          <w:lang w:val="en-GB"/>
        </w:rPr>
        <w:fldChar w:fldCharType="end"/>
      </w:r>
      <w:r w:rsidRPr="007B5DDE">
        <w:rPr>
          <w:lang w:val="en-GB"/>
        </w:rPr>
        <w:t xml:space="preserve"> have been investigated. In the view of MMC-PHA production at</w:t>
      </w:r>
      <w:r w:rsidR="00E8633E">
        <w:rPr>
          <w:lang w:val="en-GB"/>
        </w:rPr>
        <w:t xml:space="preserve"> an</w:t>
      </w:r>
      <w:r w:rsidRPr="007B5DDE">
        <w:rPr>
          <w:lang w:val="en-GB"/>
        </w:rPr>
        <w:t xml:space="preserve"> industrial scale and a subsequent market scenario, </w:t>
      </w:r>
      <w:r w:rsidR="00540BF1">
        <w:rPr>
          <w:lang w:val="en-GB"/>
        </w:rPr>
        <w:t xml:space="preserve">the improvement and optimization of the extraction step are necessary. Hence, this study investigated the performances of extraction tests carried out using different NaOH solutions on PHA-rich biomass produced at lab scale form synthetic substrate and at pilot scale from organic waste. This work </w:t>
      </w:r>
      <w:proofErr w:type="gramStart"/>
      <w:r w:rsidR="00540BF1">
        <w:rPr>
          <w:lang w:val="en-GB"/>
        </w:rPr>
        <w:t>evaluated also</w:t>
      </w:r>
      <w:proofErr w:type="gramEnd"/>
      <w:r w:rsidR="00540BF1">
        <w:rPr>
          <w:lang w:val="en-GB"/>
        </w:rPr>
        <w:t xml:space="preserve"> the effects of extraction conditions on the polymer chemical and thermal properties.</w:t>
      </w:r>
    </w:p>
    <w:p w14:paraId="41975ECC" w14:textId="77777777" w:rsidR="007B5DDE" w:rsidRDefault="007B5DDE" w:rsidP="006E0B6B">
      <w:pPr>
        <w:pStyle w:val="CETBodytext"/>
        <w:rPr>
          <w:lang w:val="en-GB"/>
        </w:rPr>
      </w:pPr>
    </w:p>
    <w:p w14:paraId="677EBFF0" w14:textId="24366064" w:rsidR="00600535" w:rsidRDefault="006E0B6B" w:rsidP="00600535">
      <w:pPr>
        <w:pStyle w:val="CETHeading1"/>
        <w:tabs>
          <w:tab w:val="clear" w:pos="360"/>
          <w:tab w:val="right" w:pos="7100"/>
        </w:tabs>
        <w:jc w:val="both"/>
        <w:rPr>
          <w:lang w:val="en-GB"/>
        </w:rPr>
      </w:pPr>
      <w:r>
        <w:rPr>
          <w:lang w:val="en-GB"/>
        </w:rPr>
        <w:t>Materials and Methods</w:t>
      </w:r>
    </w:p>
    <w:p w14:paraId="7C9D33B5" w14:textId="77777777" w:rsidR="006E0B6B" w:rsidRPr="006E0B6B" w:rsidRDefault="006E0B6B" w:rsidP="006E0B6B">
      <w:pPr>
        <w:pStyle w:val="CETBodytext"/>
        <w:rPr>
          <w:lang w:val="en-GB"/>
        </w:rPr>
      </w:pPr>
    </w:p>
    <w:p w14:paraId="19C87344" w14:textId="46F8C3C9" w:rsidR="006E0B6B" w:rsidRDefault="00C05C36" w:rsidP="00646AED">
      <w:pPr>
        <w:pStyle w:val="CETheadingx"/>
      </w:pPr>
      <w:r>
        <w:t>Biomass selection and PHA accumulation</w:t>
      </w:r>
    </w:p>
    <w:p w14:paraId="507BE044" w14:textId="17A999E3" w:rsidR="00D7532A" w:rsidRPr="00390E72" w:rsidRDefault="00E8626E" w:rsidP="00D7532A">
      <w:pPr>
        <w:pStyle w:val="CETBodytext"/>
        <w:rPr>
          <w:color w:val="000000"/>
        </w:rPr>
      </w:pPr>
      <w:r w:rsidRPr="00E8626E">
        <w:rPr>
          <w:color w:val="000000"/>
        </w:rPr>
        <w:t>A lab-scale SBR was set up for the selection and enrichment of PHA</w:t>
      </w:r>
      <w:r>
        <w:rPr>
          <w:color w:val="000000"/>
        </w:rPr>
        <w:t>-</w:t>
      </w:r>
      <w:r w:rsidRPr="00E8626E">
        <w:rPr>
          <w:color w:val="000000"/>
        </w:rPr>
        <w:t xml:space="preserve">storing </w:t>
      </w:r>
      <w:r w:rsidR="00430F3B">
        <w:rPr>
          <w:color w:val="000000"/>
        </w:rPr>
        <w:t>MMC</w:t>
      </w:r>
      <w:r w:rsidRPr="00E8626E">
        <w:rPr>
          <w:color w:val="000000"/>
        </w:rPr>
        <w:t xml:space="preserve">. The reactor consisted of 1 L working volume and was fed with a synthetic mixture of organic acids, </w:t>
      </w:r>
      <w:r w:rsidR="00430F3B">
        <w:rPr>
          <w:color w:val="000000"/>
        </w:rPr>
        <w:t xml:space="preserve">namely </w:t>
      </w:r>
      <w:r w:rsidR="00430F3B" w:rsidRPr="00E8626E">
        <w:rPr>
          <w:color w:val="000000"/>
        </w:rPr>
        <w:t>ac</w:t>
      </w:r>
      <w:r w:rsidR="00430F3B">
        <w:rPr>
          <w:color w:val="000000"/>
        </w:rPr>
        <w:t xml:space="preserve">etic </w:t>
      </w:r>
      <w:r w:rsidR="00430F3B" w:rsidRPr="00E8626E">
        <w:rPr>
          <w:color w:val="000000"/>
        </w:rPr>
        <w:t>(85% on chemical oxygen demand basis, COD) and propionic acid (15%)</w:t>
      </w:r>
      <w:r w:rsidR="00430F3B">
        <w:rPr>
          <w:color w:val="000000"/>
        </w:rPr>
        <w:t xml:space="preserve">, </w:t>
      </w:r>
      <w:r w:rsidRPr="00E8626E">
        <w:rPr>
          <w:color w:val="000000"/>
        </w:rPr>
        <w:t xml:space="preserve">at an </w:t>
      </w:r>
      <w:r w:rsidR="00430F3B">
        <w:rPr>
          <w:color w:val="000000"/>
        </w:rPr>
        <w:t>applied organic loading rate (OLR)</w:t>
      </w:r>
      <w:r w:rsidRPr="00E8626E">
        <w:rPr>
          <w:color w:val="000000"/>
        </w:rPr>
        <w:t xml:space="preserve"> of 8.5 </w:t>
      </w:r>
      <w:proofErr w:type="spellStart"/>
      <w:r w:rsidRPr="00E8626E">
        <w:rPr>
          <w:color w:val="000000"/>
        </w:rPr>
        <w:t>gCOD</w:t>
      </w:r>
      <w:proofErr w:type="spellEnd"/>
      <w:r w:rsidRPr="00E8626E">
        <w:rPr>
          <w:color w:val="000000"/>
        </w:rPr>
        <w:t>/</w:t>
      </w:r>
      <w:r w:rsidR="00430F3B">
        <w:rPr>
          <w:color w:val="000000"/>
        </w:rPr>
        <w:t>L d</w:t>
      </w:r>
      <w:r w:rsidRPr="00E8626E">
        <w:rPr>
          <w:color w:val="000000"/>
        </w:rPr>
        <w:t xml:space="preserve">. </w:t>
      </w:r>
      <w:r w:rsidR="00430F3B" w:rsidRPr="00430F3B">
        <w:rPr>
          <w:color w:val="000000"/>
        </w:rPr>
        <w:t xml:space="preserve">The </w:t>
      </w:r>
      <w:r w:rsidR="00430F3B">
        <w:rPr>
          <w:color w:val="000000"/>
        </w:rPr>
        <w:t xml:space="preserve">accumulation </w:t>
      </w:r>
      <w:r w:rsidR="00430F3B" w:rsidRPr="00430F3B">
        <w:rPr>
          <w:color w:val="000000"/>
        </w:rPr>
        <w:t>reactor</w:t>
      </w:r>
      <w:r w:rsidR="00430F3B">
        <w:rPr>
          <w:color w:val="000000"/>
        </w:rPr>
        <w:t xml:space="preserve"> (0.</w:t>
      </w:r>
      <w:r w:rsidR="00390E72">
        <w:rPr>
          <w:color w:val="000000"/>
        </w:rPr>
        <w:t>5</w:t>
      </w:r>
      <w:r w:rsidR="00430F3B">
        <w:rPr>
          <w:color w:val="000000"/>
        </w:rPr>
        <w:t xml:space="preserve"> L working volume)</w:t>
      </w:r>
      <w:r w:rsidR="00430F3B" w:rsidRPr="00430F3B">
        <w:rPr>
          <w:color w:val="000000"/>
        </w:rPr>
        <w:t xml:space="preserve"> was operated in batch mode </w:t>
      </w:r>
      <w:r w:rsidR="00BE79AC">
        <w:rPr>
          <w:color w:val="000000"/>
        </w:rPr>
        <w:t xml:space="preserve">and </w:t>
      </w:r>
      <w:r w:rsidR="00390E72" w:rsidRPr="00390E72">
        <w:rPr>
          <w:color w:val="000000"/>
        </w:rPr>
        <w:t xml:space="preserve">a small volume of a solution at a high </w:t>
      </w:r>
      <w:r w:rsidR="00E8633E">
        <w:rPr>
          <w:color w:val="000000"/>
        </w:rPr>
        <w:t>volatile fatty acids (</w:t>
      </w:r>
      <w:r w:rsidR="00390E72" w:rsidRPr="00390E72">
        <w:rPr>
          <w:color w:val="000000"/>
        </w:rPr>
        <w:t>VFA</w:t>
      </w:r>
      <w:r w:rsidR="00E8633E">
        <w:rPr>
          <w:color w:val="000000"/>
        </w:rPr>
        <w:t>)</w:t>
      </w:r>
      <w:r w:rsidR="00390E72" w:rsidRPr="00390E72">
        <w:rPr>
          <w:color w:val="000000"/>
        </w:rPr>
        <w:t xml:space="preserve"> concentration</w:t>
      </w:r>
      <w:r w:rsidR="00390E72">
        <w:rPr>
          <w:color w:val="000000"/>
        </w:rPr>
        <w:t xml:space="preserve"> </w:t>
      </w:r>
      <w:r w:rsidR="00390E72" w:rsidRPr="00390E72">
        <w:rPr>
          <w:color w:val="000000"/>
        </w:rPr>
        <w:t>was spiked to reach an initial VFA/biomass ratio of approximately</w:t>
      </w:r>
      <w:r w:rsidR="00390E72">
        <w:rPr>
          <w:color w:val="000000"/>
        </w:rPr>
        <w:t xml:space="preserve"> </w:t>
      </w:r>
      <w:r w:rsidR="00390E72" w:rsidRPr="00390E72">
        <w:rPr>
          <w:color w:val="000000"/>
        </w:rPr>
        <w:t>2.0 g COD</w:t>
      </w:r>
      <w:r w:rsidR="00390E72" w:rsidRPr="00390E72">
        <w:rPr>
          <w:color w:val="000000"/>
          <w:vertAlign w:val="subscript"/>
        </w:rPr>
        <w:t>VFA</w:t>
      </w:r>
      <w:r w:rsidR="00390E72" w:rsidRPr="00390E72">
        <w:rPr>
          <w:color w:val="000000"/>
        </w:rPr>
        <w:t xml:space="preserve">/g VSS. This parameter was constant in </w:t>
      </w:r>
      <w:proofErr w:type="gramStart"/>
      <w:r w:rsidR="00390E72" w:rsidRPr="00390E72">
        <w:rPr>
          <w:color w:val="000000"/>
        </w:rPr>
        <w:t>all of</w:t>
      </w:r>
      <w:proofErr w:type="gramEnd"/>
      <w:r w:rsidR="00390E72" w:rsidRPr="00390E72">
        <w:rPr>
          <w:color w:val="000000"/>
        </w:rPr>
        <w:t xml:space="preserve"> the</w:t>
      </w:r>
      <w:r w:rsidR="00390E72">
        <w:rPr>
          <w:color w:val="000000"/>
        </w:rPr>
        <w:t xml:space="preserve"> </w:t>
      </w:r>
      <w:r w:rsidR="00390E72" w:rsidRPr="00390E72">
        <w:rPr>
          <w:color w:val="000000"/>
        </w:rPr>
        <w:t>batch tests. Any subsequent substrate spikes (no more than one</w:t>
      </w:r>
      <w:r w:rsidR="00390E72">
        <w:rPr>
          <w:color w:val="000000"/>
        </w:rPr>
        <w:t xml:space="preserve"> </w:t>
      </w:r>
      <w:r w:rsidR="00390E72" w:rsidRPr="00390E72">
        <w:rPr>
          <w:color w:val="000000"/>
        </w:rPr>
        <w:t>or two) were performed when the oxygen uptake rate (OUR)</w:t>
      </w:r>
      <w:r w:rsidR="00390E72">
        <w:rPr>
          <w:color w:val="000000"/>
        </w:rPr>
        <w:t xml:space="preserve"> </w:t>
      </w:r>
      <w:r w:rsidR="00390E72" w:rsidRPr="00390E72">
        <w:rPr>
          <w:color w:val="000000"/>
        </w:rPr>
        <w:t>dropped to low values to prevent the complete VFA removal</w:t>
      </w:r>
      <w:r w:rsidR="00390E72">
        <w:rPr>
          <w:color w:val="000000"/>
        </w:rPr>
        <w:t xml:space="preserve"> </w:t>
      </w:r>
      <w:r w:rsidR="00774C94">
        <w:rPr>
          <w:color w:val="000000"/>
        </w:rPr>
        <w:fldChar w:fldCharType="begin" w:fldLock="1"/>
      </w:r>
      <w:r w:rsidR="00774C94">
        <w:rPr>
          <w:color w:val="000000"/>
        </w:rPr>
        <w:instrText>ADDIN CSL_CITATION {"citationItems":[{"id":"ITEM-1","itemData":{"DOI":"10.1016/j.nbt.2013.10.006","ISSN":"18764347","PMID":"24184912","abstract":"The production of polyhydroxyalkanoates (PHAs) by activated sludge selected in a sequencing batch reactor (SBR) has been investigated. Several SBR runs were performed at the same applied organic load rate (OLR), hydraulic retention time (HRT) and feed concentration (8.5gCODL-1 of volatile fatty acids, VFAs) under aerobic conditions. The effect of the feeding time was only evaluated with a cycle length of 8h; for this particular cycle length, an increase in the storage response was observed by increasing the rate at which the substrate was fed into the reactor (at a fixed feeding frequency). Furthermore, a significantly stronger effect was observed by decreasing the cycle length from 8h to 6h and then to 2h, changing the feed frequency or changing the organic load given per cycle (all of the other conditions remained the same): the length of the feast phase decreased from 26 to 20.0 and then to 19.7% of the overall cycle length, respectively, due to an increase in the substrate removal rate. This removal rate was high and similar for the runs with cycle lengths of 2h and 6h in the SBR. This result was due to an increase in the selective pressure and the specific storage properties of the selected biomass. The highest polymer productivity after long-term accumulation batch tests was 1.7gPHAL-1d-1, with PHA content in the biomass of approximately 50% on a COD basis under nitrogen limitation. The DGGE profiles showed that the good storage performance correlated to the development of Lampropedia hyalina, which was only observed in the SBR runs characterized by a shorter cycle length. © 2013 Elsevier B.V.","author":[{"dropping-particle":"","family":"Valentino","given":"Francesco","non-dropping-particle":"","parse-names":false,"suffix":""},{"dropping-particle":"","family":"Beccari","given":"Mario","non-dropping-particle":"","parse-names":false,"suffix":""},{"dropping-particle":"","family":"Fraraccio","given":"Serena","non-dropping-particle":"","parse-names":false,"suffix":""},{"dropping-particle":"","family":"Zanaroli","given":"Giulio","non-dropping-particle":"","parse-names":false,"suffix":""},{"dropping-particle":"","family":"Majone","given":"Mauro","non-dropping-particle":"","parse-names":false,"suffix":""}],"container-title":"New Biotechnology","id":"ITEM-1","issue":"4","issued":{"date-parts":[["2014"]]},"page":"264-275","publisher":"Elsevier B.V.","title":"Feed frequency in a Sequencing Batch Reactor strongly affects the production of polyhydroxyalkanoates (PHAs) from volatile fatty acids","type":"article-journal","volume":"31"},"uris":["http://www.mendeley.com/documents/?uuid=03c9a4d4-1ff7-43ea-8452-7e03455d31c2"]}],"mendeley":{"formattedCitation":"(Francesco Valentino et al. 2014)","manualFormatting":"(Valentino et al. 2014)","plainTextFormattedCitation":"(Francesco Valentino et al. 2014)","previouslyFormattedCitation":"(Francesco Valentino et al. 2014)"},"properties":{"noteIndex":0},"schema":"https://github.com/citation-style-language/schema/raw/master/csl-citation.json"}</w:instrText>
      </w:r>
      <w:r w:rsidR="00774C94">
        <w:rPr>
          <w:color w:val="000000"/>
        </w:rPr>
        <w:fldChar w:fldCharType="separate"/>
      </w:r>
      <w:r w:rsidR="00774C94" w:rsidRPr="00774C94">
        <w:rPr>
          <w:noProof/>
          <w:color w:val="000000"/>
        </w:rPr>
        <w:t>(Valentino et al. 2014)</w:t>
      </w:r>
      <w:r w:rsidR="00774C94">
        <w:rPr>
          <w:color w:val="000000"/>
        </w:rPr>
        <w:fldChar w:fldCharType="end"/>
      </w:r>
      <w:r w:rsidR="00430F3B" w:rsidRPr="00430F3B">
        <w:rPr>
          <w:color w:val="000000"/>
        </w:rPr>
        <w:t>.</w:t>
      </w:r>
      <w:r w:rsidR="00BE79AC">
        <w:rPr>
          <w:color w:val="000000"/>
        </w:rPr>
        <w:t xml:space="preserve"> </w:t>
      </w:r>
      <w:r w:rsidR="00D06C3C">
        <w:rPr>
          <w:color w:val="000000"/>
        </w:rPr>
        <w:t>At the end of the accumulation, PHA-rich biomass was centrifuged and freeze-dried.</w:t>
      </w:r>
      <w:r w:rsidR="00390E72">
        <w:rPr>
          <w:color w:val="000000"/>
        </w:rPr>
        <w:t xml:space="preserve"> </w:t>
      </w:r>
      <w:r w:rsidR="00D06C3C">
        <w:rPr>
          <w:color w:val="000000"/>
        </w:rPr>
        <w:t xml:space="preserve">At pilot scale, </w:t>
      </w:r>
      <w:r w:rsidR="00D7532A">
        <w:rPr>
          <w:color w:val="000000"/>
        </w:rPr>
        <w:t xml:space="preserve">PHA was produced from </w:t>
      </w:r>
      <w:r w:rsidR="00F37130">
        <w:rPr>
          <w:color w:val="000000"/>
        </w:rPr>
        <w:t>fermented OFMSW</w:t>
      </w:r>
      <w:r w:rsidR="00F37130" w:rsidRPr="00F37130">
        <w:rPr>
          <w:color w:val="000000"/>
        </w:rPr>
        <w:t xml:space="preserve"> </w:t>
      </w:r>
      <w:r w:rsidR="00F37130">
        <w:rPr>
          <w:color w:val="000000"/>
        </w:rPr>
        <w:t>as feedstock,</w:t>
      </w:r>
      <w:r w:rsidR="00D7532A">
        <w:rPr>
          <w:color w:val="000000"/>
        </w:rPr>
        <w:t xml:space="preserve"> </w:t>
      </w:r>
      <w:r w:rsidR="00F37130">
        <w:rPr>
          <w:color w:val="000000"/>
        </w:rPr>
        <w:t>in a pilot platform situated in the</w:t>
      </w:r>
      <w:r w:rsidR="00D7532A">
        <w:rPr>
          <w:color w:val="000000"/>
        </w:rPr>
        <w:t xml:space="preserve"> full-scale WWTP in Treviso (northeast Italy). The production process (described in a previous </w:t>
      </w:r>
      <w:r w:rsidR="00444EB3">
        <w:rPr>
          <w:color w:val="000000"/>
        </w:rPr>
        <w:t>study</w:t>
      </w:r>
      <w:r w:rsidR="00D7532A">
        <w:rPr>
          <w:color w:val="000000"/>
        </w:rPr>
        <w:t xml:space="preserve"> </w:t>
      </w:r>
      <w:r w:rsidR="00774C94">
        <w:rPr>
          <w:color w:val="000000"/>
        </w:rPr>
        <w:fldChar w:fldCharType="begin" w:fldLock="1"/>
      </w:r>
      <w:r w:rsidR="00774C94">
        <w:rPr>
          <w:color w:val="000000"/>
        </w:rPr>
        <w:instrText>ADDIN CSL_CITATION {"citationItems":[{"id":"ITEM-1","itemData":{"DOI":"10.3303/CET1974045","ISBN":"9788895608716","ISSN":"22839216","author":[{"dropping-particle":"","family":"Valentino","given":"F","non-dropping-particle":"","parse-names":false,"suffix":""},{"dropping-particle":"","family":"Lorini","given":"L","non-dropping-particle":"","parse-names":false,"suffix":""},{"dropping-particle":"","family":"Pavan","given":"P","non-dropping-particle":"","parse-names":false,"suffix":""},{"dropping-particle":"","family":"Bolzonella","given":"D","non-dropping-particle":"","parse-names":false,"suffix":""},{"dropping-particle":"","family":"Majone","given":"M","non-dropping-particle":"","parse-names":false,"suffix":""}],"container-title":"Chemical Engineering Transactions","id":"ITEM-1","issue":"June 2018","issued":{"date-parts":[["2019"]]},"page":"265-270","title":"Organic fraction of municipal solid waste conversion into polyhydroxyalkanoates (PHA) in a pilot scale anaerobic/aerobic process","type":"article-journal","volume":"74"},"uris":["http://www.mendeley.com/documents/?uuid=bf1f2b7a-2d6f-42c7-b04e-24091b131b50"]}],"mendeley":{"formattedCitation":"(F Valentino et al. 2019)","manualFormatting":"(Valentino et al. 2019)","plainTextFormattedCitation":"(F Valentino et al. 2019)","previouslyFormattedCitation":"(F Valentino et al. 2019)"},"properties":{"noteIndex":0},"schema":"https://github.com/citation-style-language/schema/raw/master/csl-citation.json"}</w:instrText>
      </w:r>
      <w:r w:rsidR="00774C94">
        <w:rPr>
          <w:color w:val="000000"/>
        </w:rPr>
        <w:fldChar w:fldCharType="separate"/>
      </w:r>
      <w:r w:rsidR="00774C94" w:rsidRPr="00774C94">
        <w:rPr>
          <w:noProof/>
          <w:color w:val="000000"/>
        </w:rPr>
        <w:t>(Valentino et al. 2019)</w:t>
      </w:r>
      <w:r w:rsidR="00774C94">
        <w:rPr>
          <w:color w:val="000000"/>
        </w:rPr>
        <w:fldChar w:fldCharType="end"/>
      </w:r>
      <w:r w:rsidR="00774C94">
        <w:rPr>
          <w:color w:val="000000"/>
        </w:rPr>
        <w:t xml:space="preserve">) </w:t>
      </w:r>
      <w:r w:rsidR="00D7532A">
        <w:rPr>
          <w:color w:val="000000"/>
        </w:rPr>
        <w:t xml:space="preserve">included three main steps: a first anaerobic fermentation reactor (380 L) for PHA precursor production (volatile fatty acid, VFA), a second aerobic reactor (sequencing batch reactor, SBR; 100 L) for biomass selection into PHA-accumulating consortium (enriched-MMC), and a third fed-batch aerobic reactor (70–90 L) for PHA accumulation. At the end of the accumulation stage the biomass was centrifuged and </w:t>
      </w:r>
      <w:r w:rsidR="00F37130">
        <w:rPr>
          <w:color w:val="000000"/>
        </w:rPr>
        <w:t>oven dried at 60</w:t>
      </w:r>
      <w:r w:rsidR="00275546">
        <w:rPr>
          <w:color w:val="000000"/>
        </w:rPr>
        <w:t xml:space="preserve"> °</w:t>
      </w:r>
      <w:r w:rsidR="00F37130">
        <w:rPr>
          <w:color w:val="000000"/>
        </w:rPr>
        <w:t xml:space="preserve">C, </w:t>
      </w:r>
      <w:r w:rsidR="00D7532A">
        <w:rPr>
          <w:color w:val="000000"/>
        </w:rPr>
        <w:t>until downstream processing</w:t>
      </w:r>
      <w:r w:rsidR="00362225">
        <w:rPr>
          <w:color w:val="000000"/>
        </w:rPr>
        <w:t xml:space="preserve">, as reported elsewhere </w:t>
      </w:r>
      <w:r w:rsidR="00774C94">
        <w:rPr>
          <w:color w:val="000000"/>
        </w:rPr>
        <w:fldChar w:fldCharType="begin" w:fldLock="1"/>
      </w:r>
      <w:r w:rsidR="001C21C5">
        <w:rPr>
          <w:color w:val="000000"/>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rPr>
          <w:color w:val="000000"/>
        </w:rPr>
        <w:fldChar w:fldCharType="separate"/>
      </w:r>
      <w:r w:rsidR="00774C94" w:rsidRPr="00774C94">
        <w:rPr>
          <w:noProof/>
          <w:color w:val="000000"/>
        </w:rPr>
        <w:t>(Lorini, Martinelli, Pavan, et al. 2021)</w:t>
      </w:r>
      <w:r w:rsidR="00774C94">
        <w:rPr>
          <w:color w:val="000000"/>
        </w:rPr>
        <w:fldChar w:fldCharType="end"/>
      </w:r>
      <w:r w:rsidR="00774C94">
        <w:rPr>
          <w:color w:val="000000"/>
        </w:rPr>
        <w:t>.</w:t>
      </w:r>
    </w:p>
    <w:p w14:paraId="1D46846B" w14:textId="77777777" w:rsidR="00D7532A" w:rsidRPr="00F37130" w:rsidRDefault="00D7532A" w:rsidP="00646AED">
      <w:pPr>
        <w:pStyle w:val="CETBodytext"/>
      </w:pPr>
    </w:p>
    <w:p w14:paraId="2E04B033" w14:textId="77777777" w:rsidR="00646AED" w:rsidRPr="00646AED" w:rsidRDefault="00646AED" w:rsidP="006E0B6B">
      <w:pPr>
        <w:autoSpaceDE w:val="0"/>
        <w:autoSpaceDN w:val="0"/>
        <w:adjustRightInd w:val="0"/>
        <w:spacing w:line="276" w:lineRule="auto"/>
        <w:rPr>
          <w:rFonts w:ascii="TimesNewRomanPSMT" w:hAnsi="TimesNewRomanPSMT" w:cs="TimesNewRomanPSMT"/>
        </w:rPr>
      </w:pPr>
    </w:p>
    <w:p w14:paraId="39FAC4CE" w14:textId="2B977665" w:rsidR="006E0B6B" w:rsidRPr="006E0B6B" w:rsidRDefault="00DD2499" w:rsidP="006E0B6B">
      <w:pPr>
        <w:pStyle w:val="CETheadingx"/>
      </w:pPr>
      <w:r>
        <w:t xml:space="preserve">PHA </w:t>
      </w:r>
      <w:r w:rsidR="00C05C36">
        <w:t>extraction</w:t>
      </w:r>
    </w:p>
    <w:p w14:paraId="6BCC5E8F" w14:textId="417389FB" w:rsidR="00F47727" w:rsidRDefault="0024004E" w:rsidP="00F47727">
      <w:pPr>
        <w:pStyle w:val="CETBodytext"/>
        <w:rPr>
          <w:lang w:val="en-GB"/>
        </w:rPr>
      </w:pPr>
      <w:r>
        <w:rPr>
          <w:lang w:val="en-GB"/>
        </w:rPr>
        <w:t>About 100 mg of freeze-d</w:t>
      </w:r>
      <w:r w:rsidR="00646AED" w:rsidRPr="00646AED">
        <w:rPr>
          <w:lang w:val="en-GB"/>
        </w:rPr>
        <w:t xml:space="preserve">ried PHA-rich biomass from the </w:t>
      </w:r>
      <w:r>
        <w:rPr>
          <w:lang w:val="en-GB"/>
        </w:rPr>
        <w:t>lab</w:t>
      </w:r>
      <w:r w:rsidR="00E8633E">
        <w:rPr>
          <w:lang w:val="en-GB"/>
        </w:rPr>
        <w:t>-</w:t>
      </w:r>
      <w:r>
        <w:rPr>
          <w:lang w:val="en-GB"/>
        </w:rPr>
        <w:t xml:space="preserve">scale </w:t>
      </w:r>
      <w:r w:rsidR="00646AED" w:rsidRPr="00646AED">
        <w:rPr>
          <w:lang w:val="en-GB"/>
        </w:rPr>
        <w:t>batch tests w</w:t>
      </w:r>
      <w:r>
        <w:rPr>
          <w:lang w:val="en-GB"/>
        </w:rPr>
        <w:t>ere</w:t>
      </w:r>
      <w:r w:rsidR="00646AED" w:rsidRPr="00646AED">
        <w:rPr>
          <w:lang w:val="en-GB"/>
        </w:rPr>
        <w:t xml:space="preserve"> suspended in </w:t>
      </w:r>
      <w:r>
        <w:rPr>
          <w:lang w:val="en-GB"/>
        </w:rPr>
        <w:t>60 mL</w:t>
      </w:r>
      <w:r w:rsidR="00F47727">
        <w:rPr>
          <w:lang w:val="en-GB"/>
        </w:rPr>
        <w:t xml:space="preserve"> of</w:t>
      </w:r>
      <w:r>
        <w:rPr>
          <w:lang w:val="en-GB"/>
        </w:rPr>
        <w:t xml:space="preserve"> NaOH solution </w:t>
      </w:r>
      <w:r w:rsidR="00F47727">
        <w:rPr>
          <w:lang w:val="en-GB"/>
        </w:rPr>
        <w:t>at different concentration</w:t>
      </w:r>
      <w:r w:rsidR="00E1070D">
        <w:rPr>
          <w:lang w:val="en-GB"/>
        </w:rPr>
        <w:t>s</w:t>
      </w:r>
      <w:r w:rsidR="00F47727">
        <w:rPr>
          <w:lang w:val="en-GB"/>
        </w:rPr>
        <w:t xml:space="preserve"> (0.05 – 0.1 – 0.2 – 0.3 – 0.5 - 1.0 M). The suspension was kept under magnetic stirring for different operative times (3 – 6 – 24 h)</w:t>
      </w:r>
      <w:r w:rsidR="00D0589F">
        <w:rPr>
          <w:lang w:val="en-GB"/>
        </w:rPr>
        <w:t xml:space="preserve">. </w:t>
      </w:r>
      <w:r w:rsidR="00D0589F">
        <w:rPr>
          <w:color w:val="000000"/>
        </w:rPr>
        <w:t>In parallel, a coupled treatment with NaOH (same concentration range) and 0.1 % w/v SDS was conducted for 3 h and 24 h.</w:t>
      </w:r>
      <w:r w:rsidR="008C2C1C">
        <w:rPr>
          <w:color w:val="000000"/>
        </w:rPr>
        <w:t xml:space="preserve"> At the end of the extraction, </w:t>
      </w:r>
      <w:r w:rsidR="008C2C1C">
        <w:rPr>
          <w:lang w:val="en-GB"/>
        </w:rPr>
        <w:t xml:space="preserve">the suspensions were </w:t>
      </w:r>
      <w:r w:rsidR="00646AED" w:rsidRPr="00646AED">
        <w:rPr>
          <w:lang w:val="en-GB"/>
        </w:rPr>
        <w:t xml:space="preserve">centrifuged at 8500 rpm for 20 min </w:t>
      </w:r>
      <w:r w:rsidR="00E1070D">
        <w:rPr>
          <w:lang w:val="en-GB"/>
        </w:rPr>
        <w:t>(</w:t>
      </w:r>
      <w:r w:rsidR="00E1070D" w:rsidRPr="00E1070D">
        <w:rPr>
          <w:lang w:val="en-GB"/>
        </w:rPr>
        <w:t>ALC multi speed centrifuge PK 131)</w:t>
      </w:r>
      <w:r w:rsidR="00E1070D">
        <w:rPr>
          <w:rFonts w:cs="Arial"/>
          <w:b/>
          <w:bCs/>
          <w:i/>
          <w:iCs/>
          <w:color w:val="222222"/>
          <w:shd w:val="clear" w:color="auto" w:fill="FFFFFF"/>
        </w:rPr>
        <w:t xml:space="preserve"> </w:t>
      </w:r>
      <w:r w:rsidR="00646AED" w:rsidRPr="00646AED">
        <w:rPr>
          <w:lang w:val="en-GB"/>
        </w:rPr>
        <w:t xml:space="preserve">and washed 3 times with distilled water. </w:t>
      </w:r>
      <w:r w:rsidR="00B825D3">
        <w:rPr>
          <w:lang w:val="en-GB"/>
        </w:rPr>
        <w:t>The w</w:t>
      </w:r>
      <w:r w:rsidR="00646AED" w:rsidRPr="00646AED">
        <w:rPr>
          <w:lang w:val="en-GB"/>
        </w:rPr>
        <w:t xml:space="preserve">et </w:t>
      </w:r>
      <w:r w:rsidR="00C904AA">
        <w:rPr>
          <w:lang w:val="en-GB"/>
        </w:rPr>
        <w:t>biomass</w:t>
      </w:r>
      <w:r w:rsidR="00646AED" w:rsidRPr="00646AED">
        <w:rPr>
          <w:lang w:val="en-GB"/>
        </w:rPr>
        <w:t xml:space="preserve"> was finally transferred into a crystallizer and oven dried at 70</w:t>
      </w:r>
      <w:r w:rsidR="00275546">
        <w:rPr>
          <w:lang w:val="en-GB"/>
        </w:rPr>
        <w:t xml:space="preserve"> °</w:t>
      </w:r>
      <w:r w:rsidR="00646AED" w:rsidRPr="00646AED">
        <w:rPr>
          <w:lang w:val="en-GB"/>
        </w:rPr>
        <w:t>C</w:t>
      </w:r>
      <w:r w:rsidR="008C2C1C">
        <w:rPr>
          <w:lang w:val="en-GB"/>
        </w:rPr>
        <w:t>.</w:t>
      </w:r>
      <w:r w:rsidR="00BE3963">
        <w:rPr>
          <w:lang w:val="en-GB"/>
        </w:rPr>
        <w:t xml:space="preserve"> Based on preliminary results, the best performing condition was applied on dried PHA-rich biomass produced at </w:t>
      </w:r>
      <w:r w:rsidR="00B825D3">
        <w:rPr>
          <w:lang w:val="en-GB"/>
        </w:rPr>
        <w:t xml:space="preserve">the </w:t>
      </w:r>
      <w:r w:rsidR="00BE3963">
        <w:rPr>
          <w:lang w:val="en-GB"/>
        </w:rPr>
        <w:t>pilot scale (NaOH 0.2 M and 0.1 %w/v SDS for 3 h)</w:t>
      </w:r>
      <w:r w:rsidR="00F37130">
        <w:rPr>
          <w:lang w:val="en-GB"/>
        </w:rPr>
        <w:t xml:space="preserve">. </w:t>
      </w:r>
      <w:r w:rsidR="00470C1D">
        <w:rPr>
          <w:color w:val="000000"/>
        </w:rPr>
        <w:t>As a benchmark,</w:t>
      </w:r>
      <w:r w:rsidR="00D0589F">
        <w:rPr>
          <w:color w:val="000000"/>
        </w:rPr>
        <w:t xml:space="preserve"> </w:t>
      </w:r>
      <w:r w:rsidR="00BE3963">
        <w:rPr>
          <w:color w:val="000000"/>
        </w:rPr>
        <w:t xml:space="preserve">oxidative treatment with </w:t>
      </w:r>
      <w:proofErr w:type="spellStart"/>
      <w:r w:rsidR="00F47727" w:rsidRPr="00646AED">
        <w:rPr>
          <w:lang w:val="en-GB"/>
        </w:rPr>
        <w:t>NaClO</w:t>
      </w:r>
      <w:proofErr w:type="spellEnd"/>
      <w:r w:rsidR="00F47727" w:rsidRPr="00646AED">
        <w:rPr>
          <w:lang w:val="en-GB"/>
        </w:rPr>
        <w:t xml:space="preserve"> solution (1.5 % active Cl</w:t>
      </w:r>
      <w:r w:rsidR="00F47727" w:rsidRPr="00BE3963">
        <w:rPr>
          <w:vertAlign w:val="subscript"/>
          <w:lang w:val="en-GB"/>
        </w:rPr>
        <w:t>2</w:t>
      </w:r>
      <w:r w:rsidR="00F47727" w:rsidRPr="00646AED">
        <w:rPr>
          <w:lang w:val="en-GB"/>
        </w:rPr>
        <w:t>)</w:t>
      </w:r>
      <w:r w:rsidR="00BE3963">
        <w:rPr>
          <w:lang w:val="en-GB"/>
        </w:rPr>
        <w:t xml:space="preserve"> and solvent extraction with chloroform were conducted on PHA-rich biomass, both from lab and pilot scale, following the procedures extensively reported elsewhere </w:t>
      </w:r>
      <w:r w:rsidR="00774C94">
        <w:rPr>
          <w:lang w:val="en-GB"/>
        </w:rPr>
        <w:fldChar w:fldCharType="begin" w:fldLock="1"/>
      </w:r>
      <w:r w:rsidR="001C21C5">
        <w:rPr>
          <w:lang w:val="en-GB"/>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rPr>
          <w:lang w:val="en-GB"/>
        </w:rPr>
        <w:fldChar w:fldCharType="separate"/>
      </w:r>
      <w:r w:rsidR="00774C94" w:rsidRPr="00774C94">
        <w:rPr>
          <w:noProof/>
          <w:lang w:val="en-GB"/>
        </w:rPr>
        <w:t>(Lorini, Martinelli, Pavan, et al. 2021)</w:t>
      </w:r>
      <w:r w:rsidR="00774C94">
        <w:rPr>
          <w:lang w:val="en-GB"/>
        </w:rPr>
        <w:fldChar w:fldCharType="end"/>
      </w:r>
      <w:r w:rsidR="00774C94">
        <w:rPr>
          <w:lang w:val="en-GB"/>
        </w:rPr>
        <w:t>.</w:t>
      </w:r>
    </w:p>
    <w:p w14:paraId="43017873" w14:textId="1A549773" w:rsidR="00D7532A" w:rsidRPr="00D7532A" w:rsidRDefault="00D7532A" w:rsidP="00646AED">
      <w:pPr>
        <w:pStyle w:val="CETBodytext"/>
      </w:pPr>
    </w:p>
    <w:p w14:paraId="43B50FD4" w14:textId="77777777" w:rsidR="00C05C36" w:rsidRDefault="00C05C36" w:rsidP="006E0B6B">
      <w:pPr>
        <w:pStyle w:val="CETBodytext"/>
        <w:rPr>
          <w:lang w:val="en-GB"/>
        </w:rPr>
      </w:pPr>
    </w:p>
    <w:p w14:paraId="2C1DF380" w14:textId="67677366" w:rsidR="00C05C36" w:rsidRPr="006E0B6B" w:rsidRDefault="00C05C36" w:rsidP="00C05C36">
      <w:pPr>
        <w:pStyle w:val="CETheadingx"/>
      </w:pPr>
      <w:r>
        <w:t>PHA characterization</w:t>
      </w:r>
    </w:p>
    <w:p w14:paraId="09DCA1AF" w14:textId="53A43E43" w:rsidR="002E6324" w:rsidRPr="00774C94" w:rsidRDefault="00A826CF" w:rsidP="002E6324">
      <w:pPr>
        <w:pStyle w:val="CETBodytext"/>
      </w:pPr>
      <w:r>
        <w:t>PHA content (%w/w) in dry biomass and monomeric composition (</w:t>
      </w:r>
      <w:r w:rsidR="00AA4783">
        <w:t xml:space="preserve">3-Hydroxybutirate, </w:t>
      </w:r>
      <w:r w:rsidR="00D47FD1">
        <w:t>3HB</w:t>
      </w:r>
      <w:r w:rsidR="00AA4783">
        <w:t>,</w:t>
      </w:r>
      <w:r w:rsidR="00D47FD1">
        <w:t xml:space="preserve"> and</w:t>
      </w:r>
      <w:r w:rsidR="00AA4783">
        <w:t xml:space="preserve"> 3</w:t>
      </w:r>
      <w:r w:rsidR="00110330">
        <w:t>-</w:t>
      </w:r>
      <w:r w:rsidR="00AA4783">
        <w:t>Hydroxyvalerate,</w:t>
      </w:r>
      <w:r w:rsidR="00D47FD1">
        <w:t xml:space="preserve"> 3</w:t>
      </w:r>
      <w:r>
        <w:t>HV</w:t>
      </w:r>
      <w:r w:rsidR="00AA4783">
        <w:t>,</w:t>
      </w:r>
      <w:r>
        <w:t xml:space="preserve"> %w/w) were determined by applying a consolidated </w:t>
      </w:r>
      <w:r w:rsidR="00E16A33">
        <w:t>procedure</w:t>
      </w:r>
      <w:r>
        <w:t xml:space="preserve"> for GC-FID analysis </w:t>
      </w:r>
      <w:r w:rsidR="00774C94">
        <w:fldChar w:fldCharType="begin" w:fldLock="1"/>
      </w:r>
      <w:r w:rsidR="001C21C5">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fldChar w:fldCharType="separate"/>
      </w:r>
      <w:r w:rsidR="00774C94" w:rsidRPr="00774C94">
        <w:rPr>
          <w:noProof/>
        </w:rPr>
        <w:t>(Lorini, Martinelli, Pavan, et al. 2021)</w:t>
      </w:r>
      <w:r w:rsidR="00774C94">
        <w:fldChar w:fldCharType="end"/>
      </w:r>
      <w:r w:rsidR="00774C94">
        <w:t xml:space="preserve">. </w:t>
      </w:r>
      <w:r w:rsidR="002E6324" w:rsidRPr="002E6324">
        <w:rPr>
          <w:lang w:val="en-GB"/>
        </w:rPr>
        <w:t xml:space="preserve">Approximately 3.5 mg of dried biomass </w:t>
      </w:r>
      <w:r w:rsidR="00E16A33">
        <w:rPr>
          <w:lang w:val="en-GB"/>
        </w:rPr>
        <w:t xml:space="preserve">is </w:t>
      </w:r>
      <w:r w:rsidR="002E6324" w:rsidRPr="002E6324">
        <w:rPr>
          <w:lang w:val="en-GB"/>
        </w:rPr>
        <w:t>suspended in 2 mL of acidified methanol solution (at 3% v/v H</w:t>
      </w:r>
      <w:r w:rsidR="002E6324" w:rsidRPr="00E16A33">
        <w:rPr>
          <w:vertAlign w:val="subscript"/>
          <w:lang w:val="en-GB"/>
        </w:rPr>
        <w:t>2</w:t>
      </w:r>
      <w:r w:rsidR="002E6324" w:rsidRPr="002E6324">
        <w:rPr>
          <w:lang w:val="en-GB"/>
        </w:rPr>
        <w:t>SO</w:t>
      </w:r>
      <w:r w:rsidR="002E6324" w:rsidRPr="00E16A33">
        <w:rPr>
          <w:vertAlign w:val="subscript"/>
          <w:lang w:val="en-GB"/>
        </w:rPr>
        <w:t>4</w:t>
      </w:r>
      <w:r w:rsidR="002E6324" w:rsidRPr="002E6324">
        <w:rPr>
          <w:lang w:val="en-GB"/>
        </w:rPr>
        <w:t>) in a screw-capped test tube and 1.0 m</w:t>
      </w:r>
      <w:r w:rsidR="00B825D3">
        <w:rPr>
          <w:lang w:val="en-GB"/>
        </w:rPr>
        <w:t>L</w:t>
      </w:r>
      <w:r w:rsidR="002E6324" w:rsidRPr="002E6324">
        <w:rPr>
          <w:lang w:val="en-GB"/>
        </w:rPr>
        <w:t xml:space="preserve"> of chloroform. The samples are then kept at 100°C for 4 hours. During this time, an acid-</w:t>
      </w:r>
      <w:proofErr w:type="spellStart"/>
      <w:r w:rsidR="002E6324" w:rsidRPr="002E6324">
        <w:rPr>
          <w:lang w:val="en-GB"/>
        </w:rPr>
        <w:t>catalyzed</w:t>
      </w:r>
      <w:proofErr w:type="spellEnd"/>
      <w:r w:rsidR="002E6324" w:rsidRPr="002E6324">
        <w:rPr>
          <w:lang w:val="en-GB"/>
        </w:rPr>
        <w:t xml:space="preserve"> </w:t>
      </w:r>
      <w:proofErr w:type="spellStart"/>
      <w:r w:rsidR="002E6324" w:rsidRPr="002E6324">
        <w:rPr>
          <w:lang w:val="en-GB"/>
        </w:rPr>
        <w:t>methanolysis</w:t>
      </w:r>
      <w:proofErr w:type="spellEnd"/>
      <w:r w:rsidR="002E6324" w:rsidRPr="002E6324">
        <w:rPr>
          <w:lang w:val="en-GB"/>
        </w:rPr>
        <w:t xml:space="preserve"> of the PHA occur</w:t>
      </w:r>
      <w:r w:rsidR="00E16A33">
        <w:rPr>
          <w:lang w:val="en-GB"/>
        </w:rPr>
        <w:t>s</w:t>
      </w:r>
      <w:r w:rsidR="002E6324" w:rsidRPr="002E6324">
        <w:rPr>
          <w:lang w:val="en-GB"/>
        </w:rPr>
        <w:t xml:space="preserve">, and the methyl esters are </w:t>
      </w:r>
      <w:r w:rsidR="00E16A33">
        <w:rPr>
          <w:lang w:val="en-GB"/>
        </w:rPr>
        <w:t>solubilized in chloroform</w:t>
      </w:r>
      <w:r w:rsidR="002E6324" w:rsidRPr="002E6324">
        <w:rPr>
          <w:lang w:val="en-GB"/>
        </w:rPr>
        <w:t xml:space="preserve">. </w:t>
      </w:r>
      <w:r w:rsidR="00E16A33">
        <w:rPr>
          <w:lang w:val="en-GB"/>
        </w:rPr>
        <w:t>These latter are determined a</w:t>
      </w:r>
      <w:r w:rsidR="002E6324" w:rsidRPr="002E6324">
        <w:rPr>
          <w:lang w:val="en-GB"/>
        </w:rPr>
        <w:t>ccording to the</w:t>
      </w:r>
      <w:r w:rsidR="00E16A33">
        <w:rPr>
          <w:lang w:val="en-GB"/>
        </w:rPr>
        <w:t xml:space="preserve"> analytical</w:t>
      </w:r>
      <w:r w:rsidR="002E6324" w:rsidRPr="002E6324">
        <w:rPr>
          <w:lang w:val="en-GB"/>
        </w:rPr>
        <w:t xml:space="preserve"> method described in </w:t>
      </w:r>
      <w:proofErr w:type="spellStart"/>
      <w:r w:rsidR="002E6324" w:rsidRPr="002E6324">
        <w:rPr>
          <w:lang w:val="en-GB"/>
        </w:rPr>
        <w:t>Braunegg</w:t>
      </w:r>
      <w:proofErr w:type="spellEnd"/>
      <w:r w:rsidR="002E6324" w:rsidRPr="002E6324">
        <w:rPr>
          <w:lang w:val="en-GB"/>
        </w:rPr>
        <w:t xml:space="preserve"> et al.</w:t>
      </w:r>
      <w:r w:rsidR="00E16A33">
        <w:rPr>
          <w:lang w:val="en-GB"/>
        </w:rPr>
        <w:t xml:space="preserve"> </w:t>
      </w:r>
      <w:r w:rsidR="00774C94">
        <w:rPr>
          <w:lang w:val="en-GB"/>
        </w:rPr>
        <w:fldChar w:fldCharType="begin" w:fldLock="1"/>
      </w:r>
      <w:r w:rsidR="00774C94">
        <w:rPr>
          <w:lang w:val="en-GB"/>
        </w:rPr>
        <w:instrText>ADDIN CSL_CITATION {"citationItems":[{"id":"ITEM-1","itemData":{"DOI":"10.1007/BF00500854","author":[{"dropping-particle":"","family":"Braunegg","given":"G.","non-dropping-particle":"","parse-names":false,"suffix":""},{"dropping-particle":"","family":"Sonnleitner","given":"B.","non-dropping-particle":"","parse-names":false,"suffix":""},{"dropping-particle":"","family":"Lafferty","given":"R","non-dropping-particle":"","parse-names":false,"suffix":""}],"container-title":"Applied Microbiology and Biotechnology","id":"ITEM-1","issued":{"date-parts":[["1978","3","1"]]},"number-of-pages":"29-37","title":"Rapid Gas-Chromatographic Method for Determination of Poly-Beta-Hydroxybutyric Acid in Microbial Biomass","type":"book","volume":"6"},"uris":["http://www.mendeley.com/documents/?uuid=7f4615fe-58ad-4999-9eae-e6c561cda8f0"]}],"mendeley":{"formattedCitation":"(Braunegg et al. 1978)","plainTextFormattedCitation":"(Braunegg et al. 1978)","previouslyFormattedCitation":"(Braunegg et al. 1978)"},"properties":{"noteIndex":0},"schema":"https://github.com/citation-style-language/schema/raw/master/csl-citation.json"}</w:instrText>
      </w:r>
      <w:r w:rsidR="00774C94">
        <w:rPr>
          <w:lang w:val="en-GB"/>
        </w:rPr>
        <w:fldChar w:fldCharType="separate"/>
      </w:r>
      <w:r w:rsidR="00774C94" w:rsidRPr="00774C94">
        <w:rPr>
          <w:noProof/>
          <w:lang w:val="en-GB"/>
        </w:rPr>
        <w:t>(Braunegg et al. 1978)</w:t>
      </w:r>
      <w:r w:rsidR="00774C94">
        <w:rPr>
          <w:lang w:val="en-GB"/>
        </w:rPr>
        <w:fldChar w:fldCharType="end"/>
      </w:r>
      <w:r w:rsidR="00774C94">
        <w:rPr>
          <w:lang w:val="en-GB"/>
        </w:rPr>
        <w:t xml:space="preserve">. </w:t>
      </w:r>
      <w:r w:rsidR="002E6324" w:rsidRPr="002E6324">
        <w:rPr>
          <w:lang w:val="en-GB"/>
        </w:rPr>
        <w:t xml:space="preserve">The recovery was determined with </w:t>
      </w:r>
      <w:r w:rsidR="00B825D3">
        <w:rPr>
          <w:lang w:val="en-GB"/>
        </w:rPr>
        <w:t>Eq</w:t>
      </w:r>
      <w:r w:rsidR="002E6324" w:rsidRPr="002E6324">
        <w:rPr>
          <w:lang w:val="en-GB"/>
        </w:rPr>
        <w:t>uation (1)</w:t>
      </w:r>
      <w:r w:rsidR="00E16BB2">
        <w:rPr>
          <w:lang w:val="en-GB"/>
        </w:rPr>
        <w:t xml:space="preserve"> </w:t>
      </w:r>
      <w:r w:rsidR="002E6324" w:rsidRPr="002E6324">
        <w:rPr>
          <w:lang w:val="en-GB"/>
        </w:rPr>
        <w:t>that correlate</w:t>
      </w:r>
      <w:r w:rsidR="00E16BB2">
        <w:rPr>
          <w:lang w:val="en-GB"/>
        </w:rPr>
        <w:t>s</w:t>
      </w:r>
      <w:r w:rsidR="002E6324" w:rsidRPr="002E6324">
        <w:rPr>
          <w:lang w:val="en-GB"/>
        </w:rPr>
        <w:t xml:space="preserve"> the dry weight of microbial biomass</w:t>
      </w:r>
      <w:r w:rsidR="00A56D75">
        <w:rPr>
          <w:lang w:val="en-GB"/>
        </w:rPr>
        <w:t xml:space="preserve"> (recovered at the end of extraction)</w:t>
      </w:r>
      <w:r w:rsidR="002E6324" w:rsidRPr="002E6324">
        <w:rPr>
          <w:lang w:val="en-GB"/>
        </w:rPr>
        <w:t xml:space="preserve"> and purity (%</w:t>
      </w:r>
      <w:r w:rsidR="00E16BB2">
        <w:rPr>
          <w:lang w:val="en-GB"/>
        </w:rPr>
        <w:t xml:space="preserve">w/w </w:t>
      </w:r>
      <w:r w:rsidR="002E6324" w:rsidRPr="002E6324">
        <w:rPr>
          <w:lang w:val="en-GB"/>
        </w:rPr>
        <w:t>PHA) of extracted polymer</w:t>
      </w:r>
      <w:r w:rsidR="00A56D75">
        <w:rPr>
          <w:lang w:val="en-GB"/>
        </w:rPr>
        <w:t>,</w:t>
      </w:r>
      <w:r w:rsidR="002E6324" w:rsidRPr="002E6324">
        <w:rPr>
          <w:lang w:val="en-GB"/>
        </w:rPr>
        <w:t xml:space="preserve"> with the PHA content inside raw biomass before extraction.</w:t>
      </w:r>
      <w:r w:rsidR="002E6324">
        <w:rPr>
          <w:lang w:val="en-GB"/>
        </w:rPr>
        <w:t xml:space="preserve"> </w:t>
      </w:r>
    </w:p>
    <w:p w14:paraId="1C1B6EE4" w14:textId="77777777" w:rsidR="00360FBE" w:rsidRDefault="00360FBE" w:rsidP="002E6324">
      <w:pPr>
        <w:pStyle w:val="CETBodytext"/>
        <w:rPr>
          <w:lang w:val="en-GB"/>
        </w:rPr>
      </w:pPr>
    </w:p>
    <w:p w14:paraId="70337270" w14:textId="36577285" w:rsidR="002E6324" w:rsidRPr="002E6324" w:rsidRDefault="00580F96" w:rsidP="0072091B">
      <w:pPr>
        <w:pStyle w:val="CETBodytext"/>
        <w:jc w:val="left"/>
      </w:pPr>
      <m:oMath>
        <m:r>
          <w:rPr>
            <w:rStyle w:val="CETCaptionCarattere"/>
            <w:rFonts w:ascii="Cambria Math" w:hAnsi="Cambria Math"/>
          </w:rPr>
          <m:t xml:space="preserve">recovery </m:t>
        </m:r>
        <m:d>
          <m:dPr>
            <m:ctrlPr>
              <w:rPr>
                <w:rStyle w:val="CETCaptionCarattere"/>
                <w:rFonts w:ascii="Cambria Math" w:hAnsi="Cambria Math"/>
                <w:i w:val="0"/>
              </w:rPr>
            </m:ctrlPr>
          </m:dPr>
          <m:e>
            <m:r>
              <w:rPr>
                <w:rStyle w:val="CETCaptionCarattere"/>
                <w:rFonts w:ascii="Cambria Math" w:hAnsi="Cambria Math"/>
              </w:rPr>
              <m:t>%</m:t>
            </m:r>
          </m:e>
        </m:d>
        <m:r>
          <w:rPr>
            <w:rStyle w:val="CETCaptionCarattere"/>
            <w:rFonts w:ascii="Cambria Math" w:hAnsi="Cambria Math"/>
          </w:rPr>
          <m:t>=</m:t>
        </m:r>
        <m:f>
          <m:fPr>
            <m:ctrlPr>
              <w:rPr>
                <w:rStyle w:val="CETCaptionCarattere"/>
                <w:rFonts w:ascii="Cambria Math" w:hAnsi="Cambria Math"/>
                <w:i w:val="0"/>
                <w:lang w:val="en-US"/>
              </w:rPr>
            </m:ctrlPr>
          </m:fPr>
          <m:num>
            <m:r>
              <w:rPr>
                <w:rStyle w:val="CETCaptionCarattere"/>
                <w:rFonts w:ascii="Cambria Math" w:hAnsi="Cambria Math"/>
              </w:rPr>
              <m:t xml:space="preserve">[recovered biomass </m:t>
            </m:r>
            <m:d>
              <m:dPr>
                <m:ctrlPr>
                  <w:rPr>
                    <w:rStyle w:val="CETCaptionCarattere"/>
                    <w:rFonts w:ascii="Cambria Math" w:hAnsi="Cambria Math"/>
                    <w:i w:val="0"/>
                  </w:rPr>
                </m:ctrlPr>
              </m:dPr>
              <m:e>
                <m:r>
                  <w:rPr>
                    <w:rStyle w:val="CETCaptionCarattere"/>
                    <w:rFonts w:ascii="Cambria Math" w:hAnsi="Cambria Math"/>
                  </w:rPr>
                  <m:t>g</m:t>
                </m:r>
              </m:e>
            </m:d>
            <m:r>
              <w:rPr>
                <w:rStyle w:val="CETCaptionCarattere"/>
                <w:rFonts w:ascii="Cambria Math" w:hAnsi="Cambria Math"/>
              </w:rPr>
              <m:t>×PHA purity (%</m:t>
            </m:r>
            <m:f>
              <m:fPr>
                <m:ctrlPr>
                  <w:rPr>
                    <w:rStyle w:val="CETCaptionCarattere"/>
                    <w:rFonts w:ascii="Cambria Math" w:hAnsi="Cambria Math"/>
                    <w:i w:val="0"/>
                  </w:rPr>
                </m:ctrlPr>
              </m:fPr>
              <m:num>
                <m:r>
                  <w:rPr>
                    <w:rStyle w:val="CETCaptionCarattere"/>
                    <w:rFonts w:ascii="Cambria Math" w:hAnsi="Cambria Math"/>
                  </w:rPr>
                  <m:t>w</m:t>
                </m:r>
              </m:num>
              <m:den>
                <m:r>
                  <w:rPr>
                    <w:rStyle w:val="CETCaptionCarattere"/>
                    <w:rFonts w:ascii="Cambria Math" w:hAnsi="Cambria Math"/>
                  </w:rPr>
                  <m:t>w</m:t>
                </m:r>
              </m:den>
            </m:f>
            <m:r>
              <w:rPr>
                <w:rStyle w:val="CETCaptionCarattere"/>
                <w:rFonts w:ascii="Cambria Math" w:hAnsi="Cambria Math"/>
              </w:rPr>
              <m:t>)</m:t>
            </m:r>
          </m:num>
          <m:den>
            <m:r>
              <w:rPr>
                <w:rStyle w:val="CETCaptionCarattere"/>
                <w:rFonts w:ascii="Cambria Math" w:hAnsi="Cambria Math"/>
              </w:rPr>
              <m:t xml:space="preserve">[raw biomass </m:t>
            </m:r>
            <m:d>
              <m:dPr>
                <m:ctrlPr>
                  <w:rPr>
                    <w:rStyle w:val="CETCaptionCarattere"/>
                    <w:rFonts w:ascii="Cambria Math" w:hAnsi="Cambria Math"/>
                    <w:i w:val="0"/>
                  </w:rPr>
                </m:ctrlPr>
              </m:dPr>
              <m:e>
                <m:r>
                  <w:rPr>
                    <w:rStyle w:val="CETCaptionCarattere"/>
                    <w:rFonts w:ascii="Cambria Math" w:hAnsi="Cambria Math"/>
                  </w:rPr>
                  <m:t>g</m:t>
                </m:r>
              </m:e>
            </m:d>
            <m:r>
              <w:rPr>
                <w:rStyle w:val="CETCaptionCarattere"/>
                <w:rFonts w:ascii="Cambria Math" w:hAnsi="Cambria Math"/>
              </w:rPr>
              <m:t>×PHA content (%</m:t>
            </m:r>
            <m:f>
              <m:fPr>
                <m:ctrlPr>
                  <w:rPr>
                    <w:rStyle w:val="CETCaptionCarattere"/>
                    <w:rFonts w:ascii="Cambria Math" w:hAnsi="Cambria Math"/>
                    <w:i w:val="0"/>
                  </w:rPr>
                </m:ctrlPr>
              </m:fPr>
              <m:num>
                <m:r>
                  <w:rPr>
                    <w:rStyle w:val="CETCaptionCarattere"/>
                    <w:rFonts w:ascii="Cambria Math" w:hAnsi="Cambria Math"/>
                  </w:rPr>
                  <m:t>w</m:t>
                </m:r>
              </m:num>
              <m:den>
                <m:r>
                  <w:rPr>
                    <w:rStyle w:val="CETCaptionCarattere"/>
                    <w:rFonts w:ascii="Cambria Math" w:hAnsi="Cambria Math"/>
                  </w:rPr>
                  <m:t>w</m:t>
                </m:r>
              </m:den>
            </m:f>
            <m:r>
              <w:rPr>
                <w:rStyle w:val="CETCaptionCarattere"/>
                <w:rFonts w:ascii="Cambria Math" w:hAnsi="Cambria Math"/>
              </w:rPr>
              <m:t>)</m:t>
            </m:r>
          </m:den>
        </m:f>
        <m:r>
          <m:rPr>
            <m:sty m:val="p"/>
          </m:rPr>
          <w:rPr>
            <w:rStyle w:val="CETCaptionCarattere"/>
            <w:rFonts w:ascii="Cambria Math" w:hAnsi="Cambria Math"/>
          </w:rPr>
          <m:t>×100</m:t>
        </m:r>
      </m:oMath>
      <w:r w:rsidR="00360FBE">
        <w:tab/>
      </w:r>
      <w:r w:rsidR="0072091B">
        <w:tab/>
      </w:r>
      <w:r w:rsidR="0072091B">
        <w:tab/>
      </w:r>
      <w:r w:rsidR="00360FBE">
        <w:t>(1)</w:t>
      </w:r>
    </w:p>
    <w:p w14:paraId="60E1DF19" w14:textId="77777777" w:rsidR="00360FBE" w:rsidRDefault="00360FBE" w:rsidP="001A402D">
      <w:pPr>
        <w:pStyle w:val="NormaleWeb"/>
        <w:rPr>
          <w:rFonts w:cs="Arial"/>
          <w:sz w:val="18"/>
          <w:szCs w:val="18"/>
        </w:rPr>
      </w:pPr>
    </w:p>
    <w:p w14:paraId="69125368" w14:textId="5136AEEA" w:rsidR="001A402D" w:rsidRDefault="001A402D" w:rsidP="0072091B">
      <w:pPr>
        <w:pStyle w:val="CETBodytext"/>
        <w:rPr>
          <w:color w:val="000000"/>
          <w:lang w:eastAsia="it-IT"/>
        </w:rPr>
      </w:pPr>
      <w:r w:rsidRPr="001A402D">
        <w:t>Thermal properties of extracted PHA samples were evaluated by differential scanning calorimetry (DSC). All the analys</w:t>
      </w:r>
      <w:r w:rsidR="00B825D3">
        <w:t>e</w:t>
      </w:r>
      <w:r w:rsidRPr="001A402D">
        <w:t>s were carried out under nitrogen flow (30 mL min</w:t>
      </w:r>
      <w:r w:rsidRPr="00580F96">
        <w:rPr>
          <w:vertAlign w:val="superscript"/>
        </w:rPr>
        <w:t>-1</w:t>
      </w:r>
      <w:r w:rsidRPr="001A402D">
        <w:t xml:space="preserve">) on about 4–8 mg of polymer. The applied temperature program </w:t>
      </w:r>
      <w:proofErr w:type="gramStart"/>
      <w:r w:rsidRPr="001A402D">
        <w:t>was:</w:t>
      </w:r>
      <w:proofErr w:type="gramEnd"/>
      <w:r w:rsidRPr="001A402D">
        <w:t xml:space="preserve"> a) first heating scan at 10°C min</w:t>
      </w:r>
      <w:r w:rsidRPr="001A402D">
        <w:rPr>
          <w:vertAlign w:val="superscript"/>
        </w:rPr>
        <w:t>-1</w:t>
      </w:r>
      <w:r w:rsidRPr="001A402D">
        <w:t xml:space="preserve"> from RT to 190°C; b) rapid cooling at 30°C min</w:t>
      </w:r>
      <w:r w:rsidRPr="00580F96">
        <w:rPr>
          <w:vertAlign w:val="superscript"/>
        </w:rPr>
        <w:t>-1</w:t>
      </w:r>
      <w:r w:rsidRPr="001A402D">
        <w:t xml:space="preserve"> from 190 to -70</w:t>
      </w:r>
      <w:r w:rsidR="00275546">
        <w:t xml:space="preserve"> </w:t>
      </w:r>
      <w:r w:rsidRPr="001A402D">
        <w:t>°C; c) second heating up to 190°C at 10°C min</w:t>
      </w:r>
      <w:r w:rsidRPr="001A402D">
        <w:rPr>
          <w:vertAlign w:val="superscript"/>
        </w:rPr>
        <w:t>-1</w:t>
      </w:r>
      <w:r w:rsidRPr="001A402D">
        <w:t xml:space="preserve">. The first heating is necessary to erase all previous sample thermal history. </w:t>
      </w:r>
      <w:r w:rsidR="00B825D3">
        <w:rPr>
          <w:color w:val="000000"/>
          <w:lang w:eastAsia="it-IT"/>
        </w:rPr>
        <w:t>The t</w:t>
      </w:r>
      <w:r w:rsidRPr="001A402D">
        <w:rPr>
          <w:color w:val="000000"/>
          <w:lang w:eastAsia="it-IT"/>
        </w:rPr>
        <w:t xml:space="preserve">hermal stability of extracted PHA samples was investigated by thermogravimetric analysis </w:t>
      </w:r>
      <w:r>
        <w:rPr>
          <w:color w:val="000000"/>
          <w:lang w:eastAsia="it-IT"/>
        </w:rPr>
        <w:t>(TGA)</w:t>
      </w:r>
      <w:r w:rsidRPr="001A402D">
        <w:rPr>
          <w:color w:val="000000"/>
          <w:lang w:eastAsia="it-IT"/>
        </w:rPr>
        <w:t xml:space="preserve">. All measurements were carried out under nitrogen flow from 25 ° C to 500 °C, at a heating rate of 10 °C </w:t>
      </w:r>
      <w:proofErr w:type="gramStart"/>
      <w:r w:rsidRPr="001A402D">
        <w:rPr>
          <w:color w:val="000000"/>
          <w:lang w:eastAsia="it-IT"/>
        </w:rPr>
        <w:t>min</w:t>
      </w:r>
      <w:r w:rsidRPr="001A402D">
        <w:rPr>
          <w:color w:val="000000"/>
          <w:vertAlign w:val="superscript"/>
          <w:lang w:eastAsia="it-IT"/>
        </w:rPr>
        <w:t>-1</w:t>
      </w:r>
      <w:proofErr w:type="gramEnd"/>
      <w:r w:rsidRPr="001A402D">
        <w:rPr>
          <w:color w:val="000000"/>
          <w:lang w:eastAsia="it-IT"/>
        </w:rPr>
        <w:t>. About 5-8 mg of dried sample were used for the analysis.</w:t>
      </w:r>
      <w:r>
        <w:rPr>
          <w:color w:val="000000"/>
          <w:lang w:eastAsia="it-IT"/>
        </w:rPr>
        <w:t xml:space="preserve"> Extended procedures for both thermal analys</w:t>
      </w:r>
      <w:r w:rsidR="00275546">
        <w:rPr>
          <w:color w:val="000000"/>
          <w:lang w:eastAsia="it-IT"/>
        </w:rPr>
        <w:t>e</w:t>
      </w:r>
      <w:r>
        <w:rPr>
          <w:color w:val="000000"/>
          <w:lang w:eastAsia="it-IT"/>
        </w:rPr>
        <w:t xml:space="preserve">s are reported elsewhere </w:t>
      </w:r>
      <w:r w:rsidR="00774C94">
        <w:rPr>
          <w:color w:val="000000"/>
          <w:lang w:eastAsia="it-IT"/>
        </w:rPr>
        <w:fldChar w:fldCharType="begin" w:fldLock="1"/>
      </w:r>
      <w:r w:rsidR="001C21C5">
        <w:rPr>
          <w:color w:val="000000"/>
          <w:lang w:eastAsia="it-IT"/>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rPr>
          <w:color w:val="000000"/>
          <w:lang w:eastAsia="it-IT"/>
        </w:rPr>
        <w:fldChar w:fldCharType="separate"/>
      </w:r>
      <w:r w:rsidR="00774C94" w:rsidRPr="00774C94">
        <w:rPr>
          <w:noProof/>
          <w:color w:val="000000"/>
          <w:lang w:eastAsia="it-IT"/>
        </w:rPr>
        <w:t>(Lorini, Martinelli, Pavan, et al. 2021)</w:t>
      </w:r>
      <w:r w:rsidR="00774C94">
        <w:rPr>
          <w:color w:val="000000"/>
          <w:lang w:eastAsia="it-IT"/>
        </w:rPr>
        <w:fldChar w:fldCharType="end"/>
      </w:r>
      <w:r w:rsidR="00774C94">
        <w:rPr>
          <w:color w:val="000000"/>
          <w:lang w:eastAsia="it-IT"/>
        </w:rPr>
        <w:t>.</w:t>
      </w:r>
    </w:p>
    <w:p w14:paraId="383557FD" w14:textId="77777777" w:rsidR="00686298" w:rsidRDefault="00634B58" w:rsidP="0072091B">
      <w:pPr>
        <w:pStyle w:val="CETBodytext"/>
        <w:rPr>
          <w:lang w:eastAsia="it-IT"/>
        </w:rPr>
      </w:pPr>
      <w:r w:rsidRPr="00634B58">
        <w:rPr>
          <w:color w:val="000000"/>
          <w:lang w:eastAsia="it-IT"/>
        </w:rPr>
        <w:t>The viscosi</w:t>
      </w:r>
      <w:r>
        <w:rPr>
          <w:color w:val="000000"/>
          <w:lang w:eastAsia="it-IT"/>
        </w:rPr>
        <w:t>ty</w:t>
      </w:r>
      <w:r w:rsidRPr="00634B58">
        <w:rPr>
          <w:color w:val="000000"/>
          <w:lang w:eastAsia="it-IT"/>
        </w:rPr>
        <w:t xml:space="preserve"> average molecular weight </w:t>
      </w:r>
      <w:r>
        <w:rPr>
          <w:color w:val="000000"/>
          <w:lang w:eastAsia="it-IT"/>
        </w:rPr>
        <w:t>(M</w:t>
      </w:r>
      <w:r>
        <w:rPr>
          <w:color w:val="000000"/>
          <w:vertAlign w:val="subscript"/>
          <w:lang w:eastAsia="it-IT"/>
        </w:rPr>
        <w:t>v</w:t>
      </w:r>
      <w:r>
        <w:rPr>
          <w:color w:val="000000"/>
          <w:lang w:eastAsia="it-IT"/>
        </w:rPr>
        <w:t xml:space="preserve">) </w:t>
      </w:r>
      <w:r w:rsidRPr="00634B58">
        <w:rPr>
          <w:color w:val="000000"/>
          <w:lang w:eastAsia="it-IT"/>
        </w:rPr>
        <w:t xml:space="preserve">of the extracted PHA samples was determined by diluted solution </w:t>
      </w:r>
      <w:proofErr w:type="spellStart"/>
      <w:r w:rsidRPr="00634B58">
        <w:rPr>
          <w:color w:val="000000"/>
          <w:lang w:eastAsia="it-IT"/>
        </w:rPr>
        <w:t>viscosimetry</w:t>
      </w:r>
      <w:proofErr w:type="spellEnd"/>
      <w:r w:rsidRPr="00634B58">
        <w:rPr>
          <w:color w:val="000000"/>
          <w:lang w:eastAsia="it-IT"/>
        </w:rPr>
        <w:t xml:space="preserve"> in chloroform at 30 ° C using a </w:t>
      </w:r>
      <w:proofErr w:type="spellStart"/>
      <w:r w:rsidRPr="00634B58">
        <w:rPr>
          <w:color w:val="000000"/>
          <w:lang w:eastAsia="it-IT"/>
        </w:rPr>
        <w:t>Ubbelohde</w:t>
      </w:r>
      <w:proofErr w:type="spellEnd"/>
      <w:r w:rsidRPr="00634B58">
        <w:rPr>
          <w:color w:val="000000"/>
          <w:lang w:eastAsia="it-IT"/>
        </w:rPr>
        <w:t xml:space="preserve"> capillary viscometer (ID = 0.46mm).</w:t>
      </w:r>
      <w:r w:rsidR="00686298">
        <w:rPr>
          <w:lang w:eastAsia="it-IT"/>
        </w:rPr>
        <w:t xml:space="preserve"> </w:t>
      </w:r>
    </w:p>
    <w:p w14:paraId="34F83AB0" w14:textId="4F59911D" w:rsidR="00634B58" w:rsidRPr="00634B58" w:rsidRDefault="00686298" w:rsidP="0072091B">
      <w:pPr>
        <w:pStyle w:val="CETBodytext"/>
        <w:rPr>
          <w:lang w:eastAsia="it-IT"/>
        </w:rPr>
      </w:pPr>
      <w:r>
        <w:rPr>
          <w:color w:val="000000"/>
          <w:lang w:eastAsia="it-IT"/>
        </w:rPr>
        <w:t>The flow time of different solutions was measured and M</w:t>
      </w:r>
      <w:r>
        <w:rPr>
          <w:color w:val="000000"/>
          <w:vertAlign w:val="subscript"/>
          <w:lang w:eastAsia="it-IT"/>
        </w:rPr>
        <w:t>v</w:t>
      </w:r>
      <w:r>
        <w:rPr>
          <w:color w:val="000000"/>
          <w:lang w:eastAsia="it-IT"/>
        </w:rPr>
        <w:t xml:space="preserve"> was finally determined</w:t>
      </w:r>
      <w:r w:rsidR="00634B58" w:rsidRPr="00634B58">
        <w:rPr>
          <w:color w:val="000000"/>
          <w:lang w:eastAsia="it-IT"/>
        </w:rPr>
        <w:t xml:space="preserve"> by the Mark-</w:t>
      </w:r>
      <w:proofErr w:type="spellStart"/>
      <w:r w:rsidR="00634B58" w:rsidRPr="00634B58">
        <w:rPr>
          <w:color w:val="000000"/>
          <w:lang w:eastAsia="it-IT"/>
        </w:rPr>
        <w:t>Houwink</w:t>
      </w:r>
      <w:proofErr w:type="spellEnd"/>
      <w:r w:rsidR="00634B58" w:rsidRPr="00634B58">
        <w:rPr>
          <w:color w:val="000000"/>
          <w:lang w:eastAsia="it-IT"/>
        </w:rPr>
        <w:t xml:space="preserve"> equation</w:t>
      </w:r>
      <w:r>
        <w:rPr>
          <w:color w:val="000000"/>
          <w:lang w:eastAsia="it-IT"/>
        </w:rPr>
        <w:t xml:space="preserve"> </w:t>
      </w:r>
      <w:r w:rsidR="00774C94">
        <w:rPr>
          <w:color w:val="000000"/>
          <w:lang w:eastAsia="it-IT"/>
        </w:rPr>
        <w:fldChar w:fldCharType="begin" w:fldLock="1"/>
      </w:r>
      <w:r w:rsidR="001C21C5">
        <w:rPr>
          <w:color w:val="000000"/>
          <w:lang w:eastAsia="it-IT"/>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rPr>
          <w:color w:val="000000"/>
          <w:lang w:eastAsia="it-IT"/>
        </w:rPr>
        <w:fldChar w:fldCharType="separate"/>
      </w:r>
      <w:r w:rsidR="00774C94" w:rsidRPr="00774C94">
        <w:rPr>
          <w:noProof/>
          <w:color w:val="000000"/>
          <w:lang w:eastAsia="it-IT"/>
        </w:rPr>
        <w:t>(Lorini, Martinelli, Pavan, et al. 2021)</w:t>
      </w:r>
      <w:r w:rsidR="00774C94">
        <w:rPr>
          <w:color w:val="000000"/>
          <w:lang w:eastAsia="it-IT"/>
        </w:rPr>
        <w:fldChar w:fldCharType="end"/>
      </w:r>
      <w:r w:rsidR="00774C94">
        <w:rPr>
          <w:color w:val="000000"/>
          <w:lang w:eastAsia="it-IT"/>
        </w:rPr>
        <w:t>.</w:t>
      </w:r>
    </w:p>
    <w:p w14:paraId="2E61EBBF" w14:textId="35A8E6BC" w:rsidR="00C05C36" w:rsidRPr="002E6324" w:rsidRDefault="00C05C36" w:rsidP="006E0B6B">
      <w:pPr>
        <w:pStyle w:val="CETBodytext"/>
      </w:pPr>
    </w:p>
    <w:p w14:paraId="461ED4AE" w14:textId="172F4E73" w:rsidR="004E630F" w:rsidRDefault="004E630F" w:rsidP="00600535">
      <w:pPr>
        <w:pStyle w:val="CETHeading1"/>
        <w:rPr>
          <w:lang w:val="en-GB"/>
        </w:rPr>
      </w:pPr>
      <w:r>
        <w:rPr>
          <w:lang w:val="en-GB"/>
        </w:rPr>
        <w:t>Results and discussion</w:t>
      </w:r>
    </w:p>
    <w:p w14:paraId="53051F65" w14:textId="288E2D60" w:rsidR="00D01A42" w:rsidRDefault="009978D3" w:rsidP="00D01A42">
      <w:pPr>
        <w:pStyle w:val="CETheadingx"/>
      </w:pPr>
      <w:r>
        <w:t>Extraction performances</w:t>
      </w:r>
    </w:p>
    <w:p w14:paraId="4A6DAB91" w14:textId="45C62A87" w:rsidR="00E478D6" w:rsidRPr="007A69DF" w:rsidRDefault="00AA64BB" w:rsidP="005221EB">
      <w:pPr>
        <w:pStyle w:val="CETBodytext"/>
        <w:rPr>
          <w:rFonts w:ascii="Times New Roman" w:hAnsi="Times New Roman"/>
          <w:sz w:val="24"/>
          <w:szCs w:val="24"/>
          <w:lang w:eastAsia="it-IT"/>
        </w:rPr>
      </w:pPr>
      <w:r>
        <w:t>Solvent extraction by c</w:t>
      </w:r>
      <w:r w:rsidR="007E0969" w:rsidRPr="002023B4">
        <w:t xml:space="preserve">hlorinated solvents </w:t>
      </w:r>
      <w:r>
        <w:t>is currently the</w:t>
      </w:r>
      <w:r w:rsidR="007E0969" w:rsidRPr="002023B4">
        <w:t xml:space="preserve"> consolidated extractive </w:t>
      </w:r>
      <w:r>
        <w:t>method</w:t>
      </w:r>
      <w:r w:rsidR="007E0969" w:rsidRPr="002023B4">
        <w:t xml:space="preserve"> for PHAs from MMCs. </w:t>
      </w:r>
      <w:r>
        <w:t xml:space="preserve">Moreover, </w:t>
      </w:r>
      <w:r w:rsidR="007E0969" w:rsidRPr="002023B4">
        <w:t>disruption of non-PHA cell</w:t>
      </w:r>
      <w:r>
        <w:t>ular</w:t>
      </w:r>
      <w:r w:rsidR="007E0969" w:rsidRPr="002023B4">
        <w:t xml:space="preserve"> material (NPCM) obtained by using a </w:t>
      </w:r>
      <w:proofErr w:type="spellStart"/>
      <w:r w:rsidR="007E0969" w:rsidRPr="002023B4">
        <w:t>NaClO</w:t>
      </w:r>
      <w:proofErr w:type="spellEnd"/>
      <w:r w:rsidR="007E0969" w:rsidRPr="002023B4">
        <w:t xml:space="preserve"> solution in different conditions (concentration and retention time) </w:t>
      </w:r>
      <w:r w:rsidR="00B8620A">
        <w:t>is reported in</w:t>
      </w:r>
      <w:r w:rsidR="00F44524">
        <w:t xml:space="preserve"> the</w:t>
      </w:r>
      <w:r w:rsidR="00B8620A">
        <w:t xml:space="preserve"> literature</w:t>
      </w:r>
      <w:r w:rsidR="003B777F">
        <w:t xml:space="preserve"> </w:t>
      </w:r>
      <w:r w:rsidR="00774C94">
        <w:fldChar w:fldCharType="begin" w:fldLock="1"/>
      </w:r>
      <w:r w:rsidR="00774C94">
        <w:instrText>ADDIN CSL_CITATION {"citationItems":[{"id":"ITEM-1","itemData":{"DOI":"10.1016/j.nbt.2013.08.001","ISSN":"18764347","abstract":"Polyhydroxyalkanoates (PHA) production with mixed microbial cultures (MMC) has been investigated by means of a sequential process involving three different stages, consisting of a lab-scale sequencing batch reactor for MMC selection, a PHA accumulation reactor and a polymer extraction reactor. All stages were performed under continuous operation for at least 4 months to check the overall process robustness as well as the related variability of polymer composition and properties.By operating both biological stages at high organic loads (8.5 and 29.1gCOD/Ld, respectively) with a synthetic mixture of acetic and propionic acid, it was possible to continuously produce PHA at 1.43g/Ld with stable performance (overall, the storage yield was 0.18 COD/COD). To identify the optimal operating conditions of the extraction reactor, two digestion solutions have been tested, NaOH (1m) and NaClO (5% active Cl2). The latter resulted in the best performance both in terms of yield of polymer recovery (around 100%, w/w) and purity (more than 90% of PHA content in the residual solids, on a weight basis). In spite of the stable operating conditions and performance, a large variation was observed for the HV content, ranging between 4 and 20 (%, w/w) for daily samples after accumulation and between 9 and 13 (%, w/w) for weekly average samples after extraction and lyophilization. The molecular weight of the produced polymer ranged between 3.4×105 and 5.4×105g/mol with a large polydispersity index. By contrast, TGA and DSC analysis showed that the thermal polymer behavior did not substantially change over time, although it was strongly affected by the extraction agent used (NaClO or NaOH). © 2013 Elsevier B.V.","author":[{"dropping-particle":"","family":"Villano","given":"M.","non-dropping-particle":"","parse-names":false,"suffix":""},{"dropping-particle":"","family":"Valentino","given":"F.","non-dropping-particle":"","parse-names":false,"suffix":""},{"dropping-particle":"","family":"Barbetta","given":"A.","non-dropping-particle":"","parse-names":false,"suffix":""},{"dropping-particle":"","family":"Martino","given":"L.","non-dropping-particle":"","parse-names":false,"suffix":""},{"dropping-particle":"","family":"Scandola","given":"M.","non-dropping-particle":"","parse-names":false,"suffix":""},{"dropping-particle":"","family":"Majone","given":"M.","non-dropping-particle":"","parse-names":false,"suffix":""}],"container-title":"New Biotechnology","id":"ITEM-1","issue":"4","issued":{"date-parts":[["2014"]]},"page":"289-296","publisher":"Elsevier B.V.","title":"Polyhydroxyalkanoates production with mixed microbial cultures: From culture selection to polymer recovery in a high-rate continuous process","type":"article-journal","volume":"31"},"uris":["http://www.mendeley.com/documents/?uuid=f5354a45-4ea2-46e5-8398-8f41af88f929"]}],"mendeley":{"formattedCitation":"(Villano et al. 2014)","plainTextFormattedCitation":"(Villano et al. 2014)","previouslyFormattedCitation":"(Villano et al. 2014)"},"properties":{"noteIndex":0},"schema":"https://github.com/citation-style-language/schema/raw/master/csl-citation.json"}</w:instrText>
      </w:r>
      <w:r w:rsidR="00774C94">
        <w:fldChar w:fldCharType="separate"/>
      </w:r>
      <w:r w:rsidR="00774C94" w:rsidRPr="00774C94">
        <w:rPr>
          <w:noProof/>
        </w:rPr>
        <w:t>(Villano et al. 2014)</w:t>
      </w:r>
      <w:r w:rsidR="00774C94">
        <w:fldChar w:fldCharType="end"/>
      </w:r>
      <w:r w:rsidR="00774C94">
        <w:t xml:space="preserve"> </w:t>
      </w:r>
      <w:r w:rsidR="00B8620A">
        <w:t xml:space="preserve">showing </w:t>
      </w:r>
      <w:r w:rsidR="007E0969" w:rsidRPr="002023B4">
        <w:t>good recovery and purity level</w:t>
      </w:r>
      <w:r w:rsidR="00B8620A">
        <w:t xml:space="preserve">. </w:t>
      </w:r>
      <w:r w:rsidR="007E0969" w:rsidRPr="002023B4">
        <w:t xml:space="preserve">In this study, both Chloroform extraction and </w:t>
      </w:r>
      <w:proofErr w:type="spellStart"/>
      <w:r w:rsidR="007E0969" w:rsidRPr="002023B4">
        <w:t>NaClO</w:t>
      </w:r>
      <w:proofErr w:type="spellEnd"/>
      <w:r w:rsidR="007E0969" w:rsidRPr="002023B4">
        <w:t xml:space="preserve"> digestion have been used as consolidated methods for PHA recovery</w:t>
      </w:r>
      <w:r w:rsidR="00F30D29">
        <w:t xml:space="preserve">, </w:t>
      </w:r>
      <w:r w:rsidR="00B8620A">
        <w:t>to make a comparison with results obtained from the PHA recovery through NaOH digestion</w:t>
      </w:r>
      <w:r w:rsidR="007E0969" w:rsidRPr="002023B4">
        <w:t xml:space="preserve">. The first set of extraction tests has been carried out on </w:t>
      </w:r>
      <w:r w:rsidR="000C69E9">
        <w:t>freeze-dried</w:t>
      </w:r>
      <w:r w:rsidR="007E0969" w:rsidRPr="002023B4">
        <w:t xml:space="preserve"> PHA-rich biomass</w:t>
      </w:r>
      <w:r w:rsidR="000C69E9">
        <w:t xml:space="preserve"> produced at lab scale</w:t>
      </w:r>
      <w:r w:rsidR="00C50A43">
        <w:t xml:space="preserve"> and concentration and retention time were varied in ranges between 0.05 – 1.0 M and 3 – 24 h, respectively. </w:t>
      </w:r>
      <w:r w:rsidR="007E0969" w:rsidRPr="002023B4">
        <w:t>Results obtained by GC-FID analysis conducted on extracted samples</w:t>
      </w:r>
      <w:r w:rsidR="00006824">
        <w:t xml:space="preserve"> allowed to determine purity, in terms of PHA content in the recovered biomass after extraction, and </w:t>
      </w:r>
      <w:r w:rsidR="00AE75EF">
        <w:t xml:space="preserve">the </w:t>
      </w:r>
      <w:r w:rsidR="00006824">
        <w:t>recovery yield</w:t>
      </w:r>
      <w:r w:rsidR="00AE75EF">
        <w:t xml:space="preserve"> (as defined by equation 1)</w:t>
      </w:r>
      <w:r w:rsidR="00006824">
        <w:t xml:space="preserve">. </w:t>
      </w:r>
      <w:r w:rsidR="0082795D">
        <w:t xml:space="preserve">Data </w:t>
      </w:r>
      <w:r w:rsidR="0082795D" w:rsidRPr="002023B4">
        <w:t xml:space="preserve">reported in </w:t>
      </w:r>
      <w:r w:rsidR="0082795D">
        <w:t>Figure 1</w:t>
      </w:r>
      <w:r w:rsidR="00E478D6">
        <w:rPr>
          <w:lang w:eastAsia="it-IT"/>
        </w:rPr>
        <w:t>A show that</w:t>
      </w:r>
      <w:r w:rsidR="001258D4" w:rsidRPr="001258D4">
        <w:rPr>
          <w:lang w:eastAsia="it-IT"/>
        </w:rPr>
        <w:t xml:space="preserve">, regardless of the NaOH concentration, there is </w:t>
      </w:r>
      <w:r w:rsidR="00B1760E">
        <w:rPr>
          <w:lang w:eastAsia="it-IT"/>
        </w:rPr>
        <w:t>a differently</w:t>
      </w:r>
      <w:r w:rsidR="001258D4" w:rsidRPr="001258D4">
        <w:rPr>
          <w:lang w:eastAsia="it-IT"/>
        </w:rPr>
        <w:t xml:space="preserve"> wide </w:t>
      </w:r>
      <w:r w:rsidR="00B1760E">
        <w:rPr>
          <w:lang w:eastAsia="it-IT"/>
        </w:rPr>
        <w:t xml:space="preserve">range of </w:t>
      </w:r>
      <w:r w:rsidR="001258D4" w:rsidRPr="001258D4">
        <w:rPr>
          <w:lang w:eastAsia="it-IT"/>
        </w:rPr>
        <w:t xml:space="preserve">variability at each extraction time. More </w:t>
      </w:r>
      <w:r w:rsidR="00B1760E">
        <w:rPr>
          <w:lang w:eastAsia="it-IT"/>
        </w:rPr>
        <w:t>in detail</w:t>
      </w:r>
      <w:r w:rsidR="001258D4" w:rsidRPr="001258D4">
        <w:rPr>
          <w:lang w:eastAsia="it-IT"/>
        </w:rPr>
        <w:t>,</w:t>
      </w:r>
      <w:r w:rsidR="00F44524">
        <w:rPr>
          <w:lang w:eastAsia="it-IT"/>
        </w:rPr>
        <w:t xml:space="preserve"> the</w:t>
      </w:r>
      <w:r w:rsidR="001258D4" w:rsidRPr="001258D4">
        <w:rPr>
          <w:lang w:eastAsia="it-IT"/>
        </w:rPr>
        <w:t xml:space="preserve"> purity of the PHA extracted after 3 hours of treatment varied between 75</w:t>
      </w:r>
      <w:r w:rsidR="007A69DF">
        <w:rPr>
          <w:lang w:eastAsia="it-IT"/>
        </w:rPr>
        <w:t>.</w:t>
      </w:r>
      <w:r w:rsidR="007A69DF" w:rsidRPr="005221EB">
        <w:t xml:space="preserve">0 </w:t>
      </w:r>
      <w:r w:rsidR="007A69DF" w:rsidRPr="005221EB">
        <w:rPr>
          <w:lang w:eastAsia="it-IT"/>
        </w:rPr>
        <w:t>±</w:t>
      </w:r>
      <w:r w:rsidR="007A69DF" w:rsidRPr="005221EB">
        <w:t xml:space="preserve"> 4.0 </w:t>
      </w:r>
      <w:r w:rsidR="001258D4" w:rsidRPr="005221EB">
        <w:t>%</w:t>
      </w:r>
      <w:r w:rsidR="001258D4" w:rsidRPr="001258D4">
        <w:rPr>
          <w:lang w:eastAsia="it-IT"/>
        </w:rPr>
        <w:t xml:space="preserve"> and 85</w:t>
      </w:r>
      <w:r w:rsidR="007A69DF">
        <w:rPr>
          <w:lang w:eastAsia="it-IT"/>
        </w:rPr>
        <w:t xml:space="preserve">.0 </w:t>
      </w:r>
      <w:r w:rsidR="007A69DF" w:rsidRPr="005221EB">
        <w:rPr>
          <w:lang w:eastAsia="it-IT"/>
        </w:rPr>
        <w:t xml:space="preserve">± 1.0 </w:t>
      </w:r>
      <w:r w:rsidR="001258D4" w:rsidRPr="001258D4">
        <w:rPr>
          <w:lang w:eastAsia="it-IT"/>
        </w:rPr>
        <w:t>% w</w:t>
      </w:r>
      <w:r w:rsidR="001258D4">
        <w:rPr>
          <w:lang w:eastAsia="it-IT"/>
        </w:rPr>
        <w:t>/</w:t>
      </w:r>
      <w:r w:rsidR="001258D4" w:rsidRPr="001258D4">
        <w:rPr>
          <w:lang w:eastAsia="it-IT"/>
        </w:rPr>
        <w:t xml:space="preserve">w. </w:t>
      </w:r>
      <w:r w:rsidR="001258D4">
        <w:rPr>
          <w:lang w:eastAsia="it-IT"/>
        </w:rPr>
        <w:t>On the other hand,</w:t>
      </w:r>
      <w:r w:rsidR="001258D4" w:rsidRPr="001258D4">
        <w:rPr>
          <w:lang w:eastAsia="it-IT"/>
        </w:rPr>
        <w:t xml:space="preserve"> purity ​​w</w:t>
      </w:r>
      <w:r w:rsidR="001258D4">
        <w:rPr>
          <w:lang w:eastAsia="it-IT"/>
        </w:rPr>
        <w:t>as</w:t>
      </w:r>
      <w:r w:rsidR="001258D4" w:rsidRPr="001258D4">
        <w:rPr>
          <w:lang w:eastAsia="it-IT"/>
        </w:rPr>
        <w:t xml:space="preserve"> higher</w:t>
      </w:r>
      <w:r w:rsidR="001258D4">
        <w:rPr>
          <w:lang w:eastAsia="it-IT"/>
        </w:rPr>
        <w:t xml:space="preserve"> </w:t>
      </w:r>
      <w:r w:rsidR="001258D4" w:rsidRPr="001258D4">
        <w:rPr>
          <w:lang w:eastAsia="it-IT"/>
        </w:rPr>
        <w:t>for the extractions lasting 6 h, ranging between 8</w:t>
      </w:r>
      <w:r w:rsidR="007A69DF">
        <w:rPr>
          <w:lang w:eastAsia="it-IT"/>
        </w:rPr>
        <w:t xml:space="preserve">3.1 </w:t>
      </w:r>
      <w:r w:rsidR="007A69DF" w:rsidRPr="005221EB">
        <w:rPr>
          <w:lang w:eastAsia="it-IT"/>
        </w:rPr>
        <w:t xml:space="preserve">± 2.0 </w:t>
      </w:r>
      <w:r w:rsidR="001258D4" w:rsidRPr="001258D4">
        <w:rPr>
          <w:lang w:eastAsia="it-IT"/>
        </w:rPr>
        <w:t>% and 9</w:t>
      </w:r>
      <w:r w:rsidR="00B1760E">
        <w:rPr>
          <w:lang w:eastAsia="it-IT"/>
        </w:rPr>
        <w:t>9</w:t>
      </w:r>
      <w:r w:rsidR="007A69DF">
        <w:rPr>
          <w:lang w:eastAsia="it-IT"/>
        </w:rPr>
        <w:t xml:space="preserve">.9 </w:t>
      </w:r>
      <w:r w:rsidR="007A69DF" w:rsidRPr="005221EB">
        <w:rPr>
          <w:lang w:eastAsia="it-IT"/>
        </w:rPr>
        <w:t xml:space="preserve">± 0.2 </w:t>
      </w:r>
      <w:r w:rsidR="001258D4" w:rsidRPr="001258D4">
        <w:rPr>
          <w:lang w:eastAsia="it-IT"/>
        </w:rPr>
        <w:t>% w/w</w:t>
      </w:r>
      <w:r w:rsidR="00B1760E">
        <w:rPr>
          <w:lang w:eastAsia="it-IT"/>
        </w:rPr>
        <w:t xml:space="preserve"> </w:t>
      </w:r>
      <w:r w:rsidR="001258D4" w:rsidRPr="001258D4">
        <w:rPr>
          <w:lang w:eastAsia="it-IT"/>
        </w:rPr>
        <w:t xml:space="preserve">in the specific case of NaOH 0.5 M. </w:t>
      </w:r>
      <w:r w:rsidR="001258D4">
        <w:rPr>
          <w:lang w:eastAsia="it-IT"/>
        </w:rPr>
        <w:t>D</w:t>
      </w:r>
      <w:r w:rsidR="001258D4" w:rsidRPr="001258D4">
        <w:rPr>
          <w:lang w:eastAsia="it-IT"/>
        </w:rPr>
        <w:t>ata relating to the extractions conducted for 24 h</w:t>
      </w:r>
      <w:r w:rsidR="001258D4">
        <w:rPr>
          <w:lang w:eastAsia="it-IT"/>
        </w:rPr>
        <w:t xml:space="preserve"> </w:t>
      </w:r>
      <w:r w:rsidR="001258D4" w:rsidRPr="001258D4">
        <w:rPr>
          <w:lang w:eastAsia="it-IT"/>
        </w:rPr>
        <w:t>were characterized by a</w:t>
      </w:r>
      <w:r w:rsidR="001D5031">
        <w:rPr>
          <w:lang w:eastAsia="it-IT"/>
        </w:rPr>
        <w:t>n</w:t>
      </w:r>
      <w:r w:rsidR="001258D4" w:rsidRPr="001258D4">
        <w:rPr>
          <w:lang w:eastAsia="it-IT"/>
        </w:rPr>
        <w:t xml:space="preserve"> </w:t>
      </w:r>
      <w:r w:rsidR="001258D4">
        <w:rPr>
          <w:lang w:eastAsia="it-IT"/>
        </w:rPr>
        <w:t xml:space="preserve">even </w:t>
      </w:r>
      <w:r w:rsidR="001258D4" w:rsidRPr="001258D4">
        <w:rPr>
          <w:lang w:eastAsia="it-IT"/>
        </w:rPr>
        <w:t>wider variability, with minimum values ​​close to 70</w:t>
      </w:r>
      <w:r w:rsidR="007A69DF">
        <w:rPr>
          <w:lang w:eastAsia="it-IT"/>
        </w:rPr>
        <w:t xml:space="preserve">.4 </w:t>
      </w:r>
      <w:r w:rsidR="007A69DF" w:rsidRPr="005221EB">
        <w:rPr>
          <w:lang w:eastAsia="it-IT"/>
        </w:rPr>
        <w:t xml:space="preserve">± 0.1 </w:t>
      </w:r>
      <w:r w:rsidR="001258D4" w:rsidRPr="001258D4">
        <w:rPr>
          <w:lang w:eastAsia="it-IT"/>
        </w:rPr>
        <w:t>%</w:t>
      </w:r>
      <w:r w:rsidR="007A69DF">
        <w:rPr>
          <w:lang w:eastAsia="it-IT"/>
        </w:rPr>
        <w:t xml:space="preserve"> w/w</w:t>
      </w:r>
      <w:r w:rsidR="001258D4" w:rsidRPr="001258D4">
        <w:rPr>
          <w:lang w:eastAsia="it-IT"/>
        </w:rPr>
        <w:t xml:space="preserve"> and maximum values ​​of 95</w:t>
      </w:r>
      <w:r w:rsidR="007A69DF">
        <w:rPr>
          <w:lang w:eastAsia="it-IT"/>
        </w:rPr>
        <w:t xml:space="preserve">.1 </w:t>
      </w:r>
      <w:r w:rsidR="007A69DF" w:rsidRPr="005221EB">
        <w:rPr>
          <w:lang w:eastAsia="it-IT"/>
        </w:rPr>
        <w:t xml:space="preserve">± 2.1 </w:t>
      </w:r>
      <w:r w:rsidR="001258D4" w:rsidRPr="001258D4">
        <w:rPr>
          <w:lang w:eastAsia="it-IT"/>
        </w:rPr>
        <w:t>%</w:t>
      </w:r>
      <w:r w:rsidR="00470378">
        <w:rPr>
          <w:lang w:eastAsia="it-IT"/>
        </w:rPr>
        <w:t xml:space="preserve"> w/w</w:t>
      </w:r>
      <w:r w:rsidR="001258D4">
        <w:rPr>
          <w:lang w:eastAsia="it-IT"/>
        </w:rPr>
        <w:t>.</w:t>
      </w:r>
      <w:r w:rsidR="001258D4" w:rsidRPr="001258D4">
        <w:rPr>
          <w:lang w:eastAsia="it-IT"/>
        </w:rPr>
        <w:t xml:space="preserve"> </w:t>
      </w:r>
      <w:r w:rsidR="001258D4">
        <w:rPr>
          <w:lang w:eastAsia="it-IT"/>
        </w:rPr>
        <w:t>T</w:t>
      </w:r>
      <w:r w:rsidR="001258D4" w:rsidRPr="001258D4">
        <w:rPr>
          <w:lang w:eastAsia="it-IT"/>
        </w:rPr>
        <w:t>herefore</w:t>
      </w:r>
      <w:r w:rsidR="001258D4">
        <w:rPr>
          <w:lang w:eastAsia="it-IT"/>
        </w:rPr>
        <w:t xml:space="preserve">, even if a </w:t>
      </w:r>
      <w:r w:rsidR="001258D4" w:rsidRPr="001258D4">
        <w:rPr>
          <w:lang w:eastAsia="it-IT"/>
        </w:rPr>
        <w:t xml:space="preserve">high contact time could </w:t>
      </w:r>
      <w:r w:rsidR="001258D4">
        <w:rPr>
          <w:lang w:eastAsia="it-IT"/>
        </w:rPr>
        <w:t>allow</w:t>
      </w:r>
      <w:r w:rsidR="001258D4" w:rsidRPr="001258D4">
        <w:rPr>
          <w:lang w:eastAsia="it-IT"/>
        </w:rPr>
        <w:t xml:space="preserve"> </w:t>
      </w:r>
      <w:r w:rsidR="001258D4">
        <w:rPr>
          <w:lang w:eastAsia="it-IT"/>
        </w:rPr>
        <w:t>more efficient digestion</w:t>
      </w:r>
      <w:r w:rsidR="001258D4" w:rsidRPr="001258D4">
        <w:rPr>
          <w:lang w:eastAsia="it-IT"/>
        </w:rPr>
        <w:t xml:space="preserve"> of the NPCM, with consequent high purity, on the other hand</w:t>
      </w:r>
      <w:r w:rsidR="007A69DF">
        <w:rPr>
          <w:lang w:eastAsia="it-IT"/>
        </w:rPr>
        <w:t>,</w:t>
      </w:r>
      <w:r w:rsidR="001258D4" w:rsidRPr="001258D4">
        <w:rPr>
          <w:lang w:eastAsia="it-IT"/>
        </w:rPr>
        <w:t xml:space="preserve"> treatment </w:t>
      </w:r>
      <w:r w:rsidR="007A69DF">
        <w:rPr>
          <w:lang w:eastAsia="it-IT"/>
        </w:rPr>
        <w:t xml:space="preserve">for a longer time </w:t>
      </w:r>
      <w:r w:rsidR="001258D4" w:rsidRPr="001258D4">
        <w:rPr>
          <w:lang w:eastAsia="it-IT"/>
        </w:rPr>
        <w:t xml:space="preserve">could </w:t>
      </w:r>
      <w:r w:rsidR="0082795D">
        <w:rPr>
          <w:lang w:eastAsia="it-IT"/>
        </w:rPr>
        <w:t>lead</w:t>
      </w:r>
      <w:r w:rsidR="001258D4" w:rsidRPr="001258D4">
        <w:rPr>
          <w:lang w:eastAsia="it-IT"/>
        </w:rPr>
        <w:t xml:space="preserve"> </w:t>
      </w:r>
      <w:r w:rsidR="0082795D">
        <w:rPr>
          <w:lang w:eastAsia="it-IT"/>
        </w:rPr>
        <w:t xml:space="preserve">to possible hydrolysis </w:t>
      </w:r>
      <w:r w:rsidR="001258D4" w:rsidRPr="001258D4">
        <w:rPr>
          <w:lang w:eastAsia="it-IT"/>
        </w:rPr>
        <w:t>of the PHA itself, with consequent loss of monomers</w:t>
      </w:r>
      <w:r w:rsidR="0082795D">
        <w:rPr>
          <w:lang w:eastAsia="it-IT"/>
        </w:rPr>
        <w:t>.</w:t>
      </w:r>
      <w:r w:rsidR="00D37D47">
        <w:rPr>
          <w:lang w:eastAsia="it-IT"/>
        </w:rPr>
        <w:t xml:space="preserve"> </w:t>
      </w:r>
      <w:r w:rsidR="00B1760E">
        <w:rPr>
          <w:lang w:eastAsia="it-IT"/>
        </w:rPr>
        <w:t>Figure 1B compares values of recovery yield for the same set of extraction. In this case, the range</w:t>
      </w:r>
      <w:r w:rsidR="00E478D6" w:rsidRPr="00CC66FE">
        <w:rPr>
          <w:lang w:eastAsia="it-IT"/>
        </w:rPr>
        <w:t xml:space="preserve"> of variation w</w:t>
      </w:r>
      <w:r w:rsidR="00B1760E">
        <w:rPr>
          <w:lang w:eastAsia="it-IT"/>
        </w:rPr>
        <w:t>as</w:t>
      </w:r>
      <w:r w:rsidR="00E478D6" w:rsidRPr="00CC66FE">
        <w:rPr>
          <w:lang w:eastAsia="it-IT"/>
        </w:rPr>
        <w:t xml:space="preserve"> higher for the 3 h (</w:t>
      </w:r>
      <w:r w:rsidR="007A69DF" w:rsidRPr="005221EB">
        <w:rPr>
          <w:lang w:eastAsia="it-IT"/>
        </w:rPr>
        <w:t>73.6 ± 0.9 %</w:t>
      </w:r>
      <w:r w:rsidR="00E478D6" w:rsidRPr="005221EB">
        <w:t xml:space="preserve"> - </w:t>
      </w:r>
      <w:r w:rsidR="007A69DF" w:rsidRPr="005221EB">
        <w:rPr>
          <w:lang w:eastAsia="it-IT"/>
        </w:rPr>
        <w:t>100 ± 2</w:t>
      </w:r>
      <w:r w:rsidR="007A69DF" w:rsidRPr="005221EB">
        <w:t xml:space="preserve"> </w:t>
      </w:r>
      <w:r w:rsidR="00E478D6" w:rsidRPr="005221EB">
        <w:t>%</w:t>
      </w:r>
      <w:r w:rsidR="00AA0131" w:rsidRPr="00AA0131">
        <w:rPr>
          <w:lang w:eastAsia="it-IT"/>
        </w:rPr>
        <w:t xml:space="preserve"> </w:t>
      </w:r>
      <w:r w:rsidR="00AA0131">
        <w:rPr>
          <w:lang w:eastAsia="it-IT"/>
        </w:rPr>
        <w:t>w/w</w:t>
      </w:r>
      <w:r w:rsidR="00B1760E" w:rsidRPr="005221EB">
        <w:t>)</w:t>
      </w:r>
      <w:r w:rsidR="00B1760E">
        <w:rPr>
          <w:lang w:eastAsia="it-IT"/>
        </w:rPr>
        <w:t xml:space="preserve"> </w:t>
      </w:r>
      <w:r w:rsidR="00E478D6" w:rsidRPr="00CC66FE">
        <w:rPr>
          <w:lang w:eastAsia="it-IT"/>
        </w:rPr>
        <w:t>and 24 h (</w:t>
      </w:r>
      <w:r w:rsidR="007A69DF" w:rsidRPr="005221EB">
        <w:rPr>
          <w:lang w:eastAsia="it-IT"/>
        </w:rPr>
        <w:t>51.5 ± 0.9</w:t>
      </w:r>
      <w:r w:rsidR="007A69DF" w:rsidRPr="005221EB">
        <w:t xml:space="preserve"> </w:t>
      </w:r>
      <w:r w:rsidR="00E478D6" w:rsidRPr="005221EB">
        <w:t>% - 100</w:t>
      </w:r>
      <w:r w:rsidR="007A69DF" w:rsidRPr="005221EB">
        <w:t xml:space="preserve"> </w:t>
      </w:r>
      <w:r w:rsidR="007A69DF" w:rsidRPr="005221EB">
        <w:rPr>
          <w:lang w:eastAsia="it-IT"/>
        </w:rPr>
        <w:t>±</w:t>
      </w:r>
      <w:r w:rsidR="007A69DF" w:rsidRPr="005221EB">
        <w:t xml:space="preserve"> 3 </w:t>
      </w:r>
      <w:r w:rsidR="00E478D6" w:rsidRPr="005221EB">
        <w:t>%</w:t>
      </w:r>
      <w:r w:rsidR="00AA0131" w:rsidRPr="00AA0131">
        <w:rPr>
          <w:lang w:eastAsia="it-IT"/>
        </w:rPr>
        <w:t xml:space="preserve"> </w:t>
      </w:r>
      <w:r w:rsidR="00AA0131">
        <w:rPr>
          <w:lang w:eastAsia="it-IT"/>
        </w:rPr>
        <w:t>w/w</w:t>
      </w:r>
      <w:r w:rsidR="00E478D6" w:rsidRPr="005221EB">
        <w:t>)</w:t>
      </w:r>
      <w:r w:rsidR="00E478D6" w:rsidRPr="00CC66FE">
        <w:rPr>
          <w:lang w:eastAsia="it-IT"/>
        </w:rPr>
        <w:t xml:space="preserve"> tests. </w:t>
      </w:r>
      <w:r w:rsidR="00B1760E">
        <w:rPr>
          <w:lang w:eastAsia="it-IT"/>
        </w:rPr>
        <w:t xml:space="preserve">Hence, the </w:t>
      </w:r>
      <w:r w:rsidR="00E478D6" w:rsidRPr="00CC66FE">
        <w:rPr>
          <w:lang w:eastAsia="it-IT"/>
        </w:rPr>
        <w:t xml:space="preserve">6 h </w:t>
      </w:r>
      <w:r w:rsidR="00B1760E">
        <w:rPr>
          <w:lang w:eastAsia="it-IT"/>
        </w:rPr>
        <w:t xml:space="preserve">treatment </w:t>
      </w:r>
      <w:r w:rsidR="00E478D6" w:rsidRPr="00CC66FE">
        <w:rPr>
          <w:lang w:eastAsia="it-IT"/>
        </w:rPr>
        <w:t xml:space="preserve">seemed to be </w:t>
      </w:r>
      <w:r w:rsidR="00B1760E">
        <w:rPr>
          <w:lang w:eastAsia="it-IT"/>
        </w:rPr>
        <w:t xml:space="preserve">more </w:t>
      </w:r>
      <w:r w:rsidR="00D37D47">
        <w:rPr>
          <w:lang w:eastAsia="it-IT"/>
        </w:rPr>
        <w:t>efficient and reproducible</w:t>
      </w:r>
      <w:r w:rsidR="00E478D6" w:rsidRPr="00CC66FE">
        <w:rPr>
          <w:lang w:eastAsia="it-IT"/>
        </w:rPr>
        <w:t>,</w:t>
      </w:r>
      <w:r w:rsidR="00D37D47">
        <w:rPr>
          <w:lang w:eastAsia="it-IT"/>
        </w:rPr>
        <w:t xml:space="preserve"> since the recovery yield variability ranged </w:t>
      </w:r>
      <w:r w:rsidR="00E478D6" w:rsidRPr="00CC66FE">
        <w:rPr>
          <w:lang w:eastAsia="it-IT"/>
        </w:rPr>
        <w:t xml:space="preserve">between </w:t>
      </w:r>
      <w:r w:rsidR="00470378" w:rsidRPr="005221EB">
        <w:rPr>
          <w:lang w:eastAsia="it-IT"/>
        </w:rPr>
        <w:t>87.7 ± 0.1</w:t>
      </w:r>
      <w:r w:rsidR="00470378" w:rsidRPr="005221EB">
        <w:t xml:space="preserve"> </w:t>
      </w:r>
      <w:r w:rsidR="00E478D6" w:rsidRPr="005221EB">
        <w:t xml:space="preserve">% and </w:t>
      </w:r>
      <w:r w:rsidR="00470378" w:rsidRPr="005221EB">
        <w:t xml:space="preserve"> </w:t>
      </w:r>
      <w:r w:rsidR="00470378" w:rsidRPr="005221EB">
        <w:rPr>
          <w:lang w:eastAsia="it-IT"/>
        </w:rPr>
        <w:t>100.8 ± 0.2</w:t>
      </w:r>
      <w:r w:rsidR="00470378" w:rsidRPr="005221EB">
        <w:t xml:space="preserve"> </w:t>
      </w:r>
      <w:r w:rsidR="00E478D6" w:rsidRPr="005221EB">
        <w:t>%</w:t>
      </w:r>
      <w:r w:rsidR="00E478D6" w:rsidRPr="00CC66FE">
        <w:rPr>
          <w:lang w:eastAsia="it-IT"/>
        </w:rPr>
        <w:t xml:space="preserve"> </w:t>
      </w:r>
      <w:r w:rsidR="00AA0131">
        <w:rPr>
          <w:lang w:eastAsia="it-IT"/>
        </w:rPr>
        <w:t>w/w</w:t>
      </w:r>
      <w:r w:rsidR="00AA0131" w:rsidRPr="001258D4">
        <w:rPr>
          <w:lang w:eastAsia="it-IT"/>
        </w:rPr>
        <w:t xml:space="preserve"> </w:t>
      </w:r>
      <w:r w:rsidR="00E478D6" w:rsidRPr="00CC66FE">
        <w:rPr>
          <w:lang w:eastAsia="it-IT"/>
        </w:rPr>
        <w:t>(as observed</w:t>
      </w:r>
      <w:r w:rsidR="00D37D47">
        <w:rPr>
          <w:lang w:eastAsia="it-IT"/>
        </w:rPr>
        <w:t xml:space="preserve"> also</w:t>
      </w:r>
      <w:r w:rsidR="00E478D6" w:rsidRPr="00CC66FE">
        <w:rPr>
          <w:lang w:eastAsia="it-IT"/>
        </w:rPr>
        <w:t xml:space="preserve"> for purity)</w:t>
      </w:r>
      <w:r w:rsidR="00D37D47">
        <w:rPr>
          <w:lang w:eastAsia="it-IT"/>
        </w:rPr>
        <w:t xml:space="preserve"> </w:t>
      </w:r>
      <w:r w:rsidR="00D37D47" w:rsidRPr="00CC66FE">
        <w:rPr>
          <w:lang w:eastAsia="it-IT"/>
        </w:rPr>
        <w:t xml:space="preserve">regardless of </w:t>
      </w:r>
      <w:r w:rsidR="00D37D47">
        <w:rPr>
          <w:lang w:eastAsia="it-IT"/>
        </w:rPr>
        <w:t>NaOH</w:t>
      </w:r>
      <w:r w:rsidR="00D37D47" w:rsidRPr="00CC66FE">
        <w:rPr>
          <w:lang w:eastAsia="it-IT"/>
        </w:rPr>
        <w:t xml:space="preserve"> concentration in a range ​​between 0.05 M and 0.5 M</w:t>
      </w:r>
      <w:r w:rsidR="00E478D6" w:rsidRPr="00CC66FE">
        <w:rPr>
          <w:lang w:eastAsia="it-IT"/>
        </w:rPr>
        <w:t xml:space="preserve">. </w:t>
      </w:r>
      <w:r w:rsidR="008A7247">
        <w:rPr>
          <w:lang w:eastAsia="it-IT"/>
        </w:rPr>
        <w:t xml:space="preserve">Based on these first results, a set of extractions </w:t>
      </w:r>
      <w:r w:rsidR="00F26960">
        <w:rPr>
          <w:lang w:eastAsia="it-IT"/>
        </w:rPr>
        <w:t xml:space="preserve">was conducted on the same biomass </w:t>
      </w:r>
      <w:r w:rsidR="00F26960" w:rsidRPr="00600D87">
        <w:rPr>
          <w:lang w:eastAsia="it-IT"/>
        </w:rPr>
        <w:t>at 3 h and 24 h of treatment</w:t>
      </w:r>
      <w:r w:rsidR="00F26960">
        <w:rPr>
          <w:lang w:eastAsia="it-IT"/>
        </w:rPr>
        <w:t xml:space="preserve">, </w:t>
      </w:r>
      <w:r w:rsidR="00AA1841">
        <w:rPr>
          <w:lang w:eastAsia="it-IT"/>
        </w:rPr>
        <w:t>combining</w:t>
      </w:r>
      <w:r w:rsidR="00F26960">
        <w:rPr>
          <w:lang w:eastAsia="it-IT"/>
        </w:rPr>
        <w:t xml:space="preserve"> the effect of NaOH (in the same concentration range) and SDS</w:t>
      </w:r>
      <w:r w:rsidR="00E7568A">
        <w:rPr>
          <w:lang w:eastAsia="it-IT"/>
        </w:rPr>
        <w:t xml:space="preserve">, to evaluate </w:t>
      </w:r>
      <w:r w:rsidR="00AA1841">
        <w:rPr>
          <w:lang w:eastAsia="it-IT"/>
        </w:rPr>
        <w:t>the possibility of improving the extraction performances</w:t>
      </w:r>
      <w:r w:rsidR="00F26960">
        <w:rPr>
          <w:lang w:eastAsia="it-IT"/>
        </w:rPr>
        <w:t xml:space="preserve">. </w:t>
      </w:r>
    </w:p>
    <w:p w14:paraId="74A91F0C" w14:textId="5E5A66FD" w:rsidR="00600D87" w:rsidRPr="009811DA" w:rsidRDefault="00295FA8" w:rsidP="00F26960">
      <w:pPr>
        <w:pStyle w:val="CETBodytext"/>
        <w:rPr>
          <w:rFonts w:ascii="Times New Roman" w:hAnsi="Times New Roman"/>
          <w:sz w:val="24"/>
          <w:szCs w:val="24"/>
          <w:lang w:eastAsia="it-IT"/>
        </w:rPr>
      </w:pPr>
      <w:r>
        <w:rPr>
          <w:lang w:eastAsia="it-IT"/>
        </w:rPr>
        <w:t>P</w:t>
      </w:r>
      <w:r w:rsidR="00600D87" w:rsidRPr="00600D87">
        <w:rPr>
          <w:lang w:eastAsia="it-IT"/>
        </w:rPr>
        <w:t>urity and recovery data of the extracted PHA are reported</w:t>
      </w:r>
      <w:r w:rsidR="00F26960">
        <w:rPr>
          <w:lang w:eastAsia="it-IT"/>
        </w:rPr>
        <w:t xml:space="preserve"> in Figure 1 A and B</w:t>
      </w:r>
      <w:r w:rsidR="00600D87" w:rsidRPr="00600D87">
        <w:rPr>
          <w:lang w:eastAsia="it-IT"/>
        </w:rPr>
        <w:t>,</w:t>
      </w:r>
      <w:r w:rsidR="00F26960">
        <w:rPr>
          <w:lang w:eastAsia="it-IT"/>
        </w:rPr>
        <w:t xml:space="preserve"> respectively, in comparison with previously discussed results of the sole NaOH extractions.</w:t>
      </w:r>
      <w:r w:rsidR="00600D87" w:rsidRPr="00600D87">
        <w:rPr>
          <w:lang w:eastAsia="it-IT"/>
        </w:rPr>
        <w:t xml:space="preserve"> </w:t>
      </w:r>
      <w:r w:rsidR="00F26960">
        <w:rPr>
          <w:lang w:eastAsia="it-IT"/>
        </w:rPr>
        <w:t>T</w:t>
      </w:r>
      <w:r w:rsidR="00600D87" w:rsidRPr="00600D87">
        <w:rPr>
          <w:lang w:eastAsia="it-IT"/>
        </w:rPr>
        <w:t>ests conducted for low reaction times (3 h) show</w:t>
      </w:r>
      <w:r w:rsidR="00F26960">
        <w:rPr>
          <w:lang w:eastAsia="it-IT"/>
        </w:rPr>
        <w:t>ed</w:t>
      </w:r>
      <w:r w:rsidR="00600D87" w:rsidRPr="00600D87">
        <w:rPr>
          <w:lang w:eastAsia="it-IT"/>
        </w:rPr>
        <w:t xml:space="preserve"> a substantial increase in purity for NaOH concentrations </w:t>
      </w:r>
      <w:r w:rsidR="00F26960">
        <w:rPr>
          <w:lang w:eastAsia="it-IT"/>
        </w:rPr>
        <w:t>higher than</w:t>
      </w:r>
      <w:r w:rsidR="00600D87" w:rsidRPr="00600D87">
        <w:rPr>
          <w:lang w:eastAsia="it-IT"/>
        </w:rPr>
        <w:t xml:space="preserve"> 0.1 M</w:t>
      </w:r>
      <w:r w:rsidR="00F26960">
        <w:rPr>
          <w:lang w:eastAsia="it-IT"/>
        </w:rPr>
        <w:t>, with</w:t>
      </w:r>
      <w:r w:rsidR="00600D87" w:rsidRPr="00600D87">
        <w:rPr>
          <w:lang w:eastAsia="it-IT"/>
        </w:rPr>
        <w:t xml:space="preserve"> a maximum purity at the concentration of 0.2 M (</w:t>
      </w:r>
      <w:r w:rsidR="00F26960" w:rsidRPr="00F26960">
        <w:t>97.8 ± 3.7</w:t>
      </w:r>
      <w:r w:rsidR="00F26960">
        <w:t xml:space="preserve"> %w/w</w:t>
      </w:r>
      <w:r w:rsidR="00600D87" w:rsidRPr="00600D87">
        <w:rPr>
          <w:lang w:eastAsia="it-IT"/>
        </w:rPr>
        <w:t>) in just 3 hours of treatment. Even for higher NaOH values ​​(0.3M and 0.5M)</w:t>
      </w:r>
      <w:r w:rsidR="00F44524">
        <w:rPr>
          <w:lang w:eastAsia="it-IT"/>
        </w:rPr>
        <w:t>,</w:t>
      </w:r>
      <w:r w:rsidR="00600D87" w:rsidRPr="00600D87">
        <w:rPr>
          <w:lang w:eastAsia="it-IT"/>
        </w:rPr>
        <w:t xml:space="preserve"> there is a net </w:t>
      </w:r>
      <w:r w:rsidR="00A45FDA">
        <w:rPr>
          <w:lang w:eastAsia="it-IT"/>
        </w:rPr>
        <w:t>increase</w:t>
      </w:r>
      <w:r w:rsidR="00600D87" w:rsidRPr="00600D87">
        <w:rPr>
          <w:lang w:eastAsia="it-IT"/>
        </w:rPr>
        <w:t xml:space="preserve"> </w:t>
      </w:r>
      <w:r w:rsidR="00A45FDA">
        <w:rPr>
          <w:lang w:eastAsia="it-IT"/>
        </w:rPr>
        <w:t>of</w:t>
      </w:r>
      <w:r w:rsidR="00600D87" w:rsidRPr="00600D87">
        <w:rPr>
          <w:lang w:eastAsia="it-IT"/>
        </w:rPr>
        <w:t xml:space="preserve"> purity</w:t>
      </w:r>
      <w:r w:rsidR="00F26960">
        <w:rPr>
          <w:lang w:eastAsia="it-IT"/>
        </w:rPr>
        <w:t>,</w:t>
      </w:r>
      <w:r w:rsidR="00600D87" w:rsidRPr="00600D87">
        <w:rPr>
          <w:lang w:eastAsia="it-IT"/>
        </w:rPr>
        <w:t xml:space="preserve"> thanks to the use of SDS. </w:t>
      </w:r>
      <w:r w:rsidR="00F26960">
        <w:rPr>
          <w:lang w:eastAsia="it-IT"/>
        </w:rPr>
        <w:t>On the other hand, b</w:t>
      </w:r>
      <w:r w:rsidR="00600D87" w:rsidRPr="00600D87">
        <w:rPr>
          <w:lang w:eastAsia="it-IT"/>
        </w:rPr>
        <w:t xml:space="preserve">y extending the extraction time up to 24 h, the effect of SDS on the purity of the extracted PHA was less marked than in the tests conducted for 3 h, probably due to the greater </w:t>
      </w:r>
      <w:r w:rsidR="009D0B46">
        <w:rPr>
          <w:lang w:eastAsia="it-IT"/>
        </w:rPr>
        <w:t>effectiveness</w:t>
      </w:r>
      <w:r w:rsidR="00600D87" w:rsidRPr="00600D87">
        <w:rPr>
          <w:lang w:eastAsia="it-IT"/>
        </w:rPr>
        <w:t xml:space="preserve"> </w:t>
      </w:r>
      <w:r w:rsidR="009D0B46">
        <w:rPr>
          <w:lang w:eastAsia="it-IT"/>
        </w:rPr>
        <w:t>of</w:t>
      </w:r>
      <w:r w:rsidR="00600D87" w:rsidRPr="00600D87">
        <w:rPr>
          <w:lang w:eastAsia="it-IT"/>
        </w:rPr>
        <w:t xml:space="preserve"> NaOH</w:t>
      </w:r>
      <w:r w:rsidR="009D0B46">
        <w:rPr>
          <w:lang w:eastAsia="it-IT"/>
        </w:rPr>
        <w:t xml:space="preserve"> during a longer contact time</w:t>
      </w:r>
      <w:r w:rsidR="00600D87" w:rsidRPr="00600D87">
        <w:rPr>
          <w:lang w:eastAsia="it-IT"/>
        </w:rPr>
        <w:t>.</w:t>
      </w:r>
      <w:r w:rsidR="009D0B46">
        <w:rPr>
          <w:rFonts w:ascii="Times New Roman" w:hAnsi="Times New Roman"/>
          <w:sz w:val="24"/>
          <w:szCs w:val="24"/>
          <w:lang w:eastAsia="it-IT"/>
        </w:rPr>
        <w:t xml:space="preserve"> </w:t>
      </w:r>
      <w:r w:rsidR="009D0B46" w:rsidRPr="009D0B46">
        <w:t xml:space="preserve">However, </w:t>
      </w:r>
      <w:r w:rsidR="009D0B46">
        <w:t>the positive</w:t>
      </w:r>
      <w:r w:rsidR="00600D87" w:rsidRPr="00600D87">
        <w:rPr>
          <w:lang w:eastAsia="it-IT"/>
        </w:rPr>
        <w:t xml:space="preserve"> effect</w:t>
      </w:r>
      <w:r w:rsidR="009D0B46">
        <w:rPr>
          <w:lang w:eastAsia="it-IT"/>
        </w:rPr>
        <w:t>s</w:t>
      </w:r>
      <w:r w:rsidR="00600D87" w:rsidRPr="00600D87">
        <w:rPr>
          <w:lang w:eastAsia="it-IT"/>
        </w:rPr>
        <w:t xml:space="preserve"> of SDS </w:t>
      </w:r>
      <w:r w:rsidR="009D0B46">
        <w:rPr>
          <w:lang w:eastAsia="it-IT"/>
        </w:rPr>
        <w:t xml:space="preserve">during the 3h tests </w:t>
      </w:r>
      <w:r w:rsidR="00600D87" w:rsidRPr="00600D87">
        <w:rPr>
          <w:lang w:eastAsia="it-IT"/>
        </w:rPr>
        <w:t>w</w:t>
      </w:r>
      <w:r w:rsidR="009D0B46">
        <w:rPr>
          <w:lang w:eastAsia="it-IT"/>
        </w:rPr>
        <w:t>ere</w:t>
      </w:r>
      <w:r w:rsidR="00600D87" w:rsidRPr="00600D87">
        <w:rPr>
          <w:lang w:eastAsia="it-IT"/>
        </w:rPr>
        <w:t xml:space="preserve"> not </w:t>
      </w:r>
      <w:r w:rsidR="00FB50AD">
        <w:rPr>
          <w:lang w:eastAsia="it-IT"/>
        </w:rPr>
        <w:t>encountered</w:t>
      </w:r>
      <w:r w:rsidR="00600D87" w:rsidRPr="00600D87">
        <w:rPr>
          <w:lang w:eastAsia="it-IT"/>
        </w:rPr>
        <w:t xml:space="preserve"> for recovery, which instead underwent a substantial decrease (below 90%</w:t>
      </w:r>
      <w:r w:rsidR="00AA0131" w:rsidRPr="00AA0131">
        <w:rPr>
          <w:lang w:eastAsia="it-IT"/>
        </w:rPr>
        <w:t xml:space="preserve"> </w:t>
      </w:r>
      <w:r w:rsidR="00AA0131">
        <w:rPr>
          <w:lang w:eastAsia="it-IT"/>
        </w:rPr>
        <w:t>w/w</w:t>
      </w:r>
      <w:r w:rsidR="00600D87" w:rsidRPr="00600D87">
        <w:rPr>
          <w:lang w:eastAsia="it-IT"/>
        </w:rPr>
        <w:t>) for increasing NaOH concentrations (0.3M and 0.5M).</w:t>
      </w:r>
      <w:r w:rsidR="009811DA">
        <w:rPr>
          <w:rFonts w:ascii="Times New Roman" w:hAnsi="Times New Roman"/>
          <w:sz w:val="24"/>
          <w:szCs w:val="24"/>
          <w:lang w:eastAsia="it-IT"/>
        </w:rPr>
        <w:t xml:space="preserve"> </w:t>
      </w:r>
      <w:r w:rsidR="009811DA" w:rsidRPr="009811DA">
        <w:t>Considering the wh</w:t>
      </w:r>
      <w:r w:rsidR="009811DA">
        <w:t>o</w:t>
      </w:r>
      <w:r w:rsidR="009811DA" w:rsidRPr="009811DA">
        <w:t xml:space="preserve">le set of extraction </w:t>
      </w:r>
      <w:r w:rsidR="009811DA">
        <w:rPr>
          <w:lang w:eastAsia="it-IT"/>
        </w:rPr>
        <w:t xml:space="preserve">for </w:t>
      </w:r>
      <w:r w:rsidR="00600D87" w:rsidRPr="00600D87">
        <w:rPr>
          <w:lang w:eastAsia="it-IT"/>
        </w:rPr>
        <w:t>24 h</w:t>
      </w:r>
      <w:r w:rsidR="009811DA">
        <w:rPr>
          <w:lang w:eastAsia="it-IT"/>
        </w:rPr>
        <w:t>,</w:t>
      </w:r>
      <w:r w:rsidR="00600D87" w:rsidRPr="00600D87">
        <w:rPr>
          <w:lang w:eastAsia="it-IT"/>
        </w:rPr>
        <w:t xml:space="preserve"> there is a</w:t>
      </w:r>
      <w:r w:rsidR="009811DA">
        <w:rPr>
          <w:lang w:eastAsia="it-IT"/>
        </w:rPr>
        <w:t>n overall</w:t>
      </w:r>
      <w:r w:rsidR="00600D87" w:rsidRPr="00600D87">
        <w:rPr>
          <w:lang w:eastAsia="it-IT"/>
        </w:rPr>
        <w:t xml:space="preserve"> continuous decreasing trend of recovery </w:t>
      </w:r>
      <w:r w:rsidR="005221EB">
        <w:rPr>
          <w:lang w:eastAsia="it-IT"/>
        </w:rPr>
        <w:t xml:space="preserve">yield </w:t>
      </w:r>
      <w:r w:rsidR="00600D87" w:rsidRPr="00600D87">
        <w:rPr>
          <w:lang w:eastAsia="it-IT"/>
        </w:rPr>
        <w:t>as the NaOH concentration</w:t>
      </w:r>
      <w:r w:rsidR="009811DA">
        <w:rPr>
          <w:lang w:eastAsia="it-IT"/>
        </w:rPr>
        <w:t xml:space="preserve"> increased</w:t>
      </w:r>
      <w:r w:rsidR="00600D87" w:rsidRPr="00600D87">
        <w:rPr>
          <w:lang w:eastAsia="it-IT"/>
        </w:rPr>
        <w:t xml:space="preserve"> </w:t>
      </w:r>
      <w:r w:rsidR="009811DA">
        <w:rPr>
          <w:lang w:eastAsia="it-IT"/>
        </w:rPr>
        <w:t>(</w:t>
      </w:r>
      <w:proofErr w:type="gramStart"/>
      <w:r w:rsidR="00600D87" w:rsidRPr="00600D87">
        <w:rPr>
          <w:lang w:eastAsia="it-IT"/>
        </w:rPr>
        <w:t>i.e.</w:t>
      </w:r>
      <w:proofErr w:type="gramEnd"/>
      <w:r w:rsidR="00600D87" w:rsidRPr="00600D87">
        <w:rPr>
          <w:lang w:eastAsia="it-IT"/>
        </w:rPr>
        <w:t xml:space="preserve"> from </w:t>
      </w:r>
      <w:r w:rsidR="005221EB" w:rsidRPr="005221EB">
        <w:t xml:space="preserve">100 </w:t>
      </w:r>
      <w:r w:rsidR="005221EB" w:rsidRPr="005221EB">
        <w:rPr>
          <w:lang w:eastAsia="it-IT"/>
        </w:rPr>
        <w:t>±</w:t>
      </w:r>
      <w:r w:rsidR="005221EB" w:rsidRPr="005221EB">
        <w:t xml:space="preserve"> 3 %</w:t>
      </w:r>
      <w:r w:rsidR="00AA0131" w:rsidRPr="00AA0131">
        <w:rPr>
          <w:lang w:eastAsia="it-IT"/>
        </w:rPr>
        <w:t xml:space="preserve"> </w:t>
      </w:r>
      <w:r w:rsidR="00AA0131">
        <w:rPr>
          <w:lang w:eastAsia="it-IT"/>
        </w:rPr>
        <w:t>w/w</w:t>
      </w:r>
      <w:r w:rsidR="00600D87" w:rsidRPr="00600D87">
        <w:rPr>
          <w:lang w:eastAsia="it-IT"/>
        </w:rPr>
        <w:t xml:space="preserve"> for 0.2 M to </w:t>
      </w:r>
      <w:r w:rsidR="005221EB" w:rsidRPr="005221EB">
        <w:rPr>
          <w:lang w:eastAsia="it-IT"/>
        </w:rPr>
        <w:t>51.5 ± 0.9</w:t>
      </w:r>
      <w:r w:rsidR="005221EB" w:rsidRPr="005221EB">
        <w:t xml:space="preserve"> %</w:t>
      </w:r>
      <w:r w:rsidR="00600D87" w:rsidRPr="00600D87">
        <w:rPr>
          <w:lang w:eastAsia="it-IT"/>
        </w:rPr>
        <w:t xml:space="preserve"> </w:t>
      </w:r>
      <w:r w:rsidR="00AA0131">
        <w:rPr>
          <w:lang w:eastAsia="it-IT"/>
        </w:rPr>
        <w:t>w/w</w:t>
      </w:r>
      <w:r w:rsidR="00AA0131" w:rsidRPr="001258D4">
        <w:rPr>
          <w:lang w:eastAsia="it-IT"/>
        </w:rPr>
        <w:t xml:space="preserve"> </w:t>
      </w:r>
      <w:r w:rsidR="00600D87" w:rsidRPr="00600D87">
        <w:rPr>
          <w:lang w:eastAsia="it-IT"/>
        </w:rPr>
        <w:t>for 1 M NaOH</w:t>
      </w:r>
      <w:r w:rsidR="009811DA">
        <w:rPr>
          <w:lang w:eastAsia="it-IT"/>
        </w:rPr>
        <w:t>)</w:t>
      </w:r>
      <w:r w:rsidR="00600D87" w:rsidRPr="00600D87">
        <w:rPr>
          <w:lang w:eastAsia="it-IT"/>
        </w:rPr>
        <w:t xml:space="preserve">. </w:t>
      </w:r>
      <w:r w:rsidR="009811DA">
        <w:rPr>
          <w:lang w:eastAsia="it-IT"/>
        </w:rPr>
        <w:t>The same</w:t>
      </w:r>
      <w:r w:rsidR="00600D87" w:rsidRPr="00600D87">
        <w:rPr>
          <w:lang w:eastAsia="it-IT"/>
        </w:rPr>
        <w:t xml:space="preserve"> trend was obtained </w:t>
      </w:r>
      <w:r w:rsidR="009811DA">
        <w:rPr>
          <w:lang w:eastAsia="it-IT"/>
        </w:rPr>
        <w:t xml:space="preserve">also </w:t>
      </w:r>
      <w:r w:rsidR="00600D87" w:rsidRPr="00600D87">
        <w:rPr>
          <w:lang w:eastAsia="it-IT"/>
        </w:rPr>
        <w:t xml:space="preserve">in the tests in which </w:t>
      </w:r>
      <w:r w:rsidR="009811DA" w:rsidRPr="00600D87">
        <w:rPr>
          <w:lang w:eastAsia="it-IT"/>
        </w:rPr>
        <w:t xml:space="preserve">SDS </w:t>
      </w:r>
      <w:r w:rsidR="00600D87" w:rsidRPr="00600D87">
        <w:rPr>
          <w:lang w:eastAsia="it-IT"/>
        </w:rPr>
        <w:t>was added, but recovery values ​​</w:t>
      </w:r>
      <w:r w:rsidR="009811DA">
        <w:rPr>
          <w:lang w:eastAsia="it-IT"/>
        </w:rPr>
        <w:t xml:space="preserve">were </w:t>
      </w:r>
      <w:r w:rsidR="00600D87" w:rsidRPr="00600D87">
        <w:rPr>
          <w:lang w:eastAsia="it-IT"/>
        </w:rPr>
        <w:t xml:space="preserve">on average 10% lower than the respective tests </w:t>
      </w:r>
      <w:r w:rsidR="009811DA">
        <w:rPr>
          <w:lang w:eastAsia="it-IT"/>
        </w:rPr>
        <w:t>without</w:t>
      </w:r>
      <w:r w:rsidR="00600D87" w:rsidRPr="00600D87">
        <w:rPr>
          <w:lang w:eastAsia="it-IT"/>
        </w:rPr>
        <w:t xml:space="preserve"> SDS.</w:t>
      </w:r>
    </w:p>
    <w:p w14:paraId="1718FC02" w14:textId="32CF55B1" w:rsidR="00600D87" w:rsidRPr="00600D87" w:rsidRDefault="00295FA8" w:rsidP="00F26960">
      <w:pPr>
        <w:pStyle w:val="CETBodytext"/>
        <w:rPr>
          <w:lang w:eastAsia="it-IT"/>
        </w:rPr>
      </w:pPr>
      <w:r>
        <w:rPr>
          <w:lang w:eastAsia="it-IT"/>
        </w:rPr>
        <w:t>As a main result, a</w:t>
      </w:r>
      <w:r w:rsidR="00600D87" w:rsidRPr="00600D87">
        <w:rPr>
          <w:lang w:eastAsia="it-IT"/>
        </w:rPr>
        <w:t xml:space="preserve"> reaction time equal to 3 h </w:t>
      </w:r>
      <w:r>
        <w:rPr>
          <w:lang w:eastAsia="it-IT"/>
        </w:rPr>
        <w:t>and combined treatment</w:t>
      </w:r>
      <w:r w:rsidR="00600D87" w:rsidRPr="00600D87">
        <w:rPr>
          <w:lang w:eastAsia="it-IT"/>
        </w:rPr>
        <w:t xml:space="preserve"> </w:t>
      </w:r>
      <w:r>
        <w:rPr>
          <w:lang w:eastAsia="it-IT"/>
        </w:rPr>
        <w:t>with</w:t>
      </w:r>
      <w:r w:rsidR="00600D87" w:rsidRPr="00600D87">
        <w:rPr>
          <w:lang w:eastAsia="it-IT"/>
        </w:rPr>
        <w:t xml:space="preserve"> SDS </w:t>
      </w:r>
      <w:r>
        <w:rPr>
          <w:lang w:eastAsia="it-IT"/>
        </w:rPr>
        <w:t>and</w:t>
      </w:r>
      <w:r w:rsidR="00600D87" w:rsidRPr="00600D87">
        <w:rPr>
          <w:lang w:eastAsia="it-IT"/>
        </w:rPr>
        <w:t xml:space="preserve"> NaOH 0.2 M </w:t>
      </w:r>
      <w:r>
        <w:rPr>
          <w:lang w:eastAsia="it-IT"/>
        </w:rPr>
        <w:t>was</w:t>
      </w:r>
      <w:r w:rsidR="00600D87" w:rsidRPr="00600D87">
        <w:rPr>
          <w:lang w:eastAsia="it-IT"/>
        </w:rPr>
        <w:t xml:space="preserve"> considered a good extraction method</w:t>
      </w:r>
      <w:r w:rsidR="001F5690">
        <w:rPr>
          <w:lang w:eastAsia="it-IT"/>
        </w:rPr>
        <w:t>,</w:t>
      </w:r>
      <w:r>
        <w:rPr>
          <w:lang w:eastAsia="it-IT"/>
        </w:rPr>
        <w:t xml:space="preserve"> and then it was applied also on PHA-rich biomass produced at </w:t>
      </w:r>
      <w:r w:rsidR="001F5690">
        <w:rPr>
          <w:lang w:eastAsia="it-IT"/>
        </w:rPr>
        <w:t xml:space="preserve">the </w:t>
      </w:r>
      <w:r>
        <w:rPr>
          <w:lang w:eastAsia="it-IT"/>
        </w:rPr>
        <w:t>pilot scale.</w:t>
      </w:r>
      <w:r w:rsidR="00541078">
        <w:rPr>
          <w:lang w:eastAsia="it-IT"/>
        </w:rPr>
        <w:t xml:space="preserve"> Moreover, chloroform and </w:t>
      </w:r>
      <w:proofErr w:type="spellStart"/>
      <w:r w:rsidR="00541078">
        <w:rPr>
          <w:lang w:eastAsia="it-IT"/>
        </w:rPr>
        <w:t>NaClO</w:t>
      </w:r>
      <w:proofErr w:type="spellEnd"/>
      <w:r w:rsidR="00541078">
        <w:rPr>
          <w:lang w:eastAsia="it-IT"/>
        </w:rPr>
        <w:t xml:space="preserve"> extraction were performed on biomass produced both at</w:t>
      </w:r>
      <w:r w:rsidR="001F5690">
        <w:rPr>
          <w:lang w:eastAsia="it-IT"/>
        </w:rPr>
        <w:t xml:space="preserve"> the</w:t>
      </w:r>
      <w:r w:rsidR="00541078">
        <w:rPr>
          <w:lang w:eastAsia="it-IT"/>
        </w:rPr>
        <w:t xml:space="preserve"> lab and pilot scale. </w:t>
      </w:r>
      <w:r w:rsidR="001F5690">
        <w:rPr>
          <w:lang w:eastAsia="it-IT"/>
        </w:rPr>
        <w:t>The m</w:t>
      </w:r>
      <w:r w:rsidR="00541078">
        <w:rPr>
          <w:lang w:eastAsia="it-IT"/>
        </w:rPr>
        <w:t>ain results of extraction on pilot</w:t>
      </w:r>
      <w:r w:rsidR="001F5690">
        <w:rPr>
          <w:lang w:eastAsia="it-IT"/>
        </w:rPr>
        <w:t>-</w:t>
      </w:r>
      <w:r w:rsidR="00541078">
        <w:rPr>
          <w:lang w:eastAsia="it-IT"/>
        </w:rPr>
        <w:t xml:space="preserve">scale biomass are reported in Table 1, in comparison with the best </w:t>
      </w:r>
      <w:r w:rsidR="00541078">
        <w:rPr>
          <w:lang w:eastAsia="it-IT"/>
        </w:rPr>
        <w:lastRenderedPageBreak/>
        <w:t xml:space="preserve">results obtained from NaOH </w:t>
      </w:r>
      <w:r w:rsidR="00CA5065">
        <w:rPr>
          <w:lang w:eastAsia="it-IT"/>
        </w:rPr>
        <w:t xml:space="preserve">and benchmark </w:t>
      </w:r>
      <w:r w:rsidR="00541078">
        <w:rPr>
          <w:lang w:eastAsia="it-IT"/>
        </w:rPr>
        <w:t>extraction on lab</w:t>
      </w:r>
      <w:r w:rsidR="00F97B0E">
        <w:rPr>
          <w:lang w:eastAsia="it-IT"/>
        </w:rPr>
        <w:t>-</w:t>
      </w:r>
      <w:r w:rsidR="00541078">
        <w:rPr>
          <w:lang w:eastAsia="it-IT"/>
        </w:rPr>
        <w:t>scale biomass</w:t>
      </w:r>
      <w:r w:rsidR="00CA5065">
        <w:rPr>
          <w:lang w:eastAsia="it-IT"/>
        </w:rPr>
        <w:t>.</w:t>
      </w:r>
      <w:r w:rsidR="00231CDF">
        <w:rPr>
          <w:lang w:eastAsia="it-IT"/>
        </w:rPr>
        <w:t xml:space="preserve"> It can be highlighted that combined NaOH </w:t>
      </w:r>
      <w:r w:rsidR="00231CDF" w:rsidRPr="00FB6F86">
        <w:t>and SDS extraction on biomass obtained at lab scale was more efficient than that one conducted on pilot</w:t>
      </w:r>
      <w:r w:rsidR="00F97B0E">
        <w:t>-</w:t>
      </w:r>
      <w:r w:rsidR="00231CDF" w:rsidRPr="00FB6F86">
        <w:t>scale biomass. This was reasonably due to different characteristics of the dry matter, indeed</w:t>
      </w:r>
      <w:r w:rsidR="00DE0A0A" w:rsidRPr="00FB6F86">
        <w:t xml:space="preserve"> PHA-rich biomass coming from the pilot</w:t>
      </w:r>
      <w:r w:rsidR="00F97B0E">
        <w:t>-</w:t>
      </w:r>
      <w:r w:rsidR="00DE0A0A" w:rsidRPr="00FB6F86">
        <w:t xml:space="preserve">scale contained a very high </w:t>
      </w:r>
      <w:proofErr w:type="gramStart"/>
      <w:r w:rsidR="00DE0A0A" w:rsidRPr="00FB6F86">
        <w:t>amount</w:t>
      </w:r>
      <w:proofErr w:type="gramEnd"/>
      <w:r w:rsidR="00DE0A0A" w:rsidRPr="00FB6F86">
        <w:t xml:space="preserve"> of solid residues derived from the OFMSW fermentation. The high concentration o</w:t>
      </w:r>
      <w:r w:rsidR="00A45FDA" w:rsidRPr="00FB6F86">
        <w:t>f</w:t>
      </w:r>
      <w:r w:rsidR="00DE0A0A" w:rsidRPr="00FB6F86">
        <w:t xml:space="preserve"> solids led to a lower PHA content in the biomass at the end of the accumulation step, if compared to that one obtained at lab scale (42.1 ± 0.8 and 60.1 ± 0.9</w:t>
      </w:r>
      <w:r w:rsidR="00A45FDA" w:rsidRPr="00FB6F86">
        <w:t xml:space="preserve"> %w/w, respectively)</w:t>
      </w:r>
      <w:r w:rsidR="00FA3ABB" w:rsidRPr="00FB6F86">
        <w:t xml:space="preserve">. </w:t>
      </w:r>
      <w:proofErr w:type="gramStart"/>
      <w:r w:rsidR="00FA3ABB" w:rsidRPr="00FB6F86">
        <w:t>As a consequence</w:t>
      </w:r>
      <w:proofErr w:type="gramEnd"/>
      <w:r w:rsidR="00FA3ABB" w:rsidRPr="00FB6F86">
        <w:t xml:space="preserve">, the hydrolytic effect of NaOH and </w:t>
      </w:r>
      <w:proofErr w:type="spellStart"/>
      <w:r w:rsidR="00FA3ABB" w:rsidRPr="00FB6F86">
        <w:t>NaClO</w:t>
      </w:r>
      <w:proofErr w:type="spellEnd"/>
      <w:r w:rsidR="00FA3ABB" w:rsidRPr="00FB6F86">
        <w:t xml:space="preserve"> was significantly lower on the dried biomass and it resulted in lower PHA purity </w:t>
      </w:r>
      <w:r w:rsidR="00924D49" w:rsidRPr="00FB6F86">
        <w:t xml:space="preserve">(79.2 ± 0.4 and 85.7 ± 1.3 %w/w, respectively) and recovery </w:t>
      </w:r>
      <w:r w:rsidR="00FA3ABB" w:rsidRPr="00FB6F86">
        <w:t>(</w:t>
      </w:r>
      <w:r w:rsidR="00924D49" w:rsidRPr="00FB6F86">
        <w:t>80.1 ± 1.0 and 75.6 ± 0.5 %w/w, respectively</w:t>
      </w:r>
      <w:r w:rsidR="00FA3ABB" w:rsidRPr="00FB6F86">
        <w:t>).</w:t>
      </w:r>
      <w:r w:rsidR="00C82844" w:rsidRPr="00FB6F86">
        <w:t xml:space="preserve"> Hence, </w:t>
      </w:r>
      <w:r w:rsidR="00A52ACA" w:rsidRPr="00FB6F86">
        <w:t>further investigation for improving extraction performance of NaOH are necessary, since good preliminary results were achieved.</w:t>
      </w:r>
    </w:p>
    <w:p w14:paraId="5C08D737" w14:textId="77777777" w:rsidR="00600D87" w:rsidRPr="00600D87" w:rsidRDefault="00600D87" w:rsidP="00600D87">
      <w:pPr>
        <w:pStyle w:val="CETBodytext"/>
        <w:rPr>
          <w:lang w:eastAsia="it-IT"/>
        </w:rPr>
      </w:pPr>
    </w:p>
    <w:p w14:paraId="2FB5E3F6" w14:textId="77777777" w:rsidR="001258D4" w:rsidRDefault="001258D4" w:rsidP="002023B4">
      <w:pPr>
        <w:pStyle w:val="CETBodytext"/>
      </w:pPr>
    </w:p>
    <w:p w14:paraId="7123DB64" w14:textId="77777777" w:rsidR="008A7247" w:rsidRPr="002023B4" w:rsidRDefault="008A7247" w:rsidP="002023B4">
      <w:pPr>
        <w:pStyle w:val="CETBodytext"/>
      </w:pPr>
    </w:p>
    <w:p w14:paraId="716F9543" w14:textId="1C5873DD" w:rsidR="007E0969" w:rsidRDefault="008A7247" w:rsidP="007E0969">
      <w:pPr>
        <w:pStyle w:val="CETBodytext"/>
        <w:rPr>
          <w:lang w:val="en-GB"/>
        </w:rPr>
      </w:pPr>
      <w:r>
        <w:rPr>
          <w:noProof/>
        </w:rPr>
        <w:drawing>
          <wp:inline distT="0" distB="0" distL="0" distR="0" wp14:anchorId="0CFF2BA5" wp14:editId="17E0DB15">
            <wp:extent cx="5579745" cy="1974873"/>
            <wp:effectExtent l="0" t="0" r="0" b="635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974873"/>
                    </a:xfrm>
                    <a:prstGeom prst="rect">
                      <a:avLst/>
                    </a:prstGeom>
                    <a:noFill/>
                  </pic:spPr>
                </pic:pic>
              </a:graphicData>
            </a:graphic>
          </wp:inline>
        </w:drawing>
      </w:r>
    </w:p>
    <w:p w14:paraId="219F147C" w14:textId="77777777" w:rsidR="008A7247" w:rsidRDefault="008A7247" w:rsidP="008A7247">
      <w:pPr>
        <w:pStyle w:val="CETBodytext"/>
        <w:jc w:val="left"/>
        <w:rPr>
          <w:rStyle w:val="CETCaptionCarattere"/>
        </w:rPr>
      </w:pPr>
    </w:p>
    <w:p w14:paraId="27A08F4D" w14:textId="3F25A105" w:rsidR="008A7247" w:rsidRPr="000C0003" w:rsidRDefault="008A7247" w:rsidP="008A7247">
      <w:pPr>
        <w:pStyle w:val="CETBodytext"/>
        <w:jc w:val="left"/>
        <w:rPr>
          <w:rStyle w:val="CETCaptionCarattere"/>
        </w:rPr>
      </w:pPr>
      <w:r w:rsidRPr="000365C1">
        <w:rPr>
          <w:rStyle w:val="CETCaptionCarattere"/>
        </w:rPr>
        <w:t xml:space="preserve">Figure 1: </w:t>
      </w:r>
      <w:r w:rsidRPr="000C0003">
        <w:rPr>
          <w:rStyle w:val="CETCaptionCarattere"/>
        </w:rPr>
        <w:t>Lab scale NaOH Extraction Performances: (A) PHA purity; (B) PHA recovery.</w:t>
      </w:r>
    </w:p>
    <w:p w14:paraId="0861B670" w14:textId="55A641AE" w:rsidR="008A7247" w:rsidRDefault="008A7247" w:rsidP="007E0969">
      <w:pPr>
        <w:pStyle w:val="CETBodytext"/>
        <w:rPr>
          <w:lang w:val="en-GB"/>
        </w:rPr>
      </w:pPr>
    </w:p>
    <w:p w14:paraId="66329FB4" w14:textId="77777777" w:rsidR="008A7247" w:rsidRPr="007E0969" w:rsidRDefault="008A7247" w:rsidP="007E0969">
      <w:pPr>
        <w:pStyle w:val="CETBodytext"/>
        <w:rPr>
          <w:lang w:val="en-GB"/>
        </w:rPr>
      </w:pPr>
    </w:p>
    <w:p w14:paraId="1F13D2E0" w14:textId="1C7571D0" w:rsidR="00D01A42" w:rsidRDefault="0052129D" w:rsidP="00D01A42">
      <w:pPr>
        <w:pStyle w:val="CETheadingx"/>
      </w:pPr>
      <w:r>
        <w:t>PHA characterization</w:t>
      </w:r>
    </w:p>
    <w:p w14:paraId="14B0C420" w14:textId="77777777" w:rsidR="00CD6EA6" w:rsidRDefault="00C24754" w:rsidP="00BC249E">
      <w:pPr>
        <w:pStyle w:val="CETBodytext"/>
        <w:ind w:right="-1"/>
        <w:rPr>
          <w:rStyle w:val="CETBodytextCarattere"/>
        </w:rPr>
      </w:pPr>
      <w:r>
        <w:rPr>
          <w:rStyle w:val="CETBodytextCarattere"/>
        </w:rPr>
        <w:t>As discussed in the previous section, different extractions led to different results in terms of PHA purity. Notwithstanding, the HV monomer content was stable after every kind of extraction</w:t>
      </w:r>
      <w:r w:rsidR="00CD6EA6">
        <w:rPr>
          <w:rStyle w:val="CETBodytextCarattere"/>
        </w:rPr>
        <w:t>. Monomeric composition is reported in Table 1, in comparison with those determined in raw PHA-rich biomass (</w:t>
      </w:r>
      <w:r w:rsidR="00CD6EA6">
        <w:rPr>
          <w:rFonts w:cs="Arial"/>
          <w:szCs w:val="18"/>
          <w:lang w:val="en-GB"/>
        </w:rPr>
        <w:t xml:space="preserve">11.0 </w:t>
      </w:r>
      <w:r w:rsidR="00CD6EA6" w:rsidRPr="006E0B6B">
        <w:rPr>
          <w:rFonts w:cs="Arial"/>
          <w:szCs w:val="18"/>
        </w:rPr>
        <w:t>±</w:t>
      </w:r>
      <w:r w:rsidR="00CD6EA6">
        <w:rPr>
          <w:rFonts w:cs="Arial"/>
          <w:szCs w:val="18"/>
        </w:rPr>
        <w:t xml:space="preserve"> 0.5 and 7.2 </w:t>
      </w:r>
      <w:r w:rsidR="00CD6EA6" w:rsidRPr="006E0B6B">
        <w:rPr>
          <w:rFonts w:cs="Arial"/>
          <w:szCs w:val="18"/>
        </w:rPr>
        <w:t>±</w:t>
      </w:r>
      <w:r w:rsidR="00CD6EA6">
        <w:rPr>
          <w:rFonts w:cs="Arial"/>
          <w:szCs w:val="18"/>
        </w:rPr>
        <w:t xml:space="preserve"> 0.2 %w/w, respectively for </w:t>
      </w:r>
      <w:r w:rsidR="00CD6EA6">
        <w:rPr>
          <w:rStyle w:val="CETBodytextCarattere"/>
        </w:rPr>
        <w:t xml:space="preserve">lab and pilot scale). </w:t>
      </w:r>
    </w:p>
    <w:p w14:paraId="01B5A510" w14:textId="5EEF12CA" w:rsidR="00BC249E" w:rsidRPr="006E0B6B" w:rsidRDefault="00812349" w:rsidP="00BC249E">
      <w:pPr>
        <w:pStyle w:val="CETBodytext"/>
        <w:ind w:right="-1"/>
        <w:rPr>
          <w:rFonts w:cs="Arial"/>
          <w:szCs w:val="18"/>
          <w:lang w:val="en-GB"/>
        </w:rPr>
      </w:pPr>
      <w:r>
        <w:rPr>
          <w:rStyle w:val="CETBodytextCarattere"/>
        </w:rPr>
        <w:t>Capillary v</w:t>
      </w:r>
      <w:r w:rsidR="007E0969" w:rsidRPr="007E0969">
        <w:rPr>
          <w:rStyle w:val="CETBodytextCarattere"/>
        </w:rPr>
        <w:t>iscosi</w:t>
      </w:r>
      <w:r w:rsidR="00BC249E">
        <w:rPr>
          <w:rStyle w:val="CETBodytextCarattere"/>
        </w:rPr>
        <w:t>ty</w:t>
      </w:r>
      <w:r w:rsidR="007E0969" w:rsidRPr="007E0969">
        <w:rPr>
          <w:rStyle w:val="CETBodytextCarattere"/>
        </w:rPr>
        <w:t xml:space="preserve"> analysis </w:t>
      </w:r>
      <w:r>
        <w:rPr>
          <w:rStyle w:val="CETBodytextCarattere"/>
        </w:rPr>
        <w:t>was</w:t>
      </w:r>
      <w:r w:rsidR="007E0969" w:rsidRPr="007E0969">
        <w:rPr>
          <w:rStyle w:val="CETBodytextCarattere"/>
        </w:rPr>
        <w:t xml:space="preserve"> conducted on PHA solutions in CHCl</w:t>
      </w:r>
      <w:r w:rsidR="007E0969" w:rsidRPr="00BC249E">
        <w:rPr>
          <w:rStyle w:val="CETBodytextCarattere"/>
          <w:vertAlign w:val="subscript"/>
        </w:rPr>
        <w:t>3</w:t>
      </w:r>
      <w:r w:rsidR="007E0969" w:rsidRPr="007E0969">
        <w:rPr>
          <w:rStyle w:val="CETBodytextCarattere"/>
        </w:rPr>
        <w:t xml:space="preserve"> for </w:t>
      </w:r>
      <w:r w:rsidR="00BC249E">
        <w:rPr>
          <w:rStyle w:val="CETBodytextCarattere"/>
        </w:rPr>
        <w:t>some representative</w:t>
      </w:r>
      <w:r w:rsidR="007E0969" w:rsidRPr="007E0969">
        <w:rPr>
          <w:rStyle w:val="CETBodytextCarattere"/>
        </w:rPr>
        <w:t xml:space="preserve"> sample</w:t>
      </w:r>
      <w:r w:rsidR="00BC249E">
        <w:rPr>
          <w:rStyle w:val="CETBodytextCarattere"/>
        </w:rPr>
        <w:t xml:space="preserve">s: </w:t>
      </w:r>
      <w:r w:rsidR="00BC249E" w:rsidRPr="00BC249E">
        <w:rPr>
          <w:rStyle w:val="CETBodytextCarattere"/>
        </w:rPr>
        <w:t>NaOH 0.05M + SDS 3h</w:t>
      </w:r>
      <w:r w:rsidR="00BC249E">
        <w:rPr>
          <w:rStyle w:val="CETBodytextCarattere"/>
        </w:rPr>
        <w:t xml:space="preserve">; </w:t>
      </w:r>
      <w:r w:rsidR="00BC249E" w:rsidRPr="00BC249E">
        <w:rPr>
          <w:rStyle w:val="CETBodytextCarattere"/>
        </w:rPr>
        <w:t>NaOH 0.2M + SDS 3h</w:t>
      </w:r>
      <w:r w:rsidR="00BC249E">
        <w:rPr>
          <w:rStyle w:val="CETBodytextCarattere"/>
        </w:rPr>
        <w:t xml:space="preserve">; </w:t>
      </w:r>
      <w:r w:rsidR="00BC249E" w:rsidRPr="00BC249E">
        <w:rPr>
          <w:rStyle w:val="CETBodytextCarattere"/>
        </w:rPr>
        <w:t>NaOH 0.5M 3h</w:t>
      </w:r>
      <w:r w:rsidR="00BC249E">
        <w:rPr>
          <w:rStyle w:val="CETBodytextCarattere"/>
        </w:rPr>
        <w:t xml:space="preserve"> (lab scale) and </w:t>
      </w:r>
      <w:r w:rsidR="00BC249E" w:rsidRPr="00334411">
        <w:rPr>
          <w:szCs w:val="18"/>
        </w:rPr>
        <w:t>NaOH 0.</w:t>
      </w:r>
      <w:r w:rsidR="00BC249E">
        <w:rPr>
          <w:szCs w:val="18"/>
        </w:rPr>
        <w:t>2</w:t>
      </w:r>
      <w:r w:rsidR="00BC249E" w:rsidRPr="00334411">
        <w:rPr>
          <w:szCs w:val="18"/>
        </w:rPr>
        <w:t>M + SDS 3h</w:t>
      </w:r>
      <w:r w:rsidR="00BC249E">
        <w:rPr>
          <w:szCs w:val="18"/>
        </w:rPr>
        <w:t xml:space="preserve"> (pilot scale). These results were </w:t>
      </w:r>
      <w:r>
        <w:rPr>
          <w:szCs w:val="18"/>
        </w:rPr>
        <w:t xml:space="preserve">also </w:t>
      </w:r>
      <w:r w:rsidR="00BC249E">
        <w:rPr>
          <w:szCs w:val="18"/>
        </w:rPr>
        <w:t>compared to those obtained from benchmark extraction</w:t>
      </w:r>
      <w:r>
        <w:rPr>
          <w:szCs w:val="18"/>
        </w:rPr>
        <w:t>s</w:t>
      </w:r>
      <w:r w:rsidR="00BC249E">
        <w:rPr>
          <w:szCs w:val="18"/>
        </w:rPr>
        <w:t>, as reported in Table 1.</w:t>
      </w:r>
    </w:p>
    <w:p w14:paraId="71A6496A" w14:textId="6CC3F677" w:rsidR="007E0969" w:rsidRPr="00BC249E" w:rsidRDefault="00812349" w:rsidP="00BC249E">
      <w:pPr>
        <w:pStyle w:val="CETBodytext"/>
      </w:pPr>
      <w:r>
        <w:rPr>
          <w:rStyle w:val="CETBodytextCarattere"/>
          <w:lang w:val="en-GB"/>
        </w:rPr>
        <w:t xml:space="preserve">Indeed, </w:t>
      </w:r>
      <w:r>
        <w:rPr>
          <w:rStyle w:val="CETBodytextCarattere"/>
        </w:rPr>
        <w:t>c</w:t>
      </w:r>
      <w:r w:rsidR="007E0969" w:rsidRPr="007E0969">
        <w:rPr>
          <w:rStyle w:val="CETBodytextCarattere"/>
        </w:rPr>
        <w:t xml:space="preserve">hloroform extraction has been considered as a </w:t>
      </w:r>
      <w:r>
        <w:rPr>
          <w:rStyle w:val="CETBodytextCarattere"/>
        </w:rPr>
        <w:t xml:space="preserve">reference, since chloroform can permeate the cellular wall, solubilize the </w:t>
      </w:r>
      <w:proofErr w:type="gramStart"/>
      <w:r>
        <w:rPr>
          <w:rStyle w:val="CETBodytextCarattere"/>
        </w:rPr>
        <w:t>polymer</w:t>
      </w:r>
      <w:proofErr w:type="gramEnd"/>
      <w:r>
        <w:rPr>
          <w:rStyle w:val="CETBodytextCarattere"/>
        </w:rPr>
        <w:t xml:space="preserve"> and extract it from the cytoplasm, without affecting PHA structure</w:t>
      </w:r>
      <w:r w:rsidR="007E0969" w:rsidRPr="007E0969">
        <w:rPr>
          <w:rStyle w:val="CETBodytextCarattere"/>
        </w:rPr>
        <w:t xml:space="preserve">. On the other hand, the use of </w:t>
      </w:r>
      <w:proofErr w:type="spellStart"/>
      <w:r w:rsidR="007E0969" w:rsidRPr="007E0969">
        <w:rPr>
          <w:rStyle w:val="CETBodytextCarattere"/>
        </w:rPr>
        <w:t>NaClO</w:t>
      </w:r>
      <w:proofErr w:type="spellEnd"/>
      <w:r w:rsidR="007E0969" w:rsidRPr="007E0969">
        <w:rPr>
          <w:rStyle w:val="CETBodytextCarattere"/>
        </w:rPr>
        <w:t xml:space="preserve"> </w:t>
      </w:r>
      <w:r>
        <w:rPr>
          <w:rStyle w:val="CETBodytextCarattere"/>
        </w:rPr>
        <w:t xml:space="preserve">and NaOH </w:t>
      </w:r>
      <w:r w:rsidR="007E0969" w:rsidRPr="007E0969">
        <w:rPr>
          <w:rStyle w:val="CETBodytextCarattere"/>
        </w:rPr>
        <w:t xml:space="preserve">to </w:t>
      </w:r>
      <w:r w:rsidR="00AA0131">
        <w:rPr>
          <w:rStyle w:val="CETBodytextCarattere"/>
        </w:rPr>
        <w:t>digest</w:t>
      </w:r>
      <w:r w:rsidR="007E0969" w:rsidRPr="007E0969">
        <w:rPr>
          <w:rStyle w:val="CETBodytextCarattere"/>
        </w:rPr>
        <w:t xml:space="preserve"> NPCM could in parallel cause a partial degradation of the polymeric chains, </w:t>
      </w:r>
      <w:r>
        <w:rPr>
          <w:rStyle w:val="CETBodytextCarattere"/>
        </w:rPr>
        <w:t>leading to</w:t>
      </w:r>
      <w:r w:rsidR="007E0969" w:rsidRPr="007E0969">
        <w:rPr>
          <w:rStyle w:val="CETBodytextCarattere"/>
        </w:rPr>
        <w:t xml:space="preserve"> molecular weight decreas</w:t>
      </w:r>
      <w:r>
        <w:rPr>
          <w:rStyle w:val="CETBodytextCarattere"/>
        </w:rPr>
        <w:t>e</w:t>
      </w:r>
      <w:r w:rsidR="007E0969" w:rsidRPr="007E0969">
        <w:rPr>
          <w:rStyle w:val="CETBodytextCarattere"/>
        </w:rPr>
        <w:t>.</w:t>
      </w:r>
      <w:r w:rsidR="009B6DF5" w:rsidRPr="007E0969">
        <w:rPr>
          <w:w w:val="105"/>
        </w:rPr>
        <w:t xml:space="preserve"> </w:t>
      </w:r>
      <w:r w:rsidR="007E0969" w:rsidRPr="007E0969">
        <w:rPr>
          <w:w w:val="105"/>
        </w:rPr>
        <w:t xml:space="preserve">As a main result, </w:t>
      </w:r>
      <w:proofErr w:type="spellStart"/>
      <w:r w:rsidR="007E0969" w:rsidRPr="007E0969">
        <w:rPr>
          <w:w w:val="105"/>
        </w:rPr>
        <w:t>NaClO</w:t>
      </w:r>
      <w:proofErr w:type="spellEnd"/>
      <w:r w:rsidR="007E0969" w:rsidRPr="007E0969">
        <w:rPr>
          <w:w w:val="105"/>
        </w:rPr>
        <w:t xml:space="preserve"> digestion did not affect the molecular weight for </w:t>
      </w:r>
      <w:r w:rsidR="009B6DF5">
        <w:rPr>
          <w:w w:val="105"/>
        </w:rPr>
        <w:t>both lab and pilot scale</w:t>
      </w:r>
      <w:r w:rsidR="007E0969" w:rsidRPr="007E0969">
        <w:rPr>
          <w:w w:val="105"/>
        </w:rPr>
        <w:t xml:space="preserve"> samples. In fact, for </w:t>
      </w:r>
      <w:r w:rsidR="009B6DF5">
        <w:rPr>
          <w:w w:val="105"/>
        </w:rPr>
        <w:t>both samples</w:t>
      </w:r>
      <w:r w:rsidR="007E0969" w:rsidRPr="007E0969">
        <w:rPr>
          <w:w w:val="105"/>
        </w:rPr>
        <w:t xml:space="preserve"> the values of the viscosi</w:t>
      </w:r>
      <w:r w:rsidR="009B6DF5">
        <w:rPr>
          <w:w w:val="105"/>
        </w:rPr>
        <w:t>t</w:t>
      </w:r>
      <w:r w:rsidR="007E0969" w:rsidRPr="007E0969">
        <w:rPr>
          <w:w w:val="105"/>
        </w:rPr>
        <w:t>y average molecular weight (</w:t>
      </w:r>
      <m:oMath>
        <m:acc>
          <m:accPr>
            <m:chr m:val="̅"/>
            <m:ctrlPr>
              <w:rPr>
                <w:rFonts w:ascii="Cambria Math" w:hAnsi="Cambria Math"/>
                <w:i/>
                <w:w w:val="105"/>
              </w:rPr>
            </m:ctrlPr>
          </m:accPr>
          <m:e>
            <m:r>
              <w:rPr>
                <w:rFonts w:ascii="Cambria Math" w:hAnsi="Cambria Math"/>
                <w:w w:val="105"/>
              </w:rPr>
              <m:t>M</m:t>
            </m:r>
          </m:e>
        </m:acc>
      </m:oMath>
      <w:r w:rsidR="007E0969" w:rsidRPr="007E0969">
        <w:rPr>
          <w:w w:val="105"/>
          <w:vertAlign w:val="subscript"/>
        </w:rPr>
        <w:t>v</w:t>
      </w:r>
      <w:r w:rsidR="007E0969" w:rsidRPr="007E0969">
        <w:rPr>
          <w:w w:val="105"/>
        </w:rPr>
        <w:t>) are comparable</w:t>
      </w:r>
      <w:r w:rsidR="009B6DF5">
        <w:rPr>
          <w:w w:val="105"/>
        </w:rPr>
        <w:t xml:space="preserve"> to those determined after chloroform extraction</w:t>
      </w:r>
      <w:r w:rsidR="007E0969" w:rsidRPr="007E0969">
        <w:rPr>
          <w:w w:val="105"/>
        </w:rPr>
        <w:t xml:space="preserve">: </w:t>
      </w:r>
      <w:r w:rsidR="009B6DF5">
        <w:rPr>
          <w:rFonts w:cs="Arial"/>
          <w:szCs w:val="18"/>
          <w:lang w:val="en-GB"/>
        </w:rPr>
        <w:t xml:space="preserve">181 </w:t>
      </w:r>
      <w:r w:rsidR="009B6DF5" w:rsidRPr="006E0B6B">
        <w:rPr>
          <w:rFonts w:cs="Arial"/>
          <w:szCs w:val="18"/>
        </w:rPr>
        <w:t>±</w:t>
      </w:r>
      <w:r w:rsidR="009B6DF5">
        <w:rPr>
          <w:rFonts w:cs="Arial"/>
          <w:szCs w:val="18"/>
        </w:rPr>
        <w:t xml:space="preserve"> 13 </w:t>
      </w:r>
      <w:r w:rsidR="007E0969" w:rsidRPr="007E0969">
        <w:rPr>
          <w:w w:val="105"/>
        </w:rPr>
        <w:t xml:space="preserve">and </w:t>
      </w:r>
      <w:r w:rsidR="009B6DF5">
        <w:rPr>
          <w:rFonts w:cs="Arial"/>
          <w:szCs w:val="18"/>
          <w:lang w:val="en-GB"/>
        </w:rPr>
        <w:t xml:space="preserve">197 </w:t>
      </w:r>
      <w:r w:rsidR="009B6DF5" w:rsidRPr="006E0B6B">
        <w:rPr>
          <w:rFonts w:cs="Arial"/>
          <w:szCs w:val="18"/>
        </w:rPr>
        <w:t>±</w:t>
      </w:r>
      <w:r w:rsidR="009B6DF5">
        <w:rPr>
          <w:rFonts w:cs="Arial"/>
          <w:szCs w:val="18"/>
        </w:rPr>
        <w:t xml:space="preserve"> 14</w:t>
      </w:r>
      <w:r w:rsidR="007E0969" w:rsidRPr="007E0969">
        <w:rPr>
          <w:w w:val="105"/>
        </w:rPr>
        <w:t xml:space="preserve"> </w:t>
      </w:r>
      <w:proofErr w:type="spellStart"/>
      <w:r w:rsidR="007E0969" w:rsidRPr="007E0969">
        <w:rPr>
          <w:w w:val="105"/>
        </w:rPr>
        <w:t>kDa</w:t>
      </w:r>
      <w:proofErr w:type="spellEnd"/>
      <w:r w:rsidR="007E0969" w:rsidRPr="007E0969">
        <w:rPr>
          <w:w w:val="105"/>
        </w:rPr>
        <w:t xml:space="preserve"> respectively for </w:t>
      </w:r>
      <w:r w:rsidR="009B6DF5">
        <w:rPr>
          <w:w w:val="105"/>
        </w:rPr>
        <w:t>lab</w:t>
      </w:r>
      <w:r w:rsidR="007E0969" w:rsidRPr="007E0969">
        <w:rPr>
          <w:w w:val="105"/>
        </w:rPr>
        <w:t xml:space="preserve"> and </w:t>
      </w:r>
      <w:r w:rsidR="009B6DF5">
        <w:rPr>
          <w:w w:val="105"/>
        </w:rPr>
        <w:t>pilot</w:t>
      </w:r>
      <w:r w:rsidR="000D3571">
        <w:rPr>
          <w:w w:val="105"/>
        </w:rPr>
        <w:t>-</w:t>
      </w:r>
      <w:r w:rsidR="009B6DF5">
        <w:rPr>
          <w:w w:val="105"/>
        </w:rPr>
        <w:t>scale PHA</w:t>
      </w:r>
      <w:r w:rsidR="007E0969" w:rsidRPr="007E0969">
        <w:rPr>
          <w:w w:val="105"/>
        </w:rPr>
        <w:t xml:space="preserve">. </w:t>
      </w:r>
      <w:r w:rsidR="009B6DF5">
        <w:rPr>
          <w:w w:val="105"/>
        </w:rPr>
        <w:t>On the other hand,</w:t>
      </w:r>
      <w:r w:rsidR="007E0969" w:rsidRPr="007E0969">
        <w:rPr>
          <w:w w:val="105"/>
        </w:rPr>
        <w:t xml:space="preserve"> </w:t>
      </w:r>
      <m:oMath>
        <m:acc>
          <m:accPr>
            <m:chr m:val="̅"/>
            <m:ctrlPr>
              <w:rPr>
                <w:rFonts w:ascii="Cambria Math" w:hAnsi="Cambria Math"/>
                <w:i/>
                <w:w w:val="105"/>
              </w:rPr>
            </m:ctrlPr>
          </m:accPr>
          <m:e>
            <m:r>
              <w:rPr>
                <w:rFonts w:ascii="Cambria Math" w:hAnsi="Cambria Math"/>
                <w:w w:val="105"/>
              </w:rPr>
              <m:t>M</m:t>
            </m:r>
          </m:e>
        </m:acc>
      </m:oMath>
      <w:r w:rsidR="007E0969" w:rsidRPr="007E0969">
        <w:rPr>
          <w:w w:val="105"/>
          <w:vertAlign w:val="subscript"/>
        </w:rPr>
        <w:t>v</w:t>
      </w:r>
      <w:r w:rsidR="007E0969" w:rsidRPr="007E0969">
        <w:rPr>
          <w:w w:val="105"/>
        </w:rPr>
        <w:t xml:space="preserve"> </w:t>
      </w:r>
      <w:r w:rsidR="00E63E42">
        <w:rPr>
          <w:w w:val="105"/>
        </w:rPr>
        <w:t xml:space="preserve">of PHA produced at lab scale </w:t>
      </w:r>
      <w:r w:rsidR="009B6DF5">
        <w:rPr>
          <w:w w:val="105"/>
        </w:rPr>
        <w:t xml:space="preserve">was slightly affected by NaOH </w:t>
      </w:r>
      <w:r w:rsidR="00E63E42">
        <w:rPr>
          <w:w w:val="105"/>
        </w:rPr>
        <w:t>treatment at low concentration (0.05 and 0.2 M) coupled with SDS for 3h (</w:t>
      </w:r>
      <w:r w:rsidR="00E63E42">
        <w:rPr>
          <w:rFonts w:cs="Arial"/>
          <w:szCs w:val="18"/>
          <w:lang w:val="en-GB"/>
        </w:rPr>
        <w:t xml:space="preserve">162 </w:t>
      </w:r>
      <w:r w:rsidR="00E63E42" w:rsidRPr="006E0B6B">
        <w:rPr>
          <w:rFonts w:cs="Arial"/>
          <w:szCs w:val="18"/>
        </w:rPr>
        <w:t>±</w:t>
      </w:r>
      <w:r w:rsidR="00E63E42">
        <w:rPr>
          <w:rFonts w:cs="Arial"/>
          <w:szCs w:val="18"/>
        </w:rPr>
        <w:t xml:space="preserve"> 12 and </w:t>
      </w:r>
      <w:r w:rsidR="00E63E42">
        <w:rPr>
          <w:rFonts w:cs="Arial"/>
          <w:szCs w:val="18"/>
          <w:lang w:val="en-GB"/>
        </w:rPr>
        <w:t xml:space="preserve">165 </w:t>
      </w:r>
      <w:r w:rsidR="00E63E42" w:rsidRPr="006E0B6B">
        <w:rPr>
          <w:rFonts w:cs="Arial"/>
          <w:szCs w:val="18"/>
        </w:rPr>
        <w:t>±</w:t>
      </w:r>
      <w:r w:rsidR="00E63E42">
        <w:rPr>
          <w:rFonts w:cs="Arial"/>
          <w:szCs w:val="18"/>
        </w:rPr>
        <w:t xml:space="preserve"> 23 </w:t>
      </w:r>
      <w:proofErr w:type="spellStart"/>
      <w:r w:rsidR="00E63E42">
        <w:rPr>
          <w:rFonts w:cs="Arial"/>
          <w:szCs w:val="18"/>
        </w:rPr>
        <w:t>kDa</w:t>
      </w:r>
      <w:proofErr w:type="spellEnd"/>
      <w:r w:rsidR="00E63E42">
        <w:rPr>
          <w:rFonts w:cs="Arial"/>
          <w:szCs w:val="18"/>
        </w:rPr>
        <w:t xml:space="preserve">, respectively), while the increased NaOH concentration (0.5 M) caused the halving of the </w:t>
      </w:r>
      <m:oMath>
        <m:acc>
          <m:accPr>
            <m:chr m:val="̅"/>
            <m:ctrlPr>
              <w:rPr>
                <w:rFonts w:ascii="Cambria Math" w:hAnsi="Cambria Math"/>
                <w:i/>
                <w:w w:val="105"/>
              </w:rPr>
            </m:ctrlPr>
          </m:accPr>
          <m:e>
            <m:r>
              <w:rPr>
                <w:rFonts w:ascii="Cambria Math" w:hAnsi="Cambria Math"/>
                <w:w w:val="105"/>
              </w:rPr>
              <m:t>M</m:t>
            </m:r>
          </m:e>
        </m:acc>
      </m:oMath>
      <w:r w:rsidR="00E63E42" w:rsidRPr="007E0969">
        <w:rPr>
          <w:w w:val="105"/>
          <w:vertAlign w:val="subscript"/>
        </w:rPr>
        <w:t>v</w:t>
      </w:r>
      <w:r w:rsidR="00E63E42">
        <w:rPr>
          <w:w w:val="105"/>
        </w:rPr>
        <w:t xml:space="preserve"> (</w:t>
      </w:r>
      <w:r w:rsidR="00E63E42">
        <w:rPr>
          <w:rFonts w:cs="Arial"/>
          <w:szCs w:val="18"/>
          <w:lang w:val="en-GB"/>
        </w:rPr>
        <w:t xml:space="preserve">95 </w:t>
      </w:r>
      <w:r w:rsidR="00E63E42" w:rsidRPr="006E0B6B">
        <w:rPr>
          <w:rFonts w:cs="Arial"/>
          <w:szCs w:val="18"/>
        </w:rPr>
        <w:t>±</w:t>
      </w:r>
      <w:r w:rsidR="00E63E42">
        <w:rPr>
          <w:rFonts w:cs="Arial"/>
          <w:szCs w:val="18"/>
        </w:rPr>
        <w:t xml:space="preserve"> 9 </w:t>
      </w:r>
      <w:proofErr w:type="spellStart"/>
      <w:r w:rsidR="00E63E42">
        <w:rPr>
          <w:rFonts w:cs="Arial"/>
          <w:szCs w:val="18"/>
        </w:rPr>
        <w:t>kDa</w:t>
      </w:r>
      <w:proofErr w:type="spellEnd"/>
      <w:r w:rsidR="00E63E42">
        <w:rPr>
          <w:rFonts w:cs="Arial"/>
          <w:szCs w:val="18"/>
        </w:rPr>
        <w:t>).</w:t>
      </w:r>
      <w:r w:rsidR="00857E0F">
        <w:rPr>
          <w:rFonts w:cs="Arial"/>
          <w:szCs w:val="18"/>
        </w:rPr>
        <w:t xml:space="preserve"> However, different results were found for PHA produced from waste, indeed </w:t>
      </w:r>
      <w:r w:rsidR="00853CC0">
        <w:rPr>
          <w:rFonts w:cs="Arial"/>
          <w:szCs w:val="18"/>
        </w:rPr>
        <w:t xml:space="preserve">all the considered extractions gave comparable values of </w:t>
      </w:r>
      <w:r w:rsidR="002B0BF0">
        <w:rPr>
          <w:w w:val="105"/>
        </w:rPr>
        <w:t xml:space="preserve"> </w:t>
      </w:r>
      <m:oMath>
        <m:acc>
          <m:accPr>
            <m:chr m:val="̅"/>
            <m:ctrlPr>
              <w:rPr>
                <w:rFonts w:ascii="Cambria Math" w:hAnsi="Cambria Math"/>
                <w:i/>
                <w:w w:val="105"/>
              </w:rPr>
            </m:ctrlPr>
          </m:accPr>
          <m:e>
            <m:r>
              <w:rPr>
                <w:rFonts w:ascii="Cambria Math" w:hAnsi="Cambria Math"/>
                <w:w w:val="105"/>
              </w:rPr>
              <m:t>M</m:t>
            </m:r>
          </m:e>
        </m:acc>
      </m:oMath>
      <w:r w:rsidR="00853CC0" w:rsidRPr="007E0969">
        <w:rPr>
          <w:w w:val="105"/>
          <w:vertAlign w:val="subscript"/>
        </w:rPr>
        <w:t>v</w:t>
      </w:r>
      <w:r w:rsidR="00853CC0">
        <w:rPr>
          <w:w w:val="105"/>
        </w:rPr>
        <w:t xml:space="preserve">, around 200 </w:t>
      </w:r>
      <w:proofErr w:type="spellStart"/>
      <w:r w:rsidR="00853CC0">
        <w:rPr>
          <w:w w:val="105"/>
        </w:rPr>
        <w:t>kDa</w:t>
      </w:r>
      <w:proofErr w:type="spellEnd"/>
      <w:r w:rsidR="00853CC0">
        <w:rPr>
          <w:w w:val="105"/>
        </w:rPr>
        <w:t>, as shown in Table 1.</w:t>
      </w:r>
      <w:r w:rsidR="007E0969" w:rsidRPr="007E0969">
        <w:rPr>
          <w:w w:val="105"/>
        </w:rPr>
        <w:t xml:space="preserve"> Previous studies reported M</w:t>
      </w:r>
      <w:r w:rsidR="007E0969" w:rsidRPr="007E0969">
        <w:rPr>
          <w:w w:val="105"/>
          <w:vertAlign w:val="subscript"/>
        </w:rPr>
        <w:t>w</w:t>
      </w:r>
      <w:r w:rsidR="007E0969" w:rsidRPr="007E0969">
        <w:rPr>
          <w:w w:val="105"/>
        </w:rPr>
        <w:t xml:space="preserve"> of 340-540 </w:t>
      </w:r>
      <w:proofErr w:type="spellStart"/>
      <w:r w:rsidR="007E0969" w:rsidRPr="007E0969">
        <w:rPr>
          <w:w w:val="105"/>
        </w:rPr>
        <w:t>kDa</w:t>
      </w:r>
      <w:proofErr w:type="spellEnd"/>
      <w:r w:rsidR="007E0969" w:rsidRPr="007E0969">
        <w:rPr>
          <w:w w:val="105"/>
        </w:rPr>
        <w:t xml:space="preserve"> </w:t>
      </w:r>
      <w:r w:rsidR="00774C94">
        <w:rPr>
          <w:w w:val="105"/>
        </w:rPr>
        <w:fldChar w:fldCharType="begin" w:fldLock="1"/>
      </w:r>
      <w:r w:rsidR="00774C94">
        <w:rPr>
          <w:w w:val="105"/>
        </w:rPr>
        <w:instrText>ADDIN CSL_CITATION {"citationItems":[{"id":"ITEM-1","itemData":{"DOI":"10.1016/j.nbt.2013.08.001","ISSN":"18764347","abstract":"Polyhydroxyalkanoates (PHA) production with mixed microbial cultures (MMC) has been investigated by means of a sequential process involving three different stages, consisting of a lab-scale sequencing batch reactor for MMC selection, a PHA accumulation reactor and a polymer extraction reactor. All stages were performed under continuous operation for at least 4 months to check the overall process robustness as well as the related variability of polymer composition and properties.By operating both biological stages at high organic loads (8.5 and 29.1gCOD/Ld, respectively) with a synthetic mixture of acetic and propionic acid, it was possible to continuously produce PHA at 1.43g/Ld with stable performance (overall, the storage yield was 0.18 COD/COD). To identify the optimal operating conditions of the extraction reactor, two digestion solutions have been tested, NaOH (1m) and NaClO (5% active Cl2). The latter resulted in the best performance both in terms of yield of polymer recovery (around 100%, w/w) and purity (more than 90% of PHA content in the residual solids, on a weight basis). In spite of the stable operating conditions and performance, a large variation was observed for the HV content, ranging between 4 and 20 (%, w/w) for daily samples after accumulation and between 9 and 13 (%, w/w) for weekly average samples after extraction and lyophilization. The molecular weight of the produced polymer ranged between 3.4×105 and 5.4×105g/mol with a large polydispersity index. By contrast, TGA and DSC analysis showed that the thermal polymer behavior did not substantially change over time, although it was strongly affected by the extraction agent used (NaClO or NaOH). © 2013 Elsevier B.V.","author":[{"dropping-particle":"","family":"Villano","given":"M.","non-dropping-particle":"","parse-names":false,"suffix":""},{"dropping-particle":"","family":"Valentino","given":"F.","non-dropping-particle":"","parse-names":false,"suffix":""},{"dropping-particle":"","family":"Barbetta","given":"A.","non-dropping-particle":"","parse-names":false,"suffix":""},{"dropping-particle":"","family":"Martino","given":"L.","non-dropping-particle":"","parse-names":false,"suffix":""},{"dropping-particle":"","family":"Scandola","given":"M.","non-dropping-particle":"","parse-names":false,"suffix":""},{"dropping-particle":"","family":"Majone","given":"M.","non-dropping-particle":"","parse-names":false,"suffix":""}],"container-title":"New Biotechnology","id":"ITEM-1","issue":"4","issued":{"date-parts":[["2014"]]},"page":"289-296","publisher":"Elsevier B.V.","title":"Polyhydroxyalkanoates production with mixed microbial cultures: From culture selection to polymer recovery in a high-rate continuous process","type":"article-journal","volume":"31"},"uris":["http://www.mendeley.com/documents/?uuid=f5354a45-4ea2-46e5-8398-8f41af88f929"]}],"mendeley":{"formattedCitation":"(Villano et al. 2014)","plainTextFormattedCitation":"(Villano et al. 2014)","previouslyFormattedCitation":"(Villano et al. 2014)"},"properties":{"noteIndex":0},"schema":"https://github.com/citation-style-language/schema/raw/master/csl-citation.json"}</w:instrText>
      </w:r>
      <w:r w:rsidR="00774C94">
        <w:rPr>
          <w:w w:val="105"/>
        </w:rPr>
        <w:fldChar w:fldCharType="separate"/>
      </w:r>
      <w:r w:rsidR="00774C94" w:rsidRPr="00774C94">
        <w:rPr>
          <w:noProof/>
          <w:w w:val="105"/>
        </w:rPr>
        <w:t>(Villano et al. 2014)</w:t>
      </w:r>
      <w:r w:rsidR="00774C94">
        <w:rPr>
          <w:w w:val="105"/>
        </w:rPr>
        <w:fldChar w:fldCharType="end"/>
      </w:r>
      <w:r w:rsidR="00774C94">
        <w:rPr>
          <w:w w:val="105"/>
        </w:rPr>
        <w:t xml:space="preserve"> </w:t>
      </w:r>
      <w:r w:rsidR="00FB6F86">
        <w:rPr>
          <w:w w:val="105"/>
        </w:rPr>
        <w:t xml:space="preserve">for lab scale biomass and </w:t>
      </w:r>
      <m:oMath>
        <m:acc>
          <m:accPr>
            <m:chr m:val="̅"/>
            <m:ctrlPr>
              <w:rPr>
                <w:rFonts w:ascii="Cambria Math" w:hAnsi="Cambria Math"/>
                <w:i/>
                <w:w w:val="105"/>
              </w:rPr>
            </m:ctrlPr>
          </m:accPr>
          <m:e>
            <m:r>
              <w:rPr>
                <w:rFonts w:ascii="Cambria Math" w:hAnsi="Cambria Math"/>
                <w:w w:val="105"/>
              </w:rPr>
              <m:t>M</m:t>
            </m:r>
          </m:e>
        </m:acc>
      </m:oMath>
      <w:r w:rsidR="00FB6F86" w:rsidRPr="007E0969">
        <w:rPr>
          <w:w w:val="105"/>
          <w:vertAlign w:val="subscript"/>
        </w:rPr>
        <w:t>v</w:t>
      </w:r>
      <w:r w:rsidR="00FB6F86">
        <w:rPr>
          <w:w w:val="105"/>
        </w:rPr>
        <w:t xml:space="preserve"> </w:t>
      </w:r>
      <w:r w:rsidR="00144319">
        <w:rPr>
          <w:w w:val="105"/>
        </w:rPr>
        <w:t>around</w:t>
      </w:r>
      <w:r w:rsidR="00FB6F86">
        <w:rPr>
          <w:w w:val="105"/>
        </w:rPr>
        <w:t xml:space="preserve"> </w:t>
      </w:r>
      <w:r w:rsidR="00144319">
        <w:rPr>
          <w:rFonts w:eastAsiaTheme="minorHAnsi"/>
        </w:rPr>
        <w:t>130</w:t>
      </w:r>
      <w:r w:rsidR="00FB6F86" w:rsidRPr="00FB6F86">
        <w:rPr>
          <w:rFonts w:eastAsiaTheme="minorHAnsi"/>
        </w:rPr>
        <w:t xml:space="preserve"> </w:t>
      </w:r>
      <w:proofErr w:type="spellStart"/>
      <w:r w:rsidR="00FB6F86" w:rsidRPr="00FB6F86">
        <w:rPr>
          <w:rFonts w:eastAsiaTheme="minorHAnsi"/>
        </w:rPr>
        <w:t>kDa</w:t>
      </w:r>
      <w:proofErr w:type="spellEnd"/>
      <w:r w:rsidR="007E0969" w:rsidRPr="007E0969">
        <w:rPr>
          <w:w w:val="105"/>
        </w:rPr>
        <w:t xml:space="preserve"> </w:t>
      </w:r>
      <w:r w:rsidR="00FB6F86">
        <w:rPr>
          <w:w w:val="105"/>
        </w:rPr>
        <w:t xml:space="preserve">for PHA produced from OFMSW and sludge at pilot scale </w:t>
      </w:r>
      <w:r w:rsidR="00774C94">
        <w:rPr>
          <w:w w:val="105"/>
        </w:rPr>
        <w:fldChar w:fldCharType="begin" w:fldLock="1"/>
      </w:r>
      <w:r w:rsidR="001C21C5">
        <w:rPr>
          <w:w w:val="105"/>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774C94">
        <w:rPr>
          <w:w w:val="105"/>
        </w:rPr>
        <w:fldChar w:fldCharType="separate"/>
      </w:r>
      <w:r w:rsidR="00774C94" w:rsidRPr="00774C94">
        <w:rPr>
          <w:noProof/>
          <w:w w:val="105"/>
        </w:rPr>
        <w:t>(Lorini, Martinelli, Pavan, et al. 2021)</w:t>
      </w:r>
      <w:r w:rsidR="00774C94">
        <w:rPr>
          <w:w w:val="105"/>
        </w:rPr>
        <w:fldChar w:fldCharType="end"/>
      </w:r>
      <w:r w:rsidR="00774C94">
        <w:rPr>
          <w:w w:val="105"/>
        </w:rPr>
        <w:t>.</w:t>
      </w:r>
      <w:r w:rsidR="00FB6F86">
        <w:rPr>
          <w:w w:val="105"/>
        </w:rPr>
        <w:t xml:space="preserve"> </w:t>
      </w:r>
    </w:p>
    <w:p w14:paraId="5E90F84A" w14:textId="37196E33" w:rsidR="007E0969" w:rsidRPr="00673010" w:rsidRDefault="007E0969" w:rsidP="007E0969">
      <w:pPr>
        <w:pStyle w:val="CETBodytext"/>
        <w:rPr>
          <w:w w:val="105"/>
        </w:rPr>
      </w:pPr>
      <w:r w:rsidRPr="00831BCA">
        <w:rPr>
          <w:w w:val="105"/>
        </w:rPr>
        <w:t xml:space="preserve">Thermogravimetric analysis allowed to determine </w:t>
      </w:r>
      <w:r w:rsidR="00FB6F86">
        <w:rPr>
          <w:w w:val="105"/>
        </w:rPr>
        <w:t xml:space="preserve">the </w:t>
      </w:r>
      <w:r w:rsidRPr="00831BCA">
        <w:rPr>
          <w:w w:val="105"/>
        </w:rPr>
        <w:t>decomposition temperature</w:t>
      </w:r>
      <w:r w:rsidR="00FB6F86">
        <w:rPr>
          <w:w w:val="105"/>
        </w:rPr>
        <w:t xml:space="preserve"> derived at </w:t>
      </w:r>
      <w:r w:rsidR="00D42FB6">
        <w:rPr>
          <w:w w:val="105"/>
        </w:rPr>
        <w:t xml:space="preserve">the </w:t>
      </w:r>
      <w:r w:rsidR="00D42FB6" w:rsidRPr="00831BCA">
        <w:rPr>
          <w:w w:val="105"/>
        </w:rPr>
        <w:t>maximum decomposition rate (</w:t>
      </w:r>
      <w:proofErr w:type="spellStart"/>
      <w:r w:rsidR="00D42FB6" w:rsidRPr="00831BCA">
        <w:rPr>
          <w:w w:val="105"/>
        </w:rPr>
        <w:t>T</w:t>
      </w:r>
      <w:r w:rsidR="00D42FB6" w:rsidRPr="00831BCA">
        <w:rPr>
          <w:w w:val="105"/>
          <w:vertAlign w:val="subscript"/>
        </w:rPr>
        <w:t>d</w:t>
      </w:r>
      <w:r w:rsidR="00D42FB6">
        <w:rPr>
          <w:w w:val="105"/>
          <w:vertAlign w:val="superscript"/>
        </w:rPr>
        <w:t>max</w:t>
      </w:r>
      <w:proofErr w:type="spellEnd"/>
      <w:r w:rsidR="00D42FB6" w:rsidRPr="00831BCA">
        <w:rPr>
          <w:w w:val="105"/>
        </w:rPr>
        <w:t>)</w:t>
      </w:r>
      <w:r w:rsidR="00D42FB6">
        <w:rPr>
          <w:w w:val="105"/>
        </w:rPr>
        <w:t>.</w:t>
      </w:r>
      <w:r w:rsidR="00D42FB6" w:rsidRPr="00831BCA">
        <w:rPr>
          <w:w w:val="105"/>
        </w:rPr>
        <w:t xml:space="preserve"> </w:t>
      </w:r>
      <w:r w:rsidR="00144319">
        <w:rPr>
          <w:w w:val="105"/>
        </w:rPr>
        <w:t>R</w:t>
      </w:r>
      <w:r w:rsidR="00144319" w:rsidRPr="00593DC3">
        <w:rPr>
          <w:w w:val="105"/>
        </w:rPr>
        <w:t xml:space="preserve">esults on all </w:t>
      </w:r>
      <w:r w:rsidR="00144319">
        <w:rPr>
          <w:w w:val="105"/>
        </w:rPr>
        <w:t xml:space="preserve">the </w:t>
      </w:r>
      <w:r w:rsidR="00144319" w:rsidRPr="00593DC3">
        <w:rPr>
          <w:w w:val="105"/>
        </w:rPr>
        <w:t xml:space="preserve">samples </w:t>
      </w:r>
      <w:r w:rsidR="00144319">
        <w:rPr>
          <w:w w:val="105"/>
        </w:rPr>
        <w:t xml:space="preserve">reported in Table 1 </w:t>
      </w:r>
      <w:r w:rsidR="00144319" w:rsidRPr="00593DC3">
        <w:rPr>
          <w:w w:val="105"/>
        </w:rPr>
        <w:t xml:space="preserve">show that PHA thermal stability </w:t>
      </w:r>
      <w:r w:rsidR="00144319">
        <w:rPr>
          <w:w w:val="105"/>
        </w:rPr>
        <w:t xml:space="preserve">was not </w:t>
      </w:r>
      <w:r w:rsidR="00144319" w:rsidRPr="00593DC3">
        <w:rPr>
          <w:w w:val="105"/>
        </w:rPr>
        <w:t>affected by the extraction agent used</w:t>
      </w:r>
      <w:r w:rsidR="00144319">
        <w:rPr>
          <w:w w:val="105"/>
        </w:rPr>
        <w:t xml:space="preserve">. </w:t>
      </w:r>
      <w:r w:rsidR="00257AB8">
        <w:rPr>
          <w:w w:val="105"/>
        </w:rPr>
        <w:t xml:space="preserve">Indeed, all the determined </w:t>
      </w:r>
      <w:proofErr w:type="spellStart"/>
      <w:r w:rsidR="00144319" w:rsidRPr="00831BCA">
        <w:rPr>
          <w:w w:val="105"/>
        </w:rPr>
        <w:t>T</w:t>
      </w:r>
      <w:r w:rsidR="00144319" w:rsidRPr="00831BCA">
        <w:rPr>
          <w:w w:val="105"/>
          <w:vertAlign w:val="subscript"/>
        </w:rPr>
        <w:t>d</w:t>
      </w:r>
      <w:r w:rsidR="00144319">
        <w:rPr>
          <w:w w:val="105"/>
          <w:vertAlign w:val="superscript"/>
        </w:rPr>
        <w:t>max</w:t>
      </w:r>
      <w:proofErr w:type="spellEnd"/>
      <w:r w:rsidR="00144319">
        <w:rPr>
          <w:w w:val="105"/>
        </w:rPr>
        <w:t xml:space="preserve"> were</w:t>
      </w:r>
      <w:r w:rsidR="00257AB8">
        <w:rPr>
          <w:w w:val="105"/>
        </w:rPr>
        <w:t xml:space="preserve"> in the range of </w:t>
      </w:r>
      <w:r w:rsidR="00144319">
        <w:rPr>
          <w:w w:val="105"/>
        </w:rPr>
        <w:t>27</w:t>
      </w:r>
      <w:r w:rsidR="00257AB8">
        <w:rPr>
          <w:w w:val="105"/>
        </w:rPr>
        <w:t>1</w:t>
      </w:r>
      <w:r w:rsidR="00144319">
        <w:rPr>
          <w:w w:val="105"/>
        </w:rPr>
        <w:t xml:space="preserve"> </w:t>
      </w:r>
      <w:r w:rsidR="00257AB8">
        <w:rPr>
          <w:w w:val="105"/>
        </w:rPr>
        <w:t>–</w:t>
      </w:r>
      <w:r w:rsidR="00144319" w:rsidRPr="00831BCA">
        <w:rPr>
          <w:w w:val="105"/>
        </w:rPr>
        <w:t xml:space="preserve"> </w:t>
      </w:r>
      <w:r w:rsidR="00257AB8">
        <w:rPr>
          <w:w w:val="105"/>
        </w:rPr>
        <w:t xml:space="preserve">301 </w:t>
      </w:r>
      <w:r w:rsidR="00144319">
        <w:rPr>
          <w:w w:val="105"/>
        </w:rPr>
        <w:t xml:space="preserve">°C </w:t>
      </w:r>
      <w:r w:rsidR="00257AB8">
        <w:rPr>
          <w:w w:val="105"/>
        </w:rPr>
        <w:t>(both lab and pilot scale</w:t>
      </w:r>
      <w:r w:rsidR="00144319">
        <w:rPr>
          <w:w w:val="105"/>
        </w:rPr>
        <w:t xml:space="preserve"> samples</w:t>
      </w:r>
      <w:r w:rsidR="00257AB8">
        <w:rPr>
          <w:w w:val="105"/>
        </w:rPr>
        <w:t>).</w:t>
      </w:r>
      <w:r w:rsidR="00144319">
        <w:rPr>
          <w:w w:val="105"/>
        </w:rPr>
        <w:t xml:space="preserve">  Overall, such values indicated high thermal stability of the polymer</w:t>
      </w:r>
      <w:r w:rsidR="00257AB8">
        <w:rPr>
          <w:w w:val="105"/>
        </w:rPr>
        <w:t>s</w:t>
      </w:r>
      <w:r w:rsidR="00144319">
        <w:rPr>
          <w:w w:val="105"/>
        </w:rPr>
        <w:t>,</w:t>
      </w:r>
      <w:r w:rsidR="00144319" w:rsidRPr="00831BCA">
        <w:rPr>
          <w:w w:val="105"/>
        </w:rPr>
        <w:t xml:space="preserve"> comparable</w:t>
      </w:r>
      <w:r w:rsidR="00144319">
        <w:rPr>
          <w:w w:val="105"/>
        </w:rPr>
        <w:t xml:space="preserve"> </w:t>
      </w:r>
      <w:r w:rsidR="00144319" w:rsidRPr="00831BCA">
        <w:rPr>
          <w:w w:val="105"/>
        </w:rPr>
        <w:t xml:space="preserve">to those </w:t>
      </w:r>
      <w:r w:rsidR="00257AB8">
        <w:rPr>
          <w:w w:val="105"/>
        </w:rPr>
        <w:t>reported in</w:t>
      </w:r>
      <w:r w:rsidR="000D3571">
        <w:rPr>
          <w:w w:val="105"/>
        </w:rPr>
        <w:t xml:space="preserve"> the</w:t>
      </w:r>
      <w:r w:rsidR="00257AB8">
        <w:rPr>
          <w:w w:val="105"/>
        </w:rPr>
        <w:t xml:space="preserve"> literature for</w:t>
      </w:r>
      <w:r w:rsidR="00144319" w:rsidRPr="00831BCA">
        <w:rPr>
          <w:w w:val="105"/>
        </w:rPr>
        <w:t xml:space="preserve"> MMC-PHA</w:t>
      </w:r>
      <w:r w:rsidR="00774C94">
        <w:rPr>
          <w:w w:val="105"/>
        </w:rPr>
        <w:t xml:space="preserve"> </w:t>
      </w:r>
      <w:r w:rsidR="00774C94">
        <w:rPr>
          <w:w w:val="105"/>
        </w:rPr>
        <w:fldChar w:fldCharType="begin" w:fldLock="1"/>
      </w:r>
      <w:r w:rsidR="001C21C5">
        <w:rPr>
          <w:w w:val="105"/>
        </w:rPr>
        <w:instrText>ADDIN CSL_CITATION {"citationItems":[{"id":"ITEM-1","itemData":{"DOI":"10.3389/fbioe.2021.628719","ISSN":"22964185","abstract":"Polyhydroxyalkanoates (PHAs) production at pilot scale has been recently investigated and carried out exploiting different process configurations and organic wastes. More in detail, three pilot platforms, in Treviso (North-East of Italy), Carbonera (North-East of Italy) and Lisbon, produced PHAs by open mixed microbial cultures (MMCs) and different organic waste streams: organic fraction of municipal solid waste and sewage sludge (OFMSW-WAS), cellulosic primary sludge (CPS), and fruit waste (FW), respectively. In this context, two stabilization methods have been applied, and compared, for preserving the amount of PHA inside the cells: thermal drying and wet acidification of the biomass at the end of PHA accumulation process. Afterward, polymer has been extracted following an optimized method based on aqueous-phase inorganic reagents. Several PHA samples were then characterized to determine PHA purity, chemical composition, molecular weight, and thermal properties. The polymer contained two types of monomers, namely 3-hydroxybutyrate (3HB) and 3-hydroxyvalerate (3HV) at a relative percentage of 92.6–79.8 and 7.4–20.2 w/w, respectively, for Treviso and Lisbon plants. On the other hand, an opposite range was found for 3HB and 3HV monomers of PHA from Carbonera, which is 44.0–13.0 and 56.0–87.0 w/w, respectively. PHA extracted from wet-acidified biomass had generally higher viscosity average molecular weights (Mv) (on average 424.8 ± 20.6 and 224.9 ± 21.9 KDa, respectively, for Treviso and Lisbon) while PHA recovered from thermally stabilized dried biomass had a three-fold lower Mv.","author":[{"dropping-particle":"","family":"Lorini","given":"Laura","non-dropping-particle":"","parse-names":false,"suffix":""},{"dropping-particle":"","family":"Martinelli","given":"Andrea","non-dropping-particle":"","parse-names":false,"suffix":""},{"dropping-particle":"","family":"Capuani","given":"Giorgio","non-dropping-particle":"","parse-names":false,"suffix":""},{"dropping-particle":"","family":"Frison","given":"Nicola","non-dropping-particle":"","parse-names":false,"suffix":""},{"dropping-particle":"","family":"Reis","given":"Maria","non-dropping-particle":"","parse-names":false,"suffix":""},{"dropping-particle":"","family":"Sommer Ferreira","given":"Bruno","non-dropping-particle":"","parse-names":false,"suffix":""},{"dropping-particle":"","family":"Villano","given":"Marianna","non-dropping-particle":"","parse-names":false,"suffix":""},{"dropping-particle":"","family":"Majone","given":"Mauro","non-dropping-particle":"","parse-names":false,"suffix":""},{"dropping-particle":"","family":"Valentino","given":"Francesco","non-dropping-particle":"","parse-names":false,"suffix":""}],"container-title":"Frontiers in Bioengineering and Biotechnology","id":"ITEM-1","issue":"February","issued":{"date-parts":[["2021"]]},"page":"1-13","title":"Characterization of Polyhydroxyalkanoates Produced at Pilot Scale From Different Organic Wastes","type":"article-journal","volume":"9"},"uris":["http://www.mendeley.com/documents/?uuid=65334fcb-3b3a-4d1d-a52d-239be7317d6e"]},{"id":"ITEM-2","itemData":{"DOI":"10.1016/j.biortech.2015.01.046","ISSN":"18732976","PMID":"25638407","abstract":"A pilot-scale process was operated over 22months at the Brussels North Wastewater Treatment Plant (WWTP) in order to evaluate polyhydroxyalkanoate (PHA) production integration with services of municipal wastewater and sludge management. Activated sludge was produced with PHA accumulation potential (PAP) by applying feast-famine selection while treating the readily biodegradable COD from influent wastewater (average removals of 70% COD, 60% CODsol, 24% nitrogen, and 46% phosphorus). The biomass PAP was evaluated to be in excess of 0.4gPHA/gVSS. Batch fermentation of full-scale WWTP sludge at selected temperatures (35, 42 and 55°C) produced centrate (6-9.4gCODVFA/L) of consistent VFA composition, with optimal fermentation performance at 42°C. Centrate was used to accumulate PHA up to 0.39gPHA/gVSS. The centrate nutrients are a challenge to the accumulation process but producing a biomass with 0.5gPHA/gVSS is considered to be realistically achievable within the typically available carbon flows at municipal waste management facilities.","author":[{"dropping-particle":"","family":"Morgan-Sagastume","given":"F.","non-dropping-particle":"","parse-names":false,"suffix":""},{"dropping-particle":"","family":"Hjort","given":"M.","non-dropping-particle":"","parse-names":false,"suffix":""},{"dropping-particle":"","family":"Cirne","given":"D.","non-dropping-particle":"","parse-names":false,"suffix":""},{"dropping-particle":"","family":"Gérardin","given":"F.","non-dropping-particle":"","parse-names":false,"suffix":""},{"dropping-particle":"","family":"Lacroix","given":"S.","non-dropping-particle":"","parse-names":false,"suffix":""},{"dropping-particle":"","family":"Gaval","given":"G.","non-dropping-particle":"","parse-names":false,"suffix":""},{"dropping-particle":"","family":"Karabegovic","given":"L.","non-dropping-particle":"","parse-names":false,"suffix":""},{"dropping-particle":"","family":"Alexandersson","given":"T.","non-dropping-particle":"","parse-names":false,"suffix":""},{"dropping-particle":"","family":"Johansson","given":"P.","non-dropping-particle":"","parse-names":false,"suffix":""},{"dropping-particle":"","family":"Karlsson","given":"A.","non-dropping-particle":"","parse-names":false,"suffix":""},{"dropping-particle":"","family":"Bengtsson","given":"S.","non-dropping-particle":"","parse-names":false,"suffix":""},{"dropping-particle":"V.","family":"Arcos-Hernández","given":"M.","non-dropping-particle":"","parse-names":false,"suffix":""},{"dropping-particle":"","family":"Magnusson","given":"P.","non-dropping-particle":"","parse-names":false,"suffix":""},{"dropping-particle":"","family":"Werker","given":"A.","non-dropping-particle":"","parse-names":false,"suffix":""}],"container-title":"Bioresource Technology","id":"ITEM-2","issued":{"date-parts":[["2015"]]},"title":"Integrated production of polyhydroxyalkanoates (PHAs) with municipal wastewater and sludge treatment at pilot scale","type":"article-journal"},"uris":["http://www.mendeley.com/documents/?uuid=43a4ef76-d9c0-410a-be22-6ecbc546bc6f"]}],"mendeley":{"formattedCitation":"(Lorini, Martinelli, Capuani, et al. 2021; Morgan-Sagastume et al. 2015)","plainTextFormattedCitation":"(Lorini, Martinelli, Capuani, et al. 2021; Morgan-Sagastume et al. 2015)","previouslyFormattedCitation":"(Lorini, Martinelli, Capuani, et al. 2021; Morgan-Sagastume et al. 2015)"},"properties":{"noteIndex":0},"schema":"https://github.com/citation-style-language/schema/raw/master/csl-citation.json"}</w:instrText>
      </w:r>
      <w:r w:rsidR="00774C94">
        <w:rPr>
          <w:w w:val="105"/>
        </w:rPr>
        <w:fldChar w:fldCharType="separate"/>
      </w:r>
      <w:r w:rsidR="00774C94" w:rsidRPr="00774C94">
        <w:rPr>
          <w:noProof/>
          <w:w w:val="105"/>
        </w:rPr>
        <w:t>(Lorini, Martinelli, Capuani, et al. 2021; Morgan-Sagastume et al. 2015)</w:t>
      </w:r>
      <w:r w:rsidR="00774C94">
        <w:rPr>
          <w:w w:val="105"/>
        </w:rPr>
        <w:fldChar w:fldCharType="end"/>
      </w:r>
      <w:r w:rsidR="00257AB8">
        <w:rPr>
          <w:w w:val="105"/>
        </w:rPr>
        <w:t xml:space="preserve">. </w:t>
      </w:r>
      <w:r w:rsidR="00D42FB6">
        <w:rPr>
          <w:w w:val="105"/>
        </w:rPr>
        <w:t xml:space="preserve">Moreover, </w:t>
      </w:r>
      <w:r w:rsidRPr="00831BCA">
        <w:rPr>
          <w:w w:val="105"/>
        </w:rPr>
        <w:t xml:space="preserve">the percentage of weight loss, </w:t>
      </w:r>
      <w:r w:rsidR="00D42FB6">
        <w:rPr>
          <w:w w:val="105"/>
        </w:rPr>
        <w:t>due</w:t>
      </w:r>
      <w:r w:rsidRPr="00831BCA">
        <w:rPr>
          <w:w w:val="105"/>
        </w:rPr>
        <w:t xml:space="preserve"> only </w:t>
      </w:r>
      <w:r w:rsidR="00D42FB6">
        <w:rPr>
          <w:w w:val="105"/>
        </w:rPr>
        <w:t xml:space="preserve">to </w:t>
      </w:r>
      <w:r w:rsidRPr="00831BCA">
        <w:rPr>
          <w:w w:val="105"/>
        </w:rPr>
        <w:t xml:space="preserve">the polymeric </w:t>
      </w:r>
      <w:r w:rsidRPr="00831BCA">
        <w:rPr>
          <w:w w:val="105"/>
        </w:rPr>
        <w:lastRenderedPageBreak/>
        <w:t>fraction of the solid sample</w:t>
      </w:r>
      <w:r>
        <w:rPr>
          <w:w w:val="105"/>
        </w:rPr>
        <w:t>, was quantified</w:t>
      </w:r>
      <w:r w:rsidR="00D42FB6">
        <w:rPr>
          <w:w w:val="105"/>
        </w:rPr>
        <w:t xml:space="preserve"> from the thermogram </w:t>
      </w:r>
      <w:r w:rsidR="00D42FB6" w:rsidRPr="00831BCA">
        <w:rPr>
          <w:w w:val="105"/>
        </w:rPr>
        <w:t xml:space="preserve">and </w:t>
      </w:r>
      <w:r w:rsidR="00D42FB6">
        <w:rPr>
          <w:w w:val="105"/>
        </w:rPr>
        <w:t xml:space="preserve">the obtained values were comparable to </w:t>
      </w:r>
      <w:r w:rsidR="00E331B0">
        <w:rPr>
          <w:w w:val="105"/>
        </w:rPr>
        <w:t>PHA purity data</w:t>
      </w:r>
      <w:r w:rsidR="00D42FB6">
        <w:rPr>
          <w:w w:val="105"/>
        </w:rPr>
        <w:t xml:space="preserve"> measured by </w:t>
      </w:r>
      <w:r w:rsidR="00D42FB6" w:rsidRPr="00831BCA">
        <w:rPr>
          <w:w w:val="105"/>
        </w:rPr>
        <w:t xml:space="preserve">GC-FID </w:t>
      </w:r>
      <w:r w:rsidR="00E331B0">
        <w:rPr>
          <w:w w:val="105"/>
        </w:rPr>
        <w:t>analysis (Table 1).</w:t>
      </w:r>
      <w:r w:rsidR="00673010">
        <w:rPr>
          <w:w w:val="105"/>
        </w:rPr>
        <w:t xml:space="preserve"> Finally, melting temperatures (</w:t>
      </w:r>
      <w:r w:rsidR="00673010">
        <w:rPr>
          <w:rFonts w:cs="Arial"/>
          <w:szCs w:val="18"/>
        </w:rPr>
        <w:t>T</w:t>
      </w:r>
      <w:r w:rsidR="00673010" w:rsidRPr="00EC0287">
        <w:rPr>
          <w:rFonts w:cs="Arial"/>
          <w:szCs w:val="18"/>
          <w:vertAlign w:val="subscript"/>
        </w:rPr>
        <w:t>m</w:t>
      </w:r>
      <w:r w:rsidR="00673010">
        <w:rPr>
          <w:rFonts w:cs="Arial"/>
          <w:szCs w:val="18"/>
        </w:rPr>
        <w:t xml:space="preserve">), determined by DSC analysis, are reported in Table 1 and they </w:t>
      </w:r>
      <w:r w:rsidR="000D3571">
        <w:rPr>
          <w:rFonts w:cs="Arial"/>
          <w:szCs w:val="18"/>
        </w:rPr>
        <w:t>agree</w:t>
      </w:r>
      <w:r w:rsidR="00673010">
        <w:rPr>
          <w:rFonts w:cs="Arial"/>
          <w:szCs w:val="18"/>
        </w:rPr>
        <w:t xml:space="preserve"> with the literature (ranging between 155 and 165 °C), both for PHA from synthetic feedstock </w:t>
      </w:r>
      <w:r w:rsidR="001C21C5">
        <w:rPr>
          <w:rFonts w:cs="Arial"/>
          <w:szCs w:val="18"/>
        </w:rPr>
        <w:fldChar w:fldCharType="begin" w:fldLock="1"/>
      </w:r>
      <w:r w:rsidR="001C21C5">
        <w:rPr>
          <w:rFonts w:cs="Arial"/>
          <w:szCs w:val="18"/>
        </w:rPr>
        <w:instrText>ADDIN CSL_CITATION {"citationItems":[{"id":"ITEM-1","itemData":{"DOI":"10.1016/j.jbiotec.2010.03.022","ISSN":"01681656","abstract":"Polyhydroxyalkanoates (PHAs) produced from fermented molasses and synthetic feeds containing single volatile fatty acids (VFAs) by an open mixed culture enriched in glycogen accumulating organisms (GAOs) were characterized with regards to molecular weight and thermal properties. The polymer contained five types of monomers, namely 3-hydroxybutyrate, 3-hydroxy-2-methylbutyrate, 3-hydroxyvalerate, 3-hydroxy-2-methylvalerate and 3-hydroxyhexanoate in different ratios depending on the VFA composition of the substrate. Polymers produced from fermented molasses had weight average molecular weights (M w) in the range (3.5-4.3)×10 5g/mol and polydispersity indexes (PDI) of 1.8-2.1 while polymers produced from synthetic VFAs had M w of (4.5-9.0)×10 5g/mol and PDI of 1.7-3.9. Thermal properties such as glass transition temperature (-14°C to 4.8°C), melting temperature (89-174°C) and melting enthalpy (0-82.1J/g) were controlled in broad ranges by the monomer composition. The decomposition temperatures of the polymers produced were between 277.2°C and 294.9°C, and independent of monomer composition and molecular weight. © 2010 Elsevier B.V.","author":[{"dropping-particle":"","family":"Bengtsson","given":"S.","non-dropping-particle":"","parse-names":false,"suffix":""},{"dropping-particle":"","family":"Pisco","given":"A. R.","non-dropping-particle":"","parse-names":false,"suffix":""},{"dropping-particle":"","family":"Johansson","given":"P.","non-dropping-particle":"","parse-names":false,"suffix":""},{"dropping-particle":"","family":"Lemos","given":"P. C.","non-dropping-particle":"","parse-names":false,"suffix":""},{"dropping-particle":"","family":"Reis","given":"M. A.M.","non-dropping-particle":"","parse-names":false,"suffix":""}],"container-title":"Journal of Biotechnology","id":"ITEM-1","issued":{"date-parts":[["2010"]]},"title":"Molecular weight and thermal properties of polyhydroxyalkanoates produced from fermented sugar molasses by open mixed cultures","type":"article-journal"},"uris":["http://www.mendeley.com/documents/?uuid=cc4b9252-2331-4c2d-8f14-6812402caffa"]}],"mendeley":{"formattedCitation":"(Bengtsson et al. 2010)","plainTextFormattedCitation":"(Bengtsson et al. 2010)","previouslyFormattedCitation":"(Bengtsson et al. 2010)"},"properties":{"noteIndex":0},"schema":"https://github.com/citation-style-language/schema/raw/master/csl-citation.json"}</w:instrText>
      </w:r>
      <w:r w:rsidR="001C21C5">
        <w:rPr>
          <w:rFonts w:cs="Arial"/>
          <w:szCs w:val="18"/>
        </w:rPr>
        <w:fldChar w:fldCharType="separate"/>
      </w:r>
      <w:r w:rsidR="001C21C5" w:rsidRPr="001C21C5">
        <w:rPr>
          <w:rFonts w:cs="Arial"/>
          <w:noProof/>
          <w:szCs w:val="18"/>
        </w:rPr>
        <w:t>(Bengtsson et al. 2010)</w:t>
      </w:r>
      <w:r w:rsidR="001C21C5">
        <w:rPr>
          <w:rFonts w:cs="Arial"/>
          <w:szCs w:val="18"/>
        </w:rPr>
        <w:fldChar w:fldCharType="end"/>
      </w:r>
      <w:r w:rsidR="001C21C5">
        <w:rPr>
          <w:rFonts w:cs="Arial"/>
          <w:szCs w:val="18"/>
        </w:rPr>
        <w:t xml:space="preserve"> </w:t>
      </w:r>
      <w:r w:rsidR="00673010">
        <w:rPr>
          <w:rFonts w:cs="Arial"/>
          <w:szCs w:val="18"/>
        </w:rPr>
        <w:t xml:space="preserve">and from organic waste </w:t>
      </w:r>
      <w:r w:rsidR="001C21C5">
        <w:rPr>
          <w:rFonts w:cs="Arial"/>
          <w:szCs w:val="18"/>
        </w:rPr>
        <w:fldChar w:fldCharType="begin" w:fldLock="1"/>
      </w:r>
      <w:r w:rsidR="00DE1DC3">
        <w:rPr>
          <w:rFonts w:cs="Arial"/>
          <w:szCs w:val="18"/>
        </w:rPr>
        <w:instrText>ADDIN CSL_CITATION {"citationItems":[{"id":"ITEM-1","itemData":{"DOI":"10.1007/s13399-020-00788-w","ISBN":"1339902000788","ISSN":"21906823","abstract":"The utilization of food waste and sewage sludge as organic substrate from urban context for the synthesis of microbial polyhydroxyalkanoates (PHAs) has been only recently investigated at pilot scale. Within this context, two stabilization methods have been found for preserving the amount of PHA intracellularly produced by open mixed microbial culture (MMC): thermal drying and wet acidification of the biomass at the end of PHA accumulation process. The extracted PHA from the two differently stabilized biomasses was then characterized with regard to chemical composition, molecular weight, and thermal properties. The polymer contained two types of monomers, namely 3-hydroxybutyrate (3HB) and 3-hydroxyvalerate (3HV) at a relative percentage of 93.0–79.8 and 7.0–20.2 w/w, respectively. PHA extracted from wet-acidified biomass had higher average molecular weights (Mw) of 370–424 kDa while PHA recovered from thermally stabilized dried biomass had a 3-fold lower Mw (on average). The PHA decomposition temperatures Td10% and Tdmax were in the range 260–268 °C and 269–303 °C, respectively, not dependent on the monomeric composition or molecular weight. Thermal properties such as melting temperature (Tm1 132–150 °C; Tm2 155–167 °C) and melting enthalpy (26–70 J/g) were quantified in a relatively broad range according to the different stabilization-extraction method and obtained composition.","author":[{"dropping-particle":"","family":"Lorini","given":"Laura","non-dropping-particle":"","parse-names":false,"suffix":""},{"dropping-particle":"","family":"Martinelli","given":"Andrea","non-dropping-particle":"","parse-names":false,"suffix":""},{"dropping-particle":"","family":"Pavan","given":"Paolo","non-dropping-particle":"","parse-names":false,"suffix":""},{"dropping-particle":"","family":"Majone","given":"Mauro","non-dropping-particle":"","parse-names":false,"suffix":""},{"dropping-particle":"","family":"Valentino","given":"Francesco","non-dropping-particle":"","parse-names":false,"suffix":""}],"container-title":"Biomass Conversion and Biorefinery","id":"ITEM-1","issue":"2","issued":{"date-parts":[["2021"]]},"page":"693-703","title":"Downstream processing and characterization of polyhydroxyalkanoates (PHAs) produced by mixed microbial culture (MMC) and organic urban waste as substrate","type":"article-journal","volume":"11"},"uris":["http://www.mendeley.com/documents/?uuid=e93314ad-309e-447d-8e6d-1523a851256d"]}],"mendeley":{"formattedCitation":"(Lorini, Martinelli, Pavan, et al. 2021)","plainTextFormattedCitation":"(Lorini, Martinelli, Pavan, et al. 2021)","previouslyFormattedCitation":"(Lorini, Martinelli, Pavan, et al. 2021)"},"properties":{"noteIndex":0},"schema":"https://github.com/citation-style-language/schema/raw/master/csl-citation.json"}</w:instrText>
      </w:r>
      <w:r w:rsidR="001C21C5">
        <w:rPr>
          <w:rFonts w:cs="Arial"/>
          <w:szCs w:val="18"/>
        </w:rPr>
        <w:fldChar w:fldCharType="separate"/>
      </w:r>
      <w:r w:rsidR="001C21C5" w:rsidRPr="001C21C5">
        <w:rPr>
          <w:rFonts w:cs="Arial"/>
          <w:noProof/>
          <w:szCs w:val="18"/>
        </w:rPr>
        <w:t>(Lorini, Martinelli, Pavan, et al. 2021)</w:t>
      </w:r>
      <w:r w:rsidR="001C21C5">
        <w:rPr>
          <w:rFonts w:cs="Arial"/>
          <w:szCs w:val="18"/>
        </w:rPr>
        <w:fldChar w:fldCharType="end"/>
      </w:r>
      <w:r w:rsidR="001C21C5">
        <w:rPr>
          <w:rFonts w:cs="Arial"/>
          <w:szCs w:val="18"/>
        </w:rPr>
        <w:t>.</w:t>
      </w:r>
    </w:p>
    <w:p w14:paraId="69432881" w14:textId="77777777" w:rsidR="000C0003" w:rsidRDefault="000C0003" w:rsidP="000C0003">
      <w:pPr>
        <w:pStyle w:val="CETBodytext"/>
        <w:jc w:val="left"/>
        <w:rPr>
          <w:rStyle w:val="CETCaptionCarattere"/>
        </w:rPr>
      </w:pPr>
    </w:p>
    <w:p w14:paraId="464F67B8" w14:textId="6A00F672" w:rsidR="000F6973" w:rsidRPr="009B79C7" w:rsidRDefault="00D01A42" w:rsidP="00D01A42">
      <w:pPr>
        <w:pStyle w:val="CETTabletitle"/>
      </w:pPr>
      <w:r w:rsidRPr="00B57B36">
        <w:t xml:space="preserve">Table 1: </w:t>
      </w:r>
      <w:r w:rsidR="00334411">
        <w:t xml:space="preserve">Extraction </w:t>
      </w:r>
      <w:r w:rsidRPr="00D01A42">
        <w:t xml:space="preserve">Performances </w:t>
      </w:r>
      <w:r w:rsidR="00334411">
        <w:t>and PHA characteri</w:t>
      </w:r>
      <w:r w:rsidR="009B79C7">
        <w:t>zation results</w:t>
      </w:r>
      <w:r w:rsidR="00695CD7">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134"/>
        <w:gridCol w:w="1276"/>
        <w:gridCol w:w="1134"/>
        <w:gridCol w:w="1134"/>
        <w:gridCol w:w="992"/>
        <w:gridCol w:w="707"/>
      </w:tblGrid>
      <w:tr w:rsidR="007E0969" w:rsidRPr="00B57B36" w14:paraId="5C6ADB08" w14:textId="7F657823" w:rsidTr="00FA3ABB">
        <w:trPr>
          <w:trHeight w:val="660"/>
        </w:trPr>
        <w:tc>
          <w:tcPr>
            <w:tcW w:w="2410" w:type="dxa"/>
            <w:tcBorders>
              <w:top w:val="single" w:sz="12" w:space="0" w:color="008000"/>
              <w:bottom w:val="single" w:sz="6" w:space="0" w:color="008000"/>
            </w:tcBorders>
            <w:shd w:val="clear" w:color="auto" w:fill="FFFFFF"/>
            <w:vAlign w:val="center"/>
          </w:tcPr>
          <w:p w14:paraId="4F5D474A" w14:textId="4777F5D0" w:rsidR="00EC0287" w:rsidRPr="006E0B6B" w:rsidRDefault="00EC0287" w:rsidP="0014568C">
            <w:pPr>
              <w:pStyle w:val="CETBodytext"/>
              <w:jc w:val="left"/>
              <w:rPr>
                <w:rFonts w:cs="Arial"/>
                <w:szCs w:val="18"/>
                <w:lang w:val="en-GB"/>
              </w:rPr>
            </w:pPr>
            <w:r>
              <w:rPr>
                <w:rFonts w:cs="Arial"/>
                <w:szCs w:val="18"/>
              </w:rPr>
              <w:t>Sample</w:t>
            </w:r>
          </w:p>
        </w:tc>
        <w:tc>
          <w:tcPr>
            <w:tcW w:w="1134" w:type="dxa"/>
            <w:tcBorders>
              <w:top w:val="single" w:sz="12" w:space="0" w:color="008000"/>
              <w:bottom w:val="single" w:sz="6" w:space="0" w:color="008000"/>
            </w:tcBorders>
            <w:shd w:val="clear" w:color="auto" w:fill="FFFFFF"/>
            <w:vAlign w:val="center"/>
          </w:tcPr>
          <w:p w14:paraId="4D55F85E" w14:textId="77777777" w:rsidR="00A822BC" w:rsidRDefault="00EC0287" w:rsidP="0014568C">
            <w:pPr>
              <w:pStyle w:val="CETBodytext"/>
              <w:jc w:val="left"/>
              <w:rPr>
                <w:rFonts w:cs="Arial"/>
                <w:szCs w:val="18"/>
              </w:rPr>
            </w:pPr>
            <w:r>
              <w:rPr>
                <w:rFonts w:cs="Arial"/>
                <w:szCs w:val="18"/>
              </w:rPr>
              <w:t xml:space="preserve">Purity </w:t>
            </w:r>
          </w:p>
          <w:p w14:paraId="4884D1E7" w14:textId="2A6DB217" w:rsidR="00EC0287" w:rsidRPr="006E0B6B" w:rsidRDefault="00EC0287" w:rsidP="0014568C">
            <w:pPr>
              <w:pStyle w:val="CETBodytext"/>
              <w:jc w:val="left"/>
              <w:rPr>
                <w:rFonts w:cs="Arial"/>
                <w:szCs w:val="18"/>
                <w:lang w:val="en-GB"/>
              </w:rPr>
            </w:pPr>
            <w:r>
              <w:rPr>
                <w:rFonts w:cs="Arial"/>
                <w:szCs w:val="18"/>
              </w:rPr>
              <w:t>(PHA %w/w)</w:t>
            </w:r>
          </w:p>
        </w:tc>
        <w:tc>
          <w:tcPr>
            <w:tcW w:w="1276" w:type="dxa"/>
            <w:tcBorders>
              <w:top w:val="single" w:sz="12" w:space="0" w:color="008000"/>
              <w:bottom w:val="single" w:sz="6" w:space="0" w:color="008000"/>
            </w:tcBorders>
            <w:shd w:val="clear" w:color="auto" w:fill="FFFFFF"/>
            <w:vAlign w:val="center"/>
          </w:tcPr>
          <w:p w14:paraId="2A75539A" w14:textId="1216C914" w:rsidR="00EC0287" w:rsidRPr="006E0B6B" w:rsidRDefault="00EC0287" w:rsidP="0014568C">
            <w:pPr>
              <w:pStyle w:val="CETBodytext"/>
              <w:jc w:val="left"/>
              <w:rPr>
                <w:rFonts w:cs="Arial"/>
                <w:szCs w:val="18"/>
                <w:lang w:val="en-GB"/>
              </w:rPr>
            </w:pPr>
            <w:r>
              <w:rPr>
                <w:rFonts w:cs="Arial"/>
                <w:szCs w:val="18"/>
              </w:rPr>
              <w:t>Recovery (%)</w:t>
            </w:r>
          </w:p>
        </w:tc>
        <w:tc>
          <w:tcPr>
            <w:tcW w:w="1134" w:type="dxa"/>
            <w:tcBorders>
              <w:top w:val="single" w:sz="12" w:space="0" w:color="008000"/>
              <w:bottom w:val="single" w:sz="6" w:space="0" w:color="008000"/>
            </w:tcBorders>
            <w:shd w:val="clear" w:color="auto" w:fill="FFFFFF"/>
            <w:vAlign w:val="center"/>
          </w:tcPr>
          <w:p w14:paraId="7214F5C3" w14:textId="336E6566" w:rsidR="00EC0287" w:rsidRPr="00EC0287" w:rsidRDefault="00EC0287" w:rsidP="0014568C">
            <w:pPr>
              <w:pStyle w:val="CETBodytext"/>
              <w:ind w:right="-1"/>
              <w:jc w:val="left"/>
              <w:rPr>
                <w:rFonts w:cs="Arial"/>
                <w:szCs w:val="18"/>
              </w:rPr>
            </w:pPr>
            <w:r>
              <w:rPr>
                <w:rFonts w:cs="Arial"/>
                <w:szCs w:val="18"/>
              </w:rPr>
              <w:t>HV (%w/w)</w:t>
            </w:r>
          </w:p>
        </w:tc>
        <w:tc>
          <w:tcPr>
            <w:tcW w:w="1134" w:type="dxa"/>
            <w:tcBorders>
              <w:top w:val="single" w:sz="12" w:space="0" w:color="008000"/>
              <w:bottom w:val="single" w:sz="6" w:space="0" w:color="008000"/>
            </w:tcBorders>
            <w:shd w:val="clear" w:color="auto" w:fill="FFFFFF"/>
            <w:vAlign w:val="center"/>
          </w:tcPr>
          <w:p w14:paraId="11D204F5" w14:textId="547D0FB4" w:rsidR="00EC0287" w:rsidRPr="006E0B6B" w:rsidRDefault="00EC0287" w:rsidP="0014568C">
            <w:pPr>
              <w:pStyle w:val="CETBodytext"/>
              <w:ind w:right="-1"/>
              <w:jc w:val="left"/>
              <w:rPr>
                <w:rFonts w:cs="Arial"/>
                <w:szCs w:val="18"/>
                <w:lang w:val="en-GB"/>
              </w:rPr>
            </w:pPr>
            <w:r>
              <w:rPr>
                <w:rFonts w:cs="Arial"/>
                <w:szCs w:val="18"/>
                <w:lang w:val="en-GB"/>
              </w:rPr>
              <w:t>M</w:t>
            </w:r>
            <w:r w:rsidRPr="00EC0287">
              <w:rPr>
                <w:rFonts w:cs="Arial"/>
                <w:szCs w:val="18"/>
                <w:vertAlign w:val="subscript"/>
                <w:lang w:val="en-GB"/>
              </w:rPr>
              <w:t>v</w:t>
            </w:r>
            <w:r>
              <w:rPr>
                <w:rFonts w:cs="Arial"/>
                <w:szCs w:val="18"/>
                <w:lang w:val="en-GB"/>
              </w:rPr>
              <w:t xml:space="preserve"> (</w:t>
            </w:r>
            <w:proofErr w:type="spellStart"/>
            <w:r>
              <w:rPr>
                <w:rFonts w:cs="Arial"/>
                <w:szCs w:val="18"/>
                <w:lang w:val="en-GB"/>
              </w:rPr>
              <w:t>kDa</w:t>
            </w:r>
            <w:proofErr w:type="spellEnd"/>
            <w:r>
              <w:rPr>
                <w:rFonts w:cs="Arial"/>
                <w:szCs w:val="18"/>
                <w:lang w:val="en-GB"/>
              </w:rPr>
              <w:t>)</w:t>
            </w:r>
          </w:p>
        </w:tc>
        <w:tc>
          <w:tcPr>
            <w:tcW w:w="992" w:type="dxa"/>
            <w:tcBorders>
              <w:top w:val="single" w:sz="12" w:space="0" w:color="008000"/>
              <w:bottom w:val="single" w:sz="6" w:space="0" w:color="008000"/>
            </w:tcBorders>
            <w:shd w:val="clear" w:color="auto" w:fill="FFFFFF"/>
            <w:vAlign w:val="center"/>
          </w:tcPr>
          <w:p w14:paraId="4114F795" w14:textId="17730EE7" w:rsidR="00EC0287" w:rsidRPr="006E0B6B" w:rsidRDefault="00EC0287" w:rsidP="0014568C">
            <w:pPr>
              <w:pStyle w:val="CETBodytext"/>
              <w:ind w:right="-1"/>
              <w:jc w:val="left"/>
              <w:rPr>
                <w:rFonts w:cs="Arial"/>
                <w:szCs w:val="18"/>
                <w:lang w:val="en-GB"/>
              </w:rPr>
            </w:pPr>
            <w:proofErr w:type="spellStart"/>
            <w:r>
              <w:rPr>
                <w:rFonts w:cs="Arial"/>
                <w:szCs w:val="18"/>
              </w:rPr>
              <w:t>T</w:t>
            </w:r>
            <w:r w:rsidRPr="00EC0287">
              <w:rPr>
                <w:rFonts w:cs="Arial"/>
                <w:szCs w:val="18"/>
                <w:vertAlign w:val="subscript"/>
              </w:rPr>
              <w:t>d</w:t>
            </w:r>
            <w:r w:rsidRPr="00EC0287">
              <w:rPr>
                <w:rFonts w:cs="Arial"/>
                <w:szCs w:val="18"/>
                <w:vertAlign w:val="superscript"/>
              </w:rPr>
              <w:t>MAX</w:t>
            </w:r>
            <w:proofErr w:type="spellEnd"/>
            <w:r>
              <w:rPr>
                <w:rFonts w:cs="Arial"/>
                <w:szCs w:val="18"/>
              </w:rPr>
              <w:t xml:space="preserve"> (°C)</w:t>
            </w:r>
          </w:p>
        </w:tc>
        <w:tc>
          <w:tcPr>
            <w:tcW w:w="707" w:type="dxa"/>
            <w:tcBorders>
              <w:top w:val="single" w:sz="12" w:space="0" w:color="008000"/>
              <w:bottom w:val="single" w:sz="6" w:space="0" w:color="008000"/>
            </w:tcBorders>
            <w:shd w:val="clear" w:color="auto" w:fill="FFFFFF"/>
            <w:vAlign w:val="center"/>
          </w:tcPr>
          <w:p w14:paraId="72BED33E" w14:textId="400D3A88" w:rsidR="00EC0287" w:rsidRDefault="00EC0287" w:rsidP="0014568C">
            <w:pPr>
              <w:pStyle w:val="CETBodytext"/>
              <w:ind w:right="-1"/>
              <w:jc w:val="left"/>
              <w:rPr>
                <w:rFonts w:cs="Arial"/>
                <w:szCs w:val="18"/>
              </w:rPr>
            </w:pPr>
            <w:r>
              <w:rPr>
                <w:rFonts w:cs="Arial"/>
                <w:szCs w:val="18"/>
              </w:rPr>
              <w:t>T</w:t>
            </w:r>
            <w:r w:rsidRPr="00EC0287">
              <w:rPr>
                <w:rFonts w:cs="Arial"/>
                <w:szCs w:val="18"/>
                <w:vertAlign w:val="subscript"/>
              </w:rPr>
              <w:t>m</w:t>
            </w:r>
            <w:r>
              <w:rPr>
                <w:rFonts w:cs="Arial"/>
                <w:szCs w:val="18"/>
              </w:rPr>
              <w:t xml:space="preserve"> (°C)</w:t>
            </w:r>
          </w:p>
        </w:tc>
      </w:tr>
      <w:tr w:rsidR="00334411" w:rsidRPr="00B57B36" w14:paraId="4980CEFA" w14:textId="77777777" w:rsidTr="00FA3ABB">
        <w:trPr>
          <w:trHeight w:val="215"/>
        </w:trPr>
        <w:tc>
          <w:tcPr>
            <w:tcW w:w="2410" w:type="dxa"/>
            <w:tcBorders>
              <w:top w:val="single" w:sz="6" w:space="0" w:color="008000"/>
              <w:bottom w:val="single" w:sz="6" w:space="0" w:color="008000"/>
            </w:tcBorders>
            <w:shd w:val="clear" w:color="auto" w:fill="FFFFFF"/>
            <w:vAlign w:val="center"/>
          </w:tcPr>
          <w:p w14:paraId="3BBB7D05" w14:textId="73FF2CC2" w:rsidR="00334411" w:rsidRPr="00350573" w:rsidRDefault="00334411" w:rsidP="0014568C">
            <w:pPr>
              <w:pStyle w:val="CETBodytext"/>
              <w:jc w:val="left"/>
              <w:rPr>
                <w:szCs w:val="18"/>
              </w:rPr>
            </w:pPr>
            <w:r w:rsidRPr="00350573">
              <w:rPr>
                <w:szCs w:val="18"/>
              </w:rPr>
              <w:t>Lab scale</w:t>
            </w:r>
          </w:p>
        </w:tc>
        <w:tc>
          <w:tcPr>
            <w:tcW w:w="1134" w:type="dxa"/>
            <w:tcBorders>
              <w:top w:val="single" w:sz="6" w:space="0" w:color="008000"/>
              <w:bottom w:val="single" w:sz="6" w:space="0" w:color="008000"/>
            </w:tcBorders>
            <w:shd w:val="clear" w:color="auto" w:fill="FFFFFF"/>
            <w:vAlign w:val="center"/>
          </w:tcPr>
          <w:p w14:paraId="22B804C1" w14:textId="77777777" w:rsidR="00334411" w:rsidRPr="006E0B6B" w:rsidRDefault="00334411" w:rsidP="0014568C">
            <w:pPr>
              <w:pStyle w:val="CETBodytext"/>
              <w:jc w:val="left"/>
              <w:rPr>
                <w:rFonts w:cs="Arial"/>
                <w:szCs w:val="18"/>
              </w:rPr>
            </w:pPr>
          </w:p>
        </w:tc>
        <w:tc>
          <w:tcPr>
            <w:tcW w:w="1276" w:type="dxa"/>
            <w:tcBorders>
              <w:top w:val="single" w:sz="6" w:space="0" w:color="008000"/>
              <w:bottom w:val="single" w:sz="6" w:space="0" w:color="008000"/>
            </w:tcBorders>
            <w:shd w:val="clear" w:color="auto" w:fill="FFFFFF"/>
            <w:vAlign w:val="center"/>
          </w:tcPr>
          <w:p w14:paraId="089B3516" w14:textId="77777777" w:rsidR="00334411" w:rsidRPr="006E0B6B" w:rsidRDefault="00334411" w:rsidP="0014568C">
            <w:pPr>
              <w:pStyle w:val="CETBodytext"/>
              <w:jc w:val="left"/>
              <w:rPr>
                <w:rFonts w:cs="Arial"/>
                <w:szCs w:val="18"/>
              </w:rPr>
            </w:pPr>
          </w:p>
        </w:tc>
        <w:tc>
          <w:tcPr>
            <w:tcW w:w="1134" w:type="dxa"/>
            <w:tcBorders>
              <w:top w:val="single" w:sz="6" w:space="0" w:color="008000"/>
              <w:bottom w:val="single" w:sz="6" w:space="0" w:color="008000"/>
            </w:tcBorders>
            <w:shd w:val="clear" w:color="auto" w:fill="FFFFFF"/>
            <w:vAlign w:val="center"/>
          </w:tcPr>
          <w:p w14:paraId="45503FB8" w14:textId="77777777" w:rsidR="00334411" w:rsidRPr="006E0B6B" w:rsidRDefault="00334411" w:rsidP="0014568C">
            <w:pPr>
              <w:pStyle w:val="CETBodytext"/>
              <w:ind w:right="-1"/>
              <w:jc w:val="left"/>
              <w:rPr>
                <w:rFonts w:cs="Arial"/>
                <w:szCs w:val="18"/>
                <w:lang w:val="en-GB"/>
              </w:rPr>
            </w:pPr>
          </w:p>
        </w:tc>
        <w:tc>
          <w:tcPr>
            <w:tcW w:w="1134" w:type="dxa"/>
            <w:tcBorders>
              <w:top w:val="single" w:sz="6" w:space="0" w:color="008000"/>
              <w:bottom w:val="single" w:sz="6" w:space="0" w:color="008000"/>
            </w:tcBorders>
            <w:shd w:val="clear" w:color="auto" w:fill="FFFFFF"/>
            <w:vAlign w:val="center"/>
          </w:tcPr>
          <w:p w14:paraId="32A94E8F" w14:textId="77777777" w:rsidR="00334411" w:rsidRPr="006E0B6B" w:rsidRDefault="00334411" w:rsidP="0014568C">
            <w:pPr>
              <w:pStyle w:val="CETBodytext"/>
              <w:ind w:right="-1"/>
              <w:jc w:val="left"/>
              <w:rPr>
                <w:rFonts w:cs="Arial"/>
                <w:szCs w:val="18"/>
                <w:lang w:val="en-GB"/>
              </w:rPr>
            </w:pPr>
          </w:p>
        </w:tc>
        <w:tc>
          <w:tcPr>
            <w:tcW w:w="992" w:type="dxa"/>
            <w:tcBorders>
              <w:top w:val="single" w:sz="6" w:space="0" w:color="008000"/>
              <w:bottom w:val="single" w:sz="6" w:space="0" w:color="008000"/>
            </w:tcBorders>
            <w:shd w:val="clear" w:color="auto" w:fill="FFFFFF"/>
            <w:vAlign w:val="center"/>
          </w:tcPr>
          <w:p w14:paraId="2437A030" w14:textId="77777777" w:rsidR="00334411" w:rsidRPr="006E0B6B" w:rsidRDefault="00334411" w:rsidP="0014568C">
            <w:pPr>
              <w:pStyle w:val="CETBodytext"/>
              <w:ind w:right="-1"/>
              <w:jc w:val="left"/>
              <w:rPr>
                <w:rFonts w:cs="Arial"/>
                <w:szCs w:val="18"/>
                <w:lang w:val="en-GB"/>
              </w:rPr>
            </w:pPr>
          </w:p>
        </w:tc>
        <w:tc>
          <w:tcPr>
            <w:tcW w:w="707" w:type="dxa"/>
            <w:tcBorders>
              <w:top w:val="single" w:sz="6" w:space="0" w:color="008000"/>
              <w:bottom w:val="single" w:sz="6" w:space="0" w:color="008000"/>
            </w:tcBorders>
            <w:shd w:val="clear" w:color="auto" w:fill="FFFFFF"/>
            <w:vAlign w:val="center"/>
          </w:tcPr>
          <w:p w14:paraId="05091BEC" w14:textId="77777777" w:rsidR="00334411" w:rsidRPr="006E0B6B" w:rsidRDefault="00334411" w:rsidP="0014568C">
            <w:pPr>
              <w:pStyle w:val="CETBodytext"/>
              <w:ind w:right="-1"/>
              <w:jc w:val="left"/>
              <w:rPr>
                <w:rFonts w:cs="Arial"/>
                <w:szCs w:val="18"/>
                <w:lang w:val="en-GB"/>
              </w:rPr>
            </w:pPr>
          </w:p>
        </w:tc>
      </w:tr>
      <w:tr w:rsidR="00CA5065" w:rsidRPr="00B57B36" w14:paraId="1238DA6E" w14:textId="77777777" w:rsidTr="00FA3ABB">
        <w:trPr>
          <w:trHeight w:val="215"/>
        </w:trPr>
        <w:tc>
          <w:tcPr>
            <w:tcW w:w="2410" w:type="dxa"/>
            <w:tcBorders>
              <w:top w:val="single" w:sz="6" w:space="0" w:color="008000"/>
              <w:bottom w:val="nil"/>
            </w:tcBorders>
            <w:shd w:val="clear" w:color="auto" w:fill="FFFFFF"/>
            <w:vAlign w:val="center"/>
          </w:tcPr>
          <w:p w14:paraId="1B42C974" w14:textId="3EC46117" w:rsidR="00CA5065" w:rsidRPr="00334411" w:rsidRDefault="00CA5065" w:rsidP="0014568C">
            <w:pPr>
              <w:pStyle w:val="CETBodytext"/>
              <w:jc w:val="left"/>
              <w:rPr>
                <w:szCs w:val="18"/>
              </w:rPr>
            </w:pPr>
            <w:r>
              <w:rPr>
                <w:szCs w:val="18"/>
              </w:rPr>
              <w:t>Raw PHA-rich biomass (freeze-dried)</w:t>
            </w:r>
          </w:p>
        </w:tc>
        <w:tc>
          <w:tcPr>
            <w:tcW w:w="1134" w:type="dxa"/>
            <w:tcBorders>
              <w:top w:val="single" w:sz="6" w:space="0" w:color="008000"/>
              <w:bottom w:val="nil"/>
            </w:tcBorders>
            <w:shd w:val="clear" w:color="auto" w:fill="FFFFFF"/>
            <w:vAlign w:val="center"/>
          </w:tcPr>
          <w:p w14:paraId="6C372EFF" w14:textId="1B650BAB" w:rsidR="00CA5065" w:rsidRDefault="00CA5065" w:rsidP="0014568C">
            <w:pPr>
              <w:pStyle w:val="CETBodytext"/>
              <w:jc w:val="left"/>
              <w:rPr>
                <w:rFonts w:cs="Arial"/>
                <w:szCs w:val="18"/>
              </w:rPr>
            </w:pPr>
            <w:r>
              <w:rPr>
                <w:rFonts w:cs="Arial"/>
                <w:szCs w:val="18"/>
              </w:rPr>
              <w:t>60</w:t>
            </w:r>
            <w:r w:rsidR="00231CDF">
              <w:rPr>
                <w:rFonts w:cs="Arial"/>
                <w:szCs w:val="18"/>
              </w:rPr>
              <w:t xml:space="preserve">.1 </w:t>
            </w:r>
            <w:r w:rsidR="00231CDF" w:rsidRPr="006E0B6B">
              <w:rPr>
                <w:rFonts w:cs="Arial"/>
                <w:szCs w:val="18"/>
              </w:rPr>
              <w:t>±</w:t>
            </w:r>
            <w:r w:rsidR="00231CDF">
              <w:rPr>
                <w:rFonts w:cs="Arial"/>
                <w:szCs w:val="18"/>
              </w:rPr>
              <w:t xml:space="preserve"> 0.9</w:t>
            </w:r>
          </w:p>
        </w:tc>
        <w:tc>
          <w:tcPr>
            <w:tcW w:w="1276" w:type="dxa"/>
            <w:tcBorders>
              <w:top w:val="single" w:sz="6" w:space="0" w:color="008000"/>
              <w:bottom w:val="nil"/>
            </w:tcBorders>
            <w:shd w:val="clear" w:color="auto" w:fill="FFFFFF"/>
            <w:vAlign w:val="center"/>
          </w:tcPr>
          <w:p w14:paraId="1C12CDE5" w14:textId="77777777" w:rsidR="00CA5065" w:rsidRDefault="00CA5065" w:rsidP="0014568C">
            <w:pPr>
              <w:pStyle w:val="CETBodytext"/>
              <w:jc w:val="left"/>
              <w:rPr>
                <w:rFonts w:cs="Arial"/>
                <w:szCs w:val="18"/>
              </w:rPr>
            </w:pPr>
          </w:p>
        </w:tc>
        <w:tc>
          <w:tcPr>
            <w:tcW w:w="1134" w:type="dxa"/>
            <w:tcBorders>
              <w:top w:val="single" w:sz="6" w:space="0" w:color="008000"/>
              <w:bottom w:val="nil"/>
            </w:tcBorders>
            <w:shd w:val="clear" w:color="auto" w:fill="FFFFFF"/>
            <w:vAlign w:val="center"/>
          </w:tcPr>
          <w:p w14:paraId="18719B57" w14:textId="2C241277" w:rsidR="00CA5065" w:rsidRDefault="00231CDF" w:rsidP="0014568C">
            <w:pPr>
              <w:pStyle w:val="CETBodytext"/>
              <w:ind w:right="-1"/>
              <w:jc w:val="left"/>
              <w:rPr>
                <w:rFonts w:cs="Arial"/>
                <w:szCs w:val="18"/>
                <w:lang w:val="en-GB"/>
              </w:rPr>
            </w:pPr>
            <w:r>
              <w:rPr>
                <w:rFonts w:cs="Arial"/>
                <w:szCs w:val="18"/>
                <w:lang w:val="en-GB"/>
              </w:rPr>
              <w:t xml:space="preserve">11.0 </w:t>
            </w:r>
            <w:r w:rsidRPr="006E0B6B">
              <w:rPr>
                <w:rFonts w:cs="Arial"/>
                <w:szCs w:val="18"/>
              </w:rPr>
              <w:t>±</w:t>
            </w:r>
            <w:r>
              <w:rPr>
                <w:rFonts w:cs="Arial"/>
                <w:szCs w:val="18"/>
              </w:rPr>
              <w:t xml:space="preserve"> 0.5</w:t>
            </w:r>
          </w:p>
        </w:tc>
        <w:tc>
          <w:tcPr>
            <w:tcW w:w="1134" w:type="dxa"/>
            <w:tcBorders>
              <w:top w:val="single" w:sz="6" w:space="0" w:color="008000"/>
              <w:bottom w:val="nil"/>
            </w:tcBorders>
            <w:shd w:val="clear" w:color="auto" w:fill="FFFFFF"/>
            <w:vAlign w:val="center"/>
          </w:tcPr>
          <w:p w14:paraId="59612794" w14:textId="77777777" w:rsidR="00CA5065" w:rsidRDefault="00CA5065" w:rsidP="0014568C">
            <w:pPr>
              <w:pStyle w:val="CETBodytext"/>
              <w:ind w:right="-1"/>
              <w:jc w:val="left"/>
              <w:rPr>
                <w:rFonts w:cs="Arial"/>
                <w:szCs w:val="18"/>
                <w:lang w:val="en-GB"/>
              </w:rPr>
            </w:pPr>
          </w:p>
        </w:tc>
        <w:tc>
          <w:tcPr>
            <w:tcW w:w="992" w:type="dxa"/>
            <w:tcBorders>
              <w:top w:val="single" w:sz="6" w:space="0" w:color="008000"/>
              <w:bottom w:val="nil"/>
            </w:tcBorders>
            <w:shd w:val="clear" w:color="auto" w:fill="FFFFFF"/>
            <w:vAlign w:val="center"/>
          </w:tcPr>
          <w:p w14:paraId="7F3843D6" w14:textId="77777777" w:rsidR="00CA5065" w:rsidRDefault="00CA5065" w:rsidP="0014568C">
            <w:pPr>
              <w:pStyle w:val="CETBodytext"/>
              <w:ind w:right="-1"/>
              <w:jc w:val="left"/>
              <w:rPr>
                <w:rFonts w:cs="Arial"/>
                <w:szCs w:val="18"/>
                <w:lang w:val="en-GB"/>
              </w:rPr>
            </w:pPr>
          </w:p>
        </w:tc>
        <w:tc>
          <w:tcPr>
            <w:tcW w:w="707" w:type="dxa"/>
            <w:tcBorders>
              <w:top w:val="single" w:sz="6" w:space="0" w:color="008000"/>
              <w:bottom w:val="nil"/>
            </w:tcBorders>
            <w:shd w:val="clear" w:color="auto" w:fill="FFFFFF"/>
            <w:vAlign w:val="center"/>
          </w:tcPr>
          <w:p w14:paraId="2C8F583D" w14:textId="77777777" w:rsidR="00CA5065" w:rsidRDefault="00CA5065" w:rsidP="0014568C">
            <w:pPr>
              <w:pStyle w:val="CETBodytext"/>
              <w:ind w:right="-1"/>
              <w:jc w:val="left"/>
              <w:rPr>
                <w:rFonts w:cs="Arial"/>
                <w:szCs w:val="18"/>
                <w:lang w:val="en-GB"/>
              </w:rPr>
            </w:pPr>
          </w:p>
        </w:tc>
      </w:tr>
      <w:tr w:rsidR="007E0969" w:rsidRPr="00B57B36" w14:paraId="17362E0E" w14:textId="1DBAED88" w:rsidTr="00FA3ABB">
        <w:trPr>
          <w:trHeight w:val="215"/>
        </w:trPr>
        <w:tc>
          <w:tcPr>
            <w:tcW w:w="2410" w:type="dxa"/>
            <w:tcBorders>
              <w:top w:val="nil"/>
              <w:bottom w:val="nil"/>
            </w:tcBorders>
            <w:shd w:val="clear" w:color="auto" w:fill="FFFFFF"/>
            <w:vAlign w:val="center"/>
          </w:tcPr>
          <w:p w14:paraId="0A619BD3" w14:textId="65847058" w:rsidR="00EC0287" w:rsidRPr="006E0B6B" w:rsidRDefault="00334411" w:rsidP="0014568C">
            <w:pPr>
              <w:pStyle w:val="CETBodytext"/>
              <w:jc w:val="left"/>
              <w:rPr>
                <w:rFonts w:cs="Arial"/>
                <w:szCs w:val="18"/>
                <w:lang w:val="en-GB"/>
              </w:rPr>
            </w:pPr>
            <w:bookmarkStart w:id="1" w:name="_Hlk94539291"/>
            <w:r w:rsidRPr="00334411">
              <w:rPr>
                <w:szCs w:val="18"/>
              </w:rPr>
              <w:t>NaOH 0.05M + SDS 3h</w:t>
            </w:r>
          </w:p>
        </w:tc>
        <w:tc>
          <w:tcPr>
            <w:tcW w:w="1134" w:type="dxa"/>
            <w:tcBorders>
              <w:top w:val="nil"/>
              <w:bottom w:val="nil"/>
            </w:tcBorders>
            <w:shd w:val="clear" w:color="auto" w:fill="FFFFFF"/>
            <w:vAlign w:val="center"/>
          </w:tcPr>
          <w:p w14:paraId="5DA39FEE" w14:textId="238F2079" w:rsidR="00EC0287" w:rsidRPr="006E0B6B" w:rsidRDefault="009B79C7" w:rsidP="0014568C">
            <w:pPr>
              <w:pStyle w:val="CETBodytext"/>
              <w:jc w:val="left"/>
              <w:rPr>
                <w:rFonts w:cs="Arial"/>
                <w:szCs w:val="18"/>
                <w:lang w:val="en-GB"/>
              </w:rPr>
            </w:pPr>
            <w:r>
              <w:rPr>
                <w:rFonts w:cs="Arial"/>
                <w:szCs w:val="18"/>
              </w:rPr>
              <w:t>87</w:t>
            </w:r>
            <w:r w:rsidR="00C7421E">
              <w:rPr>
                <w:rFonts w:cs="Arial"/>
                <w:szCs w:val="18"/>
              </w:rPr>
              <w:t>.2</w:t>
            </w:r>
            <w:r w:rsidRPr="006E0B6B">
              <w:rPr>
                <w:rFonts w:cs="Arial"/>
                <w:szCs w:val="18"/>
              </w:rPr>
              <w:t xml:space="preserve"> ± </w:t>
            </w:r>
            <w:r>
              <w:rPr>
                <w:rFonts w:cs="Arial"/>
                <w:szCs w:val="18"/>
              </w:rPr>
              <w:t>8</w:t>
            </w:r>
            <w:r w:rsidR="00C7421E">
              <w:rPr>
                <w:rFonts w:cs="Arial"/>
                <w:szCs w:val="18"/>
              </w:rPr>
              <w:t>.1</w:t>
            </w:r>
          </w:p>
        </w:tc>
        <w:tc>
          <w:tcPr>
            <w:tcW w:w="1276" w:type="dxa"/>
            <w:tcBorders>
              <w:top w:val="nil"/>
              <w:bottom w:val="nil"/>
            </w:tcBorders>
            <w:shd w:val="clear" w:color="auto" w:fill="FFFFFF"/>
            <w:vAlign w:val="center"/>
          </w:tcPr>
          <w:p w14:paraId="693B42BA" w14:textId="3548FECA" w:rsidR="00EC0287" w:rsidRPr="006E0B6B" w:rsidRDefault="009B79C7" w:rsidP="0014568C">
            <w:pPr>
              <w:pStyle w:val="CETBodytext"/>
              <w:jc w:val="left"/>
              <w:rPr>
                <w:rFonts w:cs="Arial"/>
                <w:szCs w:val="18"/>
                <w:lang w:val="en-GB"/>
              </w:rPr>
            </w:pPr>
            <w:r>
              <w:rPr>
                <w:rFonts w:cs="Arial"/>
                <w:szCs w:val="18"/>
              </w:rPr>
              <w:t>67</w:t>
            </w:r>
            <w:r w:rsidR="00C7421E">
              <w:rPr>
                <w:rFonts w:cs="Arial"/>
                <w:szCs w:val="18"/>
              </w:rPr>
              <w:t>.8</w:t>
            </w:r>
            <w:r w:rsidR="00EC0287" w:rsidRPr="006E0B6B">
              <w:rPr>
                <w:rFonts w:cs="Arial"/>
                <w:szCs w:val="18"/>
              </w:rPr>
              <w:t xml:space="preserve"> ± </w:t>
            </w:r>
            <w:r>
              <w:rPr>
                <w:rFonts w:cs="Arial"/>
                <w:szCs w:val="18"/>
              </w:rPr>
              <w:t>6</w:t>
            </w:r>
            <w:r w:rsidR="00C7421E">
              <w:rPr>
                <w:rFonts w:cs="Arial"/>
                <w:szCs w:val="18"/>
              </w:rPr>
              <w:t>.0</w:t>
            </w:r>
          </w:p>
        </w:tc>
        <w:tc>
          <w:tcPr>
            <w:tcW w:w="1134" w:type="dxa"/>
            <w:tcBorders>
              <w:top w:val="nil"/>
              <w:bottom w:val="nil"/>
            </w:tcBorders>
            <w:shd w:val="clear" w:color="auto" w:fill="FFFFFF"/>
            <w:vAlign w:val="center"/>
          </w:tcPr>
          <w:p w14:paraId="217BCE89" w14:textId="6E05E659" w:rsidR="00EC0287" w:rsidRPr="006E0B6B" w:rsidRDefault="009B79C7" w:rsidP="0014568C">
            <w:pPr>
              <w:pStyle w:val="CETBodytext"/>
              <w:ind w:right="-1"/>
              <w:jc w:val="left"/>
              <w:rPr>
                <w:rFonts w:cs="Arial"/>
                <w:szCs w:val="18"/>
                <w:lang w:val="en-GB"/>
              </w:rPr>
            </w:pPr>
            <w:r>
              <w:rPr>
                <w:rFonts w:cs="Arial"/>
                <w:szCs w:val="18"/>
                <w:lang w:val="en-GB"/>
              </w:rPr>
              <w:t xml:space="preserve">11.6 </w:t>
            </w:r>
            <w:r w:rsidR="00C7421E" w:rsidRPr="006E0B6B">
              <w:rPr>
                <w:rFonts w:cs="Arial"/>
                <w:szCs w:val="18"/>
              </w:rPr>
              <w:t>±</w:t>
            </w:r>
            <w:r w:rsidR="00C7421E">
              <w:rPr>
                <w:rFonts w:cs="Arial"/>
                <w:szCs w:val="18"/>
              </w:rPr>
              <w:t xml:space="preserve"> 0.3</w:t>
            </w:r>
          </w:p>
        </w:tc>
        <w:tc>
          <w:tcPr>
            <w:tcW w:w="1134" w:type="dxa"/>
            <w:tcBorders>
              <w:top w:val="nil"/>
              <w:bottom w:val="nil"/>
            </w:tcBorders>
            <w:shd w:val="clear" w:color="auto" w:fill="FFFFFF"/>
            <w:vAlign w:val="center"/>
          </w:tcPr>
          <w:p w14:paraId="25AF2601" w14:textId="29E96001" w:rsidR="00EC0287" w:rsidRPr="006E0B6B" w:rsidRDefault="00E90519" w:rsidP="0014568C">
            <w:pPr>
              <w:pStyle w:val="CETBodytext"/>
              <w:ind w:right="-1"/>
              <w:jc w:val="left"/>
              <w:rPr>
                <w:rFonts w:cs="Arial"/>
                <w:szCs w:val="18"/>
                <w:lang w:val="en-GB"/>
              </w:rPr>
            </w:pPr>
            <w:r>
              <w:rPr>
                <w:rFonts w:cs="Arial"/>
                <w:szCs w:val="18"/>
                <w:lang w:val="en-GB"/>
              </w:rPr>
              <w:t xml:space="preserve">162 </w:t>
            </w:r>
            <w:r w:rsidRPr="006E0B6B">
              <w:rPr>
                <w:rFonts w:cs="Arial"/>
                <w:szCs w:val="18"/>
              </w:rPr>
              <w:t>±</w:t>
            </w:r>
            <w:r>
              <w:rPr>
                <w:rFonts w:cs="Arial"/>
                <w:szCs w:val="18"/>
              </w:rPr>
              <w:t xml:space="preserve"> 12</w:t>
            </w:r>
          </w:p>
        </w:tc>
        <w:tc>
          <w:tcPr>
            <w:tcW w:w="992" w:type="dxa"/>
            <w:tcBorders>
              <w:top w:val="nil"/>
              <w:bottom w:val="nil"/>
            </w:tcBorders>
            <w:shd w:val="clear" w:color="auto" w:fill="FFFFFF"/>
            <w:vAlign w:val="center"/>
          </w:tcPr>
          <w:p w14:paraId="4B51ABBC" w14:textId="48876B33" w:rsidR="00EC0287" w:rsidRPr="006E0B6B" w:rsidRDefault="00FB3CAD" w:rsidP="0014568C">
            <w:pPr>
              <w:pStyle w:val="CETBodytext"/>
              <w:ind w:right="-1"/>
              <w:jc w:val="left"/>
              <w:rPr>
                <w:rFonts w:cs="Arial"/>
                <w:szCs w:val="18"/>
                <w:lang w:val="en-GB"/>
              </w:rPr>
            </w:pPr>
            <w:r>
              <w:rPr>
                <w:rFonts w:cs="Arial"/>
                <w:szCs w:val="18"/>
                <w:lang w:val="en-GB"/>
              </w:rPr>
              <w:t>271</w:t>
            </w:r>
          </w:p>
        </w:tc>
        <w:tc>
          <w:tcPr>
            <w:tcW w:w="707" w:type="dxa"/>
            <w:tcBorders>
              <w:top w:val="nil"/>
              <w:bottom w:val="nil"/>
            </w:tcBorders>
            <w:shd w:val="clear" w:color="auto" w:fill="FFFFFF"/>
            <w:vAlign w:val="center"/>
          </w:tcPr>
          <w:p w14:paraId="27374590" w14:textId="5D1CCC55" w:rsidR="00EC0287" w:rsidRPr="006E0B6B" w:rsidRDefault="00215ED2" w:rsidP="0014568C">
            <w:pPr>
              <w:pStyle w:val="CETBodytext"/>
              <w:ind w:right="-1"/>
              <w:jc w:val="left"/>
              <w:rPr>
                <w:rFonts w:cs="Arial"/>
                <w:szCs w:val="18"/>
                <w:lang w:val="en-GB"/>
              </w:rPr>
            </w:pPr>
            <w:r>
              <w:rPr>
                <w:rFonts w:cs="Arial"/>
                <w:szCs w:val="18"/>
                <w:lang w:val="en-GB"/>
              </w:rPr>
              <w:t>162</w:t>
            </w:r>
          </w:p>
        </w:tc>
      </w:tr>
      <w:tr w:rsidR="007E0969" w:rsidRPr="00B57B36" w14:paraId="07A34800" w14:textId="0E745FE9" w:rsidTr="00FA3ABB">
        <w:trPr>
          <w:trHeight w:val="228"/>
        </w:trPr>
        <w:tc>
          <w:tcPr>
            <w:tcW w:w="2410" w:type="dxa"/>
            <w:tcBorders>
              <w:top w:val="nil"/>
            </w:tcBorders>
            <w:shd w:val="clear" w:color="auto" w:fill="FFFFFF"/>
            <w:vAlign w:val="center"/>
          </w:tcPr>
          <w:p w14:paraId="14919200" w14:textId="5C96C3EA" w:rsidR="00334411" w:rsidRPr="006E0B6B" w:rsidRDefault="00334411" w:rsidP="0014568C">
            <w:pPr>
              <w:pStyle w:val="CETBodytext"/>
              <w:ind w:right="-1"/>
              <w:jc w:val="left"/>
              <w:rPr>
                <w:rFonts w:cs="Arial"/>
                <w:szCs w:val="18"/>
                <w:lang w:val="en-GB"/>
              </w:rPr>
            </w:pPr>
            <w:r w:rsidRPr="00334411">
              <w:rPr>
                <w:szCs w:val="18"/>
              </w:rPr>
              <w:t>NaOH 0.</w:t>
            </w:r>
            <w:r>
              <w:rPr>
                <w:szCs w:val="18"/>
              </w:rPr>
              <w:t>2</w:t>
            </w:r>
            <w:r w:rsidRPr="00334411">
              <w:rPr>
                <w:szCs w:val="18"/>
              </w:rPr>
              <w:t>M + SDS 3h</w:t>
            </w:r>
          </w:p>
        </w:tc>
        <w:tc>
          <w:tcPr>
            <w:tcW w:w="1134" w:type="dxa"/>
            <w:tcBorders>
              <w:top w:val="nil"/>
            </w:tcBorders>
            <w:shd w:val="clear" w:color="auto" w:fill="FFFFFF"/>
            <w:vAlign w:val="center"/>
          </w:tcPr>
          <w:p w14:paraId="2F9AC558" w14:textId="2A158231" w:rsidR="00334411" w:rsidRPr="006E0B6B" w:rsidRDefault="00C7421E" w:rsidP="0014568C">
            <w:pPr>
              <w:pStyle w:val="CETBodytext"/>
              <w:ind w:right="-1"/>
              <w:jc w:val="left"/>
              <w:rPr>
                <w:rFonts w:cs="Arial"/>
                <w:szCs w:val="18"/>
                <w:lang w:val="en-GB"/>
              </w:rPr>
            </w:pPr>
            <w:r>
              <w:rPr>
                <w:rFonts w:cs="Arial"/>
                <w:szCs w:val="18"/>
              </w:rPr>
              <w:t xml:space="preserve">97.8 </w:t>
            </w:r>
            <w:r w:rsidRPr="006E0B6B">
              <w:rPr>
                <w:rFonts w:cs="Arial"/>
                <w:szCs w:val="18"/>
              </w:rPr>
              <w:t>±</w:t>
            </w:r>
            <w:r>
              <w:rPr>
                <w:rFonts w:cs="Arial"/>
                <w:szCs w:val="18"/>
              </w:rPr>
              <w:t xml:space="preserve"> 3.7</w:t>
            </w:r>
          </w:p>
        </w:tc>
        <w:tc>
          <w:tcPr>
            <w:tcW w:w="1276" w:type="dxa"/>
            <w:tcBorders>
              <w:top w:val="nil"/>
            </w:tcBorders>
            <w:shd w:val="clear" w:color="auto" w:fill="FFFFFF"/>
            <w:vAlign w:val="center"/>
          </w:tcPr>
          <w:p w14:paraId="5F919569" w14:textId="7DB70996" w:rsidR="00334411" w:rsidRPr="006E0B6B" w:rsidRDefault="00C7421E" w:rsidP="0014568C">
            <w:pPr>
              <w:pStyle w:val="CETBodytext"/>
              <w:ind w:right="-1"/>
              <w:jc w:val="left"/>
              <w:rPr>
                <w:rFonts w:cs="Arial"/>
                <w:szCs w:val="18"/>
                <w:lang w:val="en-GB"/>
              </w:rPr>
            </w:pPr>
            <w:r>
              <w:rPr>
                <w:rFonts w:cs="Arial"/>
                <w:szCs w:val="18"/>
              </w:rPr>
              <w:t>95.8</w:t>
            </w:r>
            <w:r w:rsidR="00334411" w:rsidRPr="006E0B6B">
              <w:rPr>
                <w:rFonts w:cs="Arial"/>
                <w:szCs w:val="18"/>
              </w:rPr>
              <w:t xml:space="preserve"> ± 3</w:t>
            </w:r>
            <w:r>
              <w:rPr>
                <w:rFonts w:cs="Arial"/>
                <w:szCs w:val="18"/>
              </w:rPr>
              <w:t>.5</w:t>
            </w:r>
          </w:p>
        </w:tc>
        <w:tc>
          <w:tcPr>
            <w:tcW w:w="1134" w:type="dxa"/>
            <w:tcBorders>
              <w:top w:val="nil"/>
            </w:tcBorders>
            <w:shd w:val="clear" w:color="auto" w:fill="FFFFFF"/>
            <w:vAlign w:val="center"/>
          </w:tcPr>
          <w:p w14:paraId="6F1DD22E" w14:textId="786DD460" w:rsidR="00334411" w:rsidRPr="006E0B6B" w:rsidRDefault="00C7421E" w:rsidP="0014568C">
            <w:pPr>
              <w:pStyle w:val="CETBodytext"/>
              <w:ind w:right="-1"/>
              <w:jc w:val="left"/>
              <w:rPr>
                <w:rFonts w:cs="Arial"/>
                <w:szCs w:val="18"/>
                <w:lang w:val="en-GB"/>
              </w:rPr>
            </w:pPr>
            <w:r>
              <w:rPr>
                <w:rFonts w:cs="Arial"/>
                <w:szCs w:val="18"/>
              </w:rPr>
              <w:t>11.0</w:t>
            </w:r>
            <w:r w:rsidR="00334411" w:rsidRPr="006E0B6B">
              <w:rPr>
                <w:rFonts w:cs="Arial"/>
                <w:szCs w:val="18"/>
              </w:rPr>
              <w:t xml:space="preserve"> ± 0.</w:t>
            </w:r>
            <w:r>
              <w:rPr>
                <w:rFonts w:cs="Arial"/>
                <w:szCs w:val="18"/>
              </w:rPr>
              <w:t>3</w:t>
            </w:r>
          </w:p>
        </w:tc>
        <w:tc>
          <w:tcPr>
            <w:tcW w:w="1134" w:type="dxa"/>
            <w:tcBorders>
              <w:top w:val="nil"/>
            </w:tcBorders>
            <w:shd w:val="clear" w:color="auto" w:fill="FFFFFF"/>
            <w:vAlign w:val="center"/>
          </w:tcPr>
          <w:p w14:paraId="66152445" w14:textId="07DBEDD8" w:rsidR="00334411" w:rsidRPr="006E0B6B" w:rsidRDefault="00E90519" w:rsidP="0014568C">
            <w:pPr>
              <w:pStyle w:val="CETBodytext"/>
              <w:ind w:right="-1"/>
              <w:jc w:val="left"/>
              <w:rPr>
                <w:rFonts w:cs="Arial"/>
                <w:szCs w:val="18"/>
                <w:lang w:val="en-GB"/>
              </w:rPr>
            </w:pPr>
            <w:r>
              <w:rPr>
                <w:rFonts w:cs="Arial"/>
                <w:szCs w:val="18"/>
                <w:lang w:val="en-GB"/>
              </w:rPr>
              <w:t xml:space="preserve">165 </w:t>
            </w:r>
            <w:r w:rsidRPr="006E0B6B">
              <w:rPr>
                <w:rFonts w:cs="Arial"/>
                <w:szCs w:val="18"/>
              </w:rPr>
              <w:t>±</w:t>
            </w:r>
            <w:r>
              <w:rPr>
                <w:rFonts w:cs="Arial"/>
                <w:szCs w:val="18"/>
              </w:rPr>
              <w:t xml:space="preserve"> 23</w:t>
            </w:r>
          </w:p>
        </w:tc>
        <w:tc>
          <w:tcPr>
            <w:tcW w:w="992" w:type="dxa"/>
            <w:tcBorders>
              <w:top w:val="nil"/>
            </w:tcBorders>
            <w:shd w:val="clear" w:color="auto" w:fill="FFFFFF"/>
            <w:vAlign w:val="center"/>
          </w:tcPr>
          <w:p w14:paraId="541D6B1E" w14:textId="4D62F28D" w:rsidR="00334411" w:rsidRPr="006E0B6B" w:rsidRDefault="00FB3CAD" w:rsidP="0014568C">
            <w:pPr>
              <w:pStyle w:val="CETBodytext"/>
              <w:ind w:right="-1"/>
              <w:jc w:val="left"/>
              <w:rPr>
                <w:rFonts w:cs="Arial"/>
                <w:szCs w:val="18"/>
                <w:lang w:val="en-GB"/>
              </w:rPr>
            </w:pPr>
            <w:r>
              <w:rPr>
                <w:rFonts w:cs="Arial"/>
                <w:szCs w:val="18"/>
                <w:lang w:val="en-GB"/>
              </w:rPr>
              <w:t>275</w:t>
            </w:r>
          </w:p>
        </w:tc>
        <w:tc>
          <w:tcPr>
            <w:tcW w:w="707" w:type="dxa"/>
            <w:tcBorders>
              <w:top w:val="nil"/>
            </w:tcBorders>
            <w:shd w:val="clear" w:color="auto" w:fill="FFFFFF"/>
            <w:vAlign w:val="center"/>
          </w:tcPr>
          <w:p w14:paraId="219022C5" w14:textId="78D53E3B" w:rsidR="00334411" w:rsidRPr="006E0B6B" w:rsidRDefault="00215ED2" w:rsidP="0014568C">
            <w:pPr>
              <w:pStyle w:val="CETBodytext"/>
              <w:ind w:right="-1"/>
              <w:jc w:val="left"/>
              <w:rPr>
                <w:rFonts w:cs="Arial"/>
                <w:szCs w:val="18"/>
                <w:lang w:val="en-GB"/>
              </w:rPr>
            </w:pPr>
            <w:r>
              <w:rPr>
                <w:rFonts w:cs="Arial"/>
                <w:szCs w:val="18"/>
                <w:lang w:val="en-GB"/>
              </w:rPr>
              <w:t>157</w:t>
            </w:r>
          </w:p>
        </w:tc>
      </w:tr>
      <w:tr w:rsidR="007E0969" w:rsidRPr="00B57B36" w14:paraId="1C50A73A" w14:textId="3192B117" w:rsidTr="00FA3ABB">
        <w:trPr>
          <w:trHeight w:val="215"/>
        </w:trPr>
        <w:tc>
          <w:tcPr>
            <w:tcW w:w="2410" w:type="dxa"/>
            <w:shd w:val="clear" w:color="auto" w:fill="FFFFFF"/>
            <w:vAlign w:val="center"/>
          </w:tcPr>
          <w:p w14:paraId="1E0DE345" w14:textId="2B6A9198" w:rsidR="00334411" w:rsidRPr="006E0B6B" w:rsidRDefault="00334411" w:rsidP="0014568C">
            <w:pPr>
              <w:pStyle w:val="CETBodytext"/>
              <w:ind w:right="-1"/>
              <w:jc w:val="left"/>
              <w:rPr>
                <w:rFonts w:cs="Arial"/>
                <w:szCs w:val="18"/>
                <w:lang w:val="en-GB"/>
              </w:rPr>
            </w:pPr>
            <w:r w:rsidRPr="00334411">
              <w:rPr>
                <w:szCs w:val="18"/>
              </w:rPr>
              <w:t>NaOH 0.5M 3h</w:t>
            </w:r>
          </w:p>
        </w:tc>
        <w:tc>
          <w:tcPr>
            <w:tcW w:w="1134" w:type="dxa"/>
            <w:shd w:val="clear" w:color="auto" w:fill="FFFFFF"/>
            <w:vAlign w:val="center"/>
          </w:tcPr>
          <w:p w14:paraId="15D49B8C" w14:textId="236CC213" w:rsidR="00334411" w:rsidRPr="006E0B6B" w:rsidRDefault="00C7421E" w:rsidP="0014568C">
            <w:pPr>
              <w:pStyle w:val="CETBodytext"/>
              <w:ind w:right="-1"/>
              <w:jc w:val="left"/>
              <w:rPr>
                <w:rFonts w:cs="Arial"/>
                <w:szCs w:val="18"/>
                <w:lang w:val="en-GB"/>
              </w:rPr>
            </w:pPr>
            <w:r>
              <w:rPr>
                <w:rFonts w:cs="Arial"/>
                <w:szCs w:val="18"/>
              </w:rPr>
              <w:t xml:space="preserve">99.9 </w:t>
            </w:r>
            <w:r w:rsidRPr="006E0B6B">
              <w:rPr>
                <w:rFonts w:cs="Arial"/>
                <w:szCs w:val="18"/>
              </w:rPr>
              <w:t>±</w:t>
            </w:r>
            <w:r>
              <w:rPr>
                <w:rFonts w:cs="Arial"/>
                <w:szCs w:val="18"/>
              </w:rPr>
              <w:t xml:space="preserve"> 0.2</w:t>
            </w:r>
          </w:p>
        </w:tc>
        <w:tc>
          <w:tcPr>
            <w:tcW w:w="1276" w:type="dxa"/>
            <w:shd w:val="clear" w:color="auto" w:fill="FFFFFF"/>
            <w:vAlign w:val="center"/>
          </w:tcPr>
          <w:p w14:paraId="185FF64B" w14:textId="1178737B" w:rsidR="00334411" w:rsidRPr="006E0B6B" w:rsidRDefault="00C7421E" w:rsidP="0014568C">
            <w:pPr>
              <w:pStyle w:val="CETBodytext"/>
              <w:ind w:right="-1"/>
              <w:jc w:val="left"/>
              <w:rPr>
                <w:rFonts w:cs="Arial"/>
                <w:szCs w:val="18"/>
                <w:lang w:val="en-GB"/>
              </w:rPr>
            </w:pPr>
            <w:r>
              <w:rPr>
                <w:rFonts w:cs="Arial"/>
                <w:szCs w:val="18"/>
              </w:rPr>
              <w:t xml:space="preserve">100.8 </w:t>
            </w:r>
            <w:r w:rsidRPr="006E0B6B">
              <w:rPr>
                <w:rFonts w:cs="Arial"/>
                <w:szCs w:val="18"/>
              </w:rPr>
              <w:t>±</w:t>
            </w:r>
            <w:r>
              <w:rPr>
                <w:rFonts w:cs="Arial"/>
                <w:szCs w:val="18"/>
              </w:rPr>
              <w:t xml:space="preserve"> 0.2</w:t>
            </w:r>
          </w:p>
        </w:tc>
        <w:tc>
          <w:tcPr>
            <w:tcW w:w="1134" w:type="dxa"/>
            <w:shd w:val="clear" w:color="auto" w:fill="FFFFFF"/>
            <w:vAlign w:val="center"/>
          </w:tcPr>
          <w:p w14:paraId="34786A12" w14:textId="70658D51" w:rsidR="00334411" w:rsidRPr="006E0B6B" w:rsidRDefault="00C7421E" w:rsidP="0014568C">
            <w:pPr>
              <w:pStyle w:val="CETBodytext"/>
              <w:ind w:right="-1"/>
              <w:jc w:val="left"/>
              <w:rPr>
                <w:rFonts w:cs="Arial"/>
                <w:szCs w:val="18"/>
                <w:lang w:val="en-GB"/>
              </w:rPr>
            </w:pPr>
            <w:r>
              <w:rPr>
                <w:rFonts w:cs="Arial"/>
                <w:szCs w:val="18"/>
                <w:lang w:val="en-GB"/>
              </w:rPr>
              <w:t xml:space="preserve">14.9 </w:t>
            </w:r>
            <w:r w:rsidRPr="006E0B6B">
              <w:rPr>
                <w:rFonts w:cs="Arial"/>
                <w:szCs w:val="18"/>
              </w:rPr>
              <w:t>±</w:t>
            </w:r>
            <w:r>
              <w:rPr>
                <w:rFonts w:cs="Arial"/>
                <w:szCs w:val="18"/>
              </w:rPr>
              <w:t xml:space="preserve"> 0.1</w:t>
            </w:r>
          </w:p>
        </w:tc>
        <w:tc>
          <w:tcPr>
            <w:tcW w:w="1134" w:type="dxa"/>
            <w:shd w:val="clear" w:color="auto" w:fill="FFFFFF"/>
            <w:vAlign w:val="center"/>
          </w:tcPr>
          <w:p w14:paraId="0A8A11AE" w14:textId="18427E58" w:rsidR="00334411" w:rsidRPr="006E0B6B" w:rsidRDefault="00E90519" w:rsidP="0014568C">
            <w:pPr>
              <w:pStyle w:val="CETBodytext"/>
              <w:ind w:right="-1"/>
              <w:jc w:val="left"/>
              <w:rPr>
                <w:rFonts w:cs="Arial"/>
                <w:szCs w:val="18"/>
                <w:lang w:val="en-GB"/>
              </w:rPr>
            </w:pPr>
            <w:r>
              <w:rPr>
                <w:rFonts w:cs="Arial"/>
                <w:szCs w:val="18"/>
                <w:lang w:val="en-GB"/>
              </w:rPr>
              <w:t xml:space="preserve">95 </w:t>
            </w:r>
            <w:r w:rsidRPr="006E0B6B">
              <w:rPr>
                <w:rFonts w:cs="Arial"/>
                <w:szCs w:val="18"/>
              </w:rPr>
              <w:t>±</w:t>
            </w:r>
            <w:r>
              <w:rPr>
                <w:rFonts w:cs="Arial"/>
                <w:szCs w:val="18"/>
              </w:rPr>
              <w:t xml:space="preserve"> 9</w:t>
            </w:r>
          </w:p>
        </w:tc>
        <w:tc>
          <w:tcPr>
            <w:tcW w:w="992" w:type="dxa"/>
            <w:shd w:val="clear" w:color="auto" w:fill="FFFFFF"/>
            <w:vAlign w:val="center"/>
          </w:tcPr>
          <w:p w14:paraId="6DD4EB38" w14:textId="2DFD55C7" w:rsidR="00334411" w:rsidRPr="006E0B6B" w:rsidRDefault="00FB3CAD" w:rsidP="0014568C">
            <w:pPr>
              <w:pStyle w:val="CETBodytext"/>
              <w:ind w:right="-1"/>
              <w:jc w:val="left"/>
              <w:rPr>
                <w:rFonts w:cs="Arial"/>
                <w:szCs w:val="18"/>
                <w:lang w:val="en-GB"/>
              </w:rPr>
            </w:pPr>
            <w:r>
              <w:rPr>
                <w:rFonts w:cs="Arial"/>
                <w:szCs w:val="18"/>
                <w:lang w:val="en-GB"/>
              </w:rPr>
              <w:t>281</w:t>
            </w:r>
          </w:p>
        </w:tc>
        <w:tc>
          <w:tcPr>
            <w:tcW w:w="707" w:type="dxa"/>
            <w:shd w:val="clear" w:color="auto" w:fill="FFFFFF"/>
            <w:vAlign w:val="center"/>
          </w:tcPr>
          <w:p w14:paraId="63A08ACE" w14:textId="378DCE2C" w:rsidR="00334411" w:rsidRPr="006E0B6B" w:rsidRDefault="00215ED2" w:rsidP="0014568C">
            <w:pPr>
              <w:pStyle w:val="CETBodytext"/>
              <w:ind w:right="-1"/>
              <w:jc w:val="left"/>
              <w:rPr>
                <w:rFonts w:cs="Arial"/>
                <w:szCs w:val="18"/>
                <w:lang w:val="en-GB"/>
              </w:rPr>
            </w:pPr>
            <w:r>
              <w:rPr>
                <w:rFonts w:cs="Arial"/>
                <w:szCs w:val="18"/>
                <w:lang w:val="en-GB"/>
              </w:rPr>
              <w:t>158</w:t>
            </w:r>
          </w:p>
        </w:tc>
      </w:tr>
      <w:bookmarkEnd w:id="1"/>
      <w:tr w:rsidR="007E0969" w:rsidRPr="00B57B36" w14:paraId="74242763" w14:textId="20F9FDAB" w:rsidTr="00FA3ABB">
        <w:trPr>
          <w:trHeight w:val="215"/>
        </w:trPr>
        <w:tc>
          <w:tcPr>
            <w:tcW w:w="2410" w:type="dxa"/>
            <w:shd w:val="clear" w:color="auto" w:fill="FFFFFF"/>
            <w:vAlign w:val="center"/>
          </w:tcPr>
          <w:p w14:paraId="5D2C147D" w14:textId="4F95525F" w:rsidR="00334411" w:rsidRPr="006E0B6B" w:rsidRDefault="00334411" w:rsidP="0014568C">
            <w:pPr>
              <w:pStyle w:val="CETBodytext"/>
              <w:ind w:right="-1"/>
              <w:jc w:val="left"/>
              <w:rPr>
                <w:rFonts w:cs="Arial"/>
                <w:szCs w:val="18"/>
                <w:lang w:val="en-GB"/>
              </w:rPr>
            </w:pPr>
            <w:proofErr w:type="spellStart"/>
            <w:r>
              <w:rPr>
                <w:rFonts w:cs="Arial"/>
                <w:szCs w:val="18"/>
                <w:lang w:val="en-GB"/>
              </w:rPr>
              <w:t>NaClO</w:t>
            </w:r>
            <w:proofErr w:type="spellEnd"/>
          </w:p>
        </w:tc>
        <w:tc>
          <w:tcPr>
            <w:tcW w:w="1134" w:type="dxa"/>
            <w:shd w:val="clear" w:color="auto" w:fill="FFFFFF"/>
            <w:vAlign w:val="center"/>
          </w:tcPr>
          <w:p w14:paraId="7F1AF6FE" w14:textId="28575E93" w:rsidR="00334411" w:rsidRPr="006E0B6B" w:rsidRDefault="00C7421E" w:rsidP="0014568C">
            <w:pPr>
              <w:pStyle w:val="CETBodytext"/>
              <w:ind w:right="-1"/>
              <w:jc w:val="left"/>
              <w:rPr>
                <w:rFonts w:cs="Arial"/>
                <w:szCs w:val="18"/>
                <w:lang w:val="en-GB"/>
              </w:rPr>
            </w:pPr>
            <w:r>
              <w:rPr>
                <w:rFonts w:cs="Arial"/>
                <w:szCs w:val="18"/>
              </w:rPr>
              <w:t xml:space="preserve">98.4 </w:t>
            </w:r>
            <w:r w:rsidRPr="006E0B6B">
              <w:rPr>
                <w:rFonts w:cs="Arial"/>
                <w:szCs w:val="18"/>
              </w:rPr>
              <w:t>±</w:t>
            </w:r>
            <w:r>
              <w:rPr>
                <w:rFonts w:cs="Arial"/>
                <w:szCs w:val="18"/>
              </w:rPr>
              <w:t xml:space="preserve"> 0.1</w:t>
            </w:r>
          </w:p>
        </w:tc>
        <w:tc>
          <w:tcPr>
            <w:tcW w:w="1276" w:type="dxa"/>
            <w:shd w:val="clear" w:color="auto" w:fill="FFFFFF"/>
            <w:vAlign w:val="center"/>
          </w:tcPr>
          <w:p w14:paraId="48826A94" w14:textId="34493DF2" w:rsidR="00334411" w:rsidRPr="006E0B6B" w:rsidRDefault="00C7421E" w:rsidP="0014568C">
            <w:pPr>
              <w:pStyle w:val="CETBodytext"/>
              <w:ind w:right="-1"/>
              <w:jc w:val="left"/>
              <w:rPr>
                <w:rFonts w:cs="Arial"/>
                <w:szCs w:val="18"/>
                <w:lang w:val="en-GB"/>
              </w:rPr>
            </w:pPr>
            <w:r>
              <w:rPr>
                <w:rFonts w:cs="Arial"/>
                <w:szCs w:val="18"/>
              </w:rPr>
              <w:t>88.3</w:t>
            </w:r>
            <w:r w:rsidR="00334411" w:rsidRPr="006E0B6B">
              <w:rPr>
                <w:rFonts w:cs="Arial"/>
                <w:szCs w:val="18"/>
              </w:rPr>
              <w:t xml:space="preserve"> ± 0.</w:t>
            </w:r>
            <w:r>
              <w:rPr>
                <w:rFonts w:cs="Arial"/>
                <w:szCs w:val="18"/>
              </w:rPr>
              <w:t>5</w:t>
            </w:r>
          </w:p>
        </w:tc>
        <w:tc>
          <w:tcPr>
            <w:tcW w:w="1134" w:type="dxa"/>
            <w:shd w:val="clear" w:color="auto" w:fill="FFFFFF"/>
            <w:vAlign w:val="center"/>
          </w:tcPr>
          <w:p w14:paraId="4E3F96CB" w14:textId="39D4D056" w:rsidR="00334411" w:rsidRPr="006E0B6B" w:rsidRDefault="00C7421E" w:rsidP="0014568C">
            <w:pPr>
              <w:pStyle w:val="CETBodytext"/>
              <w:ind w:right="-1"/>
              <w:jc w:val="left"/>
              <w:rPr>
                <w:rFonts w:cs="Arial"/>
                <w:szCs w:val="18"/>
                <w:lang w:val="en-GB"/>
              </w:rPr>
            </w:pPr>
            <w:r>
              <w:rPr>
                <w:rFonts w:cs="Arial"/>
                <w:szCs w:val="18"/>
                <w:lang w:val="en-GB"/>
              </w:rPr>
              <w:t xml:space="preserve">11.6 </w:t>
            </w:r>
            <w:r w:rsidRPr="006E0B6B">
              <w:rPr>
                <w:rFonts w:cs="Arial"/>
                <w:szCs w:val="18"/>
              </w:rPr>
              <w:t>±</w:t>
            </w:r>
            <w:r>
              <w:rPr>
                <w:rFonts w:cs="Arial"/>
                <w:szCs w:val="18"/>
              </w:rPr>
              <w:t xml:space="preserve"> 0.2</w:t>
            </w:r>
          </w:p>
        </w:tc>
        <w:tc>
          <w:tcPr>
            <w:tcW w:w="1134" w:type="dxa"/>
            <w:shd w:val="clear" w:color="auto" w:fill="FFFFFF"/>
            <w:vAlign w:val="center"/>
          </w:tcPr>
          <w:p w14:paraId="7888BA37" w14:textId="14F6EC81" w:rsidR="00334411" w:rsidRPr="006E0B6B" w:rsidRDefault="00E90519" w:rsidP="0014568C">
            <w:pPr>
              <w:pStyle w:val="CETBodytext"/>
              <w:ind w:right="-1"/>
              <w:jc w:val="left"/>
              <w:rPr>
                <w:rFonts w:cs="Arial"/>
                <w:szCs w:val="18"/>
                <w:lang w:val="en-GB"/>
              </w:rPr>
            </w:pPr>
            <w:r>
              <w:rPr>
                <w:rFonts w:cs="Arial"/>
                <w:szCs w:val="18"/>
                <w:lang w:val="en-GB"/>
              </w:rPr>
              <w:t xml:space="preserve">181 </w:t>
            </w:r>
            <w:r w:rsidRPr="006E0B6B">
              <w:rPr>
                <w:rFonts w:cs="Arial"/>
                <w:szCs w:val="18"/>
              </w:rPr>
              <w:t>±</w:t>
            </w:r>
            <w:r>
              <w:rPr>
                <w:rFonts w:cs="Arial"/>
                <w:szCs w:val="18"/>
              </w:rPr>
              <w:t xml:space="preserve"> 13</w:t>
            </w:r>
          </w:p>
        </w:tc>
        <w:tc>
          <w:tcPr>
            <w:tcW w:w="992" w:type="dxa"/>
            <w:shd w:val="clear" w:color="auto" w:fill="FFFFFF"/>
            <w:vAlign w:val="center"/>
          </w:tcPr>
          <w:p w14:paraId="305CD355" w14:textId="78FB9E28" w:rsidR="00334411" w:rsidRPr="006E0B6B" w:rsidRDefault="00FB3CAD" w:rsidP="0014568C">
            <w:pPr>
              <w:pStyle w:val="CETBodytext"/>
              <w:ind w:right="-1"/>
              <w:jc w:val="left"/>
              <w:rPr>
                <w:rFonts w:cs="Arial"/>
                <w:szCs w:val="18"/>
                <w:lang w:val="en-GB"/>
              </w:rPr>
            </w:pPr>
            <w:r>
              <w:rPr>
                <w:rFonts w:cs="Arial"/>
                <w:szCs w:val="18"/>
                <w:lang w:val="en-GB"/>
              </w:rPr>
              <w:t>274</w:t>
            </w:r>
          </w:p>
        </w:tc>
        <w:tc>
          <w:tcPr>
            <w:tcW w:w="707" w:type="dxa"/>
            <w:shd w:val="clear" w:color="auto" w:fill="FFFFFF"/>
            <w:vAlign w:val="center"/>
          </w:tcPr>
          <w:p w14:paraId="31855420" w14:textId="5AE6EE20" w:rsidR="00334411" w:rsidRPr="006E0B6B" w:rsidRDefault="00215ED2" w:rsidP="0014568C">
            <w:pPr>
              <w:pStyle w:val="CETBodytext"/>
              <w:ind w:right="-1"/>
              <w:jc w:val="left"/>
              <w:rPr>
                <w:rFonts w:cs="Arial"/>
                <w:szCs w:val="18"/>
                <w:lang w:val="en-GB"/>
              </w:rPr>
            </w:pPr>
            <w:r>
              <w:rPr>
                <w:rFonts w:cs="Arial"/>
                <w:szCs w:val="18"/>
                <w:lang w:val="en-GB"/>
              </w:rPr>
              <w:t>163</w:t>
            </w:r>
          </w:p>
        </w:tc>
      </w:tr>
      <w:tr w:rsidR="007E0969" w:rsidRPr="00B57B36" w14:paraId="03B5BA6B" w14:textId="62F922A5" w:rsidTr="00FA3ABB">
        <w:trPr>
          <w:trHeight w:val="215"/>
        </w:trPr>
        <w:tc>
          <w:tcPr>
            <w:tcW w:w="2410" w:type="dxa"/>
            <w:tcBorders>
              <w:bottom w:val="nil"/>
            </w:tcBorders>
            <w:shd w:val="clear" w:color="auto" w:fill="FFFFFF"/>
            <w:vAlign w:val="center"/>
          </w:tcPr>
          <w:p w14:paraId="2A07F40E" w14:textId="46580B8B" w:rsidR="00334411" w:rsidRPr="006E0B6B" w:rsidRDefault="00334411" w:rsidP="0014568C">
            <w:pPr>
              <w:pStyle w:val="CETBodytext"/>
              <w:ind w:right="-1"/>
              <w:jc w:val="left"/>
              <w:rPr>
                <w:rFonts w:cs="Arial"/>
                <w:szCs w:val="18"/>
                <w:lang w:val="en-GB"/>
              </w:rPr>
            </w:pPr>
            <w:r>
              <w:rPr>
                <w:rFonts w:cs="Arial"/>
                <w:color w:val="000000"/>
                <w:szCs w:val="18"/>
              </w:rPr>
              <w:t>CHCl</w:t>
            </w:r>
            <w:r w:rsidRPr="00334411">
              <w:rPr>
                <w:rFonts w:cs="Arial"/>
                <w:color w:val="000000"/>
                <w:szCs w:val="18"/>
                <w:vertAlign w:val="subscript"/>
              </w:rPr>
              <w:t>3</w:t>
            </w:r>
          </w:p>
        </w:tc>
        <w:tc>
          <w:tcPr>
            <w:tcW w:w="1134" w:type="dxa"/>
            <w:shd w:val="clear" w:color="auto" w:fill="FFFFFF"/>
            <w:vAlign w:val="center"/>
          </w:tcPr>
          <w:p w14:paraId="0E2A96EE" w14:textId="5ED3D86B" w:rsidR="00334411" w:rsidRPr="006E0B6B" w:rsidRDefault="00C7421E" w:rsidP="0014568C">
            <w:pPr>
              <w:pStyle w:val="CETBodytext"/>
              <w:ind w:right="-1"/>
              <w:jc w:val="left"/>
              <w:rPr>
                <w:rFonts w:cs="Arial"/>
                <w:szCs w:val="18"/>
                <w:lang w:val="en-GB"/>
              </w:rPr>
            </w:pPr>
            <w:r>
              <w:rPr>
                <w:rFonts w:cs="Arial"/>
                <w:szCs w:val="18"/>
              </w:rPr>
              <w:t xml:space="preserve">97.6 </w:t>
            </w:r>
            <w:r w:rsidRPr="006E0B6B">
              <w:rPr>
                <w:rFonts w:cs="Arial"/>
                <w:szCs w:val="18"/>
              </w:rPr>
              <w:t>±</w:t>
            </w:r>
            <w:r>
              <w:rPr>
                <w:rFonts w:cs="Arial"/>
                <w:szCs w:val="18"/>
              </w:rPr>
              <w:t xml:space="preserve"> 0.1</w:t>
            </w:r>
          </w:p>
        </w:tc>
        <w:tc>
          <w:tcPr>
            <w:tcW w:w="1276" w:type="dxa"/>
            <w:shd w:val="clear" w:color="auto" w:fill="FFFFFF"/>
            <w:vAlign w:val="center"/>
          </w:tcPr>
          <w:p w14:paraId="12ECD3C6" w14:textId="7F47A4B9" w:rsidR="00334411" w:rsidRPr="006E0B6B" w:rsidRDefault="00C7421E" w:rsidP="0014568C">
            <w:pPr>
              <w:pStyle w:val="CETBodytext"/>
              <w:ind w:right="-1"/>
              <w:jc w:val="left"/>
              <w:rPr>
                <w:rFonts w:cs="Arial"/>
                <w:szCs w:val="18"/>
                <w:lang w:val="en-GB"/>
              </w:rPr>
            </w:pPr>
            <w:r>
              <w:rPr>
                <w:rFonts w:cs="Arial"/>
                <w:szCs w:val="18"/>
              </w:rPr>
              <w:t>98.3</w:t>
            </w:r>
            <w:r w:rsidR="00334411" w:rsidRPr="006E0B6B">
              <w:rPr>
                <w:rFonts w:cs="Arial"/>
                <w:szCs w:val="18"/>
              </w:rPr>
              <w:t xml:space="preserve"> ± 0.</w:t>
            </w:r>
            <w:r>
              <w:rPr>
                <w:rFonts w:cs="Arial"/>
                <w:szCs w:val="18"/>
              </w:rPr>
              <w:t>4</w:t>
            </w:r>
          </w:p>
        </w:tc>
        <w:tc>
          <w:tcPr>
            <w:tcW w:w="1134" w:type="dxa"/>
            <w:shd w:val="clear" w:color="auto" w:fill="FFFFFF"/>
            <w:vAlign w:val="center"/>
          </w:tcPr>
          <w:p w14:paraId="228505F5" w14:textId="1F37B07E" w:rsidR="00334411" w:rsidRPr="006E0B6B" w:rsidRDefault="00C7421E" w:rsidP="0014568C">
            <w:pPr>
              <w:pStyle w:val="CETBodytext"/>
              <w:ind w:right="-1"/>
              <w:jc w:val="left"/>
              <w:rPr>
                <w:rFonts w:cs="Arial"/>
                <w:szCs w:val="18"/>
                <w:lang w:val="en-GB"/>
              </w:rPr>
            </w:pPr>
            <w:r>
              <w:rPr>
                <w:rFonts w:cs="Arial"/>
                <w:szCs w:val="18"/>
                <w:lang w:val="en-GB"/>
              </w:rPr>
              <w:t xml:space="preserve">11.1 </w:t>
            </w:r>
            <w:r w:rsidRPr="006E0B6B">
              <w:rPr>
                <w:rFonts w:cs="Arial"/>
                <w:szCs w:val="18"/>
              </w:rPr>
              <w:t>±</w:t>
            </w:r>
            <w:r>
              <w:rPr>
                <w:rFonts w:cs="Arial"/>
                <w:szCs w:val="18"/>
              </w:rPr>
              <w:t xml:space="preserve"> 0.3</w:t>
            </w:r>
          </w:p>
        </w:tc>
        <w:tc>
          <w:tcPr>
            <w:tcW w:w="1134" w:type="dxa"/>
            <w:shd w:val="clear" w:color="auto" w:fill="FFFFFF"/>
            <w:vAlign w:val="center"/>
          </w:tcPr>
          <w:p w14:paraId="6442563A" w14:textId="3429E7BB" w:rsidR="00334411" w:rsidRPr="006E0B6B" w:rsidRDefault="00E90519" w:rsidP="0014568C">
            <w:pPr>
              <w:pStyle w:val="CETBodytext"/>
              <w:ind w:right="-1"/>
              <w:jc w:val="left"/>
              <w:rPr>
                <w:rFonts w:cs="Arial"/>
                <w:szCs w:val="18"/>
                <w:lang w:val="en-GB"/>
              </w:rPr>
            </w:pPr>
            <w:r>
              <w:rPr>
                <w:rFonts w:cs="Arial"/>
                <w:szCs w:val="18"/>
                <w:lang w:val="en-GB"/>
              </w:rPr>
              <w:t xml:space="preserve">194 </w:t>
            </w:r>
            <w:r w:rsidRPr="006E0B6B">
              <w:rPr>
                <w:rFonts w:cs="Arial"/>
                <w:szCs w:val="18"/>
              </w:rPr>
              <w:t>±</w:t>
            </w:r>
            <w:r>
              <w:rPr>
                <w:rFonts w:cs="Arial"/>
                <w:szCs w:val="18"/>
              </w:rPr>
              <w:t xml:space="preserve"> 12</w:t>
            </w:r>
          </w:p>
        </w:tc>
        <w:tc>
          <w:tcPr>
            <w:tcW w:w="992" w:type="dxa"/>
            <w:shd w:val="clear" w:color="auto" w:fill="FFFFFF"/>
            <w:vAlign w:val="center"/>
          </w:tcPr>
          <w:p w14:paraId="5FF2E12F" w14:textId="641C2A07" w:rsidR="00334411" w:rsidRPr="006E0B6B" w:rsidRDefault="00FB3CAD" w:rsidP="0014568C">
            <w:pPr>
              <w:pStyle w:val="CETBodytext"/>
              <w:ind w:right="-1"/>
              <w:jc w:val="left"/>
              <w:rPr>
                <w:rFonts w:cs="Arial"/>
                <w:szCs w:val="18"/>
                <w:lang w:val="en-GB"/>
              </w:rPr>
            </w:pPr>
            <w:r>
              <w:rPr>
                <w:rFonts w:cs="Arial"/>
                <w:szCs w:val="18"/>
                <w:lang w:val="en-GB"/>
              </w:rPr>
              <w:t>279</w:t>
            </w:r>
          </w:p>
        </w:tc>
        <w:tc>
          <w:tcPr>
            <w:tcW w:w="707" w:type="dxa"/>
            <w:shd w:val="clear" w:color="auto" w:fill="FFFFFF"/>
            <w:vAlign w:val="center"/>
          </w:tcPr>
          <w:p w14:paraId="0AB2F7AD" w14:textId="231D3F3D" w:rsidR="00334411" w:rsidRPr="006E0B6B" w:rsidRDefault="00215ED2" w:rsidP="0014568C">
            <w:pPr>
              <w:pStyle w:val="CETBodytext"/>
              <w:ind w:right="-1"/>
              <w:jc w:val="left"/>
              <w:rPr>
                <w:rFonts w:cs="Arial"/>
                <w:szCs w:val="18"/>
                <w:lang w:val="en-GB"/>
              </w:rPr>
            </w:pPr>
            <w:r>
              <w:rPr>
                <w:rFonts w:cs="Arial"/>
                <w:szCs w:val="18"/>
                <w:lang w:val="en-GB"/>
              </w:rPr>
              <w:t>165</w:t>
            </w:r>
          </w:p>
        </w:tc>
      </w:tr>
      <w:tr w:rsidR="007E0969" w:rsidRPr="00B57B36" w14:paraId="6AB36270" w14:textId="77777777" w:rsidTr="00FA3ABB">
        <w:trPr>
          <w:trHeight w:val="193"/>
        </w:trPr>
        <w:tc>
          <w:tcPr>
            <w:tcW w:w="2410" w:type="dxa"/>
            <w:tcBorders>
              <w:top w:val="nil"/>
              <w:bottom w:val="nil"/>
            </w:tcBorders>
            <w:shd w:val="clear" w:color="auto" w:fill="FFFFFF"/>
            <w:vAlign w:val="center"/>
          </w:tcPr>
          <w:p w14:paraId="694706A6" w14:textId="77777777" w:rsidR="00334411" w:rsidRPr="00334411" w:rsidRDefault="00334411" w:rsidP="0014568C">
            <w:pPr>
              <w:pStyle w:val="CETBodytext"/>
              <w:ind w:right="-1"/>
              <w:jc w:val="left"/>
              <w:rPr>
                <w:rFonts w:cs="Arial"/>
                <w:i/>
                <w:iCs/>
                <w:szCs w:val="18"/>
              </w:rPr>
            </w:pPr>
          </w:p>
        </w:tc>
        <w:tc>
          <w:tcPr>
            <w:tcW w:w="1134" w:type="dxa"/>
            <w:tcBorders>
              <w:bottom w:val="nil"/>
            </w:tcBorders>
            <w:shd w:val="clear" w:color="auto" w:fill="FFFFFF"/>
            <w:vAlign w:val="center"/>
          </w:tcPr>
          <w:p w14:paraId="64D6F6FA" w14:textId="77777777" w:rsidR="00334411" w:rsidRPr="006E0B6B" w:rsidRDefault="00334411" w:rsidP="0014568C">
            <w:pPr>
              <w:pStyle w:val="CETBodytext"/>
              <w:ind w:right="-1"/>
              <w:jc w:val="left"/>
              <w:rPr>
                <w:rFonts w:cs="Arial"/>
                <w:szCs w:val="18"/>
              </w:rPr>
            </w:pPr>
          </w:p>
        </w:tc>
        <w:tc>
          <w:tcPr>
            <w:tcW w:w="1276" w:type="dxa"/>
            <w:tcBorders>
              <w:bottom w:val="nil"/>
            </w:tcBorders>
            <w:shd w:val="clear" w:color="auto" w:fill="FFFFFF"/>
            <w:vAlign w:val="center"/>
          </w:tcPr>
          <w:p w14:paraId="25CDCB82" w14:textId="77777777" w:rsidR="00334411" w:rsidRPr="006E0B6B" w:rsidRDefault="00334411" w:rsidP="0014568C">
            <w:pPr>
              <w:pStyle w:val="CETBodytext"/>
              <w:ind w:right="-1"/>
              <w:jc w:val="left"/>
              <w:rPr>
                <w:rFonts w:cs="Arial"/>
                <w:szCs w:val="18"/>
              </w:rPr>
            </w:pPr>
          </w:p>
        </w:tc>
        <w:tc>
          <w:tcPr>
            <w:tcW w:w="1134" w:type="dxa"/>
            <w:tcBorders>
              <w:bottom w:val="nil"/>
            </w:tcBorders>
            <w:shd w:val="clear" w:color="auto" w:fill="FFFFFF"/>
            <w:vAlign w:val="center"/>
          </w:tcPr>
          <w:p w14:paraId="63050946" w14:textId="77777777" w:rsidR="00334411" w:rsidRPr="006E0B6B" w:rsidRDefault="00334411" w:rsidP="0014568C">
            <w:pPr>
              <w:pStyle w:val="CETBodytext"/>
              <w:ind w:right="-1"/>
              <w:jc w:val="left"/>
              <w:rPr>
                <w:rFonts w:cs="Arial"/>
                <w:szCs w:val="18"/>
                <w:lang w:val="en-GB"/>
              </w:rPr>
            </w:pPr>
          </w:p>
        </w:tc>
        <w:tc>
          <w:tcPr>
            <w:tcW w:w="1134" w:type="dxa"/>
            <w:tcBorders>
              <w:bottom w:val="nil"/>
            </w:tcBorders>
            <w:shd w:val="clear" w:color="auto" w:fill="FFFFFF"/>
            <w:vAlign w:val="center"/>
          </w:tcPr>
          <w:p w14:paraId="5341B478" w14:textId="77777777" w:rsidR="00334411" w:rsidRPr="006E0B6B" w:rsidRDefault="00334411" w:rsidP="0014568C">
            <w:pPr>
              <w:pStyle w:val="CETBodytext"/>
              <w:ind w:right="-1"/>
              <w:jc w:val="left"/>
              <w:rPr>
                <w:rFonts w:cs="Arial"/>
                <w:szCs w:val="18"/>
                <w:lang w:val="en-GB"/>
              </w:rPr>
            </w:pPr>
          </w:p>
        </w:tc>
        <w:tc>
          <w:tcPr>
            <w:tcW w:w="992" w:type="dxa"/>
            <w:tcBorders>
              <w:bottom w:val="nil"/>
            </w:tcBorders>
            <w:shd w:val="clear" w:color="auto" w:fill="FFFFFF"/>
            <w:vAlign w:val="center"/>
          </w:tcPr>
          <w:p w14:paraId="1AB54AF8" w14:textId="77777777" w:rsidR="00334411" w:rsidRPr="006E0B6B" w:rsidRDefault="00334411" w:rsidP="0014568C">
            <w:pPr>
              <w:pStyle w:val="CETBodytext"/>
              <w:ind w:right="-1"/>
              <w:jc w:val="left"/>
              <w:rPr>
                <w:rFonts w:cs="Arial"/>
                <w:szCs w:val="18"/>
                <w:lang w:val="en-GB"/>
              </w:rPr>
            </w:pPr>
          </w:p>
        </w:tc>
        <w:tc>
          <w:tcPr>
            <w:tcW w:w="707" w:type="dxa"/>
            <w:tcBorders>
              <w:bottom w:val="nil"/>
            </w:tcBorders>
            <w:shd w:val="clear" w:color="auto" w:fill="FFFFFF"/>
            <w:vAlign w:val="center"/>
          </w:tcPr>
          <w:p w14:paraId="3809CABC" w14:textId="77777777" w:rsidR="00334411" w:rsidRPr="006E0B6B" w:rsidRDefault="00334411" w:rsidP="0014568C">
            <w:pPr>
              <w:pStyle w:val="CETBodytext"/>
              <w:ind w:right="-1"/>
              <w:jc w:val="left"/>
              <w:rPr>
                <w:rFonts w:cs="Arial"/>
                <w:szCs w:val="18"/>
                <w:lang w:val="en-GB"/>
              </w:rPr>
            </w:pPr>
          </w:p>
        </w:tc>
      </w:tr>
      <w:tr w:rsidR="0014568C" w:rsidRPr="00B57B36" w14:paraId="6160613C" w14:textId="0ED45243" w:rsidTr="00FA3ABB">
        <w:trPr>
          <w:trHeight w:val="193"/>
        </w:trPr>
        <w:tc>
          <w:tcPr>
            <w:tcW w:w="2410" w:type="dxa"/>
            <w:tcBorders>
              <w:top w:val="nil"/>
              <w:bottom w:val="single" w:sz="4" w:space="0" w:color="008000"/>
            </w:tcBorders>
            <w:shd w:val="clear" w:color="auto" w:fill="FFFFFF"/>
            <w:vAlign w:val="center"/>
          </w:tcPr>
          <w:p w14:paraId="6DBD5563" w14:textId="6F9484C5" w:rsidR="00334411" w:rsidRPr="00350573" w:rsidRDefault="00334411" w:rsidP="0014568C">
            <w:pPr>
              <w:pStyle w:val="CETBodytext"/>
              <w:jc w:val="left"/>
              <w:rPr>
                <w:szCs w:val="18"/>
              </w:rPr>
            </w:pPr>
            <w:r w:rsidRPr="00350573">
              <w:rPr>
                <w:szCs w:val="18"/>
              </w:rPr>
              <w:t>Pilot scale</w:t>
            </w:r>
          </w:p>
        </w:tc>
        <w:tc>
          <w:tcPr>
            <w:tcW w:w="1134" w:type="dxa"/>
            <w:tcBorders>
              <w:top w:val="nil"/>
              <w:bottom w:val="single" w:sz="4" w:space="0" w:color="008000"/>
            </w:tcBorders>
            <w:shd w:val="clear" w:color="auto" w:fill="FFFFFF"/>
            <w:vAlign w:val="center"/>
          </w:tcPr>
          <w:p w14:paraId="1381B1DA" w14:textId="7A167C3A" w:rsidR="00334411" w:rsidRPr="006E0B6B" w:rsidRDefault="00334411" w:rsidP="0014568C">
            <w:pPr>
              <w:pStyle w:val="CETBodytext"/>
              <w:ind w:right="-1"/>
              <w:jc w:val="left"/>
              <w:rPr>
                <w:rFonts w:cs="Arial"/>
                <w:szCs w:val="18"/>
                <w:lang w:val="en-GB"/>
              </w:rPr>
            </w:pPr>
          </w:p>
        </w:tc>
        <w:tc>
          <w:tcPr>
            <w:tcW w:w="1276" w:type="dxa"/>
            <w:tcBorders>
              <w:top w:val="nil"/>
              <w:bottom w:val="single" w:sz="4" w:space="0" w:color="008000"/>
            </w:tcBorders>
            <w:shd w:val="clear" w:color="auto" w:fill="FFFFFF"/>
            <w:vAlign w:val="center"/>
          </w:tcPr>
          <w:p w14:paraId="7190A779" w14:textId="42F3C7B9" w:rsidR="00334411" w:rsidRPr="006E0B6B" w:rsidRDefault="00334411" w:rsidP="0014568C">
            <w:pPr>
              <w:pStyle w:val="CETBodytext"/>
              <w:ind w:right="-1"/>
              <w:jc w:val="left"/>
              <w:rPr>
                <w:rFonts w:cs="Arial"/>
                <w:szCs w:val="18"/>
                <w:lang w:val="en-GB"/>
              </w:rPr>
            </w:pPr>
          </w:p>
        </w:tc>
        <w:tc>
          <w:tcPr>
            <w:tcW w:w="1134" w:type="dxa"/>
            <w:tcBorders>
              <w:top w:val="nil"/>
              <w:bottom w:val="single" w:sz="4" w:space="0" w:color="008000"/>
            </w:tcBorders>
            <w:shd w:val="clear" w:color="auto" w:fill="FFFFFF"/>
            <w:vAlign w:val="center"/>
          </w:tcPr>
          <w:p w14:paraId="5575BE66" w14:textId="77777777" w:rsidR="00334411" w:rsidRPr="006E0B6B" w:rsidRDefault="00334411" w:rsidP="0014568C">
            <w:pPr>
              <w:pStyle w:val="CETBodytext"/>
              <w:ind w:right="-1"/>
              <w:jc w:val="left"/>
              <w:rPr>
                <w:rFonts w:cs="Arial"/>
                <w:szCs w:val="18"/>
                <w:lang w:val="en-GB"/>
              </w:rPr>
            </w:pPr>
          </w:p>
        </w:tc>
        <w:tc>
          <w:tcPr>
            <w:tcW w:w="1134" w:type="dxa"/>
            <w:tcBorders>
              <w:top w:val="nil"/>
              <w:bottom w:val="single" w:sz="4" w:space="0" w:color="008000"/>
            </w:tcBorders>
            <w:shd w:val="clear" w:color="auto" w:fill="FFFFFF"/>
            <w:vAlign w:val="center"/>
          </w:tcPr>
          <w:p w14:paraId="21162932" w14:textId="77777777" w:rsidR="00334411" w:rsidRPr="006E0B6B" w:rsidRDefault="00334411" w:rsidP="0014568C">
            <w:pPr>
              <w:pStyle w:val="CETBodytext"/>
              <w:ind w:right="-1"/>
              <w:jc w:val="left"/>
              <w:rPr>
                <w:rFonts w:cs="Arial"/>
                <w:szCs w:val="18"/>
                <w:lang w:val="en-GB"/>
              </w:rPr>
            </w:pPr>
          </w:p>
        </w:tc>
        <w:tc>
          <w:tcPr>
            <w:tcW w:w="992" w:type="dxa"/>
            <w:tcBorders>
              <w:top w:val="nil"/>
              <w:bottom w:val="single" w:sz="4" w:space="0" w:color="008000"/>
            </w:tcBorders>
            <w:shd w:val="clear" w:color="auto" w:fill="FFFFFF"/>
            <w:vAlign w:val="center"/>
          </w:tcPr>
          <w:p w14:paraId="6A372A58" w14:textId="77777777" w:rsidR="00334411" w:rsidRPr="006E0B6B" w:rsidRDefault="00334411" w:rsidP="0014568C">
            <w:pPr>
              <w:pStyle w:val="CETBodytext"/>
              <w:ind w:right="-1"/>
              <w:jc w:val="left"/>
              <w:rPr>
                <w:rFonts w:cs="Arial"/>
                <w:szCs w:val="18"/>
                <w:lang w:val="en-GB"/>
              </w:rPr>
            </w:pPr>
          </w:p>
        </w:tc>
        <w:tc>
          <w:tcPr>
            <w:tcW w:w="707" w:type="dxa"/>
            <w:tcBorders>
              <w:top w:val="nil"/>
              <w:bottom w:val="single" w:sz="4" w:space="0" w:color="008000"/>
            </w:tcBorders>
            <w:shd w:val="clear" w:color="auto" w:fill="FFFFFF"/>
            <w:vAlign w:val="center"/>
          </w:tcPr>
          <w:p w14:paraId="0264807A" w14:textId="77777777" w:rsidR="00334411" w:rsidRPr="006E0B6B" w:rsidRDefault="00334411" w:rsidP="0014568C">
            <w:pPr>
              <w:pStyle w:val="CETBodytext"/>
              <w:ind w:right="-1"/>
              <w:jc w:val="left"/>
              <w:rPr>
                <w:rFonts w:cs="Arial"/>
                <w:szCs w:val="18"/>
                <w:lang w:val="en-GB"/>
              </w:rPr>
            </w:pPr>
          </w:p>
        </w:tc>
      </w:tr>
      <w:tr w:rsidR="00CA5065" w:rsidRPr="00B57B36" w14:paraId="6736ABA9" w14:textId="77777777" w:rsidTr="00FA3ABB">
        <w:trPr>
          <w:trHeight w:val="179"/>
        </w:trPr>
        <w:tc>
          <w:tcPr>
            <w:tcW w:w="2410" w:type="dxa"/>
            <w:tcBorders>
              <w:top w:val="single" w:sz="4" w:space="0" w:color="008000"/>
              <w:bottom w:val="nil"/>
            </w:tcBorders>
            <w:shd w:val="clear" w:color="auto" w:fill="FFFFFF"/>
            <w:vAlign w:val="center"/>
          </w:tcPr>
          <w:p w14:paraId="73E324D2" w14:textId="061CE46E" w:rsidR="00CA5065" w:rsidRPr="00334411" w:rsidRDefault="00CA5065" w:rsidP="0014568C">
            <w:pPr>
              <w:pStyle w:val="CETBodytext"/>
              <w:ind w:right="-1"/>
              <w:jc w:val="left"/>
              <w:rPr>
                <w:szCs w:val="18"/>
              </w:rPr>
            </w:pPr>
            <w:r>
              <w:rPr>
                <w:szCs w:val="18"/>
              </w:rPr>
              <w:t>Raw PHA-rich biomass (oven dried)</w:t>
            </w:r>
          </w:p>
        </w:tc>
        <w:tc>
          <w:tcPr>
            <w:tcW w:w="1134" w:type="dxa"/>
            <w:tcBorders>
              <w:top w:val="single" w:sz="4" w:space="0" w:color="008000"/>
              <w:bottom w:val="nil"/>
            </w:tcBorders>
            <w:shd w:val="clear" w:color="auto" w:fill="FFFFFF"/>
            <w:vAlign w:val="center"/>
          </w:tcPr>
          <w:p w14:paraId="6C0883B9" w14:textId="4F45DA74" w:rsidR="00CA5065" w:rsidRDefault="00231CDF" w:rsidP="0014568C">
            <w:pPr>
              <w:pStyle w:val="CETBodytext"/>
              <w:ind w:right="-1"/>
              <w:jc w:val="left"/>
              <w:rPr>
                <w:rFonts w:cs="Arial"/>
                <w:szCs w:val="18"/>
              </w:rPr>
            </w:pPr>
            <w:r>
              <w:rPr>
                <w:rFonts w:cs="Arial"/>
                <w:szCs w:val="18"/>
              </w:rPr>
              <w:t xml:space="preserve">42.1 </w:t>
            </w:r>
            <w:r w:rsidRPr="006E0B6B">
              <w:rPr>
                <w:rFonts w:cs="Arial"/>
                <w:szCs w:val="18"/>
              </w:rPr>
              <w:t>±</w:t>
            </w:r>
            <w:r>
              <w:rPr>
                <w:rFonts w:cs="Arial"/>
                <w:szCs w:val="18"/>
              </w:rPr>
              <w:t xml:space="preserve"> 0.8</w:t>
            </w:r>
          </w:p>
        </w:tc>
        <w:tc>
          <w:tcPr>
            <w:tcW w:w="1276" w:type="dxa"/>
            <w:tcBorders>
              <w:top w:val="single" w:sz="4" w:space="0" w:color="008000"/>
              <w:bottom w:val="nil"/>
            </w:tcBorders>
            <w:shd w:val="clear" w:color="auto" w:fill="FFFFFF"/>
            <w:vAlign w:val="center"/>
          </w:tcPr>
          <w:p w14:paraId="1DB23EBB" w14:textId="77777777" w:rsidR="00CA5065" w:rsidRDefault="00CA5065" w:rsidP="0014568C">
            <w:pPr>
              <w:pStyle w:val="CETBodytext"/>
              <w:ind w:right="-1"/>
              <w:jc w:val="left"/>
              <w:rPr>
                <w:rFonts w:cs="Arial"/>
                <w:szCs w:val="18"/>
              </w:rPr>
            </w:pPr>
          </w:p>
        </w:tc>
        <w:tc>
          <w:tcPr>
            <w:tcW w:w="1134" w:type="dxa"/>
            <w:tcBorders>
              <w:top w:val="single" w:sz="4" w:space="0" w:color="008000"/>
              <w:bottom w:val="nil"/>
            </w:tcBorders>
            <w:shd w:val="clear" w:color="auto" w:fill="FFFFFF"/>
            <w:vAlign w:val="center"/>
          </w:tcPr>
          <w:p w14:paraId="5A1D3C69" w14:textId="627476D5" w:rsidR="00CA5065" w:rsidRPr="006E0B6B" w:rsidRDefault="00231CDF" w:rsidP="0014568C">
            <w:pPr>
              <w:pStyle w:val="CETBodytext"/>
              <w:ind w:right="-1"/>
              <w:jc w:val="left"/>
              <w:rPr>
                <w:rFonts w:cs="Arial"/>
                <w:szCs w:val="18"/>
              </w:rPr>
            </w:pPr>
            <w:r>
              <w:rPr>
                <w:rFonts w:cs="Arial"/>
                <w:szCs w:val="18"/>
              </w:rPr>
              <w:t xml:space="preserve">7.2 </w:t>
            </w:r>
            <w:r w:rsidRPr="006E0B6B">
              <w:rPr>
                <w:rFonts w:cs="Arial"/>
                <w:szCs w:val="18"/>
              </w:rPr>
              <w:t>±</w:t>
            </w:r>
            <w:r>
              <w:rPr>
                <w:rFonts w:cs="Arial"/>
                <w:szCs w:val="18"/>
              </w:rPr>
              <w:t xml:space="preserve"> 0.2</w:t>
            </w:r>
          </w:p>
        </w:tc>
        <w:tc>
          <w:tcPr>
            <w:tcW w:w="1134" w:type="dxa"/>
            <w:tcBorders>
              <w:top w:val="single" w:sz="4" w:space="0" w:color="008000"/>
              <w:bottom w:val="nil"/>
            </w:tcBorders>
            <w:shd w:val="clear" w:color="auto" w:fill="FFFFFF"/>
            <w:vAlign w:val="center"/>
          </w:tcPr>
          <w:p w14:paraId="2EA375FE" w14:textId="77777777" w:rsidR="00CA5065" w:rsidRDefault="00CA5065" w:rsidP="0014568C">
            <w:pPr>
              <w:pStyle w:val="CETBodytext"/>
              <w:ind w:right="-1"/>
              <w:jc w:val="left"/>
              <w:rPr>
                <w:rFonts w:cs="Arial"/>
                <w:szCs w:val="18"/>
                <w:lang w:val="en-GB"/>
              </w:rPr>
            </w:pPr>
          </w:p>
        </w:tc>
        <w:tc>
          <w:tcPr>
            <w:tcW w:w="992" w:type="dxa"/>
            <w:tcBorders>
              <w:top w:val="single" w:sz="4" w:space="0" w:color="008000"/>
              <w:bottom w:val="nil"/>
            </w:tcBorders>
            <w:shd w:val="clear" w:color="auto" w:fill="FFFFFF"/>
            <w:vAlign w:val="center"/>
          </w:tcPr>
          <w:p w14:paraId="4FF24FB0" w14:textId="77777777" w:rsidR="00CA5065" w:rsidRDefault="00CA5065" w:rsidP="0014568C">
            <w:pPr>
              <w:pStyle w:val="CETBodytext"/>
              <w:ind w:right="-1"/>
              <w:jc w:val="left"/>
              <w:rPr>
                <w:rFonts w:cs="Arial"/>
                <w:szCs w:val="18"/>
                <w:lang w:val="en-GB"/>
              </w:rPr>
            </w:pPr>
          </w:p>
        </w:tc>
        <w:tc>
          <w:tcPr>
            <w:tcW w:w="707" w:type="dxa"/>
            <w:tcBorders>
              <w:top w:val="single" w:sz="4" w:space="0" w:color="008000"/>
              <w:bottom w:val="nil"/>
            </w:tcBorders>
            <w:shd w:val="clear" w:color="auto" w:fill="FFFFFF"/>
            <w:vAlign w:val="center"/>
          </w:tcPr>
          <w:p w14:paraId="1DE7F88B" w14:textId="77777777" w:rsidR="00CA5065" w:rsidRDefault="00CA5065" w:rsidP="0014568C">
            <w:pPr>
              <w:pStyle w:val="CETBodytext"/>
              <w:ind w:right="-1"/>
              <w:jc w:val="left"/>
              <w:rPr>
                <w:rFonts w:cs="Arial"/>
                <w:szCs w:val="18"/>
                <w:lang w:val="en-GB"/>
              </w:rPr>
            </w:pPr>
          </w:p>
        </w:tc>
      </w:tr>
      <w:tr w:rsidR="0014568C" w:rsidRPr="00B57B36" w14:paraId="783E7664" w14:textId="64A17B45" w:rsidTr="00FA3ABB">
        <w:trPr>
          <w:trHeight w:val="228"/>
        </w:trPr>
        <w:tc>
          <w:tcPr>
            <w:tcW w:w="2410" w:type="dxa"/>
            <w:tcBorders>
              <w:top w:val="nil"/>
              <w:bottom w:val="nil"/>
            </w:tcBorders>
            <w:shd w:val="clear" w:color="auto" w:fill="FFFFFF"/>
            <w:vAlign w:val="center"/>
          </w:tcPr>
          <w:p w14:paraId="497F30E2" w14:textId="33E51CBC" w:rsidR="00334411" w:rsidRPr="006E0B6B" w:rsidRDefault="00334411" w:rsidP="0014568C">
            <w:pPr>
              <w:pStyle w:val="CETBodytext"/>
              <w:ind w:right="-1"/>
              <w:jc w:val="left"/>
              <w:rPr>
                <w:rFonts w:cs="Arial"/>
                <w:szCs w:val="18"/>
                <w:lang w:val="en-GB"/>
              </w:rPr>
            </w:pPr>
            <w:r w:rsidRPr="00334411">
              <w:rPr>
                <w:szCs w:val="18"/>
              </w:rPr>
              <w:t>NaOH 0.</w:t>
            </w:r>
            <w:r>
              <w:rPr>
                <w:szCs w:val="18"/>
              </w:rPr>
              <w:t>2</w:t>
            </w:r>
            <w:r w:rsidRPr="00334411">
              <w:rPr>
                <w:szCs w:val="18"/>
              </w:rPr>
              <w:t>M + SDS 3h</w:t>
            </w:r>
          </w:p>
        </w:tc>
        <w:tc>
          <w:tcPr>
            <w:tcW w:w="1134" w:type="dxa"/>
            <w:tcBorders>
              <w:top w:val="nil"/>
              <w:bottom w:val="nil"/>
            </w:tcBorders>
            <w:shd w:val="clear" w:color="auto" w:fill="FFFFFF"/>
            <w:vAlign w:val="center"/>
          </w:tcPr>
          <w:p w14:paraId="2F833222" w14:textId="664A740F" w:rsidR="00334411" w:rsidRPr="006E0B6B" w:rsidRDefault="00A822BC" w:rsidP="0014568C">
            <w:pPr>
              <w:pStyle w:val="CETBodytext"/>
              <w:ind w:right="-1"/>
              <w:jc w:val="left"/>
              <w:rPr>
                <w:rFonts w:cs="Arial"/>
                <w:szCs w:val="18"/>
                <w:lang w:val="en-GB"/>
              </w:rPr>
            </w:pPr>
            <w:r>
              <w:rPr>
                <w:rFonts w:cs="Arial"/>
                <w:szCs w:val="18"/>
              </w:rPr>
              <w:t xml:space="preserve">79.2 </w:t>
            </w:r>
            <w:r w:rsidRPr="006E0B6B">
              <w:rPr>
                <w:rFonts w:cs="Arial"/>
                <w:szCs w:val="18"/>
              </w:rPr>
              <w:t>±</w:t>
            </w:r>
            <w:r>
              <w:rPr>
                <w:rFonts w:cs="Arial"/>
                <w:szCs w:val="18"/>
              </w:rPr>
              <w:t xml:space="preserve"> 0.4</w:t>
            </w:r>
          </w:p>
        </w:tc>
        <w:tc>
          <w:tcPr>
            <w:tcW w:w="1276" w:type="dxa"/>
            <w:tcBorders>
              <w:top w:val="nil"/>
              <w:bottom w:val="nil"/>
            </w:tcBorders>
            <w:shd w:val="clear" w:color="auto" w:fill="FFFFFF"/>
            <w:vAlign w:val="center"/>
          </w:tcPr>
          <w:p w14:paraId="572708A2" w14:textId="10FA92E9" w:rsidR="00334411" w:rsidRPr="006E0B6B" w:rsidRDefault="00A822BC" w:rsidP="0014568C">
            <w:pPr>
              <w:pStyle w:val="CETBodytext"/>
              <w:ind w:right="-1"/>
              <w:jc w:val="left"/>
              <w:rPr>
                <w:rFonts w:cs="Arial"/>
                <w:szCs w:val="18"/>
                <w:lang w:val="en-GB"/>
              </w:rPr>
            </w:pPr>
            <w:r>
              <w:rPr>
                <w:rFonts w:cs="Arial"/>
                <w:szCs w:val="18"/>
              </w:rPr>
              <w:t xml:space="preserve">80.1 </w:t>
            </w:r>
            <w:r w:rsidRPr="006E0B6B">
              <w:rPr>
                <w:rFonts w:cs="Arial"/>
                <w:szCs w:val="18"/>
              </w:rPr>
              <w:t>±</w:t>
            </w:r>
            <w:r>
              <w:rPr>
                <w:rFonts w:cs="Arial"/>
                <w:szCs w:val="18"/>
              </w:rPr>
              <w:t xml:space="preserve"> 1.0</w:t>
            </w:r>
          </w:p>
        </w:tc>
        <w:tc>
          <w:tcPr>
            <w:tcW w:w="1134" w:type="dxa"/>
            <w:tcBorders>
              <w:top w:val="nil"/>
              <w:bottom w:val="nil"/>
            </w:tcBorders>
            <w:shd w:val="clear" w:color="auto" w:fill="FFFFFF"/>
            <w:vAlign w:val="center"/>
          </w:tcPr>
          <w:p w14:paraId="0F83173B" w14:textId="4BC1C13C" w:rsidR="00334411" w:rsidRPr="006E0B6B" w:rsidRDefault="00334411" w:rsidP="0014568C">
            <w:pPr>
              <w:pStyle w:val="CETBodytext"/>
              <w:ind w:right="-1"/>
              <w:jc w:val="left"/>
              <w:rPr>
                <w:rFonts w:cs="Arial"/>
                <w:szCs w:val="18"/>
                <w:lang w:val="en-GB"/>
              </w:rPr>
            </w:pPr>
            <w:r w:rsidRPr="006E0B6B">
              <w:rPr>
                <w:rFonts w:cs="Arial"/>
                <w:szCs w:val="18"/>
              </w:rPr>
              <w:t>7.</w:t>
            </w:r>
            <w:r w:rsidR="00A822BC">
              <w:rPr>
                <w:rFonts w:cs="Arial"/>
                <w:szCs w:val="18"/>
              </w:rPr>
              <w:t>2</w:t>
            </w:r>
            <w:r w:rsidRPr="006E0B6B">
              <w:rPr>
                <w:rFonts w:cs="Arial"/>
                <w:szCs w:val="18"/>
              </w:rPr>
              <w:t xml:space="preserve"> ± 0.6</w:t>
            </w:r>
          </w:p>
        </w:tc>
        <w:tc>
          <w:tcPr>
            <w:tcW w:w="1134" w:type="dxa"/>
            <w:tcBorders>
              <w:top w:val="nil"/>
              <w:bottom w:val="nil"/>
            </w:tcBorders>
            <w:shd w:val="clear" w:color="auto" w:fill="FFFFFF"/>
            <w:vAlign w:val="center"/>
          </w:tcPr>
          <w:p w14:paraId="331EE6E2" w14:textId="31035762" w:rsidR="00334411" w:rsidRPr="006E0B6B" w:rsidRDefault="00E90519" w:rsidP="0014568C">
            <w:pPr>
              <w:pStyle w:val="CETBodytext"/>
              <w:ind w:right="-1"/>
              <w:jc w:val="left"/>
              <w:rPr>
                <w:rFonts w:cs="Arial"/>
                <w:szCs w:val="18"/>
                <w:lang w:val="en-GB"/>
              </w:rPr>
            </w:pPr>
            <w:r>
              <w:rPr>
                <w:rFonts w:cs="Arial"/>
                <w:szCs w:val="18"/>
                <w:lang w:val="en-GB"/>
              </w:rPr>
              <w:t>1</w:t>
            </w:r>
            <w:r w:rsidR="00FB3CAD">
              <w:rPr>
                <w:rFonts w:cs="Arial"/>
                <w:szCs w:val="18"/>
                <w:lang w:val="en-GB"/>
              </w:rPr>
              <w:t>98</w:t>
            </w:r>
            <w:r>
              <w:rPr>
                <w:rFonts w:cs="Arial"/>
                <w:szCs w:val="18"/>
                <w:lang w:val="en-GB"/>
              </w:rPr>
              <w:t xml:space="preserve"> </w:t>
            </w:r>
            <w:r w:rsidRPr="006E0B6B">
              <w:rPr>
                <w:rFonts w:cs="Arial"/>
                <w:szCs w:val="18"/>
              </w:rPr>
              <w:t>±</w:t>
            </w:r>
            <w:r>
              <w:rPr>
                <w:rFonts w:cs="Arial"/>
                <w:szCs w:val="18"/>
              </w:rPr>
              <w:t xml:space="preserve"> 10</w:t>
            </w:r>
          </w:p>
        </w:tc>
        <w:tc>
          <w:tcPr>
            <w:tcW w:w="992" w:type="dxa"/>
            <w:tcBorders>
              <w:top w:val="nil"/>
              <w:bottom w:val="nil"/>
            </w:tcBorders>
            <w:shd w:val="clear" w:color="auto" w:fill="FFFFFF"/>
            <w:vAlign w:val="center"/>
          </w:tcPr>
          <w:p w14:paraId="438C4BA3" w14:textId="6895F2CA" w:rsidR="00334411" w:rsidRPr="006E0B6B" w:rsidRDefault="00FB3CAD" w:rsidP="0014568C">
            <w:pPr>
              <w:pStyle w:val="CETBodytext"/>
              <w:ind w:right="-1"/>
              <w:jc w:val="left"/>
              <w:rPr>
                <w:rFonts w:cs="Arial"/>
                <w:szCs w:val="18"/>
                <w:lang w:val="en-GB"/>
              </w:rPr>
            </w:pPr>
            <w:r>
              <w:rPr>
                <w:rFonts w:cs="Arial"/>
                <w:szCs w:val="18"/>
                <w:lang w:val="en-GB"/>
              </w:rPr>
              <w:t>289</w:t>
            </w:r>
          </w:p>
        </w:tc>
        <w:tc>
          <w:tcPr>
            <w:tcW w:w="707" w:type="dxa"/>
            <w:tcBorders>
              <w:top w:val="nil"/>
              <w:bottom w:val="nil"/>
            </w:tcBorders>
            <w:shd w:val="clear" w:color="auto" w:fill="FFFFFF"/>
            <w:vAlign w:val="center"/>
          </w:tcPr>
          <w:p w14:paraId="2202F3B1" w14:textId="66072794" w:rsidR="00334411" w:rsidRPr="006E0B6B" w:rsidRDefault="00215ED2" w:rsidP="0014568C">
            <w:pPr>
              <w:pStyle w:val="CETBodytext"/>
              <w:ind w:right="-1"/>
              <w:jc w:val="left"/>
              <w:rPr>
                <w:rFonts w:cs="Arial"/>
                <w:szCs w:val="18"/>
                <w:lang w:val="en-GB"/>
              </w:rPr>
            </w:pPr>
            <w:r>
              <w:rPr>
                <w:rFonts w:cs="Arial"/>
                <w:szCs w:val="18"/>
                <w:lang w:val="en-GB"/>
              </w:rPr>
              <w:t>157</w:t>
            </w:r>
          </w:p>
        </w:tc>
      </w:tr>
      <w:tr w:rsidR="007E0969" w:rsidRPr="00B57B36" w14:paraId="364FFE6C" w14:textId="664B8DD0" w:rsidTr="00FA3ABB">
        <w:trPr>
          <w:trHeight w:val="215"/>
        </w:trPr>
        <w:tc>
          <w:tcPr>
            <w:tcW w:w="2410" w:type="dxa"/>
            <w:tcBorders>
              <w:top w:val="nil"/>
            </w:tcBorders>
            <w:shd w:val="clear" w:color="auto" w:fill="FFFFFF"/>
            <w:vAlign w:val="center"/>
          </w:tcPr>
          <w:p w14:paraId="0F50D3CA" w14:textId="64AED9E5" w:rsidR="00334411" w:rsidRPr="006E0B6B" w:rsidRDefault="00334411" w:rsidP="0014568C">
            <w:pPr>
              <w:pStyle w:val="CETBodytext"/>
              <w:ind w:right="-1"/>
              <w:jc w:val="left"/>
              <w:rPr>
                <w:rFonts w:cs="Arial"/>
                <w:szCs w:val="18"/>
                <w:lang w:val="en-GB"/>
              </w:rPr>
            </w:pPr>
            <w:proofErr w:type="spellStart"/>
            <w:r>
              <w:rPr>
                <w:rFonts w:cs="Arial"/>
                <w:szCs w:val="18"/>
                <w:lang w:val="en-GB"/>
              </w:rPr>
              <w:t>NaClO</w:t>
            </w:r>
            <w:proofErr w:type="spellEnd"/>
          </w:p>
        </w:tc>
        <w:tc>
          <w:tcPr>
            <w:tcW w:w="1134" w:type="dxa"/>
            <w:tcBorders>
              <w:top w:val="nil"/>
            </w:tcBorders>
            <w:shd w:val="clear" w:color="auto" w:fill="FFFFFF"/>
            <w:vAlign w:val="center"/>
          </w:tcPr>
          <w:p w14:paraId="2AD9B0CB" w14:textId="426239E6" w:rsidR="00334411" w:rsidRPr="006E0B6B" w:rsidRDefault="00A822BC" w:rsidP="0014568C">
            <w:pPr>
              <w:pStyle w:val="CETBodytext"/>
              <w:ind w:right="-1"/>
              <w:jc w:val="left"/>
              <w:rPr>
                <w:rFonts w:cs="Arial"/>
                <w:szCs w:val="18"/>
                <w:lang w:val="en-GB"/>
              </w:rPr>
            </w:pPr>
            <w:r>
              <w:rPr>
                <w:rFonts w:cs="Arial"/>
                <w:szCs w:val="18"/>
              </w:rPr>
              <w:t xml:space="preserve">85.7 </w:t>
            </w:r>
            <w:r w:rsidRPr="006E0B6B">
              <w:rPr>
                <w:rFonts w:cs="Arial"/>
                <w:szCs w:val="18"/>
              </w:rPr>
              <w:t>±</w:t>
            </w:r>
            <w:r>
              <w:rPr>
                <w:rFonts w:cs="Arial"/>
                <w:szCs w:val="18"/>
              </w:rPr>
              <w:t xml:space="preserve"> 1.3</w:t>
            </w:r>
          </w:p>
        </w:tc>
        <w:tc>
          <w:tcPr>
            <w:tcW w:w="1276" w:type="dxa"/>
            <w:tcBorders>
              <w:top w:val="nil"/>
            </w:tcBorders>
            <w:shd w:val="clear" w:color="auto" w:fill="FFFFFF"/>
            <w:vAlign w:val="center"/>
          </w:tcPr>
          <w:p w14:paraId="7C602F5D" w14:textId="5AA35F92" w:rsidR="00334411" w:rsidRPr="006E0B6B" w:rsidRDefault="00A822BC" w:rsidP="0014568C">
            <w:pPr>
              <w:pStyle w:val="CETBodytext"/>
              <w:ind w:right="-1"/>
              <w:jc w:val="left"/>
              <w:rPr>
                <w:rFonts w:cs="Arial"/>
                <w:szCs w:val="18"/>
                <w:lang w:val="en-GB"/>
              </w:rPr>
            </w:pPr>
            <w:r>
              <w:rPr>
                <w:rFonts w:cs="Arial"/>
                <w:szCs w:val="18"/>
                <w:lang w:val="en-GB"/>
              </w:rPr>
              <w:t xml:space="preserve">75.6 </w:t>
            </w:r>
            <w:r w:rsidRPr="006E0B6B">
              <w:rPr>
                <w:rFonts w:cs="Arial"/>
                <w:szCs w:val="18"/>
              </w:rPr>
              <w:t>±</w:t>
            </w:r>
            <w:r>
              <w:rPr>
                <w:rFonts w:cs="Arial"/>
                <w:szCs w:val="18"/>
              </w:rPr>
              <w:t xml:space="preserve"> 0.5</w:t>
            </w:r>
          </w:p>
        </w:tc>
        <w:tc>
          <w:tcPr>
            <w:tcW w:w="1134" w:type="dxa"/>
            <w:tcBorders>
              <w:top w:val="nil"/>
            </w:tcBorders>
            <w:shd w:val="clear" w:color="auto" w:fill="FFFFFF"/>
            <w:vAlign w:val="center"/>
          </w:tcPr>
          <w:p w14:paraId="1105F7E7" w14:textId="7FE6A173" w:rsidR="00334411" w:rsidRPr="006E0B6B" w:rsidRDefault="00A822BC" w:rsidP="0014568C">
            <w:pPr>
              <w:pStyle w:val="CETBodytext"/>
              <w:ind w:right="-1"/>
              <w:jc w:val="left"/>
              <w:rPr>
                <w:rFonts w:cs="Arial"/>
                <w:szCs w:val="18"/>
                <w:lang w:val="en-GB"/>
              </w:rPr>
            </w:pPr>
            <w:r>
              <w:rPr>
                <w:rFonts w:cs="Arial"/>
                <w:szCs w:val="18"/>
              </w:rPr>
              <w:t xml:space="preserve">7.4 </w:t>
            </w:r>
            <w:r w:rsidRPr="006E0B6B">
              <w:rPr>
                <w:rFonts w:cs="Arial"/>
                <w:szCs w:val="18"/>
              </w:rPr>
              <w:t>±</w:t>
            </w:r>
            <w:r>
              <w:rPr>
                <w:rFonts w:cs="Arial"/>
                <w:szCs w:val="18"/>
              </w:rPr>
              <w:t xml:space="preserve"> 0.1</w:t>
            </w:r>
          </w:p>
        </w:tc>
        <w:tc>
          <w:tcPr>
            <w:tcW w:w="1134" w:type="dxa"/>
            <w:tcBorders>
              <w:top w:val="nil"/>
            </w:tcBorders>
            <w:shd w:val="clear" w:color="auto" w:fill="FFFFFF"/>
            <w:vAlign w:val="center"/>
          </w:tcPr>
          <w:p w14:paraId="2D0408CC" w14:textId="0CE888B3" w:rsidR="00334411" w:rsidRPr="006E0B6B" w:rsidRDefault="00E90519" w:rsidP="0014568C">
            <w:pPr>
              <w:pStyle w:val="CETBodytext"/>
              <w:ind w:right="-1"/>
              <w:jc w:val="left"/>
              <w:rPr>
                <w:rFonts w:cs="Arial"/>
                <w:szCs w:val="18"/>
                <w:lang w:val="en-GB"/>
              </w:rPr>
            </w:pPr>
            <w:r>
              <w:rPr>
                <w:rFonts w:cs="Arial"/>
                <w:szCs w:val="18"/>
                <w:lang w:val="en-GB"/>
              </w:rPr>
              <w:t>1</w:t>
            </w:r>
            <w:r w:rsidR="0041603D">
              <w:rPr>
                <w:rFonts w:cs="Arial"/>
                <w:szCs w:val="18"/>
                <w:lang w:val="en-GB"/>
              </w:rPr>
              <w:t>9</w:t>
            </w:r>
            <w:r w:rsidR="00FB3CAD">
              <w:rPr>
                <w:rFonts w:cs="Arial"/>
                <w:szCs w:val="18"/>
                <w:lang w:val="en-GB"/>
              </w:rPr>
              <w:t>7</w:t>
            </w:r>
            <w:r>
              <w:rPr>
                <w:rFonts w:cs="Arial"/>
                <w:szCs w:val="18"/>
                <w:lang w:val="en-GB"/>
              </w:rPr>
              <w:t xml:space="preserve"> </w:t>
            </w:r>
            <w:r w:rsidRPr="006E0B6B">
              <w:rPr>
                <w:rFonts w:cs="Arial"/>
                <w:szCs w:val="18"/>
              </w:rPr>
              <w:t>±</w:t>
            </w:r>
            <w:r>
              <w:rPr>
                <w:rFonts w:cs="Arial"/>
                <w:szCs w:val="18"/>
              </w:rPr>
              <w:t xml:space="preserve"> 14</w:t>
            </w:r>
          </w:p>
        </w:tc>
        <w:tc>
          <w:tcPr>
            <w:tcW w:w="992" w:type="dxa"/>
            <w:tcBorders>
              <w:top w:val="nil"/>
            </w:tcBorders>
            <w:shd w:val="clear" w:color="auto" w:fill="FFFFFF"/>
            <w:vAlign w:val="center"/>
          </w:tcPr>
          <w:p w14:paraId="0ED25693" w14:textId="5B54C6F5" w:rsidR="00334411" w:rsidRPr="006E0B6B" w:rsidRDefault="00FB3CAD" w:rsidP="0014568C">
            <w:pPr>
              <w:pStyle w:val="CETBodytext"/>
              <w:ind w:right="-1"/>
              <w:jc w:val="left"/>
              <w:rPr>
                <w:rFonts w:cs="Arial"/>
                <w:szCs w:val="18"/>
                <w:lang w:val="en-GB"/>
              </w:rPr>
            </w:pPr>
            <w:r>
              <w:rPr>
                <w:rFonts w:cs="Arial"/>
                <w:szCs w:val="18"/>
                <w:lang w:val="en-GB"/>
              </w:rPr>
              <w:t>301</w:t>
            </w:r>
          </w:p>
        </w:tc>
        <w:tc>
          <w:tcPr>
            <w:tcW w:w="707" w:type="dxa"/>
            <w:tcBorders>
              <w:top w:val="nil"/>
            </w:tcBorders>
            <w:shd w:val="clear" w:color="auto" w:fill="FFFFFF"/>
            <w:vAlign w:val="center"/>
          </w:tcPr>
          <w:p w14:paraId="7B8C4D75" w14:textId="465731B1" w:rsidR="00334411" w:rsidRPr="006E0B6B" w:rsidRDefault="00215ED2" w:rsidP="0014568C">
            <w:pPr>
              <w:pStyle w:val="CETBodytext"/>
              <w:ind w:right="-1"/>
              <w:jc w:val="left"/>
              <w:rPr>
                <w:rFonts w:cs="Arial"/>
                <w:szCs w:val="18"/>
                <w:lang w:val="en-GB"/>
              </w:rPr>
            </w:pPr>
            <w:r>
              <w:rPr>
                <w:rFonts w:cs="Arial"/>
                <w:szCs w:val="18"/>
                <w:lang w:val="en-GB"/>
              </w:rPr>
              <w:t>155</w:t>
            </w:r>
          </w:p>
        </w:tc>
      </w:tr>
      <w:tr w:rsidR="007E0969" w:rsidRPr="00B57B36" w14:paraId="32601BE0" w14:textId="50848D18" w:rsidTr="00FA3ABB">
        <w:trPr>
          <w:trHeight w:val="215"/>
        </w:trPr>
        <w:tc>
          <w:tcPr>
            <w:tcW w:w="2410" w:type="dxa"/>
            <w:tcBorders>
              <w:bottom w:val="single" w:sz="12" w:space="0" w:color="008000"/>
            </w:tcBorders>
            <w:shd w:val="clear" w:color="auto" w:fill="FFFFFF"/>
            <w:vAlign w:val="center"/>
          </w:tcPr>
          <w:p w14:paraId="35E057D7" w14:textId="38862ACD" w:rsidR="00334411" w:rsidRPr="006E0B6B" w:rsidRDefault="00334411" w:rsidP="0014568C">
            <w:pPr>
              <w:pStyle w:val="CETBodytext"/>
              <w:ind w:right="-1"/>
              <w:jc w:val="left"/>
              <w:rPr>
                <w:rFonts w:cs="Arial"/>
                <w:szCs w:val="18"/>
                <w:lang w:val="en-GB"/>
              </w:rPr>
            </w:pPr>
            <w:r>
              <w:rPr>
                <w:rFonts w:cs="Arial"/>
                <w:color w:val="000000"/>
                <w:szCs w:val="18"/>
              </w:rPr>
              <w:t>CHCl</w:t>
            </w:r>
            <w:r w:rsidRPr="00334411">
              <w:rPr>
                <w:rFonts w:cs="Arial"/>
                <w:color w:val="000000"/>
                <w:szCs w:val="18"/>
                <w:vertAlign w:val="subscript"/>
              </w:rPr>
              <w:t>3</w:t>
            </w:r>
          </w:p>
        </w:tc>
        <w:tc>
          <w:tcPr>
            <w:tcW w:w="1134" w:type="dxa"/>
            <w:tcBorders>
              <w:bottom w:val="single" w:sz="12" w:space="0" w:color="008000"/>
            </w:tcBorders>
            <w:shd w:val="clear" w:color="auto" w:fill="FFFFFF"/>
            <w:vAlign w:val="center"/>
          </w:tcPr>
          <w:p w14:paraId="7A96AE71" w14:textId="6F124323" w:rsidR="00334411" w:rsidRPr="006E0B6B" w:rsidRDefault="00A822BC" w:rsidP="0014568C">
            <w:pPr>
              <w:pStyle w:val="CETBodytext"/>
              <w:ind w:right="-1"/>
              <w:jc w:val="left"/>
              <w:rPr>
                <w:rFonts w:cs="Arial"/>
                <w:szCs w:val="18"/>
                <w:lang w:val="en-GB"/>
              </w:rPr>
            </w:pPr>
            <w:r>
              <w:rPr>
                <w:rFonts w:cs="Arial"/>
                <w:szCs w:val="18"/>
              </w:rPr>
              <w:t xml:space="preserve">95.6 </w:t>
            </w:r>
            <w:r w:rsidRPr="006E0B6B">
              <w:rPr>
                <w:rFonts w:cs="Arial"/>
                <w:szCs w:val="18"/>
              </w:rPr>
              <w:t>±</w:t>
            </w:r>
            <w:r>
              <w:rPr>
                <w:rFonts w:cs="Arial"/>
                <w:szCs w:val="18"/>
              </w:rPr>
              <w:t xml:space="preserve"> 0.7</w:t>
            </w:r>
          </w:p>
        </w:tc>
        <w:tc>
          <w:tcPr>
            <w:tcW w:w="1276" w:type="dxa"/>
            <w:tcBorders>
              <w:bottom w:val="single" w:sz="12" w:space="0" w:color="008000"/>
            </w:tcBorders>
            <w:shd w:val="clear" w:color="auto" w:fill="FFFFFF"/>
            <w:vAlign w:val="center"/>
          </w:tcPr>
          <w:p w14:paraId="01AF0F01" w14:textId="77284D40" w:rsidR="00334411" w:rsidRPr="006E0B6B" w:rsidRDefault="00A822BC" w:rsidP="0014568C">
            <w:pPr>
              <w:pStyle w:val="CETBodytext"/>
              <w:ind w:right="-1"/>
              <w:jc w:val="left"/>
              <w:rPr>
                <w:rFonts w:cs="Arial"/>
                <w:szCs w:val="18"/>
                <w:lang w:val="en-GB"/>
              </w:rPr>
            </w:pPr>
            <w:r>
              <w:rPr>
                <w:rFonts w:cs="Arial"/>
                <w:szCs w:val="18"/>
                <w:lang w:val="en-GB"/>
              </w:rPr>
              <w:t xml:space="preserve">89.3 </w:t>
            </w:r>
            <w:r w:rsidRPr="006E0B6B">
              <w:rPr>
                <w:rFonts w:cs="Arial"/>
                <w:szCs w:val="18"/>
              </w:rPr>
              <w:t>±</w:t>
            </w:r>
            <w:r>
              <w:rPr>
                <w:rFonts w:cs="Arial"/>
                <w:szCs w:val="18"/>
              </w:rPr>
              <w:t xml:space="preserve"> 1.1</w:t>
            </w:r>
          </w:p>
        </w:tc>
        <w:tc>
          <w:tcPr>
            <w:tcW w:w="1134" w:type="dxa"/>
            <w:tcBorders>
              <w:bottom w:val="single" w:sz="12" w:space="0" w:color="008000"/>
            </w:tcBorders>
            <w:shd w:val="clear" w:color="auto" w:fill="FFFFFF"/>
            <w:vAlign w:val="center"/>
          </w:tcPr>
          <w:p w14:paraId="33DF46D9" w14:textId="247EB81A" w:rsidR="00334411" w:rsidRPr="006E0B6B" w:rsidRDefault="00A822BC" w:rsidP="0014568C">
            <w:pPr>
              <w:pStyle w:val="CETBodytext"/>
              <w:ind w:right="-1"/>
              <w:jc w:val="left"/>
              <w:rPr>
                <w:rFonts w:cs="Arial"/>
                <w:szCs w:val="18"/>
                <w:lang w:val="en-GB"/>
              </w:rPr>
            </w:pPr>
            <w:r>
              <w:rPr>
                <w:rFonts w:cs="Arial"/>
                <w:szCs w:val="18"/>
              </w:rPr>
              <w:t xml:space="preserve">7.0 </w:t>
            </w:r>
            <w:r w:rsidRPr="006E0B6B">
              <w:rPr>
                <w:rFonts w:cs="Arial"/>
                <w:szCs w:val="18"/>
              </w:rPr>
              <w:t>±</w:t>
            </w:r>
            <w:r>
              <w:rPr>
                <w:rFonts w:cs="Arial"/>
                <w:szCs w:val="18"/>
              </w:rPr>
              <w:t xml:space="preserve"> 0.3</w:t>
            </w:r>
          </w:p>
        </w:tc>
        <w:tc>
          <w:tcPr>
            <w:tcW w:w="1134" w:type="dxa"/>
            <w:tcBorders>
              <w:bottom w:val="single" w:sz="12" w:space="0" w:color="008000"/>
            </w:tcBorders>
            <w:shd w:val="clear" w:color="auto" w:fill="FFFFFF"/>
            <w:vAlign w:val="center"/>
          </w:tcPr>
          <w:p w14:paraId="17ADB021" w14:textId="3060F959" w:rsidR="00334411" w:rsidRPr="006E0B6B" w:rsidRDefault="00FB3CAD" w:rsidP="0014568C">
            <w:pPr>
              <w:pStyle w:val="CETBodytext"/>
              <w:ind w:right="-1"/>
              <w:jc w:val="left"/>
              <w:rPr>
                <w:rFonts w:cs="Arial"/>
                <w:szCs w:val="18"/>
                <w:lang w:val="en-GB"/>
              </w:rPr>
            </w:pPr>
            <w:r>
              <w:rPr>
                <w:rFonts w:cs="Arial"/>
                <w:szCs w:val="18"/>
              </w:rPr>
              <w:t xml:space="preserve">200 </w:t>
            </w:r>
            <w:r w:rsidR="00E90519" w:rsidRPr="006E0B6B">
              <w:rPr>
                <w:rFonts w:cs="Arial"/>
                <w:szCs w:val="18"/>
              </w:rPr>
              <w:t>±</w:t>
            </w:r>
            <w:r w:rsidR="00E90519">
              <w:rPr>
                <w:rFonts w:cs="Arial"/>
                <w:szCs w:val="18"/>
              </w:rPr>
              <w:t xml:space="preserve"> 15</w:t>
            </w:r>
          </w:p>
        </w:tc>
        <w:tc>
          <w:tcPr>
            <w:tcW w:w="992" w:type="dxa"/>
            <w:tcBorders>
              <w:bottom w:val="single" w:sz="12" w:space="0" w:color="008000"/>
            </w:tcBorders>
            <w:shd w:val="clear" w:color="auto" w:fill="FFFFFF"/>
            <w:vAlign w:val="center"/>
          </w:tcPr>
          <w:p w14:paraId="7D4A9C6E" w14:textId="5B1A692B" w:rsidR="00334411" w:rsidRPr="006E0B6B" w:rsidRDefault="00FB3CAD" w:rsidP="0014568C">
            <w:pPr>
              <w:pStyle w:val="CETBodytext"/>
              <w:ind w:right="-1"/>
              <w:jc w:val="left"/>
              <w:rPr>
                <w:rFonts w:cs="Arial"/>
                <w:szCs w:val="18"/>
                <w:lang w:val="en-GB"/>
              </w:rPr>
            </w:pPr>
            <w:r>
              <w:rPr>
                <w:rFonts w:cs="Arial"/>
                <w:szCs w:val="18"/>
                <w:lang w:val="en-GB"/>
              </w:rPr>
              <w:t>298</w:t>
            </w:r>
          </w:p>
        </w:tc>
        <w:tc>
          <w:tcPr>
            <w:tcW w:w="707" w:type="dxa"/>
            <w:tcBorders>
              <w:bottom w:val="single" w:sz="12" w:space="0" w:color="008000"/>
            </w:tcBorders>
            <w:shd w:val="clear" w:color="auto" w:fill="FFFFFF"/>
            <w:vAlign w:val="center"/>
          </w:tcPr>
          <w:p w14:paraId="0825BAD9" w14:textId="63F947A4" w:rsidR="00334411" w:rsidRPr="006E0B6B" w:rsidRDefault="00215ED2" w:rsidP="0014568C">
            <w:pPr>
              <w:pStyle w:val="CETBodytext"/>
              <w:ind w:right="-1"/>
              <w:jc w:val="left"/>
              <w:rPr>
                <w:rFonts w:cs="Arial"/>
                <w:szCs w:val="18"/>
                <w:lang w:val="en-GB"/>
              </w:rPr>
            </w:pPr>
            <w:r>
              <w:rPr>
                <w:rFonts w:cs="Arial"/>
                <w:szCs w:val="18"/>
                <w:lang w:val="en-GB"/>
              </w:rPr>
              <w:t>164</w:t>
            </w:r>
          </w:p>
        </w:tc>
      </w:tr>
    </w:tbl>
    <w:p w14:paraId="352970F9" w14:textId="77777777" w:rsidR="009458D2" w:rsidRDefault="009458D2" w:rsidP="009458D2">
      <w:pPr>
        <w:pStyle w:val="CETHeading1"/>
        <w:numPr>
          <w:ilvl w:val="0"/>
          <w:numId w:val="0"/>
        </w:numPr>
        <w:rPr>
          <w:lang w:val="en-GB"/>
        </w:rPr>
      </w:pPr>
    </w:p>
    <w:p w14:paraId="4595B193" w14:textId="285738C4" w:rsidR="005E1830" w:rsidRPr="009458D2" w:rsidRDefault="004E630F" w:rsidP="009458D2">
      <w:pPr>
        <w:pStyle w:val="CETHeading1"/>
        <w:rPr>
          <w:lang w:val="en-GB"/>
        </w:rPr>
      </w:pPr>
      <w:r w:rsidRPr="009458D2">
        <w:rPr>
          <w:lang w:val="en-GB"/>
        </w:rPr>
        <w:t>Conclusions</w:t>
      </w:r>
    </w:p>
    <w:p w14:paraId="1CB282EC" w14:textId="77777777" w:rsidR="006D34CE" w:rsidRDefault="006D34CE" w:rsidP="006D34CE">
      <w:pPr>
        <w:pStyle w:val="CETBodytext"/>
        <w:rPr>
          <w:lang w:eastAsia="it-IT"/>
        </w:rPr>
      </w:pPr>
    </w:p>
    <w:p w14:paraId="416B4E4F" w14:textId="6CAE1045" w:rsidR="006D34CE" w:rsidRPr="006D34CE" w:rsidRDefault="00482287" w:rsidP="006D34CE">
      <w:pPr>
        <w:pStyle w:val="CETBodytext"/>
        <w:rPr>
          <w:lang w:eastAsia="it-IT"/>
        </w:rPr>
      </w:pPr>
      <w:r>
        <w:rPr>
          <w:lang w:eastAsia="it-IT"/>
        </w:rPr>
        <w:t>Results from e</w:t>
      </w:r>
      <w:r w:rsidR="006D34CE" w:rsidRPr="006D34CE">
        <w:rPr>
          <w:lang w:eastAsia="it-IT"/>
        </w:rPr>
        <w:t xml:space="preserve">xtraction tests conducted on </w:t>
      </w:r>
      <w:r>
        <w:rPr>
          <w:lang w:eastAsia="it-IT"/>
        </w:rPr>
        <w:t>lab</w:t>
      </w:r>
      <w:r w:rsidR="000D3571">
        <w:rPr>
          <w:lang w:eastAsia="it-IT"/>
        </w:rPr>
        <w:t>-</w:t>
      </w:r>
      <w:r>
        <w:rPr>
          <w:lang w:eastAsia="it-IT"/>
        </w:rPr>
        <w:t>scale</w:t>
      </w:r>
      <w:r w:rsidRPr="006D34CE">
        <w:rPr>
          <w:lang w:eastAsia="it-IT"/>
        </w:rPr>
        <w:t xml:space="preserve"> </w:t>
      </w:r>
      <w:r w:rsidR="006D34CE" w:rsidRPr="006D34CE">
        <w:rPr>
          <w:lang w:eastAsia="it-IT"/>
        </w:rPr>
        <w:t xml:space="preserve">samples have highlighted how the </w:t>
      </w:r>
      <w:r>
        <w:rPr>
          <w:lang w:eastAsia="it-IT"/>
        </w:rPr>
        <w:t>oxidative treatment, compared</w:t>
      </w:r>
      <w:r w:rsidR="006D34CE" w:rsidRPr="006D34CE">
        <w:rPr>
          <w:lang w:eastAsia="it-IT"/>
        </w:rPr>
        <w:t xml:space="preserve"> to traditional methods</w:t>
      </w:r>
      <w:r>
        <w:rPr>
          <w:lang w:eastAsia="it-IT"/>
        </w:rPr>
        <w:t>,</w:t>
      </w:r>
      <w:r w:rsidR="006D34CE" w:rsidRPr="006D34CE">
        <w:rPr>
          <w:lang w:eastAsia="it-IT"/>
        </w:rPr>
        <w:t xml:space="preserve"> could be considered as a </w:t>
      </w:r>
      <w:r>
        <w:rPr>
          <w:lang w:eastAsia="it-IT"/>
        </w:rPr>
        <w:t>valid alternative.</w:t>
      </w:r>
      <w:r w:rsidR="006D34CE">
        <w:rPr>
          <w:lang w:eastAsia="it-IT"/>
        </w:rPr>
        <w:t xml:space="preserve"> </w:t>
      </w:r>
      <w:r>
        <w:rPr>
          <w:lang w:eastAsia="it-IT"/>
        </w:rPr>
        <w:t>Indeed</w:t>
      </w:r>
      <w:r w:rsidR="006D34CE" w:rsidRPr="006D34CE">
        <w:rPr>
          <w:lang w:eastAsia="it-IT"/>
        </w:rPr>
        <w:t>,</w:t>
      </w:r>
      <w:r w:rsidR="000D3571">
        <w:rPr>
          <w:lang w:eastAsia="it-IT"/>
        </w:rPr>
        <w:t xml:space="preserve"> the</w:t>
      </w:r>
      <w:r w:rsidR="006D34CE" w:rsidRPr="006D34CE">
        <w:rPr>
          <w:lang w:eastAsia="it-IT"/>
        </w:rPr>
        <w:t xml:space="preserve"> </w:t>
      </w:r>
      <w:r>
        <w:rPr>
          <w:lang w:eastAsia="it-IT"/>
        </w:rPr>
        <w:t>performance</w:t>
      </w:r>
      <w:r w:rsidR="006D34CE" w:rsidRPr="006D34CE">
        <w:rPr>
          <w:lang w:eastAsia="it-IT"/>
        </w:rPr>
        <w:t xml:space="preserve"> obtained </w:t>
      </w:r>
      <w:r>
        <w:rPr>
          <w:lang w:eastAsia="it-IT"/>
        </w:rPr>
        <w:t>from</w:t>
      </w:r>
      <w:r w:rsidR="006D34CE" w:rsidRPr="006D34CE">
        <w:rPr>
          <w:lang w:eastAsia="it-IT"/>
        </w:rPr>
        <w:t xml:space="preserve"> some </w:t>
      </w:r>
      <w:r>
        <w:rPr>
          <w:lang w:eastAsia="it-IT"/>
        </w:rPr>
        <w:t>tests</w:t>
      </w:r>
      <w:r w:rsidR="006D34CE" w:rsidRPr="006D34CE">
        <w:rPr>
          <w:lang w:eastAsia="it-IT"/>
        </w:rPr>
        <w:t xml:space="preserve"> with NaOH </w:t>
      </w:r>
      <w:r>
        <w:rPr>
          <w:lang w:eastAsia="it-IT"/>
        </w:rPr>
        <w:t>can be considered as an interesting starting point for wider research</w:t>
      </w:r>
      <w:r w:rsidR="006D34CE" w:rsidRPr="006D34CE">
        <w:rPr>
          <w:lang w:eastAsia="it-IT"/>
        </w:rPr>
        <w:t>.</w:t>
      </w:r>
    </w:p>
    <w:p w14:paraId="529BF7E5" w14:textId="1BF4002D" w:rsidR="006D34CE" w:rsidRDefault="00482287" w:rsidP="006D34CE">
      <w:pPr>
        <w:pStyle w:val="CETBodytext"/>
        <w:rPr>
          <w:rFonts w:eastAsiaTheme="minorHAnsi"/>
        </w:rPr>
      </w:pPr>
      <w:r>
        <w:rPr>
          <w:lang w:eastAsia="it-IT"/>
        </w:rPr>
        <w:t>More in detail</w:t>
      </w:r>
      <w:r w:rsidR="006D34CE" w:rsidRPr="006D34CE">
        <w:rPr>
          <w:lang w:eastAsia="it-IT"/>
        </w:rPr>
        <w:t xml:space="preserve">, the use of SDS for </w:t>
      </w:r>
      <w:r>
        <w:rPr>
          <w:lang w:eastAsia="it-IT"/>
        </w:rPr>
        <w:t>short</w:t>
      </w:r>
      <w:r w:rsidR="006D34CE" w:rsidRPr="006D34CE">
        <w:rPr>
          <w:lang w:eastAsia="it-IT"/>
        </w:rPr>
        <w:t xml:space="preserve"> </w:t>
      </w:r>
      <w:r>
        <w:rPr>
          <w:lang w:eastAsia="it-IT"/>
        </w:rPr>
        <w:t>retention</w:t>
      </w:r>
      <w:r w:rsidR="006D34CE" w:rsidRPr="006D34CE">
        <w:rPr>
          <w:lang w:eastAsia="it-IT"/>
        </w:rPr>
        <w:t xml:space="preserve"> time (3h) had a positive effect on purity (comparable to that obtained in the tests of longer duration), but generally lower recover</w:t>
      </w:r>
      <w:r w:rsidR="00730D26">
        <w:rPr>
          <w:lang w:eastAsia="it-IT"/>
        </w:rPr>
        <w:t xml:space="preserve">y yields </w:t>
      </w:r>
      <w:r w:rsidR="006D34CE" w:rsidRPr="006D34CE">
        <w:rPr>
          <w:lang w:eastAsia="it-IT"/>
        </w:rPr>
        <w:t>were obtained compared to the tests conducted without SDS. Overall, the tests conducted with</w:t>
      </w:r>
      <w:r w:rsidR="00730D26">
        <w:rPr>
          <w:lang w:eastAsia="it-IT"/>
        </w:rPr>
        <w:t xml:space="preserve"> sole</w:t>
      </w:r>
      <w:r w:rsidR="006D34CE" w:rsidRPr="006D34CE">
        <w:rPr>
          <w:lang w:eastAsia="it-IT"/>
        </w:rPr>
        <w:t xml:space="preserve"> NaOH for 6 h of reaction, or with</w:t>
      </w:r>
      <w:r w:rsidR="00730D26">
        <w:rPr>
          <w:lang w:eastAsia="it-IT"/>
        </w:rPr>
        <w:t xml:space="preserve"> the combination of</w:t>
      </w:r>
      <w:r w:rsidR="006D34CE" w:rsidRPr="006D34CE">
        <w:rPr>
          <w:lang w:eastAsia="it-IT"/>
        </w:rPr>
        <w:t xml:space="preserve"> NaOH</w:t>
      </w:r>
      <w:r w:rsidR="00730D26">
        <w:rPr>
          <w:lang w:eastAsia="it-IT"/>
        </w:rPr>
        <w:t xml:space="preserve"> and</w:t>
      </w:r>
      <w:r w:rsidR="006D34CE" w:rsidRPr="006D34CE">
        <w:rPr>
          <w:lang w:eastAsia="it-IT"/>
        </w:rPr>
        <w:t xml:space="preserve"> SDS for 3 h of reaction, were the most promising in terms of extraction performance and effect on molecular weight, as </w:t>
      </w:r>
      <w:r w:rsidR="00730D26">
        <w:rPr>
          <w:lang w:eastAsia="it-IT"/>
        </w:rPr>
        <w:t>it was</w:t>
      </w:r>
      <w:r w:rsidR="006D34CE" w:rsidRPr="006D34CE">
        <w:rPr>
          <w:lang w:eastAsia="it-IT"/>
        </w:rPr>
        <w:t xml:space="preserve"> highlighted </w:t>
      </w:r>
      <w:r w:rsidR="00730D26">
        <w:rPr>
          <w:lang w:eastAsia="it-IT"/>
        </w:rPr>
        <w:t>by the viscosity analysis</w:t>
      </w:r>
      <w:r w:rsidR="006D34CE" w:rsidRPr="006D34CE">
        <w:rPr>
          <w:lang w:eastAsia="it-IT"/>
        </w:rPr>
        <w:t>.</w:t>
      </w:r>
      <w:r w:rsidR="006D34CE">
        <w:rPr>
          <w:lang w:eastAsia="it-IT"/>
        </w:rPr>
        <w:t xml:space="preserve"> </w:t>
      </w:r>
      <w:r w:rsidR="00C43E63">
        <w:rPr>
          <w:lang w:eastAsia="it-IT"/>
        </w:rPr>
        <w:t xml:space="preserve">Since the molecular weight and thermal properties of PHA produced from organic waste </w:t>
      </w:r>
      <w:r w:rsidR="000D3571">
        <w:rPr>
          <w:lang w:eastAsia="it-IT"/>
        </w:rPr>
        <w:t>at the</w:t>
      </w:r>
      <w:r w:rsidR="00C43E63">
        <w:rPr>
          <w:lang w:eastAsia="it-IT"/>
        </w:rPr>
        <w:t xml:space="preserve"> pilot scale w</w:t>
      </w:r>
      <w:r w:rsidR="000D3571">
        <w:rPr>
          <w:lang w:eastAsia="it-IT"/>
        </w:rPr>
        <w:t>ere</w:t>
      </w:r>
      <w:r w:rsidR="00C43E63">
        <w:rPr>
          <w:lang w:eastAsia="it-IT"/>
        </w:rPr>
        <w:t xml:space="preserve"> not affected by the type of extraction, </w:t>
      </w:r>
      <w:r w:rsidR="00C43E63">
        <w:rPr>
          <w:rFonts w:eastAsiaTheme="minorHAnsi"/>
        </w:rPr>
        <w:t>f</w:t>
      </w:r>
      <w:r w:rsidR="006D34CE" w:rsidRPr="00110330">
        <w:rPr>
          <w:rFonts w:eastAsiaTheme="minorHAnsi"/>
        </w:rPr>
        <w:t xml:space="preserve">urther investigation on </w:t>
      </w:r>
      <w:r w:rsidR="00C43E63">
        <w:rPr>
          <w:rFonts w:eastAsiaTheme="minorHAnsi"/>
        </w:rPr>
        <w:t>NaOH treatment</w:t>
      </w:r>
      <w:r w:rsidR="006D34CE" w:rsidRPr="00110330">
        <w:rPr>
          <w:rFonts w:eastAsiaTheme="minorHAnsi"/>
        </w:rPr>
        <w:t xml:space="preserve"> and </w:t>
      </w:r>
      <w:r w:rsidR="000D3571">
        <w:rPr>
          <w:rFonts w:eastAsiaTheme="minorHAnsi"/>
        </w:rPr>
        <w:t xml:space="preserve">the </w:t>
      </w:r>
      <w:r w:rsidR="00C43E63">
        <w:rPr>
          <w:rFonts w:eastAsiaTheme="minorHAnsi"/>
        </w:rPr>
        <w:t xml:space="preserve">following </w:t>
      </w:r>
      <w:r w:rsidR="006D34CE" w:rsidRPr="00110330">
        <w:rPr>
          <w:rFonts w:eastAsiaTheme="minorHAnsi"/>
        </w:rPr>
        <w:t xml:space="preserve">characterization </w:t>
      </w:r>
      <w:r w:rsidR="00C43E63">
        <w:rPr>
          <w:rFonts w:eastAsiaTheme="minorHAnsi"/>
        </w:rPr>
        <w:t>are</w:t>
      </w:r>
      <w:r w:rsidR="006D34CE" w:rsidRPr="00110330">
        <w:rPr>
          <w:rFonts w:eastAsiaTheme="minorHAnsi"/>
        </w:rPr>
        <w:t xml:space="preserve"> needed. Thanks to the very recent diffusion of pilot-scale processes involving solid wastes for PHA production, it is now important to demonstrate that </w:t>
      </w:r>
      <w:r w:rsidR="00E46253">
        <w:rPr>
          <w:rFonts w:eastAsiaTheme="minorHAnsi"/>
        </w:rPr>
        <w:t xml:space="preserve">thermal and </w:t>
      </w:r>
      <w:r w:rsidR="006D34CE" w:rsidRPr="00110330">
        <w:rPr>
          <w:rFonts w:eastAsiaTheme="minorHAnsi"/>
        </w:rPr>
        <w:t xml:space="preserve">mechanical properties can be modulated </w:t>
      </w:r>
      <w:r w:rsidR="00197DB4" w:rsidRPr="00110330">
        <w:rPr>
          <w:rFonts w:eastAsiaTheme="minorHAnsi"/>
        </w:rPr>
        <w:t>based on</w:t>
      </w:r>
      <w:r w:rsidR="006D34CE" w:rsidRPr="00110330">
        <w:rPr>
          <w:rFonts w:eastAsiaTheme="minorHAnsi"/>
        </w:rPr>
        <w:t xml:space="preserve"> future applications</w:t>
      </w:r>
      <w:r w:rsidR="00E46253">
        <w:rPr>
          <w:rFonts w:eastAsiaTheme="minorHAnsi"/>
        </w:rPr>
        <w:t>, leading to the choice of the best performing extraction method</w:t>
      </w:r>
      <w:r w:rsidR="006D34CE" w:rsidRPr="00110330">
        <w:rPr>
          <w:rFonts w:eastAsiaTheme="minorHAnsi"/>
        </w:rPr>
        <w:t>.</w:t>
      </w:r>
      <w:r w:rsidR="00E41E29">
        <w:rPr>
          <w:rFonts w:eastAsiaTheme="minorHAnsi"/>
        </w:rPr>
        <w:t xml:space="preserve"> </w:t>
      </w:r>
    </w:p>
    <w:p w14:paraId="5DA72867" w14:textId="4481E6C8" w:rsidR="006D34CE" w:rsidRPr="006D34CE" w:rsidRDefault="006D34CE" w:rsidP="006D34CE">
      <w:pPr>
        <w:pStyle w:val="CETBodytext"/>
        <w:rPr>
          <w:lang w:eastAsia="it-IT"/>
        </w:rPr>
      </w:pPr>
    </w:p>
    <w:p w14:paraId="4F481C42" w14:textId="77777777" w:rsidR="006D34CE" w:rsidRPr="00110330" w:rsidRDefault="006D34CE" w:rsidP="00110330">
      <w:pPr>
        <w:pStyle w:val="CETBodytext"/>
      </w:pPr>
    </w:p>
    <w:p w14:paraId="31977B97" w14:textId="2B785F68" w:rsidR="000B7DF2" w:rsidRDefault="00600535" w:rsidP="00600535">
      <w:pPr>
        <w:pStyle w:val="CETReference"/>
      </w:pPr>
      <w:r w:rsidRPr="00B57B36">
        <w:t>References</w:t>
      </w:r>
    </w:p>
    <w:p w14:paraId="7C1798C9" w14:textId="37B791A6" w:rsidR="00177176" w:rsidRPr="00177176" w:rsidRDefault="000B7DF2" w:rsidP="00177176">
      <w:pPr>
        <w:widowControl w:val="0"/>
        <w:autoSpaceDE w:val="0"/>
        <w:autoSpaceDN w:val="0"/>
        <w:adjustRightInd w:val="0"/>
        <w:spacing w:after="120"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177176" w:rsidRPr="00177176">
        <w:rPr>
          <w:rFonts w:cs="Arial"/>
          <w:noProof/>
          <w:szCs w:val="24"/>
        </w:rPr>
        <w:t xml:space="preserve">Bengtsson, S., A. R. Pisco, P. Johansson, P. C. Lemos, and M. A.M. Reis. 2010. “Molecular Weight and Thermal Properties of Polyhydroxyalkanoates Produced from Fermented Sugar Molasses by Open Mixed Cultures.” </w:t>
      </w:r>
      <w:r w:rsidR="00177176" w:rsidRPr="00177176">
        <w:rPr>
          <w:rFonts w:cs="Arial"/>
          <w:i/>
          <w:iCs/>
          <w:noProof/>
          <w:szCs w:val="24"/>
        </w:rPr>
        <w:t>Journal of Biotechnology</w:t>
      </w:r>
      <w:r w:rsidR="00177176" w:rsidRPr="00177176">
        <w:rPr>
          <w:rFonts w:cs="Arial"/>
          <w:noProof/>
          <w:szCs w:val="24"/>
        </w:rPr>
        <w:t>. https://doi.org/10.1016/j.jbiotec.2010.03.022.</w:t>
      </w:r>
    </w:p>
    <w:p w14:paraId="304D44A4"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Braunegg, G., B. Sonnleitner, and R Lafferty. 1978. </w:t>
      </w:r>
      <w:r w:rsidRPr="00177176">
        <w:rPr>
          <w:rFonts w:cs="Arial"/>
          <w:i/>
          <w:iCs/>
          <w:noProof/>
          <w:szCs w:val="24"/>
        </w:rPr>
        <w:t>Rapid Gas-Chromatographic Method for Determination of Poly-Beta-Hydroxybutyric Acid in Microbial Biomass</w:t>
      </w:r>
      <w:r w:rsidRPr="00177176">
        <w:rPr>
          <w:rFonts w:cs="Arial"/>
          <w:noProof/>
          <w:szCs w:val="24"/>
        </w:rPr>
        <w:t xml:space="preserve">. </w:t>
      </w:r>
      <w:r w:rsidRPr="00177176">
        <w:rPr>
          <w:rFonts w:cs="Arial"/>
          <w:i/>
          <w:iCs/>
          <w:noProof/>
          <w:szCs w:val="24"/>
        </w:rPr>
        <w:t>Applied Microbiology and Biotechnology</w:t>
      </w:r>
      <w:r w:rsidRPr="00177176">
        <w:rPr>
          <w:rFonts w:cs="Arial"/>
          <w:noProof/>
          <w:szCs w:val="24"/>
        </w:rPr>
        <w:t>. Vol. 6. https://doi.org/10.1007/BF00500854.</w:t>
      </w:r>
    </w:p>
    <w:p w14:paraId="1F4F1787"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Colombo, Bianca, Joana Pereira, Margarida Martins, Mario A. Torres-Acosta, Ana C.R.V. Dias, Paulo C. Lemos, Sónia P.M. Ventura, et al. 2020. “Recovering PHA from Mixed Microbial Biomass: Using Non-Ionic Surfactants as a Pretreatment Step.” </w:t>
      </w:r>
      <w:r w:rsidRPr="00177176">
        <w:rPr>
          <w:rFonts w:cs="Arial"/>
          <w:i/>
          <w:iCs/>
          <w:noProof/>
          <w:szCs w:val="24"/>
        </w:rPr>
        <w:t>Separation and Purification Technology</w:t>
      </w:r>
      <w:r w:rsidRPr="00177176">
        <w:rPr>
          <w:rFonts w:cs="Arial"/>
          <w:noProof/>
          <w:szCs w:val="24"/>
        </w:rPr>
        <w:t xml:space="preserve">. </w:t>
      </w:r>
      <w:r w:rsidRPr="00177176">
        <w:rPr>
          <w:rFonts w:cs="Arial"/>
          <w:noProof/>
          <w:szCs w:val="24"/>
        </w:rPr>
        <w:lastRenderedPageBreak/>
        <w:t>https://doi.org/10.1016/j.seppur.2020.117521.</w:t>
      </w:r>
    </w:p>
    <w:p w14:paraId="00282F52"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Kosseva, Maria R., and Edy Rusbandi. 2018. “Trends in the Biomanufacture of Polyhydroxyalkanoates with Focus on Downstream Processing.” </w:t>
      </w:r>
      <w:r w:rsidRPr="00177176">
        <w:rPr>
          <w:rFonts w:cs="Arial"/>
          <w:i/>
          <w:iCs/>
          <w:noProof/>
          <w:szCs w:val="24"/>
        </w:rPr>
        <w:t>International Journal of Biological Macromolecules</w:t>
      </w:r>
      <w:r w:rsidRPr="00177176">
        <w:rPr>
          <w:rFonts w:cs="Arial"/>
          <w:noProof/>
          <w:szCs w:val="24"/>
        </w:rPr>
        <w:t>. https://doi.org/10.1016/j.ijbiomac.2017.09.054.</w:t>
      </w:r>
    </w:p>
    <w:p w14:paraId="20AC1FED"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Lorini, Laura, Andrea Martinelli, Giorgio Capuani, Nicola Frison, Maria Reis, Bruno Sommer Ferreira, Marianna Villano, Mauro Majone, and Francesco Valentino. 2021. “Characterization of Polyhydroxyalkanoates Produced at Pilot Scale From Different Organic Wastes.” </w:t>
      </w:r>
      <w:r w:rsidRPr="00177176">
        <w:rPr>
          <w:rFonts w:cs="Arial"/>
          <w:i/>
          <w:iCs/>
          <w:noProof/>
          <w:szCs w:val="24"/>
        </w:rPr>
        <w:t>Frontiers in Bioengineering and Biotechnology</w:t>
      </w:r>
      <w:r w:rsidRPr="00177176">
        <w:rPr>
          <w:rFonts w:cs="Arial"/>
          <w:noProof/>
          <w:szCs w:val="24"/>
        </w:rPr>
        <w:t xml:space="preserve"> 9 (February): 1–13. https://doi.org/10.3389/fbioe.2021.628719.</w:t>
      </w:r>
    </w:p>
    <w:p w14:paraId="0651975A"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Lorini, Laura, Andrea Martinelli, Paolo Pavan, Mauro Majone, and Francesco Valentino. 2021. “Downstream Processing and Characterization of Polyhydroxyalkanoates (PHAs) Produced by Mixed Microbial Culture (MMC) and Organic Urban Waste as Substrate.” </w:t>
      </w:r>
      <w:r w:rsidRPr="00177176">
        <w:rPr>
          <w:rFonts w:cs="Arial"/>
          <w:i/>
          <w:iCs/>
          <w:noProof/>
          <w:szCs w:val="24"/>
        </w:rPr>
        <w:t>Biomass Conversion and Biorefinery</w:t>
      </w:r>
      <w:r w:rsidRPr="00177176">
        <w:rPr>
          <w:rFonts w:cs="Arial"/>
          <w:noProof/>
          <w:szCs w:val="24"/>
        </w:rPr>
        <w:t xml:space="preserve"> 11 (2): 693–703. https://doi.org/10.1007/s13399-020-00788-w.</w:t>
      </w:r>
    </w:p>
    <w:p w14:paraId="032807CE"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Morgan-Sagastume, F., M. Hjort, D. Cirne, F. Gérardin, S. Lacroix, G. Gaval, L. Karabegovic, et al. 2015. “Integrated Production of Polyhydroxyalkanoates (PHAs) with Municipal Wastewater and Sludge Treatment at Pilot Scale.” </w:t>
      </w:r>
      <w:r w:rsidRPr="00177176">
        <w:rPr>
          <w:rFonts w:cs="Arial"/>
          <w:i/>
          <w:iCs/>
          <w:noProof/>
          <w:szCs w:val="24"/>
        </w:rPr>
        <w:t>Bioresource Technology</w:t>
      </w:r>
      <w:r w:rsidRPr="00177176">
        <w:rPr>
          <w:rFonts w:cs="Arial"/>
          <w:noProof/>
          <w:szCs w:val="24"/>
        </w:rPr>
        <w:t>. https://doi.org/10.1016/j.biortech.2015.01.046.</w:t>
      </w:r>
    </w:p>
    <w:p w14:paraId="31C00E7A"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Pérez-Rivero, Cristina, J. Pablo López-Gómez, and Ipsita Roy. 2019. “A Sustainable Approach for the Downstream Processing of Bacterial Polyhydroxyalkanoates: State-of-the-Art and Latest Developments.” </w:t>
      </w:r>
      <w:r w:rsidRPr="00177176">
        <w:rPr>
          <w:rFonts w:cs="Arial"/>
          <w:i/>
          <w:iCs/>
          <w:noProof/>
          <w:szCs w:val="24"/>
        </w:rPr>
        <w:t>Biochemical Engineering Journal</w:t>
      </w:r>
      <w:r w:rsidRPr="00177176">
        <w:rPr>
          <w:rFonts w:cs="Arial"/>
          <w:noProof/>
          <w:szCs w:val="24"/>
        </w:rPr>
        <w:t>. https://doi.org/10.1016/j.bej.2019.107283.</w:t>
      </w:r>
    </w:p>
    <w:p w14:paraId="2FF83158"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Reis, M.A.M., M. Albuquerque, M. Villano, and M. Majone. 2011. “Mixed Culture Processes for Polyhydroxyalkanoate Production from Agro-Industrial Surplus/Wastes as Feedstocks.” </w:t>
      </w:r>
      <w:r w:rsidRPr="00177176">
        <w:rPr>
          <w:rFonts w:cs="Arial"/>
          <w:i/>
          <w:iCs/>
          <w:noProof/>
          <w:szCs w:val="24"/>
        </w:rPr>
        <w:t>Comprehensive Biotechnology</w:t>
      </w:r>
      <w:r w:rsidRPr="00177176">
        <w:rPr>
          <w:rFonts w:cs="Arial"/>
          <w:noProof/>
          <w:szCs w:val="24"/>
        </w:rPr>
        <w:t>, January, 669–83. https://doi.org/10.1016/B978-0-08-088504-9.00464-5.</w:t>
      </w:r>
    </w:p>
    <w:p w14:paraId="5F89D156"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Samorì, Chiara, Federica Abbondanzi, Paola Galletti, Loris Giorgini, Laura Mazzocchetti, Cristian Torri, and Emilio Tagliavini. 2015. “Extraction of Polyhydroxyalkanoates from Mixed Microbial Cultures: Impact on Polymer Quality and Recovery.” </w:t>
      </w:r>
      <w:r w:rsidRPr="00177176">
        <w:rPr>
          <w:rFonts w:cs="Arial"/>
          <w:i/>
          <w:iCs/>
          <w:noProof/>
          <w:szCs w:val="24"/>
        </w:rPr>
        <w:t>Bioresource Technology</w:t>
      </w:r>
      <w:r w:rsidRPr="00177176">
        <w:rPr>
          <w:rFonts w:cs="Arial"/>
          <w:noProof/>
          <w:szCs w:val="24"/>
        </w:rPr>
        <w:t>. https://doi.org/10.1016/j.biortech.2015.03.062.</w:t>
      </w:r>
    </w:p>
    <w:p w14:paraId="4530BE50"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Valentino, F., F. Morgan-Sagastume, S. Campanari, M. Villano, A. Werker, and M. Majone. 2017. “Carbon Recovery from Wastewater through Bioconversion into Biodegradable Polymers.” </w:t>
      </w:r>
      <w:r w:rsidRPr="00177176">
        <w:rPr>
          <w:rFonts w:cs="Arial"/>
          <w:i/>
          <w:iCs/>
          <w:noProof/>
          <w:szCs w:val="24"/>
        </w:rPr>
        <w:t>New Biotechnology</w:t>
      </w:r>
      <w:r w:rsidRPr="00177176">
        <w:rPr>
          <w:rFonts w:cs="Arial"/>
          <w:noProof/>
          <w:szCs w:val="24"/>
        </w:rPr>
        <w:t xml:space="preserve"> 37: 9–23. https://doi.org/https://doi.org/10.1016/j.nbt.2016.05.007.</w:t>
      </w:r>
    </w:p>
    <w:p w14:paraId="338A46D8"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lang w:val="it-IT"/>
        </w:rPr>
        <w:t xml:space="preserve">Valentino, Francesco, Mario Beccari, Serena Fraraccio, Giulio Zanaroli, and Mauro Majone. </w:t>
      </w:r>
      <w:r w:rsidRPr="00177176">
        <w:rPr>
          <w:rFonts w:cs="Arial"/>
          <w:noProof/>
          <w:szCs w:val="24"/>
        </w:rPr>
        <w:t xml:space="preserve">2014. “Feed Frequency in a Sequencing Batch Reactor Strongly Affects the Production of Polyhydroxyalkanoates (PHAs) from Volatile Fatty Acids.” </w:t>
      </w:r>
      <w:r w:rsidRPr="00177176">
        <w:rPr>
          <w:rFonts w:cs="Arial"/>
          <w:i/>
          <w:iCs/>
          <w:noProof/>
          <w:szCs w:val="24"/>
        </w:rPr>
        <w:t>New Biotechnology</w:t>
      </w:r>
      <w:r w:rsidRPr="00177176">
        <w:rPr>
          <w:rFonts w:cs="Arial"/>
          <w:noProof/>
          <w:szCs w:val="24"/>
        </w:rPr>
        <w:t xml:space="preserve"> 31 (4): 264–75. https://doi.org/10.1016/j.nbt.2013.10.006.</w:t>
      </w:r>
    </w:p>
    <w:p w14:paraId="5ACC8CD5"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Valentino, Francesco, Laura Lorini, Paolo Pavan, and Mauro Majone. 2021. “Development of a Biorefinery Platform for Urban Waste Valorisation into Biogas and Added-Value Products.” </w:t>
      </w:r>
      <w:r w:rsidRPr="00177176">
        <w:rPr>
          <w:rFonts w:cs="Arial"/>
          <w:i/>
          <w:iCs/>
          <w:noProof/>
          <w:szCs w:val="24"/>
        </w:rPr>
        <w:t>Chemical Engineering Transactions</w:t>
      </w:r>
      <w:r w:rsidRPr="00177176">
        <w:rPr>
          <w:rFonts w:cs="Arial"/>
          <w:noProof/>
          <w:szCs w:val="24"/>
        </w:rPr>
        <w:t xml:space="preserve"> 86 (August 2020): 13–18. https://doi.org/10.3303/CET2186003.</w:t>
      </w:r>
    </w:p>
    <w:p w14:paraId="7443A257"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Valentino, Francesco, Giulia Moretto, Laura Lorini, David Bolzonella, Paolo Pavan, and Mauro Majone. 2019. “Pilot-Scale Polyhydroxyalkanoate Production from Combined Treatment of Organic Fraction of Municipal Solid Waste and Sewage Sludge.” </w:t>
      </w:r>
      <w:r w:rsidRPr="00177176">
        <w:rPr>
          <w:rFonts w:cs="Arial"/>
          <w:i/>
          <w:iCs/>
          <w:noProof/>
          <w:szCs w:val="24"/>
        </w:rPr>
        <w:t>Industrial &amp; Engineering Chemistry Research</w:t>
      </w:r>
      <w:r w:rsidRPr="00177176">
        <w:rPr>
          <w:rFonts w:cs="Arial"/>
          <w:noProof/>
          <w:szCs w:val="24"/>
        </w:rPr>
        <w:t xml:space="preserve"> 58 (27): 12149–58. https://doi.org/10.1021/acs.iecr.9b01831.</w:t>
      </w:r>
    </w:p>
    <w:p w14:paraId="61B7D113" w14:textId="77777777" w:rsidR="00177176" w:rsidRPr="00177176" w:rsidRDefault="00177176" w:rsidP="00177176">
      <w:pPr>
        <w:widowControl w:val="0"/>
        <w:autoSpaceDE w:val="0"/>
        <w:autoSpaceDN w:val="0"/>
        <w:adjustRightInd w:val="0"/>
        <w:spacing w:after="120" w:line="240" w:lineRule="auto"/>
        <w:ind w:left="480" w:hanging="480"/>
        <w:rPr>
          <w:rFonts w:cs="Arial"/>
          <w:noProof/>
          <w:szCs w:val="24"/>
        </w:rPr>
      </w:pPr>
      <w:r w:rsidRPr="00177176">
        <w:rPr>
          <w:rFonts w:cs="Arial"/>
          <w:noProof/>
          <w:szCs w:val="24"/>
        </w:rPr>
        <w:t xml:space="preserve">Villano, M., F. Valentino, A. Barbetta, L. Martino, M. Scandola, and M. Majone. 2014. “Polyhydroxyalkanoates Production with Mixed Microbial Cultures: From Culture Selection to Polymer Recovery in a High-Rate Continuous Process.” </w:t>
      </w:r>
      <w:r w:rsidRPr="00177176">
        <w:rPr>
          <w:rFonts w:cs="Arial"/>
          <w:i/>
          <w:iCs/>
          <w:noProof/>
          <w:szCs w:val="24"/>
        </w:rPr>
        <w:t>New Biotechnology</w:t>
      </w:r>
      <w:r w:rsidRPr="00177176">
        <w:rPr>
          <w:rFonts w:cs="Arial"/>
          <w:noProof/>
          <w:szCs w:val="24"/>
        </w:rPr>
        <w:t xml:space="preserve"> 31 (4): 289–96. https://doi.org/10.1016/j.nbt.2013.08.001.</w:t>
      </w:r>
    </w:p>
    <w:p w14:paraId="42396DA0" w14:textId="03E6D67D" w:rsidR="000B7DF2" w:rsidRPr="00B57B36" w:rsidRDefault="000B7DF2" w:rsidP="000B7DF2">
      <w:pPr>
        <w:pStyle w:val="CETReference"/>
        <w:spacing w:before="0"/>
      </w:pPr>
      <w:r>
        <w:fldChar w:fldCharType="end"/>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46E4" w14:textId="77777777" w:rsidR="002325F9" w:rsidRDefault="002325F9" w:rsidP="004F5E36">
      <w:r>
        <w:separator/>
      </w:r>
    </w:p>
  </w:endnote>
  <w:endnote w:type="continuationSeparator" w:id="0">
    <w:p w14:paraId="0E50E4FF" w14:textId="77777777" w:rsidR="002325F9" w:rsidRDefault="002325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4D"/>
    <w:family w:val="roman"/>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A6EF" w14:textId="77777777" w:rsidR="002325F9" w:rsidRDefault="002325F9" w:rsidP="004F5E36">
      <w:r>
        <w:separator/>
      </w:r>
    </w:p>
  </w:footnote>
  <w:footnote w:type="continuationSeparator" w:id="0">
    <w:p w14:paraId="110AF19B" w14:textId="77777777" w:rsidR="002325F9" w:rsidRDefault="002325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9F4D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C64812"/>
    <w:multiLevelType w:val="hybridMultilevel"/>
    <w:tmpl w:val="3DECE4AC"/>
    <w:lvl w:ilvl="0" w:tplc="3FD8A846">
      <w:start w:val="1"/>
      <w:numFmt w:val="decimal"/>
      <w:lvlText w:val="%1."/>
      <w:lvlJc w:val="left"/>
      <w:pPr>
        <w:ind w:left="720" w:hanging="360"/>
      </w:pPr>
    </w:lvl>
    <w:lvl w:ilvl="1" w:tplc="11509FB4">
      <w:start w:val="1"/>
      <w:numFmt w:val="lowerLetter"/>
      <w:lvlText w:val="%2."/>
      <w:lvlJc w:val="left"/>
      <w:pPr>
        <w:ind w:left="1440" w:hanging="360"/>
      </w:pPr>
    </w:lvl>
    <w:lvl w:ilvl="2" w:tplc="5C5A4234">
      <w:start w:val="1"/>
      <w:numFmt w:val="lowerRoman"/>
      <w:lvlText w:val="%3."/>
      <w:lvlJc w:val="right"/>
      <w:pPr>
        <w:ind w:left="2160" w:hanging="180"/>
      </w:pPr>
    </w:lvl>
    <w:lvl w:ilvl="3" w:tplc="443C4822">
      <w:start w:val="1"/>
      <w:numFmt w:val="decimal"/>
      <w:lvlText w:val="%4."/>
      <w:lvlJc w:val="left"/>
      <w:pPr>
        <w:ind w:left="2880" w:hanging="360"/>
      </w:pPr>
    </w:lvl>
    <w:lvl w:ilvl="4" w:tplc="92987436">
      <w:start w:val="1"/>
      <w:numFmt w:val="lowerLetter"/>
      <w:lvlText w:val="%5."/>
      <w:lvlJc w:val="left"/>
      <w:pPr>
        <w:ind w:left="3600" w:hanging="360"/>
      </w:pPr>
    </w:lvl>
    <w:lvl w:ilvl="5" w:tplc="BEAC4C28">
      <w:start w:val="1"/>
      <w:numFmt w:val="lowerRoman"/>
      <w:lvlText w:val="%6."/>
      <w:lvlJc w:val="right"/>
      <w:pPr>
        <w:ind w:left="4320" w:hanging="180"/>
      </w:pPr>
    </w:lvl>
    <w:lvl w:ilvl="6" w:tplc="F934FC68">
      <w:start w:val="1"/>
      <w:numFmt w:val="decimal"/>
      <w:lvlText w:val="%7."/>
      <w:lvlJc w:val="left"/>
      <w:pPr>
        <w:ind w:left="5040" w:hanging="360"/>
      </w:pPr>
    </w:lvl>
    <w:lvl w:ilvl="7" w:tplc="E75E8E64">
      <w:start w:val="1"/>
      <w:numFmt w:val="lowerLetter"/>
      <w:lvlText w:val="%8."/>
      <w:lvlJc w:val="left"/>
      <w:pPr>
        <w:ind w:left="5760" w:hanging="360"/>
      </w:pPr>
    </w:lvl>
    <w:lvl w:ilvl="8" w:tplc="16E6D962">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3"/>
  </w:num>
  <w:num w:numId="22">
    <w:abstractNumId w:val="14"/>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3E"/>
    <w:rsid w:val="000027C0"/>
    <w:rsid w:val="000052FB"/>
    <w:rsid w:val="00006824"/>
    <w:rsid w:val="000117CB"/>
    <w:rsid w:val="0003148D"/>
    <w:rsid w:val="000365C1"/>
    <w:rsid w:val="00051566"/>
    <w:rsid w:val="0006074F"/>
    <w:rsid w:val="00062A9A"/>
    <w:rsid w:val="00065058"/>
    <w:rsid w:val="00086C39"/>
    <w:rsid w:val="000A03B2"/>
    <w:rsid w:val="000B7DF2"/>
    <w:rsid w:val="000C0003"/>
    <w:rsid w:val="000C69E9"/>
    <w:rsid w:val="000D0268"/>
    <w:rsid w:val="000D34BE"/>
    <w:rsid w:val="000D3571"/>
    <w:rsid w:val="000E102F"/>
    <w:rsid w:val="000E36F1"/>
    <w:rsid w:val="000E3A73"/>
    <w:rsid w:val="000E414A"/>
    <w:rsid w:val="000F093C"/>
    <w:rsid w:val="000F6973"/>
    <w:rsid w:val="000F787B"/>
    <w:rsid w:val="00110330"/>
    <w:rsid w:val="0012091F"/>
    <w:rsid w:val="001258D4"/>
    <w:rsid w:val="00126BC2"/>
    <w:rsid w:val="001308B6"/>
    <w:rsid w:val="0013121F"/>
    <w:rsid w:val="00131FE6"/>
    <w:rsid w:val="0013263F"/>
    <w:rsid w:val="00134DE4"/>
    <w:rsid w:val="0014034D"/>
    <w:rsid w:val="00144319"/>
    <w:rsid w:val="0014568C"/>
    <w:rsid w:val="00150E59"/>
    <w:rsid w:val="00152DE3"/>
    <w:rsid w:val="00164CF9"/>
    <w:rsid w:val="001667A6"/>
    <w:rsid w:val="00177176"/>
    <w:rsid w:val="00184AD6"/>
    <w:rsid w:val="00190997"/>
    <w:rsid w:val="00197DB4"/>
    <w:rsid w:val="001A402D"/>
    <w:rsid w:val="001A4AF7"/>
    <w:rsid w:val="001A5D38"/>
    <w:rsid w:val="001B0349"/>
    <w:rsid w:val="001B65C1"/>
    <w:rsid w:val="001C21C5"/>
    <w:rsid w:val="001C684B"/>
    <w:rsid w:val="001D252A"/>
    <w:rsid w:val="001D5031"/>
    <w:rsid w:val="001D53FC"/>
    <w:rsid w:val="001F42A5"/>
    <w:rsid w:val="001F5690"/>
    <w:rsid w:val="001F7B9D"/>
    <w:rsid w:val="002023B4"/>
    <w:rsid w:val="002101F7"/>
    <w:rsid w:val="00215ED2"/>
    <w:rsid w:val="002224B4"/>
    <w:rsid w:val="00224692"/>
    <w:rsid w:val="00231CDF"/>
    <w:rsid w:val="002325F9"/>
    <w:rsid w:val="0024004E"/>
    <w:rsid w:val="002447EF"/>
    <w:rsid w:val="00251550"/>
    <w:rsid w:val="00257AB8"/>
    <w:rsid w:val="00263B05"/>
    <w:rsid w:val="0027221A"/>
    <w:rsid w:val="00275546"/>
    <w:rsid w:val="00275B61"/>
    <w:rsid w:val="00282656"/>
    <w:rsid w:val="00295FA8"/>
    <w:rsid w:val="00296B83"/>
    <w:rsid w:val="002B0BF0"/>
    <w:rsid w:val="002B3CA9"/>
    <w:rsid w:val="002B78CE"/>
    <w:rsid w:val="002C2FB6"/>
    <w:rsid w:val="002E6324"/>
    <w:rsid w:val="002F3309"/>
    <w:rsid w:val="003009B7"/>
    <w:rsid w:val="00300E56"/>
    <w:rsid w:val="0030469C"/>
    <w:rsid w:val="00320934"/>
    <w:rsid w:val="00321CA6"/>
    <w:rsid w:val="00323763"/>
    <w:rsid w:val="00332FE7"/>
    <w:rsid w:val="00334411"/>
    <w:rsid w:val="00334C09"/>
    <w:rsid w:val="00350573"/>
    <w:rsid w:val="00355949"/>
    <w:rsid w:val="00360FBE"/>
    <w:rsid w:val="00362225"/>
    <w:rsid w:val="003723D4"/>
    <w:rsid w:val="00381905"/>
    <w:rsid w:val="00384CC8"/>
    <w:rsid w:val="003871FD"/>
    <w:rsid w:val="00390E72"/>
    <w:rsid w:val="00394215"/>
    <w:rsid w:val="003A1E30"/>
    <w:rsid w:val="003A7D1C"/>
    <w:rsid w:val="003B304B"/>
    <w:rsid w:val="003B3146"/>
    <w:rsid w:val="003B777F"/>
    <w:rsid w:val="003D13FA"/>
    <w:rsid w:val="003D68AD"/>
    <w:rsid w:val="003F015E"/>
    <w:rsid w:val="00400414"/>
    <w:rsid w:val="0040278B"/>
    <w:rsid w:val="0041446B"/>
    <w:rsid w:val="0041603D"/>
    <w:rsid w:val="00430F3B"/>
    <w:rsid w:val="0044329C"/>
    <w:rsid w:val="00444EB3"/>
    <w:rsid w:val="00446930"/>
    <w:rsid w:val="004577FE"/>
    <w:rsid w:val="00457B9C"/>
    <w:rsid w:val="0046164A"/>
    <w:rsid w:val="004628D2"/>
    <w:rsid w:val="00462DCD"/>
    <w:rsid w:val="004648AD"/>
    <w:rsid w:val="00470378"/>
    <w:rsid w:val="004703A9"/>
    <w:rsid w:val="00470C1D"/>
    <w:rsid w:val="004760DE"/>
    <w:rsid w:val="004763D7"/>
    <w:rsid w:val="004814ED"/>
    <w:rsid w:val="00482287"/>
    <w:rsid w:val="00495261"/>
    <w:rsid w:val="004A004E"/>
    <w:rsid w:val="004A24CF"/>
    <w:rsid w:val="004C3D1D"/>
    <w:rsid w:val="004C7913"/>
    <w:rsid w:val="004E46C8"/>
    <w:rsid w:val="004E4DD6"/>
    <w:rsid w:val="004E630F"/>
    <w:rsid w:val="004F5E36"/>
    <w:rsid w:val="00507B47"/>
    <w:rsid w:val="00507BEF"/>
    <w:rsid w:val="00507CC9"/>
    <w:rsid w:val="005119A5"/>
    <w:rsid w:val="0052129D"/>
    <w:rsid w:val="005221EB"/>
    <w:rsid w:val="005278B7"/>
    <w:rsid w:val="00532016"/>
    <w:rsid w:val="005346C8"/>
    <w:rsid w:val="00540BF1"/>
    <w:rsid w:val="00541078"/>
    <w:rsid w:val="00543E7D"/>
    <w:rsid w:val="00547A68"/>
    <w:rsid w:val="005531C9"/>
    <w:rsid w:val="00570C43"/>
    <w:rsid w:val="00580F96"/>
    <w:rsid w:val="005B12B4"/>
    <w:rsid w:val="005B2110"/>
    <w:rsid w:val="005B61E6"/>
    <w:rsid w:val="005C5B7D"/>
    <w:rsid w:val="005C71B6"/>
    <w:rsid w:val="005C77E1"/>
    <w:rsid w:val="005D668A"/>
    <w:rsid w:val="005D6A2F"/>
    <w:rsid w:val="005E1830"/>
    <w:rsid w:val="005E1A82"/>
    <w:rsid w:val="005E794C"/>
    <w:rsid w:val="005F0A28"/>
    <w:rsid w:val="005F0E5E"/>
    <w:rsid w:val="00600535"/>
    <w:rsid w:val="00600D87"/>
    <w:rsid w:val="00610CD6"/>
    <w:rsid w:val="00620DEE"/>
    <w:rsid w:val="00621F92"/>
    <w:rsid w:val="0062280A"/>
    <w:rsid w:val="00625639"/>
    <w:rsid w:val="0063063B"/>
    <w:rsid w:val="00631B33"/>
    <w:rsid w:val="00634B58"/>
    <w:rsid w:val="00635571"/>
    <w:rsid w:val="0064184D"/>
    <w:rsid w:val="006422CC"/>
    <w:rsid w:val="006452B7"/>
    <w:rsid w:val="00646AED"/>
    <w:rsid w:val="00653574"/>
    <w:rsid w:val="00657E68"/>
    <w:rsid w:val="00660E3E"/>
    <w:rsid w:val="00662E74"/>
    <w:rsid w:val="00673010"/>
    <w:rsid w:val="00680C23"/>
    <w:rsid w:val="00686298"/>
    <w:rsid w:val="00693766"/>
    <w:rsid w:val="00695CD7"/>
    <w:rsid w:val="006A3281"/>
    <w:rsid w:val="006B4888"/>
    <w:rsid w:val="006C2E45"/>
    <w:rsid w:val="006C359C"/>
    <w:rsid w:val="006C5579"/>
    <w:rsid w:val="006D34CE"/>
    <w:rsid w:val="006D6E8B"/>
    <w:rsid w:val="006E0B6B"/>
    <w:rsid w:val="006E737D"/>
    <w:rsid w:val="006F4CEB"/>
    <w:rsid w:val="006F708A"/>
    <w:rsid w:val="0072091B"/>
    <w:rsid w:val="00720A24"/>
    <w:rsid w:val="00730D26"/>
    <w:rsid w:val="00732386"/>
    <w:rsid w:val="0073514D"/>
    <w:rsid w:val="007447F3"/>
    <w:rsid w:val="00753527"/>
    <w:rsid w:val="0075499F"/>
    <w:rsid w:val="007661C8"/>
    <w:rsid w:val="0077098D"/>
    <w:rsid w:val="00774C94"/>
    <w:rsid w:val="007931FA"/>
    <w:rsid w:val="007A4861"/>
    <w:rsid w:val="007A69DF"/>
    <w:rsid w:val="007A7BBA"/>
    <w:rsid w:val="007B0C50"/>
    <w:rsid w:val="007B5DDE"/>
    <w:rsid w:val="007C0C4D"/>
    <w:rsid w:val="007C1A43"/>
    <w:rsid w:val="007E0969"/>
    <w:rsid w:val="0080013E"/>
    <w:rsid w:val="00812349"/>
    <w:rsid w:val="00813288"/>
    <w:rsid w:val="00814B49"/>
    <w:rsid w:val="008168FC"/>
    <w:rsid w:val="0082795D"/>
    <w:rsid w:val="00830996"/>
    <w:rsid w:val="008345F1"/>
    <w:rsid w:val="00853CC0"/>
    <w:rsid w:val="00857E0F"/>
    <w:rsid w:val="00865B07"/>
    <w:rsid w:val="008667EA"/>
    <w:rsid w:val="0087637F"/>
    <w:rsid w:val="00892AD5"/>
    <w:rsid w:val="008A1512"/>
    <w:rsid w:val="008A46E5"/>
    <w:rsid w:val="008A7247"/>
    <w:rsid w:val="008C2C1C"/>
    <w:rsid w:val="008D32B9"/>
    <w:rsid w:val="008D433B"/>
    <w:rsid w:val="008E566E"/>
    <w:rsid w:val="0090161A"/>
    <w:rsid w:val="00901EB6"/>
    <w:rsid w:val="00904C62"/>
    <w:rsid w:val="00922BA8"/>
    <w:rsid w:val="00924D49"/>
    <w:rsid w:val="00924DAC"/>
    <w:rsid w:val="00927058"/>
    <w:rsid w:val="00942750"/>
    <w:rsid w:val="009450CE"/>
    <w:rsid w:val="009458D2"/>
    <w:rsid w:val="00947179"/>
    <w:rsid w:val="0095164B"/>
    <w:rsid w:val="00954090"/>
    <w:rsid w:val="009573E7"/>
    <w:rsid w:val="00963E05"/>
    <w:rsid w:val="00967843"/>
    <w:rsid w:val="00967D54"/>
    <w:rsid w:val="00971028"/>
    <w:rsid w:val="009811DA"/>
    <w:rsid w:val="00981D7F"/>
    <w:rsid w:val="00996483"/>
    <w:rsid w:val="00996F5A"/>
    <w:rsid w:val="009978D3"/>
    <w:rsid w:val="009B041A"/>
    <w:rsid w:val="009B6DF5"/>
    <w:rsid w:val="009B79C7"/>
    <w:rsid w:val="009C37C3"/>
    <w:rsid w:val="009C5384"/>
    <w:rsid w:val="009C7C86"/>
    <w:rsid w:val="009D0B46"/>
    <w:rsid w:val="009D2FF7"/>
    <w:rsid w:val="009E7884"/>
    <w:rsid w:val="009E788A"/>
    <w:rsid w:val="009F0E08"/>
    <w:rsid w:val="00A10194"/>
    <w:rsid w:val="00A1763D"/>
    <w:rsid w:val="00A17CEC"/>
    <w:rsid w:val="00A27EF0"/>
    <w:rsid w:val="00A42361"/>
    <w:rsid w:val="00A45FDA"/>
    <w:rsid w:val="00A50B20"/>
    <w:rsid w:val="00A51390"/>
    <w:rsid w:val="00A52ACA"/>
    <w:rsid w:val="00A56D75"/>
    <w:rsid w:val="00A60D13"/>
    <w:rsid w:val="00A72745"/>
    <w:rsid w:val="00A76EFC"/>
    <w:rsid w:val="00A822BC"/>
    <w:rsid w:val="00A826CF"/>
    <w:rsid w:val="00A87A73"/>
    <w:rsid w:val="00A91010"/>
    <w:rsid w:val="00A97F29"/>
    <w:rsid w:val="00AA0131"/>
    <w:rsid w:val="00AA1841"/>
    <w:rsid w:val="00AA4783"/>
    <w:rsid w:val="00AA64BB"/>
    <w:rsid w:val="00AA702E"/>
    <w:rsid w:val="00AB0964"/>
    <w:rsid w:val="00AB5011"/>
    <w:rsid w:val="00AB6B3C"/>
    <w:rsid w:val="00AC7368"/>
    <w:rsid w:val="00AD16B9"/>
    <w:rsid w:val="00AD3F65"/>
    <w:rsid w:val="00AE377D"/>
    <w:rsid w:val="00AE75EF"/>
    <w:rsid w:val="00AF0EBA"/>
    <w:rsid w:val="00B002D9"/>
    <w:rsid w:val="00B02C8A"/>
    <w:rsid w:val="00B1760E"/>
    <w:rsid w:val="00B17FBD"/>
    <w:rsid w:val="00B315A6"/>
    <w:rsid w:val="00B31813"/>
    <w:rsid w:val="00B33365"/>
    <w:rsid w:val="00B46D15"/>
    <w:rsid w:val="00B57B36"/>
    <w:rsid w:val="00B825D3"/>
    <w:rsid w:val="00B8620A"/>
    <w:rsid w:val="00B8686D"/>
    <w:rsid w:val="00BB1DDC"/>
    <w:rsid w:val="00BC249E"/>
    <w:rsid w:val="00BC30C9"/>
    <w:rsid w:val="00BE3963"/>
    <w:rsid w:val="00BE3E58"/>
    <w:rsid w:val="00BE79AC"/>
    <w:rsid w:val="00BF7944"/>
    <w:rsid w:val="00C01616"/>
    <w:rsid w:val="00C0162B"/>
    <w:rsid w:val="00C02060"/>
    <w:rsid w:val="00C05C36"/>
    <w:rsid w:val="00C068ED"/>
    <w:rsid w:val="00C24754"/>
    <w:rsid w:val="00C345B1"/>
    <w:rsid w:val="00C40142"/>
    <w:rsid w:val="00C43E63"/>
    <w:rsid w:val="00C50A43"/>
    <w:rsid w:val="00C57182"/>
    <w:rsid w:val="00C57863"/>
    <w:rsid w:val="00C655FD"/>
    <w:rsid w:val="00C7421E"/>
    <w:rsid w:val="00C75407"/>
    <w:rsid w:val="00C82844"/>
    <w:rsid w:val="00C870A8"/>
    <w:rsid w:val="00C904AA"/>
    <w:rsid w:val="00C94434"/>
    <w:rsid w:val="00CA0D75"/>
    <w:rsid w:val="00CA0EE8"/>
    <w:rsid w:val="00CA1C95"/>
    <w:rsid w:val="00CA5065"/>
    <w:rsid w:val="00CA5911"/>
    <w:rsid w:val="00CA5A9C"/>
    <w:rsid w:val="00CC37CC"/>
    <w:rsid w:val="00CC4C20"/>
    <w:rsid w:val="00CC66FE"/>
    <w:rsid w:val="00CD1B7B"/>
    <w:rsid w:val="00CD3517"/>
    <w:rsid w:val="00CD3E46"/>
    <w:rsid w:val="00CD5FE2"/>
    <w:rsid w:val="00CD6EA6"/>
    <w:rsid w:val="00CE7C68"/>
    <w:rsid w:val="00CF737F"/>
    <w:rsid w:val="00D01A42"/>
    <w:rsid w:val="00D02B4C"/>
    <w:rsid w:val="00D040C4"/>
    <w:rsid w:val="00D0589F"/>
    <w:rsid w:val="00D06C3C"/>
    <w:rsid w:val="00D328EE"/>
    <w:rsid w:val="00D37D47"/>
    <w:rsid w:val="00D42FB6"/>
    <w:rsid w:val="00D47FD1"/>
    <w:rsid w:val="00D57C84"/>
    <w:rsid w:val="00D6057D"/>
    <w:rsid w:val="00D7532A"/>
    <w:rsid w:val="00D836C5"/>
    <w:rsid w:val="00D84576"/>
    <w:rsid w:val="00D93042"/>
    <w:rsid w:val="00DA1399"/>
    <w:rsid w:val="00DA24C6"/>
    <w:rsid w:val="00DA4D7B"/>
    <w:rsid w:val="00DA571E"/>
    <w:rsid w:val="00DD2499"/>
    <w:rsid w:val="00DE0A0A"/>
    <w:rsid w:val="00DE1DC3"/>
    <w:rsid w:val="00DE264A"/>
    <w:rsid w:val="00DF5072"/>
    <w:rsid w:val="00E02D18"/>
    <w:rsid w:val="00E041E7"/>
    <w:rsid w:val="00E1070D"/>
    <w:rsid w:val="00E16A33"/>
    <w:rsid w:val="00E16BB2"/>
    <w:rsid w:val="00E23CA1"/>
    <w:rsid w:val="00E331B0"/>
    <w:rsid w:val="00E409A8"/>
    <w:rsid w:val="00E41E29"/>
    <w:rsid w:val="00E46253"/>
    <w:rsid w:val="00E478D6"/>
    <w:rsid w:val="00E50C12"/>
    <w:rsid w:val="00E63E42"/>
    <w:rsid w:val="00E65B91"/>
    <w:rsid w:val="00E7209D"/>
    <w:rsid w:val="00E7568A"/>
    <w:rsid w:val="00E75737"/>
    <w:rsid w:val="00E77223"/>
    <w:rsid w:val="00E8528B"/>
    <w:rsid w:val="00E85B94"/>
    <w:rsid w:val="00E8626E"/>
    <w:rsid w:val="00E8633E"/>
    <w:rsid w:val="00E90519"/>
    <w:rsid w:val="00E91550"/>
    <w:rsid w:val="00E978D0"/>
    <w:rsid w:val="00EA0924"/>
    <w:rsid w:val="00EA4613"/>
    <w:rsid w:val="00EA7F91"/>
    <w:rsid w:val="00EB1523"/>
    <w:rsid w:val="00EB2581"/>
    <w:rsid w:val="00EC0287"/>
    <w:rsid w:val="00EC0E49"/>
    <w:rsid w:val="00EC101F"/>
    <w:rsid w:val="00EC1D9F"/>
    <w:rsid w:val="00EE0131"/>
    <w:rsid w:val="00EE17B0"/>
    <w:rsid w:val="00EF06D9"/>
    <w:rsid w:val="00F21266"/>
    <w:rsid w:val="00F26960"/>
    <w:rsid w:val="00F30C64"/>
    <w:rsid w:val="00F30D29"/>
    <w:rsid w:val="00F32CDB"/>
    <w:rsid w:val="00F37130"/>
    <w:rsid w:val="00F44524"/>
    <w:rsid w:val="00F46656"/>
    <w:rsid w:val="00F47727"/>
    <w:rsid w:val="00F565FE"/>
    <w:rsid w:val="00F63A70"/>
    <w:rsid w:val="00F97B0E"/>
    <w:rsid w:val="00FA21D0"/>
    <w:rsid w:val="00FA3ABB"/>
    <w:rsid w:val="00FA5F5F"/>
    <w:rsid w:val="00FB3CAD"/>
    <w:rsid w:val="00FB50AD"/>
    <w:rsid w:val="00FB6F86"/>
    <w:rsid w:val="00FB730C"/>
    <w:rsid w:val="00FC1FEB"/>
    <w:rsid w:val="00FC2695"/>
    <w:rsid w:val="00FC3E03"/>
    <w:rsid w:val="00FC3FC1"/>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Menzionenonrisolta">
    <w:name w:val="Unresolved Mention"/>
    <w:basedOn w:val="Carpredefinitoparagrafo"/>
    <w:uiPriority w:val="99"/>
    <w:semiHidden/>
    <w:unhideWhenUsed/>
    <w:rsid w:val="00FC1FEB"/>
    <w:rPr>
      <w:color w:val="605E5C"/>
      <w:shd w:val="clear" w:color="auto" w:fill="E1DFDD"/>
    </w:rPr>
  </w:style>
  <w:style w:type="paragraph" w:styleId="Paragrafoelenco">
    <w:name w:val="List Paragraph"/>
    <w:basedOn w:val="Normale"/>
    <w:uiPriority w:val="34"/>
    <w:qFormat/>
    <w:rsid w:val="006E0B6B"/>
    <w:pPr>
      <w:ind w:left="720"/>
      <w:contextualSpacing/>
    </w:pPr>
  </w:style>
  <w:style w:type="character" w:styleId="Testosegnaposto">
    <w:name w:val="Placeholder Text"/>
    <w:basedOn w:val="Carpredefinitoparagrafo"/>
    <w:uiPriority w:val="99"/>
    <w:semiHidden/>
    <w:rsid w:val="00580F96"/>
    <w:rPr>
      <w:color w:val="808080"/>
    </w:rPr>
  </w:style>
  <w:style w:type="character" w:customStyle="1" w:styleId="y2iqfc">
    <w:name w:val="y2iqfc"/>
    <w:basedOn w:val="Carpredefinitoparagrafo"/>
    <w:rsid w:val="001258D4"/>
  </w:style>
  <w:style w:type="paragraph" w:styleId="Revisione">
    <w:name w:val="Revision"/>
    <w:hidden/>
    <w:uiPriority w:val="99"/>
    <w:semiHidden/>
    <w:rsid w:val="00CF737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5864">
      <w:bodyDiv w:val="1"/>
      <w:marLeft w:val="0"/>
      <w:marRight w:val="0"/>
      <w:marTop w:val="0"/>
      <w:marBottom w:val="0"/>
      <w:divBdr>
        <w:top w:val="none" w:sz="0" w:space="0" w:color="auto"/>
        <w:left w:val="none" w:sz="0" w:space="0" w:color="auto"/>
        <w:bottom w:val="none" w:sz="0" w:space="0" w:color="auto"/>
        <w:right w:val="none" w:sz="0" w:space="0" w:color="auto"/>
      </w:divBdr>
    </w:div>
    <w:div w:id="430663844">
      <w:bodyDiv w:val="1"/>
      <w:marLeft w:val="0"/>
      <w:marRight w:val="0"/>
      <w:marTop w:val="0"/>
      <w:marBottom w:val="0"/>
      <w:divBdr>
        <w:top w:val="none" w:sz="0" w:space="0" w:color="auto"/>
        <w:left w:val="none" w:sz="0" w:space="0" w:color="auto"/>
        <w:bottom w:val="none" w:sz="0" w:space="0" w:color="auto"/>
        <w:right w:val="none" w:sz="0" w:space="0" w:color="auto"/>
      </w:divBdr>
    </w:div>
    <w:div w:id="435028889">
      <w:bodyDiv w:val="1"/>
      <w:marLeft w:val="0"/>
      <w:marRight w:val="0"/>
      <w:marTop w:val="0"/>
      <w:marBottom w:val="0"/>
      <w:divBdr>
        <w:top w:val="none" w:sz="0" w:space="0" w:color="auto"/>
        <w:left w:val="none" w:sz="0" w:space="0" w:color="auto"/>
        <w:bottom w:val="none" w:sz="0" w:space="0" w:color="auto"/>
        <w:right w:val="none" w:sz="0" w:space="0" w:color="auto"/>
      </w:divBdr>
    </w:div>
    <w:div w:id="707995693">
      <w:bodyDiv w:val="1"/>
      <w:marLeft w:val="0"/>
      <w:marRight w:val="0"/>
      <w:marTop w:val="0"/>
      <w:marBottom w:val="0"/>
      <w:divBdr>
        <w:top w:val="none" w:sz="0" w:space="0" w:color="auto"/>
        <w:left w:val="none" w:sz="0" w:space="0" w:color="auto"/>
        <w:bottom w:val="none" w:sz="0" w:space="0" w:color="auto"/>
        <w:right w:val="none" w:sz="0" w:space="0" w:color="auto"/>
      </w:divBdr>
    </w:div>
    <w:div w:id="77478643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39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5176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458">
      <w:bodyDiv w:val="1"/>
      <w:marLeft w:val="0"/>
      <w:marRight w:val="0"/>
      <w:marTop w:val="0"/>
      <w:marBottom w:val="0"/>
      <w:divBdr>
        <w:top w:val="none" w:sz="0" w:space="0" w:color="auto"/>
        <w:left w:val="none" w:sz="0" w:space="0" w:color="auto"/>
        <w:bottom w:val="none" w:sz="0" w:space="0" w:color="auto"/>
        <w:right w:val="none" w:sz="0" w:space="0" w:color="auto"/>
      </w:divBdr>
    </w:div>
    <w:div w:id="1422678641">
      <w:bodyDiv w:val="1"/>
      <w:marLeft w:val="0"/>
      <w:marRight w:val="0"/>
      <w:marTop w:val="0"/>
      <w:marBottom w:val="0"/>
      <w:divBdr>
        <w:top w:val="none" w:sz="0" w:space="0" w:color="auto"/>
        <w:left w:val="none" w:sz="0" w:space="0" w:color="auto"/>
        <w:bottom w:val="none" w:sz="0" w:space="0" w:color="auto"/>
        <w:right w:val="none" w:sz="0" w:space="0" w:color="auto"/>
      </w:divBdr>
    </w:div>
    <w:div w:id="1461806230">
      <w:bodyDiv w:val="1"/>
      <w:marLeft w:val="0"/>
      <w:marRight w:val="0"/>
      <w:marTop w:val="0"/>
      <w:marBottom w:val="0"/>
      <w:divBdr>
        <w:top w:val="none" w:sz="0" w:space="0" w:color="auto"/>
        <w:left w:val="none" w:sz="0" w:space="0" w:color="auto"/>
        <w:bottom w:val="none" w:sz="0" w:space="0" w:color="auto"/>
        <w:right w:val="none" w:sz="0" w:space="0" w:color="auto"/>
      </w:divBdr>
    </w:div>
    <w:div w:id="1517963593">
      <w:bodyDiv w:val="1"/>
      <w:marLeft w:val="0"/>
      <w:marRight w:val="0"/>
      <w:marTop w:val="0"/>
      <w:marBottom w:val="0"/>
      <w:divBdr>
        <w:top w:val="none" w:sz="0" w:space="0" w:color="auto"/>
        <w:left w:val="none" w:sz="0" w:space="0" w:color="auto"/>
        <w:bottom w:val="none" w:sz="0" w:space="0" w:color="auto"/>
        <w:right w:val="none" w:sz="0" w:space="0" w:color="auto"/>
      </w:divBdr>
    </w:div>
    <w:div w:id="1534154704">
      <w:bodyDiv w:val="1"/>
      <w:marLeft w:val="0"/>
      <w:marRight w:val="0"/>
      <w:marTop w:val="0"/>
      <w:marBottom w:val="0"/>
      <w:divBdr>
        <w:top w:val="none" w:sz="0" w:space="0" w:color="auto"/>
        <w:left w:val="none" w:sz="0" w:space="0" w:color="auto"/>
        <w:bottom w:val="none" w:sz="0" w:space="0" w:color="auto"/>
        <w:right w:val="none" w:sz="0" w:space="0" w:color="auto"/>
      </w:divBdr>
    </w:div>
    <w:div w:id="1588417801">
      <w:bodyDiv w:val="1"/>
      <w:marLeft w:val="0"/>
      <w:marRight w:val="0"/>
      <w:marTop w:val="0"/>
      <w:marBottom w:val="0"/>
      <w:divBdr>
        <w:top w:val="none" w:sz="0" w:space="0" w:color="auto"/>
        <w:left w:val="none" w:sz="0" w:space="0" w:color="auto"/>
        <w:bottom w:val="none" w:sz="0" w:space="0" w:color="auto"/>
        <w:right w:val="none" w:sz="0" w:space="0" w:color="auto"/>
      </w:divBdr>
    </w:div>
    <w:div w:id="1601914236">
      <w:bodyDiv w:val="1"/>
      <w:marLeft w:val="0"/>
      <w:marRight w:val="0"/>
      <w:marTop w:val="0"/>
      <w:marBottom w:val="0"/>
      <w:divBdr>
        <w:top w:val="none" w:sz="0" w:space="0" w:color="auto"/>
        <w:left w:val="none" w:sz="0" w:space="0" w:color="auto"/>
        <w:bottom w:val="none" w:sz="0" w:space="0" w:color="auto"/>
        <w:right w:val="none" w:sz="0" w:space="0" w:color="auto"/>
      </w:divBdr>
    </w:div>
    <w:div w:id="1616406464">
      <w:bodyDiv w:val="1"/>
      <w:marLeft w:val="0"/>
      <w:marRight w:val="0"/>
      <w:marTop w:val="0"/>
      <w:marBottom w:val="0"/>
      <w:divBdr>
        <w:top w:val="none" w:sz="0" w:space="0" w:color="auto"/>
        <w:left w:val="none" w:sz="0" w:space="0" w:color="auto"/>
        <w:bottom w:val="none" w:sz="0" w:space="0" w:color="auto"/>
        <w:right w:val="none" w:sz="0" w:space="0" w:color="auto"/>
      </w:divBdr>
    </w:div>
    <w:div w:id="164843785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8302">
      <w:bodyDiv w:val="1"/>
      <w:marLeft w:val="0"/>
      <w:marRight w:val="0"/>
      <w:marTop w:val="0"/>
      <w:marBottom w:val="0"/>
      <w:divBdr>
        <w:top w:val="none" w:sz="0" w:space="0" w:color="auto"/>
        <w:left w:val="none" w:sz="0" w:space="0" w:color="auto"/>
        <w:bottom w:val="none" w:sz="0" w:space="0" w:color="auto"/>
        <w:right w:val="none" w:sz="0" w:space="0" w:color="auto"/>
      </w:divBdr>
    </w:div>
    <w:div w:id="1909799048">
      <w:bodyDiv w:val="1"/>
      <w:marLeft w:val="0"/>
      <w:marRight w:val="0"/>
      <w:marTop w:val="0"/>
      <w:marBottom w:val="0"/>
      <w:divBdr>
        <w:top w:val="none" w:sz="0" w:space="0" w:color="auto"/>
        <w:left w:val="none" w:sz="0" w:space="0" w:color="auto"/>
        <w:bottom w:val="none" w:sz="0" w:space="0" w:color="auto"/>
        <w:right w:val="none" w:sz="0" w:space="0" w:color="auto"/>
      </w:divBdr>
    </w:div>
    <w:div w:id="1925188661">
      <w:bodyDiv w:val="1"/>
      <w:marLeft w:val="0"/>
      <w:marRight w:val="0"/>
      <w:marTop w:val="0"/>
      <w:marBottom w:val="0"/>
      <w:divBdr>
        <w:top w:val="none" w:sz="0" w:space="0" w:color="auto"/>
        <w:left w:val="none" w:sz="0" w:space="0" w:color="auto"/>
        <w:bottom w:val="none" w:sz="0" w:space="0" w:color="auto"/>
        <w:right w:val="none" w:sz="0" w:space="0" w:color="auto"/>
      </w:divBdr>
    </w:div>
    <w:div w:id="20060848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laura.lorini@uniroma1.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3B26-3121-4A43-8B6F-8C7BA9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6</Pages>
  <Words>13520</Words>
  <Characters>77069</Characters>
  <Application>Microsoft Office Word</Application>
  <DocSecurity>0</DocSecurity>
  <Lines>642</Lines>
  <Paragraphs>180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90409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laura lorini</cp:lastModifiedBy>
  <cp:revision>78</cp:revision>
  <cp:lastPrinted>2015-05-12T18:31:00Z</cp:lastPrinted>
  <dcterms:created xsi:type="dcterms:W3CDTF">2022-01-24T09:56:00Z</dcterms:created>
  <dcterms:modified xsi:type="dcterms:W3CDTF">2022-03-14T16:30:00Z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db3cb032-5397-3302-b8c1-a5ad264ca42b</vt:lpwstr>
  </property>
  <property fmtid="{D5CDD505-2E9C-101B-9397-08002B2CF9AE}" pid="6" name="Mendeley Citation Style_1">
    <vt:lpwstr>http://csl.mendeley.com/styles/517886711/chicago-author-date-2</vt:lpwstr>
  </property>
  <property fmtid="{D5CDD505-2E9C-101B-9397-08002B2CF9AE}" pid="7" name="Mendeley Recent Style Id 0_1">
    <vt:lpwstr>http://www.zotero.org/styles/chemosphere</vt:lpwstr>
  </property>
  <property fmtid="{D5CDD505-2E9C-101B-9397-08002B2CF9AE}" pid="8" name="Mendeley Recent Style Name 0_1">
    <vt:lpwstr>Chemosphere</vt:lpwstr>
  </property>
  <property fmtid="{D5CDD505-2E9C-101B-9397-08002B2CF9AE}" pid="9" name="Mendeley Recent Style Id 1_1">
    <vt:lpwstr>http://csl.mendeley.com/styles/517886711/chicago-author-date-2</vt:lpwstr>
  </property>
  <property fmtid="{D5CDD505-2E9C-101B-9397-08002B2CF9AE}" pid="10" name="Mendeley Recent Style Name 1_1">
    <vt:lpwstr>Chicago Manual of Style 17th edition (author-date) - laura lorini</vt:lpwstr>
  </property>
  <property fmtid="{D5CDD505-2E9C-101B-9397-08002B2CF9AE}" pid="11" name="Mendeley Recent Style Id 2_1">
    <vt:lpwstr>http://www.zotero.org/styles/harvard-cite-them-right</vt:lpwstr>
  </property>
  <property fmtid="{D5CDD505-2E9C-101B-9397-08002B2CF9AE}" pid="12" name="Mendeley Recent Style Name 2_1">
    <vt:lpwstr>Cite Them Right 10th edition - Harvard</vt:lpwstr>
  </property>
  <property fmtid="{D5CDD505-2E9C-101B-9397-08002B2CF9AE}" pid="13" name="Mendeley Recent Style Id 3_1">
    <vt:lpwstr>http://csl.mendeley.com/styles/517886711/biomass-conversion-and-biorefinery</vt:lpwstr>
  </property>
  <property fmtid="{D5CDD505-2E9C-101B-9397-08002B2CF9AE}" pid="14" name="Mendeley Recent Style Name 3_1">
    <vt:lpwstr>Elsevier (numeric, with titles) - laura lorini</vt:lpwstr>
  </property>
  <property fmtid="{D5CDD505-2E9C-101B-9397-08002B2CF9AE}" pid="15" name="Mendeley Recent Style Id 4_1">
    <vt:lpwstr>http://www.zotero.org/styles/ieee</vt:lpwstr>
  </property>
  <property fmtid="{D5CDD505-2E9C-101B-9397-08002B2CF9AE}" pid="16" name="Mendeley Recent Style Name 4_1">
    <vt:lpwstr>IEEE</vt:lpwstr>
  </property>
  <property fmtid="{D5CDD505-2E9C-101B-9397-08002B2CF9AE}" pid="17" name="Mendeley Recent Style Id 5_1">
    <vt:lpwstr>http://www.zotero.org/styles/journal-of-cleaner-production</vt:lpwstr>
  </property>
  <property fmtid="{D5CDD505-2E9C-101B-9397-08002B2CF9AE}" pid="18" name="Mendeley Recent Style Name 5_1">
    <vt:lpwstr>Journal of Cleaner Production</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http://www.zotero.org/styles/new-biotechnology</vt:lpwstr>
  </property>
  <property fmtid="{D5CDD505-2E9C-101B-9397-08002B2CF9AE}" pid="24" name="Mendeley Recent Style Name 8_1">
    <vt:lpwstr>New BIOTECHNOLOGY</vt:lpwstr>
  </property>
  <property fmtid="{D5CDD505-2E9C-101B-9397-08002B2CF9AE}" pid="25" name="Mendeley Recent Style Id 9_1">
    <vt:lpwstr>http://www.zotero.org/styles/science-of-the-total-environment</vt:lpwstr>
  </property>
  <property fmtid="{D5CDD505-2E9C-101B-9397-08002B2CF9AE}" pid="26" name="Mendeley Recent Style Name 9_1">
    <vt:lpwstr>Science of the Total Environment</vt:lpwstr>
  </property>
</Properties>
</file>